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rPr>
        <w:t>广州市净水有限公司</w:t>
      </w:r>
      <w:r>
        <w:rPr>
          <w:rFonts w:hint="eastAsia" w:ascii="方正小标宋简体" w:eastAsia="方正小标宋简体"/>
          <w:color w:val="auto"/>
          <w:sz w:val="52"/>
          <w:szCs w:val="52"/>
          <w:highlight w:val="none"/>
          <w:lang w:eastAsia="zh-CN"/>
        </w:rPr>
        <w:t>大坦沙分公司三期厂区围墙护栏改造工程</w:t>
      </w:r>
    </w:p>
    <w:p>
      <w:pPr>
        <w:pStyle w:val="21"/>
        <w:rPr>
          <w:rFonts w:hint="eastAsia"/>
          <w:lang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1"/>
      </w:pPr>
    </w:p>
    <w:p>
      <w:pPr>
        <w:pStyle w:val="21"/>
      </w:pPr>
    </w:p>
    <w:p>
      <w:pPr>
        <w:jc w:val="center"/>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rPr>
          <w:color w:val="auto"/>
          <w:highlight w:val="none"/>
        </w:rPr>
        <w:sectPr>
          <w:headerReference r:id="rId3" w:type="first"/>
          <w:footerReference r:id="rId4" w:type="default"/>
          <w:footerReference r:id="rId5" w:type="even"/>
          <w:pgSz w:w="11906" w:h="16838"/>
          <w:pgMar w:top="2098" w:right="1474" w:bottom="1985" w:left="1588" w:header="851" w:footer="992" w:gutter="0"/>
          <w:pgNumType w:fmt="numberInDash" w:start="0"/>
          <w:cols w:space="425" w:num="1"/>
          <w:titlePg/>
          <w:docGrid w:type="lines" w:linePitch="312" w:charSpace="0"/>
        </w:sectPr>
      </w:pPr>
    </w:p>
    <w:p>
      <w:pPr>
        <w:pStyle w:val="21"/>
      </w:pPr>
    </w:p>
    <w:p>
      <w:pPr>
        <w:pStyle w:val="37"/>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8"/>
        <w:numPr>
          <w:ilvl w:val="0"/>
          <w:numId w:val="1"/>
        </w:numPr>
        <w:tabs>
          <w:tab w:val="right" w:pos="8844"/>
        </w:tabs>
        <w:rPr>
          <w:color w:val="auto"/>
          <w:highlight w:val="none"/>
        </w:rPr>
      </w:pPr>
      <w:r>
        <w:rPr>
          <w:rFonts w:hint="eastAsia"/>
          <w:color w:val="auto"/>
          <w:highlight w:val="none"/>
        </w:rPr>
        <w:t>采购公告（采购邀请书）</w:t>
      </w:r>
    </w:p>
    <w:p>
      <w:pPr>
        <w:pStyle w:val="18"/>
        <w:numPr>
          <w:ilvl w:val="0"/>
          <w:numId w:val="1"/>
        </w:numPr>
        <w:tabs>
          <w:tab w:val="right" w:pos="8844"/>
        </w:tabs>
        <w:rPr>
          <w:color w:val="auto"/>
          <w:highlight w:val="none"/>
        </w:rPr>
      </w:pPr>
      <w:r>
        <w:rPr>
          <w:rFonts w:hint="eastAsia"/>
          <w:color w:val="auto"/>
          <w:highlight w:val="none"/>
        </w:rPr>
        <w:t>供应商须知</w:t>
      </w:r>
    </w:p>
    <w:p>
      <w:pPr>
        <w:pStyle w:val="18"/>
        <w:numPr>
          <w:ilvl w:val="0"/>
          <w:numId w:val="1"/>
        </w:numPr>
        <w:tabs>
          <w:tab w:val="right" w:pos="8844"/>
        </w:tabs>
        <w:rPr>
          <w:color w:val="auto"/>
          <w:highlight w:val="none"/>
        </w:rPr>
      </w:pPr>
      <w:r>
        <w:rPr>
          <w:rFonts w:hint="eastAsia"/>
          <w:color w:val="auto"/>
          <w:highlight w:val="none"/>
        </w:rPr>
        <w:t>采购方法</w:t>
      </w:r>
    </w:p>
    <w:p>
      <w:pPr>
        <w:pStyle w:val="18"/>
        <w:numPr>
          <w:ilvl w:val="0"/>
          <w:numId w:val="1"/>
        </w:numPr>
        <w:tabs>
          <w:tab w:val="right" w:pos="8844"/>
        </w:tabs>
        <w:rPr>
          <w:color w:val="auto"/>
          <w:highlight w:val="none"/>
        </w:rPr>
      </w:pPr>
      <w:r>
        <w:rPr>
          <w:rFonts w:hint="eastAsia"/>
          <w:color w:val="auto"/>
          <w:highlight w:val="none"/>
        </w:rPr>
        <w:t>评审方法</w:t>
      </w:r>
    </w:p>
    <w:p>
      <w:pPr>
        <w:pStyle w:val="18"/>
        <w:numPr>
          <w:ilvl w:val="0"/>
          <w:numId w:val="1"/>
        </w:numPr>
        <w:tabs>
          <w:tab w:val="right" w:pos="8844"/>
        </w:tabs>
        <w:rPr>
          <w:color w:val="auto"/>
          <w:highlight w:val="none"/>
        </w:rPr>
      </w:pPr>
      <w:r>
        <w:rPr>
          <w:rFonts w:hint="eastAsia"/>
          <w:color w:val="auto"/>
          <w:highlight w:val="none"/>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26148"/>
      <w:bookmarkStart w:id="1" w:name="_Toc18145"/>
    </w:p>
    <w:p>
      <w:pPr>
        <w:rPr>
          <w:color w:val="auto"/>
          <w:highlight w:val="none"/>
        </w:rPr>
      </w:pPr>
    </w:p>
    <w:p>
      <w:pPr>
        <w:pStyle w:val="4"/>
        <w:jc w:val="both"/>
        <w:rPr>
          <w:color w:val="auto"/>
          <w:highlight w:val="none"/>
        </w:rPr>
      </w:pPr>
      <w:bookmarkStart w:id="2" w:name="_Toc1711"/>
      <w:bookmarkStart w:id="3" w:name="_Toc1669"/>
      <w:bookmarkStart w:id="4" w:name="_Toc17801"/>
      <w:bookmarkStart w:id="5" w:name="_Toc11322"/>
      <w:bookmarkStart w:id="6" w:name="_Toc19609"/>
      <w:bookmarkStart w:id="7" w:name="_Toc4275"/>
      <w:bookmarkStart w:id="8" w:name="_Toc7519"/>
      <w:bookmarkStart w:id="9" w:name="_Toc17696"/>
      <w:bookmarkStart w:id="10" w:name="_Toc31938"/>
    </w:p>
    <w:p/>
    <w:p>
      <w:pPr>
        <w:pStyle w:val="4"/>
        <w:rPr>
          <w:color w:val="auto"/>
          <w:highlight w:val="none"/>
        </w:rPr>
      </w:pPr>
    </w:p>
    <w:p>
      <w:pPr>
        <w:pStyle w:val="4"/>
        <w:rPr>
          <w:color w:val="auto"/>
          <w:highlight w:val="none"/>
        </w:rPr>
      </w:pPr>
    </w:p>
    <w:p>
      <w:pPr>
        <w:rPr>
          <w:color w:val="auto"/>
          <w:highlight w:val="none"/>
        </w:rPr>
      </w:pPr>
    </w:p>
    <w:p>
      <w:pPr>
        <w:pStyle w:val="21"/>
        <w:rPr>
          <w:color w:val="auto"/>
          <w:highlight w:val="none"/>
        </w:rPr>
      </w:pPr>
    </w:p>
    <w:p>
      <w:pPr>
        <w:pStyle w:val="21"/>
        <w:ind w:left="0" w:leftChars="0" w:firstLine="0" w:firstLineChars="0"/>
        <w:rPr>
          <w:color w:val="auto"/>
          <w:highlight w:val="none"/>
        </w:rPr>
      </w:pPr>
    </w:p>
    <w:p>
      <w:pPr>
        <w:pStyle w:val="21"/>
        <w:rPr>
          <w:color w:val="auto"/>
          <w:highlight w:val="none"/>
        </w:rPr>
      </w:pPr>
    </w:p>
    <w:p>
      <w:pPr>
        <w:pStyle w:val="21"/>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2277110</wp:posOffset>
                </wp:positionH>
                <wp:positionV relativeFrom="paragraph">
                  <wp:posOffset>751840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9.3pt;margin-top:59.2pt;height:0pt;width:75.5pt;z-index:251671552;mso-width-relative:page;mso-height-relative:page;" filled="f" stroked="t" coordsize="21600,21600" o:gfxdata="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3kftt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2310130</wp:posOffset>
                </wp:positionH>
                <wp:positionV relativeFrom="paragraph">
                  <wp:posOffset>209550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1.9pt;margin-top:16.5pt;height:0pt;width:75.5pt;z-index:251670528;mso-width-relative:page;mso-height-relative:page;" filled="f" stroked="t" coordsize="21600,21600" o:gfxdata="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WHT1XdcAAAAJAQAADwAAAAAAAAABACAAAAAiAAAAZHJzL2Rvd25yZXYueG1sUEsBAhQA&#10;FAAAAAgAh07iQA+sh4j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9"/>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21373"/>
      <w:bookmarkStart w:id="12" w:name="_Toc9680"/>
      <w:r>
        <w:rPr>
          <w:rFonts w:hint="eastAsia"/>
          <w:color w:val="auto"/>
          <w:highlight w:val="none"/>
        </w:rPr>
        <w:t>采购公告（采购邀请书）</w:t>
      </w:r>
    </w:p>
    <w:bookmarkEnd w:id="11"/>
    <w:bookmarkEnd w:id="12"/>
    <w:p>
      <w:pPr>
        <w:rPr>
          <w:color w:val="auto"/>
          <w:szCs w:val="21"/>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val="en-US" w:eastAsia="zh-CN"/>
        </w:rPr>
        <w:t>大坦沙分公司三期厂区围墙护栏改造</w:t>
      </w:r>
      <w:r>
        <w:rPr>
          <w:rFonts w:hint="eastAsia" w:ascii="仿宋_GB2312" w:eastAsia="仿宋_GB2312"/>
          <w:color w:val="auto"/>
          <w:sz w:val="28"/>
          <w:szCs w:val="28"/>
          <w:highlight w:val="none"/>
          <w:u w:val="single"/>
          <w:lang w:eastAsia="zh-CN"/>
        </w:rPr>
        <w:t>工程</w:t>
      </w:r>
      <w:r>
        <w:rPr>
          <w:rFonts w:hint="eastAsia" w:ascii="仿宋_GB2312" w:eastAsia="仿宋_GB2312"/>
          <w:color w:val="auto"/>
          <w:sz w:val="28"/>
          <w:szCs w:val="28"/>
          <w:highlight w:val="none"/>
        </w:rPr>
        <w:t>已具备采购条件，现邀请合格单位参加本</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t xml:space="preserve">□邀请询比 </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广州市净水有限公司</w:t>
      </w:r>
      <w:r>
        <w:rPr>
          <w:rFonts w:hint="eastAsia" w:ascii="仿宋_GB2312" w:eastAsia="仿宋_GB2312"/>
          <w:color w:val="auto"/>
          <w:sz w:val="28"/>
          <w:szCs w:val="28"/>
          <w:highlight w:val="none"/>
          <w:u w:val="single"/>
          <w:lang w:val="en-US" w:eastAsia="zh-CN"/>
        </w:rPr>
        <w:t>大坦沙分公司三期厂区围墙护栏改造</w:t>
      </w:r>
      <w:r>
        <w:rPr>
          <w:rFonts w:hint="eastAsia" w:ascii="仿宋_GB2312" w:eastAsia="仿宋_GB2312"/>
          <w:color w:val="auto"/>
          <w:sz w:val="28"/>
          <w:szCs w:val="28"/>
          <w:highlight w:val="none"/>
          <w:u w:val="single"/>
          <w:lang w:eastAsia="zh-CN"/>
        </w:rPr>
        <w:t>工程</w:t>
      </w:r>
    </w:p>
    <w:p>
      <w:pPr>
        <w:adjustRightInd w:val="0"/>
        <w:snapToGrid w:val="0"/>
        <w:spacing w:line="600" w:lineRule="exact"/>
        <w:jc w:val="left"/>
        <w:rPr>
          <w:rFonts w:hint="default"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XJ-20221129-3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r>
        <w:rPr>
          <w:rFonts w:hint="eastAsia" w:ascii="仿宋_GB2312" w:eastAsia="仿宋_GB2312"/>
          <w:color w:val="auto"/>
          <w:sz w:val="28"/>
          <w:szCs w:val="28"/>
          <w:highlight w:val="none"/>
          <w:u w:val="single"/>
          <w:lang w:val="en-US" w:eastAsia="zh-CN"/>
        </w:rPr>
        <w:t xml:space="preserve">  </w:t>
      </w:r>
    </w:p>
    <w:p>
      <w:pPr>
        <w:rPr>
          <w:rFonts w:hint="eastAsia"/>
          <w:color w:val="auto"/>
          <w:kern w:val="0"/>
          <w:szCs w:val="21"/>
          <w:highlight w:val="none"/>
        </w:rPr>
      </w:pPr>
      <w:r>
        <w:rPr>
          <w:rFonts w:hint="eastAsia" w:ascii="仿宋_GB2312" w:eastAsia="仿宋_GB2312"/>
          <w:color w:val="auto"/>
          <w:sz w:val="28"/>
          <w:szCs w:val="28"/>
          <w:highlight w:val="none"/>
        </w:rPr>
        <w:t>1.4最高限价（元）：</w:t>
      </w:r>
      <w:r>
        <w:rPr>
          <w:rFonts w:hint="eastAsia" w:ascii="仿宋_GB2312" w:eastAsia="仿宋_GB2312"/>
          <w:sz w:val="28"/>
          <w:szCs w:val="28"/>
          <w:u w:val="single"/>
          <w:lang w:val="en-US" w:eastAsia="zh-CN"/>
        </w:rPr>
        <w:t>686986.60</w:t>
      </w:r>
      <w:r>
        <w:rPr>
          <w:rFonts w:hint="eastAsia" w:ascii="仿宋_GB2312" w:eastAsia="仿宋_GB2312"/>
          <w:sz w:val="28"/>
          <w:szCs w:val="28"/>
          <w:u w:val="single"/>
        </w:rPr>
        <w:t xml:space="preserve">元（人民币） </w:t>
      </w:r>
      <w:r>
        <w:rPr>
          <w:rFonts w:hint="eastAsia" w:ascii="仿宋_GB2312" w:eastAsia="仿宋_GB2312"/>
          <w:sz w:val="28"/>
          <w:szCs w:val="28"/>
        </w:rPr>
        <w:t>（其中税前造价为</w:t>
      </w:r>
      <w:r>
        <w:rPr>
          <w:rFonts w:hint="eastAsia" w:ascii="仿宋_GB2312" w:eastAsia="仿宋_GB2312"/>
          <w:sz w:val="28"/>
          <w:szCs w:val="28"/>
          <w:lang w:eastAsia="zh-CN"/>
        </w:rPr>
        <w:t xml:space="preserve">     </w:t>
      </w:r>
      <w:r>
        <w:rPr>
          <w:rFonts w:hint="eastAsia" w:ascii="仿宋_GB2312" w:eastAsia="仿宋_GB2312"/>
          <w:sz w:val="28"/>
          <w:szCs w:val="28"/>
          <w:lang w:val="en-US" w:eastAsia="zh-CN"/>
        </w:rPr>
        <w:t>630262.94</w:t>
      </w:r>
      <w:r>
        <w:rPr>
          <w:rFonts w:hint="eastAsia" w:ascii="仿宋_GB2312" w:eastAsia="仿宋_GB2312"/>
          <w:sz w:val="28"/>
          <w:szCs w:val="28"/>
        </w:rPr>
        <w:t>元，税率为9%</w:t>
      </w:r>
      <w:r>
        <w:rPr>
          <w:rFonts w:hint="eastAsia" w:ascii="仿宋_GB2312" w:eastAsia="仿宋_GB2312"/>
          <w:sz w:val="28"/>
          <w:szCs w:val="28"/>
          <w:lang w:eastAsia="zh-CN"/>
        </w:rPr>
        <w:t>；</w:t>
      </w:r>
      <w:r>
        <w:rPr>
          <w:rFonts w:hint="eastAsia" w:ascii="仿宋_GB2312" w:eastAsia="仿宋_GB2312"/>
          <w:sz w:val="28"/>
          <w:szCs w:val="28"/>
        </w:rPr>
        <w:t>绿色施工安全防护措施费</w:t>
      </w:r>
      <w:r>
        <w:rPr>
          <w:rFonts w:hint="eastAsia" w:ascii="仿宋_GB2312" w:eastAsia="仿宋_GB2312"/>
          <w:sz w:val="28"/>
          <w:szCs w:val="28"/>
          <w:lang w:val="en-US" w:eastAsia="zh-CN"/>
        </w:rPr>
        <w:t>23081.84</w:t>
      </w:r>
      <w:r>
        <w:rPr>
          <w:rFonts w:hint="eastAsia" w:ascii="仿宋_GB2312" w:eastAsia="仿宋_GB2312"/>
          <w:sz w:val="28"/>
          <w:szCs w:val="28"/>
        </w:rPr>
        <w:t>元</w:t>
      </w:r>
      <w:r>
        <w:rPr>
          <w:rFonts w:hint="eastAsia" w:ascii="仿宋_GB2312" w:eastAsia="仿宋_GB2312"/>
          <w:sz w:val="28"/>
          <w:szCs w:val="28"/>
          <w:lang w:val="en-US" w:eastAsia="zh-CN"/>
        </w:rPr>
        <w:t>,暂列金52698.23元</w:t>
      </w:r>
      <w:r>
        <w:rPr>
          <w:rFonts w:hint="eastAsia" w:ascii="仿宋_GB2312" w:eastAsia="仿宋_GB2312"/>
          <w:sz w:val="28"/>
          <w:szCs w:val="28"/>
        </w:rPr>
        <w:t>（其中</w:t>
      </w:r>
      <w:r>
        <w:rPr>
          <w:rFonts w:hint="eastAsia" w:ascii="仿宋_GB2312" w:eastAsia="仿宋_GB2312"/>
          <w:color w:val="auto"/>
          <w:sz w:val="28"/>
          <w:szCs w:val="28"/>
          <w:highlight w:val="none"/>
          <w:u w:val="none"/>
        </w:rPr>
        <w:t>建筑专业绿色为17431.36元，园林专业绿色费为5294.48元，安装专业绿色费为356.00元</w:t>
      </w:r>
      <w:r>
        <w:rPr>
          <w:rFonts w:hint="eastAsia" w:ascii="仿宋_GB2312" w:eastAsia="仿宋_GB2312"/>
          <w:sz w:val="28"/>
          <w:szCs w:val="28"/>
          <w:lang w:eastAsia="zh-CN"/>
        </w:rPr>
        <w:t>，</w:t>
      </w:r>
      <w:r>
        <w:rPr>
          <w:rFonts w:hint="eastAsia" w:ascii="仿宋_GB2312" w:eastAsia="仿宋_GB2312"/>
          <w:sz w:val="28"/>
          <w:szCs w:val="28"/>
          <w:lang w:val="en-US" w:eastAsia="zh-CN"/>
        </w:rPr>
        <w:t>暂列金</w:t>
      </w:r>
      <w:r>
        <w:rPr>
          <w:rFonts w:hint="eastAsia" w:ascii="仿宋_GB2312" w:eastAsia="仿宋_GB2312"/>
          <w:color w:val="auto"/>
          <w:sz w:val="28"/>
          <w:szCs w:val="28"/>
          <w:highlight w:val="none"/>
          <w:u w:val="none"/>
        </w:rPr>
        <w:t>52698.23</w:t>
      </w:r>
      <w:r>
        <w:rPr>
          <w:rFonts w:hint="eastAsia" w:ascii="仿宋_GB2312" w:eastAsia="仿宋_GB2312"/>
          <w:sz w:val="28"/>
          <w:szCs w:val="28"/>
          <w:lang w:val="en-US" w:eastAsia="zh-CN"/>
        </w:rPr>
        <w:t>元</w:t>
      </w:r>
      <w:r>
        <w:rPr>
          <w:rFonts w:hint="eastAsia" w:ascii="仿宋_GB2312" w:eastAsia="仿宋_GB2312"/>
          <w:sz w:val="28"/>
          <w:szCs w:val="28"/>
        </w:rPr>
        <w:t>）。绿色施工安全防护措施费</w:t>
      </w:r>
      <w:r>
        <w:rPr>
          <w:rFonts w:hint="eastAsia" w:ascii="仿宋_GB2312" w:eastAsia="仿宋_GB2312"/>
          <w:sz w:val="28"/>
          <w:szCs w:val="28"/>
          <w:lang w:eastAsia="zh-CN"/>
        </w:rPr>
        <w:t>及暂列金</w:t>
      </w:r>
      <w:r>
        <w:rPr>
          <w:rFonts w:hint="eastAsia" w:ascii="仿宋_GB2312" w:eastAsia="仿宋_GB2312"/>
          <w:sz w:val="28"/>
          <w:szCs w:val="28"/>
        </w:rPr>
        <w:t>非竞争性费用，报价时须按询价文件规定的金额填写，不得参与竞争，否则按无效报价处理。）</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numPr>
          <w:ilvl w:val="0"/>
          <w:numId w:val="0"/>
        </w:numPr>
        <w:spacing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lang w:val="en-US" w:eastAsia="zh-CN"/>
        </w:rPr>
        <w:t>本次施工</w:t>
      </w:r>
      <w:r>
        <w:rPr>
          <w:rFonts w:hint="eastAsia" w:ascii="仿宋_GB2312" w:eastAsia="仿宋_GB2312"/>
          <w:color w:val="auto"/>
          <w:sz w:val="28"/>
          <w:szCs w:val="28"/>
          <w:highlight w:val="none"/>
        </w:rPr>
        <w:t>内容</w:t>
      </w:r>
      <w:r>
        <w:rPr>
          <w:rFonts w:hint="eastAsia" w:ascii="仿宋_GB2312" w:eastAsia="仿宋_GB2312"/>
          <w:color w:val="auto"/>
          <w:sz w:val="28"/>
          <w:szCs w:val="28"/>
          <w:highlight w:val="none"/>
          <w:lang w:val="en-US" w:eastAsia="zh-CN"/>
        </w:rPr>
        <w:t>为对三期围栏共1300米进行全面改造</w:t>
      </w:r>
    </w:p>
    <w:p>
      <w:pPr>
        <w:numPr>
          <w:ilvl w:val="0"/>
          <w:numId w:val="0"/>
        </w:numPr>
        <w:spacing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2.1.1其中2014年至2017年四年期间更换的360米围栏（利用格栅机大修拆下的不锈钢格栅轴更换）只作表面翻新维护；</w:t>
      </w:r>
    </w:p>
    <w:p>
      <w:pPr>
        <w:numPr>
          <w:ilvl w:val="0"/>
          <w:numId w:val="0"/>
        </w:numPr>
        <w:spacing w:line="36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2.1.2其余940米围栏杆中，利用格栅机大修拆下的不锈钢格栅轴更换改造共约600米；</w:t>
      </w:r>
    </w:p>
    <w:p>
      <w:pPr>
        <w:numPr>
          <w:ilvl w:val="0"/>
          <w:numId w:val="0"/>
        </w:numPr>
        <w:spacing w:line="36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2.1.3余下围栏杆约340米，选用材质锌钢，厚度2.5mm，高度1.5m。</w:t>
      </w:r>
    </w:p>
    <w:p>
      <w:pPr>
        <w:numPr>
          <w:ilvl w:val="0"/>
          <w:numId w:val="0"/>
        </w:numPr>
        <w:spacing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2.1.4全部立柱及围栏混凝土基础翻新瓷砖，部分立柱加高；</w:t>
      </w:r>
    </w:p>
    <w:p>
      <w:pPr>
        <w:numPr>
          <w:ilvl w:val="0"/>
          <w:numId w:val="0"/>
        </w:numPr>
        <w:spacing w:line="360" w:lineRule="auto"/>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2.1.5铲除原有围栏内勒杜鹃1300米及恢复种植。补充草坪。</w:t>
      </w:r>
    </w:p>
    <w:p>
      <w:pPr>
        <w:numPr>
          <w:ilvl w:val="0"/>
          <w:numId w:val="0"/>
        </w:numPr>
        <w:spacing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2.1.6上述因施工产生的泥土砂石植物等需施工单位运走。</w:t>
      </w:r>
    </w:p>
    <w:p>
      <w:pPr>
        <w:numPr>
          <w:ilvl w:val="0"/>
          <w:numId w:val="0"/>
        </w:numPr>
        <w:spacing w:line="360" w:lineRule="auto"/>
        <w:ind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2.1.7为规范档案室管理，分公司三期办公楼四楼档案室需加装视频监控、原木门及不锈钢门更换成甲级防火门。</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90</w:t>
      </w:r>
      <w:r>
        <w:rPr>
          <w:rFonts w:hint="eastAsia" w:ascii="仿宋_GB2312" w:eastAsia="仿宋_GB2312"/>
          <w:color w:val="auto"/>
          <w:sz w:val="28"/>
          <w:szCs w:val="28"/>
          <w:highlight w:val="none"/>
          <w:u w:val="single"/>
        </w:rPr>
        <w:t xml:space="preserve">天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仿宋_GB2312" w:eastAsia="仿宋_GB2312"/>
          <w:color w:val="auto"/>
          <w:sz w:val="28"/>
          <w:szCs w:val="28"/>
          <w:highlight w:val="none"/>
          <w:u w:val="single"/>
          <w:lang w:eastAsia="zh-CN"/>
        </w:rPr>
      </w:pPr>
      <w:r>
        <w:rPr>
          <w:rFonts w:hint="eastAsia" w:ascii="仿宋_GB2312" w:eastAsia="仿宋_GB2312"/>
          <w:color w:val="auto"/>
          <w:sz w:val="28"/>
          <w:szCs w:val="28"/>
          <w:highlight w:val="none"/>
        </w:rPr>
        <w:t>2.3地点：</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w:t>
      </w:r>
      <w:r>
        <w:rPr>
          <w:rFonts w:hint="eastAsia" w:ascii="仿宋_GB2312" w:eastAsia="仿宋_GB2312"/>
          <w:color w:val="auto"/>
          <w:sz w:val="28"/>
          <w:szCs w:val="28"/>
          <w:highlight w:val="none"/>
          <w:u w:val="single"/>
          <w:lang w:val="en-US" w:eastAsia="zh-CN"/>
        </w:rPr>
        <w:t>荔湾</w:t>
      </w:r>
      <w:r>
        <w:rPr>
          <w:rFonts w:hint="eastAsia" w:ascii="仿宋_GB2312" w:eastAsia="仿宋_GB2312"/>
          <w:color w:val="auto"/>
          <w:sz w:val="28"/>
          <w:szCs w:val="28"/>
          <w:highlight w:val="none"/>
          <w:u w:val="single"/>
        </w:rPr>
        <w:t>区</w:t>
      </w:r>
      <w:r>
        <w:rPr>
          <w:rFonts w:hint="eastAsia" w:ascii="仿宋_GB2312" w:eastAsia="仿宋_GB2312"/>
          <w:color w:val="auto"/>
          <w:sz w:val="28"/>
          <w:szCs w:val="28"/>
          <w:highlight w:val="none"/>
          <w:u w:val="single"/>
          <w:lang w:val="en-US" w:eastAsia="zh-CN"/>
        </w:rPr>
        <w:t>桥中南路7号大坦沙净</w:t>
      </w:r>
      <w:r>
        <w:rPr>
          <w:rFonts w:hint="eastAsia" w:ascii="仿宋_GB2312" w:eastAsia="仿宋_GB2312"/>
          <w:color w:val="auto"/>
          <w:sz w:val="28"/>
          <w:szCs w:val="28"/>
          <w:highlight w:val="none"/>
          <w:u w:val="single"/>
        </w:rPr>
        <w:t xml:space="preserve">水厂 </w:t>
      </w:r>
      <w:r>
        <w:rPr>
          <w:rFonts w:hint="eastAsia" w:ascii="仿宋_GB2312" w:eastAsia="仿宋_GB2312"/>
          <w:color w:val="auto"/>
          <w:sz w:val="28"/>
          <w:szCs w:val="28"/>
          <w:highlight w:val="none"/>
          <w:u w:val="single"/>
          <w:lang w:eastAsia="zh-CN"/>
        </w:rPr>
        <w:t>。</w:t>
      </w:r>
    </w:p>
    <w:p>
      <w:pPr>
        <w:rPr>
          <w:color w:val="auto"/>
          <w:szCs w:val="21"/>
          <w:highlight w:val="none"/>
        </w:rPr>
      </w:pPr>
      <w:r>
        <w:rPr>
          <w:rFonts w:hint="eastAsia" w:ascii="仿宋_GB2312" w:eastAsia="仿宋_GB2312"/>
          <w:color w:val="auto"/>
          <w:sz w:val="28"/>
          <w:szCs w:val="28"/>
          <w:highlight w:val="none"/>
        </w:rPr>
        <w:t>2.4质量要求：</w:t>
      </w: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施工质量要求   □货物质量标准或主要技术性能指标  □服务质量要求或服务标准如下：</w:t>
      </w:r>
      <w:r>
        <w:rPr>
          <w:rFonts w:hint="eastAsia" w:ascii="仿宋_GB2312" w:eastAsia="仿宋_GB2312"/>
          <w:color w:val="auto"/>
          <w:sz w:val="28"/>
          <w:szCs w:val="28"/>
          <w:highlight w:val="none"/>
          <w:u w:val="single"/>
        </w:rPr>
        <w:t>按合同条款和有关技术标准规范进行验收。使用的各种材料必须符合设计和有关技术标准规范要求。</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rPr>
          <w:color w:val="auto"/>
          <w:szCs w:val="21"/>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（2）供应商应当具备</w:t>
      </w:r>
      <w:r>
        <w:rPr>
          <w:rFonts w:hint="eastAsia" w:ascii="仿宋_GB2312" w:eastAsia="仿宋_GB2312"/>
          <w:color w:val="auto"/>
          <w:sz w:val="28"/>
          <w:szCs w:val="28"/>
          <w:highlight w:val="none"/>
          <w:u w:val="none"/>
        </w:rPr>
        <w:t>市政工程施工总承包三级（或以上级别资质）和建设主管部门颁发且在有效期内的《安全生产许可证》</w:t>
      </w:r>
      <w:r>
        <w:rPr>
          <w:rFonts w:hint="eastAsia" w:ascii="仿宋_GB2312" w:eastAsia="仿宋_GB2312"/>
          <w:color w:val="auto"/>
          <w:sz w:val="28"/>
          <w:szCs w:val="28"/>
          <w:highlight w:val="none"/>
        </w:rPr>
        <w:t>资质。</w:t>
      </w:r>
    </w:p>
    <w:p>
      <w:pPr>
        <w:adjustRightInd w:val="0"/>
        <w:snapToGrid w:val="0"/>
        <w:spacing w:line="600" w:lineRule="exact"/>
        <w:jc w:val="left"/>
        <w:rPr>
          <w:rFonts w:ascii="仿宋_GB2312" w:eastAsia="仿宋_GB2312"/>
          <w:color w:val="auto"/>
          <w:sz w:val="28"/>
          <w:szCs w:val="28"/>
          <w:highlight w:val="none"/>
        </w:rPr>
      </w:pPr>
      <w:r>
        <w:rPr>
          <w:rFonts w:ascii="Wingdings 2" w:hAnsi="Wingdings 2" w:eastAsia="仿宋_GB2312"/>
          <w:color w:val="auto"/>
          <w:sz w:val="28"/>
          <w:szCs w:val="28"/>
          <w:highlight w:val="none"/>
        </w:rPr>
        <w:sym w:font="Wingdings 2" w:char="00A3"/>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none"/>
        </w:rPr>
        <w:t xml:space="preserve"> </w:t>
      </w:r>
      <w:r>
        <w:rPr>
          <w:rFonts w:ascii="仿宋_GB2312" w:eastAsia="仿宋_GB2312"/>
          <w:color w:val="auto"/>
          <w:sz w:val="28"/>
          <w:szCs w:val="28"/>
          <w:highlight w:val="none"/>
          <w:u w:val="none"/>
        </w:rPr>
        <w:t>201</w:t>
      </w:r>
      <w:r>
        <w:rPr>
          <w:rFonts w:hint="eastAsia" w:ascii="仿宋_GB2312" w:eastAsia="仿宋_GB2312"/>
          <w:color w:val="auto"/>
          <w:sz w:val="28"/>
          <w:szCs w:val="28"/>
          <w:highlight w:val="none"/>
          <w:u w:val="none"/>
        </w:rPr>
        <w:t xml:space="preserve">9 </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u w:val="single"/>
          <w:lang w:val="en-US" w:eastAsia="zh-CN"/>
        </w:rPr>
        <w:t xml:space="preserve">     /     </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rPr>
          <w:color w:val="auto"/>
          <w:szCs w:val="21"/>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（4）项目负责人应当具备</w:t>
      </w:r>
      <w:r>
        <w:rPr>
          <w:rFonts w:hint="eastAsia" w:ascii="仿宋_GB2312" w:eastAsia="仿宋_GB2312"/>
          <w:color w:val="auto"/>
          <w:sz w:val="28"/>
          <w:szCs w:val="28"/>
          <w:highlight w:val="none"/>
          <w:u w:val="none"/>
        </w:rPr>
        <w:t>市政工程专业二级（或以上级别）的注册建造师（或具备符合粤建市〔2010〕26号文规定的小型项目负责人资格），同时持有项目负责人安全生产考核合格证（B类）（或能够提供广东省建筑施工企业管理人员安全生产考核信息系统安全生产管理人员证书信息的网页截图）；（注：根据广东省建设信息中心关于启用新版“广东省建设执业资格注册管理信息系统”的通知，注册建造师电子证书须由本人在个人签名处手写签名，未手写签名或与签名图像笔迹不一致的，电子证书无效）</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广东省外注册的二级建造师人员暂不能在我省执业。</w:t>
      </w:r>
    </w:p>
    <w:p>
      <w:pPr>
        <w:rPr>
          <w:color w:val="auto"/>
          <w:szCs w:val="21"/>
          <w:highlight w:val="none"/>
          <w:u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w:t>
      </w:r>
      <w:r>
        <w:rPr>
          <w:rFonts w:ascii="仿宋_GB2312" w:eastAsia="仿宋_GB2312"/>
          <w:color w:val="auto"/>
          <w:sz w:val="28"/>
          <w:szCs w:val="28"/>
          <w:highlight w:val="none"/>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none"/>
        </w:rPr>
        <w:t>专职安全人员要求：须具有安全生产考核合格证（C类）（或能够提供广东省建筑施工企业管理人员安全生产考核信息系统安全生产管理人员证书信息的网页截图）；供应商拟担任本工程项目负责人和安全员的人员资质须满足上述要求，且项目负责人不得同时兼任本项目专职安全人员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non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30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4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ascii="Wingdings 2" w:hAnsi="Wingdings 2" w:eastAsia="仿宋_GB2312"/>
          <w:color w:val="auto"/>
          <w:sz w:val="28"/>
          <w:szCs w:val="28"/>
          <w:highlight w:val="none"/>
        </w:rPr>
        <w:t>R</w:t>
      </w:r>
      <w:r>
        <w:rPr>
          <w:rFonts w:hint="eastAsia" w:ascii="仿宋_GB2312" w:eastAsia="仿宋_GB2312"/>
          <w:color w:val="auto"/>
          <w:sz w:val="28"/>
          <w:szCs w:val="28"/>
          <w:highlight w:val="none"/>
        </w:rPr>
        <w:t>不组织</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□组织：供应商可自行选择是否前往现场踏勘，若前往现场踏勘须在规定时间内到达集中地点，逾期不再接待。</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t>踏勘现场联系人：</w:t>
      </w:r>
      <w:r>
        <w:rPr>
          <w:rFonts w:hint="eastAsia" w:ascii="仿宋_GB2312" w:eastAsia="仿宋_GB2312"/>
          <w:color w:val="auto"/>
          <w:sz w:val="28"/>
          <w:szCs w:val="28"/>
          <w:highlight w:val="none"/>
          <w:u w:val="none"/>
          <w:lang w:val="en-US" w:eastAsia="zh-CN"/>
        </w:rPr>
        <w:t xml:space="preserve"> </w:t>
      </w:r>
    </w:p>
    <w:p>
      <w:pPr>
        <w:adjustRightInd w:val="0"/>
        <w:snapToGrid w:val="0"/>
        <w:spacing w:line="600" w:lineRule="exact"/>
        <w:jc w:val="left"/>
        <w:rPr>
          <w:rFonts w:hint="eastAsia" w:ascii="仿宋_GB2312" w:eastAsia="仿宋_GB2312"/>
          <w:color w:val="auto"/>
          <w:sz w:val="28"/>
          <w:szCs w:val="28"/>
          <w:highlight w:val="none"/>
          <w:u w:val="none"/>
          <w:lang w:eastAsia="zh-CN"/>
        </w:rPr>
      </w:pPr>
      <w:r>
        <w:rPr>
          <w:rFonts w:hint="eastAsia" w:ascii="仿宋_GB2312" w:eastAsia="仿宋_GB2312"/>
          <w:color w:val="auto"/>
          <w:sz w:val="28"/>
          <w:szCs w:val="28"/>
          <w:highlight w:val="none"/>
          <w:u w:val="none"/>
        </w:rPr>
        <w:t>踏勘现场联系人联系方式：</w:t>
      </w:r>
      <w:r>
        <w:rPr>
          <w:rFonts w:hint="eastAsia" w:ascii="仿宋_GB2312" w:eastAsia="仿宋_GB2312"/>
          <w:color w:val="auto"/>
          <w:sz w:val="28"/>
          <w:szCs w:val="28"/>
          <w:highlight w:val="none"/>
          <w:u w:val="none"/>
          <w:lang w:val="en-US" w:eastAsia="zh-CN"/>
        </w:rPr>
        <w:t xml:space="preserve"> </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t>踏勘（答疑）集合时间：</w:t>
      </w:r>
    </w:p>
    <w:p>
      <w:pPr>
        <w:adjustRightInd w:val="0"/>
        <w:snapToGrid w:val="0"/>
        <w:spacing w:line="600" w:lineRule="exact"/>
        <w:jc w:val="left"/>
        <w:rPr>
          <w:rFonts w:ascii="Calibri" w:hAnsi="Calibri" w:eastAsia="宋体"/>
          <w:color w:val="auto"/>
          <w:szCs w:val="21"/>
          <w:highlight w:val="none"/>
        </w:rPr>
      </w:pPr>
      <w:r>
        <w:rPr>
          <w:rFonts w:hint="eastAsia" w:ascii="仿宋_GB2312" w:eastAsia="仿宋_GB2312"/>
          <w:color w:val="auto"/>
          <w:sz w:val="28"/>
          <w:szCs w:val="28"/>
          <w:highlight w:val="none"/>
        </w:rPr>
        <w:t>踏勘集中地点：</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12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5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adjustRightInd w:val="0"/>
        <w:snapToGrid w:val="0"/>
        <w:spacing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防疫要求：基于目前疫情防控形势，我公司仅接受快递或自行送达形式递交响应文件，响应文件须于递交截止时间前送达，并放置于公司正门保安处。</w:t>
      </w:r>
    </w:p>
    <w:p>
      <w:pPr>
        <w:adjustRightInd w:val="0"/>
        <w:snapToGrid w:val="0"/>
        <w:spacing w:line="360" w:lineRule="auto"/>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3"/>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92"/>
        <w:gridCol w:w="3357"/>
        <w:gridCol w:w="449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hint="eastAsia" w:asciiTheme="minorEastAsia" w:hAnsiTheme="minorEastAsia"/>
          <w:b/>
          <w:color w:val="auto"/>
          <w:sz w:val="32"/>
          <w:szCs w:val="32"/>
          <w:highlight w:val="none"/>
        </w:rPr>
      </w:pPr>
    </w:p>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r>
              <w:rPr>
                <w:rFonts w:ascii="仿宋_GB2312" w:eastAsia="仿宋_GB2312"/>
                <w:color w:val="auto"/>
                <w:sz w:val="28"/>
                <w:szCs w:val="28"/>
                <w:highlight w:val="non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2240" w:firstLineChars="800"/>
              <w:jc w:val="left"/>
              <w:rPr>
                <w:rFonts w:ascii="仿宋_GB2312" w:eastAsia="仿宋_GB2312"/>
                <w:color w:val="auto"/>
                <w:sz w:val="28"/>
                <w:szCs w:val="28"/>
                <w:highlight w:val="none"/>
              </w:rPr>
            </w:pP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29 </w:t>
            </w:r>
            <w:r>
              <w:rPr>
                <w:rFonts w:hint="eastAsia" w:ascii="仿宋_GB2312" w:eastAsia="仿宋_GB2312"/>
                <w:color w:val="auto"/>
                <w:sz w:val="28"/>
                <w:szCs w:val="28"/>
                <w:highlight w:val="none"/>
              </w:rPr>
              <w:t>日</w:t>
            </w:r>
          </w:p>
        </w:tc>
      </w:tr>
    </w:tbl>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pStyle w:val="21"/>
        <w:rPr>
          <w:rFonts w:hint="eastAsia" w:asciiTheme="minorEastAsia" w:hAnsiTheme="minorEastAsia"/>
          <w:color w:val="auto"/>
          <w:sz w:val="24"/>
          <w:szCs w:val="24"/>
          <w:highlight w:val="none"/>
        </w:rPr>
      </w:pPr>
    </w:p>
    <w:p>
      <w:pPr>
        <w:pStyle w:val="21"/>
        <w:rPr>
          <w:rFonts w:hint="eastAsia" w:asciiTheme="minorEastAsia" w:hAnsiTheme="minorEastAsia"/>
          <w:color w:val="auto"/>
          <w:sz w:val="24"/>
          <w:szCs w:val="24"/>
          <w:highlight w:val="none"/>
        </w:rPr>
      </w:pPr>
    </w:p>
    <w:p>
      <w:pPr>
        <w:pStyle w:val="21"/>
        <w:rPr>
          <w:rFonts w:hint="eastAsia" w:asciiTheme="minorEastAsia" w:hAnsiTheme="minorEastAsia"/>
          <w:color w:val="auto"/>
          <w:sz w:val="24"/>
          <w:szCs w:val="24"/>
          <w:highlight w:val="none"/>
        </w:rPr>
      </w:pPr>
    </w:p>
    <w:p>
      <w:pPr>
        <w:pStyle w:val="21"/>
        <w:rPr>
          <w:rFonts w:hint="eastAsia" w:asciiTheme="minorEastAsia" w:hAnsiTheme="minorEastAsia"/>
          <w:color w:val="auto"/>
          <w:sz w:val="24"/>
          <w:szCs w:val="24"/>
          <w:highlight w:val="none"/>
        </w:rPr>
      </w:pPr>
    </w:p>
    <w:p>
      <w:pPr>
        <w:pStyle w:val="21"/>
        <w:rPr>
          <w:rFonts w:hint="eastAsia" w:asciiTheme="minorEastAsia" w:hAnsiTheme="minorEastAsia"/>
          <w:color w:val="auto"/>
          <w:sz w:val="24"/>
          <w:szCs w:val="24"/>
          <w:highlight w:val="none"/>
        </w:rPr>
      </w:pPr>
    </w:p>
    <w:p>
      <w:pPr>
        <w:pStyle w:val="21"/>
        <w:rPr>
          <w:rFonts w:hint="eastAsia" w:asciiTheme="minorEastAsia" w:hAnsiTheme="minorEastAsia"/>
          <w:color w:val="auto"/>
          <w:sz w:val="24"/>
          <w:szCs w:val="24"/>
          <w:highlight w:val="none"/>
        </w:rPr>
      </w:pPr>
    </w:p>
    <w:p>
      <w:pPr>
        <w:pStyle w:val="21"/>
        <w:rPr>
          <w:rFonts w:hint="eastAsia" w:asciiTheme="minorEastAsia" w:hAnsiTheme="minorEastAsia"/>
          <w:color w:val="auto"/>
          <w:sz w:val="24"/>
          <w:szCs w:val="24"/>
          <w:highlight w:val="none"/>
        </w:rPr>
      </w:pPr>
    </w:p>
    <w:p>
      <w:pPr>
        <w:pStyle w:val="21"/>
        <w:rPr>
          <w:rFonts w:hint="eastAsia" w:asciiTheme="minorEastAsia" w:hAnsiTheme="minorEastAsia"/>
          <w:color w:val="auto"/>
          <w:sz w:val="24"/>
          <w:szCs w:val="24"/>
          <w:highlight w:val="none"/>
        </w:rPr>
      </w:pPr>
    </w:p>
    <w:p>
      <w:pPr>
        <w:pStyle w:val="21"/>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适用于纸质评审的采购项目</w:t>
      </w:r>
      <w:bookmarkStart w:id="13" w:name="_Toc10891"/>
      <w:bookmarkStart w:id="14" w:name="_Toc2324"/>
      <w:bookmarkStart w:id="15" w:name="_Toc23749"/>
      <w:bookmarkStart w:id="16" w:name="_Toc7340"/>
      <w:bookmarkStart w:id="17" w:name="_Toc25603"/>
      <w:bookmarkStart w:id="18" w:name="_Toc2331"/>
      <w:bookmarkStart w:id="19" w:name="_Toc16705"/>
      <w:bookmarkStart w:id="20" w:name="_Toc16557"/>
      <w:bookmarkStart w:id="21" w:name="_Toc32588"/>
      <w:bookmarkStart w:id="22" w:name="_Toc9448"/>
      <w:bookmarkStart w:id="23" w:name="_Toc19295"/>
    </w:p>
    <w:p>
      <w:pPr>
        <w:pStyle w:val="21"/>
        <w:ind w:left="0" w:leftChars="0" w:firstLine="0" w:firstLineChars="0"/>
        <w:rPr>
          <w:color w:val="auto"/>
          <w:highlight w:val="none"/>
        </w:rPr>
      </w:pPr>
    </w:p>
    <w:p>
      <w:pPr>
        <w:pStyle w:val="21"/>
        <w:rPr>
          <w:color w:val="auto"/>
          <w:highlight w:val="none"/>
        </w:rPr>
      </w:pPr>
    </w:p>
    <w:p>
      <w:pPr>
        <w:pStyle w:val="21"/>
        <w:ind w:left="0" w:leftChars="0" w:firstLine="0" w:firstLineChars="0"/>
        <w:rPr>
          <w:color w:val="auto"/>
          <w:highlight w:val="none"/>
        </w:rPr>
      </w:pPr>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2306320</wp:posOffset>
                </wp:positionH>
                <wp:positionV relativeFrom="paragraph">
                  <wp:posOffset>520700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1.6pt;margin-top:41pt;height:0pt;width:75.5pt;z-index:251673600;mso-width-relative:page;mso-height-relative:page;" filled="f" stroked="t" coordsize="21600,21600" o:gfxdata="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nPOXNg6cbv&#10;Pn//9enL7deftz++sck8a9QHrCl05TbxtMOwiZnwoY02/4kKOxRdj2dd1SExQYcvZ/P5jBQX967q&#10;IS9ETK+VtywbDccUQe+6tPLO0eX5OCmywv4NJqpMifcJuahxrM/w0xmBAw1jS0NApg1ECN2u5KI3&#10;Wl5rY3IGxt12ZSLbQx6I8mV+hPtXWC6yBuyGuOIaRqVTIF85ydIxkFKOXgjPLVglOTOKHlS2CBDq&#10;BNpcEkmljaMOssSDqNnaenksWpdzuvzS42lQ83T9uS/ZD49z+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4fP3d1gAAAAkBAAAPAAAAAAAAAAEAIAAAACIAAABkcnMvZG93bnJldi54bWxQSwECFAAU&#10;AAAACACHTuJAl6dV2v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2307590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1.7pt;margin-top:8.5pt;height:0pt;width:75.5pt;z-index:251672576;mso-width-relative:page;mso-height-relative:page;" filled="f" stroked="t" coordsize="21600,21600" o:gfxdata="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QrLzY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3"/>
        <w:rPr>
          <w:rFonts w:asciiTheme="minorEastAsia" w:hAnsiTheme="minorEastAsia"/>
          <w:b/>
          <w:color w:val="auto"/>
          <w:sz w:val="32"/>
          <w:szCs w:val="32"/>
          <w:highlight w:val="none"/>
        </w:rPr>
      </w:pPr>
    </w:p>
    <w:p>
      <w:pPr>
        <w:pStyle w:val="3"/>
        <w:rPr>
          <w:rFonts w:asciiTheme="minorEastAsia" w:hAnsiTheme="minorEastAsia"/>
          <w:b/>
          <w:color w:val="auto"/>
          <w:sz w:val="32"/>
          <w:szCs w:val="32"/>
          <w:highlight w:val="none"/>
        </w:rPr>
      </w:pPr>
    </w:p>
    <w:p>
      <w:pPr>
        <w:pStyle w:val="3"/>
        <w:rPr>
          <w:rFonts w:asciiTheme="minorEastAsia" w:hAnsiTheme="minorEastAsia"/>
          <w:b/>
          <w:color w:val="auto"/>
          <w:sz w:val="32"/>
          <w:szCs w:val="32"/>
          <w:highlight w:val="none"/>
        </w:rPr>
      </w:pPr>
    </w:p>
    <w:p>
      <w:pPr>
        <w:pStyle w:val="3"/>
        <w:rPr>
          <w:rFonts w:asciiTheme="minorEastAsia" w:hAnsiTheme="minorEastAsia"/>
          <w:b/>
          <w:color w:val="auto"/>
          <w:sz w:val="32"/>
          <w:szCs w:val="32"/>
          <w:highlight w:val="none"/>
        </w:rPr>
      </w:pPr>
    </w:p>
    <w:p>
      <w:pPr>
        <w:pStyle w:val="3"/>
        <w:rPr>
          <w:rFonts w:asciiTheme="minorEastAsia" w:hAnsiTheme="minorEastAsia"/>
          <w:b/>
          <w:color w:val="auto"/>
          <w:sz w:val="32"/>
          <w:szCs w:val="32"/>
          <w:highlight w:val="none"/>
        </w:rPr>
      </w:pPr>
    </w:p>
    <w:p>
      <w:pPr>
        <w:pStyle w:val="3"/>
        <w:rPr>
          <w:rFonts w:asciiTheme="minorEastAsia" w:hAnsiTheme="minorEastAsia"/>
          <w:b/>
          <w:color w:val="auto"/>
          <w:sz w:val="32"/>
          <w:szCs w:val="32"/>
          <w:highlight w:val="none"/>
        </w:rPr>
      </w:pPr>
    </w:p>
    <w:p>
      <w:pPr>
        <w:pStyle w:val="3"/>
        <w:rPr>
          <w:rFonts w:asciiTheme="minorEastAsia" w:hAnsiTheme="minorEastAsia"/>
          <w:b/>
          <w:color w:val="auto"/>
          <w:sz w:val="32"/>
          <w:szCs w:val="32"/>
          <w:highlight w:val="none"/>
        </w:rPr>
      </w:pPr>
    </w:p>
    <w:p>
      <w:pPr>
        <w:pStyle w:val="3"/>
        <w:rPr>
          <w:rFonts w:asciiTheme="minorEastAsia" w:hAnsiTheme="minorEastAsia"/>
          <w:b/>
          <w:color w:val="auto"/>
          <w:sz w:val="32"/>
          <w:szCs w:val="32"/>
          <w:highlight w:val="none"/>
        </w:rPr>
      </w:pPr>
    </w:p>
    <w:p>
      <w:pPr>
        <w:numPr>
          <w:ilvl w:val="0"/>
          <w:numId w:val="3"/>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1"/>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9"/>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9"/>
        <w:rPr>
          <w:rFonts w:hint="eastAsia"/>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9"/>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3"/>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9"/>
        <w:rPr>
          <w:color w:val="auto"/>
          <w:highlight w:val="none"/>
        </w:rPr>
      </w:pPr>
    </w:p>
    <w:p>
      <w:pPr>
        <w:pStyle w:val="39"/>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ind w:left="0" w:leftChars="0" w:firstLine="0" w:firstLineChars="0"/>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p>
    <w:p>
      <w:pPr>
        <w:pStyle w:val="5"/>
        <w:rPr>
          <w:rFonts w:hint="eastAsia" w:asciiTheme="minorHAnsi" w:hAnsiTheme="minorHAnsi" w:cstheme="minorBidi"/>
          <w:color w:val="auto"/>
          <w:kern w:val="44"/>
          <w:sz w:val="44"/>
          <w:szCs w:val="44"/>
          <w:highlight w:val="none"/>
        </w:rPr>
      </w:pPr>
    </w:p>
    <w:p>
      <w:pPr>
        <w:pStyle w:val="5"/>
        <w:rPr>
          <w:rFonts w:asciiTheme="minorHAnsi" w:hAnsiTheme="minorHAnsi" w:cstheme="minorBidi"/>
          <w:color w:val="auto"/>
          <w:kern w:val="44"/>
          <w:sz w:val="44"/>
          <w:szCs w:val="44"/>
          <w:highlight w:val="none"/>
        </w:rPr>
      </w:pP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2331085</wp:posOffset>
                </wp:positionH>
                <wp:positionV relativeFrom="paragraph">
                  <wp:posOffset>485775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3.55pt;margin-top:38.25pt;height:0pt;width:75.5pt;z-index:251661312;mso-width-relative:page;mso-height-relative:page;" filled="f" stroked="t" coordsize="21600,21600" o:gfxdata="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OJqapt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2325370</wp:posOffset>
                </wp:positionH>
                <wp:positionV relativeFrom="paragraph">
                  <wp:posOffset>80645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6.35pt;height:0pt;width:75.5pt;z-index:251660288;mso-width-relative:page;mso-height-relative:page;" filled="f" stroked="t" coordsize="21600,21600" o:gfxdata="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t0xCd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9"/>
        <w:rPr>
          <w:color w:val="auto"/>
          <w:highlight w:val="none"/>
        </w:rPr>
      </w:pPr>
    </w:p>
    <w:p>
      <w:pPr>
        <w:pStyle w:val="5"/>
        <w:rPr>
          <w:color w:val="auto"/>
          <w:highlight w:val="none"/>
        </w:rPr>
      </w:pPr>
      <w:bookmarkStart w:id="28" w:name="_Toc7303"/>
      <w:bookmarkStart w:id="29" w:name="_Toc7040"/>
      <w:bookmarkStart w:id="30" w:name="_Toc88209934"/>
      <w:bookmarkStart w:id="31" w:name="_Toc87616371"/>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5"/>
        <w:jc w:val="both"/>
        <w:rPr>
          <w:rFonts w:hint="eastAsia"/>
          <w:color w:val="auto"/>
          <w:highlight w:val="none"/>
        </w:rPr>
      </w:pPr>
      <w:bookmarkStart w:id="32" w:name="_Toc3789"/>
      <w:bookmarkStart w:id="33" w:name="_Toc24895"/>
    </w:p>
    <w:p>
      <w:pPr>
        <w:rPr>
          <w:rFonts w:hint="eastAsia"/>
          <w:color w:val="auto"/>
          <w:highlight w:val="none"/>
        </w:rPr>
      </w:pPr>
    </w:p>
    <w:p>
      <w:pPr>
        <w:pStyle w:val="21"/>
        <w:rPr>
          <w:rFonts w:hint="eastAsia"/>
          <w:color w:val="auto"/>
          <w:highlight w:val="none"/>
        </w:rPr>
      </w:pPr>
    </w:p>
    <w:p>
      <w:pPr>
        <w:pStyle w:val="5"/>
        <w:jc w:val="both"/>
        <w:rPr>
          <w:rFonts w:hint="eastAsia"/>
          <w:color w:val="auto"/>
          <w:highlight w:val="none"/>
        </w:rPr>
      </w:pPr>
    </w:p>
    <w:p>
      <w:pPr>
        <w:rPr>
          <w:rFonts w:hint="eastAsia"/>
        </w:rPr>
      </w:pPr>
    </w:p>
    <w:p>
      <w:pPr>
        <w:pStyle w:val="2"/>
        <w:rPr>
          <w:rFonts w:hint="eastAsia"/>
        </w:rPr>
      </w:pPr>
    </w:p>
    <w:p>
      <w:pPr>
        <w:pStyle w:val="3"/>
        <w:rPr>
          <w:rFonts w:hint="eastAsia"/>
        </w:rPr>
      </w:pPr>
    </w:p>
    <w:p>
      <w:pPr>
        <w:pStyle w:val="5"/>
        <w:jc w:val="both"/>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0930"/>
      <w:bookmarkStart w:id="35" w:name="_Toc19759"/>
      <w:bookmarkStart w:id="36" w:name="_Toc7437"/>
      <w:bookmarkStart w:id="37" w:name="_Toc4952"/>
      <w:bookmarkStart w:id="38" w:name="_Toc23581"/>
      <w:bookmarkStart w:id="39" w:name="_Toc7118"/>
      <w:bookmarkStart w:id="40" w:name="_Toc19050"/>
      <w:bookmarkStart w:id="41" w:name="_Toc14870"/>
      <w:bookmarkStart w:id="42" w:name="_Toc14552"/>
      <w:bookmarkStart w:id="43" w:name="_Toc3156"/>
      <w:bookmarkStart w:id="44" w:name="_Toc20594"/>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p>
    <w:p>
      <w:pPr>
        <w:pStyle w:val="39"/>
        <w:rPr>
          <w:color w:val="auto"/>
          <w:highlight w:val="none"/>
        </w:rPr>
      </w:pPr>
    </w:p>
    <w:p>
      <w:pPr>
        <w:pStyle w:val="4"/>
        <w:rPr>
          <w:color w:val="auto"/>
          <w:highlight w:val="none"/>
        </w:rPr>
      </w:pPr>
      <w:bookmarkStart w:id="45" w:name="_Toc7831"/>
      <w:bookmarkStart w:id="46" w:name="_Toc13898"/>
      <w:bookmarkStart w:id="47" w:name="_Toc88209941"/>
      <w:bookmarkStart w:id="48" w:name="_Toc32607"/>
      <w:bookmarkStart w:id="49" w:name="_Toc12177"/>
      <w:bookmarkStart w:id="50" w:name="_Toc87616378"/>
      <w:bookmarkStart w:id="51" w:name="_Toc30530"/>
      <w:bookmarkStart w:id="52" w:name="_Toc6308"/>
      <w:bookmarkStart w:id="53" w:name="_Toc21079"/>
      <w:bookmarkStart w:id="54" w:name="_Toc21840"/>
      <w:bookmarkStart w:id="55" w:name="_Toc22212"/>
      <w:bookmarkStart w:id="56" w:name="_Toc29484"/>
      <w:bookmarkStart w:id="57" w:name="_Toc29345"/>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1"/>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3"/>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5"/>
        <w:rPr>
          <w:b/>
          <w:color w:val="auto"/>
          <w:szCs w:val="36"/>
          <w:highlight w:val="none"/>
        </w:rPr>
      </w:pPr>
      <w:r>
        <w:rPr>
          <w:rFonts w:ascii="Wingdings 2" w:hAnsi="Wingdings 2" w:eastAsia="仿宋_GB2312"/>
          <w:color w:val="auto"/>
          <w:sz w:val="24"/>
          <w:szCs w:val="24"/>
          <w:highlight w:val="none"/>
        </w:rPr>
        <w:sym w:font="Wingdings 2" w:char="0052"/>
      </w:r>
      <w:r>
        <w:rPr>
          <w:rFonts w:hint="eastAsia" w:ascii="方正小标宋简体"/>
          <w:b/>
          <w:color w:val="auto"/>
          <w:highlight w:val="none"/>
        </w:rPr>
        <w:t>经评审的最低价法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48"/>
        <w:gridCol w:w="2112"/>
        <w:gridCol w:w="548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4"/>
        <w:rPr>
          <w:color w:val="auto"/>
          <w:highlight w:val="none"/>
        </w:rPr>
      </w:pPr>
      <w:bookmarkStart w:id="58"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21"/>
        <w:rPr>
          <w:rFonts w:hint="eastAsia"/>
          <w:color w:val="auto"/>
          <w:szCs w:val="44"/>
          <w:highlight w:val="none"/>
        </w:rPr>
      </w:pPr>
    </w:p>
    <w:p>
      <w:pPr>
        <w:pStyle w:val="11"/>
        <w:autoSpaceDE w:val="0"/>
        <w:adjustRightInd w:val="0"/>
        <w:snapToGrid w:val="0"/>
        <w:spacing w:line="500" w:lineRule="exact"/>
        <w:rPr>
          <w:rFonts w:ascii="仿宋" w:hAnsi="仿宋" w:eastAsia="仿宋" w:cs="仿宋_GB2312"/>
          <w:color w:val="auto"/>
          <w:sz w:val="28"/>
          <w:szCs w:val="28"/>
          <w:highlight w:val="none"/>
        </w:rPr>
      </w:pPr>
      <w:r>
        <w:rPr>
          <w:rFonts w:hint="eastAsia" w:ascii="仿宋" w:hAnsi="仿宋" w:eastAsia="仿宋" w:cs="仿宋_GB2312"/>
          <w:b/>
          <w:color w:val="auto"/>
          <w:sz w:val="28"/>
          <w:szCs w:val="28"/>
          <w:highlight w:val="none"/>
        </w:rPr>
        <w:t>一、项目技术要求</w:t>
      </w:r>
      <w:r>
        <w:rPr>
          <w:rFonts w:hint="eastAsia" w:ascii="仿宋" w:hAnsi="仿宋" w:eastAsia="仿宋" w:cs="仿宋_GB2312"/>
          <w:b/>
          <w:color w:val="auto"/>
          <w:sz w:val="28"/>
          <w:szCs w:val="28"/>
          <w:highlight w:val="none"/>
        </w:rPr>
        <w:tab/>
      </w:r>
    </w:p>
    <w:p>
      <w:pPr>
        <w:autoSpaceDE w:val="0"/>
        <w:spacing w:line="500" w:lineRule="exact"/>
        <w:ind w:firstLine="560" w:firstLineChars="200"/>
        <w:rPr>
          <w:rFonts w:hint="eastAsia" w:ascii="Times New Roman" w:hAnsi="Times New Roman" w:eastAsia="仿宋_GB2312" w:cs="Times New Roman"/>
          <w:color w:val="auto"/>
          <w:sz w:val="28"/>
          <w:szCs w:val="28"/>
          <w:highlight w:val="none"/>
        </w:rPr>
      </w:pPr>
      <w:r>
        <w:rPr>
          <w:rFonts w:ascii="仿宋_GB2312" w:hAnsi="Times New Roman" w:eastAsia="仿宋_GB2312"/>
          <w:color w:val="auto"/>
          <w:sz w:val="28"/>
          <w:szCs w:val="28"/>
          <w:highlight w:val="none"/>
        </w:rPr>
        <w:t>本合同的工作范围应包括提供所有需要的材料、机械、劳力、以及其他设施、完成合同文件里规定的工作和服务，并达到预期的目标。报价人向询价人承诺按照合同约定进行施工、竣工并在质量保修期内承担工程质量保修责任。</w:t>
      </w:r>
    </w:p>
    <w:p>
      <w:pPr>
        <w:numPr>
          <w:ilvl w:val="0"/>
          <w:numId w:val="0"/>
        </w:numPr>
        <w:spacing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本次施工</w:t>
      </w:r>
      <w:r>
        <w:rPr>
          <w:rFonts w:hint="eastAsia" w:ascii="仿宋_GB2312" w:eastAsia="仿宋_GB2312"/>
          <w:color w:val="auto"/>
          <w:sz w:val="28"/>
          <w:szCs w:val="28"/>
          <w:highlight w:val="none"/>
        </w:rPr>
        <w:t>内容</w:t>
      </w:r>
      <w:r>
        <w:rPr>
          <w:rFonts w:hint="eastAsia" w:ascii="仿宋_GB2312" w:eastAsia="仿宋_GB2312"/>
          <w:color w:val="auto"/>
          <w:sz w:val="28"/>
          <w:szCs w:val="28"/>
          <w:highlight w:val="none"/>
          <w:lang w:val="en-US" w:eastAsia="zh-CN"/>
        </w:rPr>
        <w:t>为对三期围栏共1300米进行全面改造</w:t>
      </w:r>
    </w:p>
    <w:p>
      <w:pPr>
        <w:numPr>
          <w:ilvl w:val="0"/>
          <w:numId w:val="0"/>
        </w:numPr>
        <w:spacing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1.其中2014年至2017年四年期间更换的360米围栏（利用格栅机大修拆下的不锈钢格栅轴更换）只作表面翻新维护；</w:t>
      </w:r>
    </w:p>
    <w:p>
      <w:pPr>
        <w:numPr>
          <w:ilvl w:val="0"/>
          <w:numId w:val="0"/>
        </w:numPr>
        <w:spacing w:line="36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2.其余940米围栏杆中，利用格栅机大修拆下的不锈钢格栅轴更换改造共约600米；</w:t>
      </w:r>
    </w:p>
    <w:p>
      <w:pPr>
        <w:numPr>
          <w:ilvl w:val="0"/>
          <w:numId w:val="0"/>
        </w:numPr>
        <w:spacing w:line="360" w:lineRule="auto"/>
        <w:ind w:firstLine="560" w:firstLineChars="200"/>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3.余下围栏杆约340米，选用材质锌钢，厚度2.5mm，高度1.5m。</w:t>
      </w:r>
    </w:p>
    <w:p>
      <w:pPr>
        <w:numPr>
          <w:ilvl w:val="0"/>
          <w:numId w:val="0"/>
        </w:numPr>
        <w:spacing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4.全部立柱及围栏混凝土基础翻新瓷砖，部分立柱加高；</w:t>
      </w:r>
    </w:p>
    <w:p>
      <w:pPr>
        <w:numPr>
          <w:ilvl w:val="0"/>
          <w:numId w:val="0"/>
        </w:numPr>
        <w:spacing w:line="360" w:lineRule="auto"/>
        <w:ind w:firstLine="560" w:firstLineChars="200"/>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5.铲除原有围栏内勒杜鹃1300米及恢复种植。补充草坪。</w:t>
      </w:r>
    </w:p>
    <w:p>
      <w:pPr>
        <w:numPr>
          <w:ilvl w:val="0"/>
          <w:numId w:val="0"/>
        </w:numPr>
        <w:spacing w:line="360" w:lineRule="auto"/>
        <w:ind w:firstLine="560" w:firstLineChars="200"/>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6.上述因施工产生的泥土砂石植物等需施工单位运走。</w:t>
      </w:r>
    </w:p>
    <w:p>
      <w:pPr>
        <w:numPr>
          <w:ilvl w:val="0"/>
          <w:numId w:val="0"/>
        </w:numPr>
        <w:spacing w:line="360" w:lineRule="auto"/>
        <w:ind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7.为规范档案室管理，分公司三期办公楼四楼档案室需加装视频监控、原木门及不锈钢门更换成甲级防火门。</w:t>
      </w:r>
    </w:p>
    <w:p>
      <w:pPr>
        <w:pStyle w:val="29"/>
        <w:ind w:firstLine="560"/>
        <w:rPr>
          <w:rFonts w:hint="eastAsia" w:ascii="仿宋_GB2312" w:hAnsi="宋体" w:eastAsia="仿宋_GB2312" w:cs="Times New Roman"/>
          <w:color w:val="auto"/>
          <w:szCs w:val="28"/>
          <w:highlight w:val="none"/>
        </w:rPr>
      </w:pPr>
    </w:p>
    <w:p>
      <w:pPr>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项目服务内容如下：</w:t>
      </w:r>
    </w:p>
    <w:p>
      <w:pPr>
        <w:pStyle w:val="29"/>
        <w:rPr>
          <w:rFonts w:hint="eastAsia" w:asciiTheme="minorHAnsi" w:hAnsiTheme="minorHAnsi" w:eastAsiaTheme="minorEastAsia" w:cstheme="minorBidi"/>
          <w:kern w:val="2"/>
          <w:sz w:val="21"/>
          <w:szCs w:val="22"/>
          <w:lang w:val="en-US" w:eastAsia="zh-CN" w:bidi="ar-SA"/>
        </w:rPr>
      </w:pPr>
      <w:r>
        <w:rPr>
          <w:rFonts w:hint="eastAsia" w:ascii="仿宋_GB2312" w:eastAsia="仿宋_GB2312"/>
          <w:color w:val="auto"/>
          <w:szCs w:val="28"/>
          <w:highlight w:val="none"/>
        </w:rPr>
        <w:t xml:space="preserve"> </w:t>
      </w:r>
      <w:bookmarkEnd w:id="58"/>
      <w:r>
        <w:rPr>
          <w:rFonts w:hint="eastAsia" w:ascii="仿宋_GB2312" w:eastAsia="仿宋_GB2312"/>
          <w:szCs w:val="28"/>
        </w:rPr>
        <w:t xml:space="preserve"> </w:t>
      </w:r>
      <w:r>
        <w:rPr>
          <w:rFonts w:hint="eastAsia" w:asciiTheme="minorHAnsi" w:hAnsiTheme="minorHAnsi" w:eastAsiaTheme="minorEastAsia" w:cstheme="minorBidi"/>
          <w:kern w:val="2"/>
          <w:sz w:val="21"/>
          <w:szCs w:val="22"/>
          <w:lang w:val="en-US" w:eastAsia="zh-CN" w:bidi="ar-SA"/>
        </w:rPr>
        <w:t>大坦沙分公司三期厂区围墙护栏改造建筑工程部分</w:t>
      </w:r>
    </w:p>
    <w:tbl>
      <w:tblPr>
        <w:tblStyle w:val="22"/>
        <w:tblW w:w="82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3"/>
        <w:gridCol w:w="1680"/>
        <w:gridCol w:w="1392"/>
        <w:gridCol w:w="2877"/>
        <w:gridCol w:w="2"/>
        <w:gridCol w:w="542"/>
        <w:gridCol w:w="2"/>
        <w:gridCol w:w="942"/>
        <w:gridCol w:w="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360" w:hRule="atLeast"/>
        </w:trPr>
        <w:tc>
          <w:tcPr>
            <w:tcW w:w="783"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91"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78"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4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44"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60" w:hRule="atLeast"/>
        </w:trPr>
        <w:tc>
          <w:tcPr>
            <w:tcW w:w="78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9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4" w:type="dxa"/>
          <w:trHeight w:val="360" w:hRule="atLeast"/>
        </w:trPr>
        <w:tc>
          <w:tcPr>
            <w:tcW w:w="783"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91"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78"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4"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60" w:hRule="atLeast"/>
        </w:trPr>
        <w:tc>
          <w:tcPr>
            <w:tcW w:w="7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拆除工程</w:t>
            </w:r>
          </w:p>
        </w:tc>
        <w:tc>
          <w:tcPr>
            <w:tcW w:w="28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825" w:hRule="atLeast"/>
        </w:trPr>
        <w:tc>
          <w:tcPr>
            <w:tcW w:w="7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011610001001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金属门窗拆除</w:t>
            </w:r>
          </w:p>
        </w:tc>
        <w:tc>
          <w:tcPr>
            <w:tcW w:w="28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1.金属门拆除 4m2以内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2.拆除废料外运 人工装自卸汽车运 20km</w:t>
            </w: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 w:type="dxa"/>
          <w:trHeight w:val="825" w:hRule="atLeast"/>
        </w:trPr>
        <w:tc>
          <w:tcPr>
            <w:tcW w:w="7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011610001005</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木门窗拆除</w:t>
            </w:r>
          </w:p>
        </w:tc>
        <w:tc>
          <w:tcPr>
            <w:tcW w:w="28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1.木门拆除 4m2以内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2.拆除废料外运 人工装自卸汽车运 20km</w:t>
            </w: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825" w:hRule="atLeast"/>
        </w:trPr>
        <w:tc>
          <w:tcPr>
            <w:tcW w:w="7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011609001001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栏杆、栏板拆除</w:t>
            </w:r>
          </w:p>
        </w:tc>
        <w:tc>
          <w:tcPr>
            <w:tcW w:w="28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1.栏杆、栏板拆除 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2.拆除废料外运 人工装自卸汽车运 20km</w:t>
            </w: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60" w:hRule="atLeast"/>
        </w:trPr>
        <w:tc>
          <w:tcPr>
            <w:tcW w:w="7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拆除工程合计</w:t>
            </w:r>
          </w:p>
        </w:tc>
        <w:tc>
          <w:tcPr>
            <w:tcW w:w="28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4" w:type="dxa"/>
          <w:trHeight w:val="360" w:hRule="atLeast"/>
        </w:trPr>
        <w:tc>
          <w:tcPr>
            <w:tcW w:w="7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砌筑工程</w:t>
            </w:r>
          </w:p>
        </w:tc>
        <w:tc>
          <w:tcPr>
            <w:tcW w:w="28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1335" w:hRule="atLeast"/>
        </w:trPr>
        <w:tc>
          <w:tcPr>
            <w:tcW w:w="7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010402001004</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砌块墙</w:t>
            </w:r>
          </w:p>
        </w:tc>
        <w:tc>
          <w:tcPr>
            <w:tcW w:w="28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1.砌块品种、规格、强度等级: MU25灰砂砖砌体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3.砂浆强度等级:湿拌砌筑砂浆M5.0</w:t>
            </w: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60" w:hRule="atLeast"/>
        </w:trPr>
        <w:tc>
          <w:tcPr>
            <w:tcW w:w="7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砌筑工程合计</w:t>
            </w:r>
          </w:p>
        </w:tc>
        <w:tc>
          <w:tcPr>
            <w:tcW w:w="28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7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钢筋混凝土工程</w:t>
            </w:r>
          </w:p>
        </w:tc>
        <w:tc>
          <w:tcPr>
            <w:tcW w:w="28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4" w:type="dxa"/>
          <w:trHeight w:val="570" w:hRule="atLeast"/>
        </w:trPr>
        <w:tc>
          <w:tcPr>
            <w:tcW w:w="7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010502002001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构造柱</w:t>
            </w:r>
          </w:p>
        </w:tc>
        <w:tc>
          <w:tcPr>
            <w:tcW w:w="28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1.混凝土种类:预拌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2.混凝土强度等级:C30</w:t>
            </w: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7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010514002001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其他构件</w:t>
            </w:r>
          </w:p>
        </w:tc>
        <w:tc>
          <w:tcPr>
            <w:tcW w:w="28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1.构件的类型:小型构件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2.混凝土强度等级:C30</w:t>
            </w: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7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010515001001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8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1.钢筋种类、规格:带肋钢筋 φ25以内</w:t>
            </w: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7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010515001002</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28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1.钢筋种类、规格:带肋钢筋(HRB400内) φ10以内</w:t>
            </w: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7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钢筋混凝土工程合计</w:t>
            </w:r>
          </w:p>
        </w:tc>
        <w:tc>
          <w:tcPr>
            <w:tcW w:w="28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60" w:hRule="atLeast"/>
        </w:trPr>
        <w:tc>
          <w:tcPr>
            <w:tcW w:w="7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门窗工程</w:t>
            </w:r>
          </w:p>
        </w:tc>
        <w:tc>
          <w:tcPr>
            <w:tcW w:w="28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1080" w:hRule="atLeast"/>
        </w:trPr>
        <w:tc>
          <w:tcPr>
            <w:tcW w:w="7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010802003001</w:t>
            </w: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钢质防火门</w:t>
            </w:r>
          </w:p>
        </w:tc>
        <w:tc>
          <w:tcPr>
            <w:tcW w:w="28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1.门代号及洞口尺寸:FMJ01 1100*2100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2.门框、扇材质:钢质防火门 单扇(甲级)</w:t>
            </w: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360" w:hRule="atLeast"/>
        </w:trPr>
        <w:tc>
          <w:tcPr>
            <w:tcW w:w="7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门窗工程合计</w:t>
            </w:r>
          </w:p>
        </w:tc>
        <w:tc>
          <w:tcPr>
            <w:tcW w:w="28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 w:type="dxa"/>
          <w:trHeight w:val="570" w:hRule="atLeast"/>
        </w:trPr>
        <w:tc>
          <w:tcPr>
            <w:tcW w:w="783"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1"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墙、柱面装饰及隔断工程</w:t>
            </w:r>
          </w:p>
        </w:tc>
        <w:tc>
          <w:tcPr>
            <w:tcW w:w="2878"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011201001004</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2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1.墙体类型:外墙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2.底层厚度、砂浆配合比:15厚1:3水泥砂浆</w:t>
            </w: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35"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011204003005</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块料墙面</w:t>
            </w:r>
          </w:p>
        </w:tc>
        <w:tc>
          <w:tcPr>
            <w:tcW w:w="2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1.10厚外墙面砖,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2.1:1水泥砂浆勾缝或水泥砂浆擦缝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3.4~5厚1:1水泥砂浆加水重20%白乳胶镶贴</w:t>
            </w: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825"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墙、柱面装饰及隔断工程合计</w:t>
            </w:r>
          </w:p>
        </w:tc>
        <w:tc>
          <w:tcPr>
            <w:tcW w:w="2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其它装饰工程</w:t>
            </w:r>
          </w:p>
        </w:tc>
        <w:tc>
          <w:tcPr>
            <w:tcW w:w="2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011503001001</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金属扶手、栏杆、栏板</w:t>
            </w:r>
          </w:p>
        </w:tc>
        <w:tc>
          <w:tcPr>
            <w:tcW w:w="2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1.不锈钢栏杆制安 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2.其它详见图纸</w:t>
            </w: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011503001002</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金属扶手、栏杆、栏板</w:t>
            </w:r>
          </w:p>
        </w:tc>
        <w:tc>
          <w:tcPr>
            <w:tcW w:w="2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1.钢栏杆 制安 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2.其它详见图纸</w:t>
            </w: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011503001003</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w:t>
            </w:r>
          </w:p>
        </w:tc>
        <w:tc>
          <w:tcPr>
            <w:tcW w:w="2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1.原有不锈钢栏杆清洗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2.其它详见图纸</w:t>
            </w: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011503001004</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w:t>
            </w:r>
          </w:p>
        </w:tc>
        <w:tc>
          <w:tcPr>
            <w:tcW w:w="2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1.原有立柱清洗翻新,采用草酸清洗剂清洗两遍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2.其它详见图纸</w:t>
            </w: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011503001005</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清洗</w:t>
            </w:r>
          </w:p>
        </w:tc>
        <w:tc>
          <w:tcPr>
            <w:tcW w:w="2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1.原围墙混凝土基础面采用草酸清洗剂清洗两遍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2.其它详见图纸</w:t>
            </w: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其它装饰工程合计</w:t>
            </w:r>
          </w:p>
        </w:tc>
        <w:tc>
          <w:tcPr>
            <w:tcW w:w="2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粤011701012001</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活动脚手架</w:t>
            </w:r>
          </w:p>
        </w:tc>
        <w:tc>
          <w:tcPr>
            <w:tcW w:w="2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1.墙柱面活动脚手架</w:t>
            </w: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456.48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粤011701012002</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活动脚手架</w:t>
            </w:r>
          </w:p>
        </w:tc>
        <w:tc>
          <w:tcPr>
            <w:tcW w:w="2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1.天棚活动脚手架</w:t>
            </w: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011702020001</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其他板</w:t>
            </w:r>
          </w:p>
        </w:tc>
        <w:tc>
          <w:tcPr>
            <w:tcW w:w="2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1.预制混凝土构件模板制安</w:t>
            </w: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2880"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30"/>
        <w:rPr>
          <w:rFonts w:hint="eastAsia"/>
        </w:rPr>
      </w:pPr>
    </w:p>
    <w:p>
      <w:pPr>
        <w:pStyle w:val="29"/>
        <w:rPr>
          <w:rFonts w:hint="eastAsia"/>
        </w:rPr>
      </w:pPr>
      <w:r>
        <w:rPr>
          <w:rFonts w:hint="eastAsia" w:asciiTheme="minorHAnsi" w:hAnsiTheme="minorHAnsi" w:eastAsiaTheme="minorEastAsia" w:cstheme="minorBidi"/>
          <w:kern w:val="2"/>
          <w:sz w:val="21"/>
          <w:szCs w:val="22"/>
          <w:lang w:val="en-US" w:eastAsia="zh-CN" w:bidi="ar-SA"/>
        </w:rPr>
        <w:t>大坦沙分公司三期厂区围墙护栏改造安装工程部分</w:t>
      </w:r>
    </w:p>
    <w:tbl>
      <w:tblPr>
        <w:tblStyle w:val="22"/>
        <w:tblW w:w="82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4"/>
        <w:gridCol w:w="1680"/>
        <w:gridCol w:w="1391"/>
        <w:gridCol w:w="2878"/>
        <w:gridCol w:w="544"/>
        <w:gridCol w:w="9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030502005001</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1.名称:超六类网络线</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1.名称:镀锌电线管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3.规格:DN20mm</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030507008001</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1.名称:红外摄像机（IP数字系统 1080P,采用PoE供电）</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30"/>
        <w:rPr>
          <w:rFonts w:hint="default" w:eastAsiaTheme="minorEastAsia"/>
          <w:lang w:val="en-US" w:eastAsia="zh-CN"/>
        </w:rPr>
      </w:pPr>
      <w:r>
        <w:rPr>
          <w:rFonts w:hint="eastAsia" w:asciiTheme="minorHAnsi" w:hAnsiTheme="minorHAnsi" w:eastAsiaTheme="minorEastAsia" w:cstheme="minorBidi"/>
          <w:kern w:val="2"/>
          <w:sz w:val="21"/>
          <w:szCs w:val="22"/>
          <w:lang w:val="en-US" w:eastAsia="zh-CN" w:bidi="ar-SA"/>
        </w:rPr>
        <w:t>大坦沙分公司三期厂区围墙护栏改造</w:t>
      </w:r>
      <w:r>
        <w:rPr>
          <w:rFonts w:hint="eastAsia"/>
          <w:lang w:val="en-US" w:eastAsia="zh-CN"/>
        </w:rPr>
        <w:t>园林工程部分</w:t>
      </w:r>
    </w:p>
    <w:tbl>
      <w:tblPr>
        <w:tblStyle w:val="22"/>
        <w:tblW w:w="822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3"/>
        <w:gridCol w:w="1680"/>
        <w:gridCol w:w="1391"/>
        <w:gridCol w:w="2878"/>
        <w:gridCol w:w="544"/>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13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288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项目特征描述</w:t>
            </w:r>
          </w:p>
        </w:tc>
        <w:tc>
          <w:tcPr>
            <w:tcW w:w="5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计量单位</w:t>
            </w:r>
          </w:p>
        </w:tc>
        <w:tc>
          <w:tcPr>
            <w:tcW w:w="944"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 w:type="dxa"/>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392"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2880"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5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944" w:type="dxa"/>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050101006001</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清除草皮</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1.绿化地铲除杂草</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粤050101014001</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砍挖绿篱露地花卉</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1.铲除原有勒杜鹃花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2.砍挖绿篱露地花卉(高度cm) 150以内</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050101009001</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种植土回(换)填</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1.换耕植土 机械</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050102012001</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1.养护期:4周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2.草皮种类:庭院专用草皮</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5"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050102006001</w:t>
            </w: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栽植攀缘植物</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1.单位长度株数:8株/m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2.长度：1300m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3.养护期:4周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4.地径:高400mm，冠副200mm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5.植物种类:红花勒杜鹃</w:t>
            </w: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84"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0"/>
                <w:szCs w:val="20"/>
                <w:u w:val="none"/>
              </w:rPr>
            </w:pPr>
          </w:p>
        </w:tc>
        <w:tc>
          <w:tcPr>
            <w:tcW w:w="16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13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288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20"/>
                <w:szCs w:val="20"/>
                <w:u w:val="none"/>
              </w:rPr>
            </w:pPr>
          </w:p>
        </w:tc>
      </w:tr>
    </w:tbl>
    <w:p>
      <w:pPr>
        <w:pStyle w:val="30"/>
        <w:rPr>
          <w:rFonts w:hint="eastAsia"/>
        </w:rPr>
      </w:pPr>
    </w:p>
    <w:p>
      <w:pPr>
        <w:pStyle w:val="21"/>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21"/>
        <w:rPr>
          <w:rFonts w:ascii="仿宋_GB2312" w:eastAsia="仿宋_GB2312"/>
          <w:color w:val="auto"/>
          <w:sz w:val="28"/>
          <w:szCs w:val="28"/>
          <w:highlight w:val="none"/>
        </w:rPr>
      </w:pPr>
    </w:p>
    <w:p>
      <w:pPr>
        <w:pStyle w:val="4"/>
        <w:jc w:val="both"/>
        <w:rPr>
          <w:rFonts w:hint="eastAsia"/>
          <w:color w:val="auto"/>
          <w:highlight w:val="none"/>
        </w:rPr>
      </w:pPr>
      <w:bookmarkStart w:id="59" w:name="_Toc15570"/>
      <w:bookmarkStart w:id="60" w:name="_Toc23330"/>
      <w:bookmarkStart w:id="61" w:name="_Toc29835"/>
      <w:bookmarkStart w:id="62" w:name="_Toc4680"/>
      <w:bookmarkStart w:id="63" w:name="_Toc1284"/>
      <w:bookmarkStart w:id="64" w:name="_Toc18538"/>
      <w:bookmarkStart w:id="65" w:name="_Toc25925"/>
      <w:bookmarkStart w:id="66" w:name="_Toc1496"/>
      <w:bookmarkStart w:id="67" w:name="_Toc23353"/>
      <w:bookmarkStart w:id="68" w:name="_Toc12135"/>
      <w:bookmarkStart w:id="69" w:name="_Toc537"/>
    </w:p>
    <w:p>
      <w:pPr>
        <w:pStyle w:val="4"/>
        <w:rPr>
          <w:color w:val="auto"/>
          <w:highlight w:val="none"/>
        </w:rPr>
      </w:pP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2292985</wp:posOffset>
                </wp:positionH>
                <wp:positionV relativeFrom="paragraph">
                  <wp:posOffset>502920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0.55pt;margin-top:39.6pt;height:0pt;width:75.5pt;z-index:251665408;mso-width-relative:page;mso-height-relative:page;" filled="f" stroked="t" coordsize="21600,21600" o:gfxdata="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JpTVXWAAAACQEAAA8AAAAAAAAAAQAgAAAAIgAAAGRycy9kb3ducmV2LnhtbFBLAQIUABQA&#10;AAAIAIdO4kAkHaOg8gEAAOI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2298700</wp:posOffset>
                </wp:positionH>
                <wp:positionV relativeFrom="paragraph">
                  <wp:posOffset>107315</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1pt;margin-top:8.45pt;height:0pt;width:75.5pt;z-index:251664384;mso-width-relative:page;mso-height-relative:page;" filled="f" stroked="t" coordsize="21600,21600" o:gfxdata="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SnGaN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第六章</w:t>
      </w:r>
      <w:bookmarkEnd w:id="59"/>
      <w:bookmarkEnd w:id="60"/>
      <w:bookmarkEnd w:id="61"/>
      <w:bookmarkEnd w:id="62"/>
      <w:bookmarkEnd w:id="63"/>
      <w:bookmarkEnd w:id="64"/>
      <w:bookmarkEnd w:id="65"/>
      <w:bookmarkEnd w:id="66"/>
      <w:bookmarkEnd w:id="67"/>
      <w:bookmarkEnd w:id="68"/>
      <w:bookmarkEnd w:id="69"/>
    </w:p>
    <w:p>
      <w:pPr>
        <w:pStyle w:val="39"/>
        <w:rPr>
          <w:color w:val="auto"/>
          <w:highlight w:val="none"/>
        </w:rPr>
      </w:pPr>
    </w:p>
    <w:p>
      <w:pPr>
        <w:pStyle w:val="4"/>
        <w:rPr>
          <w:color w:val="auto"/>
          <w:highlight w:val="none"/>
        </w:rPr>
      </w:pPr>
      <w:bookmarkStart w:id="70" w:name="_Toc22797"/>
      <w:bookmarkStart w:id="71" w:name="_Toc1375"/>
      <w:bookmarkStart w:id="72" w:name="_Toc8183"/>
      <w:bookmarkStart w:id="73" w:name="_Toc19686"/>
      <w:bookmarkStart w:id="74" w:name="_Toc323"/>
      <w:bookmarkStart w:id="75" w:name="_Toc88209949"/>
      <w:bookmarkStart w:id="76" w:name="_Toc87616386"/>
      <w:bookmarkStart w:id="77" w:name="_Toc12980"/>
      <w:bookmarkStart w:id="78" w:name="_Toc13309"/>
      <w:bookmarkStart w:id="79" w:name="_Toc19088"/>
      <w:bookmarkStart w:id="80" w:name="_Toc12968"/>
      <w:bookmarkStart w:id="81" w:name="_Toc12721"/>
      <w:bookmarkStart w:id="82" w:name="_Toc22501"/>
      <w:r>
        <w:rPr>
          <w:rFonts w:hint="eastAsia"/>
          <w:color w:val="auto"/>
          <w:highlight w:val="none"/>
        </w:rPr>
        <w:t>合同</w:t>
      </w:r>
      <w:bookmarkEnd w:id="70"/>
      <w:bookmarkEnd w:id="71"/>
      <w:bookmarkEnd w:id="72"/>
      <w:bookmarkEnd w:id="73"/>
      <w:bookmarkEnd w:id="74"/>
      <w:bookmarkEnd w:id="75"/>
      <w:bookmarkEnd w:id="76"/>
      <w:bookmarkEnd w:id="77"/>
      <w:bookmarkEnd w:id="78"/>
      <w:bookmarkEnd w:id="79"/>
      <w:bookmarkEnd w:id="80"/>
      <w:bookmarkEnd w:id="81"/>
      <w:bookmarkEnd w:id="82"/>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spacing w:line="400" w:lineRule="atLeast"/>
        <w:jc w:val="center"/>
        <w:rPr>
          <w:rFonts w:ascii="宋体" w:hAnsi="宋体"/>
          <w:b/>
          <w:bCs/>
          <w:color w:val="auto"/>
          <w:sz w:val="48"/>
          <w:szCs w:val="48"/>
          <w:highlight w:val="none"/>
        </w:rPr>
      </w:pPr>
      <w:r>
        <w:rPr>
          <w:rFonts w:hint="eastAsia" w:ascii="宋体" w:hAnsi="宋体"/>
          <w:b/>
          <w:bCs/>
          <w:color w:val="auto"/>
          <w:sz w:val="48"/>
          <w:szCs w:val="48"/>
          <w:highlight w:val="none"/>
        </w:rPr>
        <w:t>广州市净水有限公司</w:t>
      </w:r>
    </w:p>
    <w:p>
      <w:pPr>
        <w:jc w:val="center"/>
        <w:rPr>
          <w:rFonts w:hint="eastAsia" w:ascii="宋体" w:hAnsi="宋体" w:eastAsia="宋体" w:cs="宋体"/>
          <w:b/>
          <w:bCs/>
          <w:color w:val="000000"/>
          <w:sz w:val="48"/>
          <w:szCs w:val="48"/>
          <w:highlight w:val="none"/>
          <w:lang w:val="en-GB"/>
        </w:rPr>
      </w:pPr>
      <w:r>
        <w:rPr>
          <w:rFonts w:hint="eastAsia" w:ascii="宋体" w:hAnsi="宋体" w:eastAsia="宋体" w:cs="宋体"/>
          <w:b/>
          <w:bCs/>
          <w:color w:val="000000"/>
          <w:sz w:val="48"/>
          <w:szCs w:val="48"/>
          <w:highlight w:val="none"/>
          <w:lang w:val="en-GB"/>
        </w:rPr>
        <w:t>广州市净水有限公司</w:t>
      </w:r>
    </w:p>
    <w:p>
      <w:pPr>
        <w:jc w:val="center"/>
        <w:rPr>
          <w:b/>
          <w:bCs/>
          <w:color w:val="000000"/>
          <w:sz w:val="48"/>
          <w:szCs w:val="48"/>
          <w:highlight w:val="none"/>
          <w:lang w:val="en-GB"/>
        </w:rPr>
      </w:pPr>
      <w:r>
        <w:rPr>
          <w:rFonts w:hint="eastAsia" w:ascii="宋体" w:hAnsi="宋体" w:eastAsia="宋体" w:cs="宋体"/>
          <w:b/>
          <w:bCs/>
          <w:color w:val="000000"/>
          <w:sz w:val="48"/>
          <w:szCs w:val="48"/>
          <w:highlight w:val="none"/>
          <w:lang w:val="en-GB"/>
        </w:rPr>
        <w:t>小型建设工程</w:t>
      </w:r>
      <w:r>
        <w:rPr>
          <w:rFonts w:hint="eastAsia" w:ascii="宋体" w:hAnsi="宋体" w:eastAsia="宋体" w:cs="宋体"/>
          <w:b/>
          <w:bCs/>
          <w:color w:val="000000"/>
          <w:sz w:val="48"/>
          <w:szCs w:val="48"/>
          <w:highlight w:val="none"/>
          <w:u w:val="single"/>
          <w:lang w:val="en-GB"/>
        </w:rPr>
        <w:t>施工/修缮</w:t>
      </w:r>
      <w:r>
        <w:rPr>
          <w:rFonts w:hint="eastAsia" w:ascii="宋体" w:hAnsi="宋体" w:eastAsia="宋体" w:cs="宋体"/>
          <w:b/>
          <w:bCs/>
          <w:color w:val="000000"/>
          <w:sz w:val="48"/>
          <w:szCs w:val="48"/>
          <w:highlight w:val="none"/>
          <w:lang w:val="en-GB"/>
        </w:rPr>
        <w:t>合同</w:t>
      </w:r>
    </w:p>
    <w:p>
      <w:pPr>
        <w:jc w:val="center"/>
        <w:rPr>
          <w:rFonts w:hint="eastAsia" w:ascii="宋体" w:hAnsi="宋体" w:eastAsia="宋体" w:cs="宋体"/>
          <w:color w:val="000000"/>
          <w:sz w:val="28"/>
          <w:szCs w:val="28"/>
          <w:highlight w:val="none"/>
        </w:rPr>
      </w:pPr>
      <w:r>
        <w:rPr>
          <w:rFonts w:hint="eastAsia" w:ascii="宋体" w:hAnsi="宋体" w:eastAsia="宋体"/>
          <w:bCs/>
          <w:color w:val="000000"/>
          <w:sz w:val="28"/>
          <w:szCs w:val="28"/>
          <w:highlight w:val="none"/>
          <w:lang w:val="en-GB"/>
        </w:rPr>
        <w:t>（示范文本）</w:t>
      </w:r>
    </w:p>
    <w:p>
      <w:pPr>
        <w:ind w:left="1449" w:leftChars="690" w:firstLine="4785" w:firstLineChars="1994"/>
        <w:rPr>
          <w:rFonts w:hint="eastAsia"/>
          <w:color w:val="000000"/>
          <w:sz w:val="24"/>
          <w:highlight w:val="none"/>
        </w:rPr>
      </w:pPr>
    </w:p>
    <w:p>
      <w:pPr>
        <w:ind w:left="1449" w:leftChars="690" w:firstLine="4785" w:firstLineChars="1994"/>
        <w:rPr>
          <w:rFonts w:hint="eastAsia"/>
          <w:color w:val="000000"/>
          <w:sz w:val="24"/>
          <w:highlight w:val="none"/>
        </w:rPr>
      </w:pPr>
    </w:p>
    <w:p>
      <w:pPr>
        <w:pStyle w:val="11"/>
        <w:snapToGrid w:val="0"/>
        <w:spacing w:line="400" w:lineRule="exact"/>
        <w:ind w:right="84" w:rightChars="40" w:firstLine="193" w:firstLineChars="80"/>
        <w:rPr>
          <w:rFonts w:hint="eastAsia" w:hAnsi="宋体" w:eastAsia="宋体"/>
          <w:b/>
          <w:color w:val="000000"/>
          <w:sz w:val="24"/>
          <w:highlight w:val="none"/>
        </w:rPr>
      </w:pPr>
    </w:p>
    <w:p>
      <w:pPr>
        <w:pStyle w:val="11"/>
        <w:snapToGrid w:val="0"/>
        <w:spacing w:line="400" w:lineRule="exact"/>
        <w:ind w:right="84" w:rightChars="40" w:firstLine="192" w:firstLineChars="80"/>
        <w:rPr>
          <w:rFonts w:hint="eastAsia" w:hAnsi="宋体" w:eastAsia="宋体"/>
          <w:bCs/>
          <w:color w:val="000000"/>
          <w:sz w:val="24"/>
          <w:highlight w:val="none"/>
        </w:rPr>
      </w:pPr>
    </w:p>
    <w:p>
      <w:pPr>
        <w:pStyle w:val="11"/>
        <w:snapToGrid w:val="0"/>
        <w:spacing w:line="400" w:lineRule="exact"/>
        <w:ind w:right="84" w:rightChars="40" w:firstLine="1569"/>
        <w:rPr>
          <w:rFonts w:hint="eastAsia" w:ascii="宋体" w:hAnsi="宋体" w:eastAsia="宋体" w:cs="宋体"/>
          <w:b/>
          <w:color w:val="000000"/>
          <w:sz w:val="30"/>
          <w:szCs w:val="30"/>
          <w:highlight w:val="none"/>
        </w:rPr>
      </w:pPr>
      <w:r>
        <w:rPr>
          <w:rFonts w:hint="eastAsia" w:hAnsi="宋体" w:eastAsia="宋体" w:cs="宋体"/>
          <w:b/>
          <w:color w:val="000000"/>
          <w:sz w:val="30"/>
          <w:szCs w:val="30"/>
          <w:highlight w:val="none"/>
        </w:rPr>
        <w:t>项目名称：</w:t>
      </w:r>
    </w:p>
    <w:p>
      <w:pPr>
        <w:pStyle w:val="11"/>
        <w:snapToGrid w:val="0"/>
        <w:ind w:right="84" w:rightChars="40"/>
        <w:rPr>
          <w:rFonts w:hint="eastAsia" w:hAnsi="宋体" w:eastAsia="宋体" w:cs="宋体"/>
          <w:b/>
          <w:color w:val="000000"/>
          <w:sz w:val="30"/>
          <w:szCs w:val="30"/>
          <w:highlight w:val="none"/>
        </w:rPr>
      </w:pPr>
    </w:p>
    <w:p>
      <w:pPr>
        <w:pStyle w:val="11"/>
        <w:snapToGrid w:val="0"/>
        <w:ind w:right="84" w:rightChars="40"/>
        <w:rPr>
          <w:rFonts w:hint="eastAsia" w:hAnsi="宋体" w:eastAsia="宋体" w:cs="宋体"/>
          <w:b/>
          <w:color w:val="000000"/>
          <w:sz w:val="30"/>
          <w:szCs w:val="30"/>
          <w:highlight w:val="none"/>
        </w:rPr>
      </w:pPr>
    </w:p>
    <w:p>
      <w:pPr>
        <w:pStyle w:val="11"/>
        <w:snapToGrid w:val="0"/>
        <w:ind w:right="84" w:rightChars="40"/>
        <w:rPr>
          <w:rFonts w:hint="eastAsia" w:hAnsi="宋体" w:eastAsia="宋体" w:cs="宋体"/>
          <w:b/>
          <w:color w:val="000000"/>
          <w:sz w:val="30"/>
          <w:szCs w:val="30"/>
          <w:highlight w:val="none"/>
        </w:rPr>
      </w:pPr>
    </w:p>
    <w:p>
      <w:pPr>
        <w:pStyle w:val="11"/>
        <w:snapToGrid w:val="0"/>
        <w:ind w:right="84" w:rightChars="40"/>
        <w:rPr>
          <w:rFonts w:hint="eastAsia" w:hAnsi="宋体" w:eastAsia="宋体" w:cs="宋体"/>
          <w:b/>
          <w:color w:val="000000"/>
          <w:sz w:val="30"/>
          <w:szCs w:val="30"/>
          <w:highlight w:val="none"/>
        </w:rPr>
      </w:pPr>
    </w:p>
    <w:p>
      <w:pPr>
        <w:pStyle w:val="11"/>
        <w:snapToGrid w:val="0"/>
        <w:ind w:right="84" w:rightChars="40" w:firstLine="1506" w:firstLineChars="500"/>
        <w:rPr>
          <w:rFonts w:hAnsi="宋体" w:eastAsia="宋体" w:cs="宋体"/>
          <w:b/>
          <w:color w:val="000000"/>
          <w:sz w:val="30"/>
          <w:szCs w:val="30"/>
          <w:highlight w:val="none"/>
        </w:rPr>
      </w:pPr>
      <w:r>
        <w:rPr>
          <w:rFonts w:hint="eastAsia" w:hAnsi="宋体" w:eastAsia="宋体" w:cs="宋体"/>
          <w:b/>
          <w:color w:val="000000"/>
          <w:sz w:val="30"/>
          <w:szCs w:val="30"/>
          <w:highlight w:val="none"/>
        </w:rPr>
        <w:t>合同编号：穗净水合[    ]    号</w:t>
      </w:r>
    </w:p>
    <w:p>
      <w:pPr>
        <w:pStyle w:val="11"/>
        <w:snapToGrid w:val="0"/>
        <w:spacing w:line="400" w:lineRule="exact"/>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项目编号：</w:t>
      </w:r>
    </w:p>
    <w:p>
      <w:pPr>
        <w:pStyle w:val="11"/>
        <w:snapToGrid w:val="0"/>
        <w:ind w:right="84" w:rightChars="40" w:firstLine="1569"/>
        <w:rPr>
          <w:rFonts w:hint="eastAsia" w:hAnsi="宋体" w:eastAsia="宋体" w:cs="宋体"/>
          <w:b/>
          <w:color w:val="000000"/>
          <w:sz w:val="30"/>
          <w:szCs w:val="30"/>
          <w:highlight w:val="none"/>
        </w:rPr>
      </w:pPr>
    </w:p>
    <w:p>
      <w:pPr>
        <w:pStyle w:val="11"/>
        <w:snapToGrid w:val="0"/>
        <w:ind w:right="84" w:rightChars="40" w:firstLine="1569"/>
        <w:rPr>
          <w:rFonts w:hint="eastAsia" w:hAnsi="宋体" w:eastAsia="宋体" w:cs="宋体"/>
          <w:b/>
          <w:color w:val="000000"/>
          <w:sz w:val="30"/>
          <w:szCs w:val="30"/>
          <w:highlight w:val="none"/>
        </w:rPr>
      </w:pPr>
    </w:p>
    <w:p>
      <w:pPr>
        <w:pStyle w:val="11"/>
        <w:snapToGrid w:val="0"/>
        <w:ind w:right="84" w:rightChars="40" w:firstLine="1569"/>
        <w:rPr>
          <w:rFonts w:hint="eastAsia" w:hAnsi="宋体" w:eastAsia="宋体" w:cs="宋体"/>
          <w:b/>
          <w:color w:val="000000"/>
          <w:sz w:val="30"/>
          <w:szCs w:val="30"/>
          <w:highlight w:val="none"/>
        </w:rPr>
      </w:pPr>
    </w:p>
    <w:p>
      <w:pPr>
        <w:pStyle w:val="11"/>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甲方：广州市净水有限公司</w:t>
      </w:r>
    </w:p>
    <w:p>
      <w:pPr>
        <w:pStyle w:val="11"/>
        <w:snapToGrid w:val="0"/>
        <w:ind w:right="84" w:rightChars="40" w:firstLine="1569" w:firstLineChars="521"/>
        <w:rPr>
          <w:rFonts w:hint="eastAsia" w:hAnsi="宋体" w:eastAsia="宋体" w:cs="宋体"/>
          <w:b/>
          <w:color w:val="000000"/>
          <w:sz w:val="30"/>
          <w:szCs w:val="30"/>
          <w:highlight w:val="none"/>
        </w:rPr>
      </w:pPr>
    </w:p>
    <w:p>
      <w:pPr>
        <w:pStyle w:val="11"/>
        <w:snapToGrid w:val="0"/>
        <w:ind w:right="84" w:rightChars="40" w:firstLine="1569"/>
        <w:rPr>
          <w:rFonts w:hint="eastAsia" w:hAnsi="宋体" w:eastAsia="宋体" w:cs="宋体"/>
          <w:b/>
          <w:color w:val="000000"/>
          <w:sz w:val="30"/>
          <w:szCs w:val="30"/>
          <w:highlight w:val="none"/>
        </w:rPr>
      </w:pPr>
    </w:p>
    <w:p>
      <w:pPr>
        <w:pStyle w:val="11"/>
        <w:snapToGrid w:val="0"/>
        <w:ind w:right="84" w:rightChars="40" w:firstLine="1569"/>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乙方：</w:t>
      </w:r>
    </w:p>
    <w:p>
      <w:pPr>
        <w:pStyle w:val="11"/>
        <w:snapToGrid w:val="0"/>
        <w:ind w:right="84" w:rightChars="40" w:firstLine="1569" w:firstLineChars="521"/>
        <w:rPr>
          <w:rFonts w:hint="eastAsia" w:hAnsi="宋体" w:eastAsia="宋体" w:cs="宋体"/>
          <w:b/>
          <w:color w:val="000000"/>
          <w:sz w:val="30"/>
          <w:szCs w:val="30"/>
          <w:highlight w:val="none"/>
        </w:rPr>
      </w:pPr>
      <w:r>
        <w:rPr>
          <w:rFonts w:hint="eastAsia" w:hAnsi="宋体" w:eastAsia="宋体" w:cs="宋体"/>
          <w:b/>
          <w:color w:val="000000"/>
          <w:sz w:val="30"/>
          <w:szCs w:val="30"/>
          <w:highlight w:val="none"/>
        </w:rPr>
        <w:t xml:space="preserve"> </w:t>
      </w:r>
    </w:p>
    <w:p>
      <w:pPr>
        <w:pStyle w:val="11"/>
        <w:snapToGrid w:val="0"/>
        <w:spacing w:line="400" w:lineRule="exact"/>
        <w:ind w:right="84" w:rightChars="40" w:firstLine="1569" w:firstLineChars="521"/>
        <w:rPr>
          <w:rFonts w:hint="eastAsia" w:hAnsi="宋体" w:eastAsia="宋体" w:cs="宋体"/>
          <w:b/>
          <w:color w:val="000000"/>
          <w:sz w:val="30"/>
          <w:szCs w:val="30"/>
          <w:highlight w:val="none"/>
        </w:rPr>
      </w:pPr>
    </w:p>
    <w:p>
      <w:pPr>
        <w:ind w:firstLine="1656"/>
        <w:rPr>
          <w:rFonts w:hint="eastAsia" w:ascii="宋体" w:hAnsi="宋体" w:eastAsia="宋体" w:cs="宋体"/>
          <w:b/>
          <w:color w:val="000000"/>
          <w:sz w:val="30"/>
          <w:szCs w:val="30"/>
          <w:highlight w:val="none"/>
        </w:rPr>
      </w:pPr>
      <w:r>
        <w:rPr>
          <w:rFonts w:hint="eastAsia" w:ascii="宋体" w:hAnsi="宋体" w:eastAsia="宋体" w:cs="宋体"/>
          <w:b/>
          <w:color w:val="000000"/>
          <w:sz w:val="30"/>
          <w:szCs w:val="30"/>
          <w:highlight w:val="none"/>
        </w:rPr>
        <w:t>签订日期：       年   月   日</w:t>
      </w:r>
    </w:p>
    <w:p>
      <w:pPr>
        <w:ind w:firstLine="1656" w:firstLineChars="550"/>
        <w:rPr>
          <w:rFonts w:hint="eastAsia" w:ascii="宋体" w:hAnsi="宋体" w:eastAsia="宋体" w:cs="宋体"/>
          <w:b/>
          <w:color w:val="000000"/>
          <w:sz w:val="30"/>
          <w:szCs w:val="30"/>
          <w:highlight w:val="none"/>
          <w:lang w:val="zh-CN"/>
        </w:rPr>
      </w:pPr>
      <w:r>
        <w:rPr>
          <w:rFonts w:hint="eastAsia" w:ascii="宋体" w:hAnsi="宋体" w:eastAsia="宋体" w:cs="宋体"/>
          <w:b/>
          <w:color w:val="000000"/>
          <w:sz w:val="30"/>
          <w:szCs w:val="30"/>
          <w:highlight w:val="none"/>
        </w:rPr>
        <w:t>签订地点：广州市</w:t>
      </w:r>
    </w:p>
    <w:p>
      <w:pPr>
        <w:pStyle w:val="63"/>
        <w:spacing w:line="500" w:lineRule="exact"/>
        <w:jc w:val="both"/>
        <w:rPr>
          <w:rFonts w:hint="eastAsia" w:ascii="宋体" w:hAnsi="宋体" w:eastAsia="宋体" w:cs="宋体"/>
          <w:b/>
          <w:color w:val="000000"/>
          <w:sz w:val="30"/>
          <w:szCs w:val="30"/>
          <w:highlight w:val="none"/>
          <w:lang w:val="zh-CN" w:eastAsia="zh-CN"/>
        </w:rPr>
        <w:sectPr>
          <w:headerReference r:id="rId6" w:type="default"/>
          <w:footerReference r:id="rId7" w:type="default"/>
          <w:footerReference r:id="rId8" w:type="even"/>
          <w:pgSz w:w="11906" w:h="16838"/>
          <w:pgMar w:top="1644" w:right="1588" w:bottom="1644" w:left="1588" w:header="851" w:footer="992" w:gutter="0"/>
          <w:pgNumType w:fmt="numberInDash"/>
          <w:cols w:space="720" w:num="1"/>
          <w:docGrid w:type="lines" w:linePitch="312" w:charSpace="0"/>
        </w:sectPr>
      </w:pPr>
    </w:p>
    <w:p>
      <w:pPr>
        <w:pStyle w:val="9"/>
        <w:keepNext w:val="0"/>
        <w:keepLines w:val="0"/>
        <w:pageBreakBefore w:val="0"/>
        <w:widowControl w:val="0"/>
        <w:kinsoku/>
        <w:wordWrap/>
        <w:overflowPunct/>
        <w:bidi w:val="0"/>
        <w:adjustRightInd w:val="0"/>
        <w:snapToGrid w:val="0"/>
        <w:spacing w:after="0" w:line="500" w:lineRule="exact"/>
        <w:ind w:left="0" w:leftChars="0" w:firstLine="720" w:firstLineChars="3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u w:val="single"/>
        </w:rPr>
        <w:t>广州市净水有限公司</w:t>
      </w:r>
      <w:r>
        <w:rPr>
          <w:rFonts w:hint="eastAsia" w:ascii="宋体" w:hAnsi="宋体" w:eastAsia="宋体" w:cs="宋体"/>
          <w:color w:val="000000"/>
          <w:sz w:val="24"/>
          <w:highlight w:val="none"/>
        </w:rPr>
        <w:t>（以下简称“甲方”）与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（以下简称“乙方”）依照《中华人民共和国建筑法》及其它有关法律、行政法规，就</w:t>
      </w:r>
      <w:r>
        <w:rPr>
          <w:rFonts w:hint="eastAsia" w:ascii="宋体" w:hAnsi="宋体" w:eastAsia="宋体" w:cs="宋体"/>
          <w:bCs/>
          <w:sz w:val="24"/>
          <w:szCs w:val="24"/>
          <w:u w:val="single"/>
          <w:lang w:val="en-US" w:eastAsia="zh-CN"/>
        </w:rPr>
        <w:t>广州市净水有限公司大坦沙分公司三期厂区围墙护栏改造工程</w:t>
      </w:r>
      <w:r>
        <w:rPr>
          <w:rFonts w:hint="eastAsia" w:ascii="宋体" w:hAnsi="宋体" w:eastAsia="宋体" w:cs="宋体"/>
          <w:color w:val="000000"/>
          <w:sz w:val="24"/>
          <w:highlight w:val="none"/>
        </w:rPr>
        <w:t>遵循平等、自愿、公平和诚实信用的原则，经双方协商一致，特订立本合同。</w:t>
      </w:r>
    </w:p>
    <w:p>
      <w:pPr>
        <w:pStyle w:val="2"/>
        <w:keepNext w:val="0"/>
        <w:keepLines w:val="0"/>
        <w:pageBreakBefore w:val="0"/>
        <w:widowControl w:val="0"/>
        <w:kinsoku/>
        <w:wordWrap/>
        <w:overflowPunct/>
        <w:bidi w:val="0"/>
        <w:spacing w:line="500" w:lineRule="exact"/>
        <w:ind w:firstLine="482" w:firstLineChars="200"/>
        <w:rPr>
          <w:rFonts w:hint="eastAsia" w:ascii="宋体" w:hAnsi="宋体" w:eastAsia="宋体" w:cs="宋体"/>
          <w:color w:val="000000"/>
          <w:sz w:val="24"/>
          <w:szCs w:val="24"/>
          <w:highlight w:val="none"/>
        </w:rPr>
      </w:pPr>
      <w:r>
        <w:rPr>
          <w:rFonts w:hint="eastAsia" w:ascii="宋体" w:hAnsi="宋体" w:eastAsia="宋体" w:cs="宋体"/>
          <w:b/>
          <w:bCs/>
          <w:color w:val="000000"/>
          <w:sz w:val="24"/>
          <w:szCs w:val="24"/>
          <w:highlight w:val="none"/>
        </w:rPr>
        <w:t>第一条</w:t>
      </w:r>
      <w:r>
        <w:rPr>
          <w:rFonts w:hint="eastAsia" w:ascii="宋体" w:hAnsi="宋体" w:eastAsia="宋体" w:cs="宋体"/>
          <w:color w:val="000000"/>
          <w:sz w:val="24"/>
          <w:szCs w:val="24"/>
          <w:highlight w:val="none"/>
        </w:rPr>
        <w:t xml:space="preserve"> </w:t>
      </w:r>
      <w:r>
        <w:rPr>
          <w:rFonts w:hint="eastAsia" w:ascii="宋体" w:hAnsi="宋体" w:eastAsia="宋体" w:cs="宋体"/>
          <w:b/>
          <w:bCs/>
          <w:color w:val="000000"/>
          <w:sz w:val="24"/>
          <w:szCs w:val="24"/>
          <w:highlight w:val="none"/>
        </w:rPr>
        <w:t>组成合同的文件及优先顺序</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 xml:space="preserve">⑴ </w:t>
      </w:r>
      <w:r>
        <w:rPr>
          <w:rFonts w:hint="eastAsia" w:ascii="宋体" w:hAnsi="宋体" w:eastAsia="宋体" w:cs="宋体"/>
          <w:color w:val="000000"/>
          <w:sz w:val="24"/>
          <w:szCs w:val="24"/>
          <w:highlight w:val="none"/>
        </w:rPr>
        <w:t>在本合同实施过程双方签署的补充与修正文件</w:t>
      </w:r>
      <w:r>
        <w:rPr>
          <w:rFonts w:hint="eastAsia" w:ascii="宋体" w:hAnsi="宋体" w:eastAsia="宋体" w:cs="宋体"/>
          <w:bCs/>
          <w:color w:val="000000"/>
          <w:sz w:val="24"/>
          <w:szCs w:val="24"/>
          <w:highlight w:val="none"/>
        </w:rPr>
        <w:t>；</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⑵ 本合同书；</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⑶ 中标通知书/发包通知书/</w:t>
      </w:r>
      <w:r>
        <w:rPr>
          <w:rFonts w:hint="eastAsia" w:ascii="宋体" w:hAnsi="宋体" w:eastAsia="宋体" w:cs="宋体"/>
          <w:bCs/>
          <w:color w:val="000000"/>
          <w:sz w:val="24"/>
          <w:szCs w:val="24"/>
          <w:highlight w:val="none"/>
          <w:lang w:val="en-US" w:eastAsia="zh-CN"/>
        </w:rPr>
        <w:t>成交通知书/</w:t>
      </w:r>
      <w:r>
        <w:rPr>
          <w:rFonts w:hint="eastAsia" w:ascii="宋体" w:hAnsi="宋体" w:eastAsia="宋体" w:cs="宋体"/>
          <w:bCs/>
          <w:color w:val="000000"/>
          <w:sz w:val="24"/>
          <w:szCs w:val="24"/>
          <w:highlight w:val="none"/>
        </w:rPr>
        <w:t>委托函；</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⑷ 招标文件/询价文件；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⑸ 投标文件/响应文件；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⑹ 标准、规范及有关技术性文件；</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⑺ 图纸；</w:t>
      </w:r>
    </w:p>
    <w:p>
      <w:pPr>
        <w:keepNext w:val="0"/>
        <w:keepLines w:val="0"/>
        <w:pageBreakBefore w:val="0"/>
        <w:widowControl w:val="0"/>
        <w:kinsoku/>
        <w:wordWrap/>
        <w:overflowPunct/>
        <w:bidi w:val="0"/>
        <w:spacing w:line="500" w:lineRule="exact"/>
        <w:ind w:firstLine="482"/>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⑻ 工程量清单</w:t>
      </w:r>
      <w:r>
        <w:rPr>
          <w:rFonts w:hint="eastAsia" w:ascii="宋体" w:hAnsi="宋体" w:eastAsia="宋体" w:cs="宋体"/>
          <w:color w:val="000000"/>
          <w:sz w:val="24"/>
          <w:szCs w:val="24"/>
          <w:highlight w:val="none"/>
        </w:rPr>
        <w:t>报价单或预算书；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⑼ 本合同其他附件；</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第二条  工程概况</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2.1工程名称：</w:t>
      </w:r>
      <w:r>
        <w:rPr>
          <w:rFonts w:hint="eastAsia" w:ascii="宋体" w:hAnsi="宋体" w:eastAsia="宋体" w:cs="宋体"/>
          <w:color w:val="000000"/>
          <w:sz w:val="24"/>
          <w:szCs w:val="24"/>
          <w:highlight w:val="none"/>
          <w:u w:val="single"/>
        </w:rPr>
        <w:t>广州市净水有限公司</w:t>
      </w:r>
      <w:r>
        <w:rPr>
          <w:rFonts w:hint="eastAsia" w:ascii="宋体" w:hAnsi="宋体" w:eastAsia="宋体" w:cs="宋体"/>
          <w:color w:val="000000"/>
          <w:sz w:val="24"/>
          <w:szCs w:val="24"/>
          <w:highlight w:val="none"/>
          <w:u w:val="single"/>
          <w:lang w:val="en-US" w:eastAsia="zh-CN"/>
        </w:rPr>
        <w:t>大坦沙分公司三期厂区围墙护栏改造</w:t>
      </w:r>
      <w:r>
        <w:rPr>
          <w:rFonts w:hint="eastAsia" w:ascii="宋体" w:hAnsi="宋体" w:eastAsia="宋体" w:cs="宋体"/>
          <w:color w:val="000000"/>
          <w:sz w:val="24"/>
          <w:szCs w:val="24"/>
          <w:highlight w:val="none"/>
          <w:u w:val="single"/>
          <w:lang w:eastAsia="zh-CN"/>
        </w:rPr>
        <w:t>工程</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2.2工程地点：</w:t>
      </w:r>
      <w:r>
        <w:rPr>
          <w:rFonts w:hint="eastAsia" w:ascii="宋体" w:hAnsi="宋体" w:eastAsia="宋体" w:cs="宋体"/>
          <w:color w:val="000000"/>
          <w:sz w:val="24"/>
          <w:highlight w:val="none"/>
          <w:u w:val="single"/>
          <w:lang w:val="en-US" w:eastAsia="zh-CN"/>
        </w:rPr>
        <w:t>大坦沙分公司三期厂区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highlight w:val="none"/>
          <w:u w:val="single"/>
          <w:lang w:val="en-US" w:eastAsia="zh-CN"/>
        </w:rPr>
      </w:pPr>
      <w:r>
        <w:rPr>
          <w:rFonts w:hint="eastAsia" w:ascii="宋体" w:hAnsi="宋体" w:eastAsia="宋体" w:cs="宋体"/>
          <w:color w:val="000000"/>
          <w:sz w:val="24"/>
          <w:szCs w:val="24"/>
          <w:highlight w:val="none"/>
        </w:rPr>
        <w:t>2.3承包内容：</w:t>
      </w:r>
      <w:r>
        <w:rPr>
          <w:rFonts w:hint="eastAsia" w:ascii="宋体" w:hAnsi="宋体" w:eastAsia="宋体" w:cs="宋体"/>
          <w:color w:val="000000"/>
          <w:sz w:val="24"/>
          <w:highlight w:val="none"/>
          <w:u w:val="single"/>
          <w:lang w:val="en-US" w:eastAsia="zh-CN"/>
        </w:rPr>
        <w:t>对三期围栏共1300米进行全面改造</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2.4承包方式：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sym w:font="Wingdings 2" w:char="0052"/>
      </w:r>
      <w:r>
        <w:rPr>
          <w:rFonts w:hint="eastAsia" w:ascii="宋体" w:hAnsi="宋体" w:eastAsia="宋体" w:cs="宋体"/>
          <w:color w:val="000000"/>
          <w:sz w:val="24"/>
          <w:szCs w:val="24"/>
          <w:highlight w:val="none"/>
        </w:rPr>
        <w:t>按施工图、施工方案内容，以综合单价包干形式，包人工、包材料、包安装、包质量、包工期、包安全、包文明施工，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按实计量</w:t>
      </w:r>
      <w:r>
        <w:rPr>
          <w:rFonts w:hint="eastAsia" w:ascii="宋体" w:hAnsi="宋体" w:eastAsia="宋体" w:cs="宋体"/>
          <w:color w:val="000000"/>
          <w:sz w:val="24"/>
          <w:szCs w:val="24"/>
          <w:highlight w:val="none"/>
        </w:rPr>
        <w:t>。（单价包干要求附工程量报价/工程预算书）</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□按施工图、施工方案内容，以固定总价包干形式，包人工、包材料、包安装、包质量、包工期、包安全、包文明施工，</w:t>
      </w:r>
      <w:r>
        <w:rPr>
          <w:rFonts w:hint="eastAsia" w:ascii="宋体" w:hAnsi="宋体" w:eastAsia="宋体" w:cs="宋体"/>
          <w:color w:val="000000"/>
          <w:sz w:val="24"/>
          <w:szCs w:val="24"/>
          <w:highlight w:val="none"/>
          <w:u w:val="single"/>
        </w:rPr>
        <w:t>项目措施费</w:t>
      </w:r>
      <w:r>
        <w:rPr>
          <w:rFonts w:hint="eastAsia" w:ascii="宋体" w:hAnsi="宋体" w:eastAsia="宋体" w:cs="宋体"/>
          <w:color w:val="000000"/>
          <w:sz w:val="24"/>
          <w:szCs w:val="24"/>
          <w:highlight w:val="none"/>
          <w:u w:val="single"/>
          <w:lang w:val="en-US" w:eastAsia="zh-CN"/>
        </w:rPr>
        <w:t>包干/</w:t>
      </w:r>
      <w:r>
        <w:rPr>
          <w:rFonts w:hint="eastAsia" w:ascii="宋体" w:hAnsi="宋体" w:eastAsia="宋体" w:cs="宋体"/>
          <w:color w:val="000000"/>
          <w:sz w:val="24"/>
          <w:szCs w:val="24"/>
          <w:highlight w:val="none"/>
          <w:u w:val="single"/>
        </w:rPr>
        <w:t>按</w:t>
      </w:r>
      <w:r>
        <w:rPr>
          <w:rFonts w:hint="eastAsia" w:ascii="宋体" w:hAnsi="宋体" w:eastAsia="宋体" w:cs="宋体"/>
          <w:color w:val="000000"/>
          <w:sz w:val="24"/>
          <w:szCs w:val="24"/>
          <w:highlight w:val="none"/>
          <w:u w:val="single"/>
          <w:lang w:val="en-US" w:eastAsia="zh-CN"/>
        </w:rPr>
        <w:t>实</w:t>
      </w:r>
      <w:r>
        <w:rPr>
          <w:rFonts w:hint="eastAsia" w:ascii="宋体" w:hAnsi="宋体" w:eastAsia="宋体" w:cs="宋体"/>
          <w:color w:val="000000"/>
          <w:sz w:val="24"/>
          <w:szCs w:val="24"/>
          <w:highlight w:val="none"/>
          <w:u w:val="single"/>
        </w:rPr>
        <w:t>计量</w:t>
      </w:r>
      <w:r>
        <w:rPr>
          <w:rFonts w:hint="eastAsia" w:ascii="宋体" w:hAnsi="宋体" w:eastAsia="宋体" w:cs="宋体"/>
          <w:color w:val="000000"/>
          <w:sz w:val="24"/>
          <w:szCs w:val="24"/>
          <w:highlight w:val="none"/>
        </w:rPr>
        <w:t>。（附工程量清单）</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2.5质量标准：</w:t>
      </w:r>
      <w:r>
        <w:rPr>
          <w:rFonts w:hint="eastAsia" w:ascii="宋体" w:hAnsi="宋体" w:eastAsia="宋体" w:cs="宋体"/>
          <w:color w:val="000000"/>
          <w:sz w:val="24"/>
          <w:szCs w:val="24"/>
          <w:highlight w:val="none"/>
          <w:u w:val="single"/>
        </w:rPr>
        <w:t>合格</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第三条  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计划开工日期：</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日（具体以甲方开工报告中载明的开工日期为准）。</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合同工期日历天数为</w:t>
      </w:r>
      <w:r>
        <w:rPr>
          <w:rFonts w:hint="eastAsia" w:ascii="宋体" w:hAnsi="宋体" w:eastAsia="宋体" w:cs="宋体"/>
          <w:color w:val="000000"/>
          <w:sz w:val="24"/>
          <w:szCs w:val="24"/>
          <w:highlight w:val="none"/>
          <w:u w:val="single"/>
          <w:lang w:val="en-US" w:eastAsia="zh-CN"/>
        </w:rPr>
        <w:t>90</w:t>
      </w:r>
      <w:r>
        <w:rPr>
          <w:rFonts w:hint="eastAsia" w:ascii="宋体" w:hAnsi="宋体" w:eastAsia="宋体" w:cs="宋体"/>
          <w:color w:val="000000"/>
          <w:sz w:val="24"/>
          <w:szCs w:val="24"/>
          <w:highlight w:val="none"/>
        </w:rPr>
        <w:t>天。</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（工期以总日历天数为准）</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第四条  工期延误与工期奖罚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4.1延期开工</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乙方不能按时开工，应在约定的开工日期提前</w:t>
      </w:r>
      <w:r>
        <w:rPr>
          <w:rFonts w:hint="eastAsia" w:ascii="宋体" w:hAnsi="宋体" w:eastAsia="宋体" w:cs="宋体"/>
          <w:color w:val="000000"/>
          <w:sz w:val="24"/>
          <w:szCs w:val="24"/>
          <w:highlight w:val="none"/>
          <w:u w:val="single"/>
        </w:rPr>
        <w:t xml:space="preserve"> 5</w:t>
      </w:r>
      <w:r>
        <w:rPr>
          <w:rFonts w:hint="eastAsia" w:ascii="宋体" w:hAnsi="宋体" w:eastAsia="宋体" w:cs="宋体"/>
          <w:color w:val="000000"/>
          <w:sz w:val="24"/>
          <w:szCs w:val="24"/>
          <w:highlight w:val="none"/>
        </w:rPr>
        <w:t>日，向甲方书面申请延期开工并说明延期理由。甲方代表应在收到后</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日内书面答复乙方。甲方同意延期要求或</w:t>
      </w:r>
      <w:r>
        <w:rPr>
          <w:rFonts w:hint="eastAsia" w:ascii="宋体" w:hAnsi="宋体" w:eastAsia="宋体" w:cs="宋体"/>
          <w:color w:val="000000"/>
          <w:sz w:val="24"/>
          <w:szCs w:val="24"/>
          <w:highlight w:val="none"/>
          <w:u w:val="single"/>
        </w:rPr>
        <w:t xml:space="preserve"> 3</w:t>
      </w:r>
      <w:r>
        <w:rPr>
          <w:rFonts w:hint="eastAsia" w:ascii="宋体" w:hAnsi="宋体" w:eastAsia="宋体" w:cs="宋体"/>
          <w:color w:val="000000"/>
          <w:sz w:val="24"/>
          <w:szCs w:val="24"/>
          <w:highlight w:val="none"/>
        </w:rPr>
        <w:t>日内不予答复，工期相应顺延。甲方不同意延期或乙方未在规定时间内提出延期开工要求，工期不予顺延。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4.2工期顺延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下列情况造成竣工日期推迟的，经甲方代表书面确认，工期相应顺延。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4.2.1 工程量变化和设计变更增加超过原工程量的</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以上。</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4.2.2 甲方未能按第七条的约定提供图纸。</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4.2.3 甲方未能按约定日期支付工程预付款、进度款，致使施工不能正常进行。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4.2.4 施工中遇到不可预见障碍物或古墓、文物、流沙等需处理时。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4.2.5 乙方应在不可抗力发生后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日内向甲方申请顺延工期并提交有关证明，逾期未申请，视为不影响工期；甲方在收到申请后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日内予以书面回复，逾期不回复，视为同意延期要求。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4.3 暂停施工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甲方代表认为必要时，有权要求暂停施工并在停工后</w:t>
      </w:r>
      <w:r>
        <w:rPr>
          <w:rFonts w:hint="eastAsia" w:ascii="宋体" w:hAnsi="宋体" w:eastAsia="宋体" w:cs="宋体"/>
          <w:color w:val="000000"/>
          <w:sz w:val="24"/>
          <w:szCs w:val="24"/>
          <w:highlight w:val="none"/>
          <w:u w:val="single"/>
        </w:rPr>
        <w:t xml:space="preserve"> 48</w:t>
      </w:r>
      <w:r>
        <w:rPr>
          <w:rFonts w:hint="eastAsia" w:ascii="宋体" w:hAnsi="宋体" w:eastAsia="宋体" w:cs="宋体"/>
          <w:color w:val="000000"/>
          <w:sz w:val="24"/>
          <w:szCs w:val="24"/>
          <w:highlight w:val="none"/>
        </w:rPr>
        <w:t>小时内提出处理意见。乙方在实施甲方代表处理意见后，应在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48</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小时内提出复工要求，甲方代表在 </w:t>
      </w:r>
      <w:r>
        <w:rPr>
          <w:rFonts w:hint="eastAsia" w:ascii="宋体" w:hAnsi="宋体" w:eastAsia="宋体" w:cs="宋体"/>
          <w:color w:val="000000"/>
          <w:sz w:val="24"/>
          <w:szCs w:val="24"/>
          <w:highlight w:val="none"/>
          <w:u w:val="single"/>
        </w:rPr>
        <w:t>24</w:t>
      </w:r>
      <w:r>
        <w:rPr>
          <w:rFonts w:hint="eastAsia" w:ascii="宋体" w:hAnsi="宋体" w:eastAsia="宋体" w:cs="宋体"/>
          <w:color w:val="000000"/>
          <w:sz w:val="24"/>
          <w:szCs w:val="24"/>
          <w:highlight w:val="none"/>
        </w:rPr>
        <w:t>小时内予以答复。甲方未能在规定时间提出处理意见，或收到乙方复工要求未在规定时限内予答复，乙方可自行复工。</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 工期奖罚</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4.4.1 因甲方原因延误工期，造成经济损失，由甲方承担，工期相应顺延。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4.4.2 因乙方原因延误工期，造成经济损失，由乙方承担，工期不予顺延。      </w:t>
      </w:r>
    </w:p>
    <w:p>
      <w:pPr>
        <w:keepNext w:val="0"/>
        <w:keepLines w:val="0"/>
        <w:pageBreakBefore w:val="0"/>
        <w:widowControl w:val="0"/>
        <w:tabs>
          <w:tab w:val="left" w:pos="851"/>
        </w:tabs>
        <w:kinsoku/>
        <w:wordWrap/>
        <w:overflowPunct/>
        <w:bidi w:val="0"/>
        <w:adjustRightInd w:val="0"/>
        <w:snapToGrid w:val="0"/>
        <w:spacing w:line="500" w:lineRule="exact"/>
        <w:ind w:firstLine="472" w:firstLineChars="196"/>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第五条  合同价款及支付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5.1合同价款按以下</w:t>
      </w:r>
      <w:r>
        <w:rPr>
          <w:rFonts w:hint="eastAsia" w:ascii="宋体" w:hAnsi="宋体" w:eastAsia="宋体" w:cs="宋体"/>
          <w:color w:val="000000"/>
          <w:sz w:val="24"/>
          <w:szCs w:val="24"/>
          <w:highlight w:val="none"/>
          <w:u w:val="single"/>
        </w:rPr>
        <w:t xml:space="preserve"> </w:t>
      </w:r>
      <w:r>
        <w:rPr>
          <w:rFonts w:hint="eastAsia" w:ascii="宋体" w:hAnsi="宋体" w:eastAsia="宋体" w:cs="宋体"/>
          <w:bCs/>
          <w:color w:val="000000"/>
          <w:sz w:val="24"/>
          <w:szCs w:val="24"/>
          <w:highlight w:val="none"/>
          <w:u w:val="single"/>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（1）</w:t>
      </w:r>
      <w:r>
        <w:rPr>
          <w:rFonts w:hint="eastAsia" w:ascii="宋体" w:hAnsi="宋体" w:eastAsia="宋体" w:cs="宋体"/>
          <w:color w:val="000000"/>
          <w:sz w:val="24"/>
          <w:szCs w:val="24"/>
          <w:highlight w:val="none"/>
        </w:rPr>
        <w:t>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）。经甲方或甲方委托有资质第三方机构审核后，结算审核价作为合同结算价。若结算审核价超合同暂定总价，双方另行签订补充协议。</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综合单价：详见经甲方确认的工程量报价单或施工图预算书。</w:t>
      </w:r>
    </w:p>
    <w:p>
      <w:pPr>
        <w:keepNext w:val="0"/>
        <w:keepLines w:val="0"/>
        <w:pageBreakBefore w:val="0"/>
        <w:widowControl w:val="0"/>
        <w:kinsoku/>
        <w:wordWrap/>
        <w:overflowPunct/>
        <w:autoSpaceDE w:val="0"/>
        <w:autoSpaceDN w:val="0"/>
        <w:bidi w:val="0"/>
        <w:adjustRightIn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numPr>
          <w:ilvl w:val="0"/>
          <w:numId w:val="4"/>
        </w:numPr>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合同以固定总价包干形式，合同暂定总价为：</w:t>
      </w:r>
      <w:r>
        <w:rPr>
          <w:rFonts w:hint="eastAsia" w:ascii="宋体" w:hAnsi="宋体" w:eastAsia="宋体" w:cs="宋体"/>
          <w:b/>
          <w:color w:val="000000"/>
          <w:sz w:val="24"/>
          <w:szCs w:val="24"/>
          <w:highlight w:val="none"/>
          <w:u w:val="single"/>
        </w:rPr>
        <w:t xml:space="preserve">人民币 </w:t>
      </w:r>
      <w:r>
        <w:rPr>
          <w:rFonts w:hint="eastAsia" w:ascii="宋体" w:hAnsi="宋体" w:eastAsia="宋体" w:cs="宋体"/>
          <w:color w:val="000000"/>
          <w:sz w:val="24"/>
          <w:szCs w:val="24"/>
          <w:highlight w:val="none"/>
          <w:u w:val="single"/>
        </w:rPr>
        <w:t>…</w:t>
      </w:r>
      <w:r>
        <w:rPr>
          <w:rFonts w:hint="eastAsia" w:ascii="宋体" w:hAnsi="宋体" w:eastAsia="宋体" w:cs="宋体"/>
          <w:b/>
          <w:color w:val="000000"/>
          <w:sz w:val="24"/>
          <w:szCs w:val="24"/>
          <w:highlight w:val="none"/>
          <w:u w:val="single"/>
        </w:rPr>
        <w:t xml:space="preserve">   元</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），其中：项目措施费暂定为￥</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元（大写：人民币</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）。经甲方或甲方委托有资质第三方机构审核后，若结算审核价比合同暂定总价低，则以结算审核价作为合同结算价，否则以合同暂定总价为合同结算价。</w:t>
      </w:r>
    </w:p>
    <w:p>
      <w:pPr>
        <w:keepNext w:val="0"/>
        <w:keepLines w:val="0"/>
        <w:pageBreakBefore w:val="0"/>
        <w:widowControl w:val="0"/>
        <w:kinsoku/>
        <w:wordWrap/>
        <w:overflowPunct/>
        <w:bidi w:val="0"/>
        <w:spacing w:line="500" w:lineRule="exact"/>
        <w:ind w:firstLine="0" w:firstLineChars="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此费用在项目实施期间费用均不得调整（如项目实施内容变更，需调整合同暂定价，双方另行协商签订补充协议）。</w:t>
      </w:r>
    </w:p>
    <w:p>
      <w:pPr>
        <w:keepNext w:val="0"/>
        <w:keepLines w:val="0"/>
        <w:pageBreakBefore w:val="0"/>
        <w:tabs>
          <w:tab w:val="left" w:pos="851"/>
        </w:tabs>
        <w:kinsoku/>
        <w:wordWrap/>
        <w:overflowPunct/>
        <w:autoSpaceDE/>
        <w:autoSpaceDN/>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val="zh-CN"/>
        </w:rPr>
        <w:t>5.2</w:t>
      </w:r>
      <w:r>
        <w:rPr>
          <w:rFonts w:hint="eastAsia" w:ascii="宋体" w:hAnsi="宋体" w:eastAsia="宋体" w:cs="宋体"/>
          <w:color w:val="000000"/>
          <w:kern w:val="0"/>
          <w:sz w:val="24"/>
          <w:szCs w:val="24"/>
          <w:highlight w:val="none"/>
        </w:rPr>
        <w:t>本合同约定的价格为含税价价格</w:t>
      </w:r>
      <w:r>
        <w:rPr>
          <w:rFonts w:hint="eastAsia" w:ascii="宋体" w:hAnsi="宋体" w:eastAsia="宋体" w:cs="宋体"/>
          <w:color w:val="000000"/>
          <w:sz w:val="24"/>
          <w:szCs w:val="24"/>
          <w:highlight w:val="none"/>
        </w:rPr>
        <w:t>（税率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9</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），合同履行期间国家税率调整或乙方开票的实际税率与前述税率不一致的，不含税价不变，价税合计按实际税率相应调整，以开具发票时间为准。</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Cs/>
          <w:color w:val="000000"/>
          <w:sz w:val="24"/>
          <w:szCs w:val="24"/>
          <w:highlight w:val="none"/>
          <w:u w:val="single"/>
        </w:rPr>
      </w:pPr>
      <w:r>
        <w:rPr>
          <w:rFonts w:hint="eastAsia" w:ascii="宋体" w:hAnsi="宋体" w:eastAsia="宋体" w:cs="宋体"/>
          <w:color w:val="000000"/>
          <w:sz w:val="24"/>
          <w:szCs w:val="24"/>
          <w:highlight w:val="none"/>
        </w:rPr>
        <w:t xml:space="preserve"> </w:t>
      </w:r>
      <w:bookmarkStart w:id="83" w:name="OLE_LINK5"/>
      <w:bookmarkStart w:id="84" w:name="OLE_LINK4"/>
      <w:r>
        <w:rPr>
          <w:rFonts w:hint="eastAsia" w:ascii="宋体" w:hAnsi="宋体" w:eastAsia="宋体" w:cs="宋体"/>
          <w:bCs/>
          <w:color w:val="000000"/>
          <w:sz w:val="24"/>
          <w:szCs w:val="24"/>
          <w:highlight w:val="none"/>
        </w:rPr>
        <w:t>5.3 预付款：</w:t>
      </w:r>
      <w:r>
        <w:rPr>
          <w:rFonts w:hint="eastAsia" w:ascii="宋体" w:hAnsi="宋体" w:eastAsia="宋体" w:cs="宋体"/>
          <w:bCs/>
          <w:color w:val="000000"/>
          <w:sz w:val="24"/>
          <w:szCs w:val="24"/>
          <w:highlight w:val="none"/>
        </w:rPr>
        <w:sym w:font="Wingdings" w:char="F0A8"/>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Wingdings" w:char="00FE"/>
      </w:r>
      <w:r>
        <w:rPr>
          <w:rFonts w:hint="eastAsia" w:ascii="宋体" w:hAnsi="宋体" w:eastAsia="宋体" w:cs="宋体"/>
          <w:bCs/>
          <w:color w:val="000000"/>
          <w:sz w:val="24"/>
          <w:szCs w:val="24"/>
          <w:highlight w:val="none"/>
        </w:rPr>
        <w:t>有，合同签订后，乙方开具等额的</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提交</w:t>
      </w:r>
      <w:r>
        <w:rPr>
          <w:rFonts w:hint="eastAsia" w:ascii="宋体" w:hAnsi="宋体" w:eastAsia="宋体" w:cs="宋体"/>
          <w:bCs/>
          <w:color w:val="000000"/>
          <w:sz w:val="24"/>
          <w:szCs w:val="24"/>
          <w:highlight w:val="none"/>
          <w:lang w:val="en-US" w:eastAsia="zh-CN"/>
        </w:rPr>
        <w:t>预付款担保及</w:t>
      </w:r>
      <w:r>
        <w:rPr>
          <w:rFonts w:hint="eastAsia" w:ascii="宋体" w:hAnsi="宋体" w:eastAsia="宋体" w:cs="宋体"/>
          <w:bCs/>
          <w:color w:val="000000"/>
          <w:sz w:val="24"/>
          <w:szCs w:val="24"/>
          <w:highlight w:val="none"/>
        </w:rPr>
        <w:t>履约担保后10个工作日内，甲方支付合同暂定总价的</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作为预付款。若合同解除或终止，乙方在</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个工作日内返还预付款（无息）。</w:t>
      </w:r>
      <w:r>
        <w:rPr>
          <w:rFonts w:hint="eastAsia" w:ascii="宋体" w:hAnsi="宋体" w:eastAsia="宋体" w:cs="宋体"/>
          <w:bCs/>
          <w:color w:val="000000"/>
          <w:kern w:val="0"/>
          <w:sz w:val="24"/>
          <w:szCs w:val="24"/>
          <w:highlight w:val="none"/>
        </w:rPr>
        <w:t>逾期未返还，每逾期一日，乙方应按合同暂定总价的</w:t>
      </w:r>
      <w:r>
        <w:rPr>
          <w:rFonts w:hint="eastAsia" w:ascii="宋体" w:hAnsi="宋体" w:eastAsia="宋体" w:cs="宋体"/>
          <w:bCs/>
          <w:color w:val="000000"/>
          <w:kern w:val="0"/>
          <w:sz w:val="24"/>
          <w:szCs w:val="24"/>
          <w:highlight w:val="none"/>
          <w:u w:val="single"/>
        </w:rPr>
        <w:t>万分之五/日</w:t>
      </w:r>
      <w:r>
        <w:rPr>
          <w:rFonts w:hint="eastAsia" w:ascii="宋体" w:hAnsi="宋体" w:eastAsia="宋体" w:cs="宋体"/>
          <w:bCs/>
          <w:color w:val="000000"/>
          <w:kern w:val="0"/>
          <w:sz w:val="24"/>
          <w:szCs w:val="24"/>
          <w:highlight w:val="none"/>
        </w:rPr>
        <w:t>支付违约金</w:t>
      </w:r>
      <w:r>
        <w:rPr>
          <w:rFonts w:hint="eastAsia" w:ascii="宋体" w:hAnsi="宋体" w:eastAsia="宋体" w:cs="宋体"/>
          <w:color w:val="000000"/>
          <w:sz w:val="24"/>
          <w:szCs w:val="24"/>
          <w:highlight w:val="none"/>
        </w:rPr>
        <w:t>。</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5.4</w:t>
      </w:r>
      <w:r>
        <w:rPr>
          <w:rFonts w:hint="eastAsia" w:hAnsi="宋体" w:cs="宋体"/>
          <w:color w:val="auto"/>
          <w:sz w:val="24"/>
          <w:szCs w:val="24"/>
        </w:rPr>
        <w:t>项目验收合格后，由乙方提交申请支付资料</w:t>
      </w:r>
      <w:r>
        <w:rPr>
          <w:rFonts w:hAnsi="宋体" w:cs="宋体"/>
          <w:color w:val="auto"/>
          <w:sz w:val="24"/>
          <w:szCs w:val="24"/>
          <w:u w:val="single"/>
        </w:rPr>
        <w:t xml:space="preserve"> 15 </w:t>
      </w:r>
      <w:r>
        <w:rPr>
          <w:rFonts w:hint="eastAsia" w:hAnsi="宋体" w:cs="宋体"/>
          <w:color w:val="auto"/>
          <w:sz w:val="24"/>
          <w:szCs w:val="24"/>
        </w:rPr>
        <w:t>个工作日内，甲方</w:t>
      </w:r>
      <w:r>
        <w:rPr>
          <w:rFonts w:hint="eastAsia" w:ascii="宋体" w:hAnsi="宋体" w:cs="宋体"/>
          <w:bCs/>
          <w:color w:val="auto"/>
          <w:sz w:val="24"/>
          <w:lang w:val="en-US" w:eastAsia="zh-CN"/>
        </w:rPr>
        <w:t>属下</w:t>
      </w:r>
      <w:r>
        <w:rPr>
          <w:rFonts w:hint="eastAsia" w:hAnsi="宋体" w:cs="宋体"/>
          <w:bCs/>
          <w:color w:val="auto"/>
          <w:sz w:val="24"/>
          <w:lang w:val="en-US" w:eastAsia="zh-CN"/>
        </w:rPr>
        <w:t>大坦沙</w:t>
      </w:r>
      <w:r>
        <w:rPr>
          <w:rFonts w:hint="eastAsia" w:ascii="宋体" w:hAnsi="宋体" w:cs="宋体"/>
          <w:bCs/>
          <w:color w:val="auto"/>
          <w:sz w:val="24"/>
          <w:lang w:val="en-US" w:eastAsia="zh-CN"/>
        </w:rPr>
        <w:t>分公司</w:t>
      </w:r>
      <w:r>
        <w:rPr>
          <w:rFonts w:hint="eastAsia" w:hAnsi="宋体" w:cs="宋体"/>
          <w:color w:val="auto"/>
          <w:sz w:val="24"/>
          <w:szCs w:val="24"/>
        </w:rPr>
        <w:t>支付合同暂定总价的</w:t>
      </w:r>
      <w:r>
        <w:rPr>
          <w:rFonts w:hint="eastAsia" w:hAnsi="宋体" w:cs="宋体"/>
          <w:color w:val="auto"/>
          <w:sz w:val="24"/>
          <w:szCs w:val="24"/>
          <w:u w:val="single"/>
          <w:lang w:val="en-US" w:eastAsia="zh-CN"/>
        </w:rPr>
        <w:t xml:space="preserve">  80</w:t>
      </w:r>
      <w:r>
        <w:rPr>
          <w:rFonts w:hAnsi="宋体" w:cs="宋体"/>
          <w:color w:val="auto"/>
          <w:sz w:val="24"/>
          <w:szCs w:val="24"/>
          <w:u w:val="single"/>
        </w:rPr>
        <w:t xml:space="preserve"> </w:t>
      </w:r>
      <w:r>
        <w:rPr>
          <w:rFonts w:hint="eastAsia" w:hAnsi="宋体" w:cs="宋体"/>
          <w:color w:val="auto"/>
          <w:sz w:val="24"/>
          <w:szCs w:val="24"/>
        </w:rPr>
        <w:t>％即￥</w:t>
      </w:r>
      <w:r>
        <w:rPr>
          <w:rFonts w:hAnsi="宋体" w:cs="宋体"/>
          <w:color w:val="auto"/>
          <w:sz w:val="24"/>
          <w:szCs w:val="24"/>
          <w:u w:val="single"/>
        </w:rPr>
        <w:t xml:space="preserve">   </w:t>
      </w:r>
      <w:r>
        <w:rPr>
          <w:rFonts w:hint="eastAsia" w:hAnsi="宋体" w:cs="宋体"/>
          <w:color w:val="auto"/>
          <w:sz w:val="24"/>
          <w:szCs w:val="24"/>
          <w:u w:val="single"/>
          <w:lang w:val="en-US" w:eastAsia="zh-CN"/>
        </w:rPr>
        <w:t xml:space="preserve">   </w:t>
      </w:r>
      <w:r>
        <w:rPr>
          <w:rFonts w:hAnsi="宋体" w:cs="宋体"/>
          <w:color w:val="auto"/>
          <w:sz w:val="24"/>
          <w:szCs w:val="24"/>
          <w:u w:val="single"/>
        </w:rPr>
        <w:t xml:space="preserve">     </w:t>
      </w:r>
      <w:r>
        <w:rPr>
          <w:rFonts w:hint="eastAsia" w:hAnsi="宋体" w:cs="宋体"/>
          <w:color w:val="auto"/>
          <w:sz w:val="24"/>
          <w:szCs w:val="24"/>
        </w:rPr>
        <w:t>万元给乙方。</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5.5工程完工验收合格后，经甲方或甲方委托的第三方造价咨询单位结算审核且乙方提交请款资料及等额</w:t>
      </w:r>
      <w:r>
        <w:rPr>
          <w:rFonts w:hint="eastAsia" w:ascii="宋体" w:hAnsi="宋体" w:eastAsia="宋体" w:cs="宋体"/>
          <w:bCs/>
          <w:color w:val="000000"/>
          <w:sz w:val="24"/>
          <w:szCs w:val="24"/>
          <w:highlight w:val="none"/>
          <w:u w:val="single"/>
        </w:rPr>
        <w:t>增值税专用发票</w:t>
      </w:r>
      <w:r>
        <w:rPr>
          <w:rFonts w:hint="eastAsia" w:ascii="宋体" w:hAnsi="宋体" w:eastAsia="宋体" w:cs="宋体"/>
          <w:bCs/>
          <w:color w:val="000000"/>
          <w:sz w:val="24"/>
          <w:szCs w:val="24"/>
          <w:highlight w:val="none"/>
          <w:u w:val="single"/>
          <w:lang w:val="en-US" w:eastAsia="zh-CN"/>
        </w:rPr>
        <w:t>/普通发票</w:t>
      </w:r>
      <w:r>
        <w:rPr>
          <w:rFonts w:hint="eastAsia" w:ascii="宋体" w:hAnsi="宋体" w:eastAsia="宋体" w:cs="宋体"/>
          <w:bCs/>
          <w:color w:val="000000"/>
          <w:sz w:val="24"/>
          <w:szCs w:val="24"/>
          <w:highlight w:val="none"/>
        </w:rPr>
        <w:t>后，甲方支付至合同结算价的97</w:t>
      </w:r>
      <w:r>
        <w:rPr>
          <w:rFonts w:hint="eastAsia" w:ascii="宋体" w:hAnsi="宋体" w:eastAsia="宋体" w:cs="宋体"/>
          <w:b/>
          <w:color w:val="000000"/>
          <w:sz w:val="24"/>
          <w:szCs w:val="24"/>
          <w:highlight w:val="none"/>
        </w:rPr>
        <w:t>%</w:t>
      </w:r>
      <w:r>
        <w:rPr>
          <w:rFonts w:hint="eastAsia" w:ascii="宋体" w:hAnsi="宋体" w:eastAsia="宋体" w:cs="宋体"/>
          <w:color w:val="000000"/>
          <w:sz w:val="24"/>
          <w:szCs w:val="24"/>
          <w:highlight w:val="none"/>
        </w:rPr>
        <w:t>(含因乙方未按规定履行合同约定而产生的各种违约金、扣罚金、赔偿金以及应由乙方交纳的各种费用等)。</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5.6质保期按合同第十四条约定执行，质保期满后且乙方不存在违约情形，由乙方提交申请质保金退还资料</w:t>
      </w:r>
      <w:r>
        <w:rPr>
          <w:rFonts w:hint="eastAsia" w:ascii="宋体" w:hAnsi="宋体" w:eastAsia="宋体" w:cs="宋体"/>
          <w:color w:val="000000"/>
          <w:sz w:val="24"/>
          <w:szCs w:val="24"/>
          <w:highlight w:val="none"/>
          <w:u w:val="single"/>
        </w:rPr>
        <w:t>15</w:t>
      </w:r>
      <w:r>
        <w:rPr>
          <w:rFonts w:hint="eastAsia" w:ascii="宋体" w:hAnsi="宋体" w:eastAsia="宋体" w:cs="宋体"/>
          <w:color w:val="000000"/>
          <w:sz w:val="24"/>
          <w:szCs w:val="24"/>
          <w:highlight w:val="none"/>
        </w:rPr>
        <w:t>个工作日内，甲方支付合同结算价的3%（质保金）给乙方（无息）。</w:t>
      </w:r>
    </w:p>
    <w:p>
      <w:pPr>
        <w:pStyle w:val="11"/>
        <w:keepNext w:val="0"/>
        <w:keepLines w:val="0"/>
        <w:pageBreakBefore w:val="0"/>
        <w:widowControl w:val="0"/>
        <w:kinsoku/>
        <w:wordWrap/>
        <w:overflowPunct/>
        <w:bidi w:val="0"/>
        <w:spacing w:line="500" w:lineRule="exact"/>
        <w:ind w:firstLine="480" w:firstLineChars="200"/>
        <w:outlineLvl w:val="1"/>
        <w:rPr>
          <w:rFonts w:hint="eastAsia" w:ascii="宋体" w:hAnsi="宋体" w:eastAsia="宋体" w:cs="宋体"/>
          <w:color w:val="000000"/>
          <w:sz w:val="24"/>
          <w:highlight w:val="none"/>
        </w:rPr>
      </w:pPr>
      <w:r>
        <w:rPr>
          <w:rFonts w:hint="eastAsia" w:ascii="宋体" w:hAnsi="宋体" w:eastAsia="宋体" w:cs="宋体"/>
          <w:color w:val="000000"/>
          <w:sz w:val="24"/>
          <w:highlight w:val="none"/>
        </w:rPr>
        <w:t>5.7 乙方收款账户：</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收款账号：</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1080" w:firstLineChars="4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开户行：</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乙方在收款前需提交相应金额</w:t>
      </w:r>
      <w:r>
        <w:rPr>
          <w:rFonts w:hint="eastAsia" w:ascii="宋体" w:hAnsi="宋体" w:eastAsia="宋体" w:cs="宋体"/>
          <w:color w:val="000000"/>
          <w:sz w:val="24"/>
          <w:szCs w:val="24"/>
          <w:highlight w:val="none"/>
          <w:u w:val="single"/>
        </w:rPr>
        <w:t>增值税专用发票</w:t>
      </w:r>
      <w:r>
        <w:rPr>
          <w:rFonts w:hint="eastAsia" w:ascii="宋体" w:hAnsi="宋体" w:eastAsia="宋体" w:cs="宋体"/>
          <w:color w:val="000000"/>
          <w:sz w:val="24"/>
          <w:szCs w:val="24"/>
          <w:highlight w:val="none"/>
          <w:u w:val="single"/>
          <w:lang w:val="en-US" w:eastAsia="zh-CN"/>
        </w:rPr>
        <w:t>/普通发票</w:t>
      </w:r>
      <w:r>
        <w:rPr>
          <w:rFonts w:hint="eastAsia" w:ascii="宋体" w:hAnsi="宋体" w:eastAsia="宋体" w:cs="宋体"/>
          <w:color w:val="000000"/>
          <w:sz w:val="24"/>
          <w:szCs w:val="24"/>
          <w:highlight w:val="none"/>
        </w:rPr>
        <w:t>给甲方。（具体按甲方财务要求提供）</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发票信息：</w:t>
      </w:r>
      <w:r>
        <w:rPr>
          <w:rFonts w:hint="eastAsia" w:ascii="宋体" w:hAnsi="宋体" w:eastAsia="宋体" w:cs="宋体"/>
          <w:color w:val="000000"/>
          <w:sz w:val="24"/>
          <w:szCs w:val="24"/>
          <w:highlight w:val="none"/>
          <w:u w:val="single"/>
          <w:lang w:val="en-US" w:eastAsia="zh-CN"/>
        </w:rPr>
        <w:t xml:space="preserve">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outlineLvl w:val="1"/>
        <w:rPr>
          <w:rFonts w:hint="eastAsia" w:ascii="宋体" w:hAnsi="宋体" w:eastAsia="宋体" w:cs="宋体"/>
          <w:bCs/>
          <w:color w:val="000000"/>
          <w:sz w:val="24"/>
          <w:szCs w:val="24"/>
          <w:highlight w:val="none"/>
          <w:bdr w:val="single" w:color="auto" w:sz="4" w:space="0"/>
        </w:rPr>
      </w:pPr>
      <w:r>
        <w:rPr>
          <w:rFonts w:hint="eastAsia" w:ascii="宋体" w:hAnsi="宋体" w:eastAsia="宋体" w:cs="宋体"/>
          <w:color w:val="000000"/>
          <w:sz w:val="24"/>
          <w:szCs w:val="24"/>
          <w:highlight w:val="none"/>
        </w:rPr>
        <w:t xml:space="preserve">5.8付款方式： </w:t>
      </w:r>
      <w:r>
        <w:rPr>
          <w:rFonts w:hint="eastAsia" w:ascii="宋体" w:hAnsi="宋体" w:eastAsia="宋体" w:cs="宋体"/>
          <w:color w:val="000000"/>
          <w:sz w:val="24"/>
          <w:szCs w:val="24"/>
          <w:highlight w:val="none"/>
        </w:rPr>
        <w:sym w:font="Wingdings" w:char="00FE"/>
      </w:r>
      <w:r>
        <w:rPr>
          <w:rFonts w:hint="eastAsia" w:ascii="宋体" w:hAnsi="宋体" w:eastAsia="宋体" w:cs="宋体"/>
          <w:color w:val="000000"/>
          <w:sz w:val="24"/>
          <w:szCs w:val="24"/>
          <w:highlight w:val="none"/>
        </w:rPr>
        <w:t xml:space="preserve">网银支付；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 xml:space="preserve">支票；   </w:t>
      </w:r>
      <w:r>
        <w:rPr>
          <w:rFonts w:hint="eastAsia" w:ascii="宋体" w:hAnsi="宋体" w:eastAsia="宋体" w:cs="宋体"/>
          <w:color w:val="000000"/>
          <w:sz w:val="24"/>
          <w:szCs w:val="24"/>
          <w:highlight w:val="none"/>
        </w:rPr>
        <w:sym w:font="Wingdings" w:char="F0A8"/>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11"/>
        <w:keepNext w:val="0"/>
        <w:keepLines w:val="0"/>
        <w:pageBreakBefore w:val="0"/>
        <w:widowControl w:val="0"/>
        <w:kinsoku/>
        <w:wordWrap/>
        <w:overflowPunct/>
        <w:bidi w:val="0"/>
        <w:spacing w:line="500" w:lineRule="exact"/>
        <w:ind w:firstLine="720" w:firstLineChars="300"/>
        <w:outlineLvl w:val="1"/>
        <w:rPr>
          <w:rFonts w:hint="eastAsia" w:ascii="宋体" w:hAnsi="宋体" w:eastAsia="宋体" w:cs="宋体"/>
          <w:color w:val="000000"/>
          <w:sz w:val="24"/>
          <w:highlight w:val="none"/>
        </w:rPr>
      </w:pPr>
    </w:p>
    <w:p>
      <w:pPr>
        <w:keepNext w:val="0"/>
        <w:keepLines w:val="0"/>
        <w:pageBreakBefore w:val="0"/>
        <w:widowControl w:val="0"/>
        <w:kinsoku/>
        <w:wordWrap/>
        <w:overflowPunct/>
        <w:bidi w:val="0"/>
        <w:spacing w:line="500" w:lineRule="exact"/>
        <w:ind w:firstLine="468" w:firstLineChars="200"/>
        <w:rPr>
          <w:rFonts w:hint="eastAsia" w:ascii="宋体" w:hAnsi="宋体" w:eastAsia="宋体" w:cs="宋体"/>
          <w:color w:val="000000"/>
          <w:sz w:val="24"/>
          <w:szCs w:val="24"/>
          <w:highlight w:val="none"/>
        </w:rPr>
      </w:pPr>
      <w:r>
        <w:rPr>
          <w:rFonts w:hint="eastAsia" w:ascii="宋体" w:hAnsi="宋体" w:eastAsia="宋体" w:cs="宋体"/>
          <w:color w:val="000000"/>
          <w:spacing w:val="-3"/>
          <w:sz w:val="24"/>
          <w:szCs w:val="24"/>
          <w:highlight w:val="none"/>
        </w:rPr>
        <w:t>5.9如出现合同费用超付，乙方应在获知超付之日起7个工作日内返还超付款项（无息）。</w:t>
      </w:r>
      <w:r>
        <w:rPr>
          <w:rFonts w:hint="eastAsia" w:ascii="宋体" w:hAnsi="宋体" w:eastAsia="宋体" w:cs="宋体"/>
          <w:color w:val="000000"/>
          <w:sz w:val="24"/>
          <w:szCs w:val="24"/>
          <w:highlight w:val="none"/>
        </w:rPr>
        <w:t>每逾期一周乙方承担超付款项的</w:t>
      </w:r>
      <w:r>
        <w:rPr>
          <w:rFonts w:hint="eastAsia" w:ascii="宋体" w:hAnsi="宋体" w:eastAsia="宋体" w:cs="宋体"/>
          <w:color w:val="000000"/>
          <w:sz w:val="24"/>
          <w:szCs w:val="24"/>
          <w:highlight w:val="none"/>
          <w:u w:val="single"/>
        </w:rPr>
        <w:t>1%</w:t>
      </w:r>
      <w:r>
        <w:rPr>
          <w:rFonts w:hint="eastAsia" w:ascii="宋体" w:hAnsi="宋体" w:eastAsia="宋体" w:cs="宋体"/>
          <w:color w:val="000000"/>
          <w:sz w:val="24"/>
          <w:szCs w:val="24"/>
          <w:highlight w:val="none"/>
        </w:rPr>
        <w:t>的逾期违约金，且支付超付款项相应存款利息。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5.10结算审定价超过合同暂定总价时，暂停合同的工程款支付程序，签订补充协议后支付。</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lang w:val="en-US" w:eastAsia="zh-CN"/>
        </w:rPr>
      </w:pPr>
      <w:r>
        <w:rPr>
          <w:rFonts w:hint="eastAsia" w:ascii="宋体" w:hAnsi="宋体" w:eastAsia="宋体" w:cs="宋体"/>
          <w:color w:val="000000"/>
          <w:sz w:val="24"/>
          <w:szCs w:val="24"/>
          <w:highlight w:val="none"/>
          <w:lang w:val="en-US" w:eastAsia="zh-CN"/>
        </w:rPr>
        <w:t>5.11本项目工程款的支付单位为：</w:t>
      </w:r>
      <w:r>
        <w:rPr>
          <w:rFonts w:hint="eastAsia" w:ascii="宋体" w:hAnsi="宋体" w:eastAsia="宋体" w:cs="宋体"/>
          <w:bCs/>
          <w:color w:val="000000"/>
          <w:sz w:val="24"/>
          <w:szCs w:val="24"/>
          <w:highlight w:val="none"/>
          <w:u w:val="single"/>
        </w:rPr>
        <w:t>广州市净水有限公司</w:t>
      </w:r>
      <w:r>
        <w:rPr>
          <w:rFonts w:hint="eastAsia" w:ascii="宋体" w:hAnsi="宋体" w:eastAsia="宋体" w:cs="宋体"/>
          <w:bCs/>
          <w:color w:val="000000"/>
          <w:sz w:val="24"/>
          <w:szCs w:val="24"/>
          <w:highlight w:val="none"/>
          <w:u w:val="single"/>
          <w:lang w:val="en-US" w:eastAsia="zh-CN"/>
        </w:rPr>
        <w:t>大坦沙分公司</w:t>
      </w:r>
      <w:r>
        <w:rPr>
          <w:rFonts w:hint="eastAsia" w:ascii="宋体" w:hAnsi="宋体" w:eastAsia="宋体" w:cs="宋体"/>
          <w:color w:val="000000"/>
          <w:sz w:val="24"/>
          <w:szCs w:val="24"/>
          <w:highlight w:val="none"/>
          <w:u w:val="single"/>
          <w:lang w:val="en-US" w:eastAsia="zh-CN"/>
        </w:rPr>
        <w:t>。</w:t>
      </w:r>
    </w:p>
    <w:bookmarkEnd w:id="83"/>
    <w:bookmarkEnd w:id="84"/>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第六条  履约担保</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履约担保：</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sym w:font="Wingdings" w:char="F0A8"/>
      </w:r>
      <w:r>
        <w:rPr>
          <w:rFonts w:hint="eastAsia" w:ascii="宋体" w:hAnsi="宋体" w:eastAsia="宋体" w:cs="宋体"/>
          <w:bCs/>
          <w:color w:val="000000"/>
          <w:sz w:val="24"/>
          <w:szCs w:val="24"/>
          <w:highlight w:val="none"/>
        </w:rPr>
        <w:t xml:space="preserve">无；    </w:t>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Times New Roman" w:char="0000"/>
      </w:r>
      <w:r>
        <w:rPr>
          <w:rFonts w:hint="eastAsia" w:ascii="宋体" w:hAnsi="宋体" w:eastAsia="宋体" w:cs="宋体"/>
          <w:bCs/>
          <w:color w:val="000000"/>
          <w:sz w:val="24"/>
          <w:szCs w:val="24"/>
          <w:highlight w:val="none"/>
        </w:rPr>
        <w:sym w:font="Wingdings" w:char="00FE"/>
      </w:r>
      <w:r>
        <w:rPr>
          <w:rFonts w:hint="eastAsia" w:ascii="宋体" w:hAnsi="宋体" w:eastAsia="宋体" w:cs="宋体"/>
          <w:bCs/>
          <w:color w:val="000000"/>
          <w:sz w:val="24"/>
          <w:szCs w:val="24"/>
          <w:highlight w:val="none"/>
        </w:rPr>
        <w:t>有，</w:t>
      </w:r>
      <w:r>
        <w:rPr>
          <w:rFonts w:hint="eastAsia" w:ascii="宋体" w:hAnsi="宋体" w:eastAsia="宋体" w:cs="宋体"/>
          <w:bCs/>
          <w:color w:val="000000"/>
          <w:sz w:val="24"/>
          <w:szCs w:val="24"/>
          <w:highlight w:val="none"/>
          <w:lang w:val="en-US" w:eastAsia="zh-CN"/>
        </w:rPr>
        <w:t>乙方于</w:t>
      </w:r>
      <w:r>
        <w:rPr>
          <w:rFonts w:hint="eastAsia" w:ascii="宋体" w:hAnsi="宋体" w:eastAsia="宋体" w:cs="宋体"/>
          <w:color w:val="000000"/>
          <w:sz w:val="24"/>
          <w:szCs w:val="24"/>
          <w:highlight w:val="none"/>
        </w:rPr>
        <w:t>本合同签订后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w:t>
      </w:r>
      <w:r>
        <w:rPr>
          <w:rFonts w:hint="eastAsia" w:ascii="宋体" w:hAnsi="宋体" w:eastAsia="宋体" w:cs="宋体"/>
          <w:color w:val="000000"/>
          <w:sz w:val="24"/>
          <w:szCs w:val="24"/>
          <w:highlight w:val="none"/>
          <w:u w:val="single"/>
          <w:lang w:val="en-US" w:eastAsia="zh-CN"/>
        </w:rPr>
        <w:t>按照</w:t>
      </w:r>
      <w:r>
        <w:rPr>
          <w:rFonts w:hint="eastAsia" w:ascii="宋体" w:hAnsi="宋体" w:eastAsia="宋体" w:cs="宋体"/>
          <w:color w:val="000000"/>
          <w:sz w:val="24"/>
          <w:szCs w:val="24"/>
          <w:highlight w:val="none"/>
          <w:u w:val="single"/>
        </w:rPr>
        <w:t>合同暂定价的10%</w:t>
      </w:r>
      <w:r>
        <w:rPr>
          <w:rFonts w:hint="eastAsia" w:ascii="宋体" w:hAnsi="宋体" w:eastAsia="宋体" w:cs="宋体"/>
          <w:color w:val="000000"/>
          <w:sz w:val="24"/>
          <w:szCs w:val="24"/>
          <w:highlight w:val="none"/>
          <w:u w:val="single"/>
          <w:lang w:val="en-US" w:eastAsia="zh-CN"/>
        </w:rPr>
        <w:t>提交</w:t>
      </w:r>
      <w:r>
        <w:rPr>
          <w:rFonts w:hint="eastAsia" w:ascii="宋体" w:hAnsi="宋体" w:eastAsia="宋体" w:cs="宋体"/>
          <w:color w:val="000000"/>
          <w:sz w:val="24"/>
          <w:szCs w:val="24"/>
          <w:highlight w:val="none"/>
          <w:u w:val="single"/>
        </w:rPr>
        <w:t>履约保证金，</w:t>
      </w:r>
      <w:r>
        <w:rPr>
          <w:rFonts w:hint="eastAsia" w:ascii="宋体" w:hAnsi="宋体" w:eastAsia="宋体" w:cs="宋体"/>
          <w:color w:val="000000"/>
          <w:sz w:val="24"/>
          <w:szCs w:val="24"/>
          <w:highlight w:val="none"/>
        </w:rPr>
        <w:t xml:space="preserve">金额为： </w:t>
      </w:r>
      <w:r>
        <w:rPr>
          <w:rFonts w:hint="eastAsia" w:ascii="宋体" w:hAnsi="宋体" w:eastAsia="宋体" w:cs="宋体"/>
          <w:color w:val="000000"/>
          <w:sz w:val="24"/>
          <w:szCs w:val="24"/>
          <w:highlight w:val="none"/>
          <w:u w:val="single"/>
        </w:rPr>
        <w:t xml:space="preserve">   （大写人民币：            ）</w:t>
      </w:r>
      <w:r>
        <w:rPr>
          <w:rFonts w:hint="eastAsia" w:ascii="宋体" w:hAnsi="宋体" w:eastAsia="宋体" w:cs="宋体"/>
          <w:color w:val="000000"/>
          <w:sz w:val="24"/>
          <w:szCs w:val="24"/>
          <w:highlight w:val="none"/>
        </w:rPr>
        <w:t>未按时提供履约担保的，甲方有权解除合同并要求乙方支付</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作为违约金。</w:t>
      </w:r>
    </w:p>
    <w:p>
      <w:pPr>
        <w:pStyle w:val="20"/>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6.1履约担保按以下任一种形式提供：</w:t>
      </w:r>
    </w:p>
    <w:p>
      <w:pPr>
        <w:pStyle w:val="20"/>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（1）符合甲方要求（详见附件8保函格式）的银行独立保函，</w:t>
      </w:r>
    </w:p>
    <w:p>
      <w:pPr>
        <w:pStyle w:val="20"/>
        <w:keepNext w:val="0"/>
        <w:keepLines w:val="0"/>
        <w:pageBreakBefore w:val="0"/>
        <w:widowControl w:val="0"/>
        <w:kinsoku/>
        <w:wordWrap/>
        <w:overflowPunct/>
        <w:bidi w:val="0"/>
        <w:spacing w:before="0" w:beforeAutospacing="0" w:after="0" w:afterAutospacing="0" w:line="500" w:lineRule="exact"/>
        <w:ind w:firstLine="48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（2）现金转账至甲方以下指定账户：</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户名：广州市净水有限公司</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账号：82010154900000342</w:t>
      </w:r>
    </w:p>
    <w:p>
      <w:pPr>
        <w:keepNext w:val="0"/>
        <w:keepLines w:val="0"/>
        <w:pageBreakBefore w:val="0"/>
        <w:widowControl w:val="0"/>
        <w:tabs>
          <w:tab w:val="left" w:pos="1995"/>
        </w:tabs>
        <w:kinsoku/>
        <w:wordWrap/>
        <w:overflowPunct/>
        <w:bidi w:val="0"/>
        <w:spacing w:line="500" w:lineRule="exact"/>
        <w:ind w:firstLine="480" w:firstLineChars="200"/>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开户行：浦发银行广州分行</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6.2履约担保的担保期限和返还</w:t>
      </w:r>
    </w:p>
    <w:p>
      <w:pPr>
        <w:keepNext w:val="0"/>
        <w:keepLines w:val="0"/>
        <w:pageBreakBefore w:val="0"/>
        <w:widowControl w:val="0"/>
        <w:kinsoku/>
        <w:wordWrap/>
        <w:overflowPunct/>
        <w:bidi w:val="0"/>
        <w:spacing w:line="500" w:lineRule="exact"/>
        <w:ind w:firstLine="48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⑴履约银行保函（或现金履约保证金）的担保期限：从提供履约担保（或转账成功）之日起至合同履行完成。</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⑵履约银行保函在合同履行完成后，由乙方提出申请，甲方在28日内返还，不支付利息：</w:t>
      </w:r>
    </w:p>
    <w:p>
      <w:pPr>
        <w:keepNext w:val="0"/>
        <w:keepLines w:val="0"/>
        <w:pageBreakBefore w:val="0"/>
        <w:widowControl w:val="0"/>
        <w:kinsoku/>
        <w:wordWrap/>
        <w:overflowPunct/>
        <w:bidi w:val="0"/>
        <w:spacing w:line="500" w:lineRule="exact"/>
        <w:ind w:firstLine="480" w:firstLineChars="200"/>
        <w:outlineLvl w:val="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⑶延长担保期限。乙方以履约银行保函形式提交履约保证金的，在银行保函到期前，乙方应提前</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日向甲方提交新的保函以替换即将到期的保函。如乙方未及时提交的，甲方有权直接要求担保银行支付其担保的全部金额并解除合同。</w:t>
      </w:r>
    </w:p>
    <w:p>
      <w:pPr>
        <w:pStyle w:val="20"/>
        <w:keepNext w:val="0"/>
        <w:keepLines w:val="0"/>
        <w:pageBreakBefore w:val="0"/>
        <w:widowControl w:val="0"/>
        <w:kinsoku/>
        <w:wordWrap/>
        <w:overflowPunct/>
        <w:bidi w:val="0"/>
        <w:spacing w:before="0" w:beforeAutospacing="0" w:after="0" w:afterAutospacing="0" w:line="500" w:lineRule="exact"/>
        <w:ind w:firstLine="480" w:firstLineChars="200"/>
        <w:rPr>
          <w:rFonts w:hint="eastAsia" w:ascii="宋体" w:hAnsi="宋体" w:eastAsia="宋体" w:cs="宋体"/>
          <w:color w:val="000000"/>
          <w:szCs w:val="24"/>
          <w:highlight w:val="none"/>
          <w:u w:val="single"/>
        </w:rPr>
      </w:pPr>
      <w:r>
        <w:rPr>
          <w:rFonts w:hint="eastAsia" w:ascii="宋体" w:hAnsi="宋体" w:eastAsia="宋体" w:cs="宋体"/>
          <w:color w:val="000000"/>
          <w:szCs w:val="24"/>
          <w:highlight w:val="none"/>
        </w:rPr>
        <w:t>⑷现金履约保证金的退还：合同履行完成后，由乙方提出申请，甲方在</w:t>
      </w:r>
      <w:r>
        <w:rPr>
          <w:rFonts w:hint="eastAsia" w:ascii="宋体" w:hAnsi="宋体" w:eastAsia="宋体" w:cs="宋体"/>
          <w:color w:val="000000"/>
          <w:szCs w:val="24"/>
          <w:highlight w:val="none"/>
          <w:u w:val="single"/>
        </w:rPr>
        <w:t>28日</w:t>
      </w:r>
      <w:r>
        <w:rPr>
          <w:rFonts w:hint="eastAsia" w:ascii="宋体" w:hAnsi="宋体" w:eastAsia="宋体" w:cs="宋体"/>
          <w:color w:val="000000"/>
          <w:szCs w:val="24"/>
          <w:highlight w:val="none"/>
        </w:rPr>
        <w:t>内将剩余保证金（无息）返还。</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6.3甲方按本合同规定提取履约担保金额后，乙方应在收到甲方通知后</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日内补足数额，逾期未补足的，则甲方有权提取履约担保的全部余额并解除合同。</w:t>
      </w:r>
    </w:p>
    <w:p>
      <w:pPr>
        <w:pStyle w:val="20"/>
        <w:keepNext w:val="0"/>
        <w:keepLines w:val="0"/>
        <w:pageBreakBefore w:val="0"/>
        <w:widowControl w:val="0"/>
        <w:kinsoku/>
        <w:wordWrap/>
        <w:overflowPunct/>
        <w:bidi w:val="0"/>
        <w:spacing w:before="0" w:beforeAutospacing="0" w:after="0" w:afterAutospacing="0" w:line="500" w:lineRule="exact"/>
        <w:ind w:firstLine="482" w:firstLineChars="200"/>
        <w:rPr>
          <w:rFonts w:hint="eastAsia" w:ascii="宋体" w:hAnsi="宋体" w:eastAsia="宋体" w:cs="宋体"/>
          <w:b/>
          <w:color w:val="000000"/>
          <w:szCs w:val="24"/>
          <w:highlight w:val="none"/>
        </w:rPr>
      </w:pPr>
      <w:r>
        <w:rPr>
          <w:rFonts w:hint="eastAsia" w:ascii="宋体" w:hAnsi="宋体" w:eastAsia="宋体" w:cs="宋体"/>
          <w:b/>
          <w:color w:val="000000"/>
          <w:szCs w:val="24"/>
          <w:highlight w:val="none"/>
        </w:rPr>
        <w:t>第七条  图纸</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7.1甲方于开工前向乙方提供技术要求或施工图纸及相关资料。（不包括竣工图纸）</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7.2乙方未经甲方书面同意，不得将本工程图纸</w:t>
      </w:r>
      <w:r>
        <w:rPr>
          <w:rStyle w:val="28"/>
          <w:rFonts w:hint="eastAsia" w:ascii="宋体" w:hAnsi="宋体" w:eastAsia="宋体" w:cs="宋体"/>
          <w:color w:val="000000"/>
          <w:sz w:val="24"/>
          <w:szCs w:val="24"/>
          <w:highlight w:val="none"/>
        </w:rPr>
        <w:t>出示、</w:t>
      </w:r>
      <w:r>
        <w:rPr>
          <w:rFonts w:hint="eastAsia" w:ascii="宋体" w:hAnsi="宋体" w:eastAsia="宋体" w:cs="宋体"/>
          <w:color w:val="000000"/>
          <w:sz w:val="24"/>
          <w:szCs w:val="24"/>
          <w:highlight w:val="none"/>
        </w:rPr>
        <w:t>泄露或以任何其他方式提供给第三人或使第三人知悉。除乙方存档需要的图纸外，乙方应在工程质量保修期满后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7</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日内将全部图纸退还给甲方。</w:t>
      </w:r>
    </w:p>
    <w:p>
      <w:pPr>
        <w:keepNext w:val="0"/>
        <w:keepLines w:val="0"/>
        <w:pageBreakBefore w:val="0"/>
        <w:widowControl w:val="0"/>
        <w:tabs>
          <w:tab w:val="left" w:pos="360"/>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第八条  甲方代表、乙方驻场代表</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甲方代表：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冼红卫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w:t>
      </w:r>
    </w:p>
    <w:p>
      <w:pPr>
        <w:pStyle w:val="64"/>
        <w:keepNext w:val="0"/>
        <w:keepLines w:val="0"/>
        <w:pageBreakBefore w:val="0"/>
        <w:widowControl w:val="0"/>
        <w:tabs>
          <w:tab w:val="left" w:pos="1276"/>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乙方驻场代表（项目经理）：_______________ 。</w:t>
      </w:r>
    </w:p>
    <w:p>
      <w:pPr>
        <w:keepNext w:val="0"/>
        <w:keepLines w:val="0"/>
        <w:pageBreakBefore w:val="0"/>
        <w:widowControl w:val="0"/>
        <w:tabs>
          <w:tab w:val="left" w:pos="1276"/>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项目经理任职条件须符合《广东省住房和城乡建设厅关于加强我省小型工程项目施工管理及明确小型工程项目负责人任职条件的通知》（粤建市[2010]26号）中的相关规定(如有新文件从其新规定）。</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第九条  甲方责任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9.1 开工前办理土地征用，青苗、树木赔偿，坟地迁移，房屋、构筑物拆迁（如有），地上及架空、地下障碍物清除，保证施工期间的用地需要。</w:t>
      </w:r>
    </w:p>
    <w:p>
      <w:pPr>
        <w:keepNext w:val="0"/>
        <w:keepLines w:val="0"/>
        <w:pageBreakBefore w:val="0"/>
        <w:widowControl w:val="0"/>
        <w:tabs>
          <w:tab w:val="left" w:pos="-18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9.2 办理施工许可证和临时用地、停水、停电、中断道路交通、爆破作业等的申请批准手续（证明乙方自身资质的证件及应由乙方办理的手续除外）。</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9.3 协调、处理施工现场周围建筑物、构筑物(含文物保护建筑)、古树名木和地下管线的保护，并承担有关费用。</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9.4 按照合同条款第七条约定及时将施工图纸及有关技术资料提供给乙方，并组织设计单位、乙方会审图纸和设计交底，在收到乙方提供的施工组织设计(或施工方案)和进度计划后</w:t>
      </w:r>
      <w:r>
        <w:rPr>
          <w:rFonts w:hint="eastAsia" w:ascii="宋体" w:hAnsi="宋体" w:eastAsia="宋体" w:cs="宋体"/>
          <w:color w:val="000000"/>
          <w:sz w:val="24"/>
          <w:szCs w:val="24"/>
          <w:highlight w:val="none"/>
          <w:u w:val="single"/>
        </w:rPr>
        <w:t xml:space="preserve">  5  </w:t>
      </w:r>
      <w:r>
        <w:rPr>
          <w:rFonts w:hint="eastAsia" w:ascii="宋体" w:hAnsi="宋体" w:eastAsia="宋体" w:cs="宋体"/>
          <w:color w:val="000000"/>
          <w:sz w:val="24"/>
          <w:szCs w:val="24"/>
          <w:highlight w:val="none"/>
        </w:rPr>
        <w:t>日内予以确认。</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第十条  乙方责任</w:t>
      </w:r>
    </w:p>
    <w:p>
      <w:pPr>
        <w:keepNext w:val="0"/>
        <w:keepLines w:val="0"/>
        <w:pageBreakBefore w:val="0"/>
        <w:widowControl w:val="0"/>
        <w:kinsoku/>
        <w:wordWrap/>
        <w:overflowPunct/>
        <w:bidi w:val="0"/>
        <w:spacing w:line="500" w:lineRule="exact"/>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10.1施工用水用电采用以下</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方式执行。</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（1）由甲方提供施工用水用电接口，水电费按合同综合单价水电含量计算，从甲方支付的工程款中直接扣回。</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（2）由甲方提供施工用水用电接口，费用按</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月/项目）结算，由乙方向</w:t>
      </w:r>
      <w:r>
        <w:rPr>
          <w:rFonts w:hint="eastAsia" w:ascii="宋体" w:hAnsi="宋体" w:eastAsia="宋体" w:cs="宋体"/>
          <w:color w:val="000000"/>
          <w:sz w:val="24"/>
          <w:szCs w:val="24"/>
          <w:highlight w:val="none"/>
          <w:u w:val="single"/>
        </w:rPr>
        <w:t>甲方或甲方XX分公司</w:t>
      </w:r>
      <w:r>
        <w:rPr>
          <w:rFonts w:hint="eastAsia" w:ascii="宋体" w:hAnsi="宋体" w:eastAsia="宋体" w:cs="宋体"/>
          <w:color w:val="000000"/>
          <w:sz w:val="24"/>
          <w:szCs w:val="24"/>
          <w:highlight w:val="none"/>
        </w:rPr>
        <w:t>支付。水电费用按所属供电局、自来水公司收费标准，按实计算。</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（3）由乙方自行负责。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10.2 根据甲方要求提交施工计划、已完工进度统计报表和工程事故报告。</w:t>
      </w:r>
    </w:p>
    <w:p>
      <w:pPr>
        <w:keepNext w:val="0"/>
        <w:keepLines w:val="0"/>
        <w:pageBreakBefore w:val="0"/>
        <w:widowControl w:val="0"/>
        <w:kinsoku/>
        <w:wordWrap/>
        <w:overflowPunct/>
        <w:bidi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10.3 遵守国家及本市有关部门对施工现场环境保护，做好施工噪声、废气、废水、安全、防火、保卫、并按照国家及广州市相关规定做好建筑垃圾的处理等各项工作。</w:t>
      </w:r>
    </w:p>
    <w:p>
      <w:pPr>
        <w:keepNext w:val="0"/>
        <w:keepLines w:val="0"/>
        <w:pageBreakBefore w:val="0"/>
        <w:widowControl w:val="0"/>
        <w:tabs>
          <w:tab w:val="left" w:pos="851"/>
        </w:tabs>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10.4 建立健全安全防护措施和文明施工的制度，完善安全防护和文明施工条件，严格按照安全防护和文明施工的规定组织施工，采取必要的安全防护措施，消除事故隐患，自觉接受和配合行政主管部门依法实施的监督检查。乙方在施工过程中必须按照相关规定进行围蔽。</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10.5 做好施工现场周围建筑物、构筑物(含文物保护建筑)、古树名木和地下管线的保护。发现地下障碍和文物时，及时报告甲方及有关部门并采取有效保护措施，按有关具体规定处置，甲方承担由此发生的费用，延误的工期相应顺延。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需在施工组织设计(或施工方案)中列明管线保护的详细措施，经甲方确认后才能进行施工，在施工过程中严格按照管线保护措施保护好管线，相关费用按实计量。由于措施不当或没有做好保护措施便开工导致挖断管线的，乙方承担所有责任及相应费用。当现场施工发生管线损坏事故时，乙方必须立即报告甲方、管线产权单位及建设行政主管部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10.6 在图纸会审和设计交底后</w:t>
      </w:r>
      <w:r>
        <w:rPr>
          <w:rFonts w:hint="eastAsia" w:ascii="宋体" w:hAnsi="宋体" w:eastAsia="宋体" w:cs="宋体"/>
          <w:color w:val="000000"/>
          <w:sz w:val="24"/>
          <w:szCs w:val="24"/>
          <w:highlight w:val="none"/>
          <w:u w:val="single"/>
        </w:rPr>
        <w:t xml:space="preserve"> 7 </w:t>
      </w:r>
      <w:r>
        <w:rPr>
          <w:rFonts w:hint="eastAsia" w:ascii="宋体" w:hAnsi="宋体" w:eastAsia="宋体" w:cs="宋体"/>
          <w:color w:val="000000"/>
          <w:sz w:val="24"/>
          <w:szCs w:val="24"/>
          <w:highlight w:val="none"/>
        </w:rPr>
        <w:t>日内向甲方提交施工组织设计(或施工方案)和进度计划，经甲方批准后依照计划组织施工，接受甲方对进度的检查监督。</w:t>
      </w:r>
    </w:p>
    <w:p>
      <w:pPr>
        <w:pStyle w:val="64"/>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10.7 乙方严格遵守建设工程余泥渣土运输与排放管理制度，选择合法的余泥渣土运输单位及排放点，确保余泥渣土合法处置。</w:t>
      </w:r>
    </w:p>
    <w:p>
      <w:pPr>
        <w:pStyle w:val="64"/>
        <w:keepNext w:val="0"/>
        <w:keepLines w:val="0"/>
        <w:pageBreakBefore w:val="0"/>
        <w:widowControl w:val="0"/>
        <w:tabs>
          <w:tab w:val="left" w:pos="851"/>
        </w:tabs>
        <w:kinsoku/>
        <w:wordWrap/>
        <w:overflowPunct/>
        <w:bidi w:val="0"/>
        <w:snapToGrid w:val="0"/>
        <w:spacing w:before="0" w:after="0" w:line="500" w:lineRule="exact"/>
        <w:ind w:left="435" w:leftChars="150" w:right="0" w:hanging="120" w:hangingChars="5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10.8 乙方应按时参加甲方召开的施工调度会议，严格执行会议纪要的决定</w:t>
      </w:r>
    </w:p>
    <w:p>
      <w:pPr>
        <w:pStyle w:val="64"/>
        <w:keepNext w:val="0"/>
        <w:keepLines w:val="0"/>
        <w:pageBreakBefore w:val="0"/>
        <w:widowControl w:val="0"/>
        <w:tabs>
          <w:tab w:val="left" w:pos="851"/>
        </w:tabs>
        <w:kinsoku/>
        <w:wordWrap/>
        <w:overflowPunct/>
        <w:bidi w:val="0"/>
        <w:snapToGrid w:val="0"/>
        <w:spacing w:before="0" w:after="0" w:line="500" w:lineRule="exact"/>
        <w:ind w:left="0" w:right="0"/>
        <w:rPr>
          <w:rFonts w:hint="eastAsia" w:ascii="宋体" w:hAnsi="宋体" w:eastAsia="宋体" w:cs="宋体"/>
          <w:color w:val="000000"/>
          <w:kern w:val="2"/>
          <w:szCs w:val="24"/>
          <w:highlight w:val="none"/>
        </w:rPr>
      </w:pPr>
      <w:r>
        <w:rPr>
          <w:rFonts w:hint="eastAsia" w:ascii="宋体" w:hAnsi="宋体" w:eastAsia="宋体" w:cs="宋体"/>
          <w:color w:val="000000"/>
          <w:kern w:val="2"/>
          <w:szCs w:val="24"/>
          <w:highlight w:val="none"/>
        </w:rPr>
        <w:t>每缺席一次，甲方有权要求乙方支付</w:t>
      </w:r>
      <w:r>
        <w:rPr>
          <w:rFonts w:hint="eastAsia" w:ascii="宋体" w:hAnsi="宋体" w:eastAsia="宋体" w:cs="宋体"/>
          <w:color w:val="000000"/>
          <w:kern w:val="2"/>
          <w:szCs w:val="24"/>
          <w:highlight w:val="none"/>
          <w:u w:val="single"/>
        </w:rPr>
        <w:t xml:space="preserve"> </w:t>
      </w:r>
      <w:r>
        <w:rPr>
          <w:rFonts w:hint="eastAsia" w:ascii="宋体" w:hAnsi="宋体" w:cs="宋体"/>
          <w:color w:val="000000"/>
          <w:szCs w:val="24"/>
          <w:highlight w:val="none"/>
          <w:u w:val="single"/>
          <w:lang w:val="en-US" w:eastAsia="zh-CN"/>
        </w:rPr>
        <w:t>1000</w:t>
      </w:r>
      <w:r>
        <w:rPr>
          <w:rFonts w:hint="eastAsia" w:ascii="宋体" w:hAnsi="宋体" w:eastAsia="宋体" w:cs="宋体"/>
          <w:color w:val="000000"/>
          <w:kern w:val="2"/>
          <w:szCs w:val="24"/>
          <w:highlight w:val="none"/>
          <w:u w:val="single"/>
        </w:rPr>
        <w:t>元</w:t>
      </w:r>
      <w:r>
        <w:rPr>
          <w:rFonts w:hint="eastAsia" w:ascii="宋体" w:hAnsi="宋体" w:eastAsia="宋体" w:cs="宋体"/>
          <w:color w:val="000000"/>
          <w:kern w:val="2"/>
          <w:szCs w:val="24"/>
          <w:highlight w:val="none"/>
        </w:rPr>
        <w:t>作为违约金。</w:t>
      </w:r>
    </w:p>
    <w:p>
      <w:pPr>
        <w:pStyle w:val="64"/>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kern w:val="2"/>
          <w:szCs w:val="24"/>
          <w:highlight w:val="none"/>
        </w:rPr>
      </w:pPr>
      <w:r>
        <w:rPr>
          <w:rFonts w:hint="eastAsia" w:ascii="宋体" w:hAnsi="宋体" w:eastAsia="宋体" w:cs="宋体"/>
          <w:color w:val="000000"/>
          <w:szCs w:val="24"/>
          <w:highlight w:val="none"/>
        </w:rPr>
        <w:t>10.9 乙方应在施工现场保留施工相关资料（如施工图、技术需求书等）、安全审批过程材料，供甲方进行工程检查时使用。</w:t>
      </w:r>
    </w:p>
    <w:p>
      <w:pPr>
        <w:pStyle w:val="64"/>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10.10 乙方应严格按《广州市建设工程文明施工管理规定》、</w:t>
      </w:r>
      <w:r>
        <w:rPr>
          <w:rFonts w:hint="eastAsia" w:hAnsi="宋体" w:eastAsia="宋体"/>
          <w:color w:val="000000"/>
          <w:sz w:val="24"/>
          <w:highlight w:val="none"/>
          <w:lang w:eastAsia="zh-CN"/>
        </w:rPr>
        <w:t>《</w:t>
      </w:r>
      <w:r>
        <w:rPr>
          <w:rFonts w:hint="eastAsia" w:hAnsi="宋体" w:eastAsia="宋体"/>
          <w:color w:val="000000"/>
          <w:sz w:val="24"/>
          <w:highlight w:val="none"/>
          <w:lang w:val="en-US" w:eastAsia="zh-CN"/>
        </w:rPr>
        <w:t>广州市建设工程扬尘防治“6个100%”管理标准图集（V2.0版）</w:t>
      </w:r>
      <w:r>
        <w:rPr>
          <w:rFonts w:hint="eastAsia" w:hAnsi="宋体" w:eastAsia="宋体"/>
          <w:color w:val="000000"/>
          <w:sz w:val="24"/>
          <w:highlight w:val="none"/>
          <w:lang w:eastAsia="zh-CN"/>
        </w:rPr>
        <w:t>》</w:t>
      </w:r>
      <w:r>
        <w:rPr>
          <w:rFonts w:hint="eastAsia" w:ascii="宋体" w:hAnsi="宋体" w:eastAsia="宋体" w:cs="宋体"/>
          <w:color w:val="000000"/>
          <w:szCs w:val="24"/>
          <w:highlight w:val="none"/>
        </w:rPr>
        <w:t>要求实施。（如有出台新文件，按新文件执行）</w:t>
      </w:r>
    </w:p>
    <w:p>
      <w:pPr>
        <w:pStyle w:val="64"/>
        <w:keepNext w:val="0"/>
        <w:keepLines w:val="0"/>
        <w:pageBreakBefore w:val="0"/>
        <w:widowControl w:val="0"/>
        <w:tabs>
          <w:tab w:val="left" w:pos="851"/>
        </w:tabs>
        <w:kinsoku/>
        <w:wordWrap/>
        <w:overflowPunct/>
        <w:bidi w:val="0"/>
        <w:snapToGrid w:val="0"/>
        <w:spacing w:before="0" w:after="0" w:line="500" w:lineRule="exact"/>
        <w:ind w:left="0" w:right="0" w:firstLine="480" w:firstLineChars="200"/>
        <w:rPr>
          <w:rFonts w:hint="eastAsia" w:ascii="宋体" w:hAnsi="宋体" w:eastAsia="宋体" w:cs="宋体"/>
          <w:color w:val="000000"/>
          <w:szCs w:val="24"/>
          <w:highlight w:val="none"/>
        </w:rPr>
      </w:pPr>
      <w:r>
        <w:rPr>
          <w:rFonts w:hint="eastAsia" w:ascii="宋体" w:hAnsi="宋体" w:eastAsia="宋体" w:cs="宋体"/>
          <w:color w:val="000000"/>
          <w:szCs w:val="24"/>
          <w:highlight w:val="none"/>
        </w:rPr>
        <w:t>10.11 乙方应做好施工现场100%围蔽、工地砂土100%覆盖、工地路面100%硬地化、拆除工程100%洒水压尘、出工地车辆100%冲净车轮车身、暂不开发的场地100%绿化等工作。</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10.12 如厂区内施工，施工人员必须严格遵守</w:t>
      </w:r>
      <w:r>
        <w:rPr>
          <w:rFonts w:hint="eastAsia" w:ascii="宋体" w:hAnsi="宋体" w:eastAsia="宋体" w:cs="宋体"/>
          <w:color w:val="000000"/>
          <w:kern w:val="10"/>
          <w:sz w:val="24"/>
          <w:szCs w:val="24"/>
          <w:highlight w:val="none"/>
        </w:rPr>
        <w:t>污水处理厂</w:t>
      </w:r>
      <w:r>
        <w:rPr>
          <w:rFonts w:hint="eastAsia" w:ascii="宋体" w:hAnsi="宋体" w:eastAsia="宋体" w:cs="宋体"/>
          <w:color w:val="000000"/>
          <w:sz w:val="24"/>
          <w:szCs w:val="24"/>
          <w:highlight w:val="none"/>
        </w:rPr>
        <w:t>一切规章制度。进入施工现场人员必须佩戴出入证，并自觉接受门岗检查。</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10.13 乙方做好施工人员的安全防护措施，施工人员安全责任由乙方承担。</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10.14 乙方特种作业人员必须持证上岗。</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10.15 乙方应注意安全施工，在施工过程中出现的伤亡事故及工作过程以外出现的一切事故由乙方承担责任，并负责处理善后工作，负责伤亡者一切费用。  </w:t>
      </w:r>
    </w:p>
    <w:p>
      <w:pPr>
        <w:keepNext w:val="0"/>
        <w:keepLines w:val="0"/>
        <w:pageBreakBefore w:val="0"/>
        <w:widowControl w:val="0"/>
        <w:kinsoku/>
        <w:wordWrap/>
        <w:overflowPunct/>
        <w:bidi w:val="0"/>
        <w:adjustRightInd w:val="0"/>
        <w:snapToGri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u w:val="single"/>
          <w:lang w:val="en-US" w:eastAsia="zh-CN"/>
        </w:rPr>
        <w:t>10.16施工过程中，乙方应负责配备现场的应急物资。具体应急物资配备详见附件。</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lang w:val="en-US" w:eastAsia="zh-CN"/>
        </w:rPr>
        <w:t>（如需）</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第十一条 工程质量检查及验收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11.1乙方应认真按照国家颁布的施工验收规范及工程设计图纸要求进行施工，且接受甲方监督，质量验收必须达到合格。</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11.2 隐蔽工程验收</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当工程具备覆盖、掩盖条件或达到中间验收部位后，乙方自检，并提前</w:t>
      </w:r>
      <w:r>
        <w:rPr>
          <w:rFonts w:hint="eastAsia" w:ascii="宋体" w:hAnsi="宋体" w:eastAsia="宋体" w:cs="宋体"/>
          <w:color w:val="000000"/>
          <w:sz w:val="24"/>
          <w:szCs w:val="24"/>
          <w:highlight w:val="none"/>
          <w:u w:val="single"/>
        </w:rPr>
        <w:t>48</w:t>
      </w:r>
      <w:r>
        <w:rPr>
          <w:rFonts w:hint="eastAsia" w:ascii="宋体" w:hAnsi="宋体" w:eastAsia="宋体" w:cs="宋体"/>
          <w:color w:val="000000"/>
          <w:sz w:val="24"/>
          <w:szCs w:val="24"/>
          <w:highlight w:val="none"/>
        </w:rPr>
        <w:t xml:space="preserve">小时以书面形式通知甲方参加验收，经甲方验收合格并在验收记录上签字后，方可进行隐蔽和继续施工。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11.3 乙方应在工程完工后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日内，按甲方要求将竣工资料和竣工验收报告各一式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份提交甲方进行资料预验收,每逾期一日，乙方需支付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甲方在收到上述资料后</w:t>
      </w:r>
      <w:r>
        <w:rPr>
          <w:rFonts w:hint="eastAsia" w:ascii="宋体" w:hAnsi="宋体" w:eastAsia="宋体" w:cs="宋体"/>
          <w:color w:val="000000"/>
          <w:sz w:val="24"/>
          <w:szCs w:val="24"/>
          <w:highlight w:val="none"/>
          <w:u w:val="single"/>
        </w:rPr>
        <w:t>28</w:t>
      </w:r>
      <w:r>
        <w:rPr>
          <w:rFonts w:hint="eastAsia" w:ascii="宋体" w:hAnsi="宋体" w:eastAsia="宋体" w:cs="宋体"/>
          <w:color w:val="000000"/>
          <w:sz w:val="24"/>
          <w:szCs w:val="24"/>
          <w:highlight w:val="none"/>
        </w:rPr>
        <w:t>日内组织有关单位进行验收，并在验收后10日内给予认可或提出修改意见。乙方按要求修改，并承担修改的费用。</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11.4工程竣工验收通过，乙方送交竣工资料和竣工验收报告的日期为实际竣工日期。工程按甲方要求修改后通过竣工验收的，实际竣工日期为乙方修改后提请甲方验收的日期。</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11.5 竣工资料</w:t>
      </w:r>
    </w:p>
    <w:p>
      <w:pPr>
        <w:keepNext w:val="0"/>
        <w:keepLines w:val="0"/>
        <w:pageBreakBefore w:val="0"/>
        <w:widowControl w:val="0"/>
        <w:kinsoku/>
        <w:wordWrap/>
        <w:overflowPunct/>
        <w:bidi w:val="0"/>
        <w:spacing w:line="500" w:lineRule="exact"/>
        <w:ind w:firstLine="600" w:firstLineChars="2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乙方应按甲方的要求，在工程施工期间及时收集、汇总、整理、编制竣工档案，并于工程竣工验收后按下款约定向甲方完整移交如下竣工资料（包括且不限于）：</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（a）竣工文件资料、竣工图资料（原件）各一式</w:t>
      </w:r>
      <w:r>
        <w:rPr>
          <w:rFonts w:hint="eastAsia" w:ascii="宋体" w:hAnsi="宋体" w:eastAsia="宋体" w:cs="宋体"/>
          <w:color w:val="000000"/>
          <w:sz w:val="24"/>
          <w:szCs w:val="24"/>
          <w:highlight w:val="none"/>
          <w:u w:val="single"/>
        </w:rPr>
        <w:t>四</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（b）与本款（a）项内容相同的电子版资料一式</w:t>
      </w:r>
      <w:r>
        <w:rPr>
          <w:rFonts w:hint="eastAsia" w:ascii="宋体" w:hAnsi="宋体" w:eastAsia="宋体" w:cs="宋体"/>
          <w:color w:val="000000"/>
          <w:sz w:val="24"/>
          <w:szCs w:val="24"/>
          <w:highlight w:val="none"/>
          <w:u w:val="single"/>
        </w:rPr>
        <w:t>二</w:t>
      </w:r>
      <w:r>
        <w:rPr>
          <w:rFonts w:hint="eastAsia" w:ascii="宋体" w:hAnsi="宋体" w:eastAsia="宋体" w:cs="宋体"/>
          <w:color w:val="000000"/>
          <w:sz w:val="24"/>
          <w:szCs w:val="24"/>
          <w:highlight w:val="none"/>
        </w:rPr>
        <w:t>份；</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（2）乙方移交竣工资料的时限：乙方应于工程竣工验收后</w:t>
      </w:r>
      <w:r>
        <w:rPr>
          <w:rFonts w:hint="eastAsia" w:ascii="宋体" w:hAnsi="宋体" w:eastAsia="宋体" w:cs="宋体"/>
          <w:color w:val="000000"/>
          <w:sz w:val="24"/>
          <w:szCs w:val="24"/>
          <w:highlight w:val="none"/>
          <w:u w:val="single"/>
        </w:rPr>
        <w:t>30</w:t>
      </w:r>
      <w:r>
        <w:rPr>
          <w:rFonts w:hint="eastAsia" w:ascii="宋体" w:hAnsi="宋体" w:eastAsia="宋体" w:cs="宋体"/>
          <w:color w:val="000000"/>
          <w:sz w:val="24"/>
          <w:szCs w:val="24"/>
          <w:highlight w:val="none"/>
        </w:rPr>
        <w:t>日内将竣工资料提交甲方签认。乙方应于甲方签认后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日内将竣工资料移交给甲方归档并同时移交有关的证明文件。甲方经审查合格的，应在收到竣工资料后</w:t>
      </w:r>
      <w:r>
        <w:rPr>
          <w:rFonts w:hint="eastAsia" w:ascii="宋体" w:hAnsi="宋体" w:eastAsia="宋体" w:cs="宋体"/>
          <w:color w:val="000000"/>
          <w:sz w:val="24"/>
          <w:szCs w:val="24"/>
          <w:highlight w:val="none"/>
          <w:u w:val="single"/>
        </w:rPr>
        <w:t>10</w:t>
      </w:r>
      <w:r>
        <w:rPr>
          <w:rFonts w:hint="eastAsia" w:ascii="宋体" w:hAnsi="宋体" w:eastAsia="宋体" w:cs="宋体"/>
          <w:color w:val="000000"/>
          <w:sz w:val="24"/>
          <w:szCs w:val="24"/>
          <w:highlight w:val="none"/>
        </w:rPr>
        <w:t>日内签署资料验收意见；不合格的，乙方应按甲方要求限期补正，直至合格为止。乙方超过本条规定的时限，每逾期一日，支付</w:t>
      </w:r>
      <w:r>
        <w:rPr>
          <w:rFonts w:hint="eastAsia" w:ascii="宋体" w:hAnsi="宋体" w:eastAsia="宋体" w:cs="宋体"/>
          <w:color w:val="000000"/>
          <w:sz w:val="24"/>
          <w:szCs w:val="24"/>
          <w:highlight w:val="none"/>
          <w:u w:val="single"/>
        </w:rPr>
        <w:t>合同暂定总价</w:t>
      </w:r>
      <w:r>
        <w:rPr>
          <w:rFonts w:hint="eastAsia" w:ascii="宋体" w:hAnsi="宋体" w:eastAsia="宋体" w:cs="宋体"/>
          <w:bCs/>
          <w:color w:val="000000"/>
          <w:sz w:val="24"/>
          <w:szCs w:val="24"/>
          <w:highlight w:val="none"/>
          <w:u w:val="single"/>
        </w:rPr>
        <w:t>万分之五/日</w:t>
      </w:r>
      <w:r>
        <w:rPr>
          <w:rFonts w:hint="eastAsia" w:ascii="宋体" w:hAnsi="宋体" w:eastAsia="宋体" w:cs="宋体"/>
          <w:color w:val="000000"/>
          <w:sz w:val="24"/>
          <w:szCs w:val="24"/>
          <w:highlight w:val="none"/>
        </w:rPr>
        <w:t>违约金。</w:t>
      </w:r>
    </w:p>
    <w:p>
      <w:pPr>
        <w:keepNext w:val="0"/>
        <w:keepLines w:val="0"/>
        <w:pageBreakBefore w:val="0"/>
        <w:widowControl w:val="0"/>
        <w:kinsoku/>
        <w:wordWrap/>
        <w:overflowPunct/>
        <w:bidi w:val="0"/>
        <w:spacing w:line="500" w:lineRule="exact"/>
        <w:ind w:firstLine="360" w:firstLineChars="15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（3）电子版竣工图的编制，以甲方提供的电子版施工图为基础。乙方在移交竣工资料时，应一并移交甲方提供的电子版施工图。</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电子版施工图和电子版竣工图的知识产权归属甲方所有，非经甲方许可，乙方不得以任何方式复制、备份、转让和利用。否则，由此引起的任何纠纷和责任由乙方承担。</w:t>
      </w:r>
    </w:p>
    <w:p>
      <w:pPr>
        <w:keepNext w:val="0"/>
        <w:keepLines w:val="0"/>
        <w:pageBreakBefore w:val="0"/>
        <w:widowControl w:val="0"/>
        <w:kinsoku/>
        <w:wordWrap/>
        <w:overflowPunct/>
        <w:bidi w:val="0"/>
        <w:spacing w:line="500" w:lineRule="exact"/>
        <w:ind w:firstLine="480"/>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11.6本合同竣工</w:t>
      </w:r>
      <w:r>
        <w:rPr>
          <w:rFonts w:hint="eastAsia" w:ascii="宋体" w:hAnsi="宋体" w:eastAsia="宋体" w:cs="宋体"/>
          <w:color w:val="000000"/>
          <w:sz w:val="24"/>
          <w:szCs w:val="24"/>
          <w:highlight w:val="none"/>
          <w:u w:val="single"/>
          <w:lang w:val="en-US" w:eastAsia="zh-CN"/>
        </w:rPr>
        <w:t>验收结算</w:t>
      </w:r>
      <w:r>
        <w:rPr>
          <w:rFonts w:hint="eastAsia" w:ascii="宋体" w:hAnsi="宋体" w:eastAsia="宋体" w:cs="宋体"/>
          <w:color w:val="000000"/>
          <w:sz w:val="24"/>
          <w:szCs w:val="24"/>
          <w:highlight w:val="none"/>
          <w:lang w:val="en-US" w:eastAsia="zh-CN"/>
        </w:rPr>
        <w:t>单位为：</w:t>
      </w:r>
      <w:r>
        <w:rPr>
          <w:rFonts w:hint="eastAsia" w:ascii="宋体" w:hAnsi="宋体" w:eastAsia="宋体" w:cs="宋体"/>
          <w:bCs/>
          <w:color w:val="000000"/>
          <w:sz w:val="24"/>
          <w:szCs w:val="24"/>
          <w:highlight w:val="none"/>
          <w:u w:val="single"/>
        </w:rPr>
        <w:t>广州市净水有限公司</w:t>
      </w:r>
      <w:r>
        <w:rPr>
          <w:rFonts w:hint="eastAsia" w:ascii="宋体" w:hAnsi="宋体" w:eastAsia="宋体" w:cs="宋体"/>
          <w:bCs/>
          <w:color w:val="000000"/>
          <w:sz w:val="24"/>
          <w:szCs w:val="24"/>
          <w:highlight w:val="none"/>
          <w:u w:val="single"/>
          <w:lang w:val="en-US" w:eastAsia="zh-CN"/>
        </w:rPr>
        <w:t>大坦沙分公司。</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第十二条 工程结算</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12.1 乙方在工程竣工验收合格后</w:t>
      </w:r>
      <w:r>
        <w:rPr>
          <w:rFonts w:hint="eastAsia" w:ascii="宋体" w:hAnsi="宋体" w:eastAsia="宋体" w:cs="宋体"/>
          <w:color w:val="000000"/>
          <w:sz w:val="24"/>
          <w:szCs w:val="24"/>
          <w:highlight w:val="none"/>
          <w:u w:val="single"/>
        </w:rPr>
        <w:t xml:space="preserve"> 28 </w:t>
      </w:r>
      <w:r>
        <w:rPr>
          <w:rFonts w:hint="eastAsia" w:ascii="宋体" w:hAnsi="宋体" w:eastAsia="宋体" w:cs="宋体"/>
          <w:color w:val="000000"/>
          <w:sz w:val="24"/>
          <w:szCs w:val="24"/>
          <w:highlight w:val="none"/>
        </w:rPr>
        <w:t>日内，按甲方要求将完整的竣工结算资料（一式两套原件）报送甲方，如乙方未在规定时间内提供完整的工程竣工结算资料，每逾期一日，应支付</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1000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元/日违约金，并且经甲方书面催促后</w:t>
      </w:r>
      <w:r>
        <w:rPr>
          <w:rFonts w:hint="eastAsia" w:ascii="宋体" w:hAnsi="宋体" w:eastAsia="宋体" w:cs="宋体"/>
          <w:color w:val="000000"/>
          <w:sz w:val="24"/>
          <w:szCs w:val="24"/>
          <w:highlight w:val="none"/>
          <w:u w:val="single"/>
        </w:rPr>
        <w:t xml:space="preserve"> 14 </w:t>
      </w:r>
      <w:r>
        <w:rPr>
          <w:rFonts w:hint="eastAsia" w:ascii="宋体" w:hAnsi="宋体" w:eastAsia="宋体" w:cs="宋体"/>
          <w:color w:val="000000"/>
          <w:sz w:val="24"/>
          <w:szCs w:val="24"/>
          <w:highlight w:val="none"/>
        </w:rPr>
        <w:t>日内仍未提供或没有书面答复，甲方有权根据已有资料单方办理结算，合同结算价以甲方或甲方委托的第三方造价咨询单位出具的审核结果为准。</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12.2结算原则</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12.2.1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综合单价包干</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本工程采用分部分项清单项目综合单价包干，项目措施费按实计量。结算时依据经甲方审查的结算资料计算实际工程量，并按综合单价（按合同清单综合单价、综合合价以及按合同约定的变更计价依据计算并将组价按乙方报价的下浮率（%）下浮）进行结算。</w:t>
      </w:r>
      <w:r>
        <w:rPr>
          <w:rFonts w:hint="eastAsia" w:ascii="宋体" w:hAnsi="宋体" w:eastAsia="宋体" w:cs="宋体"/>
          <w:bCs/>
          <w:color w:val="000000"/>
          <w:sz w:val="24"/>
          <w:szCs w:val="24"/>
          <w:highlight w:val="none"/>
        </w:rPr>
        <w:t>最终以甲方或者甲方委托的第三方造价咨询单位审核后的终审价作为结算价。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12.2.2 </w:t>
      </w:r>
      <w:r>
        <w:rPr>
          <w:rFonts w:hint="eastAsia" w:ascii="宋体" w:hAnsi="宋体" w:eastAsia="宋体" w:cs="宋体"/>
          <w:color w:val="000000"/>
          <w:sz w:val="24"/>
          <w:szCs w:val="24"/>
          <w:highlight w:val="none"/>
        </w:rPr>
        <w:sym w:font="Times New Roman" w:char="0000"/>
      </w:r>
      <w:r>
        <w:rPr>
          <w:rFonts w:hint="eastAsia" w:ascii="宋体" w:hAnsi="宋体" w:eastAsia="宋体" w:cs="宋体"/>
          <w:color w:val="000000"/>
          <w:sz w:val="24"/>
          <w:szCs w:val="24"/>
          <w:highlight w:val="none"/>
        </w:rPr>
        <w:t>固定总价包干</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合同项目的工程承包总价是由乙方按交易文件（如有）、图纸的承包范围、承包内容规定，采用清单计价办法或定额计价办法，结合工程现场实际情况，考虑风险后按相应下浮率下浮后编制的，除甲方对原承包范围、承包内容进行变更或同意变更外，乙方必须按本承包价对交易文件（如有）、图纸的范围、内容、要求进行包施工、包安装、包料、包质量、包安全、包工期、包文明施工等的总价包干，其中项目措施费按实计量。</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如因甲方对承包范围、承包内容进行变更或同意变更时，变更项目的工程造价采用清单计价方法或定额计价方法按合同约定的变更计价依据进行计价后下浮</w:t>
      </w:r>
      <w:r>
        <w:rPr>
          <w:rFonts w:hint="eastAsia" w:ascii="宋体" w:hAnsi="宋体" w:eastAsia="宋体" w:cs="宋体"/>
          <w:color w:val="000000"/>
          <w:sz w:val="24"/>
          <w:szCs w:val="24"/>
          <w:highlight w:val="none"/>
          <w:u w:val="single"/>
        </w:rPr>
        <w:t xml:space="preserve">  …   </w:t>
      </w: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最终以甲方或甲方委托的第三方造价咨询单位审核后的终审价作为结算价。</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12.3 变更计价依据</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工程变更按下列规定调整：</w:t>
      </w:r>
    </w:p>
    <w:p>
      <w:pPr>
        <w:keepNext w:val="0"/>
        <w:keepLines w:val="0"/>
        <w:pageBreakBefore w:val="0"/>
        <w:widowControl w:val="0"/>
        <w:tabs>
          <w:tab w:val="left" w:pos="0"/>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12.3.1因非甲方原因引起工程量报价清单中工程量发生增减，且单个子目工程量变化幅度在5%以内（含）时，按工程量报价清单中列明的子目单价结算。否则，按新增单价执行。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12.3.2</w:t>
      </w:r>
      <w:r>
        <w:rPr>
          <w:rFonts w:hint="eastAsia" w:ascii="宋体" w:hAnsi="宋体" w:eastAsia="宋体" w:cs="宋体"/>
          <w:color w:val="000000"/>
          <w:sz w:val="24"/>
          <w:szCs w:val="24"/>
          <w:highlight w:val="none"/>
        </w:rPr>
        <w:t xml:space="preserve"> 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12.3.3新增单价计价原则：</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合同中没有适用于变更工程项目的单价的，</w:t>
      </w:r>
      <w:r>
        <w:rPr>
          <w:rFonts w:hint="eastAsia" w:ascii="宋体" w:hAnsi="宋体" w:eastAsia="宋体" w:cs="宋体"/>
          <w:color w:val="000000"/>
          <w:sz w:val="24"/>
          <w:szCs w:val="24"/>
          <w:highlight w:val="none"/>
          <w:lang w:val="en-US" w:eastAsia="zh-CN"/>
        </w:rPr>
        <w:t>按新增单价执行。</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rPr>
        <w:t>项目计价材料、设备价格的控制</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按以下顺序作为降序优先级依次采用工程开工报告中开工日期当月的下列价格</w:t>
      </w:r>
      <w:r>
        <w:rPr>
          <w:rFonts w:hint="eastAsia" w:ascii="宋体" w:hAnsi="宋体" w:eastAsia="宋体" w:cs="宋体"/>
          <w:color w:val="00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（1）《广州地区建设工程常用材料税前综合价格》（下称综合价格）。</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（2）《广州地区建设工程材料（设备）厂商价格信息》（下称厂商价格）下浮10-20%。</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（3）综合价格、厂商价格中缺项的，采用由北京瑞恒达建筑咨询有限公司提供服务的“慧讯网”中查到的相应材料、设备价格的工程价。</w:t>
      </w:r>
    </w:p>
    <w:p>
      <w:pPr>
        <w:pStyle w:val="55"/>
        <w:rPr>
          <w:rFonts w:hint="default" w:eastAsia="宋体"/>
          <w:color w:val="000000"/>
          <w:highlight w:val="none"/>
          <w:lang w:val="en-US" w:eastAsia="zh-CN"/>
        </w:rPr>
      </w:pPr>
      <w:r>
        <w:rPr>
          <w:rFonts w:hint="eastAsia" w:hAnsi="宋体" w:eastAsia="宋体" w:cs="宋体"/>
          <w:color w:val="000000"/>
          <w:sz w:val="24"/>
          <w:szCs w:val="24"/>
          <w:highlight w:val="none"/>
          <w:lang w:val="en-US" w:eastAsia="zh-CN"/>
        </w:rPr>
        <w:t xml:space="preserve">  </w:t>
      </w:r>
      <w:r>
        <w:rPr>
          <w:rFonts w:ascii="宋体" w:hAnsi="宋体" w:eastAsia="宋体" w:cs="宋体"/>
          <w:color w:val="000000"/>
          <w:sz w:val="24"/>
          <w:szCs w:val="24"/>
          <w:highlight w:val="none"/>
        </w:rPr>
        <w:t>（4）通过市场询价双方协商确定。</w:t>
      </w:r>
    </w:p>
    <w:p>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  3.按1、2组价后下浮5%计取。</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 xml:space="preserve"> </w:t>
      </w:r>
      <w:r>
        <w:rPr>
          <w:rFonts w:hint="eastAsia" w:ascii="宋体" w:hAnsi="宋体" w:eastAsia="宋体" w:cs="宋体"/>
          <w:b/>
          <w:color w:val="000000"/>
          <w:sz w:val="24"/>
          <w:szCs w:val="24"/>
          <w:highlight w:val="none"/>
        </w:rPr>
        <w:t>第十三条 材料设备要求</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13.1乙方应对负责供应的材料设备，提供产品合格证明，保证其质量符合国家、地方及行业有关规范及设计要求，否则，乙方应在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7</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日内重新供应符合要求的产品，由于乙方提供的伪劣、假冒等所有不合格材料而导致的损失、事故及一切后果，均由乙方负责并赔偿甲方所有损失。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13.2 甲方发现乙方使用与设计和规范要求不符的材料设备时，有权要求乙方停止使用，并在</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3</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日内拆除、修复或重新采购，如果乙方拒不履行，则甲方可自行或指派第三方实施，由此发生的费用由乙方承担。</w:t>
      </w:r>
    </w:p>
    <w:p>
      <w:pPr>
        <w:keepNext w:val="0"/>
        <w:keepLines w:val="0"/>
        <w:pageBreakBefore w:val="0"/>
        <w:widowControl w:val="0"/>
        <w:tabs>
          <w:tab w:val="left" w:pos="840"/>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13.3本项目所承包范围内所需的设备材料、成品、未成品、运输、保管、质量等责任均由乙方承担。</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第十四条 工程保修</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14.1 质量保证金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按工程结算审定价的</w:t>
      </w:r>
      <w:r>
        <w:rPr>
          <w:rFonts w:hint="eastAsia" w:ascii="宋体" w:hAnsi="宋体" w:eastAsia="宋体" w:cs="宋体"/>
          <w:color w:val="000000"/>
          <w:sz w:val="24"/>
          <w:szCs w:val="24"/>
          <w:highlight w:val="none"/>
          <w:u w:val="single"/>
        </w:rPr>
        <w:t>3 %</w:t>
      </w:r>
      <w:r>
        <w:rPr>
          <w:rFonts w:hint="eastAsia" w:ascii="宋体" w:hAnsi="宋体" w:eastAsia="宋体" w:cs="宋体"/>
          <w:color w:val="000000"/>
          <w:sz w:val="24"/>
          <w:szCs w:val="24"/>
          <w:highlight w:val="none"/>
        </w:rPr>
        <w:t>预留工程保修费用。乙方未按照法律法规有关规定和合同约定履行质量保修义务的，甲方有权从质量保证金中扣留用于质量保修的各项支出。</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14.2保修期自工程竣工验收合格之日起算，且不得低于法定保修年限。</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具体保修项目及保修期限：</w:t>
      </w:r>
      <w:r>
        <w:rPr>
          <w:rFonts w:hint="eastAsia" w:ascii="宋体" w:hAnsi="宋体" w:eastAsia="宋体" w:cs="宋体"/>
          <w:color w:val="000000"/>
          <w:sz w:val="24"/>
          <w:szCs w:val="24"/>
          <w:highlight w:val="none"/>
          <w:u w:val="single"/>
        </w:rPr>
        <w:t xml:space="preserve"> 详见工程质量保修书（附件）。</w:t>
      </w:r>
    </w:p>
    <w:p>
      <w:pPr>
        <w:keepNext w:val="0"/>
        <w:keepLines w:val="0"/>
        <w:pageBreakBefore w:val="0"/>
        <w:widowControl w:val="0"/>
        <w:kinsoku/>
        <w:wordWrap/>
        <w:overflowPunct/>
        <w:bidi w:val="0"/>
        <w:spacing w:line="500" w:lineRule="exact"/>
        <w:ind w:firstLine="420" w:firstLineChars="175"/>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14.3</w:t>
      </w:r>
      <w:r>
        <w:rPr>
          <w:rFonts w:hint="eastAsia" w:ascii="宋体" w:hAnsi="宋体" w:eastAsia="宋体" w:cs="宋体"/>
          <w:bCs/>
          <w:color w:val="000000"/>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000000"/>
          <w:sz w:val="24"/>
          <w:szCs w:val="24"/>
          <w:highlight w:val="none"/>
          <w:u w:val="single"/>
        </w:rPr>
        <w:t>合同暂定总价的10%/次</w:t>
      </w:r>
      <w:r>
        <w:rPr>
          <w:rFonts w:hint="eastAsia" w:ascii="宋体" w:hAnsi="宋体" w:eastAsia="宋体" w:cs="宋体"/>
          <w:bCs/>
          <w:color w:val="000000"/>
          <w:sz w:val="24"/>
          <w:szCs w:val="24"/>
          <w:highlight w:val="none"/>
        </w:rPr>
        <w:t>作为违约金。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14.4约定的保修期限终止后，由乙方提出支付申请，甲方审核后</w:t>
      </w:r>
      <w:r>
        <w:rPr>
          <w:rFonts w:hint="eastAsia" w:ascii="宋体" w:hAnsi="宋体" w:eastAsia="宋体" w:cs="宋体"/>
          <w:color w:val="000000"/>
          <w:sz w:val="24"/>
          <w:szCs w:val="24"/>
          <w:highlight w:val="none"/>
          <w:u w:val="single"/>
        </w:rPr>
        <w:t>28日</w:t>
      </w:r>
      <w:r>
        <w:rPr>
          <w:rFonts w:hint="eastAsia" w:ascii="宋体" w:hAnsi="宋体" w:eastAsia="宋体" w:cs="宋体"/>
          <w:color w:val="000000"/>
          <w:sz w:val="24"/>
          <w:szCs w:val="24"/>
          <w:highlight w:val="none"/>
        </w:rPr>
        <w:t>内将剩余的质量保证金（无息）返还。</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第十五条 违约处理</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甲方或乙方不能按合同条款约定内容履行自己的各项义务及发生使合同无法履行的行为，应承担相应的违约责任，包括支付违约金，赔偿因其违约给对方造成的全部经济损失。</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 xml:space="preserve">15.1 </w:t>
      </w:r>
      <w:r>
        <w:rPr>
          <w:rFonts w:hint="eastAsia" w:ascii="宋体" w:hAnsi="宋体" w:eastAsia="宋体" w:cs="宋体"/>
          <w:bCs/>
          <w:color w:val="000000"/>
          <w:sz w:val="24"/>
          <w:szCs w:val="24"/>
          <w:highlight w:val="none"/>
        </w:rPr>
        <w:t>工期延误</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因乙方原因造成工期延误，每逾期一日，应按</w:t>
      </w:r>
      <w:r>
        <w:rPr>
          <w:rFonts w:hint="eastAsia" w:ascii="宋体" w:hAnsi="宋体" w:eastAsia="宋体" w:cs="宋体"/>
          <w:color w:val="000000"/>
          <w:sz w:val="24"/>
          <w:szCs w:val="24"/>
          <w:highlight w:val="none"/>
          <w:u w:val="single"/>
        </w:rPr>
        <w:t>合同暂定价的1%/日</w:t>
      </w:r>
      <w:r>
        <w:rPr>
          <w:rFonts w:hint="eastAsia" w:ascii="宋体" w:hAnsi="宋体" w:eastAsia="宋体" w:cs="宋体"/>
          <w:color w:val="000000"/>
          <w:sz w:val="24"/>
          <w:szCs w:val="24"/>
          <w:highlight w:val="none"/>
        </w:rPr>
        <w:t>支付逾期违约金，逾期达到</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日及以上的，甲方有权解除合同。乙方支付逾期违约金后，不免除乙方继续完成工程及修补缺陷的义务以及赔偿因此给甲方造成损失的责任。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  工程质量不合格</w:t>
      </w:r>
    </w:p>
    <w:p>
      <w:pPr>
        <w:keepNext w:val="0"/>
        <w:keepLines w:val="0"/>
        <w:pageBreakBefore w:val="0"/>
        <w:widowControl w:val="0"/>
        <w:tabs>
          <w:tab w:val="left" w:pos="851"/>
        </w:tabs>
        <w:kinsoku/>
        <w:wordWrap/>
        <w:overflowPunct/>
        <w:bidi w:val="0"/>
        <w:adjustRightInd w:val="0"/>
        <w:snapToGrid w:val="0"/>
        <w:spacing w:line="500" w:lineRule="exact"/>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15.2.1工程存在质量问题的，乙方应在甲方规定期限内整改直至达到合同要求的质量标准，如果逾期不整改或者整改不符合合同约定，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/次的违约金。由此造成的经济和法律责任，均由乙方负责。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15.2.2  工程经竣工验收不合格的，乙方完成整改后应重新申请验收，经重新组织验收仍不合格且无法采取措施补救的，则甲方有权解除合同，并要求乙方按</w:t>
      </w:r>
      <w:r>
        <w:rPr>
          <w:rFonts w:hint="eastAsia" w:ascii="宋体" w:hAnsi="宋体" w:eastAsia="宋体" w:cs="宋体"/>
          <w:color w:val="000000"/>
          <w:sz w:val="24"/>
          <w:szCs w:val="24"/>
          <w:highlight w:val="none"/>
          <w:u w:val="single"/>
        </w:rPr>
        <w:t>合同暂定总价的20%</w:t>
      </w:r>
      <w:r>
        <w:rPr>
          <w:rFonts w:hint="eastAsia" w:ascii="宋体" w:hAnsi="宋体" w:eastAsia="宋体" w:cs="宋体"/>
          <w:color w:val="000000"/>
          <w:sz w:val="24"/>
          <w:szCs w:val="24"/>
          <w:highlight w:val="none"/>
        </w:rPr>
        <w:t>支付违约金，乙方承担由此造成的全部损失。</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15.2.3质量事故：因乙方原因发生质量事故，甲方有权根据质量事故的严重程度对乙方处以不低于</w:t>
      </w:r>
      <w:r>
        <w:rPr>
          <w:rFonts w:hint="eastAsia" w:ascii="宋体" w:hAnsi="宋体" w:eastAsia="宋体" w:cs="宋体"/>
          <w:color w:val="000000"/>
          <w:sz w:val="24"/>
          <w:szCs w:val="24"/>
          <w:highlight w:val="none"/>
          <w:u w:val="single"/>
        </w:rPr>
        <w:t>合同暂定总价20%</w:t>
      </w:r>
      <w:r>
        <w:rPr>
          <w:rFonts w:hint="eastAsia" w:ascii="宋体" w:hAnsi="宋体" w:eastAsia="宋体" w:cs="宋体"/>
          <w:color w:val="000000"/>
          <w:sz w:val="24"/>
          <w:szCs w:val="24"/>
          <w:highlight w:val="none"/>
        </w:rPr>
        <w:t>的处罚，该处罚不免除乙方自费返工或修复的责任。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 安全隐患</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发现乙方未遵守安全生产和文明施工规定或施工现场存在安全事故隐患的，以书面形式通知乙方整改；情况严重的，可要求乙方暂停施工。乙方在收到书面通知后的48小时内仍未整改的，甲方有权委托第三方整改，所产生的费用由甲方从应付或将付给乙方的款项中扣除，且甲方有权要求乙方支付</w:t>
      </w:r>
      <w:r>
        <w:rPr>
          <w:rFonts w:hint="eastAsia" w:ascii="宋体" w:hAnsi="宋体" w:eastAsia="宋体" w:cs="宋体"/>
          <w:color w:val="000000"/>
          <w:sz w:val="24"/>
          <w:szCs w:val="24"/>
          <w:highlight w:val="none"/>
          <w:u w:val="single"/>
        </w:rPr>
        <w:t xml:space="preserve">合同暂定总价的 20%  </w:t>
      </w:r>
      <w:r>
        <w:rPr>
          <w:rFonts w:hint="eastAsia" w:ascii="宋体" w:hAnsi="宋体" w:eastAsia="宋体" w:cs="宋体"/>
          <w:color w:val="000000"/>
          <w:sz w:val="24"/>
          <w:szCs w:val="24"/>
          <w:highlight w:val="none"/>
        </w:rPr>
        <w:t xml:space="preserve"> /次的违约金。</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出现上述情形超过</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次（含</w:t>
      </w:r>
      <w:r>
        <w:rPr>
          <w:rFonts w:hint="eastAsia" w:ascii="宋体" w:hAnsi="宋体" w:eastAsia="宋体" w:cs="宋体"/>
          <w:color w:val="000000"/>
          <w:sz w:val="24"/>
          <w:szCs w:val="24"/>
          <w:highlight w:val="none"/>
          <w:u w:val="single"/>
          <w:lang w:val="en-US" w:eastAsia="zh-CN"/>
        </w:rPr>
        <w:t>5</w:t>
      </w:r>
      <w:r>
        <w:rPr>
          <w:rFonts w:hint="eastAsia" w:ascii="宋体" w:hAnsi="宋体" w:eastAsia="宋体" w:cs="宋体"/>
          <w:color w:val="000000"/>
          <w:sz w:val="24"/>
          <w:szCs w:val="24"/>
          <w:highlight w:val="none"/>
        </w:rPr>
        <w:t>次）的，甲方有权解除合同。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15.4安全事故</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对合同工程的安全施工负责，应及时、如实报告生产安全事故。乙方违反本合同规定或由于乙方原因造成的安全事故的，由乙方承担相应责任和费用，工期不予顺延。甲方根据法定部门认定的事故等级，追究乙方相应的违约赔偿责任。</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15.5项目负责人不符合合同要求</w:t>
      </w:r>
    </w:p>
    <w:p>
      <w:pPr>
        <w:pStyle w:val="11"/>
        <w:keepNext w:val="0"/>
        <w:keepLines w:val="0"/>
        <w:pageBreakBefore w:val="0"/>
        <w:widowControl w:val="0"/>
        <w:kinsoku/>
        <w:wordWrap/>
        <w:overflowPunct/>
        <w:bidi w:val="0"/>
        <w:spacing w:line="500" w:lineRule="exact"/>
        <w:ind w:firstLine="448" w:firstLineChars="200"/>
        <w:outlineLvl w:val="1"/>
        <w:rPr>
          <w:rFonts w:hint="eastAsia" w:ascii="宋体" w:hAnsi="宋体" w:eastAsia="宋体" w:cs="宋体"/>
          <w:color w:val="000000"/>
          <w:spacing w:val="-8"/>
          <w:sz w:val="24"/>
          <w:highlight w:val="none"/>
        </w:rPr>
      </w:pPr>
      <w:r>
        <w:rPr>
          <w:rFonts w:hint="eastAsia" w:ascii="宋体" w:hAnsi="宋体" w:eastAsia="宋体" w:cs="宋体"/>
          <w:color w:val="000000"/>
          <w:spacing w:val="-8"/>
          <w:sz w:val="24"/>
          <w:highlight w:val="none"/>
        </w:rPr>
        <w:t>乙方不得随意更换项目负责人及</w:t>
      </w:r>
      <w:r>
        <w:rPr>
          <w:rFonts w:hint="eastAsia" w:hAnsi="宋体" w:eastAsia="宋体" w:cs="宋体"/>
          <w:color w:val="000000"/>
          <w:spacing w:val="-8"/>
          <w:sz w:val="24"/>
          <w:highlight w:val="none"/>
          <w:lang w:val="en-US" w:eastAsia="zh-CN"/>
        </w:rPr>
        <w:t>附件6中的</w:t>
      </w:r>
      <w:r>
        <w:rPr>
          <w:rFonts w:hint="eastAsia" w:ascii="宋体" w:hAnsi="宋体" w:eastAsia="宋体" w:cs="宋体"/>
          <w:color w:val="000000"/>
          <w:spacing w:val="-8"/>
          <w:sz w:val="24"/>
          <w:highlight w:val="none"/>
        </w:rPr>
        <w:t>相关人员，如确须更换，应事先征得甲方同意。如有违反，甲方有权解除合同并要求乙方支付</w:t>
      </w:r>
      <w:r>
        <w:rPr>
          <w:rFonts w:hint="eastAsia" w:ascii="宋体" w:hAnsi="宋体" w:eastAsia="宋体" w:cs="宋体"/>
          <w:color w:val="000000"/>
          <w:spacing w:val="-8"/>
          <w:sz w:val="24"/>
          <w:highlight w:val="none"/>
          <w:u w:val="single"/>
        </w:rPr>
        <w:t xml:space="preserve">  </w:t>
      </w:r>
      <w:r>
        <w:rPr>
          <w:rFonts w:hint="eastAsia" w:ascii="宋体" w:hAnsi="宋体" w:eastAsia="宋体" w:cs="宋体"/>
          <w:color w:val="000000"/>
          <w:spacing w:val="-8"/>
          <w:sz w:val="24"/>
          <w:highlight w:val="none"/>
          <w:u w:val="single"/>
          <w:lang w:val="en-US" w:eastAsia="zh-CN"/>
        </w:rPr>
        <w:t>1000</w:t>
      </w:r>
      <w:r>
        <w:rPr>
          <w:rFonts w:hint="eastAsia" w:ascii="宋体" w:hAnsi="宋体" w:eastAsia="宋体" w:cs="宋体"/>
          <w:color w:val="000000"/>
          <w:spacing w:val="-8"/>
          <w:sz w:val="24"/>
          <w:highlight w:val="none"/>
          <w:u w:val="single"/>
        </w:rPr>
        <w:t xml:space="preserve"> </w:t>
      </w:r>
      <w:r>
        <w:rPr>
          <w:rFonts w:hint="eastAsia" w:ascii="宋体" w:hAnsi="宋体" w:eastAsia="宋体" w:cs="宋体"/>
          <w:color w:val="000000"/>
          <w:spacing w:val="-8"/>
          <w:sz w:val="24"/>
          <w:highlight w:val="none"/>
        </w:rPr>
        <w:t>元/人次作为违约金，以及赔偿由此造成的一切损失(包含质量安全事故、拖延工期、增加投资等损失)。在施工过程中，项目负责人</w:t>
      </w:r>
      <w:r>
        <w:rPr>
          <w:rFonts w:hint="eastAsia" w:ascii="宋体" w:hAnsi="宋体" w:eastAsia="宋体" w:cs="宋体"/>
          <w:color w:val="000000"/>
          <w:spacing w:val="-8"/>
          <w:sz w:val="24"/>
          <w:highlight w:val="none"/>
          <w:u w:val="single"/>
        </w:rPr>
        <w:t>驻现场管理，</w:t>
      </w:r>
      <w:r>
        <w:rPr>
          <w:rFonts w:hint="eastAsia" w:ascii="宋体" w:hAnsi="宋体" w:eastAsia="宋体" w:cs="宋体"/>
          <w:color w:val="000000"/>
          <w:spacing w:val="-8"/>
          <w:sz w:val="24"/>
          <w:highlight w:val="none"/>
        </w:rPr>
        <w:t>否则甲方有权要求支付违约金</w:t>
      </w:r>
      <w:r>
        <w:rPr>
          <w:rFonts w:hint="eastAsia" w:ascii="宋体" w:hAnsi="宋体" w:eastAsia="宋体" w:cs="宋体"/>
          <w:color w:val="000000"/>
          <w:spacing w:val="-8"/>
          <w:sz w:val="24"/>
          <w:highlight w:val="none"/>
          <w:u w:val="single"/>
        </w:rPr>
        <w:t xml:space="preserve">  </w:t>
      </w:r>
      <w:r>
        <w:rPr>
          <w:rFonts w:hint="eastAsia" w:ascii="宋体" w:hAnsi="宋体" w:eastAsia="宋体" w:cs="宋体"/>
          <w:color w:val="000000"/>
          <w:spacing w:val="-8"/>
          <w:sz w:val="24"/>
          <w:highlight w:val="none"/>
          <w:u w:val="single"/>
          <w:lang w:val="en-US" w:eastAsia="zh-CN"/>
        </w:rPr>
        <w:t>1000</w:t>
      </w:r>
      <w:r>
        <w:rPr>
          <w:rFonts w:hint="eastAsia" w:ascii="宋体" w:hAnsi="宋体" w:eastAsia="宋体" w:cs="宋体"/>
          <w:color w:val="000000"/>
          <w:spacing w:val="-8"/>
          <w:sz w:val="24"/>
          <w:highlight w:val="none"/>
          <w:u w:val="single"/>
        </w:rPr>
        <w:t xml:space="preserve"> 元</w:t>
      </w:r>
      <w:r>
        <w:rPr>
          <w:rFonts w:hint="eastAsia" w:ascii="宋体" w:hAnsi="宋体" w:eastAsia="宋体" w:cs="宋体"/>
          <w:color w:val="000000"/>
          <w:spacing w:val="-8"/>
          <w:sz w:val="24"/>
          <w:highlight w:val="none"/>
        </w:rPr>
        <w:t>/次。因此造成损失的，按实际发生额赔偿。</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15.6 乙方保证其具有符合法律法规要求的完成本工程项目应具有的相应资质，禁止转包和分包，如违反上述约定，甲方有权解除合同，要求乙方支付</w:t>
      </w:r>
      <w:r>
        <w:rPr>
          <w:rFonts w:hint="eastAsia" w:ascii="宋体" w:hAnsi="宋体" w:eastAsia="宋体" w:cs="宋体"/>
          <w:color w:val="000000"/>
          <w:sz w:val="24"/>
          <w:szCs w:val="24"/>
          <w:highlight w:val="none"/>
          <w:u w:val="single"/>
        </w:rPr>
        <w:t xml:space="preserve"> 合同暂定总价的20%</w:t>
      </w:r>
      <w:r>
        <w:rPr>
          <w:rFonts w:hint="eastAsia" w:ascii="宋体" w:hAnsi="宋体" w:eastAsia="宋体" w:cs="宋体"/>
          <w:color w:val="000000"/>
          <w:sz w:val="24"/>
          <w:szCs w:val="24"/>
          <w:highlight w:val="none"/>
        </w:rPr>
        <w:t>作为违约金。</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15.7乙方与甲方按合同履约，任何违反本合同约定的行为均构成违约，违约方应向守约方支付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1</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万元/次的违约金（合同另有约定按其条款执行）。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15.8除合同解除或终止外，违约方承担上述违约责任后仍应继续履行合同。 </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15.9</w:t>
      </w:r>
      <w:r>
        <w:rPr>
          <w:rFonts w:hint="eastAsia" w:ascii="宋体" w:hAnsi="宋体" w:eastAsia="宋体" w:cs="宋体"/>
          <w:color w:val="000000"/>
          <w:sz w:val="24"/>
          <w:szCs w:val="24"/>
          <w:highlight w:val="none"/>
        </w:rPr>
        <w:t xml:space="preserve">在合同有效期内，乙方自愿接受甲方按《营运项目承包单位日常履约考评参照表（安全）》、《营运项目承包单位综合履约考评表（安全）》处理，具体处罚标准详见附件7、8。 </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color w:val="000000"/>
          <w:sz w:val="24"/>
          <w:szCs w:val="24"/>
          <w:highlight w:val="none"/>
        </w:rPr>
      </w:pPr>
      <w:r>
        <w:rPr>
          <w:rFonts w:hint="eastAsia" w:ascii="宋体" w:hAnsi="宋体" w:eastAsia="宋体" w:cs="宋体"/>
          <w:b/>
          <w:bCs/>
          <w:color w:val="000000"/>
          <w:sz w:val="24"/>
          <w:szCs w:val="24"/>
          <w:highlight w:val="none"/>
        </w:rPr>
        <w:t xml:space="preserve">第十六条  </w:t>
      </w:r>
      <w:r>
        <w:rPr>
          <w:rFonts w:hint="eastAsia" w:ascii="宋体" w:hAnsi="宋体" w:eastAsia="宋体" w:cs="宋体"/>
          <w:b/>
          <w:color w:val="000000"/>
          <w:sz w:val="24"/>
          <w:szCs w:val="24"/>
          <w:highlight w:val="none"/>
        </w:rPr>
        <w:t>不可抗力</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（2）战争行为、入侵、武装冲突或外敌行为、封锁、暴乱、恐怖行为或军事演习；</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bidi w:val="0"/>
        <w:adjustRightInd w:val="0"/>
        <w:snapToGrid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16.4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tabs>
          <w:tab w:val="left" w:pos="851"/>
        </w:tabs>
        <w:kinsoku/>
        <w:wordWrap/>
        <w:overflowPunct/>
        <w:bidi w:val="0"/>
        <w:adjustRightInd w:val="0"/>
        <w:snapToGrid w:val="0"/>
        <w:spacing w:line="500" w:lineRule="exact"/>
        <w:ind w:firstLine="482" w:firstLineChars="200"/>
        <w:jc w:val="left"/>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第十七条 争议解决</w:t>
      </w:r>
    </w:p>
    <w:p>
      <w:pPr>
        <w:keepNext w:val="0"/>
        <w:keepLines w:val="0"/>
        <w:pageBreakBefore w:val="0"/>
        <w:widowControl w:val="0"/>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17.1 在本合同履行中，如双方发生争议，应尽量通过协商解决，协商不成的，按下列第</w:t>
      </w:r>
      <w:r>
        <w:rPr>
          <w:rFonts w:hint="eastAsia" w:ascii="宋体" w:hAnsi="宋体" w:eastAsia="宋体" w:cs="宋体"/>
          <w:color w:val="000000"/>
          <w:sz w:val="24"/>
          <w:szCs w:val="24"/>
          <w:highlight w:val="none"/>
          <w:u w:val="single"/>
        </w:rPr>
        <w:t xml:space="preserve">  2  </w:t>
      </w:r>
      <w:r>
        <w:rPr>
          <w:rFonts w:hint="eastAsia" w:ascii="宋体" w:hAnsi="宋体" w:eastAsia="宋体" w:cs="宋体"/>
          <w:color w:val="000000"/>
          <w:sz w:val="24"/>
          <w:szCs w:val="24"/>
          <w:highlight w:val="none"/>
        </w:rPr>
        <w:t>种方式解决：</w:t>
      </w:r>
    </w:p>
    <w:p>
      <w:pPr>
        <w:keepNext w:val="0"/>
        <w:keepLines w:val="0"/>
        <w:pageBreakBefore w:val="0"/>
        <w:widowControl w:val="0"/>
        <w:numPr>
          <w:ilvl w:val="0"/>
          <w:numId w:val="5"/>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向广州仲裁委员会申请仲裁; </w:t>
      </w:r>
    </w:p>
    <w:p>
      <w:pPr>
        <w:keepNext w:val="0"/>
        <w:keepLines w:val="0"/>
        <w:pageBreakBefore w:val="0"/>
        <w:widowControl w:val="0"/>
        <w:numPr>
          <w:ilvl w:val="0"/>
          <w:numId w:val="5"/>
        </w:numPr>
        <w:tabs>
          <w:tab w:val="left" w:pos="851"/>
        </w:tabs>
        <w:kinsoku/>
        <w:wordWrap/>
        <w:overflowPunct/>
        <w:bidi w:val="0"/>
        <w:adjustRightInd w:val="0"/>
        <w:snapToGrid w:val="0"/>
        <w:spacing w:line="5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向</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 xml:space="preserve">工程所在地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人民法院起诉。</w:t>
      </w:r>
    </w:p>
    <w:p>
      <w:pPr>
        <w:keepNext w:val="0"/>
        <w:keepLines w:val="0"/>
        <w:pageBreakBefore w:val="0"/>
        <w:widowControl w:val="0"/>
        <w:tabs>
          <w:tab w:val="left" w:pos="851"/>
        </w:tabs>
        <w:kinsoku/>
        <w:wordWrap/>
        <w:overflowPunct/>
        <w:bidi w:val="0"/>
        <w:adjustRightInd w:val="0"/>
        <w:snapToGrid w:val="0"/>
        <w:spacing w:line="500" w:lineRule="exact"/>
        <w:ind w:firstLine="48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17.2 在甲方同意的情况下，除有争端之外的合同的其它部分在争端解决前应继续执行。</w:t>
      </w:r>
    </w:p>
    <w:p>
      <w:pPr>
        <w:keepNext w:val="0"/>
        <w:keepLines w:val="0"/>
        <w:pageBreakBefore w:val="0"/>
        <w:widowControl w:val="0"/>
        <w:kinsoku/>
        <w:wordWrap/>
        <w:overflowPunct/>
        <w:bidi w:val="0"/>
        <w:spacing w:line="500" w:lineRule="exact"/>
        <w:ind w:firstLine="602" w:firstLineChars="250"/>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第十八条  其他：</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18.1 本协议未尽事宜，可由甲方、乙方双方另行签订补充协议。补充协议与本协议具有同等法律效力。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18.2 本协议自甲乙双方法定代表人或授权代理人签字并加盖公章之日起生效，双方履行完合同规定的义务后自动终止。</w:t>
      </w:r>
    </w:p>
    <w:p>
      <w:pPr>
        <w:keepNext w:val="0"/>
        <w:keepLines w:val="0"/>
        <w:pageBreakBefore w:val="0"/>
        <w:widowControl w:val="0"/>
        <w:kinsoku/>
        <w:wordWrap/>
        <w:overflowPunct/>
        <w:bidi w:val="0"/>
        <w:spacing w:line="500" w:lineRule="exact"/>
        <w:ind w:left="240"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18.3 本合同一式</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八</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份，甲方执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伍</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份，乙方执</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叁</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份。均具有同等法律效力。</w:t>
      </w:r>
    </w:p>
    <w:p>
      <w:pPr>
        <w:keepNext w:val="0"/>
        <w:keepLines w:val="0"/>
        <w:pageBreakBefore w:val="0"/>
        <w:widowControl w:val="0"/>
        <w:kinsoku/>
        <w:wordWrap/>
        <w:overflowPunct/>
        <w:bidi w:val="0"/>
        <w:adjustRightInd w:val="0"/>
        <w:spacing w:line="500" w:lineRule="exact"/>
        <w:ind w:firstLine="480" w:firstLineChars="200"/>
        <w:textAlignment w:val="baseline"/>
        <w:rPr>
          <w:rFonts w:hint="eastAsia" w:ascii="宋体" w:hAnsi="宋体" w:eastAsia="宋体" w:cs="宋体"/>
          <w:b/>
          <w:bCs/>
          <w:color w:val="000000"/>
          <w:sz w:val="24"/>
          <w:szCs w:val="24"/>
          <w:highlight w:val="none"/>
        </w:rPr>
      </w:pPr>
      <w:r>
        <w:rPr>
          <w:rFonts w:hint="eastAsia" w:ascii="宋体" w:hAnsi="宋体" w:eastAsia="宋体" w:cs="宋体"/>
          <w:color w:val="000000"/>
          <w:sz w:val="24"/>
          <w:szCs w:val="24"/>
          <w:highlight w:val="none"/>
        </w:rPr>
        <w:t>18.4</w:t>
      </w:r>
      <w:r>
        <w:rPr>
          <w:rFonts w:hint="eastAsia" w:ascii="宋体" w:hAnsi="宋体" w:eastAsia="宋体" w:cs="宋体"/>
          <w:bCs/>
          <w:color w:val="000000"/>
          <w:sz w:val="24"/>
          <w:szCs w:val="24"/>
          <w:highlight w:val="none"/>
        </w:rPr>
        <w:t>补充条款：</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r>
        <w:rPr>
          <w:rFonts w:hint="eastAsia" w:ascii="宋体" w:hAnsi="宋体" w:eastAsia="宋体" w:cs="宋体"/>
          <w:b/>
          <w:bCs/>
          <w:color w:val="000000"/>
          <w:sz w:val="24"/>
          <w:szCs w:val="24"/>
          <w:highlight w:val="none"/>
        </w:rPr>
        <w:t xml:space="preserve">。 </w:t>
      </w: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p>
    <w:p>
      <w:pPr>
        <w:keepNext w:val="0"/>
        <w:keepLines w:val="0"/>
        <w:pageBreakBefore w:val="0"/>
        <w:widowControl w:val="0"/>
        <w:kinsoku/>
        <w:wordWrap/>
        <w:overflowPunct/>
        <w:bidi w:val="0"/>
        <w:spacing w:line="50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附件：1.中标通知书/发包通知书/</w:t>
      </w:r>
      <w:r>
        <w:rPr>
          <w:rFonts w:hint="eastAsia" w:ascii="宋体" w:hAnsi="宋体" w:eastAsia="宋体" w:cs="宋体"/>
          <w:color w:val="000000"/>
          <w:sz w:val="24"/>
          <w:szCs w:val="24"/>
          <w:highlight w:val="none"/>
          <w:lang w:val="en-US" w:eastAsia="zh-CN"/>
        </w:rPr>
        <w:t>成交通知书/</w:t>
      </w:r>
      <w:r>
        <w:rPr>
          <w:rFonts w:hint="eastAsia" w:ascii="宋体" w:hAnsi="宋体" w:eastAsia="宋体" w:cs="宋体"/>
          <w:color w:val="000000"/>
          <w:sz w:val="24"/>
          <w:szCs w:val="24"/>
          <w:highlight w:val="none"/>
        </w:rPr>
        <w:t>委托函；（如有）</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2.工程质量保修书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3.廉洁协议</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4.施工安全协议书（具体以安全办通知为准）</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5.安全生产承诺书</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6.投入工程人员架构表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营运项目承包单位日常履约考评参照表（安全）</w:t>
      </w:r>
    </w:p>
    <w:p>
      <w:pPr>
        <w:keepNext w:val="0"/>
        <w:keepLines w:val="0"/>
        <w:pageBreakBefore w:val="0"/>
        <w:widowControl w:val="0"/>
        <w:kinsoku/>
        <w:wordWrap/>
        <w:overflowPunct/>
        <w:bidi w:val="0"/>
        <w:spacing w:line="500" w:lineRule="exact"/>
        <w:ind w:firstLine="1200" w:firstLineChars="500"/>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w:t>
      </w:r>
      <w:r>
        <w:rPr>
          <w:rFonts w:hint="eastAsia" w:ascii="宋体" w:hAnsi="宋体" w:eastAsia="宋体" w:cs="宋体"/>
          <w:color w:val="000000"/>
          <w:sz w:val="24"/>
          <w:szCs w:val="24"/>
          <w:highlight w:val="none"/>
        </w:rPr>
        <w:t>营运项目承包单位综合履约考评表（安全）</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9</w:t>
      </w:r>
      <w:r>
        <w:rPr>
          <w:rFonts w:hint="eastAsia" w:ascii="宋体" w:hAnsi="宋体" w:eastAsia="宋体" w:cs="宋体"/>
          <w:color w:val="000000"/>
          <w:sz w:val="24"/>
          <w:szCs w:val="24"/>
          <w:highlight w:val="none"/>
        </w:rPr>
        <w:t>.工程量报价单/工程量清单</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10</w:t>
      </w:r>
      <w:r>
        <w:rPr>
          <w:rFonts w:hint="eastAsia" w:ascii="宋体" w:hAnsi="宋体" w:eastAsia="宋体" w:cs="宋体"/>
          <w:color w:val="000000"/>
          <w:sz w:val="24"/>
          <w:szCs w:val="24"/>
          <w:highlight w:val="none"/>
        </w:rPr>
        <w:t>.履约保函（模板）</w:t>
      </w:r>
    </w:p>
    <w:p>
      <w:pPr>
        <w:keepNext w:val="0"/>
        <w:keepLines w:val="0"/>
        <w:pageBreakBefore w:val="0"/>
        <w:widowControl w:val="0"/>
        <w:kinsoku/>
        <w:wordWrap/>
        <w:overflowPunct/>
        <w:bidi w:val="0"/>
        <w:spacing w:line="500" w:lineRule="exact"/>
        <w:ind w:firstLine="1200" w:firstLineChars="5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11</w:t>
      </w:r>
      <w:r>
        <w:rPr>
          <w:rFonts w:hint="eastAsia" w:ascii="宋体" w:hAnsi="宋体" w:eastAsia="宋体" w:cs="宋体"/>
          <w:color w:val="000000"/>
          <w:sz w:val="24"/>
          <w:szCs w:val="24"/>
          <w:highlight w:val="none"/>
        </w:rPr>
        <w:t>.授权委托证明（如需）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甲方：广州市净水有限公司（盖章）         乙方：（盖章）</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法人代表：                               法人代表：</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地址：                                   地址：</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委托代理人：                             委托代理人：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经办人：                                 经办人：</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联系电话：                               联系电话：</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传真：                                   传真：</w:t>
      </w:r>
    </w:p>
    <w:p>
      <w:pPr>
        <w:keepNext w:val="0"/>
        <w:keepLines w:val="0"/>
        <w:pageBreakBefore w:val="0"/>
        <w:widowControl w:val="0"/>
        <w:kinsoku/>
        <w:wordWrap/>
        <w:overflowPunct/>
        <w:bidi w:val="0"/>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签署日期：    年    月    日     签署日期：    年    月    日</w:t>
      </w:r>
    </w:p>
    <w:p>
      <w:pPr>
        <w:pStyle w:val="21"/>
        <w:rPr>
          <w:rFonts w:hint="eastAsia"/>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p>
    <w:p>
      <w:pPr>
        <w:spacing w:before="156" w:beforeLines="50" w:line="580" w:lineRule="exact"/>
        <w:outlineLvl w:val="1"/>
        <w:rPr>
          <w:rFonts w:hint="eastAsia" w:ascii="宋体" w:hAnsi="宋体"/>
          <w:b/>
          <w:color w:val="000000"/>
          <w:sz w:val="24"/>
          <w:highlight w:val="none"/>
        </w:rPr>
      </w:pPr>
      <w:r>
        <w:rPr>
          <w:rFonts w:hint="eastAsia" w:ascii="宋体" w:hAnsi="宋体"/>
          <w:b/>
          <w:color w:val="000000"/>
          <w:sz w:val="24"/>
          <w:highlight w:val="none"/>
        </w:rPr>
        <w:t>附件2：</w:t>
      </w:r>
    </w:p>
    <w:p>
      <w:pPr>
        <w:pStyle w:val="21"/>
      </w:pP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center"/>
        <w:textAlignment w:val="auto"/>
        <w:rPr>
          <w:rFonts w:hint="eastAsia" w:ascii="宋体" w:hAnsi="宋体" w:eastAsia="宋体" w:cs="宋体"/>
          <w:color w:val="000000"/>
          <w:kern w:val="0"/>
          <w:sz w:val="24"/>
          <w:highlight w:val="none"/>
        </w:rPr>
      </w:pPr>
      <w:r>
        <w:rPr>
          <w:rFonts w:hint="eastAsia" w:ascii="宋体" w:hAnsi="宋体" w:eastAsia="宋体" w:cs="宋体"/>
          <w:b/>
          <w:bCs/>
          <w:color w:val="000000"/>
          <w:kern w:val="0"/>
          <w:sz w:val="24"/>
          <w:highlight w:val="none"/>
        </w:rPr>
        <w:t>工程质量保修书</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承包人（甲方）：广州市净水有限公司</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发包人（乙方）：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为保证</w:t>
      </w:r>
      <w:r>
        <w:rPr>
          <w:rFonts w:hint="eastAsia" w:ascii="宋体" w:hAnsi="宋体" w:eastAsia="宋体" w:cs="宋体"/>
          <w:color w:val="000000"/>
          <w:sz w:val="24"/>
          <w:szCs w:val="24"/>
          <w:highlight w:val="none"/>
          <w:u w:val="single"/>
        </w:rPr>
        <w:t>广州市净水有限公司</w:t>
      </w:r>
      <w:r>
        <w:rPr>
          <w:rFonts w:hint="eastAsia" w:ascii="宋体" w:hAnsi="宋体" w:eastAsia="宋体" w:cs="宋体"/>
          <w:color w:val="000000"/>
          <w:sz w:val="24"/>
          <w:szCs w:val="24"/>
          <w:highlight w:val="none"/>
          <w:u w:val="single"/>
          <w:lang w:val="en-US" w:eastAsia="zh-CN"/>
        </w:rPr>
        <w:t>大坦沙分公司三期厂区围墙护栏改造</w:t>
      </w:r>
      <w:r>
        <w:rPr>
          <w:rFonts w:hint="eastAsia" w:ascii="宋体" w:hAnsi="宋体" w:eastAsia="宋体" w:cs="宋体"/>
          <w:color w:val="000000"/>
          <w:sz w:val="24"/>
          <w:szCs w:val="24"/>
          <w:highlight w:val="none"/>
          <w:u w:val="single"/>
          <w:lang w:eastAsia="zh-CN"/>
        </w:rPr>
        <w:t>工程</w:t>
      </w:r>
      <w:r>
        <w:rPr>
          <w:rFonts w:hint="eastAsia" w:ascii="宋体" w:hAnsi="宋体" w:eastAsia="宋体" w:cs="宋体"/>
          <w:color w:val="000000"/>
          <w:sz w:val="24"/>
          <w:szCs w:val="24"/>
          <w:highlight w:val="none"/>
        </w:rPr>
        <w:t>在合理使用期限内正常使用，甲方、乙方协商一致签订工程质量保修书。乙方在质量保修期内按照有关管理规定及双方约定承担工程质量保修责任。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一、工程质量保修范围和内容</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质量保修范围双方约定如下：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u w:val="single"/>
        </w:rPr>
        <w:t>即乙方施工的工程范围。</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二、质量保修期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质量保修期从工程实际竣工之日算起。分单项竣工验收的工程，按单项工程分别计算质量保修期。</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双方根据国家有关规定，结合具体工程约定本工程的质量保修期如下：</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1、土建工程为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年，屋面防水工程为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2、电气管线、上下水管线安装工程为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3、供热及供冷为为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 xml:space="preserve">个采暖期及供冷期； </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4、室外的上下水和小区道路等市政公用工程为</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年；</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kern w:val="0"/>
          <w:sz w:val="24"/>
          <w:szCs w:val="24"/>
          <w:highlight w:val="none"/>
        </w:rPr>
        <w:t>5、其他约定：</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1年</w:t>
      </w:r>
      <w:r>
        <w:rPr>
          <w:rFonts w:hint="eastAsia" w:ascii="宋体" w:hAnsi="宋体" w:eastAsia="宋体" w:cs="宋体"/>
          <w:color w:val="000000"/>
          <w:kern w:val="0"/>
          <w:sz w:val="24"/>
          <w:szCs w:val="24"/>
          <w:highlight w:val="none"/>
          <w:u w:val="single"/>
        </w:rPr>
        <w:t xml:space="preserve"> .</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三、质量保修责任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1、属于保修范围、内容的项目，乙方应当在接到保修通知之日起48小时内派人修理。乙方不在约定期限内派人修理，甲方可以委托其他人员修理，保修费用从质量保修金内扣除。</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2、发生紧急抢修事故的（如上水跑水、暖气漏水漏气、燃气漏气等），乙方在接到事故通知后，应当立即到达事故现场抢修。非乙方施工质量引起的事故，抢修费用由甲方承担。</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3、在国家规定的工程合理使用期限内，乙方确保地基基础工程和主体结构的质量。因乙方原因致使工程在合理使用期限内造成人身和财产损害的，乙方应承担损害赔偿责任。</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四、质量保修金的支付</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工程质量保修金一般不超过施工合同价款的</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％，本工程约定的工程质量保修金为合同暂定总价/合同结算审定价的</w:t>
      </w:r>
      <w:r>
        <w:rPr>
          <w:rFonts w:hint="eastAsia" w:ascii="宋体" w:hAnsi="宋体" w:eastAsia="宋体" w:cs="宋体"/>
          <w:b/>
          <w:bCs/>
          <w:color w:val="000000"/>
          <w:kern w:val="0"/>
          <w:sz w:val="24"/>
          <w:szCs w:val="24"/>
          <w:highlight w:val="none"/>
          <w:u w:val="single"/>
        </w:rPr>
        <w:t xml:space="preserve">  3%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firstLine="48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本工程双方约定乙方向甲方支付工程质量保修金金额</w:t>
      </w:r>
      <w:r>
        <w:rPr>
          <w:rFonts w:hint="eastAsia" w:ascii="宋体" w:hAnsi="宋体" w:eastAsia="宋体" w:cs="宋体"/>
          <w:color w:val="000000"/>
          <w:kern w:val="0"/>
          <w:sz w:val="24"/>
          <w:szCs w:val="24"/>
          <w:highlight w:val="none"/>
          <w:u w:val="single"/>
        </w:rPr>
        <w:t>详见（合同名称+合同编号）</w:t>
      </w:r>
      <w:r>
        <w:rPr>
          <w:rFonts w:hint="eastAsia" w:ascii="宋体" w:hAnsi="宋体" w:eastAsia="宋体" w:cs="宋体"/>
          <w:color w:val="000000"/>
          <w:kern w:val="0"/>
          <w:sz w:val="24"/>
          <w:szCs w:val="24"/>
          <w:highlight w:val="none"/>
        </w:rPr>
        <w:t>。质量保修金银行利率为</w:t>
      </w:r>
      <w:r>
        <w:rPr>
          <w:rFonts w:hint="eastAsia" w:ascii="宋体" w:hAnsi="宋体" w:eastAsia="宋体" w:cs="宋体"/>
          <w:color w:val="000000"/>
          <w:kern w:val="0"/>
          <w:sz w:val="24"/>
          <w:szCs w:val="24"/>
          <w:highlight w:val="none"/>
          <w:u w:val="single"/>
        </w:rPr>
        <w:t xml:space="preserve"> 零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b/>
          <w:bCs/>
          <w:color w:val="000000"/>
          <w:kern w:val="0"/>
          <w:sz w:val="24"/>
          <w:szCs w:val="24"/>
          <w:highlight w:val="none"/>
        </w:rPr>
        <w:t>五、其他</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双方约定的其他质量保修事项：</w:t>
      </w:r>
      <w:r>
        <w:rPr>
          <w:rFonts w:hint="eastAsia" w:ascii="宋体" w:hAnsi="宋体" w:eastAsia="宋体" w:cs="宋体"/>
          <w:color w:val="000000"/>
          <w:kern w:val="0"/>
          <w:sz w:val="24"/>
          <w:szCs w:val="24"/>
          <w:highlight w:val="none"/>
          <w:u w:val="single"/>
        </w:rPr>
        <w:t xml:space="preserve">  / </w:t>
      </w:r>
      <w:r>
        <w:rPr>
          <w:rFonts w:hint="eastAsia" w:ascii="宋体" w:hAnsi="宋体" w:eastAsia="宋体" w:cs="宋体"/>
          <w:color w:val="000000"/>
          <w:kern w:val="0"/>
          <w:sz w:val="24"/>
          <w:szCs w:val="24"/>
          <w:highlight w:val="none"/>
        </w:rPr>
        <w:t>。</w:t>
      </w:r>
    </w:p>
    <w:p>
      <w:pPr>
        <w:keepNext w:val="0"/>
        <w:keepLines w:val="0"/>
        <w:pageBreakBefore w:val="0"/>
        <w:kinsoku/>
        <w:wordWrap/>
        <w:overflowPunct/>
        <w:topLinePunct w:val="0"/>
        <w:autoSpaceDE w:val="0"/>
        <w:autoSpaceDN w:val="0"/>
        <w:bidi w:val="0"/>
        <w:adjustRightInd w:val="0"/>
        <w:spacing w:before="100" w:after="100" w:line="500" w:lineRule="exact"/>
        <w:ind w:left="250"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本工程质量保修书作为施工合同附件，由甲方、乙方双方共同签署。</w:t>
      </w:r>
    </w:p>
    <w:p>
      <w:pPr>
        <w:keepNext w:val="0"/>
        <w:keepLines w:val="0"/>
        <w:pageBreakBefore w:val="0"/>
        <w:kinsoku/>
        <w:wordWrap/>
        <w:overflowPunct/>
        <w:topLinePunct w:val="0"/>
        <w:autoSpaceDE w:val="0"/>
        <w:autoSpaceDN w:val="0"/>
        <w:bidi w:val="0"/>
        <w:adjustRightInd w:val="0"/>
        <w:spacing w:before="100" w:after="100" w:line="500" w:lineRule="exact"/>
        <w:ind w:left="6698" w:leftChars="104" w:right="360" w:hanging="6480" w:hangingChars="27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甲方（甲方）：                      乙方（乙方）:</w:t>
      </w:r>
    </w:p>
    <w:p>
      <w:pPr>
        <w:keepNext w:val="0"/>
        <w:keepLines w:val="0"/>
        <w:pageBreakBefore w:val="0"/>
        <w:kinsoku/>
        <w:wordWrap/>
        <w:overflowPunct/>
        <w:topLinePunct w:val="0"/>
        <w:autoSpaceDE w:val="0"/>
        <w:autoSpaceDN w:val="0"/>
        <w:bidi w:val="0"/>
        <w:adjustRightInd w:val="0"/>
        <w:spacing w:before="100" w:after="100" w:line="500" w:lineRule="exact"/>
        <w:ind w:right="360" w:firstLine="240" w:firstLineChars="100"/>
        <w:textAlignment w:val="auto"/>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rPr>
        <w:t xml:space="preserve">广州市净水有限公司                    </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        （盖章）                           （盖章）</w:t>
      </w:r>
    </w:p>
    <w:p>
      <w:pPr>
        <w:keepNext w:val="0"/>
        <w:keepLines w:val="0"/>
        <w:pageBreakBefore w:val="0"/>
        <w:kinsoku/>
        <w:wordWrap/>
        <w:overflowPunct/>
        <w:topLinePunct w:val="0"/>
        <w:autoSpaceDE w:val="0"/>
        <w:autoSpaceDN w:val="0"/>
        <w:bidi w:val="0"/>
        <w:adjustRightInd w:val="0"/>
        <w:spacing w:line="500" w:lineRule="exact"/>
        <w:ind w:left="360" w:right="-17" w:rightChars="-8"/>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经办人：                             经办人：</w:t>
      </w:r>
    </w:p>
    <w:p>
      <w:pPr>
        <w:keepNext w:val="0"/>
        <w:keepLines w:val="0"/>
        <w:pageBreakBefore w:val="0"/>
        <w:kinsoku/>
        <w:wordWrap/>
        <w:overflowPunct/>
        <w:topLinePunct w:val="0"/>
        <w:autoSpaceDE w:val="0"/>
        <w:autoSpaceDN w:val="0"/>
        <w:bidi w:val="0"/>
        <w:adjustRightInd w:val="0"/>
        <w:spacing w:line="500" w:lineRule="exact"/>
        <w:ind w:left="360" w:right="-15" w:rightChars="-7"/>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  话：                             电   话：</w:t>
      </w:r>
    </w:p>
    <w:p>
      <w:pPr>
        <w:keepNext w:val="0"/>
        <w:keepLines w:val="0"/>
        <w:pageBreakBefore w:val="0"/>
        <w:kinsoku/>
        <w:wordWrap/>
        <w:overflowPunct/>
        <w:topLinePunct w:val="0"/>
        <w:autoSpaceDE w:val="0"/>
        <w:autoSpaceDN w:val="0"/>
        <w:bidi w:val="0"/>
        <w:adjustRightInd w:val="0"/>
        <w:spacing w:before="100" w:after="100" w:line="500" w:lineRule="exact"/>
        <w:ind w:right="-26"/>
        <w:jc w:val="left"/>
        <w:textAlignment w:val="auto"/>
        <w:rPr>
          <w:rFonts w:hint="eastAsia" w:ascii="宋体" w:hAnsi="宋体" w:eastAsia="宋体" w:cs="宋体"/>
          <w:b/>
          <w:bCs/>
          <w:color w:val="000000"/>
          <w:kern w:val="0"/>
          <w:sz w:val="24"/>
          <w:szCs w:val="24"/>
          <w:highlight w:val="none"/>
        </w:rPr>
      </w:pPr>
      <w:r>
        <w:rPr>
          <w:rFonts w:hint="eastAsia" w:ascii="宋体" w:hAnsi="宋体" w:eastAsia="宋体" w:cs="宋体"/>
          <w:color w:val="000000"/>
          <w:kern w:val="0"/>
          <w:sz w:val="24"/>
          <w:szCs w:val="24"/>
          <w:highlight w:val="none"/>
        </w:rPr>
        <w:t xml:space="preserve">   签订日期：      年   月   日         签订日期：      年   月   日</w:t>
      </w:r>
    </w:p>
    <w:p>
      <w:pPr>
        <w:keepNext w:val="0"/>
        <w:keepLines w:val="0"/>
        <w:pageBreakBefore w:val="0"/>
        <w:kinsoku/>
        <w:wordWrap/>
        <w:overflowPunct/>
        <w:topLinePunct w:val="0"/>
        <w:bidi w:val="0"/>
        <w:spacing w:before="156"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附件3：</w:t>
      </w:r>
    </w:p>
    <w:p>
      <w:pPr>
        <w:keepNext w:val="0"/>
        <w:keepLines w:val="0"/>
        <w:pageBreakBefore w:val="0"/>
        <w:kinsoku/>
        <w:wordWrap/>
        <w:overflowPunct/>
        <w:topLinePunct w:val="0"/>
        <w:autoSpaceDE/>
        <w:autoSpaceDN/>
        <w:bidi w:val="0"/>
        <w:snapToGrid/>
        <w:spacing w:beforeAutospacing="0" w:line="520" w:lineRule="exact"/>
        <w:jc w:val="center"/>
        <w:rPr>
          <w:rFonts w:hint="eastAsia" w:ascii="仿宋_GB2312" w:hAnsi="仿宋_GB2312" w:eastAsia="仿宋_GB2312" w:cs="仿宋_GB2312"/>
          <w:b w:val="0"/>
          <w:bCs/>
          <w:color w:val="auto"/>
          <w:sz w:val="28"/>
          <w:szCs w:val="28"/>
          <w:highlight w:val="none"/>
        </w:rPr>
      </w:pPr>
      <w:r>
        <w:rPr>
          <w:rFonts w:hint="eastAsia" w:ascii="宋体" w:hAnsi="宋体" w:eastAsia="宋体" w:cs="宋体"/>
          <w:b/>
          <w:color w:val="000000"/>
          <w:highlight w:val="none"/>
        </w:rPr>
        <w:t xml:space="preserve">         </w:t>
      </w: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beforeAutospacing="0"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u w:val="single"/>
          <w:lang w:val="en-US" w:eastAsia="zh-CN"/>
        </w:rPr>
        <w:t>大坦沙分公司三期厂区围墙护栏改造</w:t>
      </w:r>
      <w:r>
        <w:rPr>
          <w:rFonts w:hint="eastAsia" w:ascii="仿宋_GB2312" w:hAnsi="仿宋_GB2312" w:eastAsia="仿宋_GB2312" w:cs="仿宋_GB2312"/>
          <w:b w:val="0"/>
          <w:bCs/>
          <w:color w:val="auto"/>
          <w:sz w:val="28"/>
          <w:szCs w:val="28"/>
          <w:highlight w:val="none"/>
          <w:u w:val="single"/>
          <w:lang w:eastAsia="zh-CN"/>
        </w:rPr>
        <w:t>工程</w:t>
      </w:r>
      <w:r>
        <w:rPr>
          <w:rFonts w:hint="eastAsia" w:ascii="仿宋_GB2312" w:hAnsi="仿宋_GB2312" w:eastAsia="仿宋_GB2312" w:cs="仿宋_GB2312"/>
          <w:b w:val="0"/>
          <w:bCs/>
          <w:color w:val="auto"/>
          <w:sz w:val="28"/>
          <w:szCs w:val="28"/>
          <w:highlight w:val="none"/>
          <w:u w:val="none"/>
        </w:rPr>
        <w:t>合</w:t>
      </w:r>
      <w:r>
        <w:rPr>
          <w:rFonts w:hint="eastAsia" w:ascii="仿宋_GB2312" w:hAnsi="仿宋_GB2312" w:eastAsia="仿宋_GB2312" w:cs="仿宋_GB2312"/>
          <w:b w:val="0"/>
          <w:bCs/>
          <w:color w:val="auto"/>
          <w:sz w:val="28"/>
          <w:szCs w:val="28"/>
          <w:highlight w:val="none"/>
        </w:rPr>
        <w:t>同（以下简称：主合同），自觉履行合同约定的相关义务。</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beforeAutospacing="0"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beforeAutospacing="0"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beforeAutospacing="0"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0"/>
        <w:keepNext w:val="0"/>
        <w:keepLines w:val="0"/>
        <w:pageBreakBefore w:val="0"/>
        <w:widowControl/>
        <w:suppressLineNumbers w:val="0"/>
        <w:kinsoku/>
        <w:wordWrap/>
        <w:overflowPunct/>
        <w:topLinePunct w:val="0"/>
        <w:autoSpaceDE/>
        <w:autoSpaceDN/>
        <w:bidi w:val="0"/>
        <w:snapToGrid/>
        <w:spacing w:beforeAutospacing="0"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beforeAutospacing="0"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捌</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伍</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叁</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beforeAutospacing="0"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br w:type="textWrapping"/>
      </w:r>
      <w:r>
        <w:rPr>
          <w:rFonts w:hint="eastAsia" w:ascii="仿宋_GB2312" w:hAnsi="仿宋_GB2312" w:eastAsia="仿宋_GB2312" w:cs="仿宋_GB2312"/>
          <w:b w:val="0"/>
          <w:bCs/>
          <w:color w:val="auto"/>
          <w:sz w:val="28"/>
          <w:szCs w:val="28"/>
          <w:highlight w:val="none"/>
        </w:rPr>
        <w:t>甲方（盖章）：                     乙方（盖章）：</w:t>
      </w:r>
    </w:p>
    <w:p>
      <w:pPr>
        <w:pStyle w:val="36"/>
        <w:keepNext w:val="0"/>
        <w:keepLines w:val="0"/>
        <w:pageBreakBefore w:val="0"/>
        <w:tabs>
          <w:tab w:val="left" w:pos="5100"/>
        </w:tabs>
        <w:kinsoku/>
        <w:wordWrap/>
        <w:overflowPunct/>
        <w:topLinePunct w:val="0"/>
        <w:autoSpaceDE/>
        <w:autoSpaceDN/>
        <w:bidi w:val="0"/>
        <w:snapToGrid/>
        <w:spacing w:beforeAutospacing="0"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beforeAutospacing="0"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beforeAutospacing="0"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p>
    <w:p>
      <w:pPr>
        <w:keepNext w:val="0"/>
        <w:keepLines w:val="0"/>
        <w:pageBreakBefore w:val="0"/>
        <w:kinsoku/>
        <w:wordWrap/>
        <w:overflowPunct/>
        <w:topLinePunct w:val="0"/>
        <w:bidi w:val="0"/>
        <w:spacing w:before="223" w:beforeLines="50" w:line="500" w:lineRule="exact"/>
        <w:textAlignment w:val="auto"/>
        <w:outlineLvl w:val="1"/>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 xml:space="preserve">附件4：                                                     </w:t>
      </w: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Cs/>
          <w:color w:val="000000"/>
          <w:kern w:val="0"/>
          <w:sz w:val="44"/>
          <w:szCs w:val="44"/>
          <w:highlight w:val="none"/>
        </w:rPr>
      </w:pPr>
      <w:r>
        <w:rPr>
          <w:rFonts w:hint="eastAsia" w:ascii="宋体" w:hAnsi="宋体" w:eastAsia="宋体" w:cs="宋体"/>
          <w:bCs/>
          <w:color w:val="000000"/>
          <w:kern w:val="0"/>
          <w:sz w:val="44"/>
          <w:szCs w:val="44"/>
          <w:highlight w:val="none"/>
        </w:rPr>
        <w:t>施工安全协议书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bookmarkStart w:id="85" w:name="_Toc21391"/>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乙方： </w:t>
      </w:r>
    </w:p>
    <w:p>
      <w:pPr>
        <w:keepNext w:val="0"/>
        <w:keepLines w:val="0"/>
        <w:pageBreakBefore w:val="0"/>
        <w:kinsoku/>
        <w:wordWrap/>
        <w:overflowPunct/>
        <w:topLinePunct w:val="0"/>
        <w:bidi w:val="0"/>
        <w:adjustRightInd w:val="0"/>
        <w:snapToGrid w:val="0"/>
        <w:spacing w:line="500" w:lineRule="exact"/>
        <w:jc w:val="left"/>
        <w:textAlignment w:val="auto"/>
        <w:rPr>
          <w:rStyle w:val="25"/>
          <w:rFonts w:hint="eastAsia" w:ascii="宋体" w:hAnsi="宋体" w:eastAsia="宋体" w:cs="宋体"/>
          <w:b w:val="0"/>
          <w:color w:val="000000"/>
          <w:sz w:val="24"/>
          <w:szCs w:val="24"/>
          <w:highlight w:val="none"/>
          <w:u w:val="single"/>
        </w:rPr>
      </w:pPr>
    </w:p>
    <w:bookmarkEnd w:id="85"/>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一、本协议与主合同的关系</w:t>
      </w:r>
    </w:p>
    <w:p>
      <w:pPr>
        <w:keepNext w:val="0"/>
        <w:keepLines w:val="0"/>
        <w:pageBreakBefore w:val="0"/>
        <w:kinsoku/>
        <w:wordWrap/>
        <w:overflowPunct/>
        <w:topLinePunct w:val="0"/>
        <w:bidi w:val="0"/>
        <w:adjustRightInd w:val="0"/>
        <w:snapToGrid w:val="0"/>
        <w:spacing w:line="500" w:lineRule="exact"/>
        <w:ind w:left="105" w:firstLine="480" w:firstLineChars="200"/>
        <w:jc w:val="left"/>
        <w:textAlignment w:val="auto"/>
        <w:rPr>
          <w:rFonts w:hint="eastAsia" w:ascii="宋体" w:hAnsi="宋体" w:eastAsia="宋体" w:cs="宋体"/>
          <w:color w:val="000000"/>
          <w:sz w:val="24"/>
          <w:szCs w:val="24"/>
          <w:highlight w:val="none"/>
          <w:u w:val="single"/>
          <w:lang w:eastAsia="zh-CN"/>
        </w:rPr>
      </w:pPr>
      <w:r>
        <w:rPr>
          <w:rFonts w:hint="eastAsia" w:ascii="宋体" w:hAnsi="宋体" w:eastAsia="宋体" w:cs="宋体"/>
          <w:color w:val="000000"/>
          <w:sz w:val="24"/>
          <w:szCs w:val="24"/>
          <w:highlight w:val="none"/>
        </w:rPr>
        <w:t>本协议作为</w:t>
      </w:r>
      <w:bookmarkStart w:id="136" w:name="_GoBack"/>
      <w:bookmarkEnd w:id="136"/>
      <w:r>
        <w:rPr>
          <w:rFonts w:hint="eastAsia" w:ascii="宋体" w:hAnsi="宋体" w:eastAsia="宋体" w:cs="宋体"/>
          <w:color w:val="000000"/>
          <w:sz w:val="24"/>
          <w:szCs w:val="24"/>
          <w:highlight w:val="none"/>
          <w:u w:val="single"/>
        </w:rPr>
        <w:t>广州市净水有限公司</w:t>
      </w:r>
      <w:r>
        <w:rPr>
          <w:rFonts w:hint="eastAsia" w:ascii="宋体" w:hAnsi="宋体" w:eastAsia="宋体" w:cs="宋体"/>
          <w:color w:val="000000"/>
          <w:sz w:val="24"/>
          <w:szCs w:val="24"/>
          <w:highlight w:val="none"/>
          <w:u w:val="single"/>
          <w:lang w:val="en-US" w:eastAsia="zh-CN"/>
        </w:rPr>
        <w:t>大坦沙分公司三期厂区围墙护栏改造</w:t>
      </w:r>
      <w:r>
        <w:rPr>
          <w:rFonts w:hint="eastAsia" w:ascii="宋体" w:hAnsi="宋体" w:eastAsia="宋体" w:cs="宋体"/>
          <w:color w:val="000000"/>
          <w:sz w:val="24"/>
          <w:szCs w:val="24"/>
          <w:highlight w:val="none"/>
          <w:u w:val="single"/>
          <w:lang w:eastAsia="zh-CN"/>
        </w:rPr>
        <w:t>工程</w:t>
      </w:r>
    </w:p>
    <w:p>
      <w:pPr>
        <w:keepNext w:val="0"/>
        <w:keepLines w:val="0"/>
        <w:pageBreakBefore w:val="0"/>
        <w:kinsoku/>
        <w:wordWrap/>
        <w:overflowPunct/>
        <w:topLinePunct w:val="0"/>
        <w:bidi w:val="0"/>
        <w:adjustRightInd w:val="0"/>
        <w:snapToGrid w:val="0"/>
        <w:spacing w:line="500" w:lineRule="exact"/>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的组成部分，与主合同具有同等法律。</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 xml:space="preserve"> 二、双方的责任、权利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（一）甲方的责任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应当向施工单位提供施工现场及毗邻区域内供水、排水、供电、供气、供热、通信、广播电视等地下管线资料，气象和水文观测资料，相邻建筑物和构筑物、地下工程的有关资料，并保证资料的真实、准确、完整。</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2.不得对勘察、设计、施工、工程监理等单位提出不符合建设工程安全生产法律、法规和强制性标准规定的要求。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3.检查乙方安全措施的投入。对实际发生安全投入的费用予以支付，对无实际在现场进行安全投入的，予以扣除。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4.不得明示或者暗示施工单位购买、租赁、使用不符合安全施工要求的安全防护用具、机械设备、施工机具及配件、消防设施和器材。</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5.在甲方生产营运场所内施工的，必须告知乙方该场所可能存在的安全风险，要求乙方在施工前应重新识别现场的安全风险并采取措施进行管控。</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（二）甲方的权利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1.按照《广州净水公司工程项目安全管理标准》（以下简称《标准》）等办法对乙方进行施工安全管理考核评比。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2.对于乙方考核评比较差，或不服从甲方管理，违反安全生产管理规定等违约行为的，甲方有权对乙方采取以下一种或以上的方式处理：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（1）经济处罚；</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（2）诚信扣分；</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（3）限制投标，或经其他单位承包后以分包方参与项目实施；</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（4）将其承揽的项目安排第三方单位进行实施，由此产生的费用及造成的损失在该项目工程费用或履约保证金中扣除；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（5）向行业协会（包括但不限于广东省市政行业协会、广州市市政行业协会等）反映。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3.乙方对存在问题拒不整改的，或存在安全费用弄虚作假情况的，视为违约，甲方有权对乙方进行违约金扣罚。如乙方拒不缴纳违约金的，甲方有权在履约保证金中扣除。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（三）乙方的责任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1.乙方向甲方承诺，已建立完善的安全管理体系并有效运转，必须严格执行国家、地方和行业主管部门关于施工的强制性标准、地方行政法规、管理要求。</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乙方必须依法为施工现场从事危险作业的人员办理意外伤害保险、购买安全生产责任保险。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2.乙方施工安全措施费单列，实报实销。严禁虚报未进行实际安全投入的费用。</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3.乙方必须严格按照甲方制定的《标准》要求，落实各项安全管理工作。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乙方应根据当前国家、行业或甲方近期安全管理的突出方面，或针对项目实际，有针对性地开展安全管理工作，接受甲方的安全管理评比。</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乙方必须配合甲方的安全监督检查，并承诺立即组织对提出的问题隐患进行整改。</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4.乙方必须提供本项目全体人员已通过三级安全教育及职业健康体检的证明。</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抽查具体材料时能如实提供备。做好人员职业健康体检，确保全员没有职业病。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禁止有职业禁忌证的人员从事禁忌证相关工作。</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乙方该项目的管理人员、作业人员（包括分包人员）每年至少由乙方单位进行一次安全生产教育培训，并保存好相关培训证明备查。</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5.乙方必须建立应急管理体系，编制应急预案和现场处置方案，并定期组织开展应急演练。施工现场，乙方应根据施工方案在施工现场配置应急救援物资，并做好应急救援物资的定期检查，确保完好、有效。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6.乙方发生突发事件时，应按甲方制度要求立即报甲方，并同时积极主动地开展应急救援，采取有效措施将事故影响控制在最小范围内。</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7.乙方必须严格履行本协议，遵守甲方各项管理规定，服从管理。乙方对存在问题拒不整改的，视为违约，甲方有权对乙方进行违约金扣罚。如乙方拒不缴纳违约金的，甲方有权在履约保证金中扣除。</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（四）乙方的权利</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1.对甲方的违章指挥，拒绝执行，但需书面明确指出甲方所违反的具体法律法规、标准规范等。</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2.对甲方明示或者暗示乙方购买、租赁、使用不符合安全施工要求的安全防护用具、机械设备、施工机具及配件、消防设施和器材的，拒绝执行。</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三、事故责任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1.在乙方承包范围内，由于乙方责任发生生产安全事故时，造成的甲方、乙方或者第三方人身伤害事故，乙方负全部责任。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2.乙方人员在非承包区域遭受意外伤害的，乙方负全部责任。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3.乙方人员违规进入甲方或第三方承包区域，造成事故的，乙方负全部事故责任；乙方人员遭受人身伤害的，乙方负全部责任。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4.同一生产区域内有两家及以上承包单位的，发生生产安全事故，侵害方负全部责任；共同责任造成的，按事故原因划分责任，不能达成一致的，根据政府有关部门的责任划分承担相应的事故责任和经济责任。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5.乙方在甲方生产区域内发生生产安全事故后，必须在第一时间向甲方报告，迟报或者隐瞒不报生产安全事故，承担事故的全部责任。</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6.乙方各类人员在甲方生产区域内发生人身伤害事故和其他事故，由乙方负责调查、处理和统计上报，并报甲方安全监督部门备案。</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7.本协议未尽事宜，依据有关法规。规章处理，法规、规章没有明确规定的，经双方协商处理解决。</w:t>
      </w:r>
    </w:p>
    <w:p>
      <w:pPr>
        <w:pStyle w:val="39"/>
        <w:keepNext w:val="0"/>
        <w:keepLines w:val="0"/>
        <w:pageBreakBefore w:val="0"/>
        <w:kinsoku/>
        <w:wordWrap/>
        <w:overflowPunct/>
        <w:topLinePunct w:val="0"/>
        <w:bidi w:val="0"/>
        <w:spacing w:line="500" w:lineRule="exact"/>
        <w:ind w:firstLine="482" w:firstLineChars="200"/>
        <w:textAlignment w:val="auto"/>
        <w:rPr>
          <w:rFonts w:hint="eastAsia" w:ascii="宋体" w:hAnsi="宋体" w:eastAsia="宋体" w:cs="宋体"/>
          <w:color w:val="000000"/>
          <w:sz w:val="24"/>
          <w:highlight w:val="none"/>
        </w:rPr>
      </w:pPr>
      <w:r>
        <w:rPr>
          <w:rFonts w:hint="eastAsia" w:ascii="宋体" w:hAnsi="宋体" w:eastAsia="宋体" w:cs="宋体"/>
          <w:b/>
          <w:color w:val="000000"/>
          <w:sz w:val="24"/>
          <w:highlight w:val="none"/>
        </w:rPr>
        <w:t>四、补充条款：</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pPr>
        <w:keepNext w:val="0"/>
        <w:keepLines w:val="0"/>
        <w:pageBreakBefore w:val="0"/>
        <w:kinsoku/>
        <w:wordWrap/>
        <w:overflowPunct/>
        <w:topLinePunct w:val="0"/>
        <w:bidi w:val="0"/>
        <w:adjustRightInd w:val="0"/>
        <w:snapToGrid w:val="0"/>
        <w:spacing w:line="500" w:lineRule="exact"/>
        <w:ind w:firstLine="482" w:firstLineChars="200"/>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五、附则</w:t>
      </w:r>
    </w:p>
    <w:p>
      <w:pPr>
        <w:keepNext w:val="0"/>
        <w:keepLines w:val="0"/>
        <w:pageBreakBefore w:val="0"/>
        <w:kinsoku/>
        <w:wordWrap/>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本协议与主合同同时签订、同时终止、同时生效，具有相同的法律效力，自甲方、乙方双方签字、盖章生效，甲方、乙方双方执持数量与主合同一致。</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left="5490" w:leftChars="100" w:hanging="5280" w:hangingChars="2200"/>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甲方：</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乙方： </w:t>
      </w:r>
    </w:p>
    <w:p>
      <w:pPr>
        <w:keepNext w:val="0"/>
        <w:keepLines w:val="0"/>
        <w:pageBreakBefore w:val="0"/>
        <w:kinsoku/>
        <w:wordWrap/>
        <w:overflowPunct/>
        <w:topLinePunct w:val="0"/>
        <w:bidi w:val="0"/>
        <w:adjustRightInd w:val="0"/>
        <w:snapToGrid w:val="0"/>
        <w:spacing w:line="500" w:lineRule="exact"/>
        <w:ind w:left="1290" w:leftChars="100" w:hanging="1080" w:hangingChars="4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负责人（签名）：                              负责人（签名）：</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地址：</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 xml:space="preserve">    　       地址： </w:t>
      </w:r>
    </w:p>
    <w:p>
      <w:pPr>
        <w:keepNext w:val="0"/>
        <w:keepLines w:val="0"/>
        <w:pageBreakBefore w:val="0"/>
        <w:widowControl/>
        <w:kinsoku/>
        <w:wordWrap/>
        <w:overflowPunct/>
        <w:topLinePunct w:val="0"/>
        <w:bidi w:val="0"/>
        <w:spacing w:line="500" w:lineRule="exact"/>
        <w:ind w:firstLine="240" w:firstLineChars="10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电话：                            　　     电话：</w:t>
      </w:r>
    </w:p>
    <w:p>
      <w:pPr>
        <w:keepNext w:val="0"/>
        <w:keepLines w:val="0"/>
        <w:pageBreakBefore w:val="0"/>
        <w:widowControl/>
        <w:kinsoku/>
        <w:wordWrap/>
        <w:overflowPunct/>
        <w:topLinePunct w:val="0"/>
        <w:bidi w:val="0"/>
        <w:spacing w:line="500" w:lineRule="exact"/>
        <w:ind w:firstLine="1560" w:firstLineChars="650"/>
        <w:jc w:val="left"/>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 xml:space="preserve">年   月   日         </w:t>
      </w:r>
      <w:r>
        <w:rPr>
          <w:rFonts w:hint="eastAsia" w:ascii="宋体" w:hAnsi="宋体" w:eastAsia="宋体" w:cs="宋体"/>
          <w:color w:val="000000"/>
          <w:kern w:val="0"/>
          <w:sz w:val="24"/>
          <w:szCs w:val="24"/>
          <w:highlight w:val="none"/>
        </w:rPr>
        <w:tab/>
      </w:r>
      <w:r>
        <w:rPr>
          <w:rFonts w:hint="eastAsia" w:ascii="宋体" w:hAnsi="宋体" w:eastAsia="宋体" w:cs="宋体"/>
          <w:color w:val="000000"/>
          <w:kern w:val="0"/>
          <w:sz w:val="24"/>
          <w:szCs w:val="24"/>
          <w:highlight w:val="none"/>
        </w:rPr>
        <w:t xml:space="preserve">                年   月    日</w:t>
      </w:r>
    </w:p>
    <w:p>
      <w:pPr>
        <w:keepNext w:val="0"/>
        <w:keepLines w:val="0"/>
        <w:pageBreakBefore w:val="0"/>
        <w:kinsoku/>
        <w:wordWrap/>
        <w:overflowPunct/>
        <w:topLinePunct w:val="0"/>
        <w:bidi w:val="0"/>
        <w:adjustRightInd w:val="0"/>
        <w:snapToGrid w:val="0"/>
        <w:spacing w:line="500" w:lineRule="exact"/>
        <w:ind w:left="1320" w:hanging="1320" w:hangingChars="5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w:t>
      </w:r>
    </w:p>
    <w:p>
      <w:pPr>
        <w:keepNext w:val="0"/>
        <w:keepLines w:val="0"/>
        <w:pageBreakBefore w:val="0"/>
        <w:widowControl/>
        <w:kinsoku/>
        <w:wordWrap/>
        <w:overflowPunct/>
        <w:topLinePunct w:val="0"/>
        <w:bidi w:val="0"/>
        <w:spacing w:line="500" w:lineRule="exact"/>
        <w:jc w:val="left"/>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szCs w:val="24"/>
          <w:highlight w:val="none"/>
        </w:rPr>
        <w:br w:type="page"/>
      </w:r>
      <w:r>
        <w:rPr>
          <w:rFonts w:hint="eastAsia" w:ascii="宋体" w:hAnsi="宋体" w:eastAsia="宋体" w:cs="宋体"/>
          <w:b/>
          <w:color w:val="000000"/>
          <w:sz w:val="24"/>
          <w:highlight w:val="none"/>
        </w:rPr>
        <w:t>附件5：</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kinsoku/>
        <w:wordWrap/>
        <w:overflowPunct/>
        <w:topLinePunct w:val="0"/>
        <w:bidi w:val="0"/>
        <w:spacing w:line="500" w:lineRule="exact"/>
        <w:jc w:val="center"/>
        <w:textAlignment w:val="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安全生产承诺书</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highlight w:val="none"/>
        </w:rPr>
      </w:pP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致：广州市净水有限公司</w:t>
      </w:r>
    </w:p>
    <w:p>
      <w:pPr>
        <w:keepNext w:val="0"/>
        <w:keepLines w:val="0"/>
        <w:pageBreakBefore w:val="0"/>
        <w:kinsoku/>
        <w:wordWrap/>
        <w:overflowPunct/>
        <w:topLinePunct w:val="0"/>
        <w:bidi w:val="0"/>
        <w:spacing w:line="500" w:lineRule="exact"/>
        <w:textAlignment w:val="auto"/>
        <w:rPr>
          <w:rFonts w:hint="eastAsia" w:ascii="宋体" w:hAnsi="宋体" w:eastAsia="宋体" w:cs="宋体"/>
          <w:color w:val="000000"/>
          <w:sz w:val="24"/>
          <w:szCs w:val="24"/>
          <w:highlight w:val="none"/>
        </w:rPr>
      </w:pPr>
    </w:p>
    <w:p>
      <w:pPr>
        <w:adjustRightInd w:val="0"/>
        <w:snapToGrid w:val="0"/>
        <w:spacing w:line="600" w:lineRule="exact"/>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为确保我公司承包的</w:t>
      </w:r>
      <w:r>
        <w:rPr>
          <w:rFonts w:hint="eastAsia" w:ascii="宋体" w:hAnsi="宋体" w:eastAsia="宋体" w:cs="宋体"/>
          <w:color w:val="000000"/>
          <w:sz w:val="24"/>
          <w:szCs w:val="24"/>
          <w:highlight w:val="none"/>
          <w:u w:val="single"/>
        </w:rPr>
        <w:t>广州市净水有限公司</w:t>
      </w:r>
      <w:r>
        <w:rPr>
          <w:rFonts w:hint="eastAsia" w:ascii="宋体" w:hAnsi="宋体" w:eastAsia="宋体" w:cs="宋体"/>
          <w:color w:val="000000"/>
          <w:sz w:val="24"/>
          <w:szCs w:val="24"/>
          <w:highlight w:val="none"/>
          <w:u w:val="single"/>
          <w:lang w:val="en-US" w:eastAsia="zh-CN"/>
        </w:rPr>
        <w:t>大坦沙分公司三期厂区围墙护栏改造</w:t>
      </w:r>
      <w:r>
        <w:rPr>
          <w:rFonts w:hint="eastAsia" w:ascii="宋体" w:hAnsi="宋体" w:eastAsia="宋体" w:cs="宋体"/>
          <w:color w:val="000000"/>
          <w:sz w:val="24"/>
          <w:szCs w:val="24"/>
          <w:highlight w:val="none"/>
          <w:u w:val="single"/>
          <w:lang w:eastAsia="zh-CN"/>
        </w:rPr>
        <w:t>工程</w:t>
      </w:r>
      <w:r>
        <w:rPr>
          <w:rFonts w:hint="eastAsia" w:ascii="宋体" w:hAnsi="宋体" w:eastAsia="宋体" w:cs="宋体"/>
          <w:color w:val="000000"/>
          <w:sz w:val="24"/>
          <w:szCs w:val="24"/>
          <w:highlight w:val="none"/>
        </w:rPr>
        <w:t>在施工期间的施工安全，特郑重承诺如下：</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一、认真组织施工人员、管理人员学习有关施工安全的知识，争取做到人人懂安全，事事保安全。</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二、严格执行安全施工的有关规定和规程，文明施工，安全施工。</w:t>
      </w:r>
    </w:p>
    <w:p>
      <w:pPr>
        <w:keepNext w:val="0"/>
        <w:keepLines w:val="0"/>
        <w:pageBreakBefore w:val="0"/>
        <w:kinsoku/>
        <w:wordWrap/>
        <w:overflowPunct/>
        <w:topLinePunct w:val="0"/>
        <w:bidi w:val="0"/>
        <w:adjustRightInd w:val="0"/>
        <w:snapToGrid w:val="0"/>
        <w:spacing w:line="500" w:lineRule="exact"/>
        <w:ind w:left="48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三、切实履行施工安全协议书规定的各项安全管理职责。</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保证严格依据国家、相关行业有关规定和施工承包合同的要求安全施工，安全生产目标为：不发生安全事故。我方保证切实执行与贵公司签订的施工安全协议书，如发生安全生产责任事故导致人员重伤累计2人次或死亡1人的，从认定为安全事故责任之日起，我方自动放弃在你方项目中 1年的投标资格；重伤累计3人次及以上或死亡2人及以上的，从认定为安全事故责任之日起，我方自动放弃在你方项目中3年的投标资格。</w:t>
      </w:r>
    </w:p>
    <w:p>
      <w:pPr>
        <w:keepNext w:val="0"/>
        <w:keepLines w:val="0"/>
        <w:pageBreakBefore w:val="0"/>
        <w:kinsoku/>
        <w:wordWrap/>
        <w:overflowPunct/>
        <w:topLinePunct w:val="0"/>
        <w:bidi w:val="0"/>
        <w:adjustRightInd w:val="0"/>
        <w:snapToGrid w:val="0"/>
        <w:spacing w:line="500" w:lineRule="exact"/>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tabs>
          <w:tab w:val="left" w:pos="2352"/>
        </w:tabs>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p>
    <w:p>
      <w:pPr>
        <w:keepNext w:val="0"/>
        <w:keepLines w:val="0"/>
        <w:pageBreakBefore w:val="0"/>
        <w:tabs>
          <w:tab w:val="left" w:pos="2224"/>
          <w:tab w:val="left" w:pos="7152"/>
        </w:tabs>
        <w:kinsoku/>
        <w:wordWrap/>
        <w:overflowPunct/>
        <w:topLinePunct w:val="0"/>
        <w:bidi w:val="0"/>
        <w:spacing w:line="5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ab/>
      </w:r>
      <w:r>
        <w:rPr>
          <w:rFonts w:hint="eastAsia" w:ascii="宋体" w:hAnsi="宋体" w:eastAsia="宋体" w:cs="宋体"/>
          <w:color w:val="000000"/>
          <w:sz w:val="24"/>
          <w:szCs w:val="24"/>
          <w:highlight w:val="none"/>
        </w:rPr>
        <w:tab/>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施工单位：（盖章）</w:t>
      </w:r>
    </w:p>
    <w:p>
      <w:pPr>
        <w:keepNext w:val="0"/>
        <w:keepLines w:val="0"/>
        <w:pageBreakBefore w:val="0"/>
        <w:kinsoku/>
        <w:wordWrap/>
        <w:overflowPunct/>
        <w:topLinePunct w:val="0"/>
        <w:bidi w:val="0"/>
        <w:spacing w:line="500" w:lineRule="exact"/>
        <w:ind w:left="3840"/>
        <w:textAlignment w:val="auto"/>
        <w:rPr>
          <w:rFonts w:hint="eastAsia" w:ascii="宋体" w:hAnsi="宋体" w:eastAsia="宋体" w:cs="宋体"/>
          <w:color w:val="000000"/>
          <w:sz w:val="24"/>
          <w:szCs w:val="24"/>
          <w:highlight w:val="none"/>
        </w:rPr>
      </w:pPr>
    </w:p>
    <w:p>
      <w:pPr>
        <w:keepNext w:val="0"/>
        <w:keepLines w:val="0"/>
        <w:pageBreakBefore w:val="0"/>
        <w:kinsoku/>
        <w:wordWrap/>
        <w:overflowPunct/>
        <w:topLinePunct w:val="0"/>
        <w:bidi w:val="0"/>
        <w:spacing w:line="500" w:lineRule="exact"/>
        <w:ind w:firstLine="4440" w:firstLineChars="18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年   月   日</w:t>
      </w:r>
    </w:p>
    <w:p>
      <w:pPr>
        <w:keepNext w:val="0"/>
        <w:keepLines w:val="0"/>
        <w:pageBreakBefore w:val="0"/>
        <w:kinsoku/>
        <w:wordWrap/>
        <w:overflowPunct/>
        <w:topLinePunct w:val="0"/>
        <w:bidi w:val="0"/>
        <w:adjustRightInd w:val="0"/>
        <w:snapToGrid w:val="0"/>
        <w:spacing w:line="500" w:lineRule="exact"/>
        <w:textAlignment w:val="auto"/>
        <w:rPr>
          <w:rFonts w:hint="eastAsia" w:ascii="宋体" w:hAnsi="宋体" w:eastAsia="宋体" w:cs="宋体"/>
          <w:color w:val="000000"/>
          <w:sz w:val="24"/>
          <w:szCs w:val="22"/>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r>
        <w:rPr>
          <w:rFonts w:hint="eastAsia" w:ascii="宋体" w:hAnsi="宋体" w:cs="宋体"/>
          <w:color w:val="000000"/>
          <w:szCs w:val="21"/>
          <w:highlight w:val="none"/>
        </w:rPr>
        <w:t>附件</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：营运项目承包单位日常履约考评参照表（安全）</w:t>
      </w:r>
    </w:p>
    <w:tbl>
      <w:tblPr>
        <w:tblStyle w:val="22"/>
        <w:tblpPr w:leftFromText="180" w:rightFromText="180" w:vertAnchor="text" w:horzAnchor="page" w:tblpX="1847" w:tblpY="783"/>
        <w:tblOverlap w:val="never"/>
        <w:tblW w:w="0" w:type="auto"/>
        <w:jc w:val="center"/>
        <w:tblLayout w:type="autofit"/>
        <w:tblCellMar>
          <w:top w:w="0" w:type="dxa"/>
          <w:left w:w="0" w:type="dxa"/>
          <w:bottom w:w="0" w:type="dxa"/>
          <w:right w:w="0" w:type="dxa"/>
        </w:tblCellMar>
      </w:tblPr>
      <w:tblGrid>
        <w:gridCol w:w="344"/>
        <w:gridCol w:w="876"/>
        <w:gridCol w:w="707"/>
        <w:gridCol w:w="2322"/>
        <w:gridCol w:w="1142"/>
        <w:gridCol w:w="1152"/>
        <w:gridCol w:w="1152"/>
        <w:gridCol w:w="1173"/>
      </w:tblGrid>
      <w:tr>
        <w:tblPrEx>
          <w:tblCellMar>
            <w:top w:w="0" w:type="dxa"/>
            <w:left w:w="0" w:type="dxa"/>
            <w:bottom w:w="0" w:type="dxa"/>
            <w:right w:w="0" w:type="dxa"/>
          </w:tblCellMar>
        </w:tblPrEx>
        <w:trPr>
          <w:trHeight w:val="320" w:hRule="atLeast"/>
          <w:jc w:val="center"/>
        </w:trPr>
        <w:tc>
          <w:tcPr>
            <w:tcW w:w="0" w:type="auto"/>
            <w:gridSpan w:val="8"/>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考评项目</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考评内容</w:t>
            </w:r>
          </w:p>
        </w:tc>
        <w:tc>
          <w:tcPr>
            <w:tcW w:w="0" w:type="auto"/>
            <w:gridSpan w:val="4"/>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42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合同金额＜5万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5万≤合同金额＜30万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30万≤合同金额＜100万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安全事故</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事故类型</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发生发生3人及以上重伤或发生1人及以上死亡或直接经济损失达200万元以上的安全生产事故</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发生重伤2人安全事故的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扣合同金额的30%～50%；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扣合同金额的20%～30%；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发生重伤1人安全事故的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扣合同金额的20%～30%;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扣合同金额的3%～5%；</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4</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发生停产、影响环境、破坏公共设施、造成不良影响等事故的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或2000～3000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或5000～1万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扣合同金额的3%～5%；</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扣合同金额的1%～2%；</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5</w:t>
            </w: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事故处理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1.发生事故或事件隐瞒不报的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2.未在1小时内向业主单位上报事故的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3.拒绝、不配合事故事件调查的或事故事件调查提供虚假信息</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4.未按规定和程序组织事故调查和事故处理的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5.未及时处理导致事故扩大的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6.未落实“四不放过”的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扣合同金额的30%～50%；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或1万～2万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扣合同金额的20%～30%；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或2万～4万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扣合同金额的10%～20%；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或4万～8万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扣合同金额的5%～10%;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首次备案施工单位须提供的资料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一般资料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1.施工人员签名的安全交底表（交底内容由分公司编写），被交底人员应与人员花名册一致</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2.施工单位对施工人员的三级安全教育材料</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3.特殊时期需要增加的资料（如新冠疫情期间，需要增加的人员健康码和行程码资料）</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缺资料扣合同金额的5%或500；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缺资料扣合同金额的2%或2000；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缺资料扣合同金额的1%或4500；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缺资料扣合同金额的0.4%或8000；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施工方案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4.施工方案，应满足合同要求，内容至少包括：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施工点介绍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施工内容（含作业流程、风险分析、施工工艺等）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施工设备和材料（必要时含构件测试手段等）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安全措施（根据工程特点、分公司的风险评估和施工单位的施工工艺制定）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正常施工安全物资（主要是安全防护设备、劳保用品）</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缺施工方案扣合同金额的6%或700；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缺施工方案扣合同金额的3%或3500；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缺施工方案扣合同金额的1.5%或5000；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缺施工方案扣合同金额的0.5%或1万；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应急预案</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5.应急预案，内容至少包括：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现场情况介绍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风险评估</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应急架构（包括应急主管人员和安全员，以及各应急小组，落实到人和联系方式）</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应急流程</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各种风险情况下的应急措施（根据现场情况、分公司的风险评估制定）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应急物资清单</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外单位救援力量及联系方式等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缺应急预案扣合同金额的6%或700；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缺应急预案扣合同金额的3%或3500；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缺应急预案扣合同金额的1.5%或5000；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缺应急预案扣合同金额的0.5%或1万；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安全架构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6.安全架构和相应安全责任制（落实到人和联系方式），可编写入施工方案内，架构人员主要包括：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安全责任人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施工负责人（可与安全责任人为同一个人）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设备、物资管理人员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关键岗位人员、特种作业人员</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缺安全架构扣合同金额的10%或2000；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缺安全架构扣合同金额的5%或5000；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缺安全架构扣合同金额的2%或1万；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缺少任何一类人员及其职责的扣合同金额的1%或5000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缺安全架构扣合同金额的1%或2万；</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10</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人员资质</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7.施工人员花名册，人员应包含：</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施工负责人（需要施工管理人员资格证书）</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安全员（涉及动火、临时用电、有限空间、高空、抽堵盲板、吊装、动土、断路、设备检修等9大危险作业的，安全员需要有安全员证）</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特种作业人员（附证件号，同时要复印特种作业证，特种作业人数应满足合同要求）</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一般施工人员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可能需要进入厂区的其他人员（如监理人员、资料员等）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注：如作业涉及危险作业，作业人员须有作业人员岗前职业病体检和筛选</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缺花名册扣合同金额的5%或500；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缺特种作业人员或特种作业人员不满足合同要求，扣合同金额的5%或500；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缺花名册扣合同金额的2%或2000；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缺特种作业人员或特种作业人员不满足合同要求，扣合同金额的2%或2000；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缺花名册扣合同金额的1%或4500；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缺特种作业人员或特种作业人员不满足合同要求，扣合同金额的1%或4500；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其他人员或资料有缺漏扣合同金额的0.4%或2000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缺花名册扣合同金额的0.4%或8000；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缺特种作业人员或特种作业人员不满足合同要求，扣合同金额的0.4%或8000；</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11</w:t>
            </w:r>
          </w:p>
        </w:tc>
        <w:tc>
          <w:tcPr>
            <w:tcW w:w="0" w:type="auto"/>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施工现场管理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现场面貌</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1.施工现场未开展有效围蔽</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3.现场无危险源公示、告知及相应警示</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4.材料堆放存在重大隐患</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12</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1.现场未按施工方案落实安全防范措施的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2.危险作业未经业主人员审批先行施工的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3.未按施工方案施工的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扣合同金额的10%或2000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扣合同金额的2%或1万</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13</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每日安全交底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1.缺少书面交底、未留存书面资料或交底资料缺少交底人、被交底人及安全员签字的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2.内容未结合当天的现场状况、特点、工序，对危险因素、施工内容、安全作业和应急措施进行交底的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14</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作业行为管理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1.违反9大危险作业相关作业规范的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2.现场存在违章作业、违章指挥等违反相关安全管理规定或制度的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3.人员错误使用劳保用品3次以上的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扣合同金额的6%或700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扣合同金额的1.5%或5000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15</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安全记录</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未按施工要求开展现场记录或记录内容有缺失</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16</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1.未设置应急物资点，未统一存放应急物资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2.应急物资点无应急物资清单或无应急物资每日检查表</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3.无开展日常应急培训、训练、演练或无资料留档的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17</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人员变更无完善的手续及资料的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扣合同金额的3%或300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扣合同金额的1%或1000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扣合同金额的0.5%或2500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18</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隐患管理</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未及时对发现的隐患开展整改的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扣合同金额的5%或500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扣合同金额的2%或2000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扣合同金额的1%或4500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19</w:t>
            </w:r>
          </w:p>
        </w:tc>
        <w:tc>
          <w:tcPr>
            <w:tcW w:w="0" w:type="auto"/>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违反业主或上级主管部门提出的其他管理要求、文件、规定或拒不执行的</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扣合同金额的3%～5%；</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或300～500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扣合同金额的1%～2%；</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或1000～2000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扣合同金额的0.5%～1%；</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或2500～4500</w:t>
            </w: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扣合同金额的0.3%～0.4%；</w:t>
            </w:r>
          </w:p>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20</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280" w:hRule="atLeast"/>
          <w:jc w:val="center"/>
        </w:trPr>
        <w:tc>
          <w:tcPr>
            <w:tcW w:w="0" w:type="auto"/>
            <w:gridSpan w:val="8"/>
            <w:tcBorders>
              <w:top w:val="nil"/>
              <w:left w:val="nil"/>
              <w:bottom w:val="nil"/>
              <w:right w:val="nil"/>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w:t>注：1、与安全管理相关的考评内容具体考评标准内容参照广州市净水有限公司标准《工程项目安全管理规范》（Q/GZJSA 1-2021）执行。</w:t>
            </w:r>
          </w:p>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highlight w:val="none"/>
              </w:rPr>
            </w:pPr>
            <w:r>
              <w:rPr>
                <w:rFonts w:hint="eastAsia" w:ascii="仿宋" w:hAnsi="仿宋" w:eastAsia="仿宋" w:cs="仿宋"/>
                <w:color w:val="auto"/>
                <w:sz w:val="13"/>
                <w:szCs w:val="13"/>
                <w:highlight w:val="none"/>
              </w:rPr>
              <w:t>2.本处理标准出自《广州净水公司工程项目承包单位质量安全考评细则（试行）》。</w:t>
            </w:r>
          </w:p>
          <w:p>
            <w:pPr>
              <w:pStyle w:val="21"/>
              <w:keepNext w:val="0"/>
              <w:keepLines w:val="0"/>
              <w:pageBreakBefore w:val="0"/>
              <w:kinsoku/>
              <w:wordWrap/>
              <w:overflowPunct/>
              <w:topLinePunct w:val="0"/>
              <w:bidi w:val="0"/>
              <w:adjustRightInd w:val="0"/>
              <w:snapToGrid w:val="0"/>
              <w:spacing w:line="360" w:lineRule="auto"/>
              <w:ind w:firstLine="1126"/>
              <w:rPr>
                <w:rFonts w:hint="eastAsia" w:ascii="仿宋" w:hAnsi="仿宋" w:eastAsia="仿宋" w:cs="仿宋"/>
                <w:color w:val="auto"/>
                <w:highlight w:val="none"/>
                <w:lang w:val="en-US" w:eastAsia="zh-CN"/>
              </w:rPr>
            </w:pPr>
          </w:p>
        </w:tc>
      </w:tr>
    </w:tbl>
    <w:p>
      <w:pPr>
        <w:pStyle w:val="21"/>
        <w:rPr>
          <w:rFonts w:hint="eastAsia"/>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eastAsia" w:ascii="宋体" w:hAnsi="宋体" w:cs="宋体"/>
          <w:color w:val="000000"/>
          <w:szCs w:val="21"/>
          <w:highlight w:val="none"/>
        </w:rPr>
      </w:pPr>
    </w:p>
    <w:p>
      <w:pPr>
        <w:keepNext w:val="0"/>
        <w:keepLines w:val="0"/>
        <w:pageBreakBefore w:val="0"/>
        <w:widowControl w:val="0"/>
        <w:kinsoku/>
        <w:wordWrap/>
        <w:overflowPunct/>
        <w:bidi w:val="0"/>
        <w:spacing w:line="500" w:lineRule="exact"/>
        <w:rPr>
          <w:rFonts w:hint="default" w:ascii="宋体" w:hAnsi="宋体" w:cs="宋体"/>
          <w:color w:val="000000"/>
          <w:szCs w:val="21"/>
          <w:highlight w:val="none"/>
          <w:lang w:val="en-US" w:eastAsia="zh-CN"/>
        </w:rPr>
      </w:pPr>
      <w:r>
        <w:rPr>
          <w:rFonts w:hint="eastAsia" w:ascii="宋体" w:hAnsi="宋体" w:cs="宋体"/>
          <w:color w:val="000000"/>
          <w:szCs w:val="21"/>
          <w:highlight w:val="none"/>
        </w:rPr>
        <w:t>附件</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营运项目承包单位综合履约考评表（安全）</w:t>
      </w:r>
    </w:p>
    <w:tbl>
      <w:tblPr>
        <w:tblStyle w:val="22"/>
        <w:tblW w:w="9300" w:type="dxa"/>
        <w:jc w:val="center"/>
        <w:tblLayout w:type="autofit"/>
        <w:tblCellMar>
          <w:top w:w="0" w:type="dxa"/>
          <w:left w:w="0" w:type="dxa"/>
          <w:bottom w:w="0" w:type="dxa"/>
          <w:right w:w="0" w:type="dxa"/>
        </w:tblCellMar>
      </w:tblPr>
      <w:tblGrid>
        <w:gridCol w:w="344"/>
        <w:gridCol w:w="436"/>
        <w:gridCol w:w="436"/>
        <w:gridCol w:w="3338"/>
        <w:gridCol w:w="947"/>
        <w:gridCol w:w="760"/>
        <w:gridCol w:w="760"/>
        <w:gridCol w:w="760"/>
        <w:gridCol w:w="760"/>
        <w:gridCol w:w="759"/>
      </w:tblGrid>
      <w:tr>
        <w:trPr>
          <w:trHeight w:val="320" w:hRule="atLeast"/>
          <w:jc w:val="center"/>
        </w:trPr>
        <w:tc>
          <w:tcPr>
            <w:tcW w:w="0" w:type="auto"/>
            <w:gridSpan w:val="10"/>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jc w:val="center"/>
        </w:trPr>
        <w:tc>
          <w:tcPr>
            <w:tcW w:w="0" w:type="auto"/>
            <w:gridSpan w:val="4"/>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项目名称：</w:t>
            </w:r>
          </w:p>
        </w:tc>
        <w:tc>
          <w:tcPr>
            <w:tcW w:w="0" w:type="auto"/>
            <w:tcBorders>
              <w:top w:val="nil"/>
              <w:left w:val="nil"/>
              <w:bottom w:val="nil"/>
              <w:right w:val="nil"/>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b/>
                <w:color w:val="auto"/>
                <w:sz w:val="16"/>
                <w:szCs w:val="16"/>
                <w:highlight w:val="none"/>
              </w:rPr>
            </w:pPr>
          </w:p>
        </w:tc>
        <w:tc>
          <w:tcPr>
            <w:tcW w:w="0" w:type="auto"/>
            <w:gridSpan w:val="5"/>
            <w:tcBorders>
              <w:top w:val="nil"/>
              <w:left w:val="nil"/>
              <w:bottom w:val="nil"/>
              <w:right w:val="nil"/>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b/>
                <w:color w:val="auto"/>
                <w:sz w:val="16"/>
                <w:szCs w:val="16"/>
                <w:highlight w:val="none"/>
              </w:rPr>
            </w:pPr>
            <w:r>
              <w:rPr>
                <w:rFonts w:hint="eastAsia" w:ascii="仿宋" w:hAnsi="仿宋" w:eastAsia="仿宋" w:cs="仿宋"/>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30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260" w:hRule="atLeast"/>
          <w:jc w:val="center"/>
        </w:trPr>
        <w:tc>
          <w:tcPr>
            <w:tcW w:w="0" w:type="auto"/>
            <w:gridSpan w:val="10"/>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7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1.发生事故或事件隐瞒不报的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2.未在1小时内向业主单位上报事故的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3.拒绝、不配合事故事件调查的或事故事件调查提供虚假信息</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4.未按规定和程序组织事故调查和事故处理的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5.未及时处理导致事故扩大的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2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1.施工人员签名的安全交底表（交底内容由分公司编写），被交底人员应与人员花名册一致</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2.施工单位对施工人员的三级安全教育材料</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缺资料扣3～5分/项；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38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4.施工方案，应满足合同要求，内容至少包括：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施工点介绍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施工内容（含作业流程、风险分析、施工工艺等）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施工设备和材料（必要时含构件测试手段等）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安全措施（根据工程特点、分公司的风险评估和施工单位的施工工艺制定）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缺施工方案扣4～8分/项；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37"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5.应急预案，内容至少包括：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现场情况介绍</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风险评估</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应急架构（包括应急主管人员和安全员，以及各应急小组，落实到人和联系方式）</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应急流程</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各种风险情况下的应急措施（根据现场情况、分公司的风险评估制定）</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应急物资清单</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缺应急预案扣4～8分/项；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6.安全架构和相应安全责任制（落实到人和联系方式），可编写入施工方案内，架构人员主要包括：</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安全责任人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施工负责人（可与安全责任人为同一个人）</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设备、物资管理人员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缺安全架构扣5～10分/项；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24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7.施工人员花名册，人员应包含：</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施工负责人（需要施工管理人员资格证书）</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安全员（涉及动火、临时用电、有限空间、高空、抽堵盲板、吊装、动土、断路、设备检修等9大危险作业的，安全员需要有安全员证）</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特种作业人员（附证件号，同时要复印特种作业证，特种作业人数应满足合同要求）</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一般施工人员</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 xml:space="preserve">  可能需要进入厂区的其他人员（如监理人员、资料员等）</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缺花名册扣3～5分/项；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缺特种作业人员或特种作业人员不满足合同要求扣3～5分/项；</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712"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1.施工现场未开展有效围蔽</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3.现场无危险源公示、告知及相应警示</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rPr>
          <w:trHeight w:val="8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1.现场未按施工方案落实安全防范措施的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2.危险作业未经业主人员审批先行施工的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8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1.缺少书面交底、未留存书面资料或交底资料缺少交底人、被交底人及安全员签字的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11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1.违反9大危险作业相关作业规范的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2.现场存在违章作业、违章指挥等违反相关安全管理规定或制度的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0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1.未设置应急物资点，未统一存放应急物资</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kern w:val="0"/>
                <w:sz w:val="16"/>
                <w:szCs w:val="16"/>
                <w:highlight w:val="none"/>
                <w:lang w:eastAsia="zh-CN" w:bidi="ar"/>
              </w:rPr>
            </w:pPr>
            <w:r>
              <w:rPr>
                <w:rFonts w:hint="eastAsia" w:ascii="仿宋" w:hAnsi="仿宋" w:eastAsia="仿宋" w:cs="仿宋"/>
                <w:color w:val="auto"/>
                <w:kern w:val="0"/>
                <w:sz w:val="16"/>
                <w:szCs w:val="16"/>
                <w:highlight w:val="none"/>
                <w:lang w:bidi="ar"/>
              </w:rPr>
              <w:t>2.应急物资点无应急物资清单或无应急物资每日检查表</w:t>
            </w:r>
          </w:p>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44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blPrEx>
          <w:tblCellMar>
            <w:top w:w="0" w:type="dxa"/>
            <w:left w:w="0" w:type="dxa"/>
            <w:bottom w:w="0" w:type="dxa"/>
            <w:right w:w="0"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rPr>
          <w:trHeight w:val="320" w:hRule="atLeast"/>
          <w:jc w:val="center"/>
        </w:trPr>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center"/>
              <w:textAlignment w:val="center"/>
              <w:rPr>
                <w:rFonts w:hint="eastAsia" w:ascii="仿宋" w:hAnsi="仿宋" w:eastAsia="仿宋" w:cs="仿宋"/>
                <w:color w:val="auto"/>
                <w:sz w:val="16"/>
                <w:szCs w:val="16"/>
                <w:highlight w:val="none"/>
              </w:rPr>
            </w:pPr>
            <w:r>
              <w:rPr>
                <w:rFonts w:hint="eastAsia" w:ascii="仿宋" w:hAnsi="仿宋" w:eastAsia="仿宋" w:cs="仿宋"/>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jc w:val="center"/>
              <w:rPr>
                <w:rFonts w:hint="eastAsia" w:ascii="仿宋" w:hAnsi="仿宋" w:eastAsia="仿宋" w:cs="仿宋"/>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pageBreakBefore w:val="0"/>
              <w:kinsoku/>
              <w:wordWrap/>
              <w:overflowPunct/>
              <w:topLinePunct w:val="0"/>
              <w:bidi w:val="0"/>
              <w:adjustRightInd w:val="0"/>
              <w:snapToGrid w:val="0"/>
              <w:spacing w:line="360" w:lineRule="auto"/>
              <w:rPr>
                <w:rFonts w:hint="eastAsia" w:ascii="仿宋" w:hAnsi="仿宋" w:eastAsia="仿宋" w:cs="仿宋"/>
                <w:color w:val="auto"/>
                <w:sz w:val="16"/>
                <w:szCs w:val="16"/>
                <w:highlight w:val="none"/>
              </w:rPr>
            </w:pPr>
          </w:p>
        </w:tc>
      </w:tr>
      <w:tr>
        <w:trPr>
          <w:trHeight w:val="1440" w:hRule="atLeast"/>
          <w:jc w:val="center"/>
        </w:trPr>
        <w:tc>
          <w:tcPr>
            <w:tcW w:w="9302" w:type="dxa"/>
            <w:gridSpan w:val="10"/>
            <w:tcBorders>
              <w:top w:val="nil"/>
              <w:left w:val="nil"/>
              <w:bottom w:val="nil"/>
              <w:right w:val="nil"/>
            </w:tcBorders>
            <w:tcMar>
              <w:top w:w="12" w:type="dxa"/>
              <w:left w:w="12" w:type="dxa"/>
              <w:right w:w="12" w:type="dxa"/>
            </w:tcMar>
            <w:vAlign w:val="center"/>
          </w:tcPr>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注：1、综合考评满分100分，各考评项目扣分不设上限；</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2、监理单位考评只作为参考及履职依据，不计入考评，无监理单位不需填写；</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3、“公司考评”业务主管部门和安全办针对本部门检查发现的内容进行扣（奖）分，项目部已经进行扣（奖）分的不重复执行；</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4、各分公司考评填写相应的得（扣）分数值，如奖2分则填写“2”，扣2分则填写“-2”；</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5、单项“综合考评”=项目部考评+公司考评；综合考评总分=各单项“综合考评”+100</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lang w:eastAsia="zh-CN"/>
              </w:rPr>
            </w:pPr>
            <w:r>
              <w:rPr>
                <w:rFonts w:hint="eastAsia" w:ascii="仿宋" w:hAnsi="仿宋" w:eastAsia="仿宋" w:cs="仿宋"/>
                <w:color w:val="auto"/>
                <w:sz w:val="13"/>
                <w:szCs w:val="13"/>
                <w:highlight w:val="none"/>
              </w:rPr>
              <w:t xml:space="preserve">    6、最后得分=综合考评总分X类别系数；</w:t>
            </w:r>
          </w:p>
          <w:p>
            <w:pPr>
              <w:keepNext w:val="0"/>
              <w:keepLines w:val="0"/>
              <w:pageBreakBefore w:val="0"/>
              <w:widowControl/>
              <w:kinsoku/>
              <w:wordWrap/>
              <w:overflowPunct/>
              <w:topLinePunct w:val="0"/>
              <w:bidi w:val="0"/>
              <w:adjustRightInd w:val="0"/>
              <w:snapToGrid w:val="0"/>
              <w:spacing w:line="360" w:lineRule="auto"/>
              <w:jc w:val="left"/>
              <w:textAlignment w:val="center"/>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w:t xml:space="preserve">    7、各考评项目具体考评标准内容参照广州市净水有限公司标准《工程项目安全管理规范》（Q/GZJSA 1-2021）执行。 </w:t>
            </w:r>
          </w:p>
          <w:p>
            <w:pPr>
              <w:keepNext w:val="0"/>
              <w:keepLines w:val="0"/>
              <w:pageBreakBefore w:val="0"/>
              <w:kinsoku/>
              <w:wordWrap/>
              <w:overflowPunct/>
              <w:topLinePunct w:val="0"/>
              <w:bidi w:val="0"/>
              <w:adjustRightInd w:val="0"/>
              <w:snapToGrid w:val="0"/>
              <w:spacing w:line="360" w:lineRule="auto"/>
              <w:ind w:firstLine="260" w:firstLineChars="200"/>
              <w:contextualSpacing/>
              <w:jc w:val="left"/>
              <w:rPr>
                <w:rFonts w:hint="eastAsia" w:ascii="仿宋" w:hAnsi="仿宋" w:eastAsia="仿宋" w:cs="仿宋"/>
                <w:color w:val="auto"/>
                <w:sz w:val="13"/>
                <w:szCs w:val="13"/>
                <w:highlight w:val="none"/>
              </w:rPr>
            </w:pPr>
            <w:r>
              <w:rPr>
                <w:rFonts w:hint="eastAsia" w:ascii="仿宋" w:hAnsi="仿宋" w:eastAsia="仿宋" w:cs="仿宋"/>
                <w:color w:val="auto"/>
                <w:sz w:val="13"/>
                <w:szCs w:val="13"/>
                <w:highlight w:val="none"/>
              </w:rPr>
              <w:t>8、本处理标准出自《广州净水公司工程项目承包单位质量安全考评细则（试行）》。</w:t>
            </w:r>
          </w:p>
          <w:p>
            <w:pPr>
              <w:pStyle w:val="21"/>
              <w:keepNext w:val="0"/>
              <w:keepLines w:val="0"/>
              <w:pageBreakBefore w:val="0"/>
              <w:kinsoku/>
              <w:wordWrap/>
              <w:overflowPunct/>
              <w:topLinePunct w:val="0"/>
              <w:bidi w:val="0"/>
              <w:adjustRightInd w:val="0"/>
              <w:snapToGrid w:val="0"/>
              <w:spacing w:line="360" w:lineRule="auto"/>
              <w:ind w:firstLine="1126"/>
              <w:rPr>
                <w:rFonts w:hint="eastAsia" w:ascii="仿宋" w:hAnsi="仿宋" w:eastAsia="仿宋" w:cs="仿宋"/>
                <w:color w:val="auto"/>
                <w:highlight w:val="none"/>
              </w:rPr>
            </w:pPr>
          </w:p>
        </w:tc>
      </w:tr>
    </w:tbl>
    <w:p>
      <w:pPr>
        <w:pStyle w:val="55"/>
        <w:rPr>
          <w:rFonts w:hint="eastAsia" w:ascii="宋体" w:hAnsi="宋体" w:cs="宋体"/>
          <w:color w:val="000000"/>
          <w:szCs w:val="21"/>
          <w:highlight w:val="none"/>
        </w:rPr>
      </w:pPr>
    </w:p>
    <w:p>
      <w:pPr>
        <w:widowControl/>
        <w:jc w:val="left"/>
        <w:rPr>
          <w:rFonts w:hint="eastAsia" w:ascii="宋体" w:hAnsi="宋体" w:cs="宋体"/>
          <w:color w:val="000000"/>
          <w:szCs w:val="21"/>
          <w:highlight w:val="none"/>
          <w:lang w:eastAsia="zh-CN"/>
        </w:rPr>
      </w:pPr>
    </w:p>
    <w:p>
      <w:pPr>
        <w:widowControl/>
        <w:jc w:val="left"/>
        <w:rPr>
          <w:rFonts w:hint="eastAsia" w:ascii="宋体" w:hAnsi="宋体" w:cs="宋体"/>
          <w:color w:val="000000"/>
          <w:szCs w:val="21"/>
          <w:highlight w:val="none"/>
          <w:lang w:eastAsia="zh-CN"/>
        </w:rPr>
      </w:pP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附件</w:t>
      </w:r>
      <w:r>
        <w:rPr>
          <w:rFonts w:hint="eastAsia" w:ascii="宋体" w:hAnsi="宋体" w:eastAsia="宋体" w:cs="宋体"/>
          <w:b/>
          <w:bCs/>
          <w:color w:val="000000"/>
          <w:sz w:val="21"/>
          <w:szCs w:val="21"/>
          <w:highlight w:val="none"/>
          <w:lang w:val="en-US" w:eastAsia="zh-CN"/>
        </w:rPr>
        <w:t>10</w:t>
      </w:r>
      <w:r>
        <w:rPr>
          <w:rFonts w:hint="eastAsia" w:ascii="宋体" w:hAnsi="宋体" w:eastAsia="宋体" w:cs="宋体"/>
          <w:b/>
          <w:bCs/>
          <w:color w:val="000000"/>
          <w:sz w:val="21"/>
          <w:szCs w:val="21"/>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履约保函模板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致：</w:t>
      </w:r>
      <w:r>
        <w:rPr>
          <w:rFonts w:hint="eastAsia" w:ascii="宋体" w:hAnsi="宋体" w:eastAsia="宋体" w:cs="宋体"/>
          <w:color w:val="000000"/>
          <w:sz w:val="24"/>
          <w:szCs w:val="24"/>
          <w:highlight w:val="none"/>
          <w:u w:val="single"/>
        </w:rPr>
        <w:t xml:space="preserve">               （受益人）</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鉴于</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（以下简称“委托人”）与贵方于</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签订了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（以下简称“合同”），我行同意为委托人出具履约保函，作为委托人履行合同义务的担保，以使你方得到履约保函的保障。本保函为不可撤销，见索即付的独立保函。</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一、我行保证在收到贵单位于保函有效期内送达的依本保函约定的索赔申请后，在个</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工作日内无条件和不可改变地向贵单位支付最高金额不超过人民币元</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（大写：</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xml:space="preserve"> ）的履约保证金，并放弃向你方提出任何异议和追索的权利。</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二、贵单位的索赔申请应符合下述条件：</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（一）贵单位法定代表人或其授权代表签字并加盖单位公章；</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（二）在保函有效期内送达我行；</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（三）明确的索赔金额（不得超过本保函第一条所列之限额）。</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三、本保函自签发之日起生效，有效期至</w:t>
      </w:r>
      <w:r>
        <w:rPr>
          <w:rFonts w:hint="eastAsia" w:ascii="宋体" w:hAnsi="宋体" w:eastAsia="宋体" w:cs="宋体"/>
          <w:color w:val="000000"/>
          <w:sz w:val="24"/>
          <w:szCs w:val="24"/>
          <w:highlight w:val="none"/>
          <w:u w:val="single"/>
        </w:rPr>
        <w:t xml:space="preserve">  年  月  日</w:t>
      </w:r>
      <w:r>
        <w:rPr>
          <w:rFonts w:hint="eastAsia" w:ascii="宋体" w:hAnsi="宋体" w:eastAsia="宋体" w:cs="宋体"/>
          <w:color w:val="000000"/>
          <w:sz w:val="24"/>
          <w:szCs w:val="24"/>
          <w:highlight w:val="none"/>
        </w:rPr>
        <w:t>。本保函于下述任一事项发生之时立即失效，我行在本保函项下的保证义务即刻解除：</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（一）本保函有效期限届满；</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（二）我行保证的义务履行完毕。</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五、我行向你方支付索赔金额后，本保函担保金额即按贵方通知的索赔金额予以递减。</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六、保函失效后请将保函退回我行注销，无论正本最终退回与否，不影响本保函依上述约定自动失效。</w:t>
      </w:r>
    </w:p>
    <w:p>
      <w:pPr>
        <w:keepNext w:val="0"/>
        <w:keepLines w:val="0"/>
        <w:pageBreakBefore w:val="0"/>
        <w:widowControl w:val="0"/>
        <w:kinsoku/>
        <w:wordWrap/>
        <w:overflowPunct/>
        <w:topLinePunct w:val="0"/>
        <w:autoSpaceDE/>
        <w:autoSpaceDN/>
        <w:bidi w:val="0"/>
        <w:adjustRightInd/>
        <w:snapToGrid/>
        <w:spacing w:line="360" w:lineRule="exact"/>
        <w:ind w:firstLine="42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 xml:space="preserve">                                                   落款</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保函说明：</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保函不得有下列或类似含义的表述：</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1.银行承担的为连带责任保证、一般保证。</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2.未经银行书面同意，受益人与申请人修改合同或其项下附件时，银行的保证义务解除。</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3.合同撤销或无效的，保函失效。</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4.申请人对受益人的抗辩，银行有权向受益人主张。</w:t>
      </w:r>
    </w:p>
    <w:p>
      <w:pPr>
        <w:keepNext w:val="0"/>
        <w:keepLines w:val="0"/>
        <w:pageBreakBefore w:val="0"/>
        <w:widowControl w:val="0"/>
        <w:kinsoku/>
        <w:wordWrap/>
        <w:overflowPunct/>
        <w:topLinePunct w:val="0"/>
        <w:autoSpaceDE/>
        <w:autoSpaceDN/>
        <w:bidi w:val="0"/>
        <w:adjustRightInd/>
        <w:snapToGrid/>
        <w:spacing w:line="360" w:lineRule="exact"/>
        <w:ind w:firstLine="645"/>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5.受益人请求付款的请款单据包含法院裁判文书、仲裁裁决、第三方单位出具的鉴定书等申请人违约的证明材料。</w:t>
      </w:r>
    </w:p>
    <w:p>
      <w:pPr>
        <w:pStyle w:val="55"/>
        <w:rPr>
          <w:rFonts w:hAnsi="宋体" w:eastAsia="宋体"/>
          <w:b/>
          <w:color w:val="auto"/>
          <w:highlight w:val="none"/>
        </w:rPr>
      </w:pPr>
    </w:p>
    <w:p>
      <w:pPr>
        <w:pStyle w:val="55"/>
        <w:rPr>
          <w:rFonts w:hAnsi="宋体" w:eastAsia="宋体"/>
          <w:b/>
          <w:color w:val="auto"/>
          <w:highlight w:val="none"/>
        </w:rPr>
      </w:pPr>
    </w:p>
    <w:p>
      <w:pPr>
        <w:pStyle w:val="4"/>
        <w:rPr>
          <w:color w:val="auto"/>
          <w:highlight w:val="none"/>
        </w:rPr>
      </w:pPr>
      <w:bookmarkStart w:id="86" w:name="_Toc28358"/>
      <w:bookmarkStart w:id="87" w:name="_Toc8147"/>
      <w:bookmarkStart w:id="88" w:name="_Toc23515"/>
      <w:bookmarkStart w:id="89" w:name="_Toc1563"/>
      <w:bookmarkStart w:id="90" w:name="_Toc21847"/>
      <w:bookmarkStart w:id="91" w:name="_Toc12169"/>
      <w:bookmarkStart w:id="92" w:name="_Toc30824"/>
      <w:bookmarkStart w:id="93" w:name="_Toc6230"/>
      <w:bookmarkStart w:id="94" w:name="_Toc5129"/>
      <w:bookmarkStart w:id="95" w:name="_Toc3723"/>
      <w:bookmarkStart w:id="96" w:name="_Toc16552"/>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6"/>
      <w:bookmarkEnd w:id="87"/>
      <w:bookmarkEnd w:id="88"/>
      <w:bookmarkEnd w:id="89"/>
      <w:bookmarkEnd w:id="90"/>
      <w:bookmarkEnd w:id="91"/>
      <w:bookmarkEnd w:id="92"/>
      <w:bookmarkEnd w:id="93"/>
      <w:bookmarkEnd w:id="94"/>
      <w:bookmarkEnd w:id="95"/>
      <w:bookmarkEnd w:id="96"/>
    </w:p>
    <w:p>
      <w:pPr>
        <w:pStyle w:val="39"/>
        <w:rPr>
          <w:color w:val="auto"/>
          <w:highlight w:val="none"/>
        </w:rPr>
      </w:pPr>
    </w:p>
    <w:p>
      <w:pPr>
        <w:pStyle w:val="4"/>
        <w:rPr>
          <w:color w:val="auto"/>
          <w:highlight w:val="none"/>
        </w:rPr>
      </w:pPr>
      <w:bookmarkStart w:id="97" w:name="_Toc22764"/>
      <w:bookmarkStart w:id="98" w:name="_Toc24815"/>
      <w:bookmarkStart w:id="99" w:name="_Toc10840"/>
      <w:bookmarkStart w:id="100" w:name="_Toc12610"/>
      <w:bookmarkStart w:id="101" w:name="_Toc24490"/>
      <w:bookmarkStart w:id="102" w:name="_Toc5342"/>
      <w:bookmarkStart w:id="103" w:name="_Toc87616388"/>
      <w:bookmarkStart w:id="104" w:name="_Toc17119"/>
      <w:bookmarkStart w:id="105" w:name="_Toc12769"/>
      <w:bookmarkStart w:id="106" w:name="_Toc31564"/>
      <w:bookmarkStart w:id="107" w:name="_Toc21675"/>
      <w:bookmarkStart w:id="108" w:name="_Toc88209951"/>
      <w:bookmarkStart w:id="109" w:name="_Toc30157"/>
      <w:r>
        <w:rPr>
          <w:rFonts w:hint="eastAsia"/>
          <w:color w:val="auto"/>
          <w:highlight w:val="none"/>
        </w:rPr>
        <w:t>响应文件格式要求</w:t>
      </w:r>
      <w:bookmarkEnd w:id="97"/>
      <w:bookmarkEnd w:id="98"/>
      <w:bookmarkEnd w:id="99"/>
      <w:bookmarkEnd w:id="100"/>
      <w:bookmarkEnd w:id="101"/>
      <w:bookmarkEnd w:id="102"/>
      <w:bookmarkEnd w:id="103"/>
      <w:bookmarkEnd w:id="104"/>
      <w:bookmarkEnd w:id="105"/>
      <w:bookmarkEnd w:id="106"/>
      <w:bookmarkEnd w:id="107"/>
      <w:bookmarkEnd w:id="108"/>
      <w:bookmarkEnd w:id="109"/>
    </w:p>
    <w:p>
      <w:pPr>
        <w:adjustRightInd w:val="0"/>
        <w:snapToGrid w:val="0"/>
        <w:spacing w:before="156" w:beforeLines="50" w:after="156" w:afterLines="50" w:line="600" w:lineRule="exact"/>
        <w:jc w:val="both"/>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pStyle w:val="21"/>
        <w:rPr>
          <w:rFonts w:ascii="方正小标宋简体" w:eastAsia="方正小标宋简体"/>
          <w:color w:val="auto"/>
          <w:sz w:val="48"/>
          <w:szCs w:val="48"/>
          <w:highlight w:val="none"/>
        </w:rPr>
      </w:pPr>
    </w:p>
    <w:p>
      <w:pPr>
        <w:pStyle w:val="21"/>
        <w:rPr>
          <w:rFonts w:ascii="方正小标宋简体" w:eastAsia="方正小标宋简体"/>
          <w:color w:val="auto"/>
          <w:sz w:val="48"/>
          <w:szCs w:val="48"/>
          <w:highlight w:val="none"/>
        </w:rPr>
      </w:pPr>
    </w:p>
    <w:p>
      <w:pPr>
        <w:pStyle w:val="21"/>
        <w:rPr>
          <w:rFonts w:ascii="方正小标宋简体" w:eastAsia="方正小标宋简体"/>
          <w:color w:val="auto"/>
          <w:sz w:val="48"/>
          <w:szCs w:val="48"/>
          <w:highlight w:val="none"/>
        </w:rPr>
      </w:pPr>
    </w:p>
    <w:p>
      <w:pPr>
        <w:pStyle w:val="21"/>
        <w:rPr>
          <w:rFonts w:ascii="方正小标宋简体" w:eastAsia="方正小标宋简体"/>
          <w:color w:val="auto"/>
          <w:sz w:val="48"/>
          <w:szCs w:val="48"/>
          <w:highlight w:val="none"/>
        </w:rPr>
      </w:pPr>
    </w:p>
    <w:p>
      <w:pPr>
        <w:pStyle w:val="21"/>
        <w:rPr>
          <w:rFonts w:ascii="方正小标宋简体" w:eastAsia="方正小标宋简体"/>
          <w:color w:val="auto"/>
          <w:sz w:val="48"/>
          <w:szCs w:val="48"/>
          <w:highlight w:val="none"/>
        </w:rPr>
      </w:pPr>
    </w:p>
    <w:p>
      <w:pPr>
        <w:pStyle w:val="21"/>
        <w:rPr>
          <w:rFonts w:ascii="方正小标宋简体" w:eastAsia="方正小标宋简体"/>
          <w:color w:val="auto"/>
          <w:sz w:val="48"/>
          <w:szCs w:val="48"/>
          <w:highlight w:val="none"/>
        </w:rPr>
      </w:pPr>
    </w:p>
    <w:p>
      <w:pPr>
        <w:pStyle w:val="21"/>
        <w:ind w:left="0" w:leftChars="0" w:firstLine="0" w:firstLineChars="0"/>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方正小标宋简体" w:eastAsia="方正小标宋简体"/>
          <w:color w:val="auto"/>
          <w:sz w:val="30"/>
          <w:szCs w:val="30"/>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pStyle w:val="21"/>
        <w:ind w:left="0" w:leftChars="0" w:firstLine="0" w:firstLineChars="0"/>
        <w:rPr>
          <w:rFonts w:ascii="方正小标宋简体" w:eastAsia="方正小标宋简体"/>
          <w:color w:val="auto"/>
          <w:sz w:val="30"/>
          <w:szCs w:val="30"/>
          <w:highlight w:val="none"/>
        </w:rPr>
      </w:pPr>
    </w:p>
    <w:p>
      <w:pPr>
        <w:pStyle w:val="21"/>
        <w:ind w:left="0" w:leftChars="0" w:firstLine="0" w:firstLineChars="0"/>
        <w:rPr>
          <w:rFonts w:ascii="方正小标宋简体" w:eastAsia="方正小标宋简体"/>
          <w:color w:val="auto"/>
          <w:sz w:val="30"/>
          <w:szCs w:val="30"/>
          <w:highlight w:val="none"/>
        </w:rPr>
      </w:pPr>
    </w:p>
    <w:p>
      <w:pPr>
        <w:pStyle w:val="21"/>
        <w:ind w:left="0" w:leftChars="0" w:firstLine="0" w:firstLineChars="0"/>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0" w:name="_Toc87616389"/>
      <w:bookmarkStart w:id="111" w:name="_Toc88209952"/>
      <w:r>
        <w:rPr>
          <w:rFonts w:hint="eastAsia" w:ascii="仿宋_GB2312" w:eastAsia="仿宋_GB2312"/>
          <w:color w:val="auto"/>
          <w:sz w:val="28"/>
          <w:szCs w:val="28"/>
          <w:highlight w:val="none"/>
        </w:rPr>
        <w:t>1.响应函</w:t>
      </w:r>
      <w:bookmarkEnd w:id="110"/>
      <w:bookmarkEnd w:id="111"/>
    </w:p>
    <w:p>
      <w:pPr>
        <w:spacing w:line="600" w:lineRule="exact"/>
        <w:rPr>
          <w:rFonts w:ascii="仿宋_GB2312" w:eastAsia="仿宋_GB2312"/>
          <w:color w:val="auto"/>
          <w:sz w:val="28"/>
          <w:szCs w:val="28"/>
          <w:highlight w:val="none"/>
        </w:rPr>
      </w:pPr>
      <w:bookmarkStart w:id="112" w:name="_Toc87616390"/>
      <w:bookmarkStart w:id="113" w:name="_Toc88209953"/>
      <w:r>
        <w:rPr>
          <w:rFonts w:hint="eastAsia" w:ascii="仿宋_GB2312" w:eastAsia="仿宋_GB2312"/>
          <w:color w:val="auto"/>
          <w:sz w:val="28"/>
          <w:szCs w:val="28"/>
          <w:highlight w:val="none"/>
        </w:rPr>
        <w:t>2.法定代表人证明或授权委托书</w:t>
      </w:r>
      <w:bookmarkEnd w:id="112"/>
      <w:bookmarkEnd w:id="113"/>
      <w:bookmarkStart w:id="114" w:name="_Toc88209956"/>
      <w:bookmarkStart w:id="115"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14"/>
      <w:bookmarkEnd w:id="115"/>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30"/>
        <w:rPr>
          <w:rFonts w:hint="eastAsia"/>
          <w:color w:val="auto"/>
          <w:highlight w:val="none"/>
        </w:rPr>
      </w:pPr>
    </w:p>
    <w:p>
      <w:pPr>
        <w:pStyle w:val="6"/>
        <w:rPr>
          <w:rFonts w:ascii="仿宋_GB2312" w:hAnsi="黑体" w:eastAsia="仿宋_GB2312"/>
          <w:color w:val="auto"/>
          <w:sz w:val="28"/>
          <w:szCs w:val="28"/>
          <w:highlight w:val="none"/>
          <w:u w:val="single"/>
        </w:rPr>
      </w:pPr>
      <w:bookmarkStart w:id="116" w:name="_Toc6313"/>
      <w:bookmarkStart w:id="117" w:name="_Toc28619645"/>
      <w:bookmarkStart w:id="118" w:name="_Toc87616394"/>
      <w:bookmarkStart w:id="119" w:name="_Toc12665"/>
      <w:bookmarkStart w:id="120" w:name="_Toc88209957"/>
      <w:r>
        <w:rPr>
          <w:rFonts w:hint="eastAsia" w:asciiTheme="minorEastAsia" w:hAnsiTheme="minorEastAsia" w:eastAsiaTheme="minorEastAsia"/>
          <w:color w:val="auto"/>
          <w:sz w:val="28"/>
          <w:szCs w:val="28"/>
          <w:highlight w:val="none"/>
        </w:rPr>
        <w:t>1.响应函</w:t>
      </w:r>
      <w:bookmarkEnd w:id="116"/>
      <w:bookmarkEnd w:id="117"/>
      <w:bookmarkEnd w:id="118"/>
      <w:bookmarkEnd w:id="119"/>
      <w:bookmarkEnd w:id="120"/>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ascii="Wingdings 2" w:hAnsi="Wingdings 2" w:eastAsia="宋体"/>
          <w:color w:val="auto"/>
          <w:sz w:val="28"/>
          <w:szCs w:val="28"/>
          <w:highlight w:val="none"/>
        </w:rPr>
        <w:t>R</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21" w:name="_Toc88209958"/>
      <w:bookmarkStart w:id="122" w:name="_Toc87616395"/>
      <w:bookmarkStart w:id="123" w:name="_Toc22527"/>
      <w:bookmarkStart w:id="124" w:name="_Toc29833"/>
    </w:p>
    <w:p>
      <w:pPr>
        <w:pStyle w:val="29"/>
        <w:rPr>
          <w:rFonts w:hint="eastAsia"/>
          <w:color w:val="auto"/>
          <w:highlight w:val="none"/>
        </w:rPr>
      </w:pPr>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1"/>
      <w:bookmarkEnd w:id="122"/>
      <w:bookmarkEnd w:id="123"/>
      <w:bookmarkEnd w:id="124"/>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1"/>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40"/>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2"/>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2"/>
        <w:snapToGrid w:val="0"/>
        <w:spacing w:line="600" w:lineRule="exact"/>
        <w:ind w:firstLine="3907" w:firstLineChars="1221"/>
        <w:rPr>
          <w:rFonts w:ascii="仿宋_GB2312" w:hAnsi="宋体" w:eastAsia="仿宋_GB2312" w:cs="Times New Roman"/>
          <w:color w:val="auto"/>
          <w:sz w:val="32"/>
          <w:szCs w:val="32"/>
          <w:highlight w:val="none"/>
        </w:rPr>
      </w:pPr>
    </w:p>
    <w:p>
      <w:pPr>
        <w:pStyle w:val="12"/>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9"/>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2"/>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2"/>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ascii="仿宋_GB2312" w:eastAsia="仿宋_GB2312"/>
          <w:color w:val="auto"/>
          <w:sz w:val="30"/>
          <w:szCs w:val="30"/>
          <w:highlight w:val="none"/>
        </w:rPr>
      </w:pPr>
    </w:p>
    <w:p>
      <w:pPr>
        <w:pStyle w:val="21"/>
        <w:rPr>
          <w:rFonts w:ascii="仿宋_GB2312" w:eastAsia="仿宋_GB2312"/>
          <w:color w:val="auto"/>
          <w:sz w:val="30"/>
          <w:szCs w:val="30"/>
          <w:highlight w:val="none"/>
        </w:rPr>
      </w:pPr>
    </w:p>
    <w:p>
      <w:pPr>
        <w:pStyle w:val="21"/>
        <w:rPr>
          <w:rFonts w:ascii="仿宋_GB2312" w:eastAsia="仿宋_GB2312"/>
          <w:color w:val="auto"/>
          <w:sz w:val="30"/>
          <w:szCs w:val="30"/>
          <w:highlight w:val="none"/>
        </w:rPr>
      </w:pPr>
    </w:p>
    <w:p>
      <w:pPr>
        <w:pStyle w:val="21"/>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5" w:name="_Toc87616400"/>
      <w:bookmarkStart w:id="126" w:name="_Toc19830"/>
      <w:bookmarkStart w:id="127" w:name="_Toc88209963"/>
      <w:bookmarkStart w:id="128" w:name="_Toc8086"/>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25"/>
      <w:bookmarkEnd w:id="126"/>
      <w:bookmarkEnd w:id="127"/>
      <w:bookmarkEnd w:id="128"/>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left"/>
        <w:rPr>
          <w:rFonts w:cs="Times New Roman" w:asciiTheme="minorEastAsia" w:hAnsiTheme="minorEastAsia"/>
          <w:b/>
          <w:bCs/>
          <w:color w:val="auto"/>
          <w:sz w:val="28"/>
          <w:szCs w:val="28"/>
          <w:highlight w:val="none"/>
        </w:rPr>
      </w:pPr>
      <w:bookmarkStart w:id="129" w:name="_Hlk59025866"/>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29"/>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GB"/>
        </w:rPr>
        <w:t>（项目编号：</w:t>
      </w:r>
      <w:r>
        <w:rPr>
          <w:rFonts w:hint="eastAsia" w:ascii="宋体" w:hAnsi="宋体" w:eastAsia="宋体" w:cs="宋体"/>
          <w:color w:val="auto"/>
          <w:sz w:val="24"/>
          <w:szCs w:val="24"/>
          <w:highlight w:val="none"/>
          <w:u w:val="single"/>
          <w:lang w:val="en-US" w:eastAsia="zh-CN"/>
        </w:rPr>
        <w:t>************</w:t>
      </w:r>
      <w:r>
        <w:rPr>
          <w:rFonts w:ascii="宋体" w:hAnsi="宋体" w:eastAsia="宋体" w:cs="宋体"/>
          <w:color w:val="auto"/>
          <w:sz w:val="24"/>
          <w:szCs w:val="24"/>
          <w:highlight w:val="none"/>
          <w:u w:val="single"/>
          <w:lang w:val="en-GB"/>
        </w:rPr>
        <w:t xml:space="preserve"> </w:t>
      </w:r>
      <w:r>
        <w:rPr>
          <w:rFonts w:hint="eastAsia" w:ascii="宋体" w:hAnsi="宋体" w:eastAsia="宋体" w:cs="宋体"/>
          <w:color w:val="auto"/>
          <w:sz w:val="24"/>
          <w:szCs w:val="24"/>
          <w:highlight w:val="none"/>
          <w:u w:val="single"/>
          <w:lang w:val="en-GB"/>
        </w:rPr>
        <w:t>）</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rPr>
          <w:rFonts w:hint="eastAsia" w:ascii="宋体" w:hAnsi="宋体"/>
          <w:b w:val="0"/>
          <w:bCs/>
          <w:color w:val="auto"/>
          <w:highlight w:val="none"/>
        </w:rPr>
      </w:pPr>
      <w:r>
        <w:rPr>
          <w:rFonts w:hint="eastAsia" w:ascii="宋体" w:hAnsi="宋体"/>
          <w:b w:val="0"/>
          <w:bCs/>
          <w:color w:val="auto"/>
          <w:highlight w:val="none"/>
        </w:rPr>
        <w:t>（1）与本项目其他供应商的单位负责人为同一人。</w:t>
      </w:r>
    </w:p>
    <w:p>
      <w:pPr>
        <w:adjustRightInd w:val="0"/>
        <w:snapToGrid w:val="0"/>
        <w:spacing w:line="360" w:lineRule="auto"/>
        <w:rPr>
          <w:rFonts w:hint="eastAsia" w:ascii="宋体" w:hAnsi="宋体"/>
          <w:b w:val="0"/>
          <w:bCs/>
          <w:color w:val="auto"/>
          <w:highlight w:val="none"/>
        </w:rPr>
      </w:pPr>
      <w:r>
        <w:rPr>
          <w:rFonts w:hint="eastAsia" w:ascii="宋体" w:hAnsi="宋体"/>
          <w:b w:val="0"/>
          <w:bCs/>
          <w:color w:val="auto"/>
          <w:highlight w:val="none"/>
        </w:rPr>
        <w:t>（2）与本项目其他供应商存在控股或管理关系。</w:t>
      </w:r>
    </w:p>
    <w:p>
      <w:pPr>
        <w:adjustRightInd w:val="0"/>
        <w:snapToGrid w:val="0"/>
        <w:spacing w:line="360" w:lineRule="auto"/>
        <w:rPr>
          <w:rFonts w:hint="eastAsia" w:ascii="宋体" w:hAnsi="宋体"/>
          <w:b w:val="0"/>
          <w:bCs/>
          <w:color w:val="auto"/>
          <w:highlight w:val="none"/>
        </w:rPr>
      </w:pPr>
      <w:r>
        <w:rPr>
          <w:rFonts w:hint="eastAsia" w:ascii="宋体" w:hAnsi="宋体"/>
          <w:b w:val="0"/>
          <w:bCs/>
          <w:color w:val="auto"/>
          <w:highlight w:val="none"/>
        </w:rPr>
        <w:t>（3）被本项目所在地省级以上行业主管部门依法暂停、取消投标或禁止参加采购活动且处于有效期内的。</w:t>
      </w:r>
    </w:p>
    <w:p>
      <w:pPr>
        <w:adjustRightInd w:val="0"/>
        <w:snapToGrid w:val="0"/>
        <w:spacing w:line="360" w:lineRule="auto"/>
        <w:rPr>
          <w:rFonts w:hint="eastAsia" w:ascii="宋体" w:hAnsi="宋体"/>
          <w:b w:val="0"/>
          <w:bCs/>
          <w:color w:val="auto"/>
          <w:highlight w:val="none"/>
        </w:rPr>
      </w:pPr>
      <w:r>
        <w:rPr>
          <w:rFonts w:hint="eastAsia" w:ascii="宋体" w:hAnsi="宋体"/>
          <w:b w:val="0"/>
          <w:bCs/>
          <w:color w:val="auto"/>
          <w:highlight w:val="none"/>
        </w:rPr>
        <w:t>（4）处于被责令停产停业、暂扣或者吊销执照、暂扣或者吊销许可证、吊销资质证书状态。</w:t>
      </w:r>
    </w:p>
    <w:p>
      <w:pPr>
        <w:adjustRightInd w:val="0"/>
        <w:snapToGrid w:val="0"/>
        <w:spacing w:line="360" w:lineRule="auto"/>
        <w:rPr>
          <w:rFonts w:hint="eastAsia" w:ascii="宋体" w:hAnsi="宋体"/>
          <w:b w:val="0"/>
          <w:bCs/>
          <w:color w:val="auto"/>
          <w:highlight w:val="none"/>
        </w:rPr>
      </w:pPr>
      <w:r>
        <w:rPr>
          <w:rFonts w:hint="eastAsia" w:ascii="宋体" w:hAnsi="宋体"/>
          <w:b w:val="0"/>
          <w:bCs/>
          <w:color w:val="auto"/>
          <w:highlight w:val="none"/>
        </w:rPr>
        <w:t>（5）进入清算程序，或被宣告破产，或其他丧失履约能力情形的。</w:t>
      </w:r>
    </w:p>
    <w:p>
      <w:pPr>
        <w:adjustRightInd w:val="0"/>
        <w:snapToGrid w:val="0"/>
        <w:spacing w:line="360" w:lineRule="auto"/>
        <w:rPr>
          <w:rFonts w:hint="eastAsia" w:ascii="宋体" w:hAnsi="宋体"/>
          <w:b w:val="0"/>
          <w:bCs/>
          <w:color w:val="auto"/>
          <w:highlight w:val="none"/>
        </w:rPr>
      </w:pPr>
      <w:r>
        <w:rPr>
          <w:rFonts w:hint="eastAsia" w:ascii="宋体" w:hAnsi="宋体"/>
          <w:b w:val="0"/>
          <w:bCs/>
          <w:color w:val="auto"/>
          <w:highlight w:val="none"/>
        </w:rPr>
        <w:t>（6）近三年内因发生质量或安全生产事故等受到行政处罚且在处罚期内的。</w:t>
      </w:r>
    </w:p>
    <w:p>
      <w:pPr>
        <w:adjustRightInd w:val="0"/>
        <w:snapToGrid w:val="0"/>
        <w:spacing w:line="360" w:lineRule="auto"/>
        <w:rPr>
          <w:rFonts w:hint="eastAsia" w:ascii="宋体" w:hAnsi="宋体"/>
          <w:b w:val="0"/>
          <w:bCs/>
          <w:color w:val="auto"/>
          <w:highlight w:val="none"/>
        </w:rPr>
      </w:pPr>
      <w:r>
        <w:rPr>
          <w:rFonts w:hint="eastAsia" w:ascii="宋体" w:hAnsi="宋体"/>
          <w:b w:val="0"/>
          <w:bCs/>
          <w:color w:val="auto"/>
          <w:highlight w:val="none"/>
        </w:rPr>
        <w:t>（7）被最高人民法院在“信用中国”网站（www.creditchina.gov.cn）或各级信用信息共享平台中列入失信被执行人名单。</w:t>
      </w:r>
    </w:p>
    <w:p>
      <w:pPr>
        <w:adjustRightInd w:val="0"/>
        <w:snapToGrid w:val="0"/>
        <w:spacing w:line="360" w:lineRule="auto"/>
        <w:rPr>
          <w:rFonts w:hint="eastAsia" w:ascii="宋体" w:hAnsi="宋体"/>
          <w:b w:val="0"/>
          <w:bCs/>
          <w:color w:val="auto"/>
          <w:highlight w:val="none"/>
        </w:rPr>
      </w:pPr>
      <w:r>
        <w:rPr>
          <w:rFonts w:hint="eastAsia" w:ascii="宋体" w:hAnsi="宋体"/>
          <w:b w:val="0"/>
          <w:bCs/>
          <w:color w:val="auto"/>
          <w:highlight w:val="none"/>
        </w:rPr>
        <w:t>（8）被“全国企业信用信息公示系统”（网址：http://www.gsxt.gov.cn/）</w:t>
      </w:r>
    </w:p>
    <w:p>
      <w:pPr>
        <w:adjustRightInd w:val="0"/>
        <w:snapToGrid w:val="0"/>
        <w:spacing w:line="360" w:lineRule="auto"/>
        <w:rPr>
          <w:rFonts w:hint="eastAsia" w:ascii="宋体" w:hAnsi="宋体"/>
          <w:b w:val="0"/>
          <w:bCs/>
          <w:color w:val="auto"/>
          <w:highlight w:val="none"/>
        </w:rPr>
      </w:pPr>
      <w:r>
        <w:rPr>
          <w:rFonts w:hint="eastAsia" w:ascii="宋体" w:hAnsi="宋体"/>
          <w:b w:val="0"/>
          <w:bCs/>
          <w:color w:val="auto"/>
          <w:highlight w:val="none"/>
        </w:rPr>
        <w:t>列入经营异常名录和严重违法企业名单。</w:t>
      </w:r>
    </w:p>
    <w:p>
      <w:pPr>
        <w:adjustRightInd w:val="0"/>
        <w:snapToGrid w:val="0"/>
        <w:spacing w:line="360" w:lineRule="auto"/>
        <w:rPr>
          <w:rFonts w:hint="eastAsia" w:ascii="宋体" w:hAnsi="宋体"/>
          <w:b w:val="0"/>
          <w:bCs/>
          <w:color w:val="auto"/>
          <w:highlight w:val="none"/>
        </w:rPr>
      </w:pPr>
      <w:r>
        <w:rPr>
          <w:rFonts w:hint="eastAsia" w:ascii="宋体" w:hAnsi="宋体"/>
          <w:b w:val="0"/>
          <w:bCs/>
          <w:color w:val="auto"/>
          <w:highlight w:val="none"/>
        </w:rPr>
        <w:t>（9）被“信用广州”网站纳入失信被执行人名单（失信黑名单）。</w:t>
      </w:r>
    </w:p>
    <w:p>
      <w:pPr>
        <w:adjustRightInd w:val="0"/>
        <w:snapToGrid w:val="0"/>
        <w:spacing w:line="360" w:lineRule="auto"/>
        <w:rPr>
          <w:rFonts w:hint="eastAsia" w:ascii="宋体" w:hAnsi="宋体"/>
          <w:b w:val="0"/>
          <w:bCs/>
          <w:color w:val="auto"/>
          <w:highlight w:val="none"/>
        </w:rPr>
      </w:pPr>
      <w:r>
        <w:rPr>
          <w:rFonts w:hint="eastAsia" w:ascii="宋体" w:hAnsi="宋体"/>
          <w:b w:val="0"/>
          <w:bCs/>
          <w:color w:val="auto"/>
          <w:highlight w:val="none"/>
        </w:rPr>
        <w:t>（10）被纳入本项目采购人（包括市水投集团及相关所属企业）书面限制参与采购活动且处于有效期内的。</w:t>
      </w:r>
    </w:p>
    <w:p>
      <w:pPr>
        <w:adjustRightInd w:val="0"/>
        <w:snapToGrid w:val="0"/>
        <w:spacing w:line="360" w:lineRule="auto"/>
        <w:rPr>
          <w:rFonts w:hint="eastAsia" w:ascii="宋体" w:hAnsi="宋体"/>
          <w:b w:val="0"/>
          <w:bCs/>
          <w:color w:val="auto"/>
          <w:highlight w:val="none"/>
        </w:rPr>
      </w:pPr>
      <w:r>
        <w:rPr>
          <w:rFonts w:hint="eastAsia" w:ascii="宋体" w:hAnsi="宋体"/>
          <w:b w:val="0"/>
          <w:bCs/>
          <w:color w:val="auto"/>
          <w:highlight w:val="none"/>
        </w:rPr>
        <w:t>（11）其他违法违纪行为，经审查认为不宜被邀请参加采购活动的。</w:t>
      </w:r>
    </w:p>
    <w:p>
      <w:pPr>
        <w:adjustRightInd w:val="0"/>
        <w:snapToGrid w:val="0"/>
        <w:spacing w:line="360" w:lineRule="auto"/>
        <w:jc w:val="left"/>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eastAsia="宋体" w:cs="宋体"/>
          <w:b/>
          <w:color w:val="auto"/>
          <w:sz w:val="21"/>
          <w:szCs w:val="21"/>
          <w:highlight w:val="none"/>
        </w:rPr>
      </w:pPr>
    </w:p>
    <w:p>
      <w:pPr>
        <w:adjustRightInd w:val="0"/>
        <w:snapToGrid w:val="0"/>
        <w:spacing w:line="360" w:lineRule="auto"/>
        <w:jc w:val="left"/>
        <w:rPr>
          <w:rFonts w:hint="eastAsia" w:ascii="宋体" w:hAnsi="宋体" w:eastAsia="宋体" w:cs="宋体"/>
          <w:color w:val="auto"/>
          <w:kern w:val="2"/>
          <w:sz w:val="22"/>
          <w:szCs w:val="22"/>
          <w:highlight w:val="none"/>
          <w:lang w:val="en-GB"/>
        </w:rPr>
      </w:pPr>
      <w:r>
        <w:rPr>
          <w:rFonts w:hint="eastAsia" w:ascii="宋体" w:hAnsi="宋体" w:eastAsia="宋体" w:cs="宋体"/>
          <w:b/>
          <w:color w:val="auto"/>
          <w:sz w:val="21"/>
          <w:szCs w:val="21"/>
          <w:highlight w:val="none"/>
        </w:rPr>
        <w:t xml:space="preserve"> </w:t>
      </w:r>
    </w:p>
    <w:p>
      <w:pPr>
        <w:adjustRightInd w:val="0"/>
        <w:snapToGrid w:val="0"/>
        <w:spacing w:line="360" w:lineRule="auto"/>
        <w:jc w:val="right"/>
        <w:rPr>
          <w:rFonts w:ascii="宋体" w:hAnsi="宋体" w:eastAsia="宋体" w:cs="宋体"/>
          <w:color w:val="auto"/>
          <w:sz w:val="24"/>
          <w:szCs w:val="24"/>
          <w:highlight w:val="none"/>
        </w:rPr>
      </w:pPr>
    </w:p>
    <w:p>
      <w:pPr>
        <w:wordWrap w:val="0"/>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供应商名称（加盖公章）：</w:t>
      </w:r>
      <w:r>
        <w:rPr>
          <w:rFonts w:hint="eastAsia" w:ascii="宋体" w:hAnsi="宋体" w:eastAsia="宋体" w:cs="宋体"/>
          <w:color w:val="auto"/>
          <w:sz w:val="24"/>
          <w:szCs w:val="24"/>
          <w:highlight w:val="none"/>
          <w:lang w:val="en-GB"/>
        </w:rPr>
        <w:br w:type="textWrapping"/>
      </w:r>
      <w:r>
        <w:rPr>
          <w:rFonts w:hint="eastAsia" w:ascii="宋体" w:hAnsi="宋体" w:eastAsia="宋体" w:cs="宋体"/>
          <w:color w:val="auto"/>
          <w:sz w:val="24"/>
          <w:szCs w:val="24"/>
          <w:highlight w:val="none"/>
          <w:lang w:val="en-US" w:eastAsia="zh-CN"/>
        </w:rPr>
        <w:t>日期： 年  月  日</w:t>
      </w:r>
      <w:r>
        <w:rPr>
          <w:rFonts w:hint="eastAsia" w:ascii="宋体" w:hAnsi="宋体" w:eastAsia="宋体" w:cs="宋体"/>
          <w:color w:val="auto"/>
          <w:sz w:val="24"/>
          <w:szCs w:val="24"/>
          <w:highlight w:val="none"/>
          <w:lang w:val="en-GB"/>
        </w:rPr>
        <w:t xml:space="preserve"> </w:t>
      </w: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1"/>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jc w:val="right"/>
        <w:rPr>
          <w:color w:val="auto"/>
          <w:szCs w:val="21"/>
          <w:highlight w:val="none"/>
          <w:u w:val="singl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供应商名称（加盖公章） ：</w:t>
      </w:r>
      <w:r>
        <w:rPr>
          <w:rFonts w:hint="eastAsia" w:ascii="宋体" w:hAnsi="宋体"/>
          <w:color w:val="auto"/>
          <w:sz w:val="24"/>
          <w:szCs w:val="24"/>
          <w:highlight w:val="none"/>
          <w:u w:val="single"/>
        </w:rPr>
        <w:br w:type="textWrapping"/>
      </w:r>
      <w:r>
        <w:rPr>
          <w:rFonts w:hint="eastAsia" w:ascii="宋体" w:hAnsi="宋体"/>
          <w:color w:val="auto"/>
          <w:sz w:val="24"/>
          <w:szCs w:val="24"/>
          <w:highlight w:val="none"/>
          <w:u w:val="single"/>
          <w:lang w:val="en-US" w:eastAsia="zh-CN"/>
        </w:rPr>
        <w:t>日期： 年  月  日</w:t>
      </w:r>
    </w:p>
    <w:p>
      <w:pPr>
        <w:pStyle w:val="21"/>
        <w:rPr>
          <w:rFonts w:ascii="仿宋_GB2312" w:eastAsia="仿宋_GB2312" w:hAnsiTheme="minorEastAsia"/>
          <w:color w:val="auto"/>
          <w:sz w:val="28"/>
          <w:szCs w:val="28"/>
          <w:highlight w:val="none"/>
        </w:rPr>
      </w:pPr>
    </w:p>
    <w:p>
      <w:pPr>
        <w:pStyle w:val="21"/>
        <w:rPr>
          <w:rFonts w:ascii="仿宋_GB2312" w:eastAsia="仿宋_GB2312" w:hAnsiTheme="minorEastAsia"/>
          <w:color w:val="auto"/>
          <w:sz w:val="28"/>
          <w:szCs w:val="28"/>
          <w:highlight w:val="none"/>
        </w:rPr>
      </w:pPr>
    </w:p>
    <w:p>
      <w:pPr>
        <w:pStyle w:val="21"/>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w:t>
      </w:r>
    </w:p>
    <w:p>
      <w:pPr>
        <w:pStyle w:val="21"/>
        <w:rPr>
          <w:rFonts w:ascii="仿宋_GB2312" w:eastAsia="仿宋_GB2312" w:hAnsiTheme="minorEastAsia"/>
          <w:color w:val="auto"/>
          <w:sz w:val="28"/>
          <w:szCs w:val="28"/>
          <w:highlight w:val="none"/>
        </w:rPr>
      </w:pPr>
    </w:p>
    <w:p>
      <w:pPr>
        <w:pStyle w:val="21"/>
        <w:rPr>
          <w:rFonts w:ascii="仿宋_GB2312" w:eastAsia="仿宋_GB2312" w:hAnsiTheme="minorEastAsia"/>
          <w:color w:val="auto"/>
          <w:sz w:val="28"/>
          <w:szCs w:val="28"/>
          <w:highlight w:val="none"/>
        </w:rPr>
      </w:pPr>
    </w:p>
    <w:p>
      <w:pPr>
        <w:pStyle w:val="21"/>
        <w:rPr>
          <w:rFonts w:ascii="仿宋_GB2312" w:eastAsia="仿宋_GB2312" w:hAnsiTheme="minorEastAsia"/>
          <w:color w:val="auto"/>
          <w:sz w:val="28"/>
          <w:szCs w:val="28"/>
          <w:highlight w:val="none"/>
        </w:rPr>
      </w:pPr>
    </w:p>
    <w:p>
      <w:pPr>
        <w:pStyle w:val="6"/>
        <w:numPr>
          <w:ilvl w:val="0"/>
          <w:numId w:val="6"/>
        </w:numPr>
        <w:rPr>
          <w:rFonts w:asciiTheme="minorEastAsia" w:hAnsiTheme="minorEastAsia" w:eastAsiaTheme="minorEastAsia"/>
          <w:color w:val="auto"/>
          <w:sz w:val="28"/>
          <w:szCs w:val="28"/>
          <w:highlight w:val="none"/>
        </w:rPr>
      </w:pPr>
      <w:bookmarkStart w:id="130" w:name="_Toc32430"/>
      <w:bookmarkStart w:id="131" w:name="_Toc19423"/>
      <w:r>
        <w:rPr>
          <w:rFonts w:hint="eastAsia" w:asciiTheme="minorEastAsia" w:hAnsiTheme="minorEastAsia" w:eastAsiaTheme="minorEastAsia"/>
          <w:color w:val="auto"/>
          <w:sz w:val="28"/>
          <w:szCs w:val="28"/>
          <w:highlight w:val="none"/>
        </w:rPr>
        <w:t>报价表</w:t>
      </w:r>
      <w:bookmarkEnd w:id="130"/>
      <w:bookmarkEnd w:id="131"/>
    </w:p>
    <w:p>
      <w:pPr>
        <w:pStyle w:val="6"/>
        <w:numPr>
          <w:ilvl w:val="0"/>
          <w:numId w:val="0"/>
        </w:numPr>
        <w:jc w:val="center"/>
        <w:rPr>
          <w:rFonts w:asciiTheme="minorEastAsia" w:hAnsiTheme="minorEastAsia" w:eastAsiaTheme="minorEastAsia"/>
          <w:color w:val="auto"/>
          <w:sz w:val="28"/>
          <w:szCs w:val="28"/>
          <w:highlight w:val="none"/>
        </w:rPr>
      </w:pPr>
      <w:r>
        <w:rPr>
          <w:rFonts w:hint="eastAsia" w:ascii="宋体" w:hAnsi="宋体"/>
          <w:b/>
          <w:color w:val="auto"/>
          <w:kern w:val="0"/>
          <w:sz w:val="40"/>
          <w:szCs w:val="40"/>
          <w:highlight w:val="none"/>
        </w:rPr>
        <w:t>建设项目概算汇总表</w:t>
      </w:r>
    </w:p>
    <w:tbl>
      <w:tblPr>
        <w:tblStyle w:val="22"/>
        <w:tblW w:w="10044" w:type="dxa"/>
        <w:jc w:val="center"/>
        <w:tblLayout w:type="fixed"/>
        <w:tblCellMar>
          <w:top w:w="0" w:type="dxa"/>
          <w:left w:w="108" w:type="dxa"/>
          <w:bottom w:w="0" w:type="dxa"/>
          <w:right w:w="108" w:type="dxa"/>
        </w:tblCellMar>
      </w:tblPr>
      <w:tblGrid>
        <w:gridCol w:w="788"/>
        <w:gridCol w:w="3811"/>
        <w:gridCol w:w="1994"/>
        <w:gridCol w:w="1068"/>
        <w:gridCol w:w="1425"/>
        <w:gridCol w:w="958"/>
      </w:tblGrid>
      <w:tr>
        <w:tblPrEx>
          <w:tblCellMar>
            <w:top w:w="0" w:type="dxa"/>
            <w:left w:w="108" w:type="dxa"/>
            <w:bottom w:w="0" w:type="dxa"/>
            <w:right w:w="108" w:type="dxa"/>
          </w:tblCellMar>
        </w:tblPrEx>
        <w:trPr>
          <w:trHeight w:val="345" w:hRule="atLeast"/>
          <w:jc w:val="center"/>
        </w:trPr>
        <w:tc>
          <w:tcPr>
            <w:tcW w:w="788" w:type="dxa"/>
            <w:vMerge w:val="restart"/>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序号</w:t>
            </w:r>
          </w:p>
        </w:tc>
        <w:tc>
          <w:tcPr>
            <w:tcW w:w="3811" w:type="dxa"/>
            <w:vMerge w:val="restart"/>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单位工程名称</w:t>
            </w:r>
          </w:p>
        </w:tc>
        <w:tc>
          <w:tcPr>
            <w:tcW w:w="1994" w:type="dxa"/>
            <w:vMerge w:val="restart"/>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金额（元）</w:t>
            </w:r>
          </w:p>
        </w:tc>
        <w:tc>
          <w:tcPr>
            <w:tcW w:w="3451" w:type="dxa"/>
            <w:gridSpan w:val="3"/>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其中：（元）</w:t>
            </w:r>
          </w:p>
        </w:tc>
      </w:tr>
      <w:tr>
        <w:tblPrEx>
          <w:tblCellMar>
            <w:top w:w="0" w:type="dxa"/>
            <w:left w:w="108" w:type="dxa"/>
            <w:bottom w:w="0" w:type="dxa"/>
            <w:right w:w="108" w:type="dxa"/>
          </w:tblCellMar>
        </w:tblPrEx>
        <w:trPr>
          <w:trHeight w:val="570" w:hRule="atLeast"/>
          <w:jc w:val="center"/>
        </w:trPr>
        <w:tc>
          <w:tcPr>
            <w:tcW w:w="788" w:type="dxa"/>
            <w:vMerge w:val="continue"/>
            <w:tcBorders>
              <w:top w:val="single" w:color="000000" w:sz="8" w:space="0"/>
              <w:left w:val="single" w:color="000000" w:sz="8" w:space="0"/>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3811"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1994"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eastAsia="宋体"/>
                <w:color w:val="000000"/>
                <w:sz w:val="20"/>
                <w:szCs w:val="20"/>
              </w:rPr>
            </w:pPr>
          </w:p>
        </w:tc>
        <w:tc>
          <w:tcPr>
            <w:tcW w:w="1068" w:type="dxa"/>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暂估价</w:t>
            </w:r>
          </w:p>
        </w:tc>
        <w:tc>
          <w:tcPr>
            <w:tcW w:w="1425" w:type="dxa"/>
            <w:tcBorders>
              <w:top w:val="single" w:color="000000" w:sz="4"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绿色施工安全防护措施费</w:t>
            </w:r>
          </w:p>
        </w:tc>
        <w:tc>
          <w:tcPr>
            <w:tcW w:w="958" w:type="dxa"/>
            <w:tcBorders>
              <w:top w:val="single" w:color="000000" w:sz="4" w:space="0"/>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规费</w:t>
            </w:r>
          </w:p>
        </w:tc>
      </w:tr>
      <w:tr>
        <w:tblPrEx>
          <w:tblCellMar>
            <w:top w:w="0" w:type="dxa"/>
            <w:left w:w="108" w:type="dxa"/>
            <w:bottom w:w="0" w:type="dxa"/>
            <w:right w:w="108" w:type="dxa"/>
          </w:tblCellMar>
        </w:tblPrEx>
        <w:trPr>
          <w:trHeight w:val="82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1</w:t>
            </w:r>
          </w:p>
        </w:tc>
        <w:tc>
          <w:tcPr>
            <w:tcW w:w="3811"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kern w:val="0"/>
                <w:sz w:val="20"/>
                <w:szCs w:val="20"/>
              </w:rPr>
            </w:pPr>
            <w:r>
              <w:rPr>
                <w:rFonts w:hint="eastAsia" w:ascii="宋体" w:hAnsi="宋体"/>
                <w:color w:val="000000"/>
                <w:kern w:val="0"/>
                <w:sz w:val="20"/>
                <w:szCs w:val="20"/>
              </w:rPr>
              <w:t>大坦沙分公司三期厂区围墙护栏改造-建筑工程部分</w:t>
            </w:r>
          </w:p>
        </w:tc>
        <w:tc>
          <w:tcPr>
            <w:tcW w:w="1994"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068"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425"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17431.36</w:t>
            </w:r>
          </w:p>
        </w:tc>
        <w:tc>
          <w:tcPr>
            <w:tcW w:w="958"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82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2</w:t>
            </w:r>
          </w:p>
        </w:tc>
        <w:tc>
          <w:tcPr>
            <w:tcW w:w="3811"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ascii="宋体" w:hAnsi="宋体"/>
                <w:color w:val="000000"/>
                <w:kern w:val="0"/>
                <w:sz w:val="20"/>
                <w:szCs w:val="20"/>
              </w:rPr>
            </w:pPr>
            <w:r>
              <w:rPr>
                <w:rFonts w:hint="eastAsia" w:ascii="宋体" w:hAnsi="宋体"/>
                <w:color w:val="000000"/>
                <w:kern w:val="0"/>
                <w:sz w:val="20"/>
                <w:szCs w:val="20"/>
              </w:rPr>
              <w:t>大坦沙分公司三期厂区围墙护栏改造-安装工程部分</w:t>
            </w:r>
          </w:p>
        </w:tc>
        <w:tc>
          <w:tcPr>
            <w:tcW w:w="1994"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068"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425"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356.00</w:t>
            </w:r>
          </w:p>
        </w:tc>
        <w:tc>
          <w:tcPr>
            <w:tcW w:w="958"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825" w:hRule="atLeast"/>
          <w:jc w:val="center"/>
        </w:trPr>
        <w:tc>
          <w:tcPr>
            <w:tcW w:w="788" w:type="dxa"/>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hint="eastAsia" w:ascii="宋体" w:hAnsi="宋体" w:eastAsiaTheme="minorEastAsia"/>
                <w:color w:val="000000"/>
                <w:kern w:val="0"/>
                <w:sz w:val="20"/>
                <w:szCs w:val="20"/>
                <w:lang w:val="en-US" w:eastAsia="zh-CN"/>
              </w:rPr>
            </w:pPr>
            <w:r>
              <w:rPr>
                <w:rFonts w:hint="eastAsia" w:ascii="宋体" w:hAnsi="宋体"/>
                <w:color w:val="000000"/>
                <w:kern w:val="0"/>
                <w:sz w:val="20"/>
                <w:szCs w:val="20"/>
                <w:lang w:val="en-US" w:eastAsia="zh-CN"/>
              </w:rPr>
              <w:t>3</w:t>
            </w:r>
          </w:p>
        </w:tc>
        <w:tc>
          <w:tcPr>
            <w:tcW w:w="3811" w:type="dxa"/>
            <w:tcBorders>
              <w:top w:val="single" w:color="000000" w:sz="4" w:space="0"/>
              <w:left w:val="nil"/>
              <w:bottom w:val="single" w:color="000000" w:sz="4" w:space="0"/>
              <w:right w:val="single" w:color="000000" w:sz="4" w:space="0"/>
            </w:tcBorders>
            <w:shd w:val="clear" w:color="auto" w:fill="FFFFFF"/>
            <w:vAlign w:val="center"/>
          </w:tcPr>
          <w:p>
            <w:pPr>
              <w:widowControl/>
              <w:jc w:val="left"/>
              <w:textAlignment w:val="center"/>
              <w:rPr>
                <w:rFonts w:hint="default" w:ascii="宋体" w:hAnsi="宋体" w:eastAsiaTheme="minorEastAsia"/>
                <w:color w:val="000000"/>
                <w:kern w:val="0"/>
                <w:sz w:val="20"/>
                <w:szCs w:val="20"/>
                <w:lang w:val="en-US" w:eastAsia="zh-CN"/>
              </w:rPr>
            </w:pPr>
            <w:r>
              <w:rPr>
                <w:rFonts w:hint="eastAsia" w:ascii="宋体" w:hAnsi="宋体"/>
                <w:color w:val="000000"/>
                <w:kern w:val="0"/>
                <w:sz w:val="20"/>
                <w:szCs w:val="20"/>
              </w:rPr>
              <w:t>大坦沙分公司三期厂区围墙护栏改造</w:t>
            </w:r>
            <w:r>
              <w:rPr>
                <w:rFonts w:hint="eastAsia" w:ascii="宋体" w:hAnsi="宋体"/>
                <w:color w:val="000000"/>
                <w:kern w:val="0"/>
                <w:sz w:val="20"/>
                <w:szCs w:val="20"/>
                <w:lang w:val="en-US" w:eastAsia="zh-CN"/>
              </w:rPr>
              <w:t>-园林</w:t>
            </w:r>
          </w:p>
        </w:tc>
        <w:tc>
          <w:tcPr>
            <w:tcW w:w="1994"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068"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425"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hint="default" w:ascii="宋体" w:hAnsi="宋体"/>
                <w:color w:val="000000"/>
                <w:sz w:val="20"/>
                <w:szCs w:val="20"/>
                <w:lang w:val="en-US" w:eastAsia="zh-CN"/>
              </w:rPr>
            </w:pPr>
            <w:r>
              <w:rPr>
                <w:rFonts w:hint="eastAsia" w:ascii="宋体" w:hAnsi="宋体"/>
                <w:color w:val="000000"/>
                <w:sz w:val="20"/>
                <w:szCs w:val="20"/>
                <w:lang w:val="en-US" w:eastAsia="zh-CN"/>
              </w:rPr>
              <w:t>5294.48</w:t>
            </w:r>
          </w:p>
        </w:tc>
        <w:tc>
          <w:tcPr>
            <w:tcW w:w="958"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75" w:hRule="atLeast"/>
          <w:jc w:val="center"/>
        </w:trPr>
        <w:tc>
          <w:tcPr>
            <w:tcW w:w="4599" w:type="dxa"/>
            <w:gridSpan w:val="2"/>
            <w:tcBorders>
              <w:top w:val="single" w:color="000000" w:sz="4"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合计</w:t>
            </w:r>
          </w:p>
        </w:tc>
        <w:tc>
          <w:tcPr>
            <w:tcW w:w="1994"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068" w:type="dxa"/>
            <w:tcBorders>
              <w:top w:val="single" w:color="000000" w:sz="4" w:space="0"/>
              <w:left w:val="nil"/>
              <w:bottom w:val="single" w:color="000000" w:sz="4" w:space="0"/>
              <w:right w:val="single" w:color="000000" w:sz="4" w:space="0"/>
            </w:tcBorders>
            <w:shd w:val="clear" w:color="auto" w:fill="FFFFFF"/>
            <w:vAlign w:val="center"/>
          </w:tcPr>
          <w:p>
            <w:pPr>
              <w:jc w:val="right"/>
              <w:rPr>
                <w:rFonts w:ascii="宋体" w:hAnsi="宋体"/>
                <w:color w:val="000000"/>
                <w:sz w:val="20"/>
                <w:szCs w:val="20"/>
              </w:rPr>
            </w:pPr>
          </w:p>
        </w:tc>
        <w:tc>
          <w:tcPr>
            <w:tcW w:w="1425" w:type="dxa"/>
            <w:tcBorders>
              <w:top w:val="single" w:color="000000" w:sz="4" w:space="0"/>
              <w:left w:val="nil"/>
              <w:bottom w:val="single" w:color="000000" w:sz="4" w:space="0"/>
              <w:right w:val="single" w:color="000000" w:sz="4" w:space="0"/>
            </w:tcBorders>
            <w:shd w:val="clear" w:color="auto" w:fill="FFFFFF"/>
            <w:vAlign w:val="center"/>
          </w:tcPr>
          <w:p>
            <w:pPr>
              <w:widowControl/>
              <w:jc w:val="right"/>
              <w:textAlignment w:val="center"/>
              <w:rPr>
                <w:rFonts w:hint="default" w:ascii="宋体" w:hAnsi="宋体"/>
                <w:color w:val="000000"/>
                <w:sz w:val="20"/>
                <w:szCs w:val="20"/>
                <w:lang w:val="en-US" w:eastAsia="zh-CN"/>
              </w:rPr>
            </w:pPr>
            <w:r>
              <w:rPr>
                <w:rFonts w:hint="eastAsia" w:ascii="宋体" w:hAnsi="宋体"/>
                <w:color w:val="000000"/>
                <w:sz w:val="20"/>
                <w:szCs w:val="20"/>
                <w:lang w:val="en-US" w:eastAsia="zh-CN"/>
              </w:rPr>
              <w:t>23081.84</w:t>
            </w:r>
          </w:p>
        </w:tc>
        <w:tc>
          <w:tcPr>
            <w:tcW w:w="958"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hint="eastAsia" w:ascii="宋体" w:hAnsi="宋体"/>
                <w:color w:val="000000"/>
                <w:sz w:val="20"/>
                <w:szCs w:val="20"/>
                <w:lang w:val="en-US" w:eastAsia="zh-CN"/>
              </w:rPr>
            </w:pPr>
          </w:p>
        </w:tc>
      </w:tr>
      <w:tr>
        <w:tblPrEx>
          <w:tblCellMar>
            <w:top w:w="0" w:type="dxa"/>
            <w:left w:w="108" w:type="dxa"/>
            <w:bottom w:w="0" w:type="dxa"/>
            <w:right w:w="108" w:type="dxa"/>
          </w:tblCellMar>
        </w:tblPrEx>
        <w:trPr>
          <w:trHeight w:val="375" w:hRule="atLeast"/>
          <w:jc w:val="center"/>
        </w:trPr>
        <w:tc>
          <w:tcPr>
            <w:tcW w:w="4599" w:type="dxa"/>
            <w:gridSpan w:val="2"/>
            <w:tcBorders>
              <w:top w:val="single" w:color="000000" w:sz="4"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hint="eastAsia"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暂列金额</w:t>
            </w:r>
          </w:p>
        </w:tc>
        <w:tc>
          <w:tcPr>
            <w:tcW w:w="1994" w:type="dxa"/>
            <w:tcBorders>
              <w:top w:val="single" w:color="000000" w:sz="4" w:space="0"/>
              <w:left w:val="nil"/>
              <w:bottom w:val="single" w:color="000000" w:sz="8"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068" w:type="dxa"/>
            <w:tcBorders>
              <w:top w:val="single" w:color="000000" w:sz="4" w:space="0"/>
              <w:left w:val="nil"/>
              <w:bottom w:val="single" w:color="000000" w:sz="8" w:space="0"/>
              <w:right w:val="single" w:color="000000" w:sz="4" w:space="0"/>
            </w:tcBorders>
            <w:shd w:val="clear" w:color="auto" w:fill="FFFFFF"/>
            <w:vAlign w:val="center"/>
          </w:tcPr>
          <w:p>
            <w:pPr>
              <w:jc w:val="right"/>
              <w:rPr>
                <w:rFonts w:ascii="宋体" w:hAnsi="宋体"/>
                <w:color w:val="000000"/>
                <w:sz w:val="20"/>
                <w:szCs w:val="20"/>
              </w:rPr>
            </w:pPr>
          </w:p>
        </w:tc>
        <w:tc>
          <w:tcPr>
            <w:tcW w:w="1425" w:type="dxa"/>
            <w:tcBorders>
              <w:top w:val="single" w:color="000000" w:sz="4" w:space="0"/>
              <w:left w:val="nil"/>
              <w:bottom w:val="single" w:color="000000" w:sz="8" w:space="0"/>
              <w:right w:val="single" w:color="000000" w:sz="4" w:space="0"/>
            </w:tcBorders>
            <w:shd w:val="clear" w:color="auto" w:fill="FFFFFF"/>
            <w:vAlign w:val="center"/>
          </w:tcPr>
          <w:p>
            <w:pPr>
              <w:widowControl/>
              <w:jc w:val="right"/>
              <w:textAlignment w:val="center"/>
              <w:rPr>
                <w:rFonts w:hint="default" w:ascii="宋体" w:hAnsi="宋体"/>
                <w:color w:val="000000"/>
                <w:sz w:val="20"/>
                <w:szCs w:val="20"/>
                <w:lang w:val="en-US" w:eastAsia="zh-CN"/>
              </w:rPr>
            </w:pPr>
            <w:r>
              <w:rPr>
                <w:rFonts w:hint="eastAsia" w:ascii="宋体" w:hAnsi="宋体"/>
                <w:color w:val="000000"/>
                <w:sz w:val="20"/>
                <w:szCs w:val="20"/>
                <w:lang w:val="en-US" w:eastAsia="zh-CN"/>
              </w:rPr>
              <w:t>52698.23</w:t>
            </w:r>
          </w:p>
        </w:tc>
        <w:tc>
          <w:tcPr>
            <w:tcW w:w="958" w:type="dxa"/>
            <w:tcBorders>
              <w:top w:val="single" w:color="000000" w:sz="4" w:space="0"/>
              <w:left w:val="nil"/>
              <w:bottom w:val="single" w:color="000000" w:sz="8" w:space="0"/>
              <w:right w:val="single" w:color="000000" w:sz="8" w:space="0"/>
            </w:tcBorders>
            <w:shd w:val="clear" w:color="auto" w:fill="FFFFFF"/>
            <w:vAlign w:val="center"/>
          </w:tcPr>
          <w:p>
            <w:pPr>
              <w:widowControl/>
              <w:jc w:val="right"/>
              <w:textAlignment w:val="center"/>
              <w:rPr>
                <w:rFonts w:hint="eastAsia" w:ascii="宋体" w:hAnsi="宋体"/>
                <w:color w:val="000000"/>
                <w:sz w:val="20"/>
                <w:szCs w:val="20"/>
                <w:lang w:val="en-US" w:eastAsia="zh-CN"/>
              </w:rPr>
            </w:pPr>
          </w:p>
        </w:tc>
      </w:tr>
    </w:tbl>
    <w:p>
      <w:pPr>
        <w:autoSpaceDE w:val="0"/>
        <w:autoSpaceDN w:val="0"/>
        <w:spacing w:line="520" w:lineRule="exact"/>
        <w:rPr>
          <w:rFonts w:ascii="宋体" w:hAnsi="宋体"/>
          <w:b/>
          <w:bCs/>
          <w:color w:val="auto"/>
          <w:sz w:val="24"/>
          <w:szCs w:val="24"/>
          <w:highlight w:val="none"/>
        </w:rPr>
      </w:pPr>
    </w:p>
    <w:p>
      <w:pPr>
        <w:adjustRightInd w:val="0"/>
        <w:snapToGrid w:val="0"/>
        <w:spacing w:line="600" w:lineRule="exact"/>
        <w:ind w:firstLine="570"/>
        <w:jc w:val="center"/>
        <w:rPr>
          <w:rFonts w:ascii="仿宋_GB2312" w:eastAsia="仿宋_GB2312" w:hAnsiTheme="minorEastAsia"/>
          <w:b/>
          <w:bCs/>
          <w:sz w:val="28"/>
          <w:szCs w:val="28"/>
        </w:rPr>
      </w:pPr>
      <w:r>
        <w:rPr>
          <w:rFonts w:hint="eastAsia" w:ascii="仿宋_GB2312" w:eastAsia="仿宋_GB2312" w:hAnsiTheme="minorEastAsia"/>
          <w:b/>
          <w:bCs/>
          <w:sz w:val="28"/>
          <w:szCs w:val="28"/>
        </w:rPr>
        <w:t>单位工程费汇总表</w:t>
      </w:r>
    </w:p>
    <w:p>
      <w:pPr>
        <w:widowControl/>
        <w:ind w:firstLine="600" w:firstLineChars="300"/>
        <w:jc w:val="left"/>
        <w:textAlignment w:val="center"/>
        <w:rPr>
          <w:rFonts w:ascii="宋体" w:hAnsi="宋体"/>
          <w:color w:val="000000"/>
          <w:kern w:val="0"/>
          <w:sz w:val="20"/>
          <w:szCs w:val="20"/>
        </w:rPr>
      </w:pPr>
      <w:r>
        <w:rPr>
          <w:rFonts w:hint="eastAsia" w:ascii="宋体" w:hAnsi="宋体"/>
          <w:color w:val="000000"/>
          <w:kern w:val="0"/>
          <w:sz w:val="20"/>
          <w:szCs w:val="20"/>
        </w:rPr>
        <w:t>大坦沙分公司三期厂区围墙护栏改造</w:t>
      </w:r>
      <w:r>
        <w:rPr>
          <w:rFonts w:hint="eastAsia" w:ascii="宋体" w:hAnsi="宋体"/>
          <w:color w:val="000000"/>
          <w:kern w:val="0"/>
          <w:sz w:val="20"/>
          <w:szCs w:val="20"/>
          <w:lang w:val="en-US" w:eastAsia="zh-CN"/>
        </w:rPr>
        <w:t>-</w:t>
      </w:r>
      <w:r>
        <w:rPr>
          <w:rFonts w:hint="eastAsia" w:ascii="宋体" w:hAnsi="宋体"/>
          <w:color w:val="000000"/>
          <w:kern w:val="0"/>
          <w:sz w:val="20"/>
          <w:szCs w:val="20"/>
        </w:rPr>
        <w:t>建筑工程部分</w:t>
      </w:r>
    </w:p>
    <w:tbl>
      <w:tblPr>
        <w:tblStyle w:val="22"/>
        <w:tblW w:w="10053" w:type="dxa"/>
        <w:jc w:val="center"/>
        <w:tblLayout w:type="autofit"/>
        <w:tblCellMar>
          <w:top w:w="0" w:type="dxa"/>
          <w:left w:w="108" w:type="dxa"/>
          <w:bottom w:w="0" w:type="dxa"/>
          <w:right w:w="108" w:type="dxa"/>
        </w:tblCellMar>
      </w:tblPr>
      <w:tblGrid>
        <w:gridCol w:w="798"/>
        <w:gridCol w:w="4770"/>
        <w:gridCol w:w="2520"/>
        <w:gridCol w:w="1965"/>
      </w:tblGrid>
      <w:tr>
        <w:tblPrEx>
          <w:tblCellMar>
            <w:top w:w="0" w:type="dxa"/>
            <w:left w:w="108" w:type="dxa"/>
            <w:bottom w:w="0" w:type="dxa"/>
            <w:right w:w="108" w:type="dxa"/>
          </w:tblCellMar>
        </w:tblPrEx>
        <w:trPr>
          <w:trHeight w:val="375" w:hRule="atLeast"/>
          <w:jc w:val="center"/>
        </w:trPr>
        <w:tc>
          <w:tcPr>
            <w:tcW w:w="798"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序号</w:t>
            </w:r>
          </w:p>
        </w:tc>
        <w:tc>
          <w:tcPr>
            <w:tcW w:w="4770"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汇总内容</w:t>
            </w:r>
          </w:p>
        </w:tc>
        <w:tc>
          <w:tcPr>
            <w:tcW w:w="2520"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金额:(元)</w:t>
            </w:r>
          </w:p>
        </w:tc>
        <w:tc>
          <w:tcPr>
            <w:tcW w:w="1965" w:type="dxa"/>
            <w:tcBorders>
              <w:top w:val="single" w:color="000000" w:sz="8" w:space="0"/>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其中：暂估价(元)</w:t>
            </w: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1</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分部分项合计</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1.1</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混凝土及钢筋混凝土工程</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1.2</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装饰工程</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1.3</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其他</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2</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措施合计</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9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2.1</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绿色施工安全防护措施费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r>
              <w:rPr>
                <w:rFonts w:hint="eastAsia" w:ascii="宋体" w:hAnsi="宋体"/>
                <w:color w:val="000000"/>
                <w:sz w:val="20"/>
                <w:szCs w:val="20"/>
                <w:lang w:val="en-US" w:eastAsia="zh-CN"/>
              </w:rPr>
              <w:t>17431.36</w:t>
            </w: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2.2</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其他措施费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kern w:val="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其他项目</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r>
              <w:rPr>
                <w:rFonts w:hint="eastAsia" w:ascii="宋体" w:hAnsi="宋体"/>
                <w:color w:val="000000"/>
                <w:kern w:val="0"/>
                <w:sz w:val="20"/>
                <w:szCs w:val="20"/>
              </w:rPr>
              <w:t>－</w:t>
            </w: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3.1</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暂列金额</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Theme="minorEastAsia"/>
                <w:color w:val="000000"/>
                <w:sz w:val="20"/>
                <w:szCs w:val="20"/>
                <w:highlight w:val="yellow"/>
                <w:lang w:val="en-US" w:eastAsia="zh-CN"/>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highlight w:val="yellow"/>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3.2</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暂估价</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3.3</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计日工</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3.4</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总承包服务费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3.5</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预算包干费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3.6</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工程优质费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3.7</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概算幅度差</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3.8</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索赔费用</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3.9</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现场签证费用</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3.10</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其他费用</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4</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税前工程造价</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5</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增值税销项税额</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r>
              <w:rPr>
                <w:rFonts w:hint="eastAsia" w:ascii="宋体" w:hAnsi="宋体"/>
                <w:color w:val="000000"/>
                <w:kern w:val="0"/>
                <w:sz w:val="20"/>
                <w:szCs w:val="20"/>
              </w:rPr>
              <w:t>－</w:t>
            </w: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6</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总造价</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7</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人工费</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477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kern w:val="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798"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　</w:t>
            </w:r>
          </w:p>
        </w:tc>
        <w:tc>
          <w:tcPr>
            <w:tcW w:w="477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pPr>
            <w:r>
              <w:rPr>
                <w:rFonts w:hint="eastAsia" w:ascii="宋体" w:hAnsi="宋体" w:eastAsia="宋体" w:cs="宋体"/>
                <w:i w:val="0"/>
                <w:iCs w:val="0"/>
                <w:color w:val="auto"/>
                <w:kern w:val="0"/>
                <w:sz w:val="20"/>
                <w:szCs w:val="20"/>
                <w:u w:val="none"/>
                <w:lang w:val="en-US" w:eastAsia="zh-CN" w:bidi="ar"/>
              </w:rPr>
              <w:t>　</w:t>
            </w:r>
          </w:p>
        </w:tc>
        <w:tc>
          <w:tcPr>
            <w:tcW w:w="2520"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65"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5568" w:type="dxa"/>
            <w:gridSpan w:val="2"/>
            <w:tcBorders>
              <w:top w:val="single" w:color="000000" w:sz="4" w:space="0"/>
              <w:left w:val="single" w:color="000000" w:sz="8" w:space="0"/>
              <w:bottom w:val="single" w:color="000000" w:sz="8" w:space="0"/>
              <w:right w:val="single" w:color="000000" w:sz="4" w:space="0"/>
            </w:tcBorders>
            <w:shd w:val="clear" w:color="auto" w:fill="FFFFFF"/>
            <w:vAlign w:val="center"/>
          </w:tcPr>
          <w:p>
            <w:pPr>
              <w:keepNext w:val="0"/>
              <w:keepLines w:val="0"/>
              <w:widowControl/>
              <w:suppressLineNumbers w:val="0"/>
              <w:tabs>
                <w:tab w:val="left" w:pos="1202"/>
              </w:tabs>
              <w:jc w:val="left"/>
              <w:textAlignment w:val="center"/>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ab/>
            </w:r>
            <w:r>
              <w:rPr>
                <w:rFonts w:hint="eastAsia" w:ascii="宋体" w:hAnsi="宋体" w:eastAsia="宋体" w:cs="宋体"/>
                <w:i w:val="0"/>
                <w:iCs w:val="0"/>
                <w:color w:val="auto"/>
                <w:kern w:val="0"/>
                <w:sz w:val="20"/>
                <w:szCs w:val="20"/>
                <w:u w:val="none"/>
                <w:lang w:val="en-US" w:eastAsia="zh-CN" w:bidi="ar"/>
              </w:rPr>
              <w:t>合计=1+2+3+5</w:t>
            </w:r>
          </w:p>
        </w:tc>
        <w:tc>
          <w:tcPr>
            <w:tcW w:w="2520" w:type="dxa"/>
            <w:tcBorders>
              <w:top w:val="single" w:color="000000" w:sz="4" w:space="0"/>
              <w:left w:val="nil"/>
              <w:bottom w:val="single" w:color="000000" w:sz="8"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p>
        </w:tc>
        <w:tc>
          <w:tcPr>
            <w:tcW w:w="1965" w:type="dxa"/>
            <w:tcBorders>
              <w:top w:val="single" w:color="000000" w:sz="4" w:space="0"/>
              <w:left w:val="nil"/>
              <w:bottom w:val="single" w:color="000000" w:sz="8"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p>
        </w:tc>
      </w:tr>
    </w:tbl>
    <w:p>
      <w:pPr>
        <w:pStyle w:val="21"/>
      </w:pPr>
    </w:p>
    <w:p>
      <w:pPr>
        <w:pStyle w:val="21"/>
        <w:jc w:val="center"/>
        <w:rPr>
          <w:rFonts w:hint="eastAsia" w:ascii="仿宋_GB2312" w:eastAsia="仿宋_GB2312"/>
          <w:b/>
          <w:bCs/>
        </w:rPr>
      </w:pPr>
      <w:r>
        <w:rPr>
          <w:rFonts w:hint="eastAsia" w:ascii="仿宋_GB2312" w:eastAsia="仿宋_GB2312"/>
          <w:b/>
          <w:bCs/>
        </w:rPr>
        <w:t>分部分项工程和单价措施项目清单与计价表</w:t>
      </w:r>
    </w:p>
    <w:tbl>
      <w:tblPr>
        <w:tblStyle w:val="22"/>
        <w:tblW w:w="10035" w:type="dxa"/>
        <w:tblInd w:w="-477"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780"/>
        <w:gridCol w:w="1481"/>
        <w:gridCol w:w="3"/>
        <w:gridCol w:w="1"/>
        <w:gridCol w:w="1529"/>
        <w:gridCol w:w="3076"/>
        <w:gridCol w:w="720"/>
        <w:gridCol w:w="855"/>
        <w:gridCol w:w="806"/>
        <w:gridCol w:w="4"/>
        <w:gridCol w:w="78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780"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85" w:type="dxa"/>
            <w:gridSpan w:val="3"/>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529"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3076"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720"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855"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c>
          <w:tcPr>
            <w:tcW w:w="1590" w:type="dxa"/>
            <w:gridSpan w:val="3"/>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780"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85" w:type="dxa"/>
            <w:gridSpan w:val="3"/>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529"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3076"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720"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55"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10" w:type="dxa"/>
            <w:gridSpan w:val="2"/>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780" w:type="dxa"/>
            <w:vMerge w:val="restart"/>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综合合价</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780"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85" w:type="dxa"/>
            <w:gridSpan w:val="3"/>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529"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3076"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720"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55"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10" w:type="dxa"/>
            <w:gridSpan w:val="2"/>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780" w:type="dxa"/>
            <w:vMerge w:val="continue"/>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10035" w:type="dxa"/>
            <w:gridSpan w:val="11"/>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color w:val="000000"/>
                <w:kern w:val="0"/>
                <w:sz w:val="20"/>
                <w:szCs w:val="20"/>
              </w:rPr>
              <w:t>建筑工程部分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1" w:hRule="atLeast"/>
        </w:trPr>
        <w:tc>
          <w:tcPr>
            <w:tcW w:w="780" w:type="dxa"/>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85" w:type="dxa"/>
            <w:gridSpan w:val="3"/>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29"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拆除工程</w:t>
            </w:r>
          </w:p>
        </w:tc>
        <w:tc>
          <w:tcPr>
            <w:tcW w:w="3076"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20"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76"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85"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011610001001</w:t>
            </w:r>
          </w:p>
        </w:tc>
        <w:tc>
          <w:tcPr>
            <w:tcW w:w="1529"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金属门窗拆除</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1.金属门拆除 4m2以内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2.拆除废料外运 人工装自卸汽车运 20km</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85"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011610001005</w:t>
            </w:r>
          </w:p>
        </w:tc>
        <w:tc>
          <w:tcPr>
            <w:tcW w:w="1529"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木门窗拆除</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1.木门拆除 4m2以内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2.拆除废料外运 人工装自卸汽车运 20km</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89"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85"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011609001001</w:t>
            </w:r>
          </w:p>
        </w:tc>
        <w:tc>
          <w:tcPr>
            <w:tcW w:w="1529"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栏杆、栏板拆除</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1.栏杆、栏板拆除 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2.拆除废料外运 人工装自卸汽车运 20km</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940</w:t>
            </w:r>
          </w:p>
        </w:tc>
        <w:tc>
          <w:tcPr>
            <w:tcW w:w="810" w:type="dxa"/>
            <w:gridSpan w:val="2"/>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08" w:hRule="atLeast"/>
        </w:trPr>
        <w:tc>
          <w:tcPr>
            <w:tcW w:w="780" w:type="dxa"/>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85" w:type="dxa"/>
            <w:gridSpan w:val="3"/>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29"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拆除工程合计</w:t>
            </w:r>
          </w:p>
        </w:tc>
        <w:tc>
          <w:tcPr>
            <w:tcW w:w="3076"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20"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55" w:type="dxa"/>
            <w:tcBorders>
              <w:tl2br w:val="nil"/>
              <w:tr2bl w:val="nil"/>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0" w:type="dxa"/>
            <w:gridSpan w:val="2"/>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60" w:hRule="atLeast"/>
        </w:trPr>
        <w:tc>
          <w:tcPr>
            <w:tcW w:w="780" w:type="dxa"/>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85" w:type="dxa"/>
            <w:gridSpan w:val="3"/>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29"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砌筑工程</w:t>
            </w:r>
          </w:p>
        </w:tc>
        <w:tc>
          <w:tcPr>
            <w:tcW w:w="3076"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20"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55" w:type="dxa"/>
            <w:tcBorders>
              <w:tl2br w:val="nil"/>
              <w:tr2bl w:val="nil"/>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0" w:type="dxa"/>
            <w:gridSpan w:val="2"/>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584"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85"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010402001004</w:t>
            </w:r>
          </w:p>
        </w:tc>
        <w:tc>
          <w:tcPr>
            <w:tcW w:w="1529"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砌块墙</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1.砌块品种、规格、强度等级: MU25灰砂砖砌体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2.墙体类型:外墙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3.砂浆强度等级:湿拌砌筑砂浆M5.0</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810" w:type="dxa"/>
            <w:gridSpan w:val="2"/>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95" w:hRule="atLeast"/>
        </w:trPr>
        <w:tc>
          <w:tcPr>
            <w:tcW w:w="780" w:type="dxa"/>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85" w:type="dxa"/>
            <w:gridSpan w:val="3"/>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29"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砌筑工程合计</w:t>
            </w:r>
          </w:p>
        </w:tc>
        <w:tc>
          <w:tcPr>
            <w:tcW w:w="3076"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20"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55" w:type="dxa"/>
            <w:tcBorders>
              <w:tl2br w:val="nil"/>
              <w:tr2bl w:val="nil"/>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58" w:hRule="atLeast"/>
        </w:trPr>
        <w:tc>
          <w:tcPr>
            <w:tcW w:w="780" w:type="dxa"/>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85" w:type="dxa"/>
            <w:gridSpan w:val="3"/>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29"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钢筋混凝土工程</w:t>
            </w:r>
          </w:p>
        </w:tc>
        <w:tc>
          <w:tcPr>
            <w:tcW w:w="3076"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20"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55" w:type="dxa"/>
            <w:tcBorders>
              <w:tl2br w:val="nil"/>
              <w:tr2bl w:val="nil"/>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19"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85"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010502002001</w:t>
            </w:r>
          </w:p>
        </w:tc>
        <w:tc>
          <w:tcPr>
            <w:tcW w:w="1529"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构造柱</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1.混凝土种类:预拌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2.混凝土强度等级:C30</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01"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010514002001</w:t>
            </w:r>
          </w:p>
        </w:tc>
        <w:tc>
          <w:tcPr>
            <w:tcW w:w="1533"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其他构件</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1.构件的类型:小型构件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2.混凝土强度等级:C30</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7"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010515001001</w:t>
            </w:r>
          </w:p>
        </w:tc>
        <w:tc>
          <w:tcPr>
            <w:tcW w:w="1533"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1.钢筋种类、规格:带肋钢筋 φ25以内</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0.07</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7"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010515001002</w:t>
            </w:r>
          </w:p>
        </w:tc>
        <w:tc>
          <w:tcPr>
            <w:tcW w:w="1533"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现浇构件钢筋</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1.钢筋种类、规格:带肋钢筋(HRB400内) φ10以内</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t</w:t>
            </w: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0.03</w:t>
            </w:r>
          </w:p>
        </w:tc>
        <w:tc>
          <w:tcPr>
            <w:tcW w:w="806"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4"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2" w:hRule="atLeast"/>
        </w:trPr>
        <w:tc>
          <w:tcPr>
            <w:tcW w:w="780" w:type="dxa"/>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81"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33"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钢筋混凝土工程合计</w:t>
            </w:r>
          </w:p>
        </w:tc>
        <w:tc>
          <w:tcPr>
            <w:tcW w:w="3076"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20"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806"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4"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41" w:hRule="atLeast"/>
        </w:trPr>
        <w:tc>
          <w:tcPr>
            <w:tcW w:w="780" w:type="dxa"/>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81"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33"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门窗工程</w:t>
            </w:r>
          </w:p>
        </w:tc>
        <w:tc>
          <w:tcPr>
            <w:tcW w:w="3076"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20"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806"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4"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010802003001</w:t>
            </w:r>
          </w:p>
        </w:tc>
        <w:tc>
          <w:tcPr>
            <w:tcW w:w="1533"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钢质防火门</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1.门代号及洞口尺寸:FMJ01 1100*2100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2.门框、扇材质:钢质防火门 单扇(甲级)</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2.31</w:t>
            </w:r>
          </w:p>
        </w:tc>
        <w:tc>
          <w:tcPr>
            <w:tcW w:w="806"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4"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54" w:hRule="atLeast"/>
        </w:trPr>
        <w:tc>
          <w:tcPr>
            <w:tcW w:w="780" w:type="dxa"/>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81"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33"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门窗工程合计</w:t>
            </w:r>
          </w:p>
        </w:tc>
        <w:tc>
          <w:tcPr>
            <w:tcW w:w="3076"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20"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48" w:hRule="atLeast"/>
        </w:trPr>
        <w:tc>
          <w:tcPr>
            <w:tcW w:w="780" w:type="dxa"/>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81"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33"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墙、柱面装饰及隔断工程</w:t>
            </w:r>
          </w:p>
        </w:tc>
        <w:tc>
          <w:tcPr>
            <w:tcW w:w="3076"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20"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35"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484"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011201001004</w:t>
            </w:r>
          </w:p>
        </w:tc>
        <w:tc>
          <w:tcPr>
            <w:tcW w:w="1530"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墙面一般抹灰</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1.墙体类型:外墙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2.底层厚度、砂浆配合比:15厚1:3水泥砂浆</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456.48</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825"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484"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011204003005</w:t>
            </w:r>
          </w:p>
        </w:tc>
        <w:tc>
          <w:tcPr>
            <w:tcW w:w="1530"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块料墙面</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1.10厚外墙面砖,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2.1:1水泥砂浆勾缝或水泥砂浆擦缝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3.4~5厚1:1水泥砂浆加水重20%白乳胶镶贴</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456.48</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96" w:hRule="atLeast"/>
        </w:trPr>
        <w:tc>
          <w:tcPr>
            <w:tcW w:w="780" w:type="dxa"/>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84" w:type="dxa"/>
            <w:gridSpan w:val="2"/>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30"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墙、柱面装饰及隔断工程合计</w:t>
            </w:r>
          </w:p>
        </w:tc>
        <w:tc>
          <w:tcPr>
            <w:tcW w:w="3076"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20"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5" w:hRule="atLeast"/>
        </w:trPr>
        <w:tc>
          <w:tcPr>
            <w:tcW w:w="780" w:type="dxa"/>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84" w:type="dxa"/>
            <w:gridSpan w:val="2"/>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30"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其它装饰工程</w:t>
            </w:r>
          </w:p>
        </w:tc>
        <w:tc>
          <w:tcPr>
            <w:tcW w:w="3076"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20"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484"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011503001001</w:t>
            </w:r>
          </w:p>
        </w:tc>
        <w:tc>
          <w:tcPr>
            <w:tcW w:w="1530"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金属扶手、栏杆、栏板</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1.不锈钢栏杆制安 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2.其它详见图纸</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600</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819"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484"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011503001002</w:t>
            </w:r>
          </w:p>
        </w:tc>
        <w:tc>
          <w:tcPr>
            <w:tcW w:w="1530"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金属扶手、栏杆、栏板</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1.钢栏杆 制安 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2.其它详见图纸</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340</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8"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484"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011503001003</w:t>
            </w:r>
          </w:p>
        </w:tc>
        <w:tc>
          <w:tcPr>
            <w:tcW w:w="1530"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清洗</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1.原有不锈钢栏杆清洗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2.其它详见图纸</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360</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484"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011503001004</w:t>
            </w:r>
          </w:p>
        </w:tc>
        <w:tc>
          <w:tcPr>
            <w:tcW w:w="1530"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清洗</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1.原有立柱清洗翻新,采用草酸清洗剂清洗两遍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2.其它详见图纸</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130</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049"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484"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011503001005</w:t>
            </w:r>
          </w:p>
        </w:tc>
        <w:tc>
          <w:tcPr>
            <w:tcW w:w="1530" w:type="dxa"/>
            <w:gridSpan w:val="2"/>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清洗</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1.原围墙混凝土基础面采用草酸清洗剂清洗两遍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2.其它详见图纸</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1300</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39" w:hRule="atLeast"/>
        </w:trPr>
        <w:tc>
          <w:tcPr>
            <w:tcW w:w="780" w:type="dxa"/>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81"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33"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其它装饰工程合计</w:t>
            </w:r>
          </w:p>
        </w:tc>
        <w:tc>
          <w:tcPr>
            <w:tcW w:w="3076"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20"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0" w:hRule="atLeast"/>
        </w:trPr>
        <w:tc>
          <w:tcPr>
            <w:tcW w:w="780" w:type="dxa"/>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81"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33"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3076"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20"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01" w:hRule="atLeast"/>
        </w:trPr>
        <w:tc>
          <w:tcPr>
            <w:tcW w:w="780" w:type="dxa"/>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81"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33"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3076"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20"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24"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粤011701012001</w:t>
            </w:r>
          </w:p>
        </w:tc>
        <w:tc>
          <w:tcPr>
            <w:tcW w:w="1533"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活动脚手架</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1.墙柱面活动脚手架</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456.48</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36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粤011701012002</w:t>
            </w:r>
          </w:p>
        </w:tc>
        <w:tc>
          <w:tcPr>
            <w:tcW w:w="1533"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活动脚手架</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1.天棚活动脚手架</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90" w:hRule="atLeast"/>
        </w:trPr>
        <w:tc>
          <w:tcPr>
            <w:tcW w:w="78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481"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011702020001</w:t>
            </w:r>
          </w:p>
        </w:tc>
        <w:tc>
          <w:tcPr>
            <w:tcW w:w="1533"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其他板</w:t>
            </w:r>
          </w:p>
        </w:tc>
        <w:tc>
          <w:tcPr>
            <w:tcW w:w="3076" w:type="dxa"/>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1.预制混凝土构件模板制安</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5.55</w:t>
            </w: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10" w:hRule="atLeast"/>
        </w:trPr>
        <w:tc>
          <w:tcPr>
            <w:tcW w:w="780" w:type="dxa"/>
            <w:tcBorders>
              <w:tl2br w:val="nil"/>
              <w:tr2bl w:val="nil"/>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81"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33" w:type="dxa"/>
            <w:gridSpan w:val="3"/>
            <w:tcBorders>
              <w:tl2br w:val="nil"/>
              <w:tr2bl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3076"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20" w:type="dxa"/>
            <w:tcBorders>
              <w:tl2br w:val="nil"/>
              <w:tr2bl w:val="nil"/>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490" w:hRule="atLeast"/>
        </w:trPr>
        <w:tc>
          <w:tcPr>
            <w:tcW w:w="6870" w:type="dxa"/>
            <w:gridSpan w:val="6"/>
            <w:tcBorders>
              <w:tl2br w:val="nil"/>
              <w:tr2bl w:val="nil"/>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合计</w:t>
            </w:r>
          </w:p>
        </w:tc>
        <w:tc>
          <w:tcPr>
            <w:tcW w:w="720" w:type="dxa"/>
            <w:tcBorders>
              <w:tl2br w:val="nil"/>
              <w:tr2bl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55"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p>
        </w:tc>
        <w:tc>
          <w:tcPr>
            <w:tcW w:w="810" w:type="dxa"/>
            <w:gridSpan w:val="2"/>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780" w:type="dxa"/>
            <w:tcBorders>
              <w:tl2br w:val="nil"/>
              <w:tr2bl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bl>
    <w:p>
      <w:pPr>
        <w:pStyle w:val="21"/>
        <w:ind w:left="0" w:leftChars="0" w:firstLine="0" w:firstLineChars="0"/>
      </w:pPr>
    </w:p>
    <w:p>
      <w:pPr>
        <w:pStyle w:val="21"/>
        <w:jc w:val="center"/>
        <w:rPr>
          <w:rFonts w:ascii="仿宋_GB2312" w:hAnsi="仿宋" w:eastAsia="仿宋_GB2312"/>
          <w:b/>
          <w:bCs/>
        </w:rPr>
      </w:pPr>
      <w:r>
        <w:rPr>
          <w:rFonts w:hint="eastAsia" w:ascii="仿宋_GB2312" w:hAnsi="仿宋" w:eastAsia="仿宋_GB2312"/>
          <w:b/>
          <w:bCs/>
        </w:rPr>
        <w:t>总价措施项目清单与计价表</w:t>
      </w:r>
    </w:p>
    <w:tbl>
      <w:tblPr>
        <w:tblStyle w:val="22"/>
        <w:tblW w:w="10065" w:type="dxa"/>
        <w:tblInd w:w="-459" w:type="dxa"/>
        <w:tblLayout w:type="autofit"/>
        <w:tblCellMar>
          <w:top w:w="0" w:type="dxa"/>
          <w:left w:w="108" w:type="dxa"/>
          <w:bottom w:w="0" w:type="dxa"/>
          <w:right w:w="108" w:type="dxa"/>
        </w:tblCellMar>
      </w:tblPr>
      <w:tblGrid>
        <w:gridCol w:w="753"/>
        <w:gridCol w:w="1500"/>
        <w:gridCol w:w="2678"/>
        <w:gridCol w:w="3234"/>
        <w:gridCol w:w="884"/>
        <w:gridCol w:w="1016"/>
      </w:tblGrid>
      <w:tr>
        <w:trPr>
          <w:trHeight w:val="578" w:hRule="atLeast"/>
        </w:trPr>
        <w:tc>
          <w:tcPr>
            <w:tcW w:w="755"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1500"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项目编码</w:t>
            </w:r>
          </w:p>
        </w:tc>
        <w:tc>
          <w:tcPr>
            <w:tcW w:w="2687"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3245"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计算基础</w:t>
            </w:r>
          </w:p>
        </w:tc>
        <w:tc>
          <w:tcPr>
            <w:tcW w:w="885"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hint="eastAsia" w:ascii="宋体" w:hAnsi="宋体" w:eastAsiaTheme="minorEastAsia"/>
                <w:kern w:val="0"/>
                <w:sz w:val="20"/>
                <w:szCs w:val="20"/>
                <w:lang w:eastAsia="zh-CN"/>
              </w:rPr>
            </w:pPr>
            <w:r>
              <w:rPr>
                <w:rFonts w:hint="eastAsia" w:ascii="宋体" w:hAnsi="宋体"/>
                <w:kern w:val="0"/>
                <w:sz w:val="20"/>
                <w:szCs w:val="20"/>
              </w:rPr>
              <w:t>费率</w:t>
            </w:r>
          </w:p>
          <w:p>
            <w:pPr>
              <w:widowControl/>
              <w:jc w:val="center"/>
              <w:rPr>
                <w:rFonts w:ascii="宋体" w:hAnsi="宋体"/>
                <w:kern w:val="0"/>
                <w:sz w:val="20"/>
                <w:szCs w:val="20"/>
              </w:rPr>
            </w:pPr>
            <w:r>
              <w:rPr>
                <w:rFonts w:hint="eastAsia" w:ascii="宋体" w:hAnsi="宋体"/>
                <w:kern w:val="0"/>
                <w:sz w:val="20"/>
                <w:szCs w:val="20"/>
              </w:rPr>
              <w:t>(%)</w:t>
            </w:r>
          </w:p>
        </w:tc>
        <w:tc>
          <w:tcPr>
            <w:tcW w:w="993"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hint="eastAsia" w:ascii="宋体" w:hAnsi="宋体" w:eastAsiaTheme="minorEastAsia"/>
                <w:kern w:val="0"/>
                <w:sz w:val="20"/>
                <w:szCs w:val="20"/>
                <w:lang w:eastAsia="zh-CN"/>
              </w:rPr>
            </w:pPr>
            <w:r>
              <w:rPr>
                <w:rFonts w:hint="eastAsia" w:ascii="宋体" w:hAnsi="宋体"/>
                <w:kern w:val="0"/>
                <w:sz w:val="20"/>
                <w:szCs w:val="20"/>
              </w:rPr>
              <w:t>金额</w:t>
            </w:r>
          </w:p>
          <w:p>
            <w:pPr>
              <w:widowControl/>
              <w:jc w:val="center"/>
              <w:rPr>
                <w:rFonts w:ascii="宋体" w:hAnsi="宋体"/>
                <w:kern w:val="0"/>
                <w:sz w:val="20"/>
                <w:szCs w:val="20"/>
              </w:rPr>
            </w:pPr>
            <w:r>
              <w:rPr>
                <w:rFonts w:hint="eastAsia" w:ascii="宋体" w:hAnsi="宋体"/>
                <w:kern w:val="0"/>
                <w:sz w:val="20"/>
                <w:szCs w:val="20"/>
              </w:rPr>
              <w:t>(元)</w:t>
            </w:r>
          </w:p>
        </w:tc>
      </w:tr>
      <w:tr>
        <w:tblPrEx>
          <w:tblCellMar>
            <w:top w:w="0" w:type="dxa"/>
            <w:left w:w="108" w:type="dxa"/>
            <w:bottom w:w="0" w:type="dxa"/>
            <w:right w:w="108" w:type="dxa"/>
          </w:tblCellMar>
        </w:tblPrEx>
        <w:trPr>
          <w:trHeight w:val="578" w:hRule="atLeast"/>
        </w:trPr>
        <w:tc>
          <w:tcPr>
            <w:tcW w:w="7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w:t>
            </w:r>
          </w:p>
        </w:tc>
        <w:tc>
          <w:tcPr>
            <w:tcW w:w="15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LSSGCSF00001</w:t>
            </w:r>
          </w:p>
        </w:tc>
        <w:tc>
          <w:tcPr>
            <w:tcW w:w="2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绿色施工安全防护措施费</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分部分项人工费+分部分项机具费</w:t>
            </w:r>
          </w:p>
        </w:tc>
        <w:tc>
          <w:tcPr>
            <w:tcW w:w="8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Theme="minorEastAsia"/>
                <w:kern w:val="0"/>
                <w:sz w:val="20"/>
                <w:szCs w:val="20"/>
                <w:lang w:val="en-US" w:eastAsia="zh-CN"/>
              </w:rPr>
            </w:pP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hint="default" w:ascii="宋体" w:hAnsi="宋体" w:eastAsiaTheme="minorEastAsia"/>
                <w:kern w:val="0"/>
                <w:sz w:val="20"/>
                <w:szCs w:val="20"/>
                <w:lang w:val="en-US" w:eastAsia="zh-CN"/>
              </w:rPr>
            </w:pPr>
            <w:r>
              <w:rPr>
                <w:rFonts w:hint="eastAsia" w:ascii="宋体" w:hAnsi="宋体"/>
                <w:kern w:val="0"/>
                <w:sz w:val="20"/>
                <w:szCs w:val="20"/>
                <w:lang w:val="en-US" w:eastAsia="zh-CN"/>
              </w:rPr>
              <w:t>17431.36</w:t>
            </w:r>
          </w:p>
        </w:tc>
      </w:tr>
      <w:tr>
        <w:tblPrEx>
          <w:tblCellMar>
            <w:top w:w="0" w:type="dxa"/>
            <w:left w:w="108" w:type="dxa"/>
            <w:bottom w:w="0" w:type="dxa"/>
            <w:right w:w="108" w:type="dxa"/>
          </w:tblCellMar>
        </w:tblPrEx>
        <w:trPr>
          <w:trHeight w:val="578" w:hRule="atLeast"/>
        </w:trPr>
        <w:tc>
          <w:tcPr>
            <w:tcW w:w="7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w:t>
            </w:r>
          </w:p>
        </w:tc>
        <w:tc>
          <w:tcPr>
            <w:tcW w:w="15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WMGDZJF00001</w:t>
            </w:r>
          </w:p>
        </w:tc>
        <w:tc>
          <w:tcPr>
            <w:tcW w:w="2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在生产车间边生产边施工</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8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r>
        <w:tblPrEx>
          <w:tblCellMar>
            <w:top w:w="0" w:type="dxa"/>
            <w:left w:w="108" w:type="dxa"/>
            <w:bottom w:w="0" w:type="dxa"/>
            <w:right w:w="108" w:type="dxa"/>
          </w:tblCellMar>
        </w:tblPrEx>
        <w:trPr>
          <w:trHeight w:val="360" w:hRule="atLeast"/>
        </w:trPr>
        <w:tc>
          <w:tcPr>
            <w:tcW w:w="7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3</w:t>
            </w:r>
          </w:p>
        </w:tc>
        <w:tc>
          <w:tcPr>
            <w:tcW w:w="15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011707002001</w:t>
            </w:r>
          </w:p>
        </w:tc>
        <w:tc>
          <w:tcPr>
            <w:tcW w:w="2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在地下室内施工增加费</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8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r>
        <w:tblPrEx>
          <w:tblCellMar>
            <w:top w:w="0" w:type="dxa"/>
            <w:left w:w="108" w:type="dxa"/>
            <w:bottom w:w="0" w:type="dxa"/>
            <w:right w:w="108" w:type="dxa"/>
          </w:tblCellMar>
        </w:tblPrEx>
        <w:trPr>
          <w:trHeight w:val="578" w:hRule="atLeast"/>
        </w:trPr>
        <w:tc>
          <w:tcPr>
            <w:tcW w:w="7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4</w:t>
            </w:r>
          </w:p>
        </w:tc>
        <w:tc>
          <w:tcPr>
            <w:tcW w:w="15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GGCSF0000001</w:t>
            </w:r>
          </w:p>
        </w:tc>
        <w:tc>
          <w:tcPr>
            <w:tcW w:w="2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在有害身体健康的场所施工</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8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r>
        <w:tblPrEx>
          <w:tblCellMar>
            <w:top w:w="0" w:type="dxa"/>
            <w:left w:w="108" w:type="dxa"/>
            <w:bottom w:w="0" w:type="dxa"/>
            <w:right w:w="108" w:type="dxa"/>
          </w:tblCellMar>
        </w:tblPrEx>
        <w:trPr>
          <w:trHeight w:val="360" w:hRule="atLeast"/>
        </w:trPr>
        <w:tc>
          <w:tcPr>
            <w:tcW w:w="755" w:type="dxa"/>
            <w:tcBorders>
              <w:top w:val="nil"/>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5</w:t>
            </w:r>
          </w:p>
        </w:tc>
        <w:tc>
          <w:tcPr>
            <w:tcW w:w="15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QTFY00000001</w:t>
            </w:r>
          </w:p>
        </w:tc>
        <w:tc>
          <w:tcPr>
            <w:tcW w:w="2687"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其他费用</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88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r>
        <w:tblPrEx>
          <w:tblCellMar>
            <w:top w:w="0" w:type="dxa"/>
            <w:left w:w="108" w:type="dxa"/>
            <w:bottom w:w="0" w:type="dxa"/>
            <w:right w:w="108" w:type="dxa"/>
          </w:tblCellMar>
        </w:tblPrEx>
        <w:trPr>
          <w:trHeight w:val="360" w:hRule="atLeast"/>
        </w:trPr>
        <w:tc>
          <w:tcPr>
            <w:tcW w:w="2255" w:type="dxa"/>
            <w:gridSpan w:val="2"/>
            <w:tcBorders>
              <w:top w:val="nil"/>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合计</w:t>
            </w:r>
          </w:p>
        </w:tc>
        <w:tc>
          <w:tcPr>
            <w:tcW w:w="2687" w:type="dxa"/>
            <w:tcBorders>
              <w:top w:val="nil"/>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　</w:t>
            </w:r>
          </w:p>
        </w:tc>
        <w:tc>
          <w:tcPr>
            <w:tcW w:w="3245" w:type="dxa"/>
            <w:tcBorders>
              <w:top w:val="single" w:color="000000" w:sz="4"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　</w:t>
            </w:r>
          </w:p>
        </w:tc>
        <w:tc>
          <w:tcPr>
            <w:tcW w:w="885" w:type="dxa"/>
            <w:tcBorders>
              <w:top w:val="nil"/>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bl>
    <w:p>
      <w:pPr>
        <w:pStyle w:val="55"/>
        <w:spacing w:line="520" w:lineRule="exact"/>
        <w:jc w:val="center"/>
        <w:rPr>
          <w:b/>
          <w:bCs/>
          <w:sz w:val="28"/>
          <w:szCs w:val="28"/>
        </w:rPr>
      </w:pPr>
    </w:p>
    <w:p>
      <w:pPr>
        <w:pStyle w:val="55"/>
        <w:spacing w:line="520" w:lineRule="exact"/>
        <w:jc w:val="center"/>
        <w:rPr>
          <w:b/>
          <w:bCs/>
          <w:sz w:val="28"/>
          <w:szCs w:val="28"/>
        </w:rPr>
      </w:pPr>
      <w:r>
        <w:rPr>
          <w:rFonts w:hint="eastAsia"/>
          <w:b/>
          <w:bCs/>
          <w:sz w:val="28"/>
          <w:szCs w:val="28"/>
        </w:rPr>
        <w:t>其他项目清单与计价汇总</w:t>
      </w:r>
    </w:p>
    <w:tbl>
      <w:tblPr>
        <w:tblStyle w:val="22"/>
        <w:tblW w:w="10065" w:type="dxa"/>
        <w:tblInd w:w="-459" w:type="dxa"/>
        <w:tblLayout w:type="autofit"/>
        <w:tblCellMar>
          <w:top w:w="0" w:type="dxa"/>
          <w:left w:w="108" w:type="dxa"/>
          <w:bottom w:w="0" w:type="dxa"/>
          <w:right w:w="108" w:type="dxa"/>
        </w:tblCellMar>
      </w:tblPr>
      <w:tblGrid>
        <w:gridCol w:w="1321"/>
        <w:gridCol w:w="3874"/>
        <w:gridCol w:w="1815"/>
        <w:gridCol w:w="3055"/>
      </w:tblGrid>
      <w:tr>
        <w:tblPrEx>
          <w:tblCellMar>
            <w:top w:w="0" w:type="dxa"/>
            <w:left w:w="108" w:type="dxa"/>
            <w:bottom w:w="0" w:type="dxa"/>
            <w:right w:w="108" w:type="dxa"/>
          </w:tblCellMar>
        </w:tblPrEx>
        <w:trPr>
          <w:trHeight w:val="372"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3874"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1815"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金额（元）</w:t>
            </w:r>
          </w:p>
        </w:tc>
        <w:tc>
          <w:tcPr>
            <w:tcW w:w="3055"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结算金额（元）</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w:t>
            </w:r>
          </w:p>
        </w:tc>
        <w:tc>
          <w:tcPr>
            <w:tcW w:w="38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暂列金额</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kern w:val="0"/>
                <w:sz w:val="20"/>
                <w:szCs w:val="20"/>
                <w:lang w:val="en-US"/>
              </w:rPr>
            </w:pP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w:t>
            </w:r>
          </w:p>
        </w:tc>
        <w:tc>
          <w:tcPr>
            <w:tcW w:w="38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暂估价</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2.1</w:t>
            </w:r>
          </w:p>
        </w:tc>
        <w:tc>
          <w:tcPr>
            <w:tcW w:w="38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材料暂估价</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w:t>
            </w: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2.2</w:t>
            </w:r>
          </w:p>
        </w:tc>
        <w:tc>
          <w:tcPr>
            <w:tcW w:w="38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专业工程暂估价</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3</w:t>
            </w:r>
          </w:p>
        </w:tc>
        <w:tc>
          <w:tcPr>
            <w:tcW w:w="387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计日工</w:t>
            </w:r>
          </w:p>
        </w:tc>
        <w:tc>
          <w:tcPr>
            <w:tcW w:w="1815"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3055"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4</w:t>
            </w:r>
          </w:p>
        </w:tc>
        <w:tc>
          <w:tcPr>
            <w:tcW w:w="3874" w:type="dxa"/>
            <w:tcBorders>
              <w:top w:val="nil"/>
              <w:left w:val="nil"/>
              <w:bottom w:val="single" w:color="000000" w:sz="8"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总承包服务费</w:t>
            </w:r>
          </w:p>
        </w:tc>
        <w:tc>
          <w:tcPr>
            <w:tcW w:w="1815" w:type="dxa"/>
            <w:tcBorders>
              <w:top w:val="single" w:color="000000" w:sz="4" w:space="0"/>
              <w:left w:val="nil"/>
              <w:bottom w:val="single" w:color="000000" w:sz="8"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3055" w:type="dxa"/>
            <w:tcBorders>
              <w:top w:val="single" w:color="000000" w:sz="4" w:space="0"/>
              <w:left w:val="nil"/>
              <w:bottom w:val="single" w:color="000000" w:sz="8" w:space="0"/>
              <w:right w:val="single" w:color="000000" w:sz="4"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5</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预算包干费</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6</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工程优质费</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7</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概算幅度差</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8</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现场签证费用</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9</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索赔费用</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1321"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10</w:t>
            </w:r>
          </w:p>
        </w:tc>
        <w:tc>
          <w:tcPr>
            <w:tcW w:w="387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其他费用</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CellMar>
            <w:top w:w="0" w:type="dxa"/>
            <w:left w:w="108" w:type="dxa"/>
            <w:bottom w:w="0" w:type="dxa"/>
            <w:right w:w="108" w:type="dxa"/>
          </w:tblCellMar>
        </w:tblPrEx>
        <w:trPr>
          <w:trHeight w:val="360" w:hRule="atLeast"/>
        </w:trPr>
        <w:tc>
          <w:tcPr>
            <w:tcW w:w="5195"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rPr>
                <w:rFonts w:ascii="宋体" w:hAnsi="宋体"/>
                <w:kern w:val="0"/>
                <w:sz w:val="20"/>
                <w:szCs w:val="20"/>
              </w:rPr>
            </w:pPr>
            <w:r>
              <w:rPr>
                <w:rFonts w:hint="eastAsia" w:ascii="宋体" w:hAnsi="宋体"/>
                <w:kern w:val="0"/>
                <w:sz w:val="20"/>
                <w:szCs w:val="20"/>
              </w:rPr>
              <w:t>　合计</w:t>
            </w:r>
          </w:p>
        </w:tc>
        <w:tc>
          <w:tcPr>
            <w:tcW w:w="181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c>
          <w:tcPr>
            <w:tcW w:w="3055" w:type="dxa"/>
            <w:tcBorders>
              <w:top w:val="single" w:color="000000" w:sz="8" w:space="0"/>
              <w:left w:val="nil"/>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bl>
    <w:p>
      <w:pPr>
        <w:pStyle w:val="55"/>
        <w:spacing w:line="520" w:lineRule="exact"/>
        <w:jc w:val="both"/>
        <w:rPr>
          <w:sz w:val="28"/>
          <w:szCs w:val="28"/>
        </w:rPr>
      </w:pPr>
      <w:r>
        <w:rPr>
          <w:rFonts w:hint="eastAsia"/>
          <w:sz w:val="28"/>
          <w:szCs w:val="28"/>
        </w:rPr>
        <w:t xml:space="preserve"> </w:t>
      </w:r>
    </w:p>
    <w:p>
      <w:pPr>
        <w:pStyle w:val="55"/>
        <w:spacing w:line="520" w:lineRule="exact"/>
        <w:jc w:val="center"/>
        <w:rPr>
          <w:b/>
          <w:bCs/>
          <w:sz w:val="28"/>
          <w:szCs w:val="28"/>
        </w:rPr>
      </w:pPr>
      <w:r>
        <w:rPr>
          <w:rFonts w:hint="eastAsia"/>
          <w:b/>
          <w:bCs/>
          <w:sz w:val="28"/>
          <w:szCs w:val="28"/>
        </w:rPr>
        <w:t>规费、税金项目清单与计价表</w:t>
      </w:r>
    </w:p>
    <w:tbl>
      <w:tblPr>
        <w:tblStyle w:val="22"/>
        <w:tblW w:w="10065" w:type="dxa"/>
        <w:tblInd w:w="-459" w:type="dxa"/>
        <w:tblLayout w:type="autofit"/>
        <w:tblCellMar>
          <w:top w:w="0" w:type="dxa"/>
          <w:left w:w="108" w:type="dxa"/>
          <w:bottom w:w="0" w:type="dxa"/>
          <w:right w:w="108" w:type="dxa"/>
        </w:tblCellMar>
      </w:tblPr>
      <w:tblGrid>
        <w:gridCol w:w="1148"/>
        <w:gridCol w:w="2228"/>
        <w:gridCol w:w="2629"/>
        <w:gridCol w:w="1481"/>
        <w:gridCol w:w="951"/>
        <w:gridCol w:w="1628"/>
      </w:tblGrid>
      <w:tr>
        <w:tblPrEx>
          <w:tblCellMar>
            <w:top w:w="0" w:type="dxa"/>
            <w:left w:w="108" w:type="dxa"/>
            <w:bottom w:w="0" w:type="dxa"/>
            <w:right w:w="108" w:type="dxa"/>
          </w:tblCellMar>
        </w:tblPrEx>
        <w:trPr>
          <w:trHeight w:val="578" w:hRule="atLeast"/>
        </w:trPr>
        <w:tc>
          <w:tcPr>
            <w:tcW w:w="1148"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2228"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2629"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计算基础</w:t>
            </w:r>
          </w:p>
        </w:tc>
        <w:tc>
          <w:tcPr>
            <w:tcW w:w="1481"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计算基数</w:t>
            </w:r>
          </w:p>
        </w:tc>
        <w:tc>
          <w:tcPr>
            <w:tcW w:w="951" w:type="dxa"/>
            <w:tcBorders>
              <w:top w:val="single" w:color="000000" w:sz="8" w:space="0"/>
              <w:left w:val="nil"/>
              <w:bottom w:val="single" w:color="000000" w:sz="4" w:space="0"/>
              <w:right w:val="single" w:color="000000" w:sz="4" w:space="0"/>
            </w:tcBorders>
            <w:shd w:val="clear" w:color="auto" w:fill="FFFFFF"/>
            <w:vAlign w:val="center"/>
          </w:tcPr>
          <w:p>
            <w:pPr>
              <w:widowControl/>
              <w:jc w:val="center"/>
              <w:rPr>
                <w:rFonts w:hint="eastAsia" w:ascii="宋体" w:hAnsi="宋体" w:eastAsiaTheme="minorEastAsia"/>
                <w:kern w:val="0"/>
                <w:sz w:val="20"/>
                <w:szCs w:val="20"/>
                <w:lang w:eastAsia="zh-CN"/>
              </w:rPr>
            </w:pPr>
            <w:r>
              <w:rPr>
                <w:rFonts w:hint="eastAsia" w:ascii="宋体" w:hAnsi="宋体"/>
                <w:kern w:val="0"/>
                <w:sz w:val="20"/>
                <w:szCs w:val="20"/>
              </w:rPr>
              <w:t>计算费率</w:t>
            </w:r>
          </w:p>
          <w:p>
            <w:pPr>
              <w:widowControl/>
              <w:jc w:val="center"/>
              <w:rPr>
                <w:rFonts w:ascii="宋体" w:hAnsi="宋体"/>
                <w:kern w:val="0"/>
                <w:sz w:val="20"/>
                <w:szCs w:val="20"/>
              </w:rPr>
            </w:pPr>
            <w:r>
              <w:rPr>
                <w:rFonts w:hint="eastAsia" w:ascii="宋体" w:hAnsi="宋体"/>
                <w:kern w:val="0"/>
                <w:sz w:val="20"/>
                <w:szCs w:val="20"/>
              </w:rPr>
              <w:t>(%)</w:t>
            </w:r>
          </w:p>
        </w:tc>
        <w:tc>
          <w:tcPr>
            <w:tcW w:w="1628" w:type="dxa"/>
            <w:tcBorders>
              <w:top w:val="single" w:color="000000" w:sz="8" w:space="0"/>
              <w:left w:val="nil"/>
              <w:bottom w:val="single" w:color="000000" w:sz="4"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金额(元)</w:t>
            </w:r>
          </w:p>
        </w:tc>
      </w:tr>
      <w:tr>
        <w:tblPrEx>
          <w:tblCellMar>
            <w:top w:w="0" w:type="dxa"/>
            <w:left w:w="108" w:type="dxa"/>
            <w:bottom w:w="0" w:type="dxa"/>
            <w:right w:w="108" w:type="dxa"/>
          </w:tblCellMar>
        </w:tblPrEx>
        <w:trPr>
          <w:trHeight w:val="578" w:hRule="atLeast"/>
        </w:trPr>
        <w:tc>
          <w:tcPr>
            <w:tcW w:w="11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w:t>
            </w:r>
          </w:p>
        </w:tc>
        <w:tc>
          <w:tcPr>
            <w:tcW w:w="2228" w:type="dxa"/>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增值税销项税额</w:t>
            </w:r>
          </w:p>
        </w:tc>
        <w:tc>
          <w:tcPr>
            <w:tcW w:w="2629" w:type="dxa"/>
            <w:tcBorders>
              <w:top w:val="single" w:color="000000" w:sz="4" w:space="0"/>
              <w:left w:val="nil"/>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分部分项合计+措施合计+其他项目</w:t>
            </w:r>
          </w:p>
        </w:tc>
        <w:tc>
          <w:tcPr>
            <w:tcW w:w="1481"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951"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1628"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r>
        <w:tblPrEx>
          <w:tblCellMar>
            <w:top w:w="0" w:type="dxa"/>
            <w:left w:w="108" w:type="dxa"/>
            <w:bottom w:w="0" w:type="dxa"/>
            <w:right w:w="108" w:type="dxa"/>
          </w:tblCellMar>
        </w:tblPrEx>
        <w:trPr>
          <w:trHeight w:val="578" w:hRule="atLeast"/>
        </w:trPr>
        <w:tc>
          <w:tcPr>
            <w:tcW w:w="600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合计</w:t>
            </w:r>
          </w:p>
        </w:tc>
        <w:tc>
          <w:tcPr>
            <w:tcW w:w="1481"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951"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c>
          <w:tcPr>
            <w:tcW w:w="1628" w:type="dxa"/>
            <w:tcBorders>
              <w:top w:val="single" w:color="000000" w:sz="4" w:space="0"/>
              <w:left w:val="nil"/>
              <w:bottom w:val="single" w:color="000000" w:sz="4" w:space="0"/>
              <w:right w:val="single" w:color="000000" w:sz="4" w:space="0"/>
            </w:tcBorders>
            <w:shd w:val="clear" w:color="auto" w:fill="FFFFFF"/>
            <w:vAlign w:val="center"/>
          </w:tcPr>
          <w:p>
            <w:pPr>
              <w:widowControl/>
              <w:jc w:val="right"/>
              <w:rPr>
                <w:rFonts w:ascii="宋体" w:hAnsi="宋体"/>
                <w:kern w:val="0"/>
                <w:sz w:val="20"/>
                <w:szCs w:val="20"/>
              </w:rPr>
            </w:pPr>
          </w:p>
        </w:tc>
      </w:tr>
    </w:tbl>
    <w:p>
      <w:pPr>
        <w:pStyle w:val="53"/>
        <w:ind w:firstLine="832" w:firstLineChars="259"/>
        <w:jc w:val="center"/>
        <w:rPr>
          <w:rFonts w:hint="eastAsia"/>
          <w:b/>
          <w:bCs/>
        </w:rPr>
      </w:pPr>
    </w:p>
    <w:p>
      <w:pPr>
        <w:pStyle w:val="53"/>
        <w:ind w:firstLine="832" w:firstLineChars="259"/>
        <w:jc w:val="center"/>
        <w:rPr>
          <w:rFonts w:hint="eastAsia"/>
          <w:b/>
          <w:bCs/>
        </w:rPr>
      </w:pPr>
    </w:p>
    <w:p>
      <w:pPr>
        <w:pStyle w:val="53"/>
        <w:ind w:firstLine="832" w:firstLineChars="259"/>
        <w:jc w:val="center"/>
        <w:rPr>
          <w:b/>
          <w:bCs/>
        </w:rPr>
      </w:pPr>
      <w:r>
        <w:rPr>
          <w:rFonts w:hint="eastAsia"/>
          <w:b/>
          <w:bCs/>
        </w:rPr>
        <w:t>单位工程费汇总表</w:t>
      </w:r>
    </w:p>
    <w:p>
      <w:pPr>
        <w:widowControl/>
        <w:ind w:firstLine="600" w:firstLineChars="300"/>
        <w:jc w:val="left"/>
        <w:textAlignment w:val="center"/>
        <w:rPr>
          <w:rFonts w:ascii="宋体" w:hAnsi="宋体"/>
          <w:color w:val="000000"/>
          <w:kern w:val="0"/>
          <w:sz w:val="20"/>
          <w:szCs w:val="20"/>
        </w:rPr>
      </w:pPr>
      <w:r>
        <w:rPr>
          <w:rFonts w:hint="eastAsia" w:ascii="宋体" w:hAnsi="宋体"/>
          <w:color w:val="000000"/>
          <w:kern w:val="0"/>
          <w:sz w:val="20"/>
          <w:szCs w:val="20"/>
        </w:rPr>
        <w:t>大坦沙分公司三期厂区围墙护栏改造</w:t>
      </w:r>
      <w:r>
        <w:rPr>
          <w:rFonts w:hint="eastAsia" w:ascii="宋体" w:hAnsi="宋体"/>
          <w:color w:val="000000"/>
          <w:kern w:val="0"/>
          <w:sz w:val="20"/>
          <w:szCs w:val="20"/>
          <w:lang w:val="en-US" w:eastAsia="zh-CN"/>
        </w:rPr>
        <w:t>-</w:t>
      </w:r>
      <w:r>
        <w:rPr>
          <w:rFonts w:hint="eastAsia" w:ascii="宋体" w:hAnsi="宋体"/>
          <w:color w:val="000000"/>
          <w:kern w:val="0"/>
          <w:sz w:val="20"/>
          <w:szCs w:val="20"/>
        </w:rPr>
        <w:t>安装工程部分</w:t>
      </w:r>
    </w:p>
    <w:tbl>
      <w:tblPr>
        <w:tblStyle w:val="22"/>
        <w:tblW w:w="10015" w:type="dxa"/>
        <w:jc w:val="center"/>
        <w:tblLayout w:type="autofit"/>
        <w:tblCellMar>
          <w:top w:w="0" w:type="dxa"/>
          <w:left w:w="108" w:type="dxa"/>
          <w:bottom w:w="0" w:type="dxa"/>
          <w:right w:w="108" w:type="dxa"/>
        </w:tblCellMar>
      </w:tblPr>
      <w:tblGrid>
        <w:gridCol w:w="1046"/>
        <w:gridCol w:w="4623"/>
        <w:gridCol w:w="2442"/>
        <w:gridCol w:w="1904"/>
      </w:tblGrid>
      <w:tr>
        <w:tblPrEx>
          <w:tblCellMar>
            <w:top w:w="0" w:type="dxa"/>
            <w:left w:w="108" w:type="dxa"/>
            <w:bottom w:w="0" w:type="dxa"/>
            <w:right w:w="108" w:type="dxa"/>
          </w:tblCellMar>
        </w:tblPrEx>
        <w:trPr>
          <w:trHeight w:val="375" w:hRule="atLeast"/>
          <w:jc w:val="center"/>
        </w:trPr>
        <w:tc>
          <w:tcPr>
            <w:tcW w:w="1046"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序号</w:t>
            </w:r>
          </w:p>
        </w:tc>
        <w:tc>
          <w:tcPr>
            <w:tcW w:w="4623"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汇总内容</w:t>
            </w:r>
          </w:p>
        </w:tc>
        <w:tc>
          <w:tcPr>
            <w:tcW w:w="2442"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金额:(元)</w:t>
            </w:r>
          </w:p>
        </w:tc>
        <w:tc>
          <w:tcPr>
            <w:tcW w:w="1904" w:type="dxa"/>
            <w:tcBorders>
              <w:top w:val="single" w:color="000000" w:sz="8" w:space="0"/>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其中：暂估价(元)</w:t>
            </w: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分部分项合计</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1.1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给水系统</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1.2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管道拆除系统</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1.3</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新增管道</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措施合计</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2.1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绿色施工安全防护措施费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356.00</w:t>
            </w: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2.2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其他措施费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kern w:val="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其他项目</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r>
              <w:rPr>
                <w:rFonts w:hint="eastAsia" w:ascii="宋体" w:hAnsi="宋体"/>
                <w:color w:val="000000"/>
                <w:kern w:val="0"/>
                <w:sz w:val="20"/>
                <w:szCs w:val="20"/>
              </w:rPr>
              <w:t>－</w:t>
            </w: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暂列金额</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暂估价</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3.3</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计日工</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3.4</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总承包服务费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3.5</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预算包干费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3.6</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工程优质费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3.7</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概算幅度差</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3.8</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索赔费用</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3.9</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现场签证费用</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3.10</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其他费用</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4</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税前工程造价</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5</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增值税销项税额</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r>
              <w:rPr>
                <w:rFonts w:hint="eastAsia" w:ascii="宋体" w:hAnsi="宋体"/>
                <w:color w:val="000000"/>
                <w:kern w:val="0"/>
                <w:sz w:val="20"/>
                <w:szCs w:val="20"/>
              </w:rPr>
              <w:t>－</w:t>
            </w: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6</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总造价</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7</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人工费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kern w:val="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5668" w:type="dxa"/>
            <w:gridSpan w:val="2"/>
            <w:tcBorders>
              <w:top w:val="single" w:color="000000" w:sz="4"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合计=1+2+3+5</w:t>
            </w:r>
          </w:p>
        </w:tc>
        <w:tc>
          <w:tcPr>
            <w:tcW w:w="2442" w:type="dxa"/>
            <w:tcBorders>
              <w:top w:val="single" w:color="000000" w:sz="4" w:space="0"/>
              <w:left w:val="nil"/>
              <w:bottom w:val="single" w:color="000000" w:sz="8"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04" w:type="dxa"/>
            <w:tcBorders>
              <w:top w:val="single" w:color="000000" w:sz="4" w:space="0"/>
              <w:left w:val="nil"/>
              <w:bottom w:val="single" w:color="000000" w:sz="8"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p>
        </w:tc>
      </w:tr>
    </w:tbl>
    <w:p>
      <w:pPr>
        <w:pStyle w:val="53"/>
        <w:ind w:firstLine="1131"/>
        <w:rPr>
          <w:rFonts w:hint="eastAsia"/>
          <w:b/>
          <w:bCs/>
        </w:rPr>
      </w:pPr>
    </w:p>
    <w:p>
      <w:pPr>
        <w:pStyle w:val="53"/>
        <w:ind w:firstLine="1131"/>
        <w:rPr>
          <w:rFonts w:hint="eastAsia"/>
          <w:b/>
          <w:bCs/>
        </w:rPr>
      </w:pPr>
    </w:p>
    <w:p>
      <w:pPr>
        <w:pStyle w:val="53"/>
        <w:ind w:firstLine="1131"/>
        <w:rPr>
          <w:rFonts w:hint="eastAsia"/>
          <w:b/>
          <w:bCs/>
        </w:rPr>
      </w:pPr>
      <w:r>
        <w:rPr>
          <w:rFonts w:hint="eastAsia"/>
          <w:b/>
          <w:bCs/>
        </w:rPr>
        <w:t>分部分项工程和单价措施项目清单与计价表</w:t>
      </w:r>
    </w:p>
    <w:tbl>
      <w:tblPr>
        <w:tblStyle w:val="22"/>
        <w:tblW w:w="10020" w:type="dxa"/>
        <w:tblInd w:w="-4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455"/>
        <w:gridCol w:w="1560"/>
        <w:gridCol w:w="3285"/>
        <w:gridCol w:w="705"/>
        <w:gridCol w:w="892"/>
        <w:gridCol w:w="660"/>
        <w:gridCol w:w="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32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7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8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c>
          <w:tcPr>
            <w:tcW w:w="1283"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623" w:type="dxa"/>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030502005001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双绞线缆</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1.名称:超六类网络线</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030411001002</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配管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1.名称:镀锌电线管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2.材质:钢管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3.规格:DN20mm</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030507008001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监控摄像设备</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1.名称:红外摄像机（IP数字系统 1080P,采用PoE供电）</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031302007001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高层施工增加</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031301017001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脚手架搭拆费</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4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合计</w:t>
            </w:r>
          </w:p>
        </w:tc>
        <w:tc>
          <w:tcPr>
            <w:tcW w:w="7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9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p>
        </w:tc>
        <w:tc>
          <w:tcPr>
            <w:tcW w:w="6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p>
        </w:tc>
        <w:tc>
          <w:tcPr>
            <w:tcW w:w="62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p>
        </w:tc>
      </w:tr>
    </w:tbl>
    <w:tbl>
      <w:tblPr>
        <w:tblStyle w:val="23"/>
        <w:tblpPr w:leftFromText="180" w:rightFromText="180" w:vertAnchor="text" w:tblpX="10426" w:tblpY="-4191"/>
        <w:tblOverlap w:val="never"/>
        <w:tblW w:w="1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947" w:type="dxa"/>
          </w:tcPr>
          <w:p>
            <w:pPr>
              <w:pStyle w:val="53"/>
              <w:jc w:val="center"/>
              <w:rPr>
                <w:rFonts w:hint="eastAsia"/>
                <w:b/>
                <w:bCs/>
                <w:vertAlign w:val="baseline"/>
              </w:rPr>
            </w:pPr>
          </w:p>
        </w:tc>
      </w:tr>
    </w:tbl>
    <w:p>
      <w:pPr>
        <w:pStyle w:val="53"/>
        <w:ind w:left="0" w:leftChars="0" w:firstLine="0" w:firstLineChars="0"/>
        <w:jc w:val="center"/>
        <w:rPr>
          <w:b/>
          <w:bCs/>
        </w:rPr>
      </w:pPr>
      <w:r>
        <w:rPr>
          <w:rFonts w:hint="eastAsia"/>
          <w:b/>
          <w:bCs/>
        </w:rPr>
        <w:t>总价措施项目清单与计价表</w:t>
      </w:r>
    </w:p>
    <w:tbl>
      <w:tblPr>
        <w:tblStyle w:val="22"/>
        <w:tblW w:w="10065" w:type="dxa"/>
        <w:tblInd w:w="-4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135"/>
        <w:gridCol w:w="1642"/>
        <w:gridCol w:w="3199"/>
        <w:gridCol w:w="2182"/>
        <w:gridCol w:w="914"/>
        <w:gridCol w:w="9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项目编码</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计算基础</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Theme="minorEastAsia"/>
                <w:kern w:val="0"/>
                <w:sz w:val="20"/>
                <w:szCs w:val="20"/>
                <w:lang w:eastAsia="zh-CN"/>
              </w:rPr>
            </w:pPr>
            <w:r>
              <w:rPr>
                <w:rFonts w:hint="eastAsia" w:ascii="宋体" w:hAnsi="宋体"/>
                <w:kern w:val="0"/>
                <w:sz w:val="20"/>
                <w:szCs w:val="20"/>
              </w:rPr>
              <w:t>费率</w:t>
            </w:r>
          </w:p>
          <w:p>
            <w:pPr>
              <w:widowControl/>
              <w:jc w:val="center"/>
              <w:rPr>
                <w:rFonts w:ascii="宋体" w:hAnsi="宋体"/>
                <w:kern w:val="0"/>
                <w:sz w:val="20"/>
                <w:szCs w:val="20"/>
              </w:rPr>
            </w:pPr>
            <w:r>
              <w:rPr>
                <w:rFonts w:hint="eastAsia" w:ascii="宋体" w:hAnsi="宋体"/>
                <w:kern w:val="0"/>
                <w:sz w:val="20"/>
                <w:szCs w:val="20"/>
              </w:rPr>
              <w:t>(%)</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Theme="minorEastAsia"/>
                <w:kern w:val="0"/>
                <w:sz w:val="20"/>
                <w:szCs w:val="20"/>
                <w:lang w:eastAsia="zh-CN"/>
              </w:rPr>
            </w:pPr>
            <w:r>
              <w:rPr>
                <w:rFonts w:hint="eastAsia" w:ascii="宋体" w:hAnsi="宋体"/>
                <w:kern w:val="0"/>
                <w:sz w:val="20"/>
                <w:szCs w:val="20"/>
              </w:rPr>
              <w:t>金额</w:t>
            </w:r>
          </w:p>
          <w:p>
            <w:pPr>
              <w:widowControl/>
              <w:jc w:val="center"/>
              <w:rPr>
                <w:rFonts w:ascii="宋体" w:hAnsi="宋体"/>
                <w:kern w:val="0"/>
                <w:sz w:val="20"/>
                <w:szCs w:val="20"/>
              </w:rPr>
            </w:pPr>
            <w:r>
              <w:rPr>
                <w:rFonts w:hint="eastAsia" w:ascii="宋体" w:hAnsi="宋体"/>
                <w:kern w:val="0"/>
                <w:sz w:val="20"/>
                <w:szCs w:val="20"/>
              </w:rPr>
              <w:t>(元)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LSSGCSF00001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绿色施工安全防护措施费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分部分项人工费+分部分项机具费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hint="default" w:ascii="宋体" w:hAnsi="宋体" w:eastAsiaTheme="minorEastAsia"/>
                <w:kern w:val="0"/>
                <w:sz w:val="20"/>
                <w:szCs w:val="20"/>
                <w:lang w:val="en-US" w:eastAsia="zh-CN"/>
              </w:rPr>
            </w:pPr>
            <w:r>
              <w:rPr>
                <w:rFonts w:hint="eastAsia" w:ascii="宋体" w:hAnsi="宋体"/>
                <w:kern w:val="0"/>
                <w:sz w:val="20"/>
                <w:szCs w:val="20"/>
                <w:lang w:val="en-US" w:eastAsia="zh-CN"/>
              </w:rPr>
              <w:t>356.00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031301010001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安装与生产同时进行增加费用</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3</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031301011001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在有害身体健康环境中施工增加费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分部分项人工费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4"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4</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TSSGBWZJF001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在地下（暗）室、设备及大口径管道内等特殊施工部位进行施工增加费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分部分项人工费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2"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5</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粤031302008001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赶工措施费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分部分项人工费+分部分项机具费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6</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031302002001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夜间施工增加费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2"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7</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JTGRSGZJF001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交通干扰工程施工增加费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8</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粤031302009001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文明工地增加费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分部分项人工费+分部分项机具费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9</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DXGXJCJXF001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地下管线交叉降效费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10</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QTFY00000001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其他费用</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合计</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bl>
    <w:p>
      <w:pPr>
        <w:pStyle w:val="55"/>
        <w:spacing w:line="520" w:lineRule="exact"/>
        <w:jc w:val="both"/>
        <w:rPr>
          <w:b/>
          <w:bCs/>
          <w:sz w:val="28"/>
          <w:szCs w:val="28"/>
        </w:rPr>
      </w:pPr>
      <w:r>
        <w:rPr>
          <w:rFonts w:hint="eastAsia"/>
          <w:sz w:val="28"/>
          <w:szCs w:val="28"/>
        </w:rPr>
        <w:t xml:space="preserve"> </w:t>
      </w:r>
      <w:r>
        <w:rPr>
          <w:rFonts w:hint="eastAsia"/>
          <w:b/>
          <w:bCs/>
          <w:sz w:val="28"/>
          <w:szCs w:val="28"/>
        </w:rPr>
        <w:t>其他项目清单与计价汇总表</w:t>
      </w:r>
    </w:p>
    <w:tbl>
      <w:tblPr>
        <w:tblStyle w:val="22"/>
        <w:tblW w:w="10065" w:type="dxa"/>
        <w:tblInd w:w="-4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135"/>
        <w:gridCol w:w="4842"/>
        <w:gridCol w:w="2183"/>
        <w:gridCol w:w="190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2"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金额（元）</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结算金额（元）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暂列金额</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宋体" w:hAnsi="宋体"/>
                <w:kern w:val="0"/>
                <w:sz w:val="20"/>
                <w:szCs w:val="20"/>
                <w:lang w:val="en-US"/>
              </w:rPr>
            </w:pP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暂估价</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2.1</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材料暂估价</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2.2</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专业工程暂估价</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3</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计日工</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4</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总承包服务费</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5</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预算包干费</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6</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工程优质费</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7</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概算幅度差</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8</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现场签证费用</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9</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索赔费用</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10</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其他费用</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合计</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bl>
    <w:p>
      <w:r>
        <w:t xml:space="preserve"> </w:t>
      </w:r>
    </w:p>
    <w:p>
      <w:pPr>
        <w:pStyle w:val="21"/>
        <w:jc w:val="center"/>
        <w:rPr>
          <w:rFonts w:ascii="仿宋_GB2312" w:eastAsia="仿宋_GB2312"/>
          <w:b/>
          <w:bCs/>
        </w:rPr>
      </w:pPr>
      <w:r>
        <w:rPr>
          <w:rFonts w:hint="eastAsia" w:ascii="仿宋_GB2312" w:eastAsia="仿宋_GB2312"/>
          <w:b/>
          <w:bCs/>
        </w:rPr>
        <w:t>规费、税金项目清单与计价表</w:t>
      </w:r>
    </w:p>
    <w:tbl>
      <w:tblPr>
        <w:tblStyle w:val="22"/>
        <w:tblW w:w="10065" w:type="dxa"/>
        <w:tblInd w:w="-4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97"/>
        <w:gridCol w:w="1783"/>
        <w:gridCol w:w="2826"/>
        <w:gridCol w:w="1139"/>
        <w:gridCol w:w="1301"/>
        <w:gridCol w:w="191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17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计算基础</w:t>
            </w:r>
          </w:p>
        </w:tc>
        <w:tc>
          <w:tcPr>
            <w:tcW w:w="11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计算基数</w:t>
            </w:r>
          </w:p>
        </w:tc>
        <w:tc>
          <w:tcPr>
            <w:tcW w:w="13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Theme="minorEastAsia"/>
                <w:kern w:val="0"/>
                <w:sz w:val="20"/>
                <w:szCs w:val="20"/>
                <w:lang w:eastAsia="zh-CN"/>
              </w:rPr>
            </w:pPr>
            <w:r>
              <w:rPr>
                <w:rFonts w:hint="eastAsia" w:ascii="宋体" w:hAnsi="宋体"/>
                <w:kern w:val="0"/>
                <w:sz w:val="20"/>
                <w:szCs w:val="20"/>
              </w:rPr>
              <w:t>计算费率</w:t>
            </w:r>
          </w:p>
          <w:p>
            <w:pPr>
              <w:widowControl/>
              <w:jc w:val="center"/>
              <w:rPr>
                <w:rFonts w:ascii="宋体" w:hAnsi="宋体"/>
                <w:kern w:val="0"/>
                <w:sz w:val="20"/>
                <w:szCs w:val="20"/>
              </w:rPr>
            </w:pPr>
            <w:r>
              <w:rPr>
                <w:rFonts w:hint="eastAsia" w:ascii="宋体" w:hAnsi="宋体"/>
                <w:kern w:val="0"/>
                <w:sz w:val="20"/>
                <w:szCs w:val="20"/>
              </w:rPr>
              <w:t>(%)</w:t>
            </w:r>
          </w:p>
        </w:tc>
        <w:tc>
          <w:tcPr>
            <w:tcW w:w="19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w:t>
            </w:r>
          </w:p>
        </w:tc>
        <w:tc>
          <w:tcPr>
            <w:tcW w:w="17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增值税销项税额</w:t>
            </w:r>
          </w:p>
        </w:tc>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分部分项合计+措施合计+其他项目</w:t>
            </w:r>
          </w:p>
        </w:tc>
        <w:tc>
          <w:tcPr>
            <w:tcW w:w="11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3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hint="eastAsia" w:ascii="宋体" w:hAnsi="宋体" w:eastAsiaTheme="minorEastAsia"/>
                <w:kern w:val="0"/>
                <w:sz w:val="20"/>
                <w:szCs w:val="20"/>
                <w:lang w:val="en-US" w:eastAsia="zh-CN"/>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p>
        </w:tc>
        <w:tc>
          <w:tcPr>
            <w:tcW w:w="17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合计</w:t>
            </w:r>
          </w:p>
        </w:tc>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p>
        </w:tc>
        <w:tc>
          <w:tcPr>
            <w:tcW w:w="11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3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bl>
    <w:p>
      <w:pPr>
        <w:widowControl/>
        <w:ind w:firstLine="630" w:firstLineChars="300"/>
        <w:jc w:val="left"/>
        <w:textAlignment w:val="center"/>
        <w:rPr>
          <w:rFonts w:ascii="宋体" w:hAnsi="宋体"/>
          <w:color w:val="000000"/>
          <w:kern w:val="0"/>
          <w:sz w:val="20"/>
          <w:szCs w:val="20"/>
        </w:rPr>
      </w:pPr>
      <w:r>
        <w:rPr>
          <w:color w:val="auto"/>
          <w:highlight w:val="none"/>
        </w:rPr>
        <w:t xml:space="preserve"> </w:t>
      </w:r>
      <w:r>
        <w:rPr>
          <w:rFonts w:hint="eastAsia" w:ascii="宋体" w:hAnsi="宋体"/>
          <w:color w:val="000000"/>
          <w:kern w:val="0"/>
          <w:sz w:val="20"/>
          <w:szCs w:val="20"/>
        </w:rPr>
        <w:t>大坦沙分公司三期厂区围墙护栏改造</w:t>
      </w:r>
      <w:r>
        <w:rPr>
          <w:rFonts w:hint="eastAsia" w:ascii="宋体" w:hAnsi="宋体"/>
          <w:color w:val="000000"/>
          <w:kern w:val="0"/>
          <w:sz w:val="20"/>
          <w:szCs w:val="20"/>
          <w:lang w:val="en-US" w:eastAsia="zh-CN"/>
        </w:rPr>
        <w:t>-园林</w:t>
      </w:r>
      <w:r>
        <w:rPr>
          <w:rFonts w:hint="eastAsia" w:ascii="宋体" w:hAnsi="宋体"/>
          <w:color w:val="000000"/>
          <w:kern w:val="0"/>
          <w:sz w:val="20"/>
          <w:szCs w:val="20"/>
        </w:rPr>
        <w:t>工程部分</w:t>
      </w:r>
    </w:p>
    <w:tbl>
      <w:tblPr>
        <w:tblStyle w:val="22"/>
        <w:tblW w:w="10015" w:type="dxa"/>
        <w:jc w:val="center"/>
        <w:tblLayout w:type="autofit"/>
        <w:tblCellMar>
          <w:top w:w="0" w:type="dxa"/>
          <w:left w:w="108" w:type="dxa"/>
          <w:bottom w:w="0" w:type="dxa"/>
          <w:right w:w="108" w:type="dxa"/>
        </w:tblCellMar>
      </w:tblPr>
      <w:tblGrid>
        <w:gridCol w:w="1046"/>
        <w:gridCol w:w="4623"/>
        <w:gridCol w:w="2442"/>
        <w:gridCol w:w="1904"/>
      </w:tblGrid>
      <w:tr>
        <w:tblPrEx>
          <w:tblCellMar>
            <w:top w:w="0" w:type="dxa"/>
            <w:left w:w="108" w:type="dxa"/>
            <w:bottom w:w="0" w:type="dxa"/>
            <w:right w:w="108" w:type="dxa"/>
          </w:tblCellMar>
        </w:tblPrEx>
        <w:trPr>
          <w:trHeight w:val="375" w:hRule="atLeast"/>
          <w:jc w:val="center"/>
        </w:trPr>
        <w:tc>
          <w:tcPr>
            <w:tcW w:w="1046" w:type="dxa"/>
            <w:tcBorders>
              <w:top w:val="single" w:color="000000" w:sz="8" w:space="0"/>
              <w:left w:val="single" w:color="000000" w:sz="8" w:space="0"/>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序号</w:t>
            </w:r>
          </w:p>
        </w:tc>
        <w:tc>
          <w:tcPr>
            <w:tcW w:w="4623"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汇总内容</w:t>
            </w:r>
          </w:p>
        </w:tc>
        <w:tc>
          <w:tcPr>
            <w:tcW w:w="2442" w:type="dxa"/>
            <w:tcBorders>
              <w:top w:val="single" w:color="000000" w:sz="8" w:space="0"/>
              <w:left w:val="nil"/>
              <w:bottom w:val="single" w:color="000000" w:sz="4"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金额:(元)</w:t>
            </w:r>
          </w:p>
        </w:tc>
        <w:tc>
          <w:tcPr>
            <w:tcW w:w="1904" w:type="dxa"/>
            <w:tcBorders>
              <w:top w:val="single" w:color="000000" w:sz="8" w:space="0"/>
              <w:left w:val="nil"/>
              <w:bottom w:val="single" w:color="000000" w:sz="4" w:space="0"/>
              <w:right w:val="single" w:color="000000" w:sz="8"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其中：暂估价(元)</w:t>
            </w: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分部分项合计</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1.1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给水系统</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1.2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管道拆除系统</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1.3</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r>
              <w:rPr>
                <w:rFonts w:hint="eastAsia" w:ascii="宋体" w:hAnsi="宋体" w:eastAsia="宋体" w:cs="宋体"/>
                <w:i w:val="0"/>
                <w:iCs w:val="0"/>
                <w:color w:val="auto"/>
                <w:kern w:val="0"/>
                <w:sz w:val="20"/>
                <w:szCs w:val="20"/>
                <w:u w:val="none"/>
                <w:lang w:val="en-US" w:eastAsia="zh-CN" w:bidi="ar"/>
              </w:rPr>
              <w:t>新增管道</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措施合计</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2.1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绿色施工安全防护措施费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宋体" w:hAnsi="宋体" w:eastAsiaTheme="minorEastAsia"/>
                <w:color w:val="000000"/>
                <w:sz w:val="20"/>
                <w:szCs w:val="20"/>
                <w:lang w:val="en-US" w:eastAsia="zh-CN"/>
              </w:rPr>
            </w:pPr>
            <w:r>
              <w:rPr>
                <w:rFonts w:hint="eastAsia" w:ascii="宋体" w:hAnsi="宋体"/>
                <w:color w:val="000000"/>
                <w:sz w:val="20"/>
                <w:szCs w:val="20"/>
                <w:lang w:val="en-US" w:eastAsia="zh-CN"/>
              </w:rPr>
              <w:t>5294.48</w:t>
            </w: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2.2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其他措施费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kern w:val="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其他项目</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r>
              <w:rPr>
                <w:rFonts w:hint="eastAsia" w:ascii="宋体" w:hAnsi="宋体"/>
                <w:color w:val="000000"/>
                <w:kern w:val="0"/>
                <w:sz w:val="20"/>
                <w:szCs w:val="20"/>
              </w:rPr>
              <w:t>－</w:t>
            </w: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3.1</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暂列金额</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3.2</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暂估价</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3.3</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计日工</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3.4</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总承包服务费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3.5</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预算包干费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3.6</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工程优质费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3.7</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概算幅度差</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3.8</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索赔费用</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3.9</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现场签证费用</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3.10</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其他费用</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4</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税前工程造价</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5</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增值税销项税额</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r>
              <w:rPr>
                <w:rFonts w:hint="eastAsia" w:ascii="宋体" w:hAnsi="宋体"/>
                <w:color w:val="000000"/>
                <w:kern w:val="0"/>
                <w:sz w:val="20"/>
                <w:szCs w:val="20"/>
              </w:rPr>
              <w:t>－</w:t>
            </w: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6</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总造价</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7</w:t>
            </w: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sz w:val="20"/>
                <w:szCs w:val="20"/>
              </w:rPr>
            </w:pPr>
            <w:r>
              <w:rPr>
                <w:rFonts w:hint="eastAsia" w:ascii="宋体" w:hAnsi="宋体" w:eastAsia="宋体" w:cs="宋体"/>
                <w:i w:val="0"/>
                <w:iCs w:val="0"/>
                <w:color w:val="auto"/>
                <w:kern w:val="0"/>
                <w:sz w:val="20"/>
                <w:szCs w:val="20"/>
                <w:u w:val="none"/>
                <w:lang w:val="en-US" w:eastAsia="zh-CN" w:bidi="ar"/>
              </w:rPr>
              <w:t>人工费</w:t>
            </w: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1046"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ascii="宋体" w:hAnsi="宋体"/>
                <w:color w:val="000000"/>
                <w:kern w:val="0"/>
                <w:sz w:val="20"/>
                <w:szCs w:val="20"/>
              </w:rPr>
            </w:pPr>
          </w:p>
        </w:tc>
        <w:tc>
          <w:tcPr>
            <w:tcW w:w="4623"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ascii="宋体" w:hAnsi="宋体"/>
                <w:color w:val="000000"/>
                <w:kern w:val="0"/>
                <w:sz w:val="20"/>
                <w:szCs w:val="20"/>
              </w:rPr>
            </w:pPr>
          </w:p>
        </w:tc>
        <w:tc>
          <w:tcPr>
            <w:tcW w:w="2442" w:type="dxa"/>
            <w:tcBorders>
              <w:top w:val="single" w:color="000000" w:sz="4" w:space="0"/>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宋体" w:hAnsi="宋体"/>
                <w:color w:val="000000"/>
                <w:kern w:val="0"/>
                <w:sz w:val="20"/>
                <w:szCs w:val="20"/>
              </w:rPr>
            </w:pPr>
          </w:p>
        </w:tc>
        <w:tc>
          <w:tcPr>
            <w:tcW w:w="1904" w:type="dxa"/>
            <w:tcBorders>
              <w:top w:val="single" w:color="000000" w:sz="4" w:space="0"/>
              <w:left w:val="nil"/>
              <w:bottom w:val="single" w:color="000000" w:sz="4" w:space="0"/>
              <w:right w:val="single" w:color="000000" w:sz="8" w:space="0"/>
            </w:tcBorders>
            <w:shd w:val="clear" w:color="auto" w:fill="FFFFFF"/>
            <w:vAlign w:val="center"/>
          </w:tcPr>
          <w:p>
            <w:pPr>
              <w:jc w:val="right"/>
              <w:rPr>
                <w:rFonts w:ascii="宋体" w:hAnsi="宋体"/>
                <w:color w:val="000000"/>
                <w:sz w:val="20"/>
                <w:szCs w:val="20"/>
              </w:rPr>
            </w:pPr>
          </w:p>
        </w:tc>
      </w:tr>
      <w:tr>
        <w:tblPrEx>
          <w:tblCellMar>
            <w:top w:w="0" w:type="dxa"/>
            <w:left w:w="108" w:type="dxa"/>
            <w:bottom w:w="0" w:type="dxa"/>
            <w:right w:w="108" w:type="dxa"/>
          </w:tblCellMar>
        </w:tblPrEx>
        <w:trPr>
          <w:trHeight w:val="360" w:hRule="atLeast"/>
          <w:jc w:val="center"/>
        </w:trPr>
        <w:tc>
          <w:tcPr>
            <w:tcW w:w="5668" w:type="dxa"/>
            <w:gridSpan w:val="2"/>
            <w:tcBorders>
              <w:top w:val="single" w:color="000000" w:sz="4" w:space="0"/>
              <w:left w:val="single" w:color="000000" w:sz="8" w:space="0"/>
              <w:bottom w:val="single" w:color="000000" w:sz="8" w:space="0"/>
              <w:right w:val="single" w:color="000000" w:sz="4" w:space="0"/>
            </w:tcBorders>
            <w:shd w:val="clear" w:color="auto" w:fill="FFFFFF"/>
            <w:vAlign w:val="center"/>
          </w:tcPr>
          <w:p>
            <w:pPr>
              <w:widowControl/>
              <w:jc w:val="center"/>
              <w:textAlignment w:val="center"/>
              <w:rPr>
                <w:rFonts w:ascii="宋体" w:hAnsi="宋体"/>
                <w:color w:val="000000"/>
                <w:sz w:val="20"/>
                <w:szCs w:val="20"/>
              </w:rPr>
            </w:pPr>
            <w:r>
              <w:rPr>
                <w:rFonts w:hint="eastAsia" w:ascii="宋体" w:hAnsi="宋体"/>
                <w:color w:val="000000"/>
                <w:kern w:val="0"/>
                <w:sz w:val="20"/>
                <w:szCs w:val="20"/>
              </w:rPr>
              <w:t>合计=1+2+3+5</w:t>
            </w:r>
          </w:p>
        </w:tc>
        <w:tc>
          <w:tcPr>
            <w:tcW w:w="2442" w:type="dxa"/>
            <w:tcBorders>
              <w:top w:val="single" w:color="000000" w:sz="4" w:space="0"/>
              <w:left w:val="nil"/>
              <w:bottom w:val="single" w:color="000000" w:sz="8" w:space="0"/>
              <w:right w:val="single" w:color="000000" w:sz="4" w:space="0"/>
            </w:tcBorders>
            <w:shd w:val="clear" w:color="auto" w:fill="FFFFFF"/>
            <w:vAlign w:val="center"/>
          </w:tcPr>
          <w:p>
            <w:pPr>
              <w:widowControl/>
              <w:jc w:val="right"/>
              <w:textAlignment w:val="center"/>
              <w:rPr>
                <w:rFonts w:ascii="宋体" w:hAnsi="宋体"/>
                <w:color w:val="000000"/>
                <w:sz w:val="20"/>
                <w:szCs w:val="20"/>
              </w:rPr>
            </w:pPr>
          </w:p>
        </w:tc>
        <w:tc>
          <w:tcPr>
            <w:tcW w:w="1904" w:type="dxa"/>
            <w:tcBorders>
              <w:top w:val="single" w:color="000000" w:sz="4" w:space="0"/>
              <w:left w:val="nil"/>
              <w:bottom w:val="single" w:color="000000" w:sz="8" w:space="0"/>
              <w:right w:val="single" w:color="000000" w:sz="8" w:space="0"/>
            </w:tcBorders>
            <w:shd w:val="clear" w:color="auto" w:fill="FFFFFF"/>
            <w:vAlign w:val="center"/>
          </w:tcPr>
          <w:p>
            <w:pPr>
              <w:widowControl/>
              <w:jc w:val="right"/>
              <w:textAlignment w:val="center"/>
              <w:rPr>
                <w:rFonts w:ascii="宋体" w:hAnsi="宋体"/>
                <w:color w:val="000000"/>
                <w:sz w:val="20"/>
                <w:szCs w:val="20"/>
              </w:rPr>
            </w:pPr>
          </w:p>
        </w:tc>
      </w:tr>
    </w:tbl>
    <w:p>
      <w:pPr>
        <w:pStyle w:val="53"/>
        <w:ind w:firstLine="1131"/>
        <w:rPr>
          <w:rFonts w:hint="eastAsia"/>
          <w:b/>
          <w:bCs/>
        </w:rPr>
      </w:pPr>
      <w:r>
        <w:rPr>
          <w:rFonts w:hint="eastAsia"/>
          <w:b/>
          <w:bCs/>
        </w:rPr>
        <w:t>分部分项工程和单价措施项目清单与计价表</w:t>
      </w:r>
    </w:p>
    <w:tbl>
      <w:tblPr>
        <w:tblStyle w:val="22"/>
        <w:tblW w:w="10020" w:type="dxa"/>
        <w:tblInd w:w="-48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40"/>
        <w:gridCol w:w="1455"/>
        <w:gridCol w:w="1560"/>
        <w:gridCol w:w="3285"/>
        <w:gridCol w:w="705"/>
        <w:gridCol w:w="892"/>
        <w:gridCol w:w="660"/>
        <w:gridCol w:w="6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840" w:type="dxa"/>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序号</w:t>
            </w:r>
          </w:p>
        </w:tc>
        <w:tc>
          <w:tcPr>
            <w:tcW w:w="145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项目编码</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项目名称</w:t>
            </w:r>
          </w:p>
        </w:tc>
        <w:tc>
          <w:tcPr>
            <w:tcW w:w="328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项目特征描述</w:t>
            </w:r>
          </w:p>
        </w:tc>
        <w:tc>
          <w:tcPr>
            <w:tcW w:w="705"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计量单位</w:t>
            </w:r>
          </w:p>
        </w:tc>
        <w:tc>
          <w:tcPr>
            <w:tcW w:w="892" w:type="dxa"/>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工程量</w:t>
            </w:r>
          </w:p>
        </w:tc>
        <w:tc>
          <w:tcPr>
            <w:tcW w:w="1283" w:type="dxa"/>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4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6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综合单价</w:t>
            </w:r>
          </w:p>
        </w:tc>
        <w:tc>
          <w:tcPr>
            <w:tcW w:w="623" w:type="dxa"/>
            <w:vMerge w:val="restar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综合合价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840" w:type="dxa"/>
            <w:vMerge w:val="continue"/>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5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5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623" w:type="dxa"/>
            <w:vMerge w:val="continue"/>
            <w:tcBorders>
              <w:top w:val="single" w:color="000000" w:sz="4"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整个项目</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050101006001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清除草皮</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1.绿化地铲除杂草</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8"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粤050101014001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砍挖绿篱露地花卉</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1.铲除原有勒杜鹃花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2.砍挖绿篱露地花卉(高度cm) 150以内</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6"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050101009001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种植土回(换)填</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1.换耕植土 机械</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m3</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050102012001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铺种草皮</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1.养护期:4周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2.草皮种类:庭院专用草皮</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m2</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050102006001</w:t>
            </w: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栽植攀缘植物</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1.单位长度株数:8株/m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2.长度：1300m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3.养护期:4周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4.地径:高400mm，冠副200mm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5.植物种类:红花勒杜鹃</w:t>
            </w: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1300</w:t>
            </w: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7"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分部分项合计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措施项目</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840" w:type="dxa"/>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auto"/>
                <w:sz w:val="20"/>
                <w:szCs w:val="20"/>
                <w:u w:val="none"/>
              </w:rPr>
            </w:pPr>
          </w:p>
        </w:tc>
        <w:tc>
          <w:tcPr>
            <w:tcW w:w="145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15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000000"/>
                <w:kern w:val="0"/>
                <w:sz w:val="20"/>
                <w:szCs w:val="20"/>
                <w:u w:val="none"/>
                <w:lang w:val="en-US" w:eastAsia="zh-CN" w:bidi="ar"/>
              </w:rPr>
              <w:t>单价措施合计</w:t>
            </w:r>
          </w:p>
        </w:tc>
        <w:tc>
          <w:tcPr>
            <w:tcW w:w="328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auto"/>
                <w:sz w:val="20"/>
                <w:szCs w:val="20"/>
                <w:u w:val="none"/>
              </w:rPr>
            </w:pPr>
          </w:p>
        </w:tc>
        <w:tc>
          <w:tcPr>
            <w:tcW w:w="892"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auto"/>
                <w:sz w:val="20"/>
                <w:szCs w:val="20"/>
                <w:u w:val="none"/>
              </w:rPr>
            </w:pPr>
          </w:p>
        </w:tc>
        <w:tc>
          <w:tcPr>
            <w:tcW w:w="660" w:type="dxa"/>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c>
          <w:tcPr>
            <w:tcW w:w="623" w:type="dxa"/>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7140" w:type="dxa"/>
            <w:gridSpan w:val="4"/>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合计</w:t>
            </w:r>
          </w:p>
        </w:tc>
        <w:tc>
          <w:tcPr>
            <w:tcW w:w="705"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0"/>
                <w:szCs w:val="20"/>
                <w:u w:val="none"/>
                <w:lang w:val="en-US" w:eastAsia="zh-CN" w:bidi="ar"/>
              </w:rPr>
            </w:pPr>
          </w:p>
        </w:tc>
        <w:tc>
          <w:tcPr>
            <w:tcW w:w="892"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p>
        </w:tc>
        <w:tc>
          <w:tcPr>
            <w:tcW w:w="660" w:type="dxa"/>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p>
        </w:tc>
        <w:tc>
          <w:tcPr>
            <w:tcW w:w="623" w:type="dxa"/>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auto"/>
                <w:kern w:val="0"/>
                <w:sz w:val="20"/>
                <w:szCs w:val="20"/>
                <w:u w:val="none"/>
                <w:lang w:val="en-US" w:eastAsia="zh-CN" w:bidi="ar"/>
              </w:rPr>
            </w:pPr>
          </w:p>
        </w:tc>
      </w:tr>
    </w:tbl>
    <w:tbl>
      <w:tblPr>
        <w:tblStyle w:val="23"/>
        <w:tblpPr w:leftFromText="180" w:rightFromText="180" w:vertAnchor="text" w:tblpX="10426" w:tblpY="-4191"/>
        <w:tblOverlap w:val="never"/>
        <w:tblW w:w="1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1947" w:type="dxa"/>
          </w:tcPr>
          <w:p>
            <w:pPr>
              <w:pStyle w:val="53"/>
              <w:jc w:val="center"/>
              <w:rPr>
                <w:rFonts w:hint="eastAsia"/>
                <w:b/>
                <w:bCs/>
                <w:vertAlign w:val="baseline"/>
              </w:rPr>
            </w:pPr>
          </w:p>
        </w:tc>
      </w:tr>
    </w:tbl>
    <w:p>
      <w:pPr>
        <w:pStyle w:val="53"/>
        <w:ind w:left="0" w:leftChars="0" w:firstLine="0" w:firstLineChars="0"/>
        <w:jc w:val="center"/>
        <w:rPr>
          <w:b/>
          <w:bCs/>
        </w:rPr>
      </w:pPr>
      <w:r>
        <w:rPr>
          <w:rFonts w:hint="eastAsia"/>
          <w:b/>
          <w:bCs/>
        </w:rPr>
        <w:t>总价措施项目清单与计价表</w:t>
      </w:r>
    </w:p>
    <w:tbl>
      <w:tblPr>
        <w:tblStyle w:val="22"/>
        <w:tblW w:w="10065" w:type="dxa"/>
        <w:tblInd w:w="-4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135"/>
        <w:gridCol w:w="1642"/>
        <w:gridCol w:w="3199"/>
        <w:gridCol w:w="2182"/>
        <w:gridCol w:w="914"/>
        <w:gridCol w:w="99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项目编码</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计算基础</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Theme="minorEastAsia"/>
                <w:kern w:val="0"/>
                <w:sz w:val="20"/>
                <w:szCs w:val="20"/>
                <w:lang w:eastAsia="zh-CN"/>
              </w:rPr>
            </w:pPr>
            <w:r>
              <w:rPr>
                <w:rFonts w:hint="eastAsia" w:ascii="宋体" w:hAnsi="宋体"/>
                <w:kern w:val="0"/>
                <w:sz w:val="20"/>
                <w:szCs w:val="20"/>
              </w:rPr>
              <w:t>费率</w:t>
            </w:r>
          </w:p>
          <w:p>
            <w:pPr>
              <w:widowControl/>
              <w:jc w:val="center"/>
              <w:rPr>
                <w:rFonts w:ascii="宋体" w:hAnsi="宋体"/>
                <w:kern w:val="0"/>
                <w:sz w:val="20"/>
                <w:szCs w:val="20"/>
              </w:rPr>
            </w:pPr>
            <w:r>
              <w:rPr>
                <w:rFonts w:hint="eastAsia" w:ascii="宋体" w:hAnsi="宋体"/>
                <w:kern w:val="0"/>
                <w:sz w:val="20"/>
                <w:szCs w:val="20"/>
              </w:rPr>
              <w:t>(%)</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Theme="minorEastAsia"/>
                <w:kern w:val="0"/>
                <w:sz w:val="20"/>
                <w:szCs w:val="20"/>
                <w:lang w:eastAsia="zh-CN"/>
              </w:rPr>
            </w:pPr>
            <w:r>
              <w:rPr>
                <w:rFonts w:hint="eastAsia" w:ascii="宋体" w:hAnsi="宋体"/>
                <w:kern w:val="0"/>
                <w:sz w:val="20"/>
                <w:szCs w:val="20"/>
              </w:rPr>
              <w:t>金额</w:t>
            </w:r>
          </w:p>
          <w:p>
            <w:pPr>
              <w:widowControl/>
              <w:jc w:val="center"/>
              <w:rPr>
                <w:rFonts w:ascii="宋体" w:hAnsi="宋体"/>
                <w:kern w:val="0"/>
                <w:sz w:val="20"/>
                <w:szCs w:val="20"/>
              </w:rPr>
            </w:pPr>
            <w:r>
              <w:rPr>
                <w:rFonts w:hint="eastAsia" w:ascii="宋体" w:hAnsi="宋体"/>
                <w:kern w:val="0"/>
                <w:sz w:val="20"/>
                <w:szCs w:val="20"/>
              </w:rPr>
              <w:t>(元)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LSSGCSF00001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绿色施工安全防护措施费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分部分项人工费+分部分项机具费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hint="default" w:ascii="宋体" w:hAnsi="宋体" w:eastAsiaTheme="minorEastAsia"/>
                <w:kern w:val="0"/>
                <w:sz w:val="20"/>
                <w:szCs w:val="20"/>
                <w:lang w:val="en-US" w:eastAsia="zh-CN"/>
              </w:rPr>
            </w:pPr>
            <w:r>
              <w:rPr>
                <w:rFonts w:hint="eastAsia" w:ascii="宋体" w:hAnsi="宋体"/>
                <w:kern w:val="0"/>
                <w:sz w:val="20"/>
                <w:szCs w:val="20"/>
                <w:lang w:val="en-US" w:eastAsia="zh-CN"/>
              </w:rPr>
              <w:t>5294.48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031301010001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安装与生产同时进行增加费用</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3</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031301011001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在有害身体健康环境中施工增加费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分部分项人工费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7"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4</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TSSGBWZJF001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在地下（暗）室、设备及大口径管道内等特殊施工部位进行施工增加费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分部分项人工费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5</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粤031302008001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赶工措施费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分部分项人工费+分部分项机具费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6</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031302002001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夜间施工增加费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7</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JTGRSGZJF001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交通干扰工程施工增加费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8</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粤031302009001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文明工地增加费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分部分项人工费+分部分项机具费</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9</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DXGXJCJXF001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地下管线交叉降效费</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10</w:t>
            </w: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QTFY00000001</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其他费用</w:t>
            </w: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p>
        </w:tc>
        <w:tc>
          <w:tcPr>
            <w:tcW w:w="16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合计</w:t>
            </w:r>
          </w:p>
        </w:tc>
        <w:tc>
          <w:tcPr>
            <w:tcW w:w="319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p>
        </w:tc>
        <w:tc>
          <w:tcPr>
            <w:tcW w:w="218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p>
        </w:tc>
        <w:tc>
          <w:tcPr>
            <w:tcW w:w="914"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9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bl>
    <w:p>
      <w:pPr>
        <w:pStyle w:val="55"/>
        <w:spacing w:line="520" w:lineRule="exact"/>
        <w:jc w:val="both"/>
        <w:rPr>
          <w:sz w:val="28"/>
          <w:szCs w:val="28"/>
        </w:rPr>
      </w:pPr>
      <w:r>
        <w:rPr>
          <w:rFonts w:hint="eastAsia"/>
          <w:sz w:val="28"/>
          <w:szCs w:val="28"/>
        </w:rPr>
        <w:t xml:space="preserve"> </w:t>
      </w:r>
    </w:p>
    <w:p>
      <w:pPr>
        <w:pStyle w:val="55"/>
        <w:spacing w:line="520" w:lineRule="exact"/>
        <w:jc w:val="center"/>
        <w:rPr>
          <w:rFonts w:hint="eastAsia"/>
          <w:b/>
          <w:bCs/>
          <w:sz w:val="28"/>
          <w:szCs w:val="28"/>
        </w:rPr>
      </w:pPr>
    </w:p>
    <w:p>
      <w:pPr>
        <w:pStyle w:val="55"/>
        <w:spacing w:line="520" w:lineRule="exact"/>
        <w:jc w:val="center"/>
        <w:rPr>
          <w:b/>
          <w:bCs/>
          <w:sz w:val="28"/>
          <w:szCs w:val="28"/>
        </w:rPr>
      </w:pPr>
      <w:r>
        <w:rPr>
          <w:rFonts w:hint="eastAsia"/>
          <w:b/>
          <w:bCs/>
          <w:sz w:val="28"/>
          <w:szCs w:val="28"/>
        </w:rPr>
        <w:t>其他项目清单与计价汇总表</w:t>
      </w:r>
    </w:p>
    <w:tbl>
      <w:tblPr>
        <w:tblStyle w:val="22"/>
        <w:tblW w:w="10065" w:type="dxa"/>
        <w:tblInd w:w="-4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135"/>
        <w:gridCol w:w="4842"/>
        <w:gridCol w:w="2183"/>
        <w:gridCol w:w="190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2"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金额（元）</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结算金额（元）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暂列金额</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hint="default" w:ascii="宋体" w:hAnsi="宋体"/>
                <w:kern w:val="0"/>
                <w:sz w:val="20"/>
                <w:szCs w:val="20"/>
                <w:lang w:val="en-US"/>
              </w:rPr>
            </w:pP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暂估价</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2.1</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材料暂估价</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2.2</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专业工程暂估价</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3</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计日工</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4</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总承包服务费</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5</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预算包干费</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6</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工程优质费</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7</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概算幅度差</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8</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现场签证费用</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9</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索赔费用</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10</w:t>
            </w: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lef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其他费用</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right"/>
              <w:textAlignment w:val="center"/>
              <w:rPr>
                <w:rFonts w:ascii="宋体" w:hAnsi="宋体"/>
                <w:kern w:val="0"/>
                <w:sz w:val="20"/>
                <w:szCs w:val="20"/>
              </w:rPr>
            </w:pPr>
            <w:r>
              <w:rPr>
                <w:rFonts w:hint="eastAsia" w:ascii="宋体" w:hAnsi="宋体" w:eastAsia="宋体" w:cs="宋体"/>
                <w:i w:val="0"/>
                <w:iCs w:val="0"/>
                <w:color w:val="auto"/>
                <w:kern w:val="0"/>
                <w:sz w:val="20"/>
                <w:szCs w:val="20"/>
                <w:u w:val="none"/>
                <w:lang w:val="en-US" w:eastAsia="zh-CN" w:bidi="ar"/>
              </w:rPr>
              <w:t>　</w:t>
            </w: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r>
              <w:rPr>
                <w:rFonts w:hint="eastAsia" w:ascii="宋体" w:hAnsi="宋体"/>
                <w:kern w:val="0"/>
                <w:sz w:val="20"/>
                <w:szCs w:val="20"/>
              </w:rPr>
              <w:t>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0" w:hRule="atLeast"/>
        </w:trPr>
        <w:tc>
          <w:tcPr>
            <w:tcW w:w="113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p>
        </w:tc>
        <w:tc>
          <w:tcPr>
            <w:tcW w:w="4842"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合计</w:t>
            </w:r>
          </w:p>
        </w:tc>
        <w:tc>
          <w:tcPr>
            <w:tcW w:w="21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905"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bl>
    <w:p>
      <w:r>
        <w:t xml:space="preserve"> </w:t>
      </w:r>
    </w:p>
    <w:p>
      <w:pPr>
        <w:pStyle w:val="21"/>
      </w:pPr>
    </w:p>
    <w:p>
      <w:pPr>
        <w:pStyle w:val="21"/>
      </w:pPr>
    </w:p>
    <w:p>
      <w:pPr>
        <w:pStyle w:val="21"/>
        <w:jc w:val="center"/>
        <w:rPr>
          <w:rFonts w:ascii="仿宋_GB2312" w:eastAsia="仿宋_GB2312"/>
          <w:b/>
          <w:bCs/>
        </w:rPr>
      </w:pPr>
      <w:r>
        <w:rPr>
          <w:rFonts w:hint="eastAsia" w:ascii="仿宋_GB2312" w:eastAsia="仿宋_GB2312"/>
          <w:b/>
          <w:bCs/>
        </w:rPr>
        <w:t>规费、税金项目清单与计价表</w:t>
      </w:r>
    </w:p>
    <w:tbl>
      <w:tblPr>
        <w:tblStyle w:val="22"/>
        <w:tblW w:w="10065" w:type="dxa"/>
        <w:tblInd w:w="-45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097"/>
        <w:gridCol w:w="1783"/>
        <w:gridCol w:w="2826"/>
        <w:gridCol w:w="1139"/>
        <w:gridCol w:w="1301"/>
        <w:gridCol w:w="191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序号</w:t>
            </w:r>
          </w:p>
        </w:tc>
        <w:tc>
          <w:tcPr>
            <w:tcW w:w="17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项目名称</w:t>
            </w:r>
          </w:p>
        </w:tc>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计算基础</w:t>
            </w:r>
          </w:p>
        </w:tc>
        <w:tc>
          <w:tcPr>
            <w:tcW w:w="11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计算基数</w:t>
            </w:r>
          </w:p>
        </w:tc>
        <w:tc>
          <w:tcPr>
            <w:tcW w:w="13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hint="eastAsia" w:ascii="宋体" w:hAnsi="宋体" w:eastAsiaTheme="minorEastAsia"/>
                <w:kern w:val="0"/>
                <w:sz w:val="20"/>
                <w:szCs w:val="20"/>
                <w:lang w:eastAsia="zh-CN"/>
              </w:rPr>
            </w:pPr>
            <w:r>
              <w:rPr>
                <w:rFonts w:hint="eastAsia" w:ascii="宋体" w:hAnsi="宋体"/>
                <w:kern w:val="0"/>
                <w:sz w:val="20"/>
                <w:szCs w:val="20"/>
              </w:rPr>
              <w:t>计算费率</w:t>
            </w:r>
          </w:p>
          <w:p>
            <w:pPr>
              <w:widowControl/>
              <w:jc w:val="center"/>
              <w:rPr>
                <w:rFonts w:ascii="宋体" w:hAnsi="宋体"/>
                <w:kern w:val="0"/>
                <w:sz w:val="20"/>
                <w:szCs w:val="20"/>
              </w:rPr>
            </w:pPr>
            <w:r>
              <w:rPr>
                <w:rFonts w:hint="eastAsia" w:ascii="宋体" w:hAnsi="宋体"/>
                <w:kern w:val="0"/>
                <w:sz w:val="20"/>
                <w:szCs w:val="20"/>
              </w:rPr>
              <w:t>(%)</w:t>
            </w:r>
          </w:p>
        </w:tc>
        <w:tc>
          <w:tcPr>
            <w:tcW w:w="19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金额(元)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r>
              <w:rPr>
                <w:rFonts w:hint="eastAsia" w:ascii="宋体" w:hAnsi="宋体"/>
                <w:kern w:val="0"/>
                <w:sz w:val="20"/>
                <w:szCs w:val="20"/>
              </w:rPr>
              <w:t>1</w:t>
            </w:r>
          </w:p>
        </w:tc>
        <w:tc>
          <w:tcPr>
            <w:tcW w:w="17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增值税销项税额</w:t>
            </w:r>
          </w:p>
        </w:tc>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分部分项合计+措施合计+其他项目</w:t>
            </w:r>
          </w:p>
        </w:tc>
        <w:tc>
          <w:tcPr>
            <w:tcW w:w="11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3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hint="eastAsia" w:ascii="宋体" w:hAnsi="宋体" w:eastAsiaTheme="minorEastAsia"/>
                <w:kern w:val="0"/>
                <w:sz w:val="20"/>
                <w:szCs w:val="20"/>
                <w:lang w:val="en-US" w:eastAsia="zh-CN"/>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8" w:hRule="atLeast"/>
        </w:trPr>
        <w:tc>
          <w:tcPr>
            <w:tcW w:w="1097"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center"/>
              <w:rPr>
                <w:rFonts w:ascii="宋体" w:hAnsi="宋体"/>
                <w:kern w:val="0"/>
                <w:sz w:val="20"/>
                <w:szCs w:val="20"/>
              </w:rPr>
            </w:pPr>
          </w:p>
        </w:tc>
        <w:tc>
          <w:tcPr>
            <w:tcW w:w="178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r>
              <w:rPr>
                <w:rFonts w:hint="eastAsia" w:ascii="宋体" w:hAnsi="宋体"/>
                <w:kern w:val="0"/>
                <w:sz w:val="20"/>
                <w:szCs w:val="20"/>
              </w:rPr>
              <w:t>合计</w:t>
            </w:r>
          </w:p>
        </w:tc>
        <w:tc>
          <w:tcPr>
            <w:tcW w:w="2826"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left"/>
              <w:rPr>
                <w:rFonts w:ascii="宋体" w:hAnsi="宋体"/>
                <w:kern w:val="0"/>
                <w:sz w:val="20"/>
                <w:szCs w:val="20"/>
              </w:rPr>
            </w:pPr>
          </w:p>
        </w:tc>
        <w:tc>
          <w:tcPr>
            <w:tcW w:w="113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301"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c>
          <w:tcPr>
            <w:tcW w:w="1919"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jc w:val="right"/>
              <w:rPr>
                <w:rFonts w:ascii="宋体" w:hAnsi="宋体"/>
                <w:kern w:val="0"/>
                <w:sz w:val="20"/>
                <w:szCs w:val="20"/>
              </w:rPr>
            </w:pPr>
          </w:p>
        </w:tc>
      </w:tr>
    </w:tbl>
    <w:p>
      <w:pPr>
        <w:jc w:val="right"/>
        <w:rPr>
          <w:color w:val="auto"/>
          <w:szCs w:val="21"/>
          <w:highlight w:val="none"/>
          <w:u w:val="single"/>
        </w:rPr>
      </w:pP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u w:val="single"/>
        </w:rPr>
        <w:t>供应商名称（加盖公章） ：</w:t>
      </w:r>
      <w:r>
        <w:rPr>
          <w:rFonts w:hint="eastAsia" w:ascii="宋体" w:hAnsi="宋体"/>
          <w:color w:val="auto"/>
          <w:sz w:val="24"/>
          <w:szCs w:val="24"/>
          <w:highlight w:val="none"/>
          <w:u w:val="single"/>
        </w:rPr>
        <w:br w:type="textWrapping"/>
      </w:r>
      <w:r>
        <w:rPr>
          <w:rFonts w:hint="eastAsia" w:ascii="宋体" w:hAnsi="宋体"/>
          <w:color w:val="auto"/>
          <w:sz w:val="24"/>
          <w:szCs w:val="24"/>
          <w:highlight w:val="none"/>
          <w:u w:val="single"/>
          <w:lang w:val="en-US" w:eastAsia="zh-CN"/>
        </w:rPr>
        <w:t>日期： 年  月  日</w:t>
      </w:r>
    </w:p>
    <w:p>
      <w:pPr>
        <w:pStyle w:val="53"/>
        <w:ind w:left="0" w:leftChars="0" w:firstLine="0" w:firstLineChars="0"/>
        <w:rPr>
          <w:rFonts w:hint="eastAsia" w:eastAsia="仿宋_GB2312"/>
          <w:color w:val="auto"/>
          <w:highlight w:val="none"/>
          <w:lang w:val="en-US" w:eastAsia="zh-CN"/>
        </w:rPr>
      </w:pPr>
      <w:r>
        <w:rPr>
          <w:rFonts w:hint="eastAsia"/>
          <w:color w:val="auto"/>
          <w:highlight w:val="none"/>
          <w:lang w:val="en-US" w:eastAsia="zh-CN"/>
        </w:rPr>
        <w:t xml:space="preserve"> </w:t>
      </w:r>
    </w:p>
    <w:p>
      <w:pPr>
        <w:pStyle w:val="6"/>
        <w:rPr>
          <w:rFonts w:asciiTheme="majorEastAsia" w:hAnsiTheme="majorEastAsia" w:eastAsiaTheme="majorEastAsia"/>
          <w:color w:val="auto"/>
          <w:sz w:val="28"/>
          <w:szCs w:val="28"/>
          <w:highlight w:val="none"/>
        </w:rPr>
      </w:pPr>
      <w:bookmarkStart w:id="132" w:name="_Toc88209965"/>
      <w:bookmarkStart w:id="133" w:name="_Toc6058"/>
      <w:bookmarkStart w:id="134" w:name="_Toc87616402"/>
      <w:bookmarkStart w:id="135" w:name="_Toc16386"/>
      <w:r>
        <w:rPr>
          <w:rFonts w:hint="eastAsia" w:eastAsiaTheme="majorEastAsia"/>
          <w:color w:val="auto"/>
          <w:highlight w:val="none"/>
        </w:rPr>
        <w:t>6</w:t>
      </w:r>
      <w:r>
        <w:rPr>
          <w:rFonts w:hint="eastAsia" w:asciiTheme="majorEastAsia" w:hAnsiTheme="majorEastAsia" w:eastAsiaTheme="majorEastAsia"/>
          <w:color w:val="auto"/>
          <w:sz w:val="28"/>
          <w:szCs w:val="28"/>
          <w:highlight w:val="none"/>
        </w:rPr>
        <w:t>.其他资料</w:t>
      </w:r>
      <w:bookmarkEnd w:id="132"/>
      <w:bookmarkEnd w:id="133"/>
      <w:bookmarkEnd w:id="134"/>
      <w:bookmarkEnd w:id="135"/>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footerReference r:id="rId10" w:type="first"/>
      <w:footerReference r:id="rId9" w:type="default"/>
      <w:pgSz w:w="11906" w:h="16838"/>
      <w:pgMar w:top="2098" w:right="1474" w:bottom="1985" w:left="1588"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JL/mW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6"/>
                            <w:jc w:val="center"/>
                          </w:pPr>
                          <w:r>
                            <w:fldChar w:fldCharType="begin"/>
                          </w:r>
                          <w:r>
                            <w:instrText xml:space="preserve">PAGE   \* MERGEFORMAT</w:instrText>
                          </w:r>
                          <w:r>
                            <w:fldChar w:fldCharType="separate"/>
                          </w:r>
                          <w:r>
                            <w:rPr>
                              <w:lang w:val="zh-CN"/>
                            </w:rPr>
                            <w:t>-</w:t>
                          </w:r>
                          <w:r>
                            <w:t xml:space="preserve">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pPr>
                      <w:pStyle w:val="16"/>
                      <w:jc w:val="center"/>
                    </w:pPr>
                    <w:r>
                      <w:fldChar w:fldCharType="begin"/>
                    </w:r>
                    <w:r>
                      <w:instrText xml:space="preserve">PAGE   \* MERGEFORMAT</w:instrText>
                    </w:r>
                    <w:r>
                      <w:fldChar w:fldCharType="separate"/>
                    </w:r>
                    <w:r>
                      <w:rPr>
                        <w:lang w:val="zh-CN"/>
                      </w:rPr>
                      <w:t>-</w:t>
                    </w:r>
                    <w:r>
                      <w:t xml:space="preserve"> 1 -</w:t>
                    </w:r>
                    <w:r>
                      <w:fldChar w:fldCharType="end"/>
                    </w:r>
                  </w:p>
                </w:txbxContent>
              </v:textbox>
            </v:shape>
          </w:pict>
        </mc:Fallback>
      </mc:AlternateContent>
    </w:r>
  </w:p>
  <w:p>
    <w:pPr>
      <w:pStyle w:val="16"/>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6"/>
      </w:rPr>
    </w:pPr>
    <w:r>
      <w:fldChar w:fldCharType="begin"/>
    </w:r>
    <w:r>
      <w:rPr>
        <w:rStyle w:val="26"/>
      </w:rPr>
      <w:instrText xml:space="preserve">PAGE  </w:instrText>
    </w:r>
    <w:r>
      <w:fldChar w:fldCharType="end"/>
    </w:r>
  </w:p>
  <w:p>
    <w:pPr>
      <w:pStyle w:val="16"/>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I2lMkBAACa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Aotcdzixi/fv11+/Lr8/Epe&#10;Z3/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cjaUyQEAAJoDAAAOAAAAAAAAAAEAIAAAAB4BAABkcnMvZTJvRG9j&#10;LnhtbFBLBQYAAAAABgAGAFkBAABZ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Ypq+MkBAACa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WSEsctTvzy/dvlx6/Lz6/k&#10;d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Vimr4yQEAAJoDAAAOAAAAAAAAAAEAIAAAAB4BAABkcnMvZTJvRG9j&#10;LnhtbFBLBQYAAAAABgAGAFkBAABZBQ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79Y+8oBAACa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VlFhmcOLnnz/Ov/6cf38n&#10;y9Sf3kONaY8eE+PwwQ24NbMf0JlkDzKY9EVBBOPY3dOlu2KIhKdHq2q1KjHEMTZfEL94eu4DxI/C&#10;GZKMhgYcX+4qO95DHFPnlFTNujuldR6htv84EDN5isR95JisOOyGSdDOtSfU0+PkG2px0SnRnyw2&#10;Ni3JbITZ2M3GwQe175DaMvMCf3uISCJzSxVG2Kkwjiyrm9Yr7cTze856+qU2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w79Y+8oBAACaAwAADgAAAAAAAAABACAAAAAeAQAAZHJzL2Uyb0Rv&#10;Yy54bWxQSwUGAAAAAAYABgBZAQAAWgU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1491C3F6"/>
    <w:multiLevelType w:val="singleLevel"/>
    <w:tmpl w:val="1491C3F6"/>
    <w:lvl w:ilvl="0" w:tentative="0">
      <w:start w:val="2"/>
      <w:numFmt w:val="decimal"/>
      <w:suff w:val="nothing"/>
      <w:lvlText w:val="（%1）"/>
      <w:lvlJc w:val="left"/>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5A90D308"/>
    <w:multiLevelType w:val="singleLevel"/>
    <w:tmpl w:val="5A90D308"/>
    <w:lvl w:ilvl="0" w:tentative="0">
      <w:start w:val="1"/>
      <w:numFmt w:val="decimal"/>
      <w:suff w:val="nothing"/>
      <w:lvlText w:val="（%1）"/>
      <w:lvlJc w:val="left"/>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8F8E980"/>
    <w:multiLevelType w:val="singleLevel"/>
    <w:tmpl w:val="78F8E980"/>
    <w:lvl w:ilvl="0" w:tentative="0">
      <w:start w:val="5"/>
      <w:numFmt w:val="decimal"/>
      <w:lvlText w:val="%1."/>
      <w:lvlJc w:val="left"/>
      <w:pPr>
        <w:tabs>
          <w:tab w:val="left" w:pos="312"/>
        </w:tabs>
      </w:p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10288"/>
    <w:rsid w:val="000E3160"/>
    <w:rsid w:val="001A0494"/>
    <w:rsid w:val="001D331B"/>
    <w:rsid w:val="001F20BA"/>
    <w:rsid w:val="00221199"/>
    <w:rsid w:val="002B4A21"/>
    <w:rsid w:val="003301B9"/>
    <w:rsid w:val="003437C2"/>
    <w:rsid w:val="003C0461"/>
    <w:rsid w:val="003D4A5D"/>
    <w:rsid w:val="003D60BA"/>
    <w:rsid w:val="003D6199"/>
    <w:rsid w:val="00411689"/>
    <w:rsid w:val="00473A79"/>
    <w:rsid w:val="00493AC6"/>
    <w:rsid w:val="004A72B5"/>
    <w:rsid w:val="00501F38"/>
    <w:rsid w:val="0056561B"/>
    <w:rsid w:val="00576CC7"/>
    <w:rsid w:val="005B783D"/>
    <w:rsid w:val="005D618A"/>
    <w:rsid w:val="0068510F"/>
    <w:rsid w:val="006F1FC4"/>
    <w:rsid w:val="007A0C44"/>
    <w:rsid w:val="007E53E0"/>
    <w:rsid w:val="00905526"/>
    <w:rsid w:val="00911ECD"/>
    <w:rsid w:val="00941C43"/>
    <w:rsid w:val="00982884"/>
    <w:rsid w:val="009A2878"/>
    <w:rsid w:val="009D102C"/>
    <w:rsid w:val="009F073E"/>
    <w:rsid w:val="00A041D9"/>
    <w:rsid w:val="00A042E0"/>
    <w:rsid w:val="00B26BB1"/>
    <w:rsid w:val="00B26E21"/>
    <w:rsid w:val="00B9452F"/>
    <w:rsid w:val="00BF4549"/>
    <w:rsid w:val="00D030EF"/>
    <w:rsid w:val="00D43094"/>
    <w:rsid w:val="00D70DE4"/>
    <w:rsid w:val="00DE447E"/>
    <w:rsid w:val="00E75BA3"/>
    <w:rsid w:val="00E854BD"/>
    <w:rsid w:val="00F414DF"/>
    <w:rsid w:val="00F83B64"/>
    <w:rsid w:val="00FA6113"/>
    <w:rsid w:val="013E3461"/>
    <w:rsid w:val="02090C75"/>
    <w:rsid w:val="02A23A3C"/>
    <w:rsid w:val="035D130A"/>
    <w:rsid w:val="039110A9"/>
    <w:rsid w:val="03AC246A"/>
    <w:rsid w:val="03B23056"/>
    <w:rsid w:val="03DC3EBA"/>
    <w:rsid w:val="03F9794D"/>
    <w:rsid w:val="046A2461"/>
    <w:rsid w:val="04B10D68"/>
    <w:rsid w:val="051C2970"/>
    <w:rsid w:val="05AA7B65"/>
    <w:rsid w:val="060C3611"/>
    <w:rsid w:val="06C64829"/>
    <w:rsid w:val="070E7B6E"/>
    <w:rsid w:val="077D16D2"/>
    <w:rsid w:val="082A69F3"/>
    <w:rsid w:val="08675FC8"/>
    <w:rsid w:val="09B713FD"/>
    <w:rsid w:val="09D72DAE"/>
    <w:rsid w:val="09EF6ACC"/>
    <w:rsid w:val="0A315056"/>
    <w:rsid w:val="0AA213B4"/>
    <w:rsid w:val="0ADF6DD7"/>
    <w:rsid w:val="0AF61C7E"/>
    <w:rsid w:val="0AFB45AD"/>
    <w:rsid w:val="0B351E9B"/>
    <w:rsid w:val="0B4C50D3"/>
    <w:rsid w:val="0B806B92"/>
    <w:rsid w:val="0B827E94"/>
    <w:rsid w:val="0B842F76"/>
    <w:rsid w:val="0BC4632C"/>
    <w:rsid w:val="0BD070E1"/>
    <w:rsid w:val="0BEC5B57"/>
    <w:rsid w:val="0C247926"/>
    <w:rsid w:val="0D794204"/>
    <w:rsid w:val="0E2125D1"/>
    <w:rsid w:val="0E214211"/>
    <w:rsid w:val="0E5F2769"/>
    <w:rsid w:val="0F4D75A3"/>
    <w:rsid w:val="0F5B2DCA"/>
    <w:rsid w:val="0FED051E"/>
    <w:rsid w:val="0FEE4C29"/>
    <w:rsid w:val="10031608"/>
    <w:rsid w:val="10046082"/>
    <w:rsid w:val="10095F47"/>
    <w:rsid w:val="104974DD"/>
    <w:rsid w:val="10FB1985"/>
    <w:rsid w:val="111703D2"/>
    <w:rsid w:val="112B101A"/>
    <w:rsid w:val="119B53FC"/>
    <w:rsid w:val="1215733B"/>
    <w:rsid w:val="12424CDC"/>
    <w:rsid w:val="129A2738"/>
    <w:rsid w:val="12B56BF1"/>
    <w:rsid w:val="12CB1A89"/>
    <w:rsid w:val="131840FB"/>
    <w:rsid w:val="13467417"/>
    <w:rsid w:val="136E76CF"/>
    <w:rsid w:val="1377619D"/>
    <w:rsid w:val="145F08C6"/>
    <w:rsid w:val="14A01853"/>
    <w:rsid w:val="15776308"/>
    <w:rsid w:val="15BC6B3C"/>
    <w:rsid w:val="16360A7B"/>
    <w:rsid w:val="164D40B0"/>
    <w:rsid w:val="1694429A"/>
    <w:rsid w:val="17635326"/>
    <w:rsid w:val="17B803EA"/>
    <w:rsid w:val="1815096B"/>
    <w:rsid w:val="18236EFD"/>
    <w:rsid w:val="189D5B1F"/>
    <w:rsid w:val="18A34CD0"/>
    <w:rsid w:val="19A53EA8"/>
    <w:rsid w:val="19B64DBC"/>
    <w:rsid w:val="19EC6A4A"/>
    <w:rsid w:val="1A373ACF"/>
    <w:rsid w:val="1A895341"/>
    <w:rsid w:val="1B0D071F"/>
    <w:rsid w:val="1B4568CE"/>
    <w:rsid w:val="1B9015B7"/>
    <w:rsid w:val="1B950DA6"/>
    <w:rsid w:val="1BEF177D"/>
    <w:rsid w:val="1BF54245"/>
    <w:rsid w:val="1C0F40E2"/>
    <w:rsid w:val="1D0E6976"/>
    <w:rsid w:val="1D5A79EE"/>
    <w:rsid w:val="1E0E2CD0"/>
    <w:rsid w:val="1E831280"/>
    <w:rsid w:val="1EBC4704"/>
    <w:rsid w:val="1F172EB5"/>
    <w:rsid w:val="1F94592D"/>
    <w:rsid w:val="1FB860DE"/>
    <w:rsid w:val="203C5A02"/>
    <w:rsid w:val="209D4C94"/>
    <w:rsid w:val="20E84705"/>
    <w:rsid w:val="218400BA"/>
    <w:rsid w:val="21AB1E2F"/>
    <w:rsid w:val="21D40498"/>
    <w:rsid w:val="22767047"/>
    <w:rsid w:val="23A05588"/>
    <w:rsid w:val="240476A1"/>
    <w:rsid w:val="24755EE5"/>
    <w:rsid w:val="25431AEB"/>
    <w:rsid w:val="25BE3BFB"/>
    <w:rsid w:val="25BF43FD"/>
    <w:rsid w:val="25F86BCD"/>
    <w:rsid w:val="2605748B"/>
    <w:rsid w:val="264544A6"/>
    <w:rsid w:val="269E416A"/>
    <w:rsid w:val="26C11C6B"/>
    <w:rsid w:val="272100D3"/>
    <w:rsid w:val="272C72FC"/>
    <w:rsid w:val="275131CB"/>
    <w:rsid w:val="27EB149D"/>
    <w:rsid w:val="27FD3E52"/>
    <w:rsid w:val="28A840FA"/>
    <w:rsid w:val="28E11370"/>
    <w:rsid w:val="294A756A"/>
    <w:rsid w:val="29781BF8"/>
    <w:rsid w:val="29C33ED0"/>
    <w:rsid w:val="29D5322D"/>
    <w:rsid w:val="2A025DD9"/>
    <w:rsid w:val="2A2619CB"/>
    <w:rsid w:val="2A7C2231"/>
    <w:rsid w:val="2ABB753D"/>
    <w:rsid w:val="2AEA0AD0"/>
    <w:rsid w:val="2AFE6EC4"/>
    <w:rsid w:val="2B7A49FA"/>
    <w:rsid w:val="2C615D26"/>
    <w:rsid w:val="2CB679ED"/>
    <w:rsid w:val="2CEE12DB"/>
    <w:rsid w:val="2D173C07"/>
    <w:rsid w:val="2D424A86"/>
    <w:rsid w:val="2DDA66B7"/>
    <w:rsid w:val="2E147060"/>
    <w:rsid w:val="2E3C60C4"/>
    <w:rsid w:val="2E7B52DB"/>
    <w:rsid w:val="2ED60115"/>
    <w:rsid w:val="2F324CFE"/>
    <w:rsid w:val="2FBA09F1"/>
    <w:rsid w:val="2FEF2ACF"/>
    <w:rsid w:val="30540211"/>
    <w:rsid w:val="307A0735"/>
    <w:rsid w:val="31112A0D"/>
    <w:rsid w:val="311F4B20"/>
    <w:rsid w:val="312D7741"/>
    <w:rsid w:val="316F137F"/>
    <w:rsid w:val="31DF525F"/>
    <w:rsid w:val="31EC162B"/>
    <w:rsid w:val="32324C2E"/>
    <w:rsid w:val="327171DF"/>
    <w:rsid w:val="341E3434"/>
    <w:rsid w:val="34BB4442"/>
    <w:rsid w:val="360B7EBA"/>
    <w:rsid w:val="36416867"/>
    <w:rsid w:val="369C32FD"/>
    <w:rsid w:val="37666E72"/>
    <w:rsid w:val="38081EA3"/>
    <w:rsid w:val="38167A04"/>
    <w:rsid w:val="381C3783"/>
    <w:rsid w:val="38E769EB"/>
    <w:rsid w:val="394B167A"/>
    <w:rsid w:val="39DA2868"/>
    <w:rsid w:val="3A055F4B"/>
    <w:rsid w:val="3A4E4336"/>
    <w:rsid w:val="3A6007FE"/>
    <w:rsid w:val="3AF93D6C"/>
    <w:rsid w:val="3B7C2CE4"/>
    <w:rsid w:val="3BAF716B"/>
    <w:rsid w:val="3BD73A63"/>
    <w:rsid w:val="3C0B5355"/>
    <w:rsid w:val="3CD4176B"/>
    <w:rsid w:val="3CF65994"/>
    <w:rsid w:val="3D1F44D9"/>
    <w:rsid w:val="3D5C38CD"/>
    <w:rsid w:val="3D737F34"/>
    <w:rsid w:val="3E5070F1"/>
    <w:rsid w:val="3EC370CB"/>
    <w:rsid w:val="3F6C3589"/>
    <w:rsid w:val="3F850180"/>
    <w:rsid w:val="3F9004D6"/>
    <w:rsid w:val="3FB51AE8"/>
    <w:rsid w:val="400E4D5E"/>
    <w:rsid w:val="40E1138C"/>
    <w:rsid w:val="413814BA"/>
    <w:rsid w:val="41872511"/>
    <w:rsid w:val="41DF1251"/>
    <w:rsid w:val="42315F23"/>
    <w:rsid w:val="424236D9"/>
    <w:rsid w:val="42466655"/>
    <w:rsid w:val="4270620D"/>
    <w:rsid w:val="42C82F57"/>
    <w:rsid w:val="435707E5"/>
    <w:rsid w:val="43C76AF7"/>
    <w:rsid w:val="43CF66F4"/>
    <w:rsid w:val="43E97E4A"/>
    <w:rsid w:val="446828F0"/>
    <w:rsid w:val="44E6606E"/>
    <w:rsid w:val="45093E85"/>
    <w:rsid w:val="456D60FC"/>
    <w:rsid w:val="45C13B4D"/>
    <w:rsid w:val="46054BCA"/>
    <w:rsid w:val="464C6AFC"/>
    <w:rsid w:val="468B0091"/>
    <w:rsid w:val="46A107C3"/>
    <w:rsid w:val="46B15CE2"/>
    <w:rsid w:val="46BE113D"/>
    <w:rsid w:val="46E44B13"/>
    <w:rsid w:val="4703508A"/>
    <w:rsid w:val="475023F8"/>
    <w:rsid w:val="479D361E"/>
    <w:rsid w:val="47B74789"/>
    <w:rsid w:val="480F2B9D"/>
    <w:rsid w:val="48282920"/>
    <w:rsid w:val="485321E0"/>
    <w:rsid w:val="48546AD3"/>
    <w:rsid w:val="48CA4868"/>
    <w:rsid w:val="48D43BE3"/>
    <w:rsid w:val="48F005D3"/>
    <w:rsid w:val="49547ADD"/>
    <w:rsid w:val="49732351"/>
    <w:rsid w:val="498F4AF1"/>
    <w:rsid w:val="49C05787"/>
    <w:rsid w:val="49CF518D"/>
    <w:rsid w:val="4A5D770A"/>
    <w:rsid w:val="4A645ED8"/>
    <w:rsid w:val="4ADA1F63"/>
    <w:rsid w:val="4AE23D89"/>
    <w:rsid w:val="4B2038D0"/>
    <w:rsid w:val="4B296E7D"/>
    <w:rsid w:val="4B79394E"/>
    <w:rsid w:val="4B877F28"/>
    <w:rsid w:val="4B975943"/>
    <w:rsid w:val="4B983D0E"/>
    <w:rsid w:val="4D916BA6"/>
    <w:rsid w:val="4DC44169"/>
    <w:rsid w:val="4DDE5346"/>
    <w:rsid w:val="4DE24E21"/>
    <w:rsid w:val="4E1B19A3"/>
    <w:rsid w:val="4E48787F"/>
    <w:rsid w:val="4E4950D2"/>
    <w:rsid w:val="4EF0709E"/>
    <w:rsid w:val="4F0469A4"/>
    <w:rsid w:val="4F292FAD"/>
    <w:rsid w:val="4FA478A0"/>
    <w:rsid w:val="50540C73"/>
    <w:rsid w:val="513C6A7B"/>
    <w:rsid w:val="52456432"/>
    <w:rsid w:val="532D486F"/>
    <w:rsid w:val="5333545B"/>
    <w:rsid w:val="538D0E89"/>
    <w:rsid w:val="5450213C"/>
    <w:rsid w:val="549B1E3B"/>
    <w:rsid w:val="54D24048"/>
    <w:rsid w:val="54D64CD5"/>
    <w:rsid w:val="54E32004"/>
    <w:rsid w:val="55667FB2"/>
    <w:rsid w:val="55887D69"/>
    <w:rsid w:val="561A0928"/>
    <w:rsid w:val="56423872"/>
    <w:rsid w:val="56486CBC"/>
    <w:rsid w:val="569E06BC"/>
    <w:rsid w:val="56B279F0"/>
    <w:rsid w:val="56F20F86"/>
    <w:rsid w:val="579D710E"/>
    <w:rsid w:val="581F22F6"/>
    <w:rsid w:val="586E1E17"/>
    <w:rsid w:val="58862C35"/>
    <w:rsid w:val="58C14957"/>
    <w:rsid w:val="58CC23D2"/>
    <w:rsid w:val="58E66050"/>
    <w:rsid w:val="58FC2EEC"/>
    <w:rsid w:val="5AE83A50"/>
    <w:rsid w:val="5B353193"/>
    <w:rsid w:val="5BAB2917"/>
    <w:rsid w:val="5BFC33FA"/>
    <w:rsid w:val="5C3107A4"/>
    <w:rsid w:val="5C3B1B93"/>
    <w:rsid w:val="5C630FD2"/>
    <w:rsid w:val="5C9220DF"/>
    <w:rsid w:val="5D2F2E0D"/>
    <w:rsid w:val="5D4A15F3"/>
    <w:rsid w:val="5D5D4807"/>
    <w:rsid w:val="5D69542A"/>
    <w:rsid w:val="5D783B72"/>
    <w:rsid w:val="5DDE210F"/>
    <w:rsid w:val="5E0930EF"/>
    <w:rsid w:val="5E2711BE"/>
    <w:rsid w:val="5E3D4D53"/>
    <w:rsid w:val="5E4717E6"/>
    <w:rsid w:val="5E55774C"/>
    <w:rsid w:val="5E8A70FF"/>
    <w:rsid w:val="5EBB5AE4"/>
    <w:rsid w:val="5FD33093"/>
    <w:rsid w:val="60045F96"/>
    <w:rsid w:val="60104DDC"/>
    <w:rsid w:val="605C0804"/>
    <w:rsid w:val="60CF5A8E"/>
    <w:rsid w:val="60FE2D1E"/>
    <w:rsid w:val="6189617B"/>
    <w:rsid w:val="61B52BB6"/>
    <w:rsid w:val="61B749C2"/>
    <w:rsid w:val="62280D20"/>
    <w:rsid w:val="62CA2457"/>
    <w:rsid w:val="638240A1"/>
    <w:rsid w:val="63833423"/>
    <w:rsid w:val="63A5257B"/>
    <w:rsid w:val="63BD3DCC"/>
    <w:rsid w:val="63C61741"/>
    <w:rsid w:val="64560967"/>
    <w:rsid w:val="64C43926"/>
    <w:rsid w:val="656B1D10"/>
    <w:rsid w:val="65B841F9"/>
    <w:rsid w:val="65EA226A"/>
    <w:rsid w:val="66022B28"/>
    <w:rsid w:val="664A38E2"/>
    <w:rsid w:val="66581E87"/>
    <w:rsid w:val="66FA11D5"/>
    <w:rsid w:val="674302C7"/>
    <w:rsid w:val="680A5986"/>
    <w:rsid w:val="680D5F4B"/>
    <w:rsid w:val="68113F51"/>
    <w:rsid w:val="68A73FAB"/>
    <w:rsid w:val="68E94770"/>
    <w:rsid w:val="68F949C9"/>
    <w:rsid w:val="695A4290"/>
    <w:rsid w:val="6A334932"/>
    <w:rsid w:val="6A3353FF"/>
    <w:rsid w:val="6A5D63E6"/>
    <w:rsid w:val="6A5F24D1"/>
    <w:rsid w:val="6ACA70C4"/>
    <w:rsid w:val="6AE347EB"/>
    <w:rsid w:val="6B330365"/>
    <w:rsid w:val="6B434AF0"/>
    <w:rsid w:val="6B57675A"/>
    <w:rsid w:val="6B87098A"/>
    <w:rsid w:val="6BDD7B4D"/>
    <w:rsid w:val="6C2770AD"/>
    <w:rsid w:val="6EBC0B3A"/>
    <w:rsid w:val="6EF51C7D"/>
    <w:rsid w:val="6F8363E5"/>
    <w:rsid w:val="6FA80CCD"/>
    <w:rsid w:val="6FAC3CC5"/>
    <w:rsid w:val="6FC746F5"/>
    <w:rsid w:val="70317AC6"/>
    <w:rsid w:val="704B26F7"/>
    <w:rsid w:val="70697B21"/>
    <w:rsid w:val="70863262"/>
    <w:rsid w:val="70A76ED3"/>
    <w:rsid w:val="71860B17"/>
    <w:rsid w:val="723B27CC"/>
    <w:rsid w:val="72687227"/>
    <w:rsid w:val="72A03FD9"/>
    <w:rsid w:val="73406CFF"/>
    <w:rsid w:val="7383028C"/>
    <w:rsid w:val="73A25E44"/>
    <w:rsid w:val="741F68CF"/>
    <w:rsid w:val="7428729D"/>
    <w:rsid w:val="75252DF3"/>
    <w:rsid w:val="75621536"/>
    <w:rsid w:val="75BF3154"/>
    <w:rsid w:val="764A07CF"/>
    <w:rsid w:val="764F6B3D"/>
    <w:rsid w:val="76CD2B7B"/>
    <w:rsid w:val="76D80645"/>
    <w:rsid w:val="76E03371"/>
    <w:rsid w:val="780E5898"/>
    <w:rsid w:val="782642CC"/>
    <w:rsid w:val="7894095E"/>
    <w:rsid w:val="78964555"/>
    <w:rsid w:val="78CF4963"/>
    <w:rsid w:val="79000679"/>
    <w:rsid w:val="791C0FE5"/>
    <w:rsid w:val="79A416F0"/>
    <w:rsid w:val="79B03EB6"/>
    <w:rsid w:val="7A246A31"/>
    <w:rsid w:val="7AAF5BE0"/>
    <w:rsid w:val="7AE15A5C"/>
    <w:rsid w:val="7AF37579"/>
    <w:rsid w:val="7AF87F64"/>
    <w:rsid w:val="7B1C0C84"/>
    <w:rsid w:val="7B5A62DF"/>
    <w:rsid w:val="7B7A04A8"/>
    <w:rsid w:val="7C0C3F6D"/>
    <w:rsid w:val="7C22163C"/>
    <w:rsid w:val="7C457B4B"/>
    <w:rsid w:val="7C595075"/>
    <w:rsid w:val="7C6B07B2"/>
    <w:rsid w:val="7D133243"/>
    <w:rsid w:val="7D1F786B"/>
    <w:rsid w:val="7D945420"/>
    <w:rsid w:val="7E300C53"/>
    <w:rsid w:val="7E394207"/>
    <w:rsid w:val="7E4007A2"/>
    <w:rsid w:val="7E791CAD"/>
    <w:rsid w:val="7EA50DFB"/>
    <w:rsid w:val="7EAB11A1"/>
    <w:rsid w:val="7EB577CB"/>
    <w:rsid w:val="7EC86878"/>
    <w:rsid w:val="7F16390D"/>
    <w:rsid w:val="7F752917"/>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3"/>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4"/>
    <w:unhideWhenUsed/>
    <w:qFormat/>
    <w:uiPriority w:val="9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5"/>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2"/>
    <w:basedOn w:val="1"/>
    <w:qFormat/>
    <w:uiPriority w:val="0"/>
    <w:pPr>
      <w:spacing w:after="120" w:line="480" w:lineRule="auto"/>
    </w:pPr>
  </w:style>
  <w:style w:type="paragraph" w:styleId="7">
    <w:name w:val="Normal Indent"/>
    <w:basedOn w:val="1"/>
    <w:qFormat/>
    <w:uiPriority w:val="99"/>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43"/>
    <w:unhideWhenUsed/>
    <w:qFormat/>
    <w:uiPriority w:val="99"/>
    <w:pPr>
      <w:spacing w:after="120"/>
    </w:pPr>
    <w:rPr>
      <w:sz w:val="16"/>
      <w:szCs w:val="16"/>
    </w:rPr>
  </w:style>
  <w:style w:type="paragraph" w:styleId="9">
    <w:name w:val="Body Text Indent"/>
    <w:basedOn w:val="1"/>
    <w:link w:val="51"/>
    <w:qFormat/>
    <w:uiPriority w:val="99"/>
    <w:pPr>
      <w:adjustRightInd w:val="0"/>
      <w:snapToGrid w:val="0"/>
      <w:spacing w:line="360" w:lineRule="exact"/>
      <w:ind w:firstLine="630"/>
      <w:textAlignment w:val="baseline"/>
    </w:pPr>
    <w:rPr>
      <w:rFonts w:ascii="宋体" w:hAnsi="宋体" w:cs="Times New Roman"/>
      <w:kern w:val="0"/>
      <w:sz w:val="24"/>
      <w:szCs w:val="20"/>
    </w:rPr>
  </w:style>
  <w:style w:type="paragraph" w:styleId="10">
    <w:name w:val="toc 3"/>
    <w:basedOn w:val="1"/>
    <w:next w:val="1"/>
    <w:unhideWhenUsed/>
    <w:qFormat/>
    <w:uiPriority w:val="39"/>
    <w:pPr>
      <w:widowControl/>
      <w:spacing w:after="100" w:line="276" w:lineRule="auto"/>
      <w:ind w:left="440"/>
      <w:jc w:val="left"/>
    </w:pPr>
    <w:rPr>
      <w:kern w:val="0"/>
      <w:sz w:val="22"/>
    </w:rPr>
  </w:style>
  <w:style w:type="paragraph" w:styleId="11">
    <w:name w:val="Plain Text"/>
    <w:basedOn w:val="1"/>
    <w:next w:val="12"/>
    <w:link w:val="57"/>
    <w:qFormat/>
    <w:uiPriority w:val="99"/>
    <w:rPr>
      <w:rFonts w:ascii="宋体" w:hAnsi="Courier New"/>
      <w:szCs w:val="21"/>
    </w:rPr>
  </w:style>
  <w:style w:type="paragraph" w:customStyle="1" w:styleId="12">
    <w:name w:val="Default"/>
    <w:next w:val="1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3">
    <w:name w:val="List"/>
    <w:basedOn w:val="1"/>
    <w:next w:val="1"/>
    <w:qFormat/>
    <w:uiPriority w:val="0"/>
    <w:pPr>
      <w:snapToGrid w:val="0"/>
    </w:pPr>
    <w:rPr>
      <w:szCs w:val="24"/>
    </w:rPr>
  </w:style>
  <w:style w:type="paragraph" w:styleId="14">
    <w:name w:val="Body Text Indent 2"/>
    <w:basedOn w:val="1"/>
    <w:link w:val="50"/>
    <w:semiHidden/>
    <w:unhideWhenUsed/>
    <w:qFormat/>
    <w:uiPriority w:val="99"/>
    <w:pPr>
      <w:spacing w:after="120" w:line="480" w:lineRule="auto"/>
      <w:ind w:left="420" w:leftChars="200"/>
    </w:pPr>
  </w:style>
  <w:style w:type="paragraph" w:styleId="15">
    <w:name w:val="Balloon Text"/>
    <w:basedOn w:val="1"/>
    <w:link w:val="38"/>
    <w:semiHidden/>
    <w:unhideWhenUsed/>
    <w:qFormat/>
    <w:uiPriority w:val="99"/>
    <w:rPr>
      <w:sz w:val="18"/>
      <w:szCs w:val="18"/>
    </w:rPr>
  </w:style>
  <w:style w:type="paragraph" w:styleId="16">
    <w:name w:val="footer"/>
    <w:basedOn w:val="1"/>
    <w:link w:val="32"/>
    <w:unhideWhenUsed/>
    <w:qFormat/>
    <w:uiPriority w:val="99"/>
    <w:pPr>
      <w:tabs>
        <w:tab w:val="center" w:pos="4153"/>
        <w:tab w:val="right" w:pos="8306"/>
      </w:tabs>
      <w:snapToGrid w:val="0"/>
      <w:jc w:val="left"/>
    </w:pPr>
    <w:rPr>
      <w:sz w:val="18"/>
      <w:szCs w:val="18"/>
    </w:rPr>
  </w:style>
  <w:style w:type="paragraph" w:styleId="17">
    <w:name w:val="header"/>
    <w:basedOn w:val="1"/>
    <w:link w:val="3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unhideWhenUsed/>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1">
    <w:name w:val="Body Text First Indent 2"/>
    <w:basedOn w:val="9"/>
    <w:link w:val="52"/>
    <w:qFormat/>
    <w:uiPriority w:val="99"/>
    <w:pPr>
      <w:spacing w:line="360" w:lineRule="auto"/>
      <w:ind w:firstLine="420"/>
    </w:pPr>
    <w:rPr>
      <w:rFonts w:eastAsia="等线"/>
      <w:color w:val="000000"/>
      <w:szCs w:val="24"/>
    </w:rPr>
  </w:style>
  <w:style w:type="table" w:styleId="23">
    <w:name w:val="Table Grid"/>
    <w:basedOn w:val="22"/>
    <w:qFormat/>
    <w:uiPriority w:val="9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Strong"/>
    <w:qFormat/>
    <w:uiPriority w:val="22"/>
    <w:rPr>
      <w:b/>
      <w:bCs/>
    </w:rPr>
  </w:style>
  <w:style w:type="character" w:styleId="26">
    <w:name w:val="page number"/>
    <w:basedOn w:val="24"/>
    <w:qFormat/>
    <w:uiPriority w:val="0"/>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styleId="28">
    <w:name w:val="annotation reference"/>
    <w:qFormat/>
    <w:uiPriority w:val="0"/>
    <w:rPr>
      <w:rFonts w:ascii="Times New Roman" w:hAnsi="Times New Roman" w:eastAsia="宋体" w:cs="Times New Roman"/>
      <w:sz w:val="21"/>
      <w:szCs w:val="21"/>
    </w:rPr>
  </w:style>
  <w:style w:type="paragraph" w:customStyle="1" w:styleId="29">
    <w:name w:val="BodyText"/>
    <w:basedOn w:val="1"/>
    <w:next w:val="30"/>
    <w:qFormat/>
    <w:uiPriority w:val="0"/>
    <w:pPr>
      <w:textAlignment w:val="baseline"/>
    </w:pPr>
    <w:rPr>
      <w:sz w:val="28"/>
    </w:rPr>
  </w:style>
  <w:style w:type="paragraph" w:customStyle="1" w:styleId="30">
    <w:name w:val="BodyText2"/>
    <w:basedOn w:val="1"/>
    <w:qFormat/>
    <w:uiPriority w:val="0"/>
    <w:pPr>
      <w:spacing w:after="120" w:line="480" w:lineRule="auto"/>
      <w:textAlignment w:val="baseline"/>
    </w:pPr>
  </w:style>
  <w:style w:type="character" w:customStyle="1" w:styleId="31">
    <w:name w:val="页眉 字符"/>
    <w:basedOn w:val="24"/>
    <w:link w:val="17"/>
    <w:semiHidden/>
    <w:qFormat/>
    <w:uiPriority w:val="99"/>
    <w:rPr>
      <w:sz w:val="18"/>
      <w:szCs w:val="18"/>
    </w:rPr>
  </w:style>
  <w:style w:type="character" w:customStyle="1" w:styleId="32">
    <w:name w:val="页脚 字符"/>
    <w:basedOn w:val="24"/>
    <w:link w:val="16"/>
    <w:qFormat/>
    <w:uiPriority w:val="99"/>
    <w:rPr>
      <w:sz w:val="18"/>
      <w:szCs w:val="18"/>
    </w:rPr>
  </w:style>
  <w:style w:type="character" w:customStyle="1" w:styleId="33">
    <w:name w:val="标题 1 字符"/>
    <w:basedOn w:val="24"/>
    <w:link w:val="4"/>
    <w:qFormat/>
    <w:uiPriority w:val="9"/>
    <w:rPr>
      <w:rFonts w:eastAsia="方正小标宋简体"/>
      <w:bCs/>
      <w:kern w:val="44"/>
      <w:sz w:val="44"/>
      <w:szCs w:val="44"/>
    </w:rPr>
  </w:style>
  <w:style w:type="character" w:customStyle="1" w:styleId="34">
    <w:name w:val="标题 2 字符"/>
    <w:basedOn w:val="24"/>
    <w:link w:val="5"/>
    <w:qFormat/>
    <w:uiPriority w:val="99"/>
    <w:rPr>
      <w:rFonts w:eastAsia="方正小标宋简体" w:asciiTheme="majorHAnsi" w:hAnsiTheme="majorHAnsi" w:cstheme="majorBidi"/>
      <w:bCs/>
      <w:sz w:val="36"/>
      <w:szCs w:val="32"/>
    </w:rPr>
  </w:style>
  <w:style w:type="character" w:customStyle="1" w:styleId="35">
    <w:name w:val="标题 3 字符"/>
    <w:basedOn w:val="24"/>
    <w:link w:val="6"/>
    <w:qFormat/>
    <w:uiPriority w:val="9"/>
    <w:rPr>
      <w:rFonts w:ascii="Calibri" w:hAnsi="Calibri" w:eastAsia="宋体" w:cs="Times New Roman"/>
      <w:b/>
      <w:bCs/>
      <w:sz w:val="32"/>
      <w:szCs w:val="32"/>
    </w:rPr>
  </w:style>
  <w:style w:type="paragraph" w:styleId="36">
    <w:name w:val="List Paragraph"/>
    <w:basedOn w:val="1"/>
    <w:link w:val="44"/>
    <w:qFormat/>
    <w:uiPriority w:val="34"/>
    <w:pPr>
      <w:ind w:firstLine="420" w:firstLineChars="200"/>
    </w:pPr>
  </w:style>
  <w:style w:type="paragraph" w:customStyle="1" w:styleId="37">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字符"/>
    <w:basedOn w:val="24"/>
    <w:link w:val="15"/>
    <w:semiHidden/>
    <w:qFormat/>
    <w:uiPriority w:val="99"/>
    <w:rPr>
      <w:sz w:val="18"/>
      <w:szCs w:val="18"/>
    </w:rPr>
  </w:style>
  <w:style w:type="paragraph" w:styleId="3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0">
    <w:name w:val="CM97"/>
    <w:basedOn w:val="12"/>
    <w:next w:val="12"/>
    <w:qFormat/>
    <w:uiPriority w:val="0"/>
    <w:pPr>
      <w:spacing w:after="373"/>
    </w:pPr>
    <w:rPr>
      <w:color w:val="auto"/>
    </w:rPr>
  </w:style>
  <w:style w:type="paragraph" w:customStyle="1" w:styleId="41">
    <w:name w:val="CM91"/>
    <w:basedOn w:val="12"/>
    <w:next w:val="12"/>
    <w:qFormat/>
    <w:uiPriority w:val="0"/>
    <w:pPr>
      <w:spacing w:after="160"/>
    </w:pPr>
    <w:rPr>
      <w:color w:val="auto"/>
    </w:rPr>
  </w:style>
  <w:style w:type="character" w:customStyle="1" w:styleId="42">
    <w:name w:val="正文文本 3 Char"/>
    <w:qFormat/>
    <w:uiPriority w:val="99"/>
    <w:rPr>
      <w:sz w:val="16"/>
      <w:szCs w:val="16"/>
    </w:rPr>
  </w:style>
  <w:style w:type="character" w:customStyle="1" w:styleId="43">
    <w:name w:val="正文文本 3 字符"/>
    <w:basedOn w:val="24"/>
    <w:link w:val="8"/>
    <w:semiHidden/>
    <w:qFormat/>
    <w:uiPriority w:val="99"/>
    <w:rPr>
      <w:sz w:val="16"/>
      <w:szCs w:val="16"/>
    </w:rPr>
  </w:style>
  <w:style w:type="character" w:customStyle="1" w:styleId="44">
    <w:name w:val="列表段落 字符"/>
    <w:link w:val="36"/>
    <w:qFormat/>
    <w:uiPriority w:val="34"/>
  </w:style>
  <w:style w:type="paragraph" w:customStyle="1" w:styleId="45">
    <w:name w:val="1"/>
    <w:basedOn w:val="1"/>
    <w:next w:val="11"/>
    <w:qFormat/>
    <w:uiPriority w:val="99"/>
    <w:rPr>
      <w:rFonts w:ascii="宋体" w:hAnsi="Courier New"/>
    </w:rPr>
  </w:style>
  <w:style w:type="paragraph" w:customStyle="1" w:styleId="46">
    <w:name w:val="WPSOffice手动目录 1"/>
    <w:qFormat/>
    <w:uiPriority w:val="0"/>
    <w:rPr>
      <w:rFonts w:asciiTheme="minorHAnsi" w:hAnsiTheme="minorHAnsi" w:eastAsiaTheme="minorEastAsia" w:cstheme="minorBidi"/>
      <w:lang w:val="en-US" w:eastAsia="zh-CN" w:bidi="ar-SA"/>
    </w:rPr>
  </w:style>
  <w:style w:type="paragraph" w:customStyle="1" w:styleId="47">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8">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9">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0">
    <w:name w:val="正文文本缩进 2 字符"/>
    <w:basedOn w:val="24"/>
    <w:link w:val="14"/>
    <w:semiHidden/>
    <w:qFormat/>
    <w:uiPriority w:val="99"/>
    <w:rPr>
      <w:kern w:val="2"/>
      <w:sz w:val="21"/>
      <w:szCs w:val="22"/>
    </w:rPr>
  </w:style>
  <w:style w:type="character" w:customStyle="1" w:styleId="51">
    <w:name w:val="正文文本缩进 字符"/>
    <w:basedOn w:val="24"/>
    <w:link w:val="9"/>
    <w:qFormat/>
    <w:uiPriority w:val="99"/>
    <w:rPr>
      <w:rFonts w:ascii="宋体" w:hAnsi="宋体" w:cs="Times New Roman"/>
      <w:sz w:val="24"/>
    </w:rPr>
  </w:style>
  <w:style w:type="character" w:customStyle="1" w:styleId="52">
    <w:name w:val="正文文本首行缩进 2 字符"/>
    <w:basedOn w:val="51"/>
    <w:link w:val="21"/>
    <w:qFormat/>
    <w:uiPriority w:val="99"/>
    <w:rPr>
      <w:rFonts w:ascii="宋体" w:hAnsi="宋体" w:eastAsia="等线" w:cs="Times New Roman"/>
      <w:color w:val="000000"/>
      <w:sz w:val="24"/>
      <w:szCs w:val="24"/>
    </w:rPr>
  </w:style>
  <w:style w:type="paragraph" w:customStyle="1" w:styleId="53">
    <w:name w:val="正文首行缩进 21"/>
    <w:basedOn w:val="9"/>
    <w:qFormat/>
    <w:uiPriority w:val="0"/>
    <w:pPr>
      <w:adjustRightInd/>
      <w:snapToGrid/>
      <w:spacing w:before="100" w:beforeAutospacing="1" w:after="120" w:line="240" w:lineRule="auto"/>
      <w:ind w:left="420" w:leftChars="200" w:firstLine="830" w:firstLineChars="352"/>
      <w:textAlignment w:val="auto"/>
    </w:pPr>
    <w:rPr>
      <w:rFonts w:ascii="Times New Roman" w:hAnsi="Times New Roman" w:eastAsia="仿宋_GB2312"/>
      <w:kern w:val="2"/>
      <w:sz w:val="32"/>
      <w:szCs w:val="32"/>
    </w:rPr>
  </w:style>
  <w:style w:type="paragraph" w:customStyle="1" w:styleId="54">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
    <w:name w:val="Default1"/>
    <w:basedOn w:val="1"/>
    <w:qFormat/>
    <w:uiPriority w:val="0"/>
    <w:pPr>
      <w:autoSpaceDE w:val="0"/>
      <w:autoSpaceDN w:val="0"/>
      <w:adjustRightInd w:val="0"/>
      <w:jc w:val="left"/>
    </w:pPr>
    <w:rPr>
      <w:rFonts w:ascii="宋体" w:hAnsi="Times New Roman" w:eastAsia="仿宋_GB2312" w:cs="宋体"/>
      <w:color w:val="000000"/>
      <w:kern w:val="0"/>
      <w:sz w:val="24"/>
      <w:szCs w:val="24"/>
    </w:rPr>
  </w:style>
  <w:style w:type="paragraph" w:customStyle="1" w:styleId="56">
    <w:name w:val="列表段落1"/>
    <w:basedOn w:val="1"/>
    <w:qFormat/>
    <w:uiPriority w:val="0"/>
    <w:pPr>
      <w:ind w:firstLine="420" w:firstLineChars="200"/>
    </w:pPr>
    <w:rPr>
      <w:rFonts w:ascii="Times New Roman" w:hAnsi="Times New Roman" w:eastAsia="宋体" w:cs="Times New Roman"/>
      <w:szCs w:val="21"/>
    </w:rPr>
  </w:style>
  <w:style w:type="character" w:customStyle="1" w:styleId="57">
    <w:name w:val="纯文本 字符"/>
    <w:basedOn w:val="24"/>
    <w:link w:val="11"/>
    <w:qFormat/>
    <w:uiPriority w:val="99"/>
    <w:rPr>
      <w:rFonts w:ascii="宋体" w:hAnsi="Courier New"/>
      <w:kern w:val="2"/>
      <w:sz w:val="21"/>
      <w:szCs w:val="21"/>
    </w:rPr>
  </w:style>
  <w:style w:type="paragraph" w:customStyle="1" w:styleId="58">
    <w:name w:val="无间隔1"/>
    <w:basedOn w:val="1"/>
    <w:qFormat/>
    <w:uiPriority w:val="0"/>
    <w:pPr>
      <w:widowControl/>
      <w:jc w:val="left"/>
    </w:pPr>
    <w:rPr>
      <w:rFonts w:ascii="Calibri" w:hAnsi="Calibri" w:eastAsia="宋体" w:cs="Times New Roman"/>
      <w:kern w:val="0"/>
      <w:sz w:val="22"/>
    </w:rPr>
  </w:style>
  <w:style w:type="character" w:customStyle="1" w:styleId="59">
    <w:name w:val="10"/>
    <w:basedOn w:val="24"/>
    <w:qFormat/>
    <w:uiPriority w:val="0"/>
    <w:rPr>
      <w:rFonts w:hint="default" w:ascii="Times New Roman" w:hAnsi="Times New Roman" w:cs="Times New Roman"/>
    </w:rPr>
  </w:style>
  <w:style w:type="character" w:customStyle="1" w:styleId="60">
    <w:name w:val="15"/>
    <w:basedOn w:val="24"/>
    <w:qFormat/>
    <w:uiPriority w:val="0"/>
    <w:rPr>
      <w:rFonts w:hint="default" w:ascii="Times New Roman" w:hAnsi="Times New Roman" w:cs="Times New Roman"/>
      <w:b/>
      <w:bCs/>
    </w:rPr>
  </w:style>
  <w:style w:type="character" w:customStyle="1" w:styleId="61">
    <w:name w:val="未处理的提及1"/>
    <w:basedOn w:val="24"/>
    <w:semiHidden/>
    <w:unhideWhenUsed/>
    <w:qFormat/>
    <w:uiPriority w:val="99"/>
    <w:rPr>
      <w:color w:val="605E5C"/>
      <w:shd w:val="clear" w:color="auto" w:fill="E1DFDD"/>
    </w:rPr>
  </w:style>
  <w:style w:type="paragraph" w:customStyle="1" w:styleId="62">
    <w:name w:val="正文首行缩进 22"/>
    <w:basedOn w:val="9"/>
    <w:qFormat/>
    <w:uiPriority w:val="0"/>
    <w:pPr>
      <w:spacing w:before="100" w:beforeAutospacing="1" w:line="360" w:lineRule="auto"/>
      <w:ind w:firstLine="420"/>
    </w:pPr>
    <w:rPr>
      <w:rFonts w:eastAsia="等线"/>
      <w:color w:val="000000"/>
      <w:szCs w:val="24"/>
    </w:rPr>
  </w:style>
  <w:style w:type="paragraph" w:customStyle="1" w:styleId="63">
    <w:name w:val="_Style 4"/>
    <w:basedOn w:val="4"/>
    <w:next w:val="1"/>
    <w:qFormat/>
    <w:uiPriority w:val="0"/>
    <w:pPr>
      <w:spacing w:line="576" w:lineRule="auto"/>
      <w:outlineLvl w:val="9"/>
    </w:pPr>
    <w:rPr>
      <w:rFonts w:ascii="Calibri" w:hAnsi="Calibri"/>
    </w:rPr>
  </w:style>
  <w:style w:type="paragraph" w:customStyle="1" w:styleId="64">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90</Pages>
  <Words>33254</Words>
  <Characters>36471</Characters>
  <Lines>302</Lines>
  <Paragraphs>85</Paragraphs>
  <TotalTime>4</TotalTime>
  <ScaleCrop>false</ScaleCrop>
  <LinksUpToDate>false</LinksUpToDate>
  <CharactersWithSpaces>39358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2022-07-15T09:09:00Z</cp:lastPrinted>
  <dcterms:modified xsi:type="dcterms:W3CDTF">2022-11-29T07:26:03Z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B71F603B9DF848ECBF79E424B1661720</vt:lpwstr>
  </property>
</Properties>
</file>