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66" w:name="_GoBack"/>
      <w:bookmarkEnd w:id="166"/>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广州市净水有限公司竹料分公司2023年一期南、扩建北反应池曝气头</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及曝气管大修项目（</w:t>
      </w:r>
      <w:r>
        <w:rPr>
          <w:rFonts w:hint="eastAsia" w:ascii="方正小标宋简体" w:eastAsia="方正小标宋简体"/>
          <w:color w:val="auto"/>
          <w:sz w:val="52"/>
          <w:szCs w:val="52"/>
          <w:highlight w:val="none"/>
          <w:lang w:val="en-US" w:eastAsia="zh-CN"/>
        </w:rPr>
        <w:t>第二次</w:t>
      </w:r>
      <w:r>
        <w:rPr>
          <w:rFonts w:hint="eastAsia" w:ascii="方正小标宋简体" w:eastAsia="方正小标宋简体"/>
          <w:color w:val="auto"/>
          <w:sz w:val="52"/>
          <w:szCs w:val="52"/>
          <w:highlight w:val="none"/>
          <w:lang w:eastAsia="zh-CN"/>
        </w:rPr>
        <w:t>）</w:t>
      </w:r>
    </w:p>
    <w:p>
      <w:pPr>
        <w:jc w:val="center"/>
        <w:rPr>
          <w:rFonts w:hint="eastAsia" w:ascii="方正小标宋简体" w:eastAsia="方正小标宋简体"/>
          <w:color w:val="auto"/>
          <w:sz w:val="52"/>
          <w:szCs w:val="52"/>
          <w:highlight w:val="none"/>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31938"/>
      <w:bookmarkStart w:id="5" w:name="_Toc7519"/>
      <w:bookmarkStart w:id="6" w:name="_Toc11322"/>
      <w:bookmarkStart w:id="7" w:name="_Toc4275"/>
      <w:bookmarkStart w:id="8" w:name="_Toc1669"/>
      <w:bookmarkStart w:id="9" w:name="_Toc19609"/>
      <w:bookmarkStart w:id="10" w:name="_Toc17801"/>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2362835</wp:posOffset>
                </wp:positionH>
                <wp:positionV relativeFrom="paragraph">
                  <wp:posOffset>504825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05pt;margin-top:39.75pt;height:0pt;width:75.5pt;z-index:251671552;mso-width-relative:page;mso-height-relative:page;" filled="f" stroked="t" coordsize="21600,21600" o:gfxdata="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7J8p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广州市净水有限公司竹料分公司2023年一期南、扩建北反应池曝气头及曝气管大修项目（第二次）</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广州市净水有限公司竹料分公司2023年一期南、扩建北反应池曝气头及曝气管大修项目（第二次）</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XJ-20221129-2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861252.24元（其中不含税为790139.67元，税率为9%，绿色施工安全防护措施费为25781.77元，暂列金为66274.99元，绿色施工安全防护措施费和暂列金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2"/>
        <w:ind w:left="0" w:leftChars="0" w:firstLine="560" w:firstLineChars="200"/>
        <w:rPr>
          <w:rFonts w:hint="eastAsia" w:hAnsi="仿宋_GB2312" w:cs="仿宋_GB2312"/>
          <w:sz w:val="32"/>
          <w:szCs w:val="32"/>
          <w:lang w:val="en-US" w:eastAsia="zh-CN"/>
        </w:rPr>
      </w:pPr>
      <w:r>
        <w:rPr>
          <w:rFonts w:hint="eastAsia" w:ascii="仿宋_GB2312" w:eastAsia="仿宋_GB2312" w:hAnsiTheme="minorHAnsi" w:cstheme="minorBidi"/>
          <w:color w:val="auto"/>
          <w:kern w:val="2"/>
          <w:sz w:val="28"/>
          <w:szCs w:val="28"/>
          <w:highlight w:val="none"/>
          <w:lang w:val="en-US" w:eastAsia="zh-CN" w:bidi="ar-SA"/>
        </w:rPr>
        <w:t>拆除及更换竹料分公司反应池曝气头一期扩建北反应池1408个，一期反应池南池1408个。同步更换一期反应池南池曝气管为304不锈钢厚度5mm,包含橡胶膜微孔曝气器及不锈钢曝气管路等管件的运输、拆卸、安装，提供池底向上1m不锈钢法兰处以下所有曝气器及不锈钢管配件。（一期反应池南池原曝气头型号为：卡扣式KBB-215型；本次曝气头大修均更换型号为：螺纹旋钮式XZ-215型,直径270）。</w:t>
      </w:r>
    </w:p>
    <w:tbl>
      <w:tblPr>
        <w:tblStyle w:val="23"/>
        <w:tblW w:w="7824" w:type="dxa"/>
        <w:tblInd w:w="0" w:type="dxa"/>
        <w:shd w:val="clear" w:color="auto" w:fill="auto"/>
        <w:tblLayout w:type="autofit"/>
        <w:tblCellMar>
          <w:top w:w="0" w:type="dxa"/>
          <w:left w:w="0" w:type="dxa"/>
          <w:bottom w:w="0" w:type="dxa"/>
          <w:right w:w="0" w:type="dxa"/>
        </w:tblCellMar>
      </w:tblPr>
      <w:tblGrid>
        <w:gridCol w:w="856"/>
        <w:gridCol w:w="1485"/>
        <w:gridCol w:w="6"/>
        <w:gridCol w:w="2969"/>
        <w:gridCol w:w="246"/>
        <w:gridCol w:w="709"/>
        <w:gridCol w:w="153"/>
        <w:gridCol w:w="1400"/>
      </w:tblGrid>
      <w:tr>
        <w:tblPrEx>
          <w:shd w:val="clear" w:color="auto" w:fill="auto"/>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2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6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2"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一期南反应池</w:t>
            </w:r>
          </w:p>
        </w:tc>
      </w:tr>
      <w:tr>
        <w:tblPrEx>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曝气器拆除及安装</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直径:De90不锈钢管码底座</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直径:De110不锈钢管码底座管码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直径:De160不锈钢管码底座管码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拆除及修复遮阳板</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（聚碳酸脂PC阳光板）</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21</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切割及修复焊接遮阳棚骨架</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（304不锈钢方管）</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7</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清理池底作业面污水及污泥</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清理池底剩余污水及污泥（深度10cm）至地面清洗可见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866.6</w:t>
            </w:r>
          </w:p>
        </w:tc>
      </w:tr>
      <w:tr>
        <w:tblPrEx>
          <w:shd w:val="clear" w:color="auto" w:fill="auto"/>
          <w:tblCellMar>
            <w:top w:w="0" w:type="dxa"/>
            <w:left w:w="0" w:type="dxa"/>
            <w:bottom w:w="0" w:type="dxa"/>
            <w:right w:w="0" w:type="dxa"/>
          </w:tblCellMar>
        </w:tblPrEx>
        <w:trPr>
          <w:trHeight w:val="825"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扩建北反应池</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bl>
    <w:p>
      <w:pPr>
        <w:pStyle w:val="2"/>
        <w:rPr>
          <w:rFonts w:hint="eastAsia" w:ascii="仿宋_GB2312" w:eastAsia="仿宋_GB2312" w:hAnsiTheme="minorHAnsi" w:cstheme="minorBidi"/>
          <w:color w:val="auto"/>
          <w:kern w:val="2"/>
          <w:sz w:val="28"/>
          <w:szCs w:val="28"/>
          <w:highlight w:val="none"/>
          <w:lang w:val="en-US" w:eastAsia="zh-CN" w:bidi="ar-SA"/>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2.2项目工期：☑计划工期   □交货期  □服务期为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广州市白云区钟落潭镇竹二路兰桂街</w:t>
      </w:r>
      <w:r>
        <w:rPr>
          <w:rFonts w:ascii="仿宋_GB2312" w:eastAsia="仿宋_GB2312"/>
          <w:color w:val="auto"/>
          <w:sz w:val="28"/>
          <w:szCs w:val="28"/>
          <w:highlight w:val="none"/>
          <w:u w:val="single"/>
        </w:rPr>
        <w:t>100</w:t>
      </w:r>
      <w:r>
        <w:rPr>
          <w:rFonts w:hint="eastAsia" w:ascii="仿宋_GB2312" w:eastAsia="仿宋_GB2312"/>
          <w:color w:val="auto"/>
          <w:sz w:val="28"/>
          <w:szCs w:val="28"/>
          <w:highlight w:val="none"/>
          <w:u w:val="single"/>
        </w:rPr>
        <w:t>号</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□货物质量标准或主要技术性能指标</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满足采购文件要求。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服从竹料分公司各项安全管理要求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ascii="仿宋_GB2312" w:eastAsia="仿宋_GB2312"/>
          <w:color w:val="auto"/>
          <w:sz w:val="28"/>
          <w:szCs w:val="28"/>
          <w:highlight w:val="none"/>
        </w:rPr>
        <w:t>1</w:t>
      </w:r>
      <w:r>
        <w:rPr>
          <w:rFonts w:hint="eastAsia" w:ascii="仿宋_GB2312" w:eastAsia="仿宋_GB2312"/>
          <w:color w:val="auto"/>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ascii="仿宋_GB2312" w:eastAsia="仿宋_GB2312"/>
          <w:color w:val="auto"/>
          <w:sz w:val="28"/>
          <w:szCs w:val="28"/>
          <w:highlight w:val="none"/>
        </w:rPr>
        <w:t>2</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具有市政工程施总承包三级（或以上）资质，具有建设主管部门颁发且在有效期内的《安全生产许可证》</w:t>
      </w:r>
      <w:r>
        <w:rPr>
          <w:rFonts w:hint="eastAsia" w:ascii="仿宋_GB2312" w:eastAsia="仿宋_GB2312"/>
          <w:color w:val="auto"/>
          <w:sz w:val="28"/>
          <w:szCs w:val="28"/>
          <w:highlight w:val="none"/>
        </w:rPr>
        <w:t>。</w:t>
      </w:r>
    </w:p>
    <w:p>
      <w:pPr>
        <w:numPr>
          <w:ilvl w:val="255"/>
          <w:numId w:val="0"/>
        </w:numPr>
        <w:spacing w:line="480" w:lineRule="exact"/>
        <w:ind w:firstLine="0" w:firstLineChars="0"/>
        <w:rPr>
          <w:rFonts w:hint="eastAsia" w:ascii="仿宋_GB2312" w:eastAsia="仿宋_GB2312" w:cstheme="minorBidi"/>
          <w:color w:val="auto"/>
          <w:sz w:val="28"/>
          <w:szCs w:val="28"/>
          <w:highlight w:val="none"/>
          <w:u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3</w:t>
      </w:r>
      <w:r>
        <w:rPr>
          <w:rFonts w:hint="eastAsia" w:ascii="仿宋_GB2312" w:eastAsia="仿宋_GB2312"/>
          <w:color w:val="auto"/>
          <w:sz w:val="28"/>
          <w:szCs w:val="28"/>
          <w:highlight w:val="none"/>
        </w:rPr>
        <w:t>）</w:t>
      </w:r>
      <w:r>
        <w:rPr>
          <w:rFonts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项目负责人应当具备</w:t>
      </w:r>
      <w:r>
        <w:rPr>
          <w:rFonts w:hint="eastAsia" w:ascii="仿宋_GB2312" w:eastAsia="仿宋_GB2312" w:cstheme="minorBidi"/>
          <w:color w:val="auto"/>
          <w:sz w:val="28"/>
          <w:szCs w:val="28"/>
          <w:highlight w:val="none"/>
          <w:u w:val="none"/>
          <w:lang w:val="en-US" w:eastAsia="zh-CN"/>
        </w:rPr>
        <w:t>市政工程</w:t>
      </w:r>
      <w:r>
        <w:rPr>
          <w:rFonts w:hint="eastAsia" w:ascii="仿宋_GB2312" w:eastAsia="仿宋_GB2312" w:hAnsiTheme="minorHAnsi" w:cstheme="minorBidi"/>
          <w:color w:val="auto"/>
          <w:sz w:val="28"/>
          <w:szCs w:val="28"/>
          <w:highlight w:val="none"/>
          <w:u w:val="none"/>
        </w:rPr>
        <w:t>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，广东省外注册的二级建造师人员暂不能在我省执业</w:t>
      </w:r>
      <w:r>
        <w:rPr>
          <w:rFonts w:hint="eastAsia" w:ascii="仿宋_GB2312" w:eastAsia="仿宋_GB2312" w:hAnsiTheme="minorHAnsi" w:cstheme="minorBidi"/>
          <w:color w:val="auto"/>
          <w:sz w:val="28"/>
          <w:szCs w:val="28"/>
          <w:highlight w:val="none"/>
          <w:u w:val="none"/>
        </w:rPr>
        <w:t>）</w:t>
      </w:r>
      <w:r>
        <w:rPr>
          <w:rFonts w:hint="eastAsia" w:ascii="仿宋_GB2312" w:eastAsia="仿宋_GB2312" w:cstheme="minorBidi"/>
          <w:color w:val="auto"/>
          <w:sz w:val="28"/>
          <w:szCs w:val="28"/>
          <w:highlight w:val="none"/>
          <w:u w:val="none"/>
          <w:lang w:eastAsia="zh-CN"/>
        </w:rPr>
        <w:t>。</w:t>
      </w:r>
    </w:p>
    <w:p>
      <w:pPr>
        <w:pStyle w:val="2"/>
        <w:autoSpaceDE w:val="0"/>
        <w:autoSpaceDN w:val="0"/>
        <w:adjustRightInd w:val="0"/>
        <w:snapToGrid w:val="0"/>
        <w:spacing w:line="600" w:lineRule="exact"/>
        <w:ind w:firstLine="560" w:firstLineChars="200"/>
        <w:jc w:val="left"/>
        <w:rPr>
          <w:rFonts w:hint="eastAsia"/>
        </w:rPr>
      </w:pP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numPr>
          <w:ilvl w:val="0"/>
          <w:numId w:val="0"/>
        </w:numPr>
        <w:spacing w:line="480" w:lineRule="exact"/>
        <w:rPr>
          <w:color w:val="auto"/>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业绩</w:t>
      </w:r>
      <w:r>
        <w:rPr>
          <w:rFonts w:hint="eastAsia" w:ascii="仿宋_GB2312" w:eastAsia="仿宋_GB2312"/>
          <w:color w:val="auto"/>
          <w:sz w:val="28"/>
          <w:szCs w:val="28"/>
          <w:highlight w:val="none"/>
        </w:rPr>
        <w:t>要求：2019年1月1日至今，最少具有一项</w:t>
      </w:r>
      <w:r>
        <w:rPr>
          <w:rFonts w:hint="eastAsia" w:ascii="仿宋_GB2312" w:eastAsia="仿宋_GB2312"/>
          <w:color w:val="auto"/>
          <w:sz w:val="28"/>
          <w:szCs w:val="28"/>
          <w:highlight w:val="none"/>
          <w:lang w:val="en-US" w:eastAsia="zh-CN"/>
        </w:rPr>
        <w:t>类似</w:t>
      </w:r>
      <w:r>
        <w:rPr>
          <w:rFonts w:hint="eastAsia" w:ascii="仿宋_GB2312" w:eastAsia="仿宋_GB2312"/>
          <w:color w:val="auto"/>
          <w:sz w:val="28"/>
          <w:szCs w:val="28"/>
          <w:highlight w:val="none"/>
        </w:rPr>
        <w:t>曝气</w:t>
      </w:r>
      <w:r>
        <w:rPr>
          <w:rFonts w:hint="eastAsia" w:ascii="仿宋_GB2312" w:eastAsia="仿宋_GB2312"/>
          <w:color w:val="auto"/>
          <w:sz w:val="28"/>
          <w:szCs w:val="28"/>
          <w:highlight w:val="none"/>
          <w:lang w:val="en-US" w:eastAsia="zh-CN"/>
        </w:rPr>
        <w:t>系统安装或维修</w:t>
      </w:r>
      <w:r>
        <w:rPr>
          <w:rFonts w:hint="eastAsia" w:ascii="仿宋_GB2312" w:eastAsia="仿宋_GB2312"/>
          <w:color w:val="auto"/>
          <w:sz w:val="28"/>
          <w:szCs w:val="28"/>
          <w:highlight w:val="none"/>
        </w:rPr>
        <w:t>业绩（提供合同复印件证明，包括但不限于项目名称、金额及实施内容、合同签字盖章、签订日期，并加盖单位公章）。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rPr>
        <w:t>基于疫情防控形势，授权委托人须通过“广州净水公司”微信公众号（提前）预约，填写访客预约信息（包括：1.近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天内行程有异地中高风险地区及所在的地级市（、盟、州、直辖市的区）旅居史的来（返）穗人员拒绝来访；2.近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天行程内有异地本土疫情报告的地级市（、盟、州、直辖市的区）旅居史的来（返）穗人员拒绝来访3.近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踏勘现场联系人：劳工</w:t>
      </w:r>
    </w:p>
    <w:p>
      <w:pPr>
        <w:adjustRightInd w:val="0"/>
        <w:snapToGrid w:val="0"/>
        <w:spacing w:line="600" w:lineRule="exact"/>
        <w:jc w:val="left"/>
        <w:rPr>
          <w:rFonts w:hint="eastAsia"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踏勘现场联系人联系方式：15820271907</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w:t>
      </w:r>
      <w:r>
        <w:rPr>
          <w:rFonts w:hint="eastAsia" w:ascii="仿宋_GB2312" w:eastAsia="仿宋_GB2312"/>
          <w:i w:val="0"/>
          <w:iCs w:val="0"/>
          <w:color w:val="auto"/>
          <w:sz w:val="28"/>
          <w:szCs w:val="28"/>
          <w:highlight w:val="none"/>
          <w:u w:val="none"/>
        </w:rPr>
        <w:t>（答疑）集合</w:t>
      </w:r>
      <w:r>
        <w:rPr>
          <w:rFonts w:hint="eastAsia" w:ascii="仿宋_GB2312" w:eastAsia="仿宋_GB2312"/>
          <w:color w:val="auto"/>
          <w:sz w:val="28"/>
          <w:szCs w:val="28"/>
          <w:highlight w:val="none"/>
        </w:rPr>
        <w:t>时间：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lang w:val="en-US" w:eastAsia="zh-CN"/>
        </w:rPr>
        <w:t>踏勘地点：</w:t>
      </w:r>
      <w:r>
        <w:rPr>
          <w:rFonts w:hint="eastAsia" w:ascii="仿宋_GB2312" w:eastAsia="仿宋_GB2312"/>
          <w:color w:val="auto"/>
          <w:sz w:val="28"/>
          <w:szCs w:val="28"/>
          <w:highlight w:val="none"/>
          <w:u w:val="none"/>
        </w:rPr>
        <w:t>广州市白云区钟落潭镇竹二路兰桂街</w:t>
      </w:r>
      <w:r>
        <w:rPr>
          <w:rFonts w:ascii="仿宋_GB2312" w:eastAsia="仿宋_GB2312"/>
          <w:color w:val="auto"/>
          <w:sz w:val="28"/>
          <w:szCs w:val="28"/>
          <w:highlight w:val="none"/>
          <w:u w:val="none"/>
        </w:rPr>
        <w:t>100</w:t>
      </w:r>
      <w:r>
        <w:rPr>
          <w:rFonts w:hint="eastAsia" w:ascii="仿宋_GB2312" w:eastAsia="仿宋_GB2312"/>
          <w:color w:val="auto"/>
          <w:sz w:val="28"/>
          <w:szCs w:val="28"/>
          <w:highlight w:val="none"/>
          <w:u w:val="none"/>
        </w:rPr>
        <w:t>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广州市净水有限公司竹料分公司）</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hAnsiTheme="minorHAnsi" w:cstheme="minorBidi"/>
          <w:color w:val="auto"/>
          <w:kern w:val="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020-</w:t>
            </w:r>
            <w:r>
              <w:rPr>
                <w:rFonts w:hint="eastAsia" w:ascii="仿宋" w:hAnsi="仿宋" w:eastAsia="仿宋" w:cs="仿宋"/>
                <w:color w:val="auto"/>
                <w:kern w:val="0"/>
                <w:sz w:val="28"/>
                <w:szCs w:val="28"/>
                <w:highlight w:val="none"/>
                <w:lang w:eastAsia="zh-CN"/>
              </w:rPr>
              <w:t>3</w:t>
            </w:r>
            <w:r>
              <w:rPr>
                <w:rFonts w:hint="eastAsia" w:ascii="仿宋" w:hAnsi="仿宋" w:eastAsia="仿宋" w:cs="仿宋"/>
                <w:color w:val="auto"/>
                <w:kern w:val="0"/>
                <w:sz w:val="28"/>
                <w:szCs w:val="28"/>
                <w:highlight w:val="none"/>
                <w:lang w:val="en-US" w:eastAsia="zh-CN"/>
              </w:rPr>
              <w:t>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rPr>
              <w:t>日</w:t>
            </w:r>
          </w:p>
        </w:tc>
      </w:tr>
    </w:tbl>
    <w:p>
      <w:pPr>
        <w:pStyle w:val="2"/>
        <w:ind w:left="0" w:leftChars="0" w:firstLine="0" w:firstLineChars="0"/>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16557"/>
      <w:bookmarkStart w:id="15" w:name="_Toc16705"/>
      <w:bookmarkStart w:id="16" w:name="_Toc7340"/>
      <w:bookmarkStart w:id="17" w:name="_Toc25603"/>
      <w:bookmarkStart w:id="18" w:name="_Toc32588"/>
      <w:bookmarkStart w:id="19" w:name="_Toc19295"/>
      <w:bookmarkStart w:id="20" w:name="_Toc23749"/>
      <w:bookmarkStart w:id="21" w:name="_Toc9448"/>
      <w:bookmarkStart w:id="22" w:name="_Toc2331"/>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2346325</wp:posOffset>
                </wp:positionH>
                <wp:positionV relativeFrom="paragraph">
                  <wp:posOffset>504825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75pt;margin-top:39.75pt;height:0pt;width:75.5pt;z-index:251673600;mso-width-relative:page;mso-height-relative:page;" filled="f" stroked="t" coordsize="21600,21600" o:gfxdata="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8i6cw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0" w:firstLine="0" w:firstLineChars="0"/>
        <w:jc w:val="left"/>
        <w:rPr>
          <w:rFonts w:asciiTheme="minorEastAsia" w:hAnsiTheme="minorEastAsia"/>
          <w:b/>
          <w:color w:val="auto"/>
          <w:sz w:val="32"/>
          <w:szCs w:val="32"/>
          <w:highlight w:val="none"/>
        </w:rPr>
      </w:pPr>
    </w:p>
    <w:p>
      <w:pPr>
        <w:pStyle w:val="2"/>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867"/>
      <w:bookmarkStart w:id="27"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188595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4.85pt;height:0pt;width:75.5pt;z-index:251660288;mso-width-relative:page;mso-height-relative:page;" filled="f" stroked="t" coordsize="21600,21600" o:gfxdata="UEsDBAoAAAAAAIdO4kAAAAAAAAAAAAAAAAAEAAAAZHJzL1BLAwQUAAAACACHTuJAPFZyi9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yxLGdWQrpYgGFgkSw6O&#10;v4EsC/n/g/IK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Wcov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638175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pt;margin-top:50.25pt;height:0pt;width:75.5pt;z-index:251661312;mso-width-relative:page;mso-height-relative:page;" filled="f" stroked="t" coordsize="21600,21600" o:gfxdata="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iy3tD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7"/>
        <w:rPr>
          <w:color w:val="auto"/>
          <w:highlight w:val="none"/>
        </w:rPr>
      </w:pPr>
    </w:p>
    <w:p>
      <w:pPr>
        <w:pStyle w:val="5"/>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ascii="仿宋_GB2312" w:eastAsia="仿宋_GB2312"/>
                <w:color w:val="auto"/>
                <w:sz w:val="24"/>
                <w:szCs w:val="24"/>
                <w:highlight w:val="none"/>
                <w:u w:val="single"/>
              </w:rPr>
              <w:t>广州市白云区钟落潭镇竹二</w:t>
            </w:r>
            <w:r>
              <w:rPr>
                <w:rFonts w:hint="eastAsia" w:ascii="仿宋_GB2312" w:eastAsia="仿宋_GB2312"/>
                <w:color w:val="auto"/>
                <w:sz w:val="24"/>
                <w:szCs w:val="24"/>
                <w:highlight w:val="none"/>
                <w:u w:val="single"/>
              </w:rPr>
              <w:t>路</w:t>
            </w:r>
            <w:r>
              <w:rPr>
                <w:rFonts w:ascii="仿宋_GB2312" w:eastAsia="仿宋_GB2312"/>
                <w:color w:val="auto"/>
                <w:sz w:val="24"/>
                <w:szCs w:val="24"/>
                <w:highlight w:val="none"/>
                <w:u w:val="single"/>
              </w:rPr>
              <w:t>兰桂街100号广州市净水有限公司竹料分公司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7437"/>
      <w:bookmarkStart w:id="36" w:name="_Toc14552"/>
      <w:bookmarkStart w:id="37" w:name="_Toc3156"/>
      <w:bookmarkStart w:id="38" w:name="_Toc23581"/>
      <w:bookmarkStart w:id="39" w:name="_Toc19759"/>
      <w:bookmarkStart w:id="40" w:name="_Toc7118"/>
      <w:bookmarkStart w:id="41" w:name="_Toc4952"/>
      <w:bookmarkStart w:id="42" w:name="_Toc14870"/>
      <w:bookmarkStart w:id="43" w:name="_Toc10930"/>
      <w:bookmarkStart w:id="44" w:name="_Toc1905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7831"/>
      <w:bookmarkStart w:id="46" w:name="_Toc21079"/>
      <w:bookmarkStart w:id="47" w:name="_Toc30530"/>
      <w:bookmarkStart w:id="48" w:name="_Toc21840"/>
      <w:bookmarkStart w:id="49" w:name="_Toc32607"/>
      <w:bookmarkStart w:id="50" w:name="_Toc12177"/>
      <w:bookmarkStart w:id="51" w:name="_Toc22212"/>
      <w:bookmarkStart w:id="52" w:name="_Toc6308"/>
      <w:bookmarkStart w:id="53" w:name="_Toc29484"/>
      <w:bookmarkStart w:id="54" w:name="_Toc29345"/>
      <w:bookmarkStart w:id="55" w:name="_Toc87616378"/>
      <w:bookmarkStart w:id="56" w:name="_Toc88209941"/>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rFonts w:hint="eastAsia"/>
          <w:color w:val="auto"/>
          <w:highlight w:val="none"/>
        </w:rPr>
      </w:pPr>
    </w:p>
    <w:p>
      <w:pPr>
        <w:pStyle w:val="2"/>
        <w:ind w:firstLine="0"/>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2342515</wp:posOffset>
                </wp:positionH>
                <wp:positionV relativeFrom="paragraph">
                  <wp:posOffset>214630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45pt;margin-top:16.9pt;height:0pt;width:75.5pt;z-index:251674624;mso-width-relative:page;mso-height-relative:page;" filled="f" stroked="t" coordsize="21600,21600" o:gfxdata="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M1sEn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spacing w:line="360" w:lineRule="auto"/>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一期扩建北反应池装有曝气头1408个，需要对一期扩建北反应池更换1408个曝气头。一期反应池南池曝气头1408个，需要对一期反应池南池更换1408个曝气头，同步更换曝气管为304不锈钢厚度5mm,包含橡胶膜微孔曝气器及不锈钢曝气管路等管件的运输、拆卸、安装，提供池底向上1m不锈钢法兰处以下所有曝气器及不锈钢管配件。（一期反应池南池原曝气头型号为：卡扣式KBB-215型；本次曝气头大修更换型号为：螺纹旋钮式XZ-215型,直径270）。</w:t>
      </w: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p>
      <w:pPr>
        <w:pStyle w:val="10"/>
        <w:ind w:firstLine="40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仿宋_GB2312" w:hAnsi="仿宋_GB2312" w:eastAsia="仿宋_GB2312" w:cs="仿宋_GB2312"/>
          <w:b w:val="0"/>
          <w:bCs w:val="0"/>
          <w:color w:val="auto"/>
          <w:sz w:val="28"/>
          <w:szCs w:val="28"/>
          <w:highlight w:val="none"/>
          <w:lang w:val="en-US" w:eastAsia="zh-CN"/>
        </w:rPr>
        <w:t>工程量清单：</w:t>
      </w:r>
    </w:p>
    <w:tbl>
      <w:tblPr>
        <w:tblStyle w:val="23"/>
        <w:tblW w:w="7824" w:type="dxa"/>
        <w:tblInd w:w="0" w:type="dxa"/>
        <w:shd w:val="clear" w:color="auto" w:fill="auto"/>
        <w:tblLayout w:type="autofit"/>
        <w:tblCellMar>
          <w:top w:w="0" w:type="dxa"/>
          <w:left w:w="0" w:type="dxa"/>
          <w:bottom w:w="0" w:type="dxa"/>
          <w:right w:w="0" w:type="dxa"/>
        </w:tblCellMar>
      </w:tblPr>
      <w:tblGrid>
        <w:gridCol w:w="856"/>
        <w:gridCol w:w="1485"/>
        <w:gridCol w:w="6"/>
        <w:gridCol w:w="2969"/>
        <w:gridCol w:w="246"/>
        <w:gridCol w:w="709"/>
        <w:gridCol w:w="153"/>
        <w:gridCol w:w="1400"/>
      </w:tblGrid>
      <w:tr>
        <w:tblPrEx>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2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6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一期南反应池</w:t>
            </w:r>
          </w:p>
        </w:tc>
      </w:tr>
      <w:tr>
        <w:tblPrEx>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曝气器拆除及安装</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直径:De90不锈钢管码底座</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直径:De110不锈钢管码底座管码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直径:De160不锈钢管码底座管码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拆除及修复遮阳板</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（聚碳酸脂PC阳光板）</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21</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切割及修复焊接遮阳棚骨架</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（304不锈钢方管）</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7</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清理池底作业面污水及污泥</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清理池底剩余污水及污泥（深度10cm）至地面清洗可见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866.6</w:t>
            </w:r>
          </w:p>
        </w:tc>
      </w:tr>
      <w:tr>
        <w:tblPrEx>
          <w:shd w:val="clear" w:color="auto" w:fill="auto"/>
          <w:tblCellMar>
            <w:top w:w="0" w:type="dxa"/>
            <w:left w:w="0" w:type="dxa"/>
            <w:bottom w:w="0" w:type="dxa"/>
            <w:right w:w="0" w:type="dxa"/>
          </w:tblCellMar>
        </w:tblPrEx>
        <w:trPr>
          <w:trHeight w:val="825"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扩建北反应池</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bl>
    <w:p>
      <w:pPr>
        <w:pStyle w:val="2"/>
        <w:rPr>
          <w:rFonts w:ascii="仿宋_GB2312" w:eastAsia="仿宋_GB2312"/>
          <w:color w:val="auto"/>
          <w:sz w:val="28"/>
          <w:szCs w:val="28"/>
          <w:highlight w:val="none"/>
        </w:rPr>
      </w:pPr>
    </w:p>
    <w:p>
      <w:pPr>
        <w:autoSpaceDE w:val="0"/>
        <w:autoSpaceDN w:val="0"/>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项目特殊</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sz w:val="28"/>
          <w:szCs w:val="28"/>
          <w:highlight w:val="none"/>
          <w:lang w:val="en-US" w:eastAsia="zh-CN"/>
        </w:rPr>
        <w:t>无</w:t>
      </w:r>
      <w:r>
        <w:rPr>
          <w:rFonts w:hint="eastAsia" w:ascii="仿宋_GB2312" w:hAnsi="仿宋_GB2312" w:eastAsia="仿宋_GB2312" w:cs="仿宋_GB2312"/>
          <w:color w:val="auto"/>
          <w:sz w:val="28"/>
          <w:szCs w:val="28"/>
          <w:highlight w:val="none"/>
        </w:rPr>
        <w:t>。</w:t>
      </w:r>
    </w:p>
    <w:p>
      <w:pPr>
        <w:pStyle w:val="12"/>
        <w:adjustRightInd w:val="0"/>
        <w:snapToGrid w:val="0"/>
        <w:spacing w:line="300" w:lineRule="auto"/>
        <w:ind w:firstLine="562" w:firstLineChars="20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1.工期：</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lang w:val="zh-CN" w:eastAsia="zh-CN"/>
        </w:rPr>
        <w:t>天，具体开工时间以开工报告时间为准。</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施工期：具体日期以甲方（业主）发出的开工令为准，工作必须在</w:t>
      </w:r>
      <w:r>
        <w:rPr>
          <w:rFonts w:hint="eastAsia" w:ascii="仿宋_GB2312" w:hAnsi="仿宋_GB2312" w:eastAsia="仿宋_GB2312" w:cs="仿宋_GB2312"/>
          <w:color w:val="auto"/>
          <w:sz w:val="28"/>
          <w:szCs w:val="28"/>
          <w:highlight w:val="none"/>
          <w:lang w:val="en-US" w:eastAsia="zh-CN"/>
        </w:rPr>
        <w:t>20天内</w:t>
      </w:r>
      <w:r>
        <w:rPr>
          <w:rFonts w:hint="eastAsia" w:ascii="仿宋_GB2312" w:hAnsi="仿宋_GB2312" w:eastAsia="仿宋_GB2312" w:cs="仿宋_GB2312"/>
          <w:color w:val="auto"/>
          <w:sz w:val="28"/>
          <w:szCs w:val="28"/>
          <w:highlight w:val="none"/>
          <w:lang w:val="zh-CN" w:eastAsia="zh-CN"/>
        </w:rPr>
        <w:t>完成。</w:t>
      </w:r>
    </w:p>
    <w:p>
      <w:pPr>
        <w:pStyle w:val="2"/>
        <w:rPr>
          <w:rFonts w:hint="eastAsia" w:ascii="仿宋_GB2312" w:eastAsia="仿宋_GB2312"/>
          <w:color w:val="auto"/>
          <w:sz w:val="28"/>
          <w:szCs w:val="28"/>
          <w:highlight w:val="none"/>
          <w:u w:val="single"/>
        </w:rPr>
      </w:pPr>
      <w:r>
        <w:rPr>
          <w:rFonts w:hint="eastAsia" w:ascii="仿宋_GB2312" w:hAnsi="仿宋_GB2312" w:eastAsia="仿宋_GB2312" w:cs="仿宋_GB2312"/>
          <w:color w:val="auto"/>
          <w:sz w:val="28"/>
          <w:szCs w:val="28"/>
          <w:highlight w:val="none"/>
          <w:lang w:val="zh-CN" w:eastAsia="zh-CN"/>
        </w:rPr>
        <w:t>2.质量要求：</w:t>
      </w:r>
      <w:r>
        <w:rPr>
          <w:rFonts w:hint="eastAsia" w:ascii="仿宋_GB2312" w:eastAsia="仿宋_GB2312"/>
          <w:color w:val="auto"/>
          <w:sz w:val="28"/>
          <w:szCs w:val="28"/>
          <w:highlight w:val="none"/>
          <w:u w:val="single"/>
          <w:lang w:eastAsia="zh-CN"/>
        </w:rPr>
        <w:t>大修后，曝气头、曝气管道及其它附件</w:t>
      </w:r>
      <w:r>
        <w:rPr>
          <w:rFonts w:hint="eastAsia" w:ascii="仿宋_GB2312" w:eastAsia="仿宋_GB2312"/>
          <w:color w:val="auto"/>
          <w:sz w:val="28"/>
          <w:szCs w:val="28"/>
          <w:highlight w:val="none"/>
          <w:u w:val="single"/>
        </w:rPr>
        <w:t>调试正常并正常稳定运行，并提供调试合格报告。</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3.安全文明施工要求：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（1）在工程进行中，承包单位要注意保护场内的各种管线和设施。若有任何损坏，须立即通知有关部门和发包人，并由损坏单位承担损失和修复费用。</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4.总包及分包规定：</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5.保修期：质保期为验收合格之日起1年。</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6.发包人将自承包商履行完合同义务之日起三十个工作日内组织验收，验收要求、验收标准及方法如下：</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（1）验收依据：询价文件、询价响应文件、相关国家的质量标准规定等均为验收依据。</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（2）承包单位根据要求进行改造，完成之后，改造区域应符合使用要求，并且符合美观与周边环境协调的要求。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（3）发包人有权委托我国相关具有检验资质的部门、单位、机构针对项目进行检验。其检验结果将作为验收标准的组成部分之一。</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（4）验收时承包单位必须派代表参加。</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（5）验收过程所发生的一切费用由承包单位承担。</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7.付款方式：采用网银支付。</w:t>
      </w:r>
    </w:p>
    <w:p>
      <w:pPr>
        <w:pStyle w:val="2"/>
        <w:rPr>
          <w:rFonts w:ascii="仿宋_GB2312" w:eastAsia="仿宋_GB2312" w:hAnsiTheme="minorEastAsia"/>
          <w:color w:val="auto"/>
          <w:szCs w:val="21"/>
          <w:highlight w:val="none"/>
        </w:rPr>
      </w:pPr>
      <w:r>
        <w:rPr>
          <w:rFonts w:hint="eastAsia" w:ascii="仿宋_GB2312" w:hAnsi="仿宋_GB2312" w:eastAsia="仿宋_GB2312" w:cs="仿宋_GB2312"/>
          <w:color w:val="auto"/>
          <w:sz w:val="28"/>
          <w:szCs w:val="28"/>
          <w:highlight w:val="none"/>
          <w:lang w:val="zh-CN" w:eastAsia="zh-CN"/>
        </w:rPr>
        <w:t>8.承包方式：包工、包料、包工期、包质量、包安全、包文明施工。综合单价包干、项目措施费包干。</w:t>
      </w:r>
    </w:p>
    <w:p>
      <w:pPr>
        <w:pStyle w:val="2"/>
        <w:rPr>
          <w:rFonts w:hint="eastAsia" w:ascii="仿宋_GB2312" w:eastAsia="仿宋_GB2312"/>
          <w:color w:val="auto"/>
          <w:sz w:val="28"/>
          <w:szCs w:val="28"/>
          <w:highlight w:val="none"/>
          <w:u w:val="single"/>
        </w:rPr>
      </w:pPr>
    </w:p>
    <w:p>
      <w:pPr>
        <w:pStyle w:val="2"/>
        <w:rPr>
          <w:rFonts w:hint="eastAsia" w:ascii="仿宋_GB2312" w:eastAsia="仿宋_GB2312"/>
          <w:color w:val="auto"/>
          <w:sz w:val="28"/>
          <w:szCs w:val="28"/>
          <w:highlight w:val="none"/>
          <w:u w:val="singl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8538"/>
      <w:bookmarkStart w:id="62" w:name="_Toc23330"/>
      <w:bookmarkStart w:id="63" w:name="_Toc12135"/>
      <w:bookmarkStart w:id="64" w:name="_Toc25925"/>
      <w:bookmarkStart w:id="65" w:name="_Toc1496"/>
      <w:bookmarkStart w:id="66" w:name="_Toc4680"/>
      <w:bookmarkStart w:id="67" w:name="_Toc23353"/>
      <w:bookmarkStart w:id="68" w:name="_Toc537"/>
      <w:bookmarkStart w:id="69" w:name="_Toc1284"/>
      <w:bookmarkStart w:id="70" w:name="_Toc29835"/>
      <w:bookmarkStart w:id="71" w:name="_Toc1557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323"/>
      <w:bookmarkStart w:id="73" w:name="_Toc19088"/>
      <w:bookmarkStart w:id="74" w:name="_Toc22797"/>
      <w:bookmarkStart w:id="75" w:name="_Toc12721"/>
      <w:bookmarkStart w:id="76" w:name="_Toc12968"/>
      <w:bookmarkStart w:id="77" w:name="_Toc12980"/>
      <w:bookmarkStart w:id="78" w:name="_Toc87616386"/>
      <w:bookmarkStart w:id="79" w:name="_Toc1375"/>
      <w:bookmarkStart w:id="80" w:name="_Toc88209949"/>
      <w:bookmarkStart w:id="81" w:name="_Toc22501"/>
      <w:bookmarkStart w:id="82" w:name="_Toc19686"/>
      <w:bookmarkStart w:id="83" w:name="_Toc13309"/>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rPr>
          <w:rFonts w:ascii="宋体" w:hAnsi="宋体"/>
          <w:b/>
          <w:color w:val="auto"/>
          <w:szCs w:val="21"/>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widowControl/>
        <w:adjustRightInd w:val="0"/>
        <w:snapToGrid w:val="0"/>
        <w:spacing w:line="600" w:lineRule="exact"/>
        <w:jc w:val="left"/>
        <w:rPr>
          <w:rFonts w:hint="eastAsia" w:ascii="宋体" w:hAnsi="宋体" w:cs="宋体" w:eastAsiaTheme="minorEastAsia"/>
          <w:b/>
          <w:color w:val="auto"/>
          <w:sz w:val="30"/>
          <w:szCs w:val="30"/>
          <w:highlight w:val="none"/>
          <w:lang w:eastAsia="zh-CN"/>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w:t>
      </w:r>
      <w:r>
        <w:rPr>
          <w:rFonts w:hint="eastAsia" w:ascii="宋体" w:hAnsi="宋体" w:cs="宋体"/>
          <w:b/>
          <w:color w:val="auto"/>
          <w:sz w:val="30"/>
          <w:szCs w:val="30"/>
          <w:highlight w:val="none"/>
          <w:lang w:eastAsia="zh-CN"/>
        </w:rPr>
        <w:t>广州市净水有限公司竹料分公司2023年一期南、扩建北反应池曝气头及曝气管大修项目（第二次）</w:t>
      </w:r>
    </w:p>
    <w:p>
      <w:pPr>
        <w:widowControl/>
        <w:adjustRightInd w:val="0"/>
        <w:snapToGrid w:val="0"/>
        <w:spacing w:line="600" w:lineRule="exact"/>
        <w:jc w:val="left"/>
        <w:rPr>
          <w:rFonts w:hint="eastAsia" w:ascii="宋体" w:hAnsi="宋体" w:cs="宋体"/>
          <w:b/>
          <w:color w:val="auto"/>
          <w:sz w:val="30"/>
          <w:szCs w:val="30"/>
          <w:highlight w:val="none"/>
        </w:rPr>
      </w:pPr>
    </w:p>
    <w:p>
      <w:pPr>
        <w:widowControl/>
        <w:adjustRightInd w:val="0"/>
        <w:snapToGrid w:val="0"/>
        <w:spacing w:line="600" w:lineRule="exact"/>
        <w:jc w:val="left"/>
        <w:rPr>
          <w:rFonts w:hint="eastAsia" w:ascii="宋体" w:hAnsi="宋体" w:cs="宋体" w:eastAsiaTheme="minorEastAsia"/>
          <w:b/>
          <w:color w:val="auto"/>
          <w:sz w:val="30"/>
          <w:szCs w:val="30"/>
          <w:highlight w:val="none"/>
          <w:lang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w:t>
      </w:r>
    </w:p>
    <w:p>
      <w:pPr>
        <w:pStyle w:val="28"/>
        <w:rPr>
          <w:rFonts w:hAnsi="宋体" w:eastAsia="宋体"/>
          <w:color w:val="auto"/>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spacing w:before="93" w:beforeLines="30" w:line="384" w:lineRule="auto"/>
        <w:ind w:left="210" w:leftChars="100" w:firstLine="600" w:firstLineChars="250"/>
        <w:rPr>
          <w:rFonts w:hint="eastAsia" w:ascii="宋体" w:hAnsi="宋体" w:cs="宋体"/>
          <w:color w:val="auto"/>
          <w:sz w:val="24"/>
          <w:highlight w:val="none"/>
        </w:rPr>
      </w:pPr>
    </w:p>
    <w:p>
      <w:pPr>
        <w:pStyle w:val="28"/>
        <w:rPr>
          <w:rFonts w:hint="eastAsia"/>
          <w:color w:val="auto"/>
          <w:highlight w:val="none"/>
        </w:rPr>
      </w:pPr>
    </w:p>
    <w:p>
      <w:pPr>
        <w:spacing w:before="93" w:beforeLines="30" w:line="384"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中标通知书/发包通知书/成交通知书/委托函；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eastAsia="zh-CN"/>
        </w:rPr>
        <w:t>广州市净水有限公司竹料分公司2023年一期南、扩建北反应池曝气头及曝气管大修项目（第二次）</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广州市白云区钟落潭镇竹二路兰桂街100号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2.3项目内容：</w:t>
      </w:r>
      <w:r>
        <w:rPr>
          <w:rFonts w:hint="eastAsia" w:ascii="宋体" w:hAnsi="宋体" w:cs="宋体"/>
          <w:color w:val="auto"/>
          <w:sz w:val="24"/>
          <w:highlight w:val="none"/>
          <w:lang w:val="en-US" w:eastAsia="zh-CN"/>
        </w:rPr>
        <w:t>一期扩建北反应池装有曝气头1408个，需要对一期扩建北反应池更换1408个曝气头。一期反应池南池曝气头1408个，需要对一期反应池南池更换1408个曝气头，同步更换曝气管为304不锈钢厚度5mm,包含橡胶膜微孔曝气器及不锈钢曝气管路等管件的运输、拆卸、安装，提供池底向上1m不锈钢法兰处以下所有曝气器及不锈钢管配件。（一期反应池南池原曝气头型号为：卡扣式KBB-215型；本次曝气头大修更换型号为：螺纹旋钮式XZ-215型,直径270）。</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lang w:val="en-US" w:eastAsia="zh-CN"/>
        </w:rPr>
        <w:t xml:space="preserve"> （1）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4.3</w:t>
      </w:r>
      <w:r>
        <w:rPr>
          <w:rFonts w:hint="eastAsia" w:ascii="宋体" w:hAnsi="宋体" w:eastAsia="宋体" w:cs="宋体"/>
          <w:bCs w:val="0"/>
          <w:color w:val="auto"/>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eastAsia="宋体" w:cs="宋体"/>
          <w:color w:val="auto"/>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8"/>
        <w:rPr>
          <w:rFonts w:eastAsia="宋体"/>
          <w:color w:val="auto"/>
          <w:highlight w:val="none"/>
        </w:rPr>
      </w:pPr>
      <w:r>
        <w:rPr>
          <w:rFonts w:hint="eastAsia" w:hAnsi="宋体" w:eastAsia="宋体"/>
          <w:color w:val="auto"/>
          <w:highlight w:val="none"/>
        </w:rPr>
        <w:t xml:space="preserve">  </w:t>
      </w:r>
      <w:r>
        <w:rPr>
          <w:rFonts w:hAnsi="宋体" w:eastAsia="宋体"/>
          <w:color w:val="auto"/>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100</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eastAsia="zh-CN"/>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千</w:t>
      </w:r>
      <w:r>
        <w:rPr>
          <w:rFonts w:ascii="宋体" w:hAnsi="宋体" w:cs="宋体"/>
          <w:bCs/>
          <w:color w:val="auto"/>
          <w:sz w:val="24"/>
          <w:highlight w:val="none"/>
          <w:u w:val="single"/>
        </w:rPr>
        <w:t>元</w:t>
      </w:r>
      <w:r>
        <w:rPr>
          <w:rFonts w:ascii="宋体" w:hAnsi="宋体" w:cs="宋体"/>
          <w:bCs/>
          <w:color w:val="auto"/>
          <w:sz w:val="24"/>
          <w:highlight w:val="none"/>
        </w:rPr>
        <w:t>，超过</w:t>
      </w:r>
      <w:r>
        <w:rPr>
          <w:rFonts w:hint="eastAsia" w:ascii="宋体" w:hAnsi="宋体" w:cs="宋体"/>
          <w:bCs/>
          <w:color w:val="auto"/>
          <w:sz w:val="24"/>
          <w:highlight w:val="none"/>
          <w:lang w:eastAsia="zh-CN"/>
        </w:rPr>
        <w:t>3</w:t>
      </w:r>
      <w:r>
        <w:rPr>
          <w:rFonts w:hint="eastAsia" w:ascii="宋体" w:hAnsi="宋体" w:cs="宋体"/>
          <w:bCs/>
          <w:color w:val="auto"/>
          <w:sz w:val="24"/>
          <w:highlight w:val="none"/>
          <w:lang w:val="en-US" w:eastAsia="zh-CN"/>
        </w:rPr>
        <w:t>0</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pStyle w:val="28"/>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pStyle w:val="28"/>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ascii="宋体" w:hAnsi="宋体" w:cs="宋体"/>
          <w:color w:val="auto"/>
          <w:sz w:val="24"/>
          <w:highlight w:val="none"/>
        </w:rPr>
        <w:t>方式执行。</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 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sym w:font="Wingdings" w:char="00FE"/>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u w:val="single"/>
          <w:lang w:val="en-US" w:eastAsia="zh-CN"/>
        </w:rPr>
        <w:t>0%</w:t>
      </w:r>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eastAsia" w:hAnsi="宋体" w:cs="宋体" w:eastAsiaTheme="minorEastAsia"/>
          <w:color w:val="auto"/>
          <w:sz w:val="24"/>
          <w:szCs w:val="24"/>
          <w:highlight w:val="none"/>
          <w:lang w:eastAsia="zh-CN"/>
        </w:rPr>
      </w:pPr>
      <w:r>
        <w:rPr>
          <w:rFonts w:hAnsi="宋体" w:cs="宋体"/>
          <w:color w:val="auto"/>
          <w:sz w:val="24"/>
          <w:szCs w:val="24"/>
          <w:highlight w:val="none"/>
        </w:rPr>
        <w:t>8.2</w:t>
      </w:r>
      <w:r>
        <w:rPr>
          <w:rFonts w:hint="eastAsia" w:hAnsi="宋体" w:cs="宋体"/>
          <w:color w:val="auto"/>
          <w:sz w:val="24"/>
          <w:szCs w:val="24"/>
          <w:highlight w:val="none"/>
        </w:rPr>
        <w:t>甲乙双方确认开工报告，乙方根据现场情况</w:t>
      </w:r>
      <w:r>
        <w:rPr>
          <w:rFonts w:hint="eastAsia" w:hAnsi="宋体" w:cs="宋体"/>
          <w:color w:val="auto"/>
          <w:sz w:val="24"/>
          <w:szCs w:val="24"/>
          <w:highlight w:val="none"/>
          <w:lang w:val="en-US" w:eastAsia="zh-CN"/>
        </w:rPr>
        <w:t>编制</w:t>
      </w:r>
      <w:r>
        <w:rPr>
          <w:rFonts w:hint="eastAsia" w:hAnsi="宋体" w:cs="宋体"/>
          <w:color w:val="auto"/>
          <w:sz w:val="24"/>
          <w:szCs w:val="24"/>
          <w:highlight w:val="none"/>
        </w:rPr>
        <w:t>施工方案、应急预案等安全备案资料提交</w:t>
      </w:r>
      <w:r>
        <w:rPr>
          <w:rFonts w:hint="eastAsia" w:hAnsi="宋体" w:cs="宋体"/>
          <w:color w:val="auto"/>
          <w:sz w:val="24"/>
          <w:szCs w:val="24"/>
          <w:highlight w:val="none"/>
          <w:lang w:val="en-US" w:eastAsia="zh-CN"/>
        </w:rPr>
        <w:t>甲方</w:t>
      </w:r>
      <w:r>
        <w:rPr>
          <w:rFonts w:hint="eastAsia" w:hAnsi="宋体" w:cs="宋体"/>
          <w:color w:val="auto"/>
          <w:sz w:val="24"/>
          <w:szCs w:val="24"/>
          <w:highlight w:val="none"/>
        </w:rPr>
        <w:t>备案后，由乙方提交申请支付资料 15 个工作日内，甲方支付至合同暂定总价的30％</w:t>
      </w:r>
      <w:r>
        <w:rPr>
          <w:rFonts w:hint="eastAsia" w:hAnsi="宋体" w:cs="宋体"/>
          <w:color w:val="auto"/>
          <w:sz w:val="24"/>
          <w:szCs w:val="24"/>
          <w:highlight w:val="none"/>
          <w:lang w:eastAsia="zh-CN"/>
        </w:rPr>
        <w:t>。</w:t>
      </w:r>
    </w:p>
    <w:p>
      <w:pPr>
        <w:pStyle w:val="12"/>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个工作日内，甲方支付至合同暂定总价的80％即^万元给乙方。</w:t>
      </w:r>
      <w:r>
        <w:rPr>
          <w:rFonts w:hint="eastAsia" w:hAnsi="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rPr>
        <w:t>项目验收合同后，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税号： 9144010755584729Q  </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   广州市天河区临江大道501号,020-38890283</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专用发票信息：民生银行广州分行0301014140006932  </w:t>
      </w:r>
    </w:p>
    <w:p>
      <w:pPr>
        <w:spacing w:line="384" w:lineRule="auto"/>
        <w:ind w:firstLine="480" w:firstLineChars="200"/>
        <w:outlineLvl w:val="0"/>
        <w:rPr>
          <w:rFonts w:ascii="宋体" w:hAnsi="宋体" w:eastAsia="宋体" w:cs="宋体"/>
          <w:color w:val="auto"/>
          <w:sz w:val="24"/>
          <w:highlight w:val="none"/>
        </w:rPr>
      </w:pP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cstheme="minorEastAsia"/>
          <w:color w:val="auto"/>
          <w:sz w:val="24"/>
          <w:highlight w:val="none"/>
        </w:rPr>
        <w:t xml:space="preserve">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pStyle w:val="12"/>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 xml:space="preserve">：    </w:t>
      </w:r>
    </w:p>
    <w:p>
      <w:pPr>
        <w:numPr>
          <w:ilvl w:val="0"/>
          <w:numId w:val="5"/>
        </w:numPr>
        <w:spacing w:before="120" w:after="156" w:afterLines="50" w:line="384" w:lineRule="auto"/>
        <w:ind w:firstLine="482" w:firstLineChars="200"/>
        <w:jc w:val="left"/>
        <w:rPr>
          <w:rFonts w:ascii="宋体" w:hAnsi="宋体" w:cs="宋体"/>
          <w:b/>
          <w:bCs/>
          <w:color w:val="auto"/>
          <w:sz w:val="24"/>
          <w:highlight w:val="none"/>
        </w:rPr>
      </w:pPr>
      <w:bookmarkStart w:id="85" w:name="_Toc520190034"/>
      <w:bookmarkStart w:id="86" w:name="_Toc474245220"/>
      <w:bookmarkStart w:id="87" w:name="_Toc518992994"/>
      <w:r>
        <w:rPr>
          <w:rFonts w:hint="eastAsia" w:ascii="宋体" w:hAnsi="宋体" w:cs="宋体"/>
          <w:b/>
          <w:bCs/>
          <w:color w:val="auto"/>
          <w:sz w:val="24"/>
          <w:highlight w:val="none"/>
        </w:rPr>
        <w:t>质量保证</w:t>
      </w:r>
      <w:bookmarkEnd w:id="85"/>
      <w:bookmarkEnd w:id="86"/>
      <w:bookmarkEnd w:id="87"/>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rPr>
          <w:rFonts w:ascii="宋体" w:hAnsi="宋体" w:cs="宋体"/>
          <w:color w:val="auto"/>
          <w:sz w:val="24"/>
          <w:highlight w:val="none"/>
        </w:rPr>
      </w:pPr>
      <w:bookmarkStart w:id="88" w:name="_Toc19692"/>
      <w:bookmarkStart w:id="89" w:name="_Toc183666531"/>
      <w:bookmarkStart w:id="90" w:name="_Toc518993000"/>
      <w:bookmarkStart w:id="91" w:name="_Toc520190040"/>
      <w:bookmarkStart w:id="92" w:name="_Toc107447255"/>
      <w:bookmarkStart w:id="93" w:name="_Toc306350467"/>
      <w:bookmarkStart w:id="94" w:name="_Toc474245226"/>
      <w:bookmarkStart w:id="95" w:name="_Toc107446862"/>
      <w:r>
        <w:rPr>
          <w:rFonts w:hint="eastAsia" w:ascii="宋体" w:hAnsi="宋体" w:cs="宋体"/>
          <w:b/>
          <w:bCs/>
          <w:color w:val="auto"/>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96" w:name="_Toc12010"/>
      <w:bookmarkStart w:id="97" w:name="_Toc306350468"/>
      <w:bookmarkStart w:id="98" w:name="_Toc183666532"/>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107446864"/>
      <w:bookmarkStart w:id="100" w:name="_Toc520190041"/>
      <w:bookmarkStart w:id="101" w:name="_Toc518993001"/>
      <w:bookmarkStart w:id="102" w:name="_Toc107447257"/>
      <w:bookmarkStart w:id="103" w:name="_Toc118172294"/>
      <w:bookmarkStart w:id="104" w:name="_Toc474245227"/>
    </w:p>
    <w:p>
      <w:pPr>
        <w:spacing w:before="156" w:beforeLines="50" w:after="156"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color w:val="auto"/>
          <w:sz w:val="24"/>
          <w:highlight w:val="none"/>
        </w:rPr>
      </w:pPr>
      <w:bookmarkStart w:id="105" w:name="_Toc306350469"/>
      <w:bookmarkStart w:id="106"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5"/>
      <w:bookmarkEnd w:id="106"/>
      <w:bookmarkStart w:id="107" w:name="_Toc474245229"/>
      <w:bookmarkStart w:id="108" w:name="_Toc518993003"/>
      <w:bookmarkStart w:id="109" w:name="_Toc52019004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10" w:name="_Toc107446871"/>
      <w:bookmarkStart w:id="111" w:name="_Toc107447264"/>
      <w:r>
        <w:rPr>
          <w:rFonts w:hint="eastAsia" w:ascii="宋体" w:hAnsi="宋体" w:cs="宋体"/>
          <w:b/>
          <w:bCs/>
          <w:color w:val="auto"/>
          <w:sz w:val="24"/>
          <w:highlight w:val="none"/>
        </w:rPr>
        <w:t>合同生效及其他</w:t>
      </w:r>
      <w:bookmarkEnd w:id="107"/>
      <w:bookmarkEnd w:id="108"/>
      <w:bookmarkEnd w:id="109"/>
      <w:bookmarkEnd w:id="110"/>
      <w:bookmarkEnd w:id="111"/>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本合同正文一式份，其中：甲方份，乙方份。</w:t>
      </w:r>
    </w:p>
    <w:p>
      <w:pPr>
        <w:spacing w:line="384" w:lineRule="auto"/>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p>
    <w:p>
      <w:pPr>
        <w:spacing w:line="384" w:lineRule="auto"/>
        <w:ind w:firstLine="480"/>
        <w:rPr>
          <w:rFonts w:ascii="宋体" w:hAnsi="宋体" w:cs="宋体"/>
          <w:color w:val="auto"/>
          <w:sz w:val="24"/>
          <w:highlight w:val="none"/>
          <w:u w:val="singl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成交通知书/委托函（如有）</w:t>
      </w:r>
    </w:p>
    <w:p>
      <w:pPr>
        <w:spacing w:line="46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2.廉洁协议</w:t>
      </w:r>
    </w:p>
    <w:p>
      <w:pPr>
        <w:spacing w:line="384" w:lineRule="auto"/>
        <w:ind w:firstLine="720" w:firstLineChars="300"/>
        <w:rPr>
          <w:rFonts w:ascii="宋体" w:hAnsi="宋体" w:eastAsia="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rPr>
          <w:rFonts w:ascii="宋体" w:hAnsi="宋体" w:cs="宋体"/>
          <w:color w:val="auto"/>
          <w:sz w:val="24"/>
          <w:highlight w:val="none"/>
        </w:rPr>
      </w:pPr>
      <w:r>
        <w:rPr>
          <w:rFonts w:hint="eastAsia" w:asciiTheme="minorEastAsia" w:hAnsiTheme="minorEastAsia" w:cstheme="minorEastAsia"/>
          <w:color w:val="auto"/>
          <w:sz w:val="24"/>
          <w:highlight w:val="none"/>
        </w:rPr>
        <w:t xml:space="preserve">    </w:t>
      </w:r>
      <w:r>
        <w:rPr>
          <w:rFonts w:hint="eastAsia" w:ascii="宋体" w:hAnsi="宋体" w:cs="宋体"/>
          <w:color w:val="auto"/>
          <w:sz w:val="24"/>
          <w:highlight w:val="none"/>
        </w:rPr>
        <w:t xml:space="preserve">  7.履约保函（模板）</w:t>
      </w:r>
    </w:p>
    <w:p>
      <w:pPr>
        <w:spacing w:line="360" w:lineRule="auto"/>
        <w:ind w:firstLine="720" w:firstLineChars="3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防疫管理协议书</w:t>
      </w:r>
    </w:p>
    <w:p>
      <w:pPr>
        <w:spacing w:line="384" w:lineRule="auto"/>
        <w:ind w:firstLine="0" w:firstLineChars="0"/>
        <w:rPr>
          <w:rFonts w:ascii="宋体" w:hAnsi="宋体" w:eastAsia="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 或                         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                                  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                              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                    签署日期：年月日</w:t>
      </w: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bookmarkStart w:id="112" w:name="_Toc387080836"/>
      <w:bookmarkStart w:id="113" w:name="_Toc389815031"/>
      <w:bookmarkStart w:id="114" w:name="_Toc389815339"/>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5"/>
        <w:adjustRightInd/>
        <w:spacing w:line="560" w:lineRule="exact"/>
        <w:textAlignment w:val="auto"/>
        <w:rPr>
          <w:rFonts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34"/>
        <w:tabs>
          <w:tab w:val="left" w:pos="5100"/>
        </w:tabs>
        <w:spacing w:line="56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pStyle w:val="2"/>
        <w:rPr>
          <w:rFonts w:ascii="仿宋_GB2312" w:hAnsi="仿宋_GB2312" w:eastAsia="仿宋_GB2312" w:cs="仿宋_GB2312"/>
          <w:bCs/>
          <w:color w:val="auto"/>
          <w:sz w:val="28"/>
          <w:szCs w:val="28"/>
          <w:highlight w:val="none"/>
        </w:rPr>
      </w:pPr>
    </w:p>
    <w:p>
      <w:pPr>
        <w:pStyle w:val="2"/>
        <w:ind w:firstLine="0"/>
        <w:rPr>
          <w:rFonts w:ascii="仿宋_GB2312" w:hAnsi="仿宋_GB2312" w:eastAsia="仿宋_GB2312" w:cs="仿宋_GB2312"/>
          <w:bCs/>
          <w:color w:val="auto"/>
          <w:sz w:val="28"/>
          <w:szCs w:val="28"/>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w:t>
      </w:r>
      <w:bookmarkEnd w:id="112"/>
      <w:bookmarkEnd w:id="113"/>
      <w:bookmarkEnd w:id="114"/>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5"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6"/>
          <w:rFonts w:asciiTheme="minorEastAsia" w:hAnsiTheme="minorEastAsia" w:eastAsiaTheme="minorEastAsia"/>
          <w:b w:val="0"/>
          <w:color w:val="auto"/>
          <w:highlight w:val="none"/>
          <w:u w:val="single"/>
        </w:rPr>
      </w:pPr>
    </w:p>
    <w:bookmarkEnd w:id="115"/>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asciiTheme="minorEastAsia" w:hAnsiTheme="minorEastAsia"/>
          <w:b/>
          <w:color w:val="auto"/>
          <w:sz w:val="24"/>
          <w:highlight w:val="none"/>
        </w:rPr>
        <w:t xml:space="preserve"> 二、</w:t>
      </w:r>
      <w:r>
        <w:rPr>
          <w:rFonts w:hint="eastAsia" w:asciiTheme="minorEastAsia" w:hAnsi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根据《广州市水务局关于印发广州市水务工程施工和监理企业诚信评价管理办法的通知》（穗水建设〔2</w:t>
      </w:r>
      <w:r>
        <w:rPr>
          <w:rFonts w:asciiTheme="minorEastAsia" w:hAnsiTheme="minorEastAsia"/>
          <w:color w:val="auto"/>
          <w:sz w:val="24"/>
          <w:highlight w:val="none"/>
        </w:rPr>
        <w:t>014</w:t>
      </w:r>
      <w:r>
        <w:rPr>
          <w:rFonts w:hint="eastAsia" w:asciiTheme="minorEastAsia" w:hAnsiTheme="minorEastAsia"/>
          <w:color w:val="auto"/>
          <w:sz w:val="24"/>
          <w:highlight w:val="none"/>
        </w:rPr>
        <w:t>〕1</w:t>
      </w:r>
      <w:r>
        <w:rPr>
          <w:rFonts w:asciiTheme="minorEastAsia" w:hAnsiTheme="minorEastAsia"/>
          <w:color w:val="auto"/>
          <w:sz w:val="24"/>
          <w:highlight w:val="none"/>
        </w:rPr>
        <w:t>0</w:t>
      </w:r>
      <w:r>
        <w:rPr>
          <w:rFonts w:hint="eastAsia" w:asciiTheme="minorEastAsia" w:hAnsiTheme="minorEastAsia"/>
          <w:color w:val="auto"/>
          <w:sz w:val="24"/>
          <w:highlight w:val="none"/>
        </w:rPr>
        <w:t>号）、《市净水公司关于印发施工和监理企业诚信评价工作实施办法的通知》（穗净水〔201</w:t>
      </w:r>
      <w:r>
        <w:rPr>
          <w:rFonts w:asciiTheme="minorEastAsia" w:hAnsiTheme="minorEastAsia"/>
          <w:color w:val="auto"/>
          <w:sz w:val="24"/>
          <w:highlight w:val="none"/>
        </w:rPr>
        <w:t>5</w:t>
      </w:r>
      <w:r>
        <w:rPr>
          <w:rFonts w:hint="eastAsia" w:asciiTheme="minorEastAsia" w:hAnsiTheme="minorEastAsia"/>
          <w:color w:val="auto"/>
          <w:sz w:val="24"/>
          <w:highlight w:val="none"/>
        </w:rPr>
        <w:t>〕2</w:t>
      </w:r>
      <w:r>
        <w:rPr>
          <w:rFonts w:asciiTheme="minorEastAsia" w:hAnsiTheme="minorEastAsia"/>
          <w:color w:val="auto"/>
          <w:sz w:val="24"/>
          <w:highlight w:val="none"/>
        </w:rPr>
        <w:t>40</w:t>
      </w:r>
      <w:r>
        <w:rPr>
          <w:rFonts w:hint="eastAsia" w:asciiTheme="minorEastAsia" w:hAnsi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（三）乙方应在合同签订后</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color w:val="auto"/>
          <w:sz w:val="24"/>
          <w:highlight w:val="none"/>
        </w:rPr>
      </w:pPr>
      <w:r>
        <w:rPr>
          <w:rFonts w:hint="eastAsia" w:asciiTheme="minorEastAsia" w:hAnsiTheme="minorEastAsia"/>
          <w:b/>
          <w:color w:val="auto"/>
          <w:sz w:val="24"/>
          <w:highlight w:val="none"/>
        </w:rPr>
        <w:t>五、补充条款：</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c>
          <w:tcPr>
            <w:tcW w:w="4474"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r>
    </w:tbl>
    <w:p>
      <w:pPr>
        <w:spacing w:line="360" w:lineRule="auto"/>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b/>
          <w:bCs/>
          <w:color w:val="auto"/>
          <w:szCs w:val="21"/>
          <w:highlight w:val="none"/>
        </w:rPr>
        <w:t>附件5：</w:t>
      </w:r>
      <w:r>
        <w:rPr>
          <w:rFonts w:hint="eastAsia" w:ascii="宋体" w:hAnsi="宋体" w:cs="宋体"/>
          <w:b/>
          <w:bCs/>
          <w:color w:val="auto"/>
          <w:szCs w:val="21"/>
          <w:highlight w:val="none"/>
          <w:lang w:val="en-US" w:eastAsia="zh-CN"/>
        </w:rPr>
        <w:t>工程量报价详见响应文件格式要求5报价表</w:t>
      </w:r>
    </w:p>
    <w:p>
      <w:pPr>
        <w:spacing w:line="360" w:lineRule="auto"/>
        <w:rPr>
          <w:rFonts w:ascii="宋体" w:hAnsi="宋体" w:cs="宋体"/>
          <w:color w:val="auto"/>
          <w:sz w:val="24"/>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ascii="仿宋" w:hAnsi="仿宋" w:eastAsia="仿宋" w:cs="仿宋_GB2312"/>
          <w:color w:val="auto"/>
          <w:sz w:val="28"/>
          <w:szCs w:val="28"/>
          <w:highlight w:val="none"/>
        </w:rPr>
      </w:pPr>
    </w:p>
    <w:p>
      <w:pPr>
        <w:rPr>
          <w:rFonts w:hint="eastAsia" w:ascii="宋体" w:hAnsi="宋体" w:cs="宋体"/>
          <w:b/>
          <w:bCs/>
          <w:color w:val="auto"/>
          <w:szCs w:val="21"/>
          <w:highlight w:val="none"/>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7"/>
        <w:rPr>
          <w:rFonts w:hint="eastAsia"/>
        </w:rPr>
      </w:pPr>
    </w:p>
    <w:p>
      <w:pPr>
        <w:rPr>
          <w:rFonts w:ascii="仿宋_GB2312" w:eastAsia="仿宋_GB2312"/>
          <w:b/>
          <w:color w:val="auto"/>
          <w:sz w:val="28"/>
          <w:szCs w:val="28"/>
          <w:highlight w:val="none"/>
        </w:rPr>
      </w:pPr>
      <w:r>
        <w:rPr>
          <w:rFonts w:hint="eastAsia" w:ascii="宋体" w:hAnsi="宋体" w:cs="宋体"/>
          <w:b/>
          <w:bCs/>
          <w:color w:val="auto"/>
          <w:szCs w:val="21"/>
          <w:highlight w:val="none"/>
          <w:lang w:val="en-US" w:eastAsia="zh-CN"/>
        </w:rPr>
        <w:t>附件8：</w:t>
      </w:r>
      <w:r>
        <w:rPr>
          <w:rFonts w:hint="eastAsia" w:ascii="宋体" w:hAnsi="宋体" w:cs="宋体"/>
          <w:b/>
          <w:bCs/>
          <w:color w:val="auto"/>
          <w:szCs w:val="21"/>
          <w:highlight w:val="none"/>
        </w:rPr>
        <w:t>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与建设主管部门和属地疫情防控指挥部门形成联防联控机制，建立快速有效的处置工作流程。</w:t>
      </w:r>
    </w:p>
    <w:p>
      <w:pPr>
        <w:pStyle w:val="7"/>
        <w:widowControl w:val="0"/>
        <w:adjustRightInd/>
        <w:snapToGrid/>
        <w:spacing w:line="440" w:lineRule="exact"/>
        <w:ind w:firstLine="48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三、乙方的义务</w:t>
      </w:r>
    </w:p>
    <w:p>
      <w:pPr>
        <w:pStyle w:val="7"/>
        <w:widowControl w:val="0"/>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（一）开展疫情防控宣传教育，提高</w:t>
      </w:r>
      <w:r>
        <w:rPr>
          <w:rFonts w:hint="eastAsia" w:ascii="仿宋" w:hAnsi="仿宋" w:eastAsia="仿宋" w:cs="仿宋"/>
          <w:color w:val="auto"/>
          <w:sz w:val="24"/>
          <w:highlight w:val="none"/>
        </w:rPr>
        <w:t>乙方</w:t>
      </w:r>
      <w:r>
        <w:rPr>
          <w:rFonts w:hint="eastAsia" w:ascii="仿宋" w:hAnsi="仿宋" w:eastAsia="仿宋" w:cs="仿宋"/>
          <w:color w:val="auto"/>
          <w:kern w:val="2"/>
          <w:sz w:val="24"/>
          <w:szCs w:val="24"/>
          <w:highlight w:val="none"/>
        </w:rPr>
        <w:t>人员自我防护意识，最大限度减少人员暴露和感染的风险。</w:t>
      </w:r>
    </w:p>
    <w:p>
      <w:pPr>
        <w:pStyle w:val="7"/>
        <w:widowControl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sz w:val="24"/>
          <w:highlight w:val="none"/>
        </w:rPr>
        <w:t>做好乙方人员防控工作管理，及时提交防疫资料，落实疫情防控备案，必要时需</w:t>
      </w:r>
      <w:r>
        <w:rPr>
          <w:rFonts w:hint="eastAsia" w:ascii="仿宋" w:hAnsi="仿宋" w:eastAsia="仿宋" w:cs="仿宋"/>
          <w:color w:val="auto"/>
          <w:kern w:val="2"/>
          <w:sz w:val="24"/>
          <w:szCs w:val="24"/>
          <w:highlight w:val="none"/>
        </w:rPr>
        <w:t>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w:t>
      </w:r>
      <w:r>
        <w:rPr>
          <w:rFonts w:hint="eastAsia" w:ascii="仿宋" w:hAnsi="仿宋" w:eastAsia="仿宋" w:cs="仿宋"/>
          <w:color w:val="auto"/>
          <w:sz w:val="24"/>
          <w:szCs w:val="24"/>
          <w:highlight w:val="none"/>
        </w:rPr>
        <w:t>甲方各厂区进厂门岗防控要求</w:t>
      </w:r>
      <w:r>
        <w:rPr>
          <w:rFonts w:hint="eastAsia" w:ascii="仿宋" w:hAnsi="仿宋" w:eastAsia="仿宋" w:cs="仿宋"/>
          <w:color w:val="auto"/>
          <w:sz w:val="24"/>
          <w:highlight w:val="none"/>
        </w:rPr>
        <w:t>进行疫苗接种及核酸检测，未满足相关要求的人员甲方有权限制进入厂区。</w:t>
      </w:r>
    </w:p>
    <w:p>
      <w:pPr>
        <w:pStyle w:val="7"/>
        <w:widowControl w:val="0"/>
        <w:adjustRightInd/>
        <w:snapToGrid/>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szCs w:val="24"/>
          <w:highlight w:val="none"/>
        </w:rPr>
        <w:t>（五）各级政府、有关部门及甲方的其他</w:t>
      </w:r>
      <w:r>
        <w:rPr>
          <w:rFonts w:hint="eastAsia" w:ascii="仿宋" w:hAnsi="仿宋" w:eastAsia="仿宋" w:cs="仿宋"/>
          <w:color w:val="auto"/>
          <w:sz w:val="24"/>
          <w:highlight w:val="none"/>
        </w:rPr>
        <w:t>防控要求</w:t>
      </w:r>
      <w:r>
        <w:rPr>
          <w:rFonts w:hint="eastAsia" w:ascii="仿宋" w:hAnsi="仿宋" w:eastAsia="仿宋" w:cs="仿宋"/>
          <w:color w:val="auto"/>
          <w:sz w:val="24"/>
          <w:szCs w:val="24"/>
          <w:highlight w:val="none"/>
        </w:rPr>
        <w:t>。</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pStyle w:val="37"/>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116" w:name="_Toc28358"/>
      <w:bookmarkStart w:id="117" w:name="_Toc30824"/>
      <w:bookmarkStart w:id="118" w:name="_Toc21847"/>
      <w:bookmarkStart w:id="119" w:name="_Toc8147"/>
      <w:bookmarkStart w:id="120" w:name="_Toc16552"/>
      <w:bookmarkStart w:id="121" w:name="_Toc3723"/>
      <w:bookmarkStart w:id="122" w:name="_Toc23515"/>
      <w:bookmarkStart w:id="123" w:name="_Toc12169"/>
      <w:bookmarkStart w:id="124" w:name="_Toc6230"/>
      <w:bookmarkStart w:id="125" w:name="_Toc5129"/>
      <w:bookmarkStart w:id="126" w:name="_Toc1563"/>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2322830</wp:posOffset>
                </wp:positionH>
                <wp:positionV relativeFrom="paragraph">
                  <wp:posOffset>490220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9pt;margin-top:38.6pt;height:0pt;width:75.5pt;z-index:251667456;mso-width-relative:page;mso-height-relative:page;" filled="f" stroked="t" coordsize="21600,21600" o:gfxdata="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Se283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90805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7.15pt;height:0pt;width:75.5pt;z-index:251666432;mso-width-relative:page;mso-height-relative:page;" filled="f" stroked="t" coordsize="21600,21600" o:gfxdata="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mvo6N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7"/>
        <w:rPr>
          <w:color w:val="auto"/>
          <w:highlight w:val="none"/>
        </w:rPr>
      </w:pPr>
    </w:p>
    <w:p>
      <w:pPr>
        <w:pStyle w:val="4"/>
        <w:rPr>
          <w:color w:val="auto"/>
          <w:highlight w:val="none"/>
        </w:rPr>
      </w:pPr>
      <w:bookmarkStart w:id="127" w:name="_Toc88209951"/>
      <w:bookmarkStart w:id="128" w:name="_Toc5342"/>
      <w:bookmarkStart w:id="129" w:name="_Toc17119"/>
      <w:bookmarkStart w:id="130" w:name="_Toc12769"/>
      <w:bookmarkStart w:id="131" w:name="_Toc87616388"/>
      <w:bookmarkStart w:id="132" w:name="_Toc22764"/>
      <w:bookmarkStart w:id="133" w:name="_Toc12610"/>
      <w:bookmarkStart w:id="134" w:name="_Toc21675"/>
      <w:bookmarkStart w:id="135" w:name="_Toc31564"/>
      <w:bookmarkStart w:id="136" w:name="_Toc24490"/>
      <w:bookmarkStart w:id="137" w:name="_Toc30157"/>
      <w:bookmarkStart w:id="138" w:name="_Toc10840"/>
      <w:bookmarkStart w:id="139" w:name="_Toc24815"/>
      <w:r>
        <w:rPr>
          <w:rFonts w:hint="eastAsia"/>
          <w:color w:val="auto"/>
          <w:highlight w:val="none"/>
        </w:rPr>
        <w:t>响应文件格式要求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w:t>
      </w:r>
    </w:p>
    <w:p>
      <w:pPr>
        <w:jc w:val="both"/>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7616389"/>
      <w:bookmarkStart w:id="141" w:name="_Toc88209952"/>
      <w:r>
        <w:rPr>
          <w:rFonts w:hint="eastAsia" w:ascii="仿宋_GB2312" w:eastAsia="仿宋_GB2312"/>
          <w:color w:val="auto"/>
          <w:sz w:val="28"/>
          <w:szCs w:val="28"/>
          <w:highlight w:val="none"/>
        </w:rPr>
        <w:t>1.响应函</w:t>
      </w:r>
      <w:bookmarkEnd w:id="140"/>
      <w:bookmarkEnd w:id="141"/>
    </w:p>
    <w:p>
      <w:pPr>
        <w:spacing w:line="600" w:lineRule="exact"/>
        <w:rPr>
          <w:rFonts w:ascii="仿宋_GB2312" w:eastAsia="仿宋_GB2312"/>
          <w:color w:val="auto"/>
          <w:sz w:val="28"/>
          <w:szCs w:val="28"/>
          <w:highlight w:val="none"/>
        </w:rPr>
      </w:pPr>
      <w:bookmarkStart w:id="142" w:name="_Toc88209953"/>
      <w:bookmarkStart w:id="143" w:name="_Toc87616390"/>
      <w:r>
        <w:rPr>
          <w:rFonts w:hint="eastAsia" w:ascii="仿宋_GB2312" w:eastAsia="仿宋_GB2312"/>
          <w:color w:val="auto"/>
          <w:sz w:val="28"/>
          <w:szCs w:val="28"/>
          <w:highlight w:val="none"/>
        </w:rPr>
        <w:t>2.法定代表人证明或授权委托书</w:t>
      </w:r>
      <w:bookmarkEnd w:id="142"/>
      <w:bookmarkEnd w:id="143"/>
      <w:bookmarkStart w:id="144" w:name="_Toc88209956"/>
      <w:bookmarkStart w:id="14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44"/>
      <w:bookmarkEnd w:id="145"/>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6" w:name="_Toc28619645"/>
      <w:bookmarkStart w:id="147" w:name="_Toc12665"/>
      <w:bookmarkStart w:id="148" w:name="_Toc87616394"/>
      <w:bookmarkStart w:id="149" w:name="_Toc88209957"/>
      <w:bookmarkStart w:id="150" w:name="_Toc6313"/>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51" w:name="_Toc88209958"/>
      <w:bookmarkStart w:id="152" w:name="_Toc87616395"/>
      <w:bookmarkStart w:id="153" w:name="_Toc29833"/>
      <w:bookmarkStart w:id="154"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086"/>
      <w:bookmarkStart w:id="156" w:name="_Toc88209963"/>
      <w:bookmarkStart w:id="157" w:name="_Toc19830"/>
      <w:bookmarkStart w:id="158"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59"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5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广州市净水有限公司竹料分公司2023年一期南、扩建北反应池曝气头及曝气管大修项目（第二次）</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sz w:val="24"/>
          <w:szCs w:val="24"/>
          <w:highlight w:val="none"/>
          <w:lang w:val="en-GB" w:eastAsia="zh-CN"/>
        </w:rPr>
      </w:pPr>
    </w:p>
    <w:p>
      <w:pPr>
        <w:pStyle w:val="2"/>
        <w:rPr>
          <w:rFonts w:hint="eastAsia"/>
          <w:lang w:val="en-GB" w:eastAsia="zh-CN"/>
        </w:rPr>
      </w:pPr>
    </w:p>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firstLine="7440" w:firstLineChars="3100"/>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ind w:firstLine="0"/>
        <w:rPr>
          <w:rFonts w:ascii="仿宋_GB2312" w:eastAsia="仿宋_GB2312" w:hAnsiTheme="minorEastAsia"/>
          <w:color w:val="auto"/>
          <w:sz w:val="28"/>
          <w:szCs w:val="28"/>
          <w:highlight w:val="none"/>
        </w:rPr>
      </w:pPr>
    </w:p>
    <w:p>
      <w:pPr>
        <w:pStyle w:val="6"/>
        <w:numPr>
          <w:ilvl w:val="0"/>
          <w:numId w:val="6"/>
        </w:numPr>
        <w:rPr>
          <w:rFonts w:hint="eastAsia" w:asciiTheme="minorEastAsia" w:hAnsiTheme="minorEastAsia" w:eastAsiaTheme="minorEastAsia"/>
          <w:color w:val="auto"/>
          <w:sz w:val="28"/>
          <w:szCs w:val="28"/>
          <w:highlight w:val="none"/>
        </w:rPr>
      </w:pPr>
      <w:bookmarkStart w:id="160" w:name="_Toc19423"/>
      <w:bookmarkStart w:id="161" w:name="_Toc32430"/>
      <w:r>
        <w:rPr>
          <w:rFonts w:hint="eastAsia" w:asciiTheme="minorEastAsia" w:hAnsiTheme="minorEastAsia" w:eastAsiaTheme="minorEastAsia"/>
          <w:color w:val="auto"/>
          <w:sz w:val="28"/>
          <w:szCs w:val="28"/>
          <w:highlight w:val="none"/>
        </w:rPr>
        <w:t>报价表</w:t>
      </w:r>
      <w:bookmarkEnd w:id="160"/>
      <w:bookmarkEnd w:id="161"/>
    </w:p>
    <w:tbl>
      <w:tblPr>
        <w:tblStyle w:val="23"/>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0"/>
        <w:gridCol w:w="3197"/>
        <w:gridCol w:w="928"/>
        <w:gridCol w:w="1329"/>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07"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5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928"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22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6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9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25781.77</w:t>
            </w: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66274.99</w:t>
            </w: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57"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25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rPr>
          <w:rFonts w:hint="eastAsia"/>
        </w:rPr>
      </w:pPr>
    </w:p>
    <w:tbl>
      <w:tblPr>
        <w:tblStyle w:val="23"/>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1410"/>
        <w:gridCol w:w="1440"/>
        <w:gridCol w:w="2025"/>
        <w:gridCol w:w="315"/>
        <w:gridCol w:w="510"/>
        <w:gridCol w:w="780"/>
        <w:gridCol w:w="105"/>
        <w:gridCol w:w="840"/>
        <w:gridCol w:w="94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5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5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71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0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曝气器安装</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3.参数:直径270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1.名称:原有曝气器保护性拆除</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3.管道规格:De90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3.管道规格:De110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3.管道规格:De160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011606003001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天棚面龙骨及饰面拆除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1.拆除的饰面种类:原有PC阳光板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2.龙骨:304不锈钢方管切割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3.其他:满足吊装口要求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011303001001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采光天棚</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1.骨架类型:不锈钢型材焊接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2.面层材料品种、规格:聚碳酸酯PC阳光板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3.其他:按现状恢复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040101005001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清理池底作业面污水及污泥</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1.名称:清理池底剩余污水及污泥至地面清晰可见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2.厚度:10cm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86.66</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曝气器安装</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3.参数:直径270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1.名称:原有曝气器保护性拆除</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1.有害气体检测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2.三个点每天持续检测，两个小时记录一次。工期20天，每天8小时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031301018001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1.洞内照明设施使用时间：持续使用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2.在池内安装4盏防爆灯，每天开启8小时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100"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100"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tbl>
      <w:tblPr>
        <w:tblStyle w:val="2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350"/>
        <w:gridCol w:w="585"/>
        <w:gridCol w:w="120"/>
        <w:gridCol w:w="870"/>
        <w:gridCol w:w="585"/>
        <w:gridCol w:w="270"/>
        <w:gridCol w:w="79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0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5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57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8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5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25781.77</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8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7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tbl>
      <w:tblPr>
        <w:tblStyle w:val="23"/>
        <w:tblW w:w="7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1905"/>
        <w:gridCol w:w="1035"/>
        <w:gridCol w:w="540"/>
        <w:gridCol w:w="885"/>
        <w:gridCol w:w="52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772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42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5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66274.99</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tbl>
      <w:tblPr>
        <w:tblStyle w:val="23"/>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2625"/>
        <w:gridCol w:w="360"/>
        <w:gridCol w:w="750"/>
        <w:gridCol w:w="1065"/>
        <w:gridCol w:w="99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4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5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205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暂定金额（元）</w:t>
            </w:r>
          </w:p>
        </w:tc>
        <w:tc>
          <w:tcPr>
            <w:tcW w:w="160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69763.15</w:t>
            </w:r>
          </w:p>
        </w:tc>
        <w:tc>
          <w:tcPr>
            <w:tcW w:w="16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0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69763.15</w:t>
            </w:r>
          </w:p>
        </w:tc>
        <w:tc>
          <w:tcPr>
            <w:tcW w:w="160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
        <w:ind w:left="0" w:leftChars="0" w:firstLine="0" w:firstLineChars="0"/>
        <w:rPr>
          <w:rFonts w:ascii="宋体" w:hAnsi="宋体" w:eastAsia="宋体" w:cs="宋体"/>
          <w:color w:val="auto"/>
          <w:sz w:val="24"/>
          <w:szCs w:val="24"/>
          <w:highlight w:val="none"/>
          <w:lang w:val="en-GB"/>
        </w:rPr>
      </w:pPr>
    </w:p>
    <w:tbl>
      <w:tblPr>
        <w:tblStyle w:val="23"/>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5"/>
        <w:gridCol w:w="45"/>
        <w:gridCol w:w="1725"/>
        <w:gridCol w:w="615"/>
        <w:gridCol w:w="630"/>
        <w:gridCol w:w="1305"/>
        <w:gridCol w:w="150"/>
        <w:gridCol w:w="705"/>
        <w:gridCol w:w="180"/>
        <w:gridCol w:w="495"/>
        <w:gridCol w:w="30"/>
        <w:gridCol w:w="510"/>
        <w:gridCol w:w="105"/>
        <w:gridCol w:w="465"/>
        <w:gridCol w:w="420"/>
        <w:gridCol w:w="990"/>
        <w:gridCol w:w="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05" w:type="dxa"/>
          <w:trHeight w:val="795" w:hRule="atLeast"/>
        </w:trPr>
        <w:tc>
          <w:tcPr>
            <w:tcW w:w="9195"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570" w:hRule="atLeast"/>
        </w:trPr>
        <w:tc>
          <w:tcPr>
            <w:tcW w:w="6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2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编号</w:t>
            </w:r>
          </w:p>
        </w:tc>
        <w:tc>
          <w:tcPr>
            <w:tcW w:w="23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0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暂定数量</w:t>
            </w:r>
          </w:p>
        </w:tc>
        <w:tc>
          <w:tcPr>
            <w:tcW w:w="103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实际数量</w:t>
            </w:r>
          </w:p>
        </w:tc>
        <w:tc>
          <w:tcPr>
            <w:tcW w:w="1140"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8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w:t>
            </w: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施工机具</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57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 风量4000-6000m³/h</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潜水泵 流量100(m3/h)</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5" w:type="dxa"/>
          <w:trHeight w:val="57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汽车式起重机 提升质量25(t)</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施工机具小计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4.企业管理费和利润</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         计</w:t>
            </w:r>
          </w:p>
        </w:tc>
        <w:tc>
          <w:tcPr>
            <w:tcW w:w="8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30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529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41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7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85"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60" w:lineRule="auto"/>
        <w:jc w:val="both"/>
        <w:rPr>
          <w:rFonts w:hint="eastAsia"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7128" w:firstLineChars="297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6"/>
        <w:numPr>
          <w:ilvl w:val="0"/>
          <w:numId w:val="6"/>
        </w:numPr>
        <w:rPr>
          <w:rFonts w:hint="eastAsia" w:asciiTheme="majorEastAsia" w:hAnsiTheme="majorEastAsia" w:eastAsiaTheme="majorEastAsia"/>
          <w:color w:val="auto"/>
          <w:sz w:val="28"/>
          <w:szCs w:val="28"/>
          <w:highlight w:val="none"/>
        </w:rPr>
      </w:pPr>
      <w:bookmarkStart w:id="162" w:name="_Toc87616402"/>
      <w:bookmarkStart w:id="163" w:name="_Toc16386"/>
      <w:bookmarkStart w:id="164" w:name="_Toc6058"/>
      <w:bookmarkStart w:id="165" w:name="_Toc88209965"/>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adjustRightInd w:val="0"/>
        <w:snapToGrid w:val="0"/>
        <w:spacing w:line="600" w:lineRule="exact"/>
        <w:ind w:firstLine="0"/>
        <w:rPr>
          <w:rFonts w:hint="eastAsia" w:cs="Times New Roman" w:asciiTheme="majorEastAsia" w:hAnsiTheme="majorEastAsia" w:eastAsiaTheme="majorEastAsia"/>
          <w:b/>
          <w:bCs/>
          <w:color w:val="auto"/>
          <w:sz w:val="28"/>
          <w:szCs w:val="28"/>
          <w:highlight w:val="none"/>
        </w:rPr>
      </w:pPr>
      <w:r>
        <w:rPr>
          <w:rFonts w:hint="eastAsia" w:cs="Times New Roman" w:asciiTheme="majorEastAsia" w:hAnsiTheme="majorEastAsia" w:eastAsiaTheme="majorEastAsia"/>
          <w:b/>
          <w:bCs/>
          <w:color w:val="auto"/>
          <w:sz w:val="28"/>
          <w:szCs w:val="28"/>
          <w:highlight w:val="none"/>
          <w:lang w:val="en-US" w:eastAsia="zh-CN"/>
        </w:rPr>
        <w:t>7.</w:t>
      </w:r>
      <w:r>
        <w:rPr>
          <w:rFonts w:hint="eastAsia" w:cs="Times New Roman" w:asciiTheme="majorEastAsia" w:hAnsiTheme="majorEastAsia" w:eastAsiaTheme="majorEastAsia"/>
          <w:b/>
          <w:bCs/>
          <w:color w:val="auto"/>
          <w:sz w:val="28"/>
          <w:szCs w:val="28"/>
          <w:highlight w:val="none"/>
        </w:rPr>
        <w:t>供应商须提交的其他资料。</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Ypq+M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WSEsctTvzy/dvlx6/Lz6/k&#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imr4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9Y+8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VlFhmcOLnnz/Ov/6cf38n&#10;y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79Y+8oBAACaAwAADgAAAAAAAAABACAAAAAeAQAAZHJzL2Uyb0Rv&#10;Yy54bWxQSwUGAAAAAAYABgBZAQAAWg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5B1A38F"/>
    <w:multiLevelType w:val="singleLevel"/>
    <w:tmpl w:val="E5B1A38F"/>
    <w:lvl w:ilvl="0" w:tentative="0">
      <w:start w:val="5"/>
      <w:numFmt w:val="decimal"/>
      <w:lvlText w:val="%1."/>
      <w:lvlJc w:val="left"/>
      <w:pPr>
        <w:tabs>
          <w:tab w:val="left" w:pos="312"/>
        </w:tabs>
      </w:p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75176"/>
    <w:rsid w:val="003D60BA"/>
    <w:rsid w:val="00411689"/>
    <w:rsid w:val="00424BCB"/>
    <w:rsid w:val="00575ADC"/>
    <w:rsid w:val="005D618A"/>
    <w:rsid w:val="00662D90"/>
    <w:rsid w:val="00911ECD"/>
    <w:rsid w:val="00A042E0"/>
    <w:rsid w:val="00A72ED5"/>
    <w:rsid w:val="00B26BB1"/>
    <w:rsid w:val="00B26E21"/>
    <w:rsid w:val="00B6381A"/>
    <w:rsid w:val="00BC4C34"/>
    <w:rsid w:val="00F83B64"/>
    <w:rsid w:val="00FC77BD"/>
    <w:rsid w:val="013E3461"/>
    <w:rsid w:val="02090C75"/>
    <w:rsid w:val="02A23A3C"/>
    <w:rsid w:val="035D130A"/>
    <w:rsid w:val="039110A9"/>
    <w:rsid w:val="03AC246A"/>
    <w:rsid w:val="03B23056"/>
    <w:rsid w:val="03DC3EBA"/>
    <w:rsid w:val="03F9794D"/>
    <w:rsid w:val="046A2461"/>
    <w:rsid w:val="051C2970"/>
    <w:rsid w:val="060C3611"/>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E89579C"/>
    <w:rsid w:val="0F4D75A3"/>
    <w:rsid w:val="0F5B2DCA"/>
    <w:rsid w:val="0FED051E"/>
    <w:rsid w:val="0FEE4C29"/>
    <w:rsid w:val="10031608"/>
    <w:rsid w:val="10046082"/>
    <w:rsid w:val="111703D2"/>
    <w:rsid w:val="112B101A"/>
    <w:rsid w:val="119B53FC"/>
    <w:rsid w:val="12424CDC"/>
    <w:rsid w:val="129A2738"/>
    <w:rsid w:val="12B56BF1"/>
    <w:rsid w:val="12CB1A89"/>
    <w:rsid w:val="12D55D4A"/>
    <w:rsid w:val="131840FB"/>
    <w:rsid w:val="13467417"/>
    <w:rsid w:val="136E76CF"/>
    <w:rsid w:val="145F08C6"/>
    <w:rsid w:val="14A5581C"/>
    <w:rsid w:val="15776308"/>
    <w:rsid w:val="15BC6B3C"/>
    <w:rsid w:val="164D40B0"/>
    <w:rsid w:val="1694429A"/>
    <w:rsid w:val="17635326"/>
    <w:rsid w:val="17C57205"/>
    <w:rsid w:val="18236EFD"/>
    <w:rsid w:val="183578A5"/>
    <w:rsid w:val="189D5B1F"/>
    <w:rsid w:val="18A34CD0"/>
    <w:rsid w:val="198814E2"/>
    <w:rsid w:val="19A53EA8"/>
    <w:rsid w:val="19B64DBC"/>
    <w:rsid w:val="1A373ACF"/>
    <w:rsid w:val="1A895341"/>
    <w:rsid w:val="1B0D071F"/>
    <w:rsid w:val="1B4568CE"/>
    <w:rsid w:val="1B9015B7"/>
    <w:rsid w:val="1BF54245"/>
    <w:rsid w:val="1C4C7701"/>
    <w:rsid w:val="1D0E6976"/>
    <w:rsid w:val="1D3F5364"/>
    <w:rsid w:val="1D5A79EE"/>
    <w:rsid w:val="1E0E2CD0"/>
    <w:rsid w:val="1E831280"/>
    <w:rsid w:val="1EBC4704"/>
    <w:rsid w:val="1F172EB5"/>
    <w:rsid w:val="1F94592D"/>
    <w:rsid w:val="1FB860DE"/>
    <w:rsid w:val="203C5A02"/>
    <w:rsid w:val="209D4C94"/>
    <w:rsid w:val="20E84705"/>
    <w:rsid w:val="218400BA"/>
    <w:rsid w:val="21AB1E2F"/>
    <w:rsid w:val="21D40498"/>
    <w:rsid w:val="225E5936"/>
    <w:rsid w:val="22767047"/>
    <w:rsid w:val="23567585"/>
    <w:rsid w:val="23A05588"/>
    <w:rsid w:val="240476A1"/>
    <w:rsid w:val="24A64BAD"/>
    <w:rsid w:val="24E011DB"/>
    <w:rsid w:val="25431AEB"/>
    <w:rsid w:val="25BF43FD"/>
    <w:rsid w:val="25F86BCD"/>
    <w:rsid w:val="2605748B"/>
    <w:rsid w:val="269E416A"/>
    <w:rsid w:val="272100D3"/>
    <w:rsid w:val="272C72FC"/>
    <w:rsid w:val="275131CB"/>
    <w:rsid w:val="27EB149D"/>
    <w:rsid w:val="27FD3E52"/>
    <w:rsid w:val="28E11370"/>
    <w:rsid w:val="294A756A"/>
    <w:rsid w:val="29781BF8"/>
    <w:rsid w:val="29C33ED0"/>
    <w:rsid w:val="29D5322D"/>
    <w:rsid w:val="29FD66B5"/>
    <w:rsid w:val="2A025DD9"/>
    <w:rsid w:val="2A2619CB"/>
    <w:rsid w:val="2A7C2231"/>
    <w:rsid w:val="2A8C00E7"/>
    <w:rsid w:val="2ABB753D"/>
    <w:rsid w:val="2B434920"/>
    <w:rsid w:val="2B7A49FA"/>
    <w:rsid w:val="2BE35645"/>
    <w:rsid w:val="2C1C3598"/>
    <w:rsid w:val="2C615D26"/>
    <w:rsid w:val="2CB679ED"/>
    <w:rsid w:val="2D173C07"/>
    <w:rsid w:val="2D424A86"/>
    <w:rsid w:val="2E7B52DB"/>
    <w:rsid w:val="2F324CFE"/>
    <w:rsid w:val="2FBA09F1"/>
    <w:rsid w:val="2FEF2ACF"/>
    <w:rsid w:val="30540211"/>
    <w:rsid w:val="31112A0D"/>
    <w:rsid w:val="311F4B20"/>
    <w:rsid w:val="312D7741"/>
    <w:rsid w:val="316F137F"/>
    <w:rsid w:val="31DF525F"/>
    <w:rsid w:val="31EC162B"/>
    <w:rsid w:val="32324C2E"/>
    <w:rsid w:val="32326245"/>
    <w:rsid w:val="327171DF"/>
    <w:rsid w:val="32E06C88"/>
    <w:rsid w:val="335334BF"/>
    <w:rsid w:val="341E3434"/>
    <w:rsid w:val="34BB4442"/>
    <w:rsid w:val="35E93C67"/>
    <w:rsid w:val="360B7EBA"/>
    <w:rsid w:val="369C32FD"/>
    <w:rsid w:val="37666E72"/>
    <w:rsid w:val="38081EA3"/>
    <w:rsid w:val="38167A04"/>
    <w:rsid w:val="38CC3E19"/>
    <w:rsid w:val="394B167A"/>
    <w:rsid w:val="39DA2868"/>
    <w:rsid w:val="3A4E4336"/>
    <w:rsid w:val="3A6007FE"/>
    <w:rsid w:val="3AF93D6C"/>
    <w:rsid w:val="3B7C2CE4"/>
    <w:rsid w:val="3BAF716B"/>
    <w:rsid w:val="3C0B5355"/>
    <w:rsid w:val="3CD4176B"/>
    <w:rsid w:val="3CEB0F52"/>
    <w:rsid w:val="3D1F44D9"/>
    <w:rsid w:val="3D5C38CD"/>
    <w:rsid w:val="3E2441E9"/>
    <w:rsid w:val="3E5070F1"/>
    <w:rsid w:val="3EEA117C"/>
    <w:rsid w:val="3F320A13"/>
    <w:rsid w:val="3F6C3589"/>
    <w:rsid w:val="3F850180"/>
    <w:rsid w:val="3F9004D6"/>
    <w:rsid w:val="400E4D5E"/>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6054BCA"/>
    <w:rsid w:val="464C6AFC"/>
    <w:rsid w:val="46705970"/>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B32D6A"/>
    <w:rsid w:val="4ADA1F63"/>
    <w:rsid w:val="4AE23D89"/>
    <w:rsid w:val="4B2038D0"/>
    <w:rsid w:val="4B296E7D"/>
    <w:rsid w:val="4B79394E"/>
    <w:rsid w:val="4B877F28"/>
    <w:rsid w:val="4C534685"/>
    <w:rsid w:val="4C941131"/>
    <w:rsid w:val="4D8B2DAF"/>
    <w:rsid w:val="4D916BA6"/>
    <w:rsid w:val="4DC44169"/>
    <w:rsid w:val="4DE24E21"/>
    <w:rsid w:val="4E1B19A3"/>
    <w:rsid w:val="4EF0709E"/>
    <w:rsid w:val="4F0469A4"/>
    <w:rsid w:val="513C6A7B"/>
    <w:rsid w:val="51D543E9"/>
    <w:rsid w:val="532D486F"/>
    <w:rsid w:val="5333545B"/>
    <w:rsid w:val="538D0E89"/>
    <w:rsid w:val="53F35F85"/>
    <w:rsid w:val="541C1980"/>
    <w:rsid w:val="5450213C"/>
    <w:rsid w:val="54D24048"/>
    <w:rsid w:val="54D64CD5"/>
    <w:rsid w:val="55887D69"/>
    <w:rsid w:val="561A0928"/>
    <w:rsid w:val="56423872"/>
    <w:rsid w:val="56B279F0"/>
    <w:rsid w:val="579D710E"/>
    <w:rsid w:val="57F07F6E"/>
    <w:rsid w:val="581F22F6"/>
    <w:rsid w:val="586E1E17"/>
    <w:rsid w:val="58862C35"/>
    <w:rsid w:val="58C14957"/>
    <w:rsid w:val="58CC23D2"/>
    <w:rsid w:val="595559A4"/>
    <w:rsid w:val="59D950F4"/>
    <w:rsid w:val="5AE83A50"/>
    <w:rsid w:val="5B1E7D8B"/>
    <w:rsid w:val="5B353193"/>
    <w:rsid w:val="5BAB2917"/>
    <w:rsid w:val="5BDC491C"/>
    <w:rsid w:val="5BFC33FA"/>
    <w:rsid w:val="5C3107A4"/>
    <w:rsid w:val="5C3B1B93"/>
    <w:rsid w:val="5C9220DF"/>
    <w:rsid w:val="5D4A15F3"/>
    <w:rsid w:val="5D69542A"/>
    <w:rsid w:val="5D783B72"/>
    <w:rsid w:val="5E0930EF"/>
    <w:rsid w:val="5E3A1722"/>
    <w:rsid w:val="5E3D4D53"/>
    <w:rsid w:val="5E4717E6"/>
    <w:rsid w:val="5E55774C"/>
    <w:rsid w:val="60045F96"/>
    <w:rsid w:val="60104DDC"/>
    <w:rsid w:val="605C0804"/>
    <w:rsid w:val="6189617B"/>
    <w:rsid w:val="61B52BB6"/>
    <w:rsid w:val="61B749C2"/>
    <w:rsid w:val="62280D20"/>
    <w:rsid w:val="62CA2457"/>
    <w:rsid w:val="638240A1"/>
    <w:rsid w:val="63833423"/>
    <w:rsid w:val="639D7CBB"/>
    <w:rsid w:val="63A5257B"/>
    <w:rsid w:val="63BD3DCC"/>
    <w:rsid w:val="63C61741"/>
    <w:rsid w:val="64560967"/>
    <w:rsid w:val="64C2370A"/>
    <w:rsid w:val="656B1D10"/>
    <w:rsid w:val="65B841F9"/>
    <w:rsid w:val="65C06F7B"/>
    <w:rsid w:val="65F937D9"/>
    <w:rsid w:val="66022B28"/>
    <w:rsid w:val="664A38E2"/>
    <w:rsid w:val="66581E87"/>
    <w:rsid w:val="66FA11D5"/>
    <w:rsid w:val="674302C7"/>
    <w:rsid w:val="680A5986"/>
    <w:rsid w:val="680D5F4B"/>
    <w:rsid w:val="68113F51"/>
    <w:rsid w:val="68AA1B75"/>
    <w:rsid w:val="68E94770"/>
    <w:rsid w:val="68F949C9"/>
    <w:rsid w:val="695A4290"/>
    <w:rsid w:val="6A334932"/>
    <w:rsid w:val="6A3353FF"/>
    <w:rsid w:val="6A5D63E6"/>
    <w:rsid w:val="6A5F24D1"/>
    <w:rsid w:val="6AE347EB"/>
    <w:rsid w:val="6B434AF0"/>
    <w:rsid w:val="6B57675A"/>
    <w:rsid w:val="6BDD7B4D"/>
    <w:rsid w:val="6EBC0B3A"/>
    <w:rsid w:val="6EF51C7D"/>
    <w:rsid w:val="6F8363E5"/>
    <w:rsid w:val="6FAC3CC5"/>
    <w:rsid w:val="6FC746F5"/>
    <w:rsid w:val="70317AC6"/>
    <w:rsid w:val="704B26F7"/>
    <w:rsid w:val="70863262"/>
    <w:rsid w:val="70A76ED3"/>
    <w:rsid w:val="70E84304"/>
    <w:rsid w:val="71860B17"/>
    <w:rsid w:val="723B27CC"/>
    <w:rsid w:val="72687227"/>
    <w:rsid w:val="72A03FD9"/>
    <w:rsid w:val="72CB1A36"/>
    <w:rsid w:val="73406CFF"/>
    <w:rsid w:val="7383028C"/>
    <w:rsid w:val="73A25E44"/>
    <w:rsid w:val="741F68CF"/>
    <w:rsid w:val="74383ED3"/>
    <w:rsid w:val="75197FBE"/>
    <w:rsid w:val="75252DF3"/>
    <w:rsid w:val="75621536"/>
    <w:rsid w:val="75BF3154"/>
    <w:rsid w:val="764A07CF"/>
    <w:rsid w:val="764F6B3D"/>
    <w:rsid w:val="76BA0E58"/>
    <w:rsid w:val="76CD2B7B"/>
    <w:rsid w:val="76D80645"/>
    <w:rsid w:val="76E03371"/>
    <w:rsid w:val="780E5898"/>
    <w:rsid w:val="782642CC"/>
    <w:rsid w:val="7894095E"/>
    <w:rsid w:val="78964555"/>
    <w:rsid w:val="78CF4963"/>
    <w:rsid w:val="79000679"/>
    <w:rsid w:val="79A416F0"/>
    <w:rsid w:val="79B03EB6"/>
    <w:rsid w:val="79D5456A"/>
    <w:rsid w:val="7AE15A5C"/>
    <w:rsid w:val="7AF37579"/>
    <w:rsid w:val="7AF87F64"/>
    <w:rsid w:val="7B1C0C84"/>
    <w:rsid w:val="7B5A62DF"/>
    <w:rsid w:val="7B7A04A8"/>
    <w:rsid w:val="7BA8745E"/>
    <w:rsid w:val="7C0C3F6D"/>
    <w:rsid w:val="7C22163C"/>
    <w:rsid w:val="7C457B4B"/>
    <w:rsid w:val="7C595075"/>
    <w:rsid w:val="7C6B07B2"/>
    <w:rsid w:val="7D133243"/>
    <w:rsid w:val="7D945420"/>
    <w:rsid w:val="7E394207"/>
    <w:rsid w:val="7E4007A2"/>
    <w:rsid w:val="7E791CAD"/>
    <w:rsid w:val="7EA50DFB"/>
    <w:rsid w:val="7EC86878"/>
    <w:rsid w:val="7F16390D"/>
    <w:rsid w:val="7F752917"/>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8"/>
    <w:qFormat/>
    <w:uiPriority w:val="99"/>
    <w:rPr>
      <w:sz w:val="18"/>
      <w:szCs w:val="18"/>
    </w:rPr>
  </w:style>
  <w:style w:type="character" w:customStyle="1" w:styleId="30">
    <w:name w:val="页脚 字符"/>
    <w:basedOn w:val="25"/>
    <w:link w:val="17"/>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24614</Words>
  <Characters>26334</Characters>
  <Lines>203</Lines>
  <Paragraphs>57</Paragraphs>
  <TotalTime>6</TotalTime>
  <ScaleCrop>false</ScaleCrop>
  <LinksUpToDate>false</LinksUpToDate>
  <CharactersWithSpaces>28344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2022-11-29T06:57:37Z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482B68EF685541428FF074526DCFFB96</vt:lpwstr>
  </property>
</Properties>
</file>