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117" w:name="_GoBack"/>
      <w:bookmarkEnd w:id="117"/>
    </w:p>
    <w:p/>
    <w:p>
      <w:pPr>
        <w:jc w:val="center"/>
        <w:rPr>
          <w:rFonts w:hint="eastAsia" w:ascii="方正小标宋简体" w:eastAsia="方正小标宋简体"/>
          <w:sz w:val="52"/>
          <w:szCs w:val="52"/>
        </w:rPr>
      </w:pPr>
      <w:r>
        <w:rPr>
          <w:rFonts w:hint="eastAsia" w:ascii="方正小标宋简体" w:eastAsia="方正小标宋简体"/>
          <w:sz w:val="52"/>
          <w:szCs w:val="52"/>
        </w:rPr>
        <w:t>广州市净水有限公司竹料分公司2022年</w:t>
      </w:r>
    </w:p>
    <w:p>
      <w:pPr>
        <w:jc w:val="center"/>
        <w:rPr>
          <w:rFonts w:ascii="方正小标宋简体" w:eastAsia="方正小标宋简体"/>
          <w:sz w:val="52"/>
          <w:szCs w:val="52"/>
        </w:rPr>
      </w:pPr>
      <w:r>
        <w:rPr>
          <w:rFonts w:hint="eastAsia" w:ascii="方正小标宋简体" w:eastAsia="方正小标宋简体"/>
          <w:sz w:val="52"/>
          <w:szCs w:val="52"/>
        </w:rPr>
        <w:t>中控室升级改造项目</w:t>
      </w:r>
    </w:p>
    <w:p>
      <w:pPr>
        <w:jc w:val="both"/>
        <w:rPr>
          <w:rFonts w:ascii="仿宋_GB2312" w:eastAsia="仿宋_GB2312"/>
          <w:sz w:val="32"/>
          <w:szCs w:val="32"/>
        </w:rPr>
      </w:pPr>
    </w:p>
    <w:p>
      <w:pPr>
        <w:jc w:val="center"/>
        <w:rPr>
          <w:rFonts w:ascii="仿宋_GB2312" w:eastAsia="仿宋_GB2312"/>
          <w:sz w:val="32"/>
          <w:szCs w:val="32"/>
        </w:rPr>
      </w:pPr>
      <w:r>
        <w:rPr>
          <w:rFonts w:hint="eastAsia" w:ascii="方正小标宋简体" w:eastAsia="方正小标宋简体"/>
          <w:sz w:val="52"/>
          <w:szCs w:val="52"/>
        </w:rPr>
        <w:t>采购文件</w: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pStyle w:val="2"/>
        <w:rPr>
          <w:rFonts w:ascii="仿宋_GB2312" w:eastAsia="仿宋_GB2312"/>
          <w:sz w:val="32"/>
          <w:szCs w:val="32"/>
        </w:rPr>
      </w:pPr>
    </w:p>
    <w:p>
      <w:pPr>
        <w:pStyle w:val="3"/>
        <w:numPr>
          <w:ilvl w:val="-1"/>
          <w:numId w:val="0"/>
        </w:numPr>
        <w:ind w:left="0" w:firstLine="0"/>
      </w:pPr>
    </w:p>
    <w:p>
      <w:pPr>
        <w:pStyle w:val="3"/>
        <w:numPr>
          <w:ilvl w:val="-1"/>
          <w:numId w:val="0"/>
        </w:numPr>
        <w:ind w:left="0" w:firstLine="0"/>
      </w:pPr>
    </w:p>
    <w:p>
      <w:pPr>
        <w:pStyle w:val="3"/>
        <w:numPr>
          <w:ilvl w:val="-1"/>
          <w:numId w:val="0"/>
        </w:numPr>
        <w:ind w:left="0" w:firstLine="0"/>
      </w:pPr>
    </w:p>
    <w:p>
      <w:pPr>
        <w:pStyle w:val="3"/>
        <w:numPr>
          <w:ilvl w:val="-1"/>
          <w:numId w:val="0"/>
        </w:numPr>
        <w:ind w:left="0" w:firstLine="0"/>
      </w:pPr>
    </w:p>
    <w:p>
      <w:pPr>
        <w:jc w:val="center"/>
        <w:rPr>
          <w:rFonts w:ascii="黑体" w:hAnsi="黑体" w:eastAsia="黑体"/>
          <w:sz w:val="32"/>
          <w:szCs w:val="32"/>
        </w:rPr>
      </w:pPr>
      <w:r>
        <w:rPr>
          <w:rFonts w:hint="eastAsia" w:ascii="黑体" w:hAnsi="黑体" w:eastAsia="黑体" w:cs="仿宋_GB2312"/>
          <w:sz w:val="32"/>
          <w:szCs w:val="32"/>
        </w:rPr>
        <w:t>广州市净水有限公司</w:t>
      </w:r>
    </w:p>
    <w:p>
      <w:pPr>
        <w:jc w:val="center"/>
        <w:rPr>
          <w:rFonts w:ascii="黑体" w:hAnsi="黑体" w:eastAsia="黑体" w:cs="仿宋_GB2312"/>
          <w:sz w:val="32"/>
          <w:szCs w:val="32"/>
        </w:rPr>
      </w:pPr>
      <w:r>
        <w:rPr>
          <w:rFonts w:hint="eastAsia" w:ascii="黑体" w:hAnsi="黑体" w:eastAsia="黑体"/>
          <w:sz w:val="32"/>
          <w:szCs w:val="32"/>
        </w:rPr>
        <w:t>二</w:t>
      </w:r>
      <w:r>
        <w:rPr>
          <w:rFonts w:hint="eastAsia" w:ascii="黑体" w:hAnsi="黑体" w:eastAsia="黑体" w:cs="宋体"/>
          <w:sz w:val="32"/>
          <w:szCs w:val="32"/>
        </w:rPr>
        <w:t>〇</w:t>
      </w:r>
      <w:r>
        <w:rPr>
          <w:rFonts w:hint="eastAsia" w:ascii="黑体" w:hAnsi="黑体" w:eastAsia="黑体" w:cs="仿宋_GB2312"/>
          <w:sz w:val="32"/>
          <w:szCs w:val="32"/>
        </w:rPr>
        <w:t>二二年</w:t>
      </w:r>
      <w:r>
        <w:rPr>
          <w:rFonts w:hint="eastAsia" w:ascii="黑体" w:hAnsi="黑体" w:eastAsia="黑体" w:cs="仿宋_GB2312"/>
          <w:sz w:val="32"/>
          <w:szCs w:val="32"/>
          <w:lang w:val="en-US" w:eastAsia="zh-CN"/>
        </w:rPr>
        <w:t>十一</w:t>
      </w:r>
      <w:r>
        <w:rPr>
          <w:rFonts w:hint="eastAsia" w:ascii="黑体" w:hAnsi="黑体" w:eastAsia="黑体" w:cs="仿宋_GB2312"/>
          <w:sz w:val="32"/>
          <w:szCs w:val="32"/>
        </w:rPr>
        <w:t>月</w:t>
      </w:r>
    </w:p>
    <w:p>
      <w:pPr>
        <w:sectPr>
          <w:footerReference r:id="rId5" w:type="first"/>
          <w:footerReference r:id="rId3" w:type="default"/>
          <w:footerReference r:id="rId4" w:type="even"/>
          <w:pgSz w:w="11906" w:h="16838"/>
          <w:pgMar w:top="1440" w:right="1080" w:bottom="1440" w:left="1080" w:header="851" w:footer="992" w:gutter="0"/>
          <w:pgBorders>
            <w:top w:val="none" w:sz="0" w:space="0"/>
            <w:left w:val="none" w:sz="0" w:space="0"/>
            <w:bottom w:val="none" w:sz="0" w:space="0"/>
            <w:right w:val="none" w:sz="0" w:space="0"/>
          </w:pgBorders>
          <w:pgNumType w:start="0"/>
          <w:cols w:space="425" w:num="1"/>
          <w:titlePg/>
          <w:docGrid w:type="lines" w:linePitch="312" w:charSpace="0"/>
        </w:sectPr>
      </w:pPr>
    </w:p>
    <w:p>
      <w:pPr>
        <w:pStyle w:val="2"/>
      </w:pPr>
    </w:p>
    <w:p>
      <w:pPr>
        <w:pStyle w:val="43"/>
        <w:adjustRightInd w:val="0"/>
        <w:snapToGrid w:val="0"/>
        <w:spacing w:before="0" w:line="600" w:lineRule="exact"/>
        <w:jc w:val="center"/>
        <w:rPr>
          <w:rFonts w:ascii="方正小标宋简体" w:eastAsia="方正小标宋简体"/>
          <w:b/>
          <w:color w:val="auto"/>
          <w:sz w:val="44"/>
          <w:szCs w:val="44"/>
        </w:rPr>
      </w:pPr>
      <w:r>
        <w:rPr>
          <w:rFonts w:hint="eastAsia" w:ascii="方正小标宋简体" w:eastAsia="方正小标宋简体"/>
          <w:b/>
          <w:color w:val="auto"/>
          <w:sz w:val="44"/>
          <w:szCs w:val="44"/>
        </w:rPr>
        <w:t>目录</w:t>
      </w:r>
    </w:p>
    <w:p>
      <w:pPr>
        <w:rPr>
          <w:rFonts w:asciiTheme="minorEastAsia" w:hAnsiTheme="minorEastAsia"/>
          <w:sz w:val="24"/>
          <w:szCs w:val="24"/>
        </w:rPr>
      </w:pPr>
    </w:p>
    <w:p>
      <w:pPr>
        <w:pStyle w:val="21"/>
        <w:numPr>
          <w:ilvl w:val="0"/>
          <w:numId w:val="2"/>
        </w:numPr>
        <w:tabs>
          <w:tab w:val="right" w:pos="8844"/>
        </w:tabs>
        <w:rPr>
          <w:rFonts w:hint="eastAsia" w:ascii="宋体" w:hAnsi="宋体" w:eastAsia="宋体" w:cs="宋体"/>
          <w:sz w:val="28"/>
          <w:szCs w:val="28"/>
        </w:rPr>
      </w:pPr>
      <w:r>
        <w:rPr>
          <w:rFonts w:hint="eastAsia" w:ascii="宋体" w:hAnsi="宋体" w:eastAsia="宋体" w:cs="宋体"/>
          <w:sz w:val="28"/>
          <w:szCs w:val="28"/>
        </w:rPr>
        <w:t>采购公告</w:t>
      </w:r>
    </w:p>
    <w:p>
      <w:pPr>
        <w:pStyle w:val="21"/>
        <w:numPr>
          <w:ilvl w:val="0"/>
          <w:numId w:val="2"/>
        </w:numPr>
        <w:tabs>
          <w:tab w:val="right" w:pos="8844"/>
        </w:tabs>
        <w:rPr>
          <w:rFonts w:hint="eastAsia" w:ascii="宋体" w:hAnsi="宋体" w:eastAsia="宋体" w:cs="宋体"/>
          <w:sz w:val="28"/>
          <w:szCs w:val="28"/>
        </w:rPr>
      </w:pPr>
      <w:r>
        <w:rPr>
          <w:rFonts w:hint="eastAsia" w:ascii="宋体" w:hAnsi="宋体" w:eastAsia="宋体" w:cs="宋体"/>
          <w:sz w:val="28"/>
          <w:szCs w:val="28"/>
        </w:rPr>
        <w:t>供应商须知</w:t>
      </w:r>
    </w:p>
    <w:p>
      <w:pPr>
        <w:pStyle w:val="21"/>
        <w:numPr>
          <w:ilvl w:val="0"/>
          <w:numId w:val="2"/>
        </w:numPr>
        <w:tabs>
          <w:tab w:val="right" w:pos="8844"/>
        </w:tabs>
        <w:rPr>
          <w:rFonts w:hint="eastAsia" w:ascii="宋体" w:hAnsi="宋体" w:eastAsia="宋体" w:cs="宋体"/>
          <w:sz w:val="28"/>
          <w:szCs w:val="28"/>
        </w:rPr>
      </w:pPr>
      <w:r>
        <w:rPr>
          <w:rFonts w:hint="eastAsia" w:ascii="宋体" w:hAnsi="宋体" w:eastAsia="宋体" w:cs="宋体"/>
          <w:sz w:val="28"/>
          <w:szCs w:val="28"/>
        </w:rPr>
        <w:t>采购方法</w:t>
      </w:r>
    </w:p>
    <w:p>
      <w:pPr>
        <w:pStyle w:val="21"/>
        <w:numPr>
          <w:ilvl w:val="0"/>
          <w:numId w:val="2"/>
        </w:numPr>
        <w:tabs>
          <w:tab w:val="right" w:pos="8844"/>
        </w:tabs>
        <w:rPr>
          <w:rFonts w:hint="eastAsia" w:ascii="宋体" w:hAnsi="宋体" w:eastAsia="宋体" w:cs="宋体"/>
          <w:sz w:val="28"/>
          <w:szCs w:val="28"/>
        </w:rPr>
      </w:pPr>
      <w:r>
        <w:rPr>
          <w:rFonts w:hint="eastAsia" w:ascii="宋体" w:hAnsi="宋体" w:eastAsia="宋体" w:cs="宋体"/>
          <w:sz w:val="28"/>
          <w:szCs w:val="28"/>
        </w:rPr>
        <w:t>评审方法</w:t>
      </w:r>
    </w:p>
    <w:p>
      <w:pPr>
        <w:pStyle w:val="21"/>
        <w:numPr>
          <w:ilvl w:val="0"/>
          <w:numId w:val="2"/>
        </w:numPr>
        <w:tabs>
          <w:tab w:val="right" w:pos="8844"/>
        </w:tabs>
        <w:rPr>
          <w:rFonts w:hint="eastAsia" w:ascii="宋体" w:hAnsi="宋体" w:eastAsia="宋体" w:cs="宋体"/>
          <w:sz w:val="28"/>
          <w:szCs w:val="28"/>
        </w:rPr>
      </w:pPr>
      <w:r>
        <w:rPr>
          <w:rFonts w:hint="eastAsia" w:ascii="宋体" w:hAnsi="宋体" w:eastAsia="宋体" w:cs="宋体"/>
          <w:sz w:val="28"/>
          <w:szCs w:val="28"/>
        </w:rPr>
        <w:t>采购需求</w:t>
      </w:r>
    </w:p>
    <w:p>
      <w:pPr>
        <w:pStyle w:val="21"/>
        <w:numPr>
          <w:ilvl w:val="0"/>
          <w:numId w:val="2"/>
        </w:numPr>
        <w:tabs>
          <w:tab w:val="right" w:pos="8844"/>
        </w:tabs>
        <w:rPr>
          <w:rFonts w:hint="eastAsia" w:ascii="宋体" w:hAnsi="宋体" w:eastAsia="宋体" w:cs="宋体"/>
          <w:sz w:val="28"/>
          <w:szCs w:val="28"/>
        </w:rPr>
      </w:pPr>
      <w:r>
        <w:rPr>
          <w:rFonts w:hint="eastAsia" w:ascii="宋体" w:hAnsi="宋体" w:eastAsia="宋体" w:cs="宋体"/>
          <w:sz w:val="28"/>
          <w:szCs w:val="28"/>
        </w:rPr>
        <w:t>合同草案</w:t>
      </w:r>
    </w:p>
    <w:p>
      <w:pPr>
        <w:pStyle w:val="21"/>
        <w:numPr>
          <w:ilvl w:val="0"/>
          <w:numId w:val="2"/>
        </w:numPr>
        <w:tabs>
          <w:tab w:val="right" w:pos="8844"/>
        </w:tabs>
        <w:rPr>
          <w:rFonts w:hint="eastAsia" w:ascii="宋体" w:hAnsi="宋体" w:eastAsia="宋体" w:cs="宋体"/>
          <w:sz w:val="28"/>
          <w:szCs w:val="28"/>
        </w:rPr>
      </w:pPr>
      <w:r>
        <w:rPr>
          <w:rFonts w:hint="eastAsia" w:ascii="宋体" w:hAnsi="宋体" w:eastAsia="宋体" w:cs="宋体"/>
          <w:sz w:val="28"/>
          <w:szCs w:val="28"/>
        </w:rPr>
        <w:t>响应文件格式要求</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"1-1" \n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"_Toc18800"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end"/>
      </w:r>
    </w:p>
    <w:p>
      <w:pPr>
        <w:pStyle w:val="21"/>
        <w:tabs>
          <w:tab w:val="right" w:pos="8844"/>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"_Toc5817"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end"/>
      </w:r>
    </w:p>
    <w:p>
      <w:pPr>
        <w:pStyle w:val="21"/>
        <w:tabs>
          <w:tab w:val="right" w:pos="8844"/>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"_Toc27928"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end"/>
      </w:r>
    </w:p>
    <w:p>
      <w:pPr>
        <w:pStyle w:val="25"/>
        <w:ind w:left="0" w:leftChars="0" w:firstLine="0" w:firstLineChars="0"/>
        <w:rPr>
          <w:rFonts w:hint="eastAsia" w:eastAsia="等线"/>
          <w:lang w:val="en-US" w:eastAsia="zh-CN"/>
        </w:rPr>
      </w:pPr>
      <w:r>
        <w:rPr>
          <w:rFonts w:hint="eastAsia" w:ascii="宋体" w:hAnsi="宋体" w:eastAsia="宋体" w:cs="宋体"/>
          <w:sz w:val="28"/>
          <w:szCs w:val="28"/>
        </w:rPr>
        <w:fldChar w:fldCharType="end"/>
      </w:r>
    </w:p>
    <w:p>
      <w:pPr>
        <w:pStyle w:val="25"/>
        <w:ind w:left="0" w:leftChars="0" w:firstLine="0" w:firstLineChars="0"/>
      </w:pPr>
      <w:bookmarkStart w:id="0" w:name="_Toc26148"/>
      <w:bookmarkStart w:id="1" w:name="_Toc18145"/>
      <w:bookmarkStart w:id="2" w:name="_Toc1711"/>
      <w:bookmarkStart w:id="3" w:name="_Toc17696"/>
    </w:p>
    <w:p>
      <w:pPr>
        <w:pStyle w:val="25"/>
        <w:ind w:left="0" w:leftChars="0" w:firstLine="0" w:firstLineChars="0"/>
      </w:pPr>
    </w:p>
    <w:p>
      <w:pPr>
        <w:pStyle w:val="25"/>
        <w:ind w:left="0" w:leftChars="0" w:firstLine="0" w:firstLineChars="0"/>
      </w:pPr>
    </w:p>
    <w:p>
      <w:bookmarkStart w:id="4" w:name="_Toc7519"/>
      <w:bookmarkStart w:id="5" w:name="_Toc1669"/>
      <w:bookmarkStart w:id="6" w:name="_Toc17801"/>
      <w:bookmarkStart w:id="7" w:name="_Toc19609"/>
      <w:bookmarkStart w:id="8" w:name="_Toc11322"/>
      <w:bookmarkStart w:id="9" w:name="_Toc31938"/>
      <w:bookmarkStart w:id="10" w:name="_Toc4275"/>
      <w:r>
        <w:br w:type="page"/>
      </w:r>
    </w:p>
    <w:p>
      <w:pPr>
        <w:pStyle w:val="25"/>
        <w:ind w:left="0" w:leftChars="0" w:firstLine="0" w:firstLineChars="0"/>
        <w:rPr>
          <w:rFonts w:hint="eastAsia" w:eastAsia="等线"/>
          <w:lang w:val="en-US" w:eastAsia="zh-CN"/>
        </w:rPr>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4"/>
      </w:pPr>
      <w:r>
        <mc:AlternateContent>
          <mc:Choice Requires="wps">
            <w:drawing>
              <wp:anchor distT="0" distB="0" distL="114300" distR="114300" simplePos="0" relativeHeight="251670528" behindDoc="0" locked="0" layoutInCell="1" allowOverlap="1">
                <wp:simplePos x="0" y="0"/>
                <wp:positionH relativeFrom="column">
                  <wp:posOffset>2597785</wp:posOffset>
                </wp:positionH>
                <wp:positionV relativeFrom="paragraph">
                  <wp:posOffset>812165</wp:posOffset>
                </wp:positionV>
                <wp:extent cx="958850" cy="0"/>
                <wp:effectExtent l="0" t="0" r="0" b="0"/>
                <wp:wrapNone/>
                <wp:docPr id="30"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204.55pt;margin-top:63.95pt;height:0pt;width:75.5pt;z-index:251670528;mso-width-relative:page;mso-height-relative:page;" filled="f" stroked="t" coordsize="21600,21600" o:gfxdata="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SRIHlm78&#10;56dvvz5+vv3y4/b7VzZ5njXqA9YUunKbeNph2MRM+NBGm/9EhR2KrsezruqQmKDDF7P5fEbw4s5V&#10;3eeFiOmV8pZlo+GYIuhdl1beObo8HydFVti/xkSVKfEuIRc1jvUZfjojcKBhbGkIyLSBCKHblVz0&#10;RstrbUzOwLjbrkxke8gDUb7Mj3D/CstF1oDdEFdcw6h0CuRLJ1k6BlLK0QvhuQWrJGdG0YPKFgFC&#10;nUCbSyKptHHUQZZ4EDVbWy+PRetyTpdfejwNap6uP/cl+/5x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hjqmtcAAAALAQAADwAAAAAAAAABACAAAAAiAAAAZHJzL2Rvd25yZXYueG1sUEsBAhQA&#10;FAAAAAgAh07iQK59Q+jzAQAA5AMAAA4AAAAAAAAAAQAgAAAAJgEAAGRycy9lMm9Eb2MueG1sUEsF&#10;BgAAAAAGAAYAWQEAAIs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2605405</wp:posOffset>
                </wp:positionH>
                <wp:positionV relativeFrom="paragraph">
                  <wp:posOffset>174625</wp:posOffset>
                </wp:positionV>
                <wp:extent cx="958850" cy="0"/>
                <wp:effectExtent l="0" t="0" r="0" b="0"/>
                <wp:wrapNone/>
                <wp:docPr id="3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205.15pt;margin-top:13.75pt;height:0pt;width:75.5pt;z-index:251669504;mso-width-relative:page;mso-height-relative:page;" filled="f" stroked="t" coordsize="21600,21600" o:gfxdata="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0wx0tYAAAAJAQAADwAAAAAAAAABACAAAAAiAAAAZHJzL2Rvd25yZXYueG1sUEsBAhQA&#10;FAAAAAgAh07iQNH4PWj0AQAA5AMAAA4AAAAAAAAAAQAgAAAAJQEAAGRycy9lMm9Eb2MueG1sUEsF&#10;BgAAAAAGAAYAWQEAAIsFAAAAAA==&#10;">
                <v:fill on="f" focussize="0,0"/>
                <v:stroke color="#000000" joinstyle="round"/>
                <v:imagedata o:title=""/>
                <o:lock v:ext="edit" aspectratio="f"/>
              </v:shape>
            </w:pict>
          </mc:Fallback>
        </mc:AlternateContent>
      </w:r>
      <w:r>
        <w:rPr>
          <w:rFonts w:hint="eastAsia"/>
        </w:rPr>
        <w:t>第</w:t>
      </w:r>
      <w:r>
        <w:rPr>
          <w:rFonts w:hint="eastAsia"/>
          <w:lang w:val="en-US" w:eastAsia="zh-CN"/>
        </w:rPr>
        <w:t>一</w:t>
      </w:r>
      <w:r>
        <w:rPr>
          <w:rFonts w:hint="eastAsia"/>
        </w:rPr>
        <w:t>章</w:t>
      </w:r>
    </w:p>
    <w:p>
      <w:pPr>
        <w:pStyle w:val="45"/>
      </w:pPr>
    </w:p>
    <w:p>
      <w:pPr>
        <w:pStyle w:val="5"/>
        <w:rPr>
          <w:rFonts w:hint="default" w:eastAsia="方正小标宋简体"/>
          <w:lang w:val="en-US" w:eastAsia="zh-CN"/>
        </w:rPr>
      </w:pPr>
      <w:r>
        <w:rPr>
          <w:rFonts w:hint="eastAsia"/>
          <w:lang w:val="en-US" w:eastAsia="zh-CN"/>
        </w:rPr>
        <w:t>采购公告</w:t>
      </w: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r>
        <w:br w:type="page"/>
      </w:r>
    </w:p>
    <w:bookmarkEnd w:id="0"/>
    <w:bookmarkEnd w:id="1"/>
    <w:bookmarkEnd w:id="2"/>
    <w:bookmarkEnd w:id="3"/>
    <w:bookmarkEnd w:id="4"/>
    <w:bookmarkEnd w:id="5"/>
    <w:bookmarkEnd w:id="6"/>
    <w:bookmarkEnd w:id="7"/>
    <w:bookmarkEnd w:id="8"/>
    <w:bookmarkEnd w:id="9"/>
    <w:bookmarkEnd w:id="10"/>
    <w:p>
      <w:pPr>
        <w:adjustRightInd w:val="0"/>
        <w:snapToGrid w:val="0"/>
        <w:spacing w:before="156" w:beforeLines="50" w:after="156" w:afterLines="50" w:line="600" w:lineRule="exact"/>
        <w:jc w:val="left"/>
      </w:pPr>
      <w:r>
        <w:rPr>
          <w:rFonts w:hint="eastAsia" w:asciiTheme="minorEastAsia" w:hAnsiTheme="minorEastAsia"/>
          <w:sz w:val="24"/>
          <w:szCs w:val="24"/>
        </w:rPr>
        <w:t>适用于纸质评审的公开采购方式</w:t>
      </w:r>
    </w:p>
    <w:p>
      <w:pPr>
        <w:spacing w:line="600" w:lineRule="auto"/>
        <w:jc w:val="center"/>
        <w:outlineLvl w:val="9"/>
        <w:rPr>
          <w:rFonts w:hint="eastAsia" w:ascii="宋体" w:hAnsi="宋体" w:eastAsia="宋体" w:cs="宋体"/>
          <w:b/>
          <w:bCs w:val="0"/>
          <w:sz w:val="36"/>
          <w:szCs w:val="36"/>
        </w:rPr>
      </w:pPr>
      <w:bookmarkStart w:id="11" w:name="_Toc9680"/>
      <w:bookmarkStart w:id="12" w:name="_Toc21373"/>
      <w:r>
        <w:rPr>
          <w:rFonts w:hint="eastAsia" w:ascii="宋体" w:hAnsi="宋体" w:eastAsia="宋体" w:cs="宋体"/>
          <w:b/>
          <w:bCs w:val="0"/>
          <w:sz w:val="36"/>
          <w:szCs w:val="36"/>
          <w:u w:val="single"/>
        </w:rPr>
        <w:t>广州市净水有限公司竹料分公司2022年中控室升级改造项目</w:t>
      </w:r>
      <w:r>
        <w:rPr>
          <w:rFonts w:hint="eastAsia" w:ascii="宋体" w:hAnsi="宋体" w:eastAsia="宋体" w:cs="宋体"/>
          <w:b/>
          <w:bCs w:val="0"/>
          <w:sz w:val="36"/>
          <w:szCs w:val="36"/>
        </w:rPr>
        <w:t>采购公告</w:t>
      </w:r>
      <w:bookmarkEnd w:id="11"/>
      <w:bookmarkEnd w:id="12"/>
    </w:p>
    <w:p>
      <w:pPr>
        <w:adjustRightInd w:val="0"/>
        <w:snapToGrid w:val="0"/>
        <w:spacing w:line="600" w:lineRule="exact"/>
        <w:ind w:firstLine="560" w:firstLineChars="200"/>
        <w:jc w:val="left"/>
        <w:rPr>
          <w:rFonts w:hint="eastAsia" w:ascii="宋体" w:hAnsi="宋体" w:eastAsia="宋体" w:cs="宋体"/>
          <w:sz w:val="28"/>
          <w:szCs w:val="28"/>
          <w:u w:val="single"/>
        </w:rPr>
      </w:pPr>
      <w:r>
        <w:rPr>
          <w:rFonts w:hint="eastAsia" w:ascii="宋体" w:hAnsi="宋体" w:eastAsia="宋体" w:cs="宋体"/>
          <w:sz w:val="28"/>
          <w:szCs w:val="28"/>
          <w:u w:val="single"/>
          <w:lang w:val="en-US" w:eastAsia="zh-CN"/>
        </w:rPr>
        <w:t>广州市净水有限公司竹料分公司2022年中控室升级改造项目</w:t>
      </w:r>
      <w:r>
        <w:rPr>
          <w:rFonts w:hint="eastAsia" w:ascii="宋体" w:hAnsi="宋体" w:eastAsia="宋体" w:cs="宋体"/>
          <w:sz w:val="28"/>
          <w:szCs w:val="28"/>
        </w:rPr>
        <w:t>已具备采购条件，现对该</w:t>
      </w:r>
      <w:r>
        <w:rPr>
          <w:rFonts w:hint="eastAsia" w:ascii="宋体" w:hAnsi="宋体" w:eastAsia="宋体" w:cs="宋体"/>
          <w:sz w:val="28"/>
          <w:szCs w:val="28"/>
        </w:rPr>
        <w:sym w:font="Wingdings 2" w:char="0052"/>
      </w:r>
      <w:r>
        <w:rPr>
          <w:rFonts w:hint="eastAsia" w:ascii="宋体" w:hAnsi="宋体" w:eastAsia="宋体" w:cs="宋体"/>
          <w:sz w:val="28"/>
          <w:szCs w:val="28"/>
        </w:rPr>
        <w:t xml:space="preserve">施工  □货物 </w:t>
      </w:r>
      <w:r>
        <w:rPr>
          <w:rFonts w:hint="eastAsia" w:ascii="宋体" w:hAnsi="宋体" w:eastAsia="宋体" w:cs="宋体"/>
          <w:sz w:val="28"/>
          <w:szCs w:val="28"/>
        </w:rPr>
        <w:sym w:font="Wingdings 2" w:char="00A3"/>
      </w:r>
      <w:r>
        <w:rPr>
          <w:rFonts w:hint="eastAsia" w:ascii="宋体" w:hAnsi="宋体" w:eastAsia="宋体" w:cs="宋体"/>
          <w:sz w:val="28"/>
          <w:szCs w:val="28"/>
        </w:rPr>
        <w:t>服务项目实施公开采购</w:t>
      </w:r>
      <w:bookmarkStart w:id="13" w:name="采购公告"/>
      <w:bookmarkEnd w:id="13"/>
      <w:r>
        <w:rPr>
          <w:rFonts w:hint="eastAsia" w:ascii="宋体" w:hAnsi="宋体" w:eastAsia="宋体" w:cs="宋体"/>
          <w:sz w:val="28"/>
          <w:szCs w:val="28"/>
        </w:rPr>
        <w:t>活动，采用</w:t>
      </w:r>
      <w:r>
        <w:rPr>
          <w:rFonts w:hint="eastAsia" w:ascii="宋体" w:hAnsi="宋体" w:eastAsia="宋体" w:cs="宋体"/>
          <w:sz w:val="28"/>
          <w:szCs w:val="28"/>
          <w:u w:val="single"/>
        </w:rPr>
        <w:t>询比采购</w:t>
      </w:r>
      <w:r>
        <w:rPr>
          <w:rFonts w:hint="eastAsia" w:ascii="宋体" w:hAnsi="宋体" w:eastAsia="宋体" w:cs="宋体"/>
          <w:sz w:val="28"/>
          <w:szCs w:val="28"/>
        </w:rPr>
        <w:t>方式公开邀请合格供应商参加本项目采购竞争。</w:t>
      </w:r>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rPr>
        <w:t>1.采购项目简介</w:t>
      </w:r>
    </w:p>
    <w:p>
      <w:pPr>
        <w:adjustRightInd w:val="0"/>
        <w:snapToGrid w:val="0"/>
        <w:spacing w:line="600" w:lineRule="exact"/>
        <w:jc w:val="left"/>
        <w:rPr>
          <w:rFonts w:hint="eastAsia" w:ascii="宋体" w:hAnsi="宋体" w:eastAsia="宋体" w:cs="宋体"/>
          <w:sz w:val="28"/>
          <w:szCs w:val="28"/>
        </w:rPr>
      </w:pPr>
      <w:r>
        <w:rPr>
          <w:rFonts w:hint="eastAsia" w:ascii="宋体" w:hAnsi="宋体" w:eastAsia="宋体" w:cs="宋体"/>
          <w:sz w:val="28"/>
          <w:szCs w:val="28"/>
        </w:rPr>
        <w:t>1.1采购项目名称：</w:t>
      </w:r>
      <w:r>
        <w:rPr>
          <w:rFonts w:hint="eastAsia" w:ascii="宋体" w:hAnsi="宋体" w:eastAsia="宋体" w:cs="宋体"/>
          <w:sz w:val="28"/>
          <w:szCs w:val="28"/>
          <w:u w:val="single"/>
        </w:rPr>
        <w:t xml:space="preserve">广州市净水有限公司竹料分公司2022年中控室升级改造项目 </w:t>
      </w:r>
      <w:r>
        <w:rPr>
          <w:rFonts w:hint="eastAsia" w:ascii="宋体" w:hAnsi="宋体" w:eastAsia="宋体" w:cs="宋体"/>
          <w:sz w:val="28"/>
          <w:szCs w:val="28"/>
        </w:rPr>
        <w:t xml:space="preserve"> </w:t>
      </w:r>
    </w:p>
    <w:p>
      <w:pPr>
        <w:widowControl/>
        <w:adjustRightInd/>
        <w:snapToGrid/>
        <w:spacing w:line="240" w:lineRule="auto"/>
        <w:jc w:val="left"/>
        <w:rPr>
          <w:rFonts w:hint="eastAsia" w:ascii="宋体" w:hAnsi="宋体" w:eastAsia="宋体" w:cs="宋体"/>
          <w:sz w:val="28"/>
          <w:szCs w:val="28"/>
          <w:u w:val="single"/>
        </w:rPr>
      </w:pPr>
      <w:r>
        <w:rPr>
          <w:rFonts w:hint="eastAsia" w:ascii="宋体" w:hAnsi="宋体" w:eastAsia="宋体" w:cs="宋体"/>
          <w:sz w:val="28"/>
          <w:szCs w:val="28"/>
        </w:rPr>
        <w:t>1.2项目编号：</w:t>
      </w:r>
      <w:r>
        <w:rPr>
          <w:rFonts w:hint="eastAsia" w:ascii="宋体" w:hAnsi="宋体" w:eastAsia="宋体" w:cs="宋体"/>
          <w:sz w:val="28"/>
          <w:szCs w:val="28"/>
          <w:u w:val="single"/>
          <w:lang w:val="en-US" w:eastAsia="zh-CN"/>
        </w:rPr>
        <w:t xml:space="preserve"> XJ-20221129-1</w:t>
      </w:r>
      <w:r>
        <w:rPr>
          <w:rFonts w:hint="eastAsia" w:ascii="宋体" w:hAnsi="宋体" w:eastAsia="宋体" w:cs="宋体"/>
          <w:color w:val="auto"/>
          <w:kern w:val="2"/>
          <w:sz w:val="28"/>
          <w:szCs w:val="28"/>
          <w:u w:val="single"/>
          <w:lang w:val="en-US" w:eastAsia="zh-CN" w:bidi="ar"/>
        </w:rPr>
        <w:t xml:space="preserve"> </w:t>
      </w:r>
    </w:p>
    <w:p>
      <w:pPr>
        <w:adjustRightInd w:val="0"/>
        <w:snapToGrid w:val="0"/>
        <w:spacing w:line="600" w:lineRule="exact"/>
        <w:jc w:val="left"/>
        <w:rPr>
          <w:rFonts w:hint="eastAsia" w:ascii="宋体" w:hAnsi="宋体" w:eastAsia="宋体" w:cs="宋体"/>
          <w:sz w:val="28"/>
          <w:szCs w:val="28"/>
          <w:u w:val="single"/>
        </w:rPr>
      </w:pPr>
      <w:r>
        <w:rPr>
          <w:rFonts w:hint="eastAsia" w:ascii="宋体" w:hAnsi="宋体" w:eastAsia="宋体" w:cs="宋体"/>
          <w:sz w:val="28"/>
          <w:szCs w:val="28"/>
        </w:rPr>
        <w:t>1.3资金来源：</w:t>
      </w:r>
      <w:r>
        <w:rPr>
          <w:rFonts w:hint="eastAsia" w:ascii="宋体" w:hAnsi="宋体" w:eastAsia="宋体" w:cs="宋体"/>
          <w:sz w:val="28"/>
          <w:szCs w:val="28"/>
          <w:u w:val="single"/>
        </w:rPr>
        <w:t>自有资金</w:t>
      </w:r>
    </w:p>
    <w:p>
      <w:pPr>
        <w:adjustRightInd w:val="0"/>
        <w:snapToGrid w:val="0"/>
        <w:spacing w:line="600" w:lineRule="exact"/>
        <w:jc w:val="left"/>
        <w:rPr>
          <w:rFonts w:hint="eastAsia" w:ascii="宋体" w:hAnsi="宋体" w:eastAsia="宋体" w:cs="宋体"/>
          <w:sz w:val="28"/>
          <w:szCs w:val="28"/>
          <w:u w:val="single"/>
        </w:rPr>
      </w:pPr>
      <w:r>
        <w:rPr>
          <w:rFonts w:hint="eastAsia" w:ascii="宋体" w:hAnsi="宋体" w:eastAsia="宋体" w:cs="宋体"/>
          <w:sz w:val="28"/>
          <w:szCs w:val="28"/>
        </w:rPr>
        <w:t>1.4最高限价（元）：</w:t>
      </w:r>
      <w:r>
        <w:rPr>
          <w:rFonts w:hint="eastAsia" w:ascii="宋体" w:hAnsi="宋体" w:eastAsia="宋体" w:cs="宋体"/>
          <w:sz w:val="28"/>
          <w:szCs w:val="28"/>
          <w:u w:val="single"/>
          <w:lang w:val="en-US" w:eastAsia="zh-CN"/>
        </w:rPr>
        <w:t>980000</w:t>
      </w:r>
      <w:r>
        <w:rPr>
          <w:rFonts w:hint="eastAsia" w:ascii="宋体" w:hAnsi="宋体" w:eastAsia="宋体" w:cs="宋体"/>
          <w:sz w:val="28"/>
          <w:szCs w:val="28"/>
          <w:u w:val="single"/>
        </w:rPr>
        <w:t>.</w:t>
      </w:r>
      <w:r>
        <w:rPr>
          <w:rFonts w:hint="eastAsia" w:ascii="宋体" w:hAnsi="宋体" w:eastAsia="宋体" w:cs="宋体"/>
          <w:sz w:val="28"/>
          <w:szCs w:val="28"/>
          <w:u w:val="single"/>
          <w:lang w:val="en-US" w:eastAsia="zh-CN"/>
        </w:rPr>
        <w:t>00</w:t>
      </w:r>
      <w:r>
        <w:rPr>
          <w:rFonts w:hint="eastAsia" w:ascii="宋体" w:hAnsi="宋体" w:eastAsia="宋体" w:cs="宋体"/>
          <w:sz w:val="28"/>
          <w:szCs w:val="28"/>
          <w:u w:val="single"/>
        </w:rPr>
        <w:t>元</w:t>
      </w:r>
    </w:p>
    <w:p>
      <w:pPr>
        <w:adjustRightInd w:val="0"/>
        <w:snapToGrid w:val="0"/>
        <w:spacing w:line="600" w:lineRule="exact"/>
        <w:jc w:val="left"/>
        <w:rPr>
          <w:rFonts w:hint="eastAsia" w:ascii="宋体" w:hAnsi="宋体" w:eastAsia="宋体" w:cs="宋体"/>
          <w:sz w:val="28"/>
          <w:szCs w:val="28"/>
          <w:u w:val="single"/>
        </w:rPr>
      </w:pPr>
      <w:r>
        <w:rPr>
          <w:rFonts w:hint="eastAsia" w:ascii="宋体" w:hAnsi="宋体" w:eastAsia="宋体" w:cs="宋体"/>
          <w:sz w:val="28"/>
          <w:szCs w:val="28"/>
        </w:rPr>
        <w:t>1.5标段划分：</w:t>
      </w:r>
      <w:r>
        <w:rPr>
          <w:rFonts w:hint="eastAsia" w:ascii="宋体" w:hAnsi="宋体" w:eastAsia="宋体" w:cs="宋体"/>
          <w:sz w:val="28"/>
          <w:szCs w:val="28"/>
          <w:u w:val="single"/>
        </w:rPr>
        <w:t xml:space="preserve">      /      </w:t>
      </w:r>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rPr>
        <w:t>2.采购内容和范围</w:t>
      </w:r>
    </w:p>
    <w:p>
      <w:pPr>
        <w:adjustRightInd w:val="0"/>
        <w:snapToGrid w:val="0"/>
        <w:spacing w:line="600" w:lineRule="exact"/>
        <w:jc w:val="left"/>
        <w:rPr>
          <w:rFonts w:hint="eastAsia" w:ascii="宋体" w:hAnsi="宋体" w:eastAsia="宋体" w:cs="宋体"/>
          <w:sz w:val="28"/>
          <w:szCs w:val="28"/>
          <w:highlight w:val="cyan"/>
        </w:rPr>
      </w:pPr>
      <w:r>
        <w:rPr>
          <w:rFonts w:hint="eastAsia" w:ascii="宋体" w:hAnsi="宋体" w:eastAsia="宋体" w:cs="宋体"/>
          <w:sz w:val="28"/>
          <w:szCs w:val="28"/>
        </w:rPr>
        <w:t>2.1采购内容和范围：</w:t>
      </w:r>
    </w:p>
    <w:tbl>
      <w:tblPr>
        <w:tblStyle w:val="27"/>
        <w:tblW w:w="9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1"/>
        <w:gridCol w:w="6328"/>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center"/>
          </w:tcPr>
          <w:p>
            <w:pPr>
              <w:rPr>
                <w:rFonts w:hint="eastAsia"/>
                <w:b/>
                <w:bCs/>
                <w:vertAlign w:val="baseline"/>
                <w:lang w:val="en-US" w:eastAsia="zh-CN" w:bidi="ar"/>
              </w:rPr>
            </w:pPr>
            <w:r>
              <w:rPr>
                <w:rFonts w:hint="eastAsia"/>
                <w:b/>
                <w:bCs/>
                <w:vertAlign w:val="baseline"/>
                <w:lang w:val="en-US" w:eastAsia="zh-CN" w:bidi="ar"/>
              </w:rPr>
              <w:t xml:space="preserve">      名称</w:t>
            </w:r>
          </w:p>
        </w:tc>
        <w:tc>
          <w:tcPr>
            <w:tcW w:w="5826" w:type="dxa"/>
            <w:vAlign w:val="center"/>
          </w:tcPr>
          <w:p>
            <w:pPr>
              <w:ind w:firstLine="2319" w:firstLineChars="1100"/>
              <w:rPr>
                <w:rFonts w:hint="eastAsia"/>
                <w:b/>
                <w:bCs/>
                <w:vertAlign w:val="baseline"/>
                <w:lang w:val="en-US" w:eastAsia="zh-CN" w:bidi="ar"/>
              </w:rPr>
            </w:pPr>
            <w:r>
              <w:rPr>
                <w:rFonts w:hint="eastAsia"/>
                <w:b/>
                <w:bCs/>
                <w:vertAlign w:val="baseline"/>
                <w:lang w:val="en-US" w:eastAsia="zh-CN" w:bidi="ar"/>
              </w:rPr>
              <w:t>服务内容</w:t>
            </w:r>
          </w:p>
        </w:tc>
        <w:tc>
          <w:tcPr>
            <w:tcW w:w="1300" w:type="dxa"/>
            <w:vAlign w:val="center"/>
          </w:tcPr>
          <w:p>
            <w:pPr>
              <w:ind w:firstLine="422" w:firstLineChars="200"/>
              <w:rPr>
                <w:rFonts w:hint="eastAsia"/>
                <w:b/>
                <w:bCs/>
                <w:vertAlign w:val="baseline"/>
                <w:lang w:val="en-US" w:eastAsia="zh-CN" w:bidi="ar"/>
              </w:rPr>
            </w:pPr>
            <w:r>
              <w:rPr>
                <w:rFonts w:hint="eastAsia"/>
                <w:b/>
                <w:bCs/>
                <w:vertAlign w:val="baseli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072" w:type="dxa"/>
            <w:vAlign w:val="top"/>
          </w:tcPr>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全彩P1.5小间距LED显示屏</w:t>
            </w:r>
          </w:p>
        </w:tc>
        <w:tc>
          <w:tcPr>
            <w:tcW w:w="5826"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1.点间距≤1.56mm；</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2.屏体尺寸：宽度≥3.6米，高度≥2.025米；</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3.整屏分辨率宽≥2304点，高≥1296点；</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4.像素密度：≥409600点/平方；</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5.箱体结构：高精度压铸铝合金材质，一体成型(框架、背板、后盖)整体压铸成型，抗压抗拉；全金属自然散热结构，电源全贴合设计，散热快，稳定性好;无风扇、无孔、防尘、静音设计；</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6.驱动方式：恒流驱动；</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7.水平/垂直相对偏差：≤1%；</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8.屏幕峰值功耗：≤550W/㎡@600cd/m2(nits) ；</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9.白平衡亮度：≥1500cd/m2(nits)；</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10.视角：水平/垂直视角≥160°；</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11.灰度等级：支持通过配套控制软件调节灰度等级的设置选项，灰度等级15Bit~ 22Bit；</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12.色温：2000K－10000K可调；</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13.换帧频率：支持信号源50Hz、60Hz、96Hz、120Hz、144Hz、240Hz 帧频处理，支持3D显示应用；</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14.最高对比度：10000：1；</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15.色域≥120%NTSC；</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16.平整度：≤0.1mm；</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17.刷新频率：≥3840Hz；</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18.亮度均匀性：≥99%；</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19.像素失控率：≤1/1000000，无连续失控点；</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20.外壳防护等级：≥IP6X ；</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21.模块微调功能：支持6轴向精密微调，从单元模块上下、左右、前后，均可以对任何一个模块进行亚毫米级的精细微调</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22.支持单点(逐点)色度和亮度校正；支持5套亮度级校正系数，多层校正及存储;支持出厂校正及现场校正；</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23.平均无故障时间：显示模组的平均失效无故障MTBF≥100000小时，可用度≥0.9999999；</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24.模块表面处理：采用电喷技术，黑色哑光处理，可有效防止反光和静电，无面罩设计，反光率≤1.5%； 显示屏对比度高，屏幕表面采用无塑胶类结构件，屏体表面均匀，观看视角大，观看效果好，PCB及灯管散热良好；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25.亮度调整：具有随环境照度的变化而自动亮度调整的功能，支持手动、自动、程控、软件调节（0-100%无极可调）；</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26.支持色彩置换、色彩调节功能，可以对输入源的色彩进行调节，亮度、对比度、饱和度、色相等都可以调节；</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27.支持把视频源进行倍频，60Hz 的输入，120Hz的输出，解决LED屏拍摄时灰度丢失的问题</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28.数据存储：支持模块级亮度色度校正数据的存储及回读功能；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29.数据传输：支持模块级无线连接、支持模组无线连接；</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30.维护方式：支持整体前维护，模块、控制板、电源、系统卡等所有组件均能快速从前面进行维护；</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31.防护功能：具有完全防尘、防腐蚀、防静电、防电磁干扰、抗雷击、防虫、抗风保护等功能；具有电源过压、过流、断电保护、分布上电措施；具有实时监控温度、故障报警功能；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32.LED显示屏支持模组级DC供电方式(≤48Vdc),支持通讯级开关电源组合集中供电系统,支持N+1冗余备份和热拔插功能（提供首页具有CMA、CNAS和ilac-MRA标识的检测报告证明，并加盖LED显示屏制造厂商公章）</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33.安全特性：符合GB4943.1、IEC60950-1、IEC62368-1、EN60950-1、EN62368-1要求；</w:t>
            </w:r>
          </w:p>
        </w:tc>
        <w:tc>
          <w:tcPr>
            <w:tcW w:w="1300" w:type="dxa"/>
          </w:tcPr>
          <w:p>
            <w:pPr>
              <w:rPr>
                <w:rFonts w:hint="eastAsia" w:asciiTheme="minorHAnsi" w:hAnsiTheme="minorHAnsi" w:eastAsiaTheme="minorEastAsia" w:cstheme="minorBidi"/>
                <w:kern w:val="2"/>
                <w:sz w:val="21"/>
                <w:szCs w:val="22"/>
                <w:lang w:val="en-US" w:eastAsia="zh-CN" w:bidi="ar"/>
              </w:rPr>
            </w:pPr>
          </w:p>
          <w:p>
            <w:pPr>
              <w:rPr>
                <w:rFonts w:hint="eastAsia" w:asciiTheme="minorHAnsi" w:hAnsiTheme="minorHAnsi" w:eastAsiaTheme="minorEastAsia" w:cstheme="minorBidi"/>
                <w:kern w:val="2"/>
                <w:sz w:val="21"/>
                <w:szCs w:val="22"/>
                <w:lang w:val="en-US" w:eastAsia="zh-CN" w:bidi="ar"/>
              </w:rPr>
            </w:pPr>
            <w:r>
              <w:rPr>
                <w:rFonts w:hint="eastAsia" w:asciiTheme="minorHAnsi" w:hAnsiTheme="minorHAnsi" w:eastAsiaTheme="minorEastAsia" w:cstheme="minorBidi"/>
                <w:kern w:val="2"/>
                <w:sz w:val="21"/>
                <w:szCs w:val="22"/>
                <w:lang w:val="en-US" w:eastAsia="zh-CN" w:bidi="ar"/>
              </w:rPr>
              <w:t>7.0875㎡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安装结构支架及结构件</w:t>
            </w:r>
          </w:p>
        </w:tc>
        <w:tc>
          <w:tcPr>
            <w:tcW w:w="5826"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1.安装结构能满足LED高清显示屏的整体均匀平滑要求，采用环保型材，结构应便于安装和调试。</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2.采用国标材料制作，定制装置，拆装方便；具备间距调节装置，可实现精确调节，显示模组之间的缝隙均匀，显示效果清晰；钢结构框架，所有材料采用国家标准材料施工制作，防锈防氧化处理。</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3.LED显示屏选用环保型铝型材框架安装,其框架材料经过严格环保、无毒测试,符合国 家《GB/T26572-2011》标准限量要求。</w:t>
            </w:r>
          </w:p>
        </w:tc>
        <w:tc>
          <w:tcPr>
            <w:tcW w:w="1300" w:type="dxa"/>
          </w:tcPr>
          <w:p>
            <w:pPr>
              <w:rPr>
                <w:rFonts w:hint="default" w:asciiTheme="minorHAnsi" w:hAnsiTheme="minorHAnsi" w:eastAsiaTheme="minorEastAsia" w:cstheme="minorBidi"/>
                <w:kern w:val="2"/>
                <w:sz w:val="21"/>
                <w:szCs w:val="22"/>
                <w:lang w:val="en-US" w:eastAsia="zh-CN" w:bidi="ar"/>
              </w:rPr>
            </w:pPr>
          </w:p>
          <w:p>
            <w:pPr>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7.0875㎡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072"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控制器管理器</w:t>
            </w:r>
          </w:p>
        </w:tc>
        <w:tc>
          <w:tcPr>
            <w:tcW w:w="5826"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1.输入分辨率：最大1920*1200像素，支持分辨率任意设置；</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2.4个千兆网口输出，支持上下、左右及混合型任意拼接；</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3.双USB2.0高速通讯接口，用于电脑调试和卡间级联；</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4.支持亮度和色温调节；</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5.支持低亮高灰；</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6.支持HDCP；</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7.与屏体同品牌，提供CCC证书。</w:t>
            </w:r>
          </w:p>
        </w:tc>
        <w:tc>
          <w:tcPr>
            <w:tcW w:w="1300" w:type="dxa"/>
          </w:tcPr>
          <w:p>
            <w:pPr>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072"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智能配电防雷管理系统</w:t>
            </w:r>
          </w:p>
        </w:tc>
        <w:tc>
          <w:tcPr>
            <w:tcW w:w="5826"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1.配电功率20KW，含各种电器元件、自动空气开关、熔断器、接触器、电流表、电压表、铜排、防电磁浪涌等；</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2.额定输入电压：AC 380V；</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3.额定频率：50Hz；</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4.外壳防护等级：IP50；</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5.额定分散系数：0.7；</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6.环境温度：+10~+40℃；</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7.具备过流、短路、断路保护与报警功能；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8.内置PLC，PLC具备远程开关大屏的功能；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9.具有CQC，与屏体同品牌，提供CQC证书；</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10.LED显示屏厂商具有智能配电管理系统及PLC自动控制系统软件。</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LED显示屏管控平台</w:t>
            </w:r>
          </w:p>
        </w:tc>
        <w:tc>
          <w:tcPr>
            <w:tcW w:w="5826"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1.软件支持集成中控功能，实现对大屏幕的开关控制；</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2.软件支持故障检测功能，支持输入信号丢失检测，使用灰色标示；</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3.可在控制软件观看大屏回显，直接对UI中的可视化窗口进行操作；</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4.支持移动终端软件控制，不用外加中控直接实现场景调取等功能；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5.登录功能：具有单一客户端、多个客户端登录功能，支持默认布局登录；</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6.显示屏设置功能：支持添加、修改、删除LED显示屏；</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7.场景轮循功能：支持添加、修改、删除场景轮循功，支持场景循环分组功能；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8.视频流媒体平台数据管理功能：支持视频流媒体平台数据对接。</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软件支持Windows操作系统和麒麟操作系统：（1）海量图像演示和多媒体控制功能；（2）有图像细节优化处理功能；（3）智能除湿功能；（2）LED显示屏色彩校正软件；（3）显示屏伽马校正软件；（4）LED显示屏远距离视频监控系统软件；（5）屏体自带逐点校正及智能亮度调节软件。</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屏体四周包边</w:t>
            </w:r>
          </w:p>
        </w:tc>
        <w:tc>
          <w:tcPr>
            <w:tcW w:w="5826" w:type="dxa"/>
            <w:vAlign w:val="top"/>
          </w:tcPr>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1.屏体四周包边，要求配合场地装修风格，整体美观和谐。</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视频可视化综合管理设备</w:t>
            </w:r>
          </w:p>
        </w:tc>
        <w:tc>
          <w:tcPr>
            <w:tcW w:w="5826"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1.6U主箱体，共12个卡槽，1-3卡槽为混插卡槽，4-12卡槽为输入卡槽。输入：8路HDMI、2路4K-HDMI；输出：8路DVI；可视化预监回显、支持多组屏管理，支持多用户登入；</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机箱支持输入输出混插，机箱上卡槽为双向数据通道槽位，每个卡槽既可支持输入板卡，也可支持输出板卡；设备支持前面板液晶显示、操作功能，实现设备运行状态可视化，可显示设备型号、IP地址等基础信息，同时可通过升级的液晶前面板实现设备操作；</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3.设备最大单机背板信号处理带宽不小于1600Gbps；单路信号带宽不小于50Gbps；信号切换延迟&lt;6ms，切换无黑屏、蓝屏、闪烁情况。图像处理延迟时间&lt;6 ms;图像开窗响应速度≤7ms;场景调取响应速度&lt;7ms；</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4.设备支持Dual Link DVI、HDMI 1.4、HDBaseT、HDBaseT-4K、DisplayPort、DisplayPort 4K@60Hz、HDMI 2.0 4K@60Hz、VGA、YPbPr、DVI、IP H.264、IP H.265、CVBS、HDMI 1.3、SDI、光纤、4K 光纤信号输入与输出；同时具有音频切换功能，实现对多路输入输出的音视频同步切换；</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5.支持RealControl接口板，支持通过USB线缆与信号源计算机链接，传输USB信号，用于KVM控制；支持设置拼接屏的拼缝补偿，可精确至1像素 ，支持边缘融合带生成，最高可达1500像素；</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6.设备支持图像开窗、矩阵功能、窗口叠加、窗口漫游、窗口缩放、字符叠加、输出字符叠加、图像截取、大底图显示功能；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7.支持拼接墙，投影融合，LED大屏等多种显示终端，并共享输入信号源；支持分辨率实时全兼容，能通过控制软件实现不同屏组输出分辨率自定义显示,屏组数量无限制；支持4K60的 HDR,支持HDR12-bit采样格式,持对带有HDCP加密的视频信号进行采集编码,兼容HDCP1.4、HDCP2.2、HDCP2.3；</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支持窗口布局保存至设备，支持不少于128000个单屏场景且另外支持不少于12800个全局场景，支持调取预先存好的窗口布局，支持场景一键切换，支持场景布局可视化；设备支持OSD大鼠标操作，实现无需客户端可直接对大屏幕窗口进行操作，可使用鼠标直接对大屏显示画面进行多种图形标记，并支持用户自定义图形标记；</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支持不影响大屏信号显示的前提下，可以在软件上对信号源进行位置、大小、布局的调整，在确认无误后，直接推送上屏显示；板卡支持设置超低功耗模式,在板卡闲置时,可设置为超低功耗模式,将板卡功耗降低至0.6w以下，在使用时恢复为正常工作模式,进而实现系统的系统功耗动态管理；</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单台主机支持输入输出端口备份，任意端口故障会自动切换至备份端口。支持输入端口备张输入卡内的两个端口、不同输入卡的间两个端口可以实现对输入信号的备份,任意一路信号有问题，显示图像不受影响;支持输出端口备份,一张输出卡内的两个端口不同输出卡的间两个任意一端口的输出信号可以自动进行备份输出，任意一路信号中断,显示图像不受影响；</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设备具有滚动字幕OSD功能，支持文字，图片，时间内容显示，支持用户调整字幕的位置，大小，字体，颜色，背景色，样式、动作、方向；支持与多种时钟系统进行对接，在静态条幅上添加实时时钟，支持多种不同时间；</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12.PC客户端支持Windows、Linux、麒麟操作系统；</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13.可实现多用户登陆，多用户同时对处理器进行控制管理，多用户间的操作可实时同步显示；多用户之间支持分级分权限分区域管理,可细化至软件各项功能，板卡各接口，屏组各显示屏；</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支持浏览所有输入信号的实时预览画面，所有信预监时，无需额外功能板卡占用设备槽位；支持高清、流畅两种模式信号源预览。高清模式像素不少于42W,流畅模式帧率不少于30Hz;支持所有信号输音星开关控制、预监及预调节功能;同时支持对输入信号源叠加VU音频音柱显示,并可根据音频大小进行变化；</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背板图形化监控，图形化展示设备当前硬件配置，支持实时设备板卡状态识别；默认可以输出不少于7种测试颜色及网格图像,以对设备输出进行测试;或者指定输出默认图像,并可以设置无信号源时输出的图像;支持输出测试图形,支持输出256×256×256种单色图像和网格图像；</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可提供设备端口及底层协议，可以接受第三方软件或运维系统进行控制，实现第三方软件用户及本机用户多人同时网络在线管理，可提供各类检测、控制所需的接口协议，可配合第三方软件进行开发，也可对自带软件进行二次开发；支持系统数据备份恢复，可备份包括系统的配置、拼接模式、拼接场景等所有配置信息。数据可自动或手动进行备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17.支持在控制端显示整面拼接墙的显示图像,支持整面拼接屏的整体回显功能，显示内容与实际输出画面一致,可进行等比例回显或全屏输出,可外接HDMI/DVI接口显示器、IP网络解码器观看大屏回显，图像帧率可达4K@50帧/秒。客户端可直接对大屏幕窗口进行操作。便于对大屏内容进行实时监看与录制,进行分享、复盘与内容留档。支持大屏音频回显输出,音频与画面实时同步，可配合录播进行使用；</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18.产品具备3C、CE、FCC、CB认证。</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24口全千兆网络交换机</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1.配置不低于以下要求：固定端口：28个千兆电口，4个1G SPF千兆光口；管理端口：1个Console口，1个Manage口；</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2.交换机性能：交换性能：336Gbps/3.36Tbps；包转发率：132Mpps/166Mpps；</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3.接入方式：支持胖瘦一体化，支持智能交换机和普通交换机两种工作模式，可以根据不同的组网需要，随时灵活的进行切换；</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4.交换机零配置上线方式：二层广播自动发现控制器平台；配置静态IP地址三层发现控制器平台；DHCP Option43方式发现控制器平台；DNS域名发现控制器平台；</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5.一键替换：支持通过控制器平台一键替换“按钮”即可完成故障设备替换；</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6.M-LAG：支持M-LAG技术，跨设备链路聚合（非堆叠技术实现），要求配对的设备有独立的控制平面；</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7.交换机状态显示：支持通过控制器平台查看交换机端口负载情况；</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8.网络管理：支持通过APP进行远程管理，并且可以修改交换机网络配置；支持通过网管平台跨广域网、NAT远程管理智能交换机；</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9.交换机画像管理：支持通过在控制器平台的Web页面对交换机进行可视化管理查看，包括交换机的端口状态及配置、vlan信息；支持通过控制器平台图形化操作对交换机端口状态的开启与关闭；</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运维：支持通过控制器平台查看交换机面板端口工作状态，通过端口颜色显示状态即可判断端口是否在线工作；支持通过控制器平台查看交换机处于工作端口最近5分钟、1小时、最近1天、最近1周发送与接收的流量趋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11.智能终端类型识别：支持终端类型库，基于指纹自动识别PC、路由器、监控终端设备等；支持基于终端类型自动识别结果，禁止非法终端(例如私接路由器)接入；</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12.第三方系统联动：支持与第三方系统上报接入终端信息，包含IP、MAC、用户名、APID/SWID、AP名/SW名；</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终端安全策略：支持将交换机的端口进行端口组划分，方便配置管理；支持终端的MAC与交换机端口变更检测；支持交换机端口终端类型变更后，通过APP、短信告警；可以自定义交换机端口接入终端类型，及MAC黑白名单；</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终端状态安全分析：支持查看终端在交换机端口离线次数、闲置时间、离线趋势；支持查看安全事件记录、私扩非法边缘设备记录、终端在端口漂移记录、静态IP异常记录等安全事件的记录统计；支持查看终端的的历史接入交换机端口，终端的活跃状态；</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15.交换机业务端口的防雷能力共模不低于9Kv、差模不低于6Kv；</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无线路由器AP</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1.支持802.11ax 协议，兼容802.11a/b/g/n/ac协议，支持2.4G和5G同时工作；</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2.支持2.4G 2*2条流及 5G 2*2条流；2.4G最大传输速率≥570Mbps，5G最大传输速率≥1200Mbps，整机最大传输速率≥1.7Gbps；</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3.千兆以太网口≥2个；</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4.内置智能天线；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5.支持802.3af标准的PoE供电和本地电源适配器供电两种方式，满负荷工作功耗≤14W；</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6.单射频接入人数≥500，整机最大接入人数≥1000；</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6.支持虚拟AP技术，单射频SSID数量≥16，整机≥32；</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7.支持Fat和Fit 两种工作模式，根据网络规划的需要，可以灵活地在Fat和Fit两种工作模式中切换，同时可以根据应用需求，选择工作模式；</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8.支持Wi-Fi报文进行侦听捕获并实时镜像到本地分析设备供网络管理员进行故障排查、优化分析；</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9.支持802.1x 认证、MAC 地址认证、PSK 认证、Portal认证等认证方式，支持面向访客的二维码审核认证方式；</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10.支持802.11h 动态频率选择(DFS)、信道自动扫描功能，自动规避干扰；</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11.支持无线带宽平均分配，让不同协商速率的终端占用相等的无线信道时间，防止低速终端拉低网络整体速率；</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12.通过基于特征和协议的射频优化，有效提升无线部署中高密度接入、流媒体传输等场景中的应用加速能力和质量保障效果；</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13.无线AP支持联动安全策略，通过安全策略可以实现对疑似感染病毒或已感染病毒的无线客户端进行识别、监控与隔离等多种方式的处理；</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14.支持将在内网进行ARP扫描、IP扫描、端口扫描达到阈值后的终端执行告警或自动拉入动态黑名单；</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15.支持Fit AP切换成网关模式（非Fat AP模式），支持PPPoE拨号、静态IP、DHCP三种上网方式；</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16.支持逃生模式，AP与控制器连接中断后，原有用户在线、新用户正常接入，业务不中断。</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控制室有线终端控制软件</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软件支持浏览所有输入信号的实时预览画面,所有信号预监时,无需额外功能板卡占用设备槽位;支持高清、流畅两种模式信号源预览。高清模式像素不少于48W,流畅模式帧率不少于30Hz;支持所有信号输入音量开关控制、预监及预调节功能,同时支持对输入信号源叠加VU音频音柱显示，并可根据音频大小进行变化。</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2.支持将端口设置为拼接端口或矩阵端口,当设置为矩阵端口时，可实现视频矩阵功能，支持矩阵切换,端口搜索、切换关系预览、矩阵信号预监当被设置为拼接端口时，支持大屏拼接功能。</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3.系统板卡支持设置超低功耗模式，在板卡闲置时，可设置为超低功耗模式,将板卡功耗降低至0.6w以下，在使用时恢复为正常工作模式,进而实现系统的系统功耗动态管理。</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4.系统默认可以输出不少于7种测试颜色及网格图像，以对设备输出进行测试;或者指定输出默认图像,并可以设置无信号源时输出的图像;支持输出测试图形,支持输出256×256×256种单色图像和网格图像；</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系统支持前面板触摸屏显示、操作功能，通过前面板触摸屏可实现对拼接屏屏组预案进行调取,对输入信号源进行可视化预监显示。实现设备运行状态可视化,可显示设备型号、IP地址等基础信息,同时可通过升级的液晶前面板实现设备操作。</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6.移动控制端支持Windows、i0S、Android操作系统;支持Windows、Linux, Mac、中标麒麟、银河麒麟等系统通过C/S、B/S软件进行控制;支持通过TCP/IP网口与RS232/422/485串口进行管理控制，开放控制协议，可同时响应不少于32条命令的同时切换。系统支持网络管理协议,配合指控系统保障平台，实现显控应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多用户同时登录,支持设置用户权限级别，各个操作用户可根据实际需求设置不用用户级别,划分不同用户权限,用户之间操作同步实时显示;支持对用户进行分组，支持多用户之间支持分级分权限管理,操作实时同步显示;支持对用户的权限进行分配管理和回收;</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8.系统支持板卡按屏组进行电源管理,可根据实际使用需求，对屏组板卡进行上电、待机管理;可通过设置，对屏组板卡进行定时开关上电管理;</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高端扬声器</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1.低频驱动器：不少于6.5英寸聚丙烯锥体，丁基橡胶环绕，阳极氧化铝音圈，高温音圈；</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2.高频驱动器：19毫米（0.75英寸）高阻尼处理丝绸圆顶，Kapton?音圈，液体冷却，宽色散波导；</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3.盲装背板可以快速方便地安装；</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4.功率：标称设置为8Ω时功率为50W，定压30W，15W，7.5W@70V或100V（仅限3.8W@70V）；</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5.频率范围（-10dB）62Hz-20kHz；</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6.频率响应（±3dB）96Hz-15kHz；</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7.灵敏度：91分贝；</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8.覆盖角度：110°锥形覆盖；</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9.指向性因子（Q）：7.8；</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10.指向性指数（DI）：8.2dB；</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11.额定最大声压级：108dB@1m（3.3ft）平均值，116dB峰值；</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12.名义阻抗8欧姆（直接/旁路8Ω设置）；</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13.交叉网络：12dB/oct（2阶）低通到LF驱动器，12dB/oct（2阶）高通到HF驱动器；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14.输入连接器：可拆卸锁定4针连接器，带螺钉端子；</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15.最大线径：12AWG（2.5mm2）。</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4只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高端扬声器功放</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1.立体声4Ω：2×700W；</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2.立体声8Ω：2×350W；</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3.信噪比：≥90dB；</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4.总谐波失真（THD）：＜0.1%；</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5.频率响应：20Hz-20kHz。</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16路控制带效果器调音台</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1.配置不少于16路；</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2.可开关幻象电源和PAD开关；</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3.单旋钮压缩器；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4.EQ和高通滤波器；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5.AUX/效果发送/编组；</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6.LED电平表；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7.多种输入/输出接口；</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8.金属机身；</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9.内部全局供电；</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10.支持机柜安装；</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11.高品质运算放大器。</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2通道反馈抑制器</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1.56-bit高速DSP，24-bit AD和DA转换。分辨精度1Hz，工作频率20Hz-20KHz；</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2.2寸FTF彩屏，中英文菜单可选；</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3.每通道12个动态陷波器加8个静态陷波器，自动抑制啸叫；</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4.自动陷波配合移频使用，超强抑制声反馈；</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5.噪声门功能可以抑制系统微弱噪声干扰；</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6.输入压缩功能在消除反馈同时更可扩展人声动态；</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7.两通道48V幻象电源，可以独立控制通断；</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8.电源使用超低噪音环形变压器；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9.模拟输入：2CH-XLR和1/4"TRS(母)输入，电子平衡/不平衡；2路独立控制的48V幻象电源；</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10.输入阻抗：平衡 47Ω，不平衡 20KΩ；</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11.最大线路电平输入：+18dBu；</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12.模拟输出：2CH-XLR和1/4" TRS(母)输入，电子平衡/不平衡；</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13.输出阻抗：平衡&gt;120Ω，不平衡&gt;60Ω；</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14.最大输出电平：+20dBu；</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15.频率响应：20Hz-20KHz，±0. 3dB；</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16.信噪比：&gt;105dB(A)；</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17.动态范围：103dB；</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18.总谐波失真+噪声：0.005%，1KHz；20Hz-10KH，&lt;0.01%；10KHz-20KHz，&lt;0.025%。</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电源时序器</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1.8路带空气开关电源时序器；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2.2.5平方三芯珠江品牌电缆线，带10A公牛牌国标插头；</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3.特有的网线端口，外接86底盒开关，无需频繁开机柜开关机；</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4.面板1路直通安全三角插，防止儿童误接触触电；</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5.8路通道输出，每路延时开启和关闭时间可自由设定（通道延时0~999S）；</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6.LCD电压动态显示，日期、时间、通道显示；</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7.每路10A大品牌继电器输出，订制纯铜标准万能接口插座，单路最大输出2KW,总输出4KW；</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8.自由设定过压、欠压保护，保证电源稳定输出；</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9.配置232中控端口，支持外部中央控制设备控制；</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10.可实现远程集中控制，每台设备自带设备编码ID检测和设置；</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11.支持多台设备级联，级联状态可自动检测及设置；</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12.全自动生产和测试技术，保证标准化生产和产品的一致性；</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13.面板LOCK锁定功能，防止人为误操作，轻触开机，长按3秒关机。</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有线鹅颈话筒（含底座）</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1.元件：静电型电容式话筒；</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2.指向性：单一指向性；</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3.频率响应：70~16,000 Hz；</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4.开路灵敏度：-37 dB (14.1 mV) re 1V at 1 Pa；</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5.阻抗：100 ohms；</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6.最大输入声压级：134 dB SPL, 1 kHz at 1% T.H.D.；</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7.动态范围 (典型值)：106 dB, 1 kHz at Max SPL；</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8.信噪比：66 dB， 1 kHz at 1 Pa；</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9.幻像电源：9-52V DC， 2 mA typical；</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10.输出端子：内置三针XLRM卡农公头；</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11.标配：防风绵。</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4支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防静电活动地板</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1.防静电地板600X600mm；</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2.可调节支架系统；</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3.钢筋混凝土结构楼板；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4.具体要求详见深化图纸。</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木饰面（LED电子大屏幕周边）</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1.面层：木饰面；</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2.基础：双层6.0mm厚水泥纤维板；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3.骨架：40X40X4mm热镀锌方钢竖向龙骨(间距600mm);40X40X4mm热镀锌角码用φ12mm膨胀螺栓与墙体固定。</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4.具体要求详见深化图纸。</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不锈钢踢脚线</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1、材料：不锈钢踢脚</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2、规格：展开12+5+10+20mm</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3.具体要求详见深化图纸。</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天棚吊顶（办公室、机房）</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 xml:space="preserve">1.9厘夹板+9.5mm石膏板；        </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 xml:space="preserve">2.50系列次龙骨、50系列主龙骨；                     </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3.综合考虑、夹板打底、肋板、凹缝；</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 xml:space="preserve">4.具体要求详见深化图纸。                                                                                                                                                           </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乳胶漆饰面（办公室、机房）</w:t>
            </w:r>
          </w:p>
        </w:tc>
        <w:tc>
          <w:tcPr>
            <w:tcW w:w="5826" w:type="dxa"/>
            <w:vAlign w:val="top"/>
          </w:tcPr>
          <w:p>
            <w:pPr>
              <w:keepNext w:val="0"/>
              <w:keepLines w:val="0"/>
              <w:widowControl/>
              <w:numPr>
                <w:ilvl w:val="-1"/>
                <w:numId w:val="0"/>
              </w:numPr>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cstheme="minorBidi"/>
                <w:b w:val="0"/>
                <w:bCs w:val="0"/>
                <w:kern w:val="2"/>
                <w:sz w:val="21"/>
                <w:szCs w:val="22"/>
                <w:lang w:val="en-US" w:eastAsia="zh-CN" w:bidi="ar"/>
              </w:rPr>
              <w:t>1.</w:t>
            </w:r>
            <w:r>
              <w:rPr>
                <w:rFonts w:hint="eastAsia" w:asciiTheme="minorHAnsi" w:hAnsiTheme="minorHAnsi" w:eastAsiaTheme="minorEastAsia" w:cstheme="minorBidi"/>
                <w:b w:val="0"/>
                <w:bCs w:val="0"/>
                <w:kern w:val="2"/>
                <w:sz w:val="21"/>
                <w:szCs w:val="22"/>
                <w:lang w:val="en-US" w:eastAsia="zh-CN" w:bidi="ar"/>
              </w:rPr>
              <w:t>喷乳胶漆一道；</w:t>
            </w:r>
          </w:p>
          <w:p>
            <w:pPr>
              <w:keepNext w:val="0"/>
              <w:keepLines w:val="0"/>
              <w:widowControl/>
              <w:numPr>
                <w:ilvl w:val="-1"/>
                <w:numId w:val="0"/>
              </w:numPr>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cstheme="minorBidi"/>
                <w:b w:val="0"/>
                <w:bCs w:val="0"/>
                <w:kern w:val="2"/>
                <w:sz w:val="21"/>
                <w:szCs w:val="22"/>
                <w:lang w:val="en-US" w:eastAsia="zh-CN" w:bidi="ar"/>
              </w:rPr>
              <w:t>2.</w:t>
            </w:r>
            <w:r>
              <w:rPr>
                <w:rFonts w:hint="eastAsia" w:asciiTheme="minorHAnsi" w:hAnsiTheme="minorHAnsi" w:eastAsiaTheme="minorEastAsia" w:cstheme="minorBidi"/>
                <w:b w:val="0"/>
                <w:bCs w:val="0"/>
                <w:kern w:val="2"/>
                <w:sz w:val="21"/>
                <w:szCs w:val="22"/>
                <w:lang w:val="en-US" w:eastAsia="zh-CN" w:bidi="ar"/>
              </w:rPr>
              <w:t xml:space="preserve">刷乳胶漆一道；                             </w:t>
            </w:r>
          </w:p>
          <w:p>
            <w:pPr>
              <w:keepNext w:val="0"/>
              <w:keepLines w:val="0"/>
              <w:widowControl/>
              <w:numPr>
                <w:ilvl w:val="-1"/>
                <w:numId w:val="0"/>
              </w:numPr>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cstheme="minorBidi"/>
                <w:b w:val="0"/>
                <w:bCs w:val="0"/>
                <w:kern w:val="2"/>
                <w:sz w:val="21"/>
                <w:szCs w:val="22"/>
                <w:lang w:val="en-US" w:eastAsia="zh-CN" w:bidi="ar"/>
              </w:rPr>
              <w:t>3.</w:t>
            </w:r>
            <w:r>
              <w:rPr>
                <w:rFonts w:hint="eastAsia" w:asciiTheme="minorHAnsi" w:hAnsiTheme="minorHAnsi" w:eastAsiaTheme="minorEastAsia" w:cstheme="minorBidi"/>
                <w:b w:val="0"/>
                <w:bCs w:val="0"/>
                <w:kern w:val="2"/>
                <w:sz w:val="21"/>
                <w:szCs w:val="22"/>
                <w:lang w:val="en-US" w:eastAsia="zh-CN" w:bidi="ar"/>
              </w:rPr>
              <w:t xml:space="preserve">刷抗碱底漆一道；                             </w:t>
            </w:r>
          </w:p>
          <w:p>
            <w:pPr>
              <w:keepNext w:val="0"/>
              <w:keepLines w:val="0"/>
              <w:widowControl/>
              <w:numPr>
                <w:ilvl w:val="-1"/>
                <w:numId w:val="0"/>
              </w:numPr>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4.腻子找平。</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窗帘盒</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1.9厘夹板(防火防潮防蛀处理）+9.5mm石膏板；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2.50系列次龙骨、50系列主龙骨；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 xml:space="preserve">3.具体要求详见深化图纸。 </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窗帘</w:t>
            </w:r>
          </w:p>
        </w:tc>
        <w:tc>
          <w:tcPr>
            <w:tcW w:w="5826" w:type="dxa"/>
            <w:vAlign w:val="top"/>
          </w:tcPr>
          <w:p>
            <w:pPr>
              <w:keepNext w:val="0"/>
              <w:keepLines w:val="0"/>
              <w:widowControl/>
              <w:suppressLineNumbers w:val="0"/>
              <w:ind w:left="0" w:leftChars="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1.具体要求详见深化图纸。</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强电施工</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1.包含管线预埋及安装</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嵌入式成套配电箱</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1.施耐德空气开关</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砖、混凝土结构吊棚内暗配SC管</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1.镀锌线管DN20</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金属桥架</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1.200*100镀锌金属桥架</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电气配插座/照明线</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1.ZRBV-2.5MM2</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900m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普通插座</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1.施耐德普通插座，含主材及安装</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三极开关</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1.施耐德普通开关，含主材及安装</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管内穿五类线信息线</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1.五类线信息线</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电脑插座</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1.施耐德普通电脑插座，含主材及安装</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格力3P天花机</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1.品牌: Gree/格力</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2.型号:  KFR-50TW/(50520)NhCa-3</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3.功率: 3匹</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4.工作方式: 变频</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5.空调冷暖方式: 冷暖电辅</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格力2P天花机</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1.品牌: Gree/格力</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2.型号:  KFR-50TW/(50520)NhCa-3</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3.功率: 3匹</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4.工作方式: 变频</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5.空调冷暖方式: 冷暖电辅</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铜管</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1.上海飞轮去油加厚铜管，</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排水安装</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1.联塑PUV排水管</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2.局部水钻打孔</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方通灯led长条灯铝方通专用灯</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1.功率: 31W(含)</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2.光源类型: led灯</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3.灯身主材质: ABS+五金底盘</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坐席操作台</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1.根据现场尺寸定制，含桌椅</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原装修拆除措施</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1.原装修拆除措施</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63.2m2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办公卡位办公桌椅</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1.根据现场尺寸定制,长：1.4m,宽：0.7m的办公卡位桌子，含1个桌椅。</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机柜</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1.类型机柜；</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2.容量42U；</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3.标准19"国际标准；</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4.前门：网状冷轧钢前门或侧通风钢化玻璃主体前门，弹式免匙锁；</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5.后门：冷轧钢网孔后门，钢质圆锁；</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1个</w:t>
            </w:r>
          </w:p>
        </w:tc>
      </w:tr>
    </w:tbl>
    <w:p>
      <w:pPr>
        <w:keepNext w:val="0"/>
        <w:keepLines w:val="0"/>
        <w:pageBreakBefore w:val="0"/>
        <w:kinsoku/>
        <w:wordWrap/>
        <w:overflowPunct/>
        <w:topLinePunct w:val="0"/>
        <w:autoSpaceDE/>
        <w:autoSpaceDN/>
        <w:bidi w:val="0"/>
        <w:spacing w:line="600" w:lineRule="exact"/>
        <w:jc w:val="left"/>
        <w:textAlignment w:val="auto"/>
        <w:rPr>
          <w:rFonts w:hint="eastAsia" w:ascii="宋体" w:hAnsi="宋体" w:eastAsia="宋体" w:cs="宋体"/>
          <w:sz w:val="28"/>
          <w:szCs w:val="28"/>
        </w:rPr>
      </w:pPr>
    </w:p>
    <w:p>
      <w:pPr>
        <w:keepNext w:val="0"/>
        <w:keepLines w:val="0"/>
        <w:pageBreakBefore w:val="0"/>
        <w:kinsoku/>
        <w:wordWrap/>
        <w:overflowPunct/>
        <w:topLinePunct w:val="0"/>
        <w:autoSpaceDE/>
        <w:autoSpaceDN/>
        <w:bidi w:val="0"/>
        <w:spacing w:line="60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2.2项目工期：</w:t>
      </w:r>
      <w:r>
        <w:rPr>
          <w:rFonts w:hint="eastAsia" w:ascii="宋体" w:hAnsi="宋体" w:eastAsia="宋体" w:cs="宋体"/>
          <w:sz w:val="28"/>
          <w:szCs w:val="28"/>
        </w:rPr>
        <w:sym w:font="Wingdings 2" w:char="0052"/>
      </w:r>
      <w:r>
        <w:rPr>
          <w:rFonts w:hint="eastAsia" w:ascii="宋体" w:hAnsi="宋体" w:eastAsia="宋体" w:cs="宋体"/>
          <w:sz w:val="28"/>
          <w:szCs w:val="28"/>
        </w:rPr>
        <w:t xml:space="preserve">计划工期   □交货期  </w:t>
      </w:r>
      <w:r>
        <w:rPr>
          <w:rFonts w:hint="eastAsia" w:ascii="宋体" w:hAnsi="宋体" w:eastAsia="宋体" w:cs="宋体"/>
          <w:sz w:val="28"/>
          <w:szCs w:val="28"/>
        </w:rPr>
        <w:sym w:font="Wingdings 2" w:char="00A3"/>
      </w:r>
      <w:r>
        <w:rPr>
          <w:rFonts w:hint="eastAsia" w:ascii="宋体" w:hAnsi="宋体" w:eastAsia="宋体" w:cs="宋体"/>
          <w:sz w:val="28"/>
          <w:szCs w:val="28"/>
        </w:rPr>
        <w:t>服务期为</w:t>
      </w:r>
      <w:r>
        <w:rPr>
          <w:rFonts w:hint="eastAsia" w:ascii="宋体" w:hAnsi="宋体" w:eastAsia="宋体" w:cs="宋体"/>
          <w:sz w:val="28"/>
          <w:szCs w:val="28"/>
          <w:lang w:val="en-US" w:eastAsia="zh-CN"/>
        </w:rPr>
        <w:t>自合同签订之日起</w:t>
      </w:r>
      <w:r>
        <w:rPr>
          <w:rFonts w:hint="eastAsia" w:ascii="宋体" w:hAnsi="宋体" w:eastAsia="宋体" w:cs="宋体"/>
          <w:sz w:val="28"/>
          <w:szCs w:val="28"/>
          <w:u w:val="single"/>
          <w:lang w:eastAsia="zh-CN"/>
        </w:rPr>
        <w:t>9</w:t>
      </w:r>
      <w:r>
        <w:rPr>
          <w:rFonts w:hint="eastAsia" w:ascii="宋体" w:hAnsi="宋体" w:eastAsia="宋体" w:cs="宋体"/>
          <w:sz w:val="28"/>
          <w:szCs w:val="28"/>
          <w:u w:val="single"/>
          <w:lang w:val="en-US" w:eastAsia="zh-CN"/>
        </w:rPr>
        <w:t>0</w:t>
      </w:r>
      <w:r>
        <w:rPr>
          <w:rFonts w:hint="eastAsia" w:ascii="宋体" w:hAnsi="宋体" w:eastAsia="宋体" w:cs="宋体"/>
          <w:sz w:val="28"/>
          <w:szCs w:val="28"/>
          <w:u w:val="single"/>
        </w:rPr>
        <w:t>天</w:t>
      </w:r>
    </w:p>
    <w:p>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宋体" w:hAnsi="宋体" w:eastAsia="宋体" w:cs="宋体"/>
          <w:sz w:val="28"/>
          <w:szCs w:val="28"/>
          <w:u w:val="single"/>
        </w:rPr>
      </w:pPr>
      <w:r>
        <w:rPr>
          <w:rFonts w:hint="eastAsia" w:ascii="宋体" w:hAnsi="宋体" w:eastAsia="宋体" w:cs="宋体"/>
          <w:sz w:val="28"/>
          <w:szCs w:val="28"/>
        </w:rPr>
        <w:t>2.3地点：</w:t>
      </w:r>
      <w:r>
        <w:rPr>
          <w:rFonts w:hint="eastAsia" w:ascii="宋体" w:hAnsi="宋体" w:eastAsia="宋体" w:cs="宋体"/>
          <w:sz w:val="28"/>
          <w:szCs w:val="28"/>
        </w:rPr>
        <w:sym w:font="Wingdings 2" w:char="0052"/>
      </w:r>
      <w:r>
        <w:rPr>
          <w:rFonts w:hint="eastAsia" w:ascii="宋体" w:hAnsi="宋体" w:eastAsia="宋体" w:cs="宋体"/>
          <w:sz w:val="28"/>
          <w:szCs w:val="28"/>
        </w:rPr>
        <w:t xml:space="preserve">建设地点  □交货地点  </w:t>
      </w:r>
      <w:r>
        <w:rPr>
          <w:rFonts w:hint="eastAsia" w:ascii="宋体" w:hAnsi="宋体" w:eastAsia="宋体" w:cs="宋体"/>
          <w:sz w:val="28"/>
          <w:szCs w:val="28"/>
        </w:rPr>
        <w:sym w:font="Wingdings 2" w:char="00A3"/>
      </w:r>
      <w:r>
        <w:rPr>
          <w:rFonts w:hint="eastAsia" w:ascii="宋体" w:hAnsi="宋体" w:eastAsia="宋体" w:cs="宋体"/>
          <w:sz w:val="28"/>
          <w:szCs w:val="28"/>
        </w:rPr>
        <w:t>服务地点位于</w:t>
      </w:r>
      <w:r>
        <w:rPr>
          <w:rFonts w:hint="eastAsia" w:ascii="宋体" w:hAnsi="宋体" w:eastAsia="宋体" w:cs="宋体"/>
          <w:sz w:val="28"/>
          <w:szCs w:val="28"/>
          <w:u w:val="single"/>
        </w:rPr>
        <w:t xml:space="preserve">  广州市白云区钟落潭镇竹二路兰桂街100号（广州市净水有限公司竹料分公司）</w:t>
      </w:r>
    </w:p>
    <w:p>
      <w:pPr>
        <w:keepNext w:val="0"/>
        <w:keepLines w:val="0"/>
        <w:pageBreakBefore w:val="0"/>
        <w:widowControl/>
        <w:kinsoku/>
        <w:wordWrap/>
        <w:overflowPunct/>
        <w:topLinePunct w:val="0"/>
        <w:autoSpaceDE/>
        <w:autoSpaceDN/>
        <w:bidi w:val="0"/>
        <w:adjustRightInd/>
        <w:snapToGrid/>
        <w:spacing w:line="600" w:lineRule="exact"/>
        <w:ind w:left="0" w:right="0" w:rightChars="0" w:firstLine="0" w:firstLineChars="0"/>
        <w:jc w:val="left"/>
        <w:textAlignment w:val="auto"/>
        <w:rPr>
          <w:rFonts w:hint="eastAsia" w:ascii="宋体" w:hAnsi="宋体" w:eastAsia="宋体" w:cs="宋体"/>
          <w:sz w:val="28"/>
          <w:szCs w:val="28"/>
        </w:rPr>
      </w:pPr>
      <w:r>
        <w:rPr>
          <w:rFonts w:hint="eastAsia" w:ascii="宋体" w:hAnsi="宋体" w:eastAsia="宋体" w:cs="宋体"/>
          <w:sz w:val="28"/>
          <w:szCs w:val="28"/>
        </w:rPr>
        <w:t>2.4质量要求：</w:t>
      </w:r>
      <w:r>
        <w:rPr>
          <w:rFonts w:hint="eastAsia" w:ascii="宋体" w:hAnsi="宋体" w:eastAsia="宋体" w:cs="宋体"/>
          <w:sz w:val="28"/>
          <w:szCs w:val="28"/>
        </w:rPr>
        <w:sym w:font="Wingdings 2" w:char="0052"/>
      </w:r>
      <w:r>
        <w:rPr>
          <w:rFonts w:hint="eastAsia" w:ascii="宋体" w:hAnsi="宋体" w:eastAsia="宋体" w:cs="宋体"/>
          <w:sz w:val="28"/>
          <w:szCs w:val="28"/>
        </w:rPr>
        <w:t xml:space="preserve">施工质量要求   □货物质量标准或主要技术性能指标  </w:t>
      </w:r>
      <w:r>
        <w:rPr>
          <w:rFonts w:hint="eastAsia" w:ascii="宋体" w:hAnsi="宋体" w:eastAsia="宋体" w:cs="宋体"/>
          <w:sz w:val="28"/>
          <w:szCs w:val="28"/>
        </w:rPr>
        <w:sym w:font="Wingdings 2" w:char="00A3"/>
      </w:r>
      <w:r>
        <w:rPr>
          <w:rFonts w:hint="eastAsia" w:ascii="宋体" w:hAnsi="宋体" w:eastAsia="宋体" w:cs="宋体"/>
          <w:sz w:val="28"/>
          <w:szCs w:val="28"/>
        </w:rPr>
        <w:t>服务质量要求或服务标准如下：</w:t>
      </w:r>
      <w:r>
        <w:rPr>
          <w:rFonts w:hint="eastAsia" w:ascii="宋体" w:hAnsi="宋体" w:eastAsia="宋体" w:cs="宋体"/>
          <w:sz w:val="28"/>
          <w:szCs w:val="28"/>
          <w:u w:val="single"/>
        </w:rPr>
        <w:t>必须按国家标准、行业标准、检定规程、设备技术要求等规定对设备进行安全检查、维保等服务。</w:t>
      </w:r>
    </w:p>
    <w:p>
      <w:pPr>
        <w:keepNext w:val="0"/>
        <w:keepLines w:val="0"/>
        <w:pageBreakBefore w:val="0"/>
        <w:kinsoku/>
        <w:wordWrap/>
        <w:overflowPunct/>
        <w:topLinePunct w:val="0"/>
        <w:autoSpaceDE/>
        <w:autoSpaceDN/>
        <w:bidi w:val="0"/>
        <w:adjustRightInd w:val="0"/>
        <w:snapToGrid w:val="0"/>
        <w:spacing w:line="600" w:lineRule="exact"/>
        <w:ind w:left="420" w:right="-370" w:rightChars="-176" w:hanging="420" w:hangingChars="150"/>
        <w:jc w:val="left"/>
        <w:textAlignment w:val="auto"/>
        <w:rPr>
          <w:rFonts w:hint="eastAsia" w:ascii="宋体" w:hAnsi="宋体" w:eastAsia="宋体" w:cs="宋体"/>
          <w:sz w:val="28"/>
          <w:szCs w:val="28"/>
        </w:rPr>
      </w:pPr>
      <w:r>
        <w:rPr>
          <w:rFonts w:hint="eastAsia" w:ascii="宋体" w:hAnsi="宋体" w:eastAsia="宋体" w:cs="宋体"/>
          <w:sz w:val="28"/>
          <w:szCs w:val="28"/>
        </w:rPr>
        <w:t>2.5其他：□安全目标如下：</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w:t>
      </w:r>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rPr>
        <w:t>3.供应商资格要求（须提供复印件并加盖单位公章）</w:t>
      </w:r>
    </w:p>
    <w:p>
      <w:pPr>
        <w:keepNext w:val="0"/>
        <w:keepLines w:val="0"/>
        <w:pageBreakBefore w:val="0"/>
        <w:widowControl w:val="0"/>
        <w:kinsoku/>
        <w:wordWrap/>
        <w:overflowPunct/>
        <w:topLinePunct w:val="0"/>
        <w:bidi w:val="0"/>
        <w:adjustRightInd w:val="0"/>
        <w:snapToGrid w:val="0"/>
        <w:spacing w:line="600" w:lineRule="exact"/>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3.1参与本项目采购活动的供应商应当依法设立且满足如下要求：</w:t>
      </w:r>
    </w:p>
    <w:p>
      <w:pPr>
        <w:keepNext w:val="0"/>
        <w:keepLines w:val="0"/>
        <w:pageBreakBefore w:val="0"/>
        <w:widowControl w:val="0"/>
        <w:kinsoku/>
        <w:wordWrap/>
        <w:overflowPunct/>
        <w:topLinePunct w:val="0"/>
        <w:bidi w:val="0"/>
        <w:adjustRightInd w:val="0"/>
        <w:snapToGrid w:val="0"/>
        <w:spacing w:line="600" w:lineRule="exact"/>
        <w:jc w:val="left"/>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sym w:font="Wingdings 2" w:char="0052"/>
      </w:r>
      <w:r>
        <w:rPr>
          <w:rFonts w:hint="eastAsia" w:ascii="宋体" w:hAnsi="宋体" w:eastAsia="宋体" w:cs="宋体"/>
          <w:sz w:val="28"/>
          <w:szCs w:val="28"/>
          <w:highlight w:val="none"/>
        </w:rPr>
        <w:t>（1）报价单位须是在中华人民共和国境内注册的法人或其他组织，具有独立法人资格，持有事业单位登记管理部门核发的事业单位法人证书或工商行政管理部门核发的企业法人营业执照，且在有效期内。</w:t>
      </w:r>
    </w:p>
    <w:p>
      <w:pPr>
        <w:keepNext w:val="0"/>
        <w:keepLines w:val="0"/>
        <w:pageBreakBefore w:val="0"/>
        <w:widowControl w:val="0"/>
        <w:kinsoku/>
        <w:wordWrap/>
        <w:overflowPunct/>
        <w:topLinePunct w:val="0"/>
        <w:bidi w:val="0"/>
        <w:adjustRightInd w:val="0"/>
        <w:snapToGrid w:val="0"/>
        <w:spacing w:line="600" w:lineRule="exact"/>
        <w:jc w:val="left"/>
        <w:textAlignment w:val="auto"/>
        <w:rPr>
          <w:rFonts w:hint="eastAsia" w:ascii="宋体" w:hAnsi="宋体" w:eastAsia="宋体" w:cs="宋体"/>
          <w:color w:val="auto"/>
          <w:kern w:val="2"/>
          <w:sz w:val="28"/>
          <w:szCs w:val="28"/>
          <w:highlight w:val="none"/>
          <w:u w:val="none"/>
          <w:lang w:val="en-US" w:eastAsia="zh-CN"/>
        </w:rPr>
      </w:pPr>
      <w:r>
        <w:rPr>
          <w:rFonts w:hint="eastAsia" w:ascii="宋体" w:hAnsi="宋体" w:eastAsia="宋体" w:cs="宋体"/>
          <w:sz w:val="28"/>
          <w:szCs w:val="28"/>
          <w:highlight w:val="none"/>
        </w:rPr>
        <w:sym w:font="Wingdings 2" w:char="0052"/>
      </w:r>
      <w:r>
        <w:rPr>
          <w:rFonts w:hint="eastAsia" w:ascii="宋体" w:hAnsi="宋体" w:eastAsia="宋体" w:cs="宋体"/>
          <w:sz w:val="28"/>
          <w:szCs w:val="28"/>
          <w:highlight w:val="none"/>
        </w:rPr>
        <w:t>（2）</w:t>
      </w:r>
      <w:r>
        <w:rPr>
          <w:rFonts w:hint="eastAsia" w:ascii="宋体" w:hAnsi="宋体" w:eastAsia="宋体" w:cs="宋体"/>
          <w:color w:val="auto"/>
          <w:kern w:val="2"/>
          <w:sz w:val="28"/>
          <w:szCs w:val="28"/>
          <w:highlight w:val="none"/>
          <w:u w:val="none"/>
          <w:lang w:val="en-US" w:eastAsia="zh-CN"/>
        </w:rPr>
        <w:t>具有电子与智能化工程专业承包资质二级（或以上）资质，具有建设主管部门颁发且在有效期内的《安全生产许可证》。</w:t>
      </w:r>
    </w:p>
    <w:p>
      <w:pPr>
        <w:keepNext w:val="0"/>
        <w:keepLines w:val="0"/>
        <w:pageBreakBefore w:val="0"/>
        <w:widowControl w:val="0"/>
        <w:kinsoku/>
        <w:wordWrap/>
        <w:overflowPunct/>
        <w:topLinePunct w:val="0"/>
        <w:bidi w:val="0"/>
        <w:adjustRightInd w:val="0"/>
        <w:snapToGrid w:val="0"/>
        <w:spacing w:line="600" w:lineRule="exact"/>
        <w:jc w:val="left"/>
        <w:textAlignment w:val="auto"/>
        <w:rPr>
          <w:rFonts w:hint="eastAsia" w:ascii="宋体" w:hAnsi="宋体" w:eastAsia="宋体" w:cs="宋体"/>
          <w:sz w:val="28"/>
          <w:szCs w:val="28"/>
          <w:highlight w:val="none"/>
          <w:u w:val="none"/>
          <w:lang w:val="en-US" w:eastAsia="zh-CN"/>
        </w:rPr>
      </w:pPr>
      <w:r>
        <w:rPr>
          <w:rFonts w:hint="eastAsia" w:ascii="宋体" w:hAnsi="宋体" w:eastAsia="宋体" w:cs="宋体"/>
          <w:sz w:val="28"/>
          <w:szCs w:val="28"/>
          <w:highlight w:val="none"/>
        </w:rPr>
        <w:sym w:font="Wingdings 2" w:char="0052"/>
      </w: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w:t>
      </w:r>
      <w:r>
        <w:rPr>
          <w:rFonts w:hint="eastAsia" w:ascii="宋体" w:hAnsi="宋体" w:eastAsia="宋体" w:cs="宋体"/>
          <w:color w:val="auto"/>
          <w:sz w:val="28"/>
          <w:szCs w:val="28"/>
          <w:highlight w:val="none"/>
          <w:u w:val="none"/>
        </w:rPr>
        <w:t>负责人要求：</w:t>
      </w:r>
      <w:r>
        <w:rPr>
          <w:rFonts w:hint="eastAsia" w:ascii="宋体" w:hAnsi="宋体" w:eastAsia="宋体" w:cs="宋体"/>
          <w:color w:val="auto"/>
          <w:sz w:val="28"/>
          <w:szCs w:val="28"/>
          <w:highlight w:val="none"/>
          <w:u w:val="none"/>
          <w:lang w:val="en-US" w:eastAsia="zh-CN"/>
        </w:rPr>
        <w:t>机电安装</w:t>
      </w:r>
      <w:r>
        <w:rPr>
          <w:rFonts w:hint="eastAsia" w:ascii="宋体" w:hAnsi="宋体" w:eastAsia="宋体" w:cs="宋体"/>
          <w:color w:val="auto"/>
          <w:sz w:val="28"/>
          <w:szCs w:val="28"/>
          <w:highlight w:val="none"/>
          <w:u w:val="none"/>
        </w:rPr>
        <w:t>工程专业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w:t>
      </w:r>
      <w:r>
        <w:rPr>
          <w:rFonts w:hint="eastAsia" w:ascii="宋体" w:hAnsi="宋体" w:eastAsia="宋体" w:cs="宋体"/>
          <w:color w:val="auto"/>
          <w:sz w:val="28"/>
          <w:szCs w:val="28"/>
          <w:highlight w:val="none"/>
          <w:u w:val="none"/>
          <w:lang w:val="en-US" w:eastAsia="zh-CN"/>
        </w:rPr>
        <w:t xml:space="preserve">  （注：根据广东省建设信息中心关于启用新版“广东省建设执业资格注册管理信息系统”的通知，二级注册建造师电子证书须由本人在个人签名处手写签名，未手写签名或与签名图像笔迹不一致的，电子证书无效，</w:t>
      </w:r>
      <w:r>
        <w:rPr>
          <w:rFonts w:hint="eastAsia" w:ascii="仿宋_GB2312" w:eastAsia="仿宋_GB2312"/>
          <w:sz w:val="28"/>
          <w:szCs w:val="28"/>
          <w:highlight w:val="none"/>
          <w:u w:val="single"/>
          <w:lang w:val="en-US" w:eastAsia="zh-CN"/>
        </w:rPr>
        <w:t>广东省外注册的二级建造师人员暂不能在我省执业。</w:t>
      </w:r>
    </w:p>
    <w:p>
      <w:pPr>
        <w:pStyle w:val="34"/>
        <w:keepNext w:val="0"/>
        <w:keepLines w:val="0"/>
        <w:pageBreakBefore w:val="0"/>
        <w:widowControl w:val="0"/>
        <w:kinsoku/>
        <w:wordWrap/>
        <w:overflowPunct/>
        <w:topLinePunct w:val="0"/>
        <w:bidi w:val="0"/>
        <w:adjustRightInd w:val="0"/>
        <w:spacing w:line="600" w:lineRule="exact"/>
        <w:ind w:firstLine="0" w:firstLineChars="0"/>
        <w:textAlignment w:val="auto"/>
        <w:rPr>
          <w:rFonts w:hint="eastAsia" w:ascii="宋体" w:hAnsi="宋体" w:eastAsia="宋体" w:cs="宋体"/>
          <w:color w:val="auto"/>
          <w:sz w:val="28"/>
          <w:szCs w:val="28"/>
          <w:highlight w:val="none"/>
          <w:u w:val="single"/>
        </w:rPr>
      </w:pPr>
      <w:r>
        <w:rPr>
          <w:rFonts w:hint="eastAsia" w:ascii="宋体" w:hAnsi="宋体" w:eastAsia="宋体" w:cs="宋体"/>
          <w:sz w:val="28"/>
          <w:szCs w:val="28"/>
          <w:highlight w:val="none"/>
        </w:rPr>
        <w:sym w:font="Wingdings 2" w:char="0052"/>
      </w:r>
      <w:r>
        <w:rPr>
          <w:rFonts w:hint="eastAsia" w:ascii="宋体" w:hAnsi="宋体" w:eastAsia="宋体" w:cs="宋体"/>
          <w:sz w:val="28"/>
          <w:szCs w:val="28"/>
          <w:highlight w:val="none"/>
        </w:rPr>
        <w:t>（</w:t>
      </w:r>
      <w:r>
        <w:rPr>
          <w:rFonts w:hint="eastAsia" w:hAnsi="宋体" w:eastAsia="宋体" w:cs="宋体"/>
          <w:sz w:val="28"/>
          <w:szCs w:val="28"/>
          <w:highlight w:val="none"/>
          <w:lang w:val="en-US" w:eastAsia="zh-CN"/>
        </w:rPr>
        <w:t>4</w:t>
      </w:r>
      <w:r>
        <w:rPr>
          <w:rFonts w:hint="eastAsia" w:ascii="宋体" w:hAnsi="宋体" w:eastAsia="宋体" w:cs="宋体"/>
          <w:sz w:val="28"/>
          <w:szCs w:val="28"/>
          <w:highlight w:val="none"/>
        </w:rPr>
        <w:t>）</w:t>
      </w:r>
      <w:r>
        <w:rPr>
          <w:rFonts w:hint="eastAsia" w:ascii="宋体" w:hAnsi="宋体" w:eastAsia="宋体" w:cs="宋体"/>
          <w:color w:val="auto"/>
          <w:kern w:val="2"/>
          <w:sz w:val="28"/>
          <w:szCs w:val="28"/>
          <w:highlight w:val="none"/>
          <w:u w:val="none"/>
        </w:rPr>
        <w:t>专职安全人员要求：须具有安全生产考核合格证（C类）（或能够提供广东省建筑施工企业管理人员安全生产考核信息系统安全生产管理人员证书信息的网页截图）；</w:t>
      </w:r>
    </w:p>
    <w:p>
      <w:pPr>
        <w:keepNext w:val="0"/>
        <w:keepLines w:val="0"/>
        <w:pageBreakBefore w:val="0"/>
        <w:widowControl w:val="0"/>
        <w:kinsoku/>
        <w:wordWrap/>
        <w:overflowPunct/>
        <w:topLinePunct w:val="0"/>
        <w:bidi w:val="0"/>
        <w:adjustRightInd w:val="0"/>
        <w:snapToGrid w:val="0"/>
        <w:spacing w:line="60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3.2供应商在响应文件提交截止日期止不得存在下列情形之一（须出具承诺函）：</w:t>
      </w:r>
    </w:p>
    <w:p>
      <w:pPr>
        <w:keepNext w:val="0"/>
        <w:keepLines w:val="0"/>
        <w:pageBreakBefore w:val="0"/>
        <w:widowControl w:val="0"/>
        <w:kinsoku/>
        <w:wordWrap/>
        <w:overflowPunct/>
        <w:topLinePunct w:val="0"/>
        <w:bidi w:val="0"/>
        <w:adjustRightInd w:val="0"/>
        <w:snapToGrid w:val="0"/>
        <w:spacing w:line="600" w:lineRule="exact"/>
        <w:ind w:firstLine="420" w:firstLineChars="150"/>
        <w:jc w:val="left"/>
        <w:textAlignment w:val="auto"/>
        <w:rPr>
          <w:rFonts w:hint="eastAsia" w:ascii="宋体" w:hAnsi="宋体" w:eastAsia="宋体" w:cs="宋体"/>
          <w:sz w:val="28"/>
          <w:szCs w:val="28"/>
        </w:rPr>
      </w:pPr>
      <w:r>
        <w:rPr>
          <w:rFonts w:hint="eastAsia" w:ascii="宋体" w:hAnsi="宋体" w:eastAsia="宋体" w:cs="宋体"/>
          <w:sz w:val="28"/>
          <w:szCs w:val="28"/>
        </w:rPr>
        <w:t>（1）与本项目其他供应商的单位负责人为同一人。</w:t>
      </w:r>
    </w:p>
    <w:p>
      <w:pPr>
        <w:keepNext w:val="0"/>
        <w:keepLines w:val="0"/>
        <w:pageBreakBefore w:val="0"/>
        <w:widowControl w:val="0"/>
        <w:kinsoku/>
        <w:wordWrap/>
        <w:overflowPunct/>
        <w:topLinePunct w:val="0"/>
        <w:bidi w:val="0"/>
        <w:adjustRightInd w:val="0"/>
        <w:snapToGrid w:val="0"/>
        <w:spacing w:line="600" w:lineRule="exact"/>
        <w:ind w:firstLine="420" w:firstLineChars="150"/>
        <w:jc w:val="left"/>
        <w:textAlignment w:val="auto"/>
        <w:rPr>
          <w:rFonts w:hint="eastAsia" w:ascii="宋体" w:hAnsi="宋体" w:eastAsia="宋体" w:cs="宋体"/>
          <w:sz w:val="28"/>
          <w:szCs w:val="28"/>
        </w:rPr>
      </w:pPr>
      <w:r>
        <w:rPr>
          <w:rFonts w:hint="eastAsia" w:ascii="宋体" w:hAnsi="宋体" w:eastAsia="宋体" w:cs="宋体"/>
          <w:sz w:val="28"/>
          <w:szCs w:val="28"/>
        </w:rPr>
        <w:t>（2）与本项目其他供应商存在控股关系。</w:t>
      </w:r>
    </w:p>
    <w:p>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150"/>
        <w:jc w:val="left"/>
        <w:textAlignment w:val="auto"/>
        <w:rPr>
          <w:rFonts w:hint="eastAsia" w:ascii="宋体" w:hAnsi="宋体" w:eastAsia="宋体" w:cs="宋体"/>
          <w:sz w:val="28"/>
          <w:szCs w:val="28"/>
        </w:rPr>
      </w:pPr>
      <w:r>
        <w:rPr>
          <w:rFonts w:hint="eastAsia" w:ascii="宋体" w:hAnsi="宋体" w:eastAsia="宋体" w:cs="宋体"/>
          <w:sz w:val="28"/>
          <w:szCs w:val="28"/>
        </w:rPr>
        <w:t>（3）与本项目其他供应商存在管理关系。</w:t>
      </w:r>
    </w:p>
    <w:p>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150"/>
        <w:jc w:val="left"/>
        <w:textAlignment w:val="auto"/>
        <w:rPr>
          <w:rFonts w:hint="eastAsia" w:ascii="宋体" w:hAnsi="宋体" w:eastAsia="宋体" w:cs="宋体"/>
          <w:sz w:val="28"/>
          <w:szCs w:val="28"/>
        </w:rPr>
      </w:pPr>
      <w:r>
        <w:rPr>
          <w:rFonts w:hint="eastAsia" w:ascii="宋体" w:hAnsi="宋体" w:eastAsia="宋体" w:cs="宋体"/>
          <w:sz w:val="28"/>
          <w:szCs w:val="28"/>
        </w:rPr>
        <w:t>（4）被本项目所在地省级以上行业主管部门依法暂停、取消投标或禁止参加采购活动且处于有效期内的。</w:t>
      </w:r>
    </w:p>
    <w:p>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150"/>
        <w:jc w:val="left"/>
        <w:textAlignment w:val="auto"/>
        <w:rPr>
          <w:rFonts w:hint="eastAsia" w:ascii="宋体" w:hAnsi="宋体" w:eastAsia="宋体" w:cs="宋体"/>
          <w:sz w:val="28"/>
          <w:szCs w:val="28"/>
        </w:rPr>
      </w:pPr>
      <w:r>
        <w:rPr>
          <w:rFonts w:hint="eastAsia" w:ascii="宋体" w:hAnsi="宋体" w:eastAsia="宋体" w:cs="宋体"/>
          <w:sz w:val="28"/>
          <w:szCs w:val="28"/>
        </w:rPr>
        <w:t>（5）处于被责令停产停业、暂扣或者吊销执照、暂扣或者吊销许可证、吊销资质证书状态。</w:t>
      </w:r>
    </w:p>
    <w:p>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150"/>
        <w:jc w:val="left"/>
        <w:textAlignment w:val="auto"/>
        <w:rPr>
          <w:rFonts w:hint="eastAsia" w:ascii="宋体" w:hAnsi="宋体" w:eastAsia="宋体" w:cs="宋体"/>
          <w:sz w:val="28"/>
          <w:szCs w:val="28"/>
        </w:rPr>
      </w:pPr>
      <w:r>
        <w:rPr>
          <w:rFonts w:hint="eastAsia" w:ascii="宋体" w:hAnsi="宋体" w:eastAsia="宋体" w:cs="宋体"/>
          <w:sz w:val="28"/>
          <w:szCs w:val="28"/>
        </w:rPr>
        <w:t>（6）进入清算程序，或被宣告破产，或其他丧失履约能力情形的。</w:t>
      </w:r>
    </w:p>
    <w:p>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150"/>
        <w:jc w:val="left"/>
        <w:textAlignment w:val="auto"/>
        <w:rPr>
          <w:rFonts w:hint="eastAsia" w:ascii="宋体" w:hAnsi="宋体" w:eastAsia="宋体" w:cs="宋体"/>
          <w:sz w:val="28"/>
          <w:szCs w:val="28"/>
        </w:rPr>
      </w:pPr>
      <w:r>
        <w:rPr>
          <w:rFonts w:hint="eastAsia" w:ascii="宋体" w:hAnsi="宋体" w:eastAsia="宋体" w:cs="宋体"/>
          <w:sz w:val="28"/>
          <w:szCs w:val="28"/>
        </w:rPr>
        <w:t>（7）近三年内因发生质量或安全生产事故等受到行政处罚且在处罚期内的。</w:t>
      </w:r>
    </w:p>
    <w:p>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150"/>
        <w:jc w:val="left"/>
        <w:textAlignment w:val="auto"/>
        <w:rPr>
          <w:rFonts w:hint="eastAsia" w:ascii="宋体" w:hAnsi="宋体" w:eastAsia="宋体" w:cs="宋体"/>
          <w:sz w:val="28"/>
          <w:szCs w:val="28"/>
        </w:rPr>
      </w:pPr>
      <w:r>
        <w:rPr>
          <w:rFonts w:hint="eastAsia" w:ascii="宋体" w:hAnsi="宋体" w:eastAsia="宋体" w:cs="宋体"/>
          <w:sz w:val="28"/>
          <w:szCs w:val="28"/>
        </w:rPr>
        <w:t>（8）被最高人民法院在“信用中国”网站（www.creditchina.gov.cn）或各级信用信息共享平台中列入失信被执行人名单。</w:t>
      </w:r>
    </w:p>
    <w:p>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150"/>
        <w:jc w:val="left"/>
        <w:textAlignment w:val="auto"/>
        <w:rPr>
          <w:rFonts w:hint="eastAsia" w:ascii="宋体" w:hAnsi="宋体" w:eastAsia="宋体" w:cs="宋体"/>
          <w:sz w:val="28"/>
          <w:szCs w:val="28"/>
        </w:rPr>
      </w:pPr>
      <w:r>
        <w:rPr>
          <w:rFonts w:hint="eastAsia" w:ascii="宋体" w:hAnsi="宋体" w:eastAsia="宋体" w:cs="宋体"/>
          <w:sz w:val="28"/>
          <w:szCs w:val="28"/>
        </w:rPr>
        <w:t>（9）被“信用广州”网站纳入失信被执行人名单（失信黑名单）。</w:t>
      </w:r>
    </w:p>
    <w:p>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150"/>
        <w:jc w:val="left"/>
        <w:textAlignment w:val="auto"/>
        <w:rPr>
          <w:rFonts w:hint="eastAsia" w:ascii="宋体" w:hAnsi="宋体" w:eastAsia="宋体" w:cs="宋体"/>
          <w:sz w:val="28"/>
          <w:szCs w:val="28"/>
        </w:rPr>
      </w:pPr>
      <w:r>
        <w:rPr>
          <w:rFonts w:hint="eastAsia" w:ascii="宋体" w:hAnsi="宋体" w:eastAsia="宋体" w:cs="宋体"/>
          <w:sz w:val="28"/>
          <w:szCs w:val="28"/>
        </w:rPr>
        <w:t>（10）被纳入本项目采购人（包括市水投集团及相关所属企业）书面限制参与采购活动且处于有效期内的。</w:t>
      </w:r>
    </w:p>
    <w:p>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150"/>
        <w:textAlignment w:val="auto"/>
        <w:rPr>
          <w:rFonts w:hint="eastAsia" w:ascii="宋体" w:hAnsi="宋体" w:eastAsia="宋体" w:cs="宋体"/>
          <w:sz w:val="28"/>
          <w:szCs w:val="28"/>
        </w:rPr>
      </w:pPr>
      <w:r>
        <w:rPr>
          <w:rFonts w:hint="eastAsia" w:ascii="宋体" w:hAnsi="宋体" w:eastAsia="宋体" w:cs="宋体"/>
          <w:sz w:val="28"/>
          <w:szCs w:val="28"/>
        </w:rPr>
        <w:t>（11）其他违法违纪行为，经审查认为不宜被邀请参加采购活动的。</w:t>
      </w:r>
    </w:p>
    <w:p>
      <w:pPr>
        <w:keepNext w:val="0"/>
        <w:keepLines w:val="0"/>
        <w:pageBreakBefore w:val="0"/>
        <w:widowControl w:val="0"/>
        <w:kinsoku/>
        <w:wordWrap/>
        <w:overflowPunct/>
        <w:topLinePunct w:val="0"/>
        <w:autoSpaceDE/>
        <w:autoSpaceDN/>
        <w:bidi w:val="0"/>
        <w:adjustRightInd w:val="0"/>
        <w:snapToGrid w:val="0"/>
        <w:spacing w:line="600" w:lineRule="exact"/>
        <w:ind w:firstLine="420" w:firstLineChars="150"/>
        <w:jc w:val="left"/>
        <w:textAlignment w:val="auto"/>
        <w:rPr>
          <w:rFonts w:hint="eastAsia" w:ascii="宋体" w:hAnsi="宋体" w:eastAsia="宋体" w:cs="宋体"/>
          <w:sz w:val="28"/>
          <w:szCs w:val="28"/>
          <w:u w:val="single"/>
        </w:rPr>
      </w:pPr>
      <w:r>
        <w:rPr>
          <w:rFonts w:hint="eastAsia" w:ascii="宋体" w:hAnsi="宋体" w:eastAsia="宋体" w:cs="宋体"/>
          <w:sz w:val="28"/>
          <w:szCs w:val="28"/>
        </w:rPr>
        <w:t>（12）其他禁止情形：</w:t>
      </w:r>
      <w:r>
        <w:rPr>
          <w:rFonts w:hint="eastAsia" w:ascii="宋体" w:hAnsi="宋体" w:eastAsia="宋体" w:cs="宋体"/>
          <w:sz w:val="28"/>
          <w:szCs w:val="28"/>
          <w:u w:val="single"/>
        </w:rPr>
        <w:t xml:space="preserve">                                               </w:t>
      </w: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宋体" w:hAnsi="宋体" w:eastAsia="宋体" w:cs="宋体"/>
          <w:sz w:val="28"/>
          <w:szCs w:val="28"/>
        </w:rPr>
      </w:pPr>
      <w:r>
        <w:rPr>
          <w:rFonts w:hint="eastAsia" w:ascii="宋体" w:hAnsi="宋体" w:eastAsia="宋体" w:cs="宋体"/>
          <w:sz w:val="28"/>
          <w:szCs w:val="28"/>
        </w:rPr>
        <w:t>3.3本次项目</w:t>
      </w:r>
      <w:r>
        <w:rPr>
          <w:rFonts w:hint="eastAsia" w:ascii="宋体" w:hAnsi="宋体" w:eastAsia="宋体" w:cs="宋体"/>
          <w:sz w:val="28"/>
          <w:szCs w:val="28"/>
          <w:u w:val="none"/>
        </w:rPr>
        <w:t>不接受</w:t>
      </w:r>
      <w:r>
        <w:rPr>
          <w:rFonts w:hint="eastAsia" w:ascii="宋体" w:hAnsi="宋体" w:eastAsia="宋体" w:cs="宋体"/>
          <w:sz w:val="28"/>
          <w:szCs w:val="28"/>
        </w:rPr>
        <w:t>联合体参加采购活动</w:t>
      </w:r>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rPr>
        <w:t>4.采购文件的获取</w:t>
      </w:r>
    </w:p>
    <w:p>
      <w:pPr>
        <w:keepNext w:val="0"/>
        <w:keepLines w:val="0"/>
        <w:pageBreakBefore w:val="0"/>
        <w:kinsoku/>
        <w:wordWrap/>
        <w:overflowPunct/>
        <w:topLinePunct w:val="0"/>
        <w:autoSpaceDE/>
        <w:autoSpaceDN/>
        <w:bidi w:val="0"/>
        <w:adjustRightInd w:val="0"/>
        <w:snapToGrid w:val="0"/>
        <w:spacing w:line="600" w:lineRule="exact"/>
        <w:jc w:val="left"/>
        <w:rPr>
          <w:rFonts w:hint="eastAsia" w:ascii="宋体" w:hAnsi="宋体" w:eastAsia="宋体" w:cs="宋体"/>
          <w:sz w:val="28"/>
          <w:szCs w:val="28"/>
        </w:rPr>
      </w:pPr>
      <w:r>
        <w:rPr>
          <w:rFonts w:hint="eastAsia" w:ascii="宋体" w:hAnsi="宋体" w:eastAsia="宋体" w:cs="宋体"/>
          <w:sz w:val="28"/>
          <w:szCs w:val="28"/>
        </w:rPr>
        <w:t>4.1获取时间</w:t>
      </w:r>
    </w:p>
    <w:p>
      <w:pPr>
        <w:keepNext w:val="0"/>
        <w:keepLines w:val="0"/>
        <w:pageBreakBefore w:val="0"/>
        <w:kinsoku/>
        <w:wordWrap/>
        <w:overflowPunct/>
        <w:topLinePunct w:val="0"/>
        <w:autoSpaceDE/>
        <w:autoSpaceDN/>
        <w:bidi w:val="0"/>
        <w:adjustRightInd w:val="0"/>
        <w:snapToGrid w:val="0"/>
        <w:spacing w:line="600" w:lineRule="exact"/>
        <w:ind w:firstLine="555"/>
        <w:jc w:val="left"/>
        <w:rPr>
          <w:rFonts w:hint="eastAsia" w:ascii="宋体" w:hAnsi="宋体" w:eastAsia="宋体" w:cs="宋体"/>
          <w:sz w:val="28"/>
          <w:szCs w:val="28"/>
        </w:rPr>
      </w:pPr>
      <w:r>
        <w:rPr>
          <w:rFonts w:hint="eastAsia" w:ascii="宋体" w:hAnsi="宋体" w:eastAsia="宋体" w:cs="宋体"/>
          <w:sz w:val="28"/>
          <w:szCs w:val="28"/>
        </w:rPr>
        <w:t>从</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2022</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11</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30</w:t>
      </w:r>
      <w:r>
        <w:rPr>
          <w:rFonts w:hint="eastAsia" w:ascii="宋体" w:hAnsi="宋体" w:eastAsia="宋体" w:cs="宋体"/>
          <w:sz w:val="28"/>
          <w:szCs w:val="28"/>
          <w:u w:val="single"/>
        </w:rPr>
        <w:t xml:space="preserve"> </w:t>
      </w:r>
      <w:r>
        <w:rPr>
          <w:rFonts w:hint="eastAsia" w:ascii="宋体" w:hAnsi="宋体" w:eastAsia="宋体" w:cs="宋体"/>
          <w:sz w:val="28"/>
          <w:szCs w:val="28"/>
        </w:rPr>
        <w:t>日至</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2022</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12</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4</w:t>
      </w:r>
      <w:r>
        <w:rPr>
          <w:rFonts w:hint="eastAsia" w:ascii="宋体" w:hAnsi="宋体" w:eastAsia="宋体" w:cs="宋体"/>
          <w:sz w:val="28"/>
          <w:szCs w:val="28"/>
          <w:u w:val="single"/>
        </w:rPr>
        <w:t xml:space="preserve"> </w:t>
      </w:r>
      <w:r>
        <w:rPr>
          <w:rFonts w:hint="eastAsia" w:ascii="宋体" w:hAnsi="宋体" w:eastAsia="宋体" w:cs="宋体"/>
          <w:sz w:val="28"/>
          <w:szCs w:val="28"/>
        </w:rPr>
        <w:t>日（北京时间）</w:t>
      </w:r>
    </w:p>
    <w:p>
      <w:pPr>
        <w:keepNext w:val="0"/>
        <w:keepLines w:val="0"/>
        <w:pageBreakBefore w:val="0"/>
        <w:kinsoku/>
        <w:wordWrap/>
        <w:overflowPunct/>
        <w:topLinePunct w:val="0"/>
        <w:autoSpaceDE/>
        <w:autoSpaceDN/>
        <w:bidi w:val="0"/>
        <w:adjustRightInd w:val="0"/>
        <w:snapToGrid w:val="0"/>
        <w:spacing w:line="600" w:lineRule="exact"/>
        <w:jc w:val="left"/>
        <w:rPr>
          <w:rFonts w:hint="eastAsia" w:ascii="宋体" w:hAnsi="宋体" w:eastAsia="宋体" w:cs="宋体"/>
          <w:sz w:val="28"/>
          <w:szCs w:val="28"/>
        </w:rPr>
      </w:pPr>
      <w:r>
        <w:rPr>
          <w:rFonts w:hint="eastAsia" w:ascii="宋体" w:hAnsi="宋体" w:eastAsia="宋体" w:cs="宋体"/>
          <w:sz w:val="28"/>
          <w:szCs w:val="28"/>
        </w:rPr>
        <w:t>4.2获取方式</w:t>
      </w:r>
    </w:p>
    <w:p>
      <w:pPr>
        <w:keepNext w:val="0"/>
        <w:keepLines w:val="0"/>
        <w:pageBreakBefore w:val="0"/>
        <w:kinsoku/>
        <w:wordWrap/>
        <w:overflowPunct/>
        <w:topLinePunct w:val="0"/>
        <w:autoSpaceDE/>
        <w:autoSpaceDN/>
        <w:bidi w:val="0"/>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在</w:t>
      </w:r>
      <w:r>
        <w:rPr>
          <w:rFonts w:hint="eastAsia" w:ascii="宋体" w:hAnsi="宋体" w:eastAsia="宋体" w:cs="宋体"/>
          <w:sz w:val="28"/>
          <w:szCs w:val="28"/>
          <w:u w:val="single"/>
        </w:rPr>
        <w:t>广州市净水有限公司门户网站</w:t>
      </w:r>
      <w:r>
        <w:rPr>
          <w:rFonts w:hint="eastAsia" w:ascii="宋体" w:hAnsi="宋体" w:eastAsia="宋体" w:cs="宋体"/>
          <w:sz w:val="28"/>
          <w:szCs w:val="28"/>
        </w:rPr>
        <w:t xml:space="preserve">下载采购文件。 </w:t>
      </w:r>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lang w:val="en-US" w:eastAsia="zh-CN"/>
        </w:rPr>
        <w:t>5.</w:t>
      </w:r>
      <w:r>
        <w:rPr>
          <w:rFonts w:hint="eastAsia" w:ascii="宋体" w:hAnsi="宋体" w:eastAsia="宋体" w:cs="宋体"/>
          <w:b/>
          <w:sz w:val="32"/>
          <w:szCs w:val="32"/>
        </w:rPr>
        <w:t>踏勘现场</w:t>
      </w:r>
    </w:p>
    <w:p>
      <w:pPr>
        <w:keepNext w:val="0"/>
        <w:keepLines w:val="0"/>
        <w:pageBreakBefore w:val="0"/>
        <w:kinsoku/>
        <w:wordWrap/>
        <w:overflowPunct/>
        <w:topLinePunct w:val="0"/>
        <w:autoSpaceDE/>
        <w:autoSpaceDN/>
        <w:bidi w:val="0"/>
        <w:adjustRightInd w:val="0"/>
        <w:snapToGrid w:val="0"/>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□不组织</w:t>
      </w:r>
    </w:p>
    <w:p>
      <w:pPr>
        <w:keepNext w:val="0"/>
        <w:keepLines w:val="0"/>
        <w:pageBreakBefore w:val="0"/>
        <w:kinsoku/>
        <w:wordWrap/>
        <w:overflowPunct/>
        <w:topLinePunct w:val="0"/>
        <w:autoSpaceDE/>
        <w:autoSpaceDN/>
        <w:bidi w:val="0"/>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☑组织：</w:t>
      </w:r>
      <w:r>
        <w:rPr>
          <w:rFonts w:hint="eastAsia" w:ascii="宋体" w:hAnsi="宋体" w:eastAsia="宋体" w:cs="宋体"/>
          <w:color w:val="000000" w:themeColor="text1"/>
          <w:sz w:val="28"/>
          <w:szCs w:val="28"/>
          <w14:textFill>
            <w14:solidFill>
              <w14:schemeClr w14:val="tx1"/>
            </w14:solidFill>
          </w14:textFill>
        </w:rPr>
        <w:t>供应商可</w:t>
      </w:r>
      <w:r>
        <w:rPr>
          <w:rFonts w:hint="eastAsia" w:ascii="宋体" w:hAnsi="宋体" w:eastAsia="宋体" w:cs="宋体"/>
          <w:color w:val="000000" w:themeColor="text1"/>
          <w:sz w:val="28"/>
          <w:szCs w:val="28"/>
          <w:lang w:val="zh-CN"/>
          <w14:textFill>
            <w14:solidFill>
              <w14:schemeClr w14:val="tx1"/>
            </w14:solidFill>
          </w14:textFill>
        </w:rPr>
        <w:t>自行</w:t>
      </w:r>
      <w:r>
        <w:rPr>
          <w:rFonts w:hint="eastAsia" w:ascii="宋体" w:hAnsi="宋体" w:eastAsia="宋体" w:cs="宋体"/>
          <w:color w:val="000000" w:themeColor="text1"/>
          <w:sz w:val="28"/>
          <w:szCs w:val="28"/>
          <w14:textFill>
            <w14:solidFill>
              <w14:schemeClr w14:val="tx1"/>
            </w14:solidFill>
          </w14:textFill>
        </w:rPr>
        <w:t>选择是否前往现场踏勘</w:t>
      </w:r>
      <w:r>
        <w:rPr>
          <w:rFonts w:hint="eastAsia" w:ascii="宋体" w:hAnsi="宋体" w:eastAsia="宋体" w:cs="宋体"/>
          <w:color w:val="000000" w:themeColor="text1"/>
          <w:sz w:val="28"/>
          <w:szCs w:val="28"/>
          <w:lang w:val="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若前往现场踏勘须在规定时间内到达集中地点，逾期不再接待。</w:t>
      </w:r>
      <w:r>
        <w:rPr>
          <w:rFonts w:hint="eastAsia" w:ascii="宋体" w:hAnsi="宋体" w:eastAsia="宋体" w:cs="宋体"/>
          <w:sz w:val="28"/>
          <w:szCs w:val="28"/>
        </w:rPr>
        <w:t xml:space="preserve"> </w:t>
      </w:r>
    </w:p>
    <w:p>
      <w:pPr>
        <w:keepNext w:val="0"/>
        <w:keepLines w:val="0"/>
        <w:pageBreakBefore w:val="0"/>
        <w:kinsoku/>
        <w:wordWrap/>
        <w:overflowPunct/>
        <w:topLinePunct w:val="0"/>
        <w:autoSpaceDE/>
        <w:autoSpaceDN/>
        <w:bidi w:val="0"/>
        <w:adjustRightInd w:val="0"/>
        <w:snapToGrid w:val="0"/>
        <w:spacing w:line="600" w:lineRule="exact"/>
        <w:ind w:firstLine="560" w:firstLineChars="200"/>
        <w:rPr>
          <w:rFonts w:hint="eastAsia" w:ascii="宋体" w:hAnsi="宋体" w:eastAsia="宋体" w:cs="宋体"/>
          <w:color w:val="000000"/>
          <w:sz w:val="28"/>
          <w:szCs w:val="28"/>
          <w:highlight w:val="none"/>
          <w:lang w:val="zh-CN"/>
        </w:rPr>
      </w:pPr>
      <w:r>
        <w:rPr>
          <w:rFonts w:hint="eastAsia" w:ascii="宋体" w:hAnsi="宋体" w:eastAsia="宋体" w:cs="宋体"/>
          <w:color w:val="000000"/>
          <w:sz w:val="28"/>
          <w:szCs w:val="28"/>
          <w:highlight w:val="none"/>
          <w:lang w:val="zh-CN"/>
        </w:rPr>
        <w:t>防疫要求：基于疫情防控形势，授权委托人须通过“广州净水公司”微信公众号当天（提前）预约，填写访客预约信息</w:t>
      </w:r>
      <w:r>
        <w:rPr>
          <w:rFonts w:hint="eastAsia" w:ascii="宋体" w:hAnsi="宋体" w:eastAsia="宋体" w:cs="宋体"/>
          <w:color w:val="auto"/>
          <w:sz w:val="28"/>
          <w:szCs w:val="28"/>
          <w:highlight w:val="none"/>
          <w:lang w:val="en-US" w:eastAsia="zh-CN"/>
        </w:rPr>
        <w:t>（包括：1.近7天内行程有异地中高风险地区及所在的地级市（、盟、州、直辖市的区）旅居史的来（返）穗人员拒绝来访；2.近7天行程内有异地本土疫情报告的地级市（、盟、州、直辖市的区）旅居史的来（返）穗人员应持有抵穗后来访前两次核酸检测证明，即“三天两检”（每次至少间隔24小时）3.除上述1、2以外临时来访人员，应持有抵穗后来访前24小时内的核酸检测证明）。待被访部室审核员审批通过后，凭访客手机生成的“通行访客码”通行。于门岗处测温并扫码填写调查问卷，手机显示问卷“提交成功”后方可进入厂区。</w:t>
      </w:r>
    </w:p>
    <w:p>
      <w:pPr>
        <w:pStyle w:val="25"/>
        <w:keepNext w:val="0"/>
        <w:keepLines w:val="0"/>
        <w:pageBreakBefore w:val="0"/>
        <w:kinsoku/>
        <w:wordWrap/>
        <w:overflowPunct/>
        <w:topLinePunct w:val="0"/>
        <w:autoSpaceDE/>
        <w:autoSpaceDN/>
        <w:bidi w:val="0"/>
        <w:spacing w:line="600" w:lineRule="exact"/>
        <w:ind w:firstLine="0"/>
        <w:rPr>
          <w:rFonts w:hint="default" w:ascii="宋体" w:hAnsi="宋体" w:eastAsia="宋体" w:cs="宋体"/>
          <w:color w:val="auto"/>
          <w:kern w:val="2"/>
          <w:sz w:val="28"/>
          <w:szCs w:val="28"/>
          <w:highlight w:val="none"/>
          <w:lang w:val="en-US" w:eastAsia="zh-CN"/>
        </w:rPr>
      </w:pPr>
      <w:r>
        <w:rPr>
          <w:rFonts w:hint="eastAsia" w:ascii="宋体" w:hAnsi="宋体" w:eastAsia="宋体" w:cs="宋体"/>
          <w:color w:val="auto"/>
          <w:kern w:val="2"/>
          <w:sz w:val="28"/>
          <w:szCs w:val="28"/>
          <w:highlight w:val="none"/>
          <w:lang w:val="en-US" w:eastAsia="zh-CN"/>
        </w:rPr>
        <w:t>踏勘现场联系人：</w:t>
      </w:r>
      <w:r>
        <w:rPr>
          <w:rFonts w:hint="eastAsia" w:eastAsia="宋体" w:cs="宋体"/>
          <w:color w:val="auto"/>
          <w:kern w:val="2"/>
          <w:sz w:val="28"/>
          <w:szCs w:val="28"/>
          <w:highlight w:val="none"/>
          <w:lang w:val="en-US" w:eastAsia="zh-CN"/>
        </w:rPr>
        <w:t>刘工</w:t>
      </w:r>
    </w:p>
    <w:p>
      <w:pPr>
        <w:pStyle w:val="25"/>
        <w:keepNext w:val="0"/>
        <w:keepLines w:val="0"/>
        <w:pageBreakBefore w:val="0"/>
        <w:kinsoku/>
        <w:wordWrap/>
        <w:overflowPunct/>
        <w:topLinePunct w:val="0"/>
        <w:autoSpaceDE/>
        <w:autoSpaceDN/>
        <w:bidi w:val="0"/>
        <w:adjustRightInd w:val="0"/>
        <w:snapToGrid w:val="0"/>
        <w:spacing w:line="600" w:lineRule="exact"/>
        <w:ind w:firstLine="0" w:firstLineChars="0"/>
        <w:rPr>
          <w:rFonts w:hint="default" w:ascii="宋体" w:hAnsi="宋体" w:eastAsia="宋体" w:cs="宋体"/>
          <w:color w:val="auto"/>
          <w:sz w:val="28"/>
          <w:szCs w:val="28"/>
          <w:highlight w:val="none"/>
          <w:u w:val="none"/>
          <w:lang w:val="en-US"/>
        </w:rPr>
      </w:pPr>
      <w:r>
        <w:rPr>
          <w:rFonts w:hint="eastAsia" w:ascii="宋体" w:hAnsi="宋体" w:eastAsia="宋体" w:cs="宋体"/>
          <w:color w:val="auto"/>
          <w:kern w:val="2"/>
          <w:sz w:val="28"/>
          <w:szCs w:val="28"/>
          <w:highlight w:val="none"/>
          <w:lang w:val="en-US" w:eastAsia="zh-CN"/>
        </w:rPr>
        <w:t>踏勘现场联系人联系方式：</w:t>
      </w:r>
      <w:r>
        <w:rPr>
          <w:rFonts w:hint="eastAsia" w:eastAsia="宋体" w:cs="宋体"/>
          <w:color w:val="auto"/>
          <w:kern w:val="2"/>
          <w:sz w:val="28"/>
          <w:szCs w:val="28"/>
          <w:highlight w:val="none"/>
          <w:lang w:val="en-US" w:eastAsia="zh-CN"/>
        </w:rPr>
        <w:t>18825151603</w:t>
      </w:r>
    </w:p>
    <w:p>
      <w:pPr>
        <w:keepNext w:val="0"/>
        <w:keepLines w:val="0"/>
        <w:pageBreakBefore w:val="0"/>
        <w:kinsoku/>
        <w:wordWrap/>
        <w:overflowPunct/>
        <w:topLinePunct w:val="0"/>
        <w:autoSpaceDE/>
        <w:autoSpaceDN/>
        <w:bidi w:val="0"/>
        <w:adjustRightInd w:val="0"/>
        <w:snapToGrid w:val="0"/>
        <w:spacing w:line="600" w:lineRule="exact"/>
        <w:ind w:firstLine="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踏勘（答疑会）</w:t>
      </w:r>
      <w:r>
        <w:rPr>
          <w:rFonts w:hint="eastAsia" w:ascii="宋体" w:hAnsi="宋体" w:eastAsia="宋体" w:cs="宋体"/>
          <w:color w:val="auto"/>
          <w:sz w:val="28"/>
          <w:szCs w:val="28"/>
          <w:highlight w:val="none"/>
          <w:lang w:val="en-US" w:eastAsia="zh-CN"/>
        </w:rPr>
        <w:t>集合</w:t>
      </w:r>
      <w:r>
        <w:rPr>
          <w:rFonts w:hint="eastAsia" w:ascii="宋体" w:hAnsi="宋体" w:eastAsia="宋体" w:cs="宋体"/>
          <w:color w:val="auto"/>
          <w:sz w:val="28"/>
          <w:szCs w:val="28"/>
          <w:highlight w:val="none"/>
        </w:rPr>
        <w:t>时间：</w:t>
      </w:r>
      <w:r>
        <w:rPr>
          <w:rFonts w:hint="eastAsia" w:ascii="宋体" w:hAnsi="宋体" w:eastAsia="宋体" w:cs="宋体"/>
          <w:color w:val="auto"/>
          <w:sz w:val="28"/>
          <w:szCs w:val="28"/>
          <w:highlight w:val="none"/>
          <w:u w:val="single"/>
          <w:lang w:val="en-US" w:eastAsia="zh-CN"/>
        </w:rPr>
        <w:t>2022</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12</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2</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9</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时</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30</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分</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10</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时</w:t>
      </w:r>
      <w:r>
        <w:rPr>
          <w:rFonts w:hint="eastAsia" w:ascii="宋体" w:hAnsi="宋体" w:eastAsia="宋体" w:cs="宋体"/>
          <w:color w:val="auto"/>
          <w:sz w:val="28"/>
          <w:szCs w:val="28"/>
          <w:highlight w:val="none"/>
          <w:u w:val="single"/>
          <w:lang w:val="en-US" w:eastAsia="zh-CN"/>
        </w:rPr>
        <w:t xml:space="preserve"> 00 </w:t>
      </w:r>
      <w:r>
        <w:rPr>
          <w:rFonts w:hint="eastAsia" w:ascii="宋体" w:hAnsi="宋体" w:eastAsia="宋体" w:cs="宋体"/>
          <w:color w:val="auto"/>
          <w:sz w:val="28"/>
          <w:szCs w:val="28"/>
          <w:highlight w:val="none"/>
        </w:rPr>
        <w:t>分</w:t>
      </w:r>
      <w:r>
        <w:rPr>
          <w:rFonts w:hint="eastAsia" w:ascii="宋体" w:hAnsi="宋体" w:eastAsia="宋体" w:cs="宋体"/>
          <w:color w:val="auto"/>
          <w:sz w:val="28"/>
          <w:szCs w:val="28"/>
          <w:highlight w:val="none"/>
          <w:lang w:eastAsia="zh-CN"/>
        </w:rPr>
        <w:t>。</w:t>
      </w:r>
    </w:p>
    <w:p>
      <w:pPr>
        <w:keepNext w:val="0"/>
        <w:keepLines w:val="0"/>
        <w:pageBreakBefore w:val="0"/>
        <w:kinsoku/>
        <w:wordWrap/>
        <w:overflowPunct/>
        <w:topLinePunct w:val="0"/>
        <w:autoSpaceDE/>
        <w:autoSpaceDN/>
        <w:bidi w:val="0"/>
        <w:adjustRightInd w:val="0"/>
        <w:snapToGrid w:val="0"/>
        <w:spacing w:line="600" w:lineRule="exact"/>
        <w:jc w:val="left"/>
        <w:rPr>
          <w:rFonts w:hint="eastAsia" w:ascii="宋体" w:hAnsi="宋体" w:eastAsia="宋体" w:cs="宋体"/>
          <w:sz w:val="28"/>
          <w:szCs w:val="28"/>
        </w:rPr>
      </w:pPr>
      <w:r>
        <w:rPr>
          <w:rFonts w:hint="eastAsia" w:ascii="宋体" w:hAnsi="宋体" w:eastAsia="宋体" w:cs="宋体"/>
          <w:color w:val="auto"/>
          <w:sz w:val="28"/>
          <w:szCs w:val="28"/>
          <w:highlight w:val="none"/>
        </w:rPr>
        <w:t>踏勘集中地点：</w:t>
      </w:r>
      <w:r>
        <w:rPr>
          <w:rFonts w:hint="eastAsia" w:ascii="宋体" w:hAnsi="宋体" w:eastAsia="宋体" w:cs="宋体"/>
          <w:sz w:val="28"/>
          <w:szCs w:val="28"/>
        </w:rPr>
        <w:t xml:space="preserve"> 广州市白云区钟落潭镇竹二路兰桂街100号（广州市净水有限公司竹料分公司）</w:t>
      </w:r>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lang w:val="en-US" w:eastAsia="zh-CN"/>
        </w:rPr>
        <w:t>6.</w:t>
      </w:r>
      <w:r>
        <w:rPr>
          <w:rFonts w:hint="eastAsia" w:ascii="宋体" w:hAnsi="宋体" w:eastAsia="宋体" w:cs="宋体"/>
          <w:b/>
          <w:sz w:val="32"/>
          <w:szCs w:val="32"/>
        </w:rPr>
        <w:t>响应文件的递交</w:t>
      </w:r>
    </w:p>
    <w:p>
      <w:pPr>
        <w:keepNext w:val="0"/>
        <w:keepLines w:val="0"/>
        <w:pageBreakBefore w:val="0"/>
        <w:kinsoku/>
        <w:wordWrap/>
        <w:overflowPunct/>
        <w:topLinePunct w:val="0"/>
        <w:autoSpaceDE/>
        <w:autoSpaceDN/>
        <w:bidi w:val="0"/>
        <w:adjustRightInd w:val="0"/>
        <w:snapToGrid w:val="0"/>
        <w:spacing w:line="600" w:lineRule="exact"/>
        <w:jc w:val="left"/>
        <w:rPr>
          <w:rFonts w:hint="eastAsia" w:ascii="宋体" w:hAnsi="宋体" w:eastAsia="宋体" w:cs="宋体"/>
          <w:sz w:val="28"/>
          <w:szCs w:val="28"/>
        </w:rPr>
      </w:pPr>
      <w:r>
        <w:rPr>
          <w:rFonts w:hint="eastAsia" w:ascii="宋体" w:hAnsi="宋体" w:eastAsia="宋体" w:cs="宋体"/>
          <w:sz w:val="28"/>
          <w:szCs w:val="28"/>
        </w:rPr>
        <w:t>6.1递交响应文件截止时间：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2022</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12</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5</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15</w:t>
      </w:r>
      <w:r>
        <w:rPr>
          <w:rFonts w:hint="eastAsia" w:ascii="宋体" w:hAnsi="宋体" w:eastAsia="宋体" w:cs="宋体"/>
          <w:sz w:val="28"/>
          <w:szCs w:val="28"/>
          <w:u w:val="single"/>
        </w:rPr>
        <w:t xml:space="preserve"> </w:t>
      </w:r>
      <w:r>
        <w:rPr>
          <w:rFonts w:hint="eastAsia" w:ascii="宋体" w:hAnsi="宋体" w:eastAsia="宋体" w:cs="宋体"/>
          <w:sz w:val="28"/>
          <w:szCs w:val="28"/>
        </w:rPr>
        <w:t>时</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00</w:t>
      </w:r>
      <w:r>
        <w:rPr>
          <w:rFonts w:hint="eastAsia" w:ascii="宋体" w:hAnsi="宋体" w:eastAsia="宋体" w:cs="宋体"/>
          <w:sz w:val="28"/>
          <w:szCs w:val="28"/>
          <w:u w:val="single"/>
        </w:rPr>
        <w:t xml:space="preserve"> </w:t>
      </w:r>
      <w:r>
        <w:rPr>
          <w:rFonts w:hint="eastAsia" w:ascii="宋体" w:hAnsi="宋体" w:eastAsia="宋体" w:cs="宋体"/>
          <w:sz w:val="28"/>
          <w:szCs w:val="28"/>
        </w:rPr>
        <w:t>分前（北京时间）。</w:t>
      </w:r>
    </w:p>
    <w:p>
      <w:pPr>
        <w:keepNext w:val="0"/>
        <w:keepLines w:val="0"/>
        <w:pageBreakBefore w:val="0"/>
        <w:kinsoku/>
        <w:wordWrap/>
        <w:overflowPunct/>
        <w:topLinePunct w:val="0"/>
        <w:autoSpaceDE/>
        <w:autoSpaceDN/>
        <w:bidi w:val="0"/>
        <w:adjustRightInd w:val="0"/>
        <w:snapToGrid w:val="0"/>
        <w:spacing w:line="600" w:lineRule="exact"/>
        <w:jc w:val="left"/>
        <w:rPr>
          <w:rFonts w:hint="eastAsia" w:ascii="宋体" w:hAnsi="宋体" w:eastAsia="宋体" w:cs="宋体"/>
          <w:sz w:val="28"/>
          <w:szCs w:val="28"/>
        </w:rPr>
      </w:pPr>
      <w:r>
        <w:rPr>
          <w:rFonts w:hint="eastAsia" w:ascii="宋体" w:hAnsi="宋体" w:eastAsia="宋体" w:cs="宋体"/>
          <w:sz w:val="28"/>
          <w:szCs w:val="28"/>
        </w:rPr>
        <w:t>6.2递交及快递地址：广州市天河区临江大道501号</w:t>
      </w:r>
      <w:r>
        <w:rPr>
          <w:rFonts w:hint="eastAsia" w:ascii="宋体" w:hAnsi="宋体" w:eastAsia="宋体" w:cs="宋体"/>
          <w:sz w:val="28"/>
          <w:szCs w:val="28"/>
          <w:u w:val="single"/>
        </w:rPr>
        <w:t>广州市净水有限公司6楼招标部</w:t>
      </w:r>
      <w:r>
        <w:rPr>
          <w:rFonts w:hint="eastAsia" w:ascii="宋体" w:hAnsi="宋体" w:eastAsia="宋体" w:cs="宋体"/>
          <w:sz w:val="28"/>
          <w:szCs w:val="28"/>
        </w:rPr>
        <w:t>。</w:t>
      </w:r>
    </w:p>
    <w:p>
      <w:pPr>
        <w:pStyle w:val="25"/>
        <w:keepNext w:val="0"/>
        <w:keepLines w:val="0"/>
        <w:pageBreakBefore w:val="0"/>
        <w:kinsoku/>
        <w:wordWrap/>
        <w:overflowPunct/>
        <w:topLinePunct w:val="0"/>
        <w:autoSpaceDE/>
        <w:autoSpaceDN/>
        <w:bidi w:val="0"/>
        <w:spacing w:line="600" w:lineRule="exact"/>
        <w:ind w:firstLine="560" w:firstLineChars="200"/>
        <w:rPr>
          <w:rFonts w:hint="eastAsia" w:ascii="宋体" w:hAnsi="宋体" w:eastAsia="宋体" w:cs="宋体"/>
        </w:rPr>
      </w:pPr>
      <w:r>
        <w:rPr>
          <w:rFonts w:hint="eastAsia" w:ascii="宋体" w:hAnsi="宋体" w:eastAsia="宋体" w:cs="宋体"/>
          <w:sz w:val="28"/>
          <w:szCs w:val="28"/>
        </w:rPr>
        <w:t>防疫要求：基于目前疫情防控形势，我公司仅接受快递或自行送达形式递交响应文件，响应文件须于递交截止时间前送达，并放置于公司正门保安处。</w:t>
      </w:r>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rPr>
        <w:t>7.其他</w:t>
      </w:r>
    </w:p>
    <w:p>
      <w:pPr>
        <w:keepNext w:val="0"/>
        <w:keepLines w:val="0"/>
        <w:pageBreakBefore w:val="0"/>
        <w:kinsoku/>
        <w:wordWrap/>
        <w:overflowPunct/>
        <w:topLinePunct w:val="0"/>
        <w:autoSpaceDE/>
        <w:autoSpaceDN/>
        <w:bidi w:val="0"/>
        <w:adjustRightInd w:val="0"/>
        <w:snapToGrid w:val="0"/>
        <w:spacing w:line="600" w:lineRule="exact"/>
        <w:jc w:val="left"/>
        <w:rPr>
          <w:rFonts w:hint="eastAsia" w:ascii="宋体" w:hAnsi="宋体" w:eastAsia="宋体" w:cs="宋体"/>
          <w:sz w:val="28"/>
          <w:szCs w:val="28"/>
        </w:rPr>
      </w:pPr>
      <w:r>
        <w:rPr>
          <w:rFonts w:hint="eastAsia" w:ascii="宋体" w:hAnsi="宋体" w:eastAsia="宋体" w:cs="宋体"/>
          <w:sz w:val="28"/>
          <w:szCs w:val="28"/>
        </w:rPr>
        <w:t>7.1发布公告的其他媒介</w:t>
      </w:r>
    </w:p>
    <w:p>
      <w:pPr>
        <w:keepNext w:val="0"/>
        <w:keepLines w:val="0"/>
        <w:pageBreakBefore w:val="0"/>
        <w:kinsoku/>
        <w:wordWrap/>
        <w:overflowPunct/>
        <w:topLinePunct w:val="0"/>
        <w:autoSpaceDE/>
        <w:autoSpaceDN/>
        <w:bidi w:val="0"/>
        <w:adjustRightInd w:val="0"/>
        <w:snapToGrid w:val="0"/>
        <w:spacing w:line="600" w:lineRule="exact"/>
        <w:ind w:firstLine="555"/>
        <w:rPr>
          <w:rFonts w:hint="eastAsia" w:ascii="宋体" w:hAnsi="宋体" w:eastAsia="宋体" w:cs="宋体"/>
          <w:sz w:val="28"/>
          <w:szCs w:val="28"/>
        </w:rPr>
      </w:pPr>
      <w:r>
        <w:rPr>
          <w:rFonts w:hint="eastAsia" w:ascii="宋体" w:hAnsi="宋体" w:eastAsia="宋体" w:cs="宋体"/>
          <w:sz w:val="28"/>
          <w:szCs w:val="28"/>
        </w:rPr>
        <w:t>本项目采购公告（采购邀请书）、公告补充和修改同时在广州市净水有限公司门户网站和阳光平台上发布。本公告在各媒体发布的文本如有不同之处，以净水公司门户网站为准。</w:t>
      </w:r>
    </w:p>
    <w:p>
      <w:pPr>
        <w:keepNext w:val="0"/>
        <w:keepLines w:val="0"/>
        <w:pageBreakBefore w:val="0"/>
        <w:kinsoku/>
        <w:wordWrap/>
        <w:overflowPunct/>
        <w:topLinePunct w:val="0"/>
        <w:autoSpaceDE/>
        <w:autoSpaceDN/>
        <w:bidi w:val="0"/>
        <w:adjustRightInd w:val="0"/>
        <w:snapToGrid w:val="0"/>
        <w:spacing w:line="600" w:lineRule="exact"/>
        <w:jc w:val="left"/>
        <w:rPr>
          <w:rFonts w:hint="eastAsia" w:ascii="宋体" w:hAnsi="宋体" w:eastAsia="宋体" w:cs="宋体"/>
          <w:sz w:val="28"/>
          <w:szCs w:val="28"/>
        </w:rPr>
      </w:pPr>
      <w:r>
        <w:rPr>
          <w:rFonts w:hint="eastAsia" w:ascii="宋体" w:hAnsi="宋体" w:eastAsia="宋体" w:cs="宋体"/>
          <w:sz w:val="28"/>
          <w:szCs w:val="28"/>
        </w:rPr>
        <w:t>7.2响应文件递交注意事项</w:t>
      </w:r>
    </w:p>
    <w:p>
      <w:pPr>
        <w:keepNext w:val="0"/>
        <w:keepLines w:val="0"/>
        <w:pageBreakBefore w:val="0"/>
        <w:kinsoku/>
        <w:wordWrap/>
        <w:overflowPunct/>
        <w:topLinePunct w:val="0"/>
        <w:autoSpaceDE/>
        <w:autoSpaceDN/>
        <w:bidi w:val="0"/>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（1）逾期送达的、未送达指定地点的响应文件，采购人将予以拒收。</w:t>
      </w:r>
    </w:p>
    <w:p>
      <w:pPr>
        <w:keepNext w:val="0"/>
        <w:keepLines w:val="0"/>
        <w:pageBreakBefore w:val="0"/>
        <w:kinsoku/>
        <w:wordWrap/>
        <w:overflowPunct/>
        <w:topLinePunct w:val="0"/>
        <w:autoSpaceDE/>
        <w:autoSpaceDN/>
        <w:bidi w:val="0"/>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（2）不按照采购文件要求密封的响应文件，采购人将予以拒收。</w:t>
      </w:r>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rPr>
        <w:t>8.异议及投诉的受理</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left="1" w:firstLine="618" w:firstLineChars="221"/>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潜在供应商或利害关系人对本采购公告及采购文件中任何违法及不公平内容有异议的，可以在提交响应文件截止之日</w:t>
      </w:r>
      <w:r>
        <w:rPr>
          <w:rFonts w:hint="eastAsia" w:ascii="宋体" w:hAnsi="宋体" w:eastAsia="宋体" w:cs="宋体"/>
          <w:color w:val="000000" w:themeColor="text1"/>
          <w:sz w:val="28"/>
          <w:szCs w:val="28"/>
          <w:u w:val="single"/>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个工作日前书面提出异议。如潜在响应人或其他利害关系人对采购人答复仍持有异议的，可按相关规定进行投诉。</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left="1"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异议受理部门：</w:t>
      </w:r>
      <w:r>
        <w:rPr>
          <w:rFonts w:hint="eastAsia" w:ascii="宋体" w:hAnsi="宋体" w:eastAsia="宋体" w:cs="宋体"/>
          <w:color w:val="000000" w:themeColor="text1"/>
          <w:sz w:val="28"/>
          <w:szCs w:val="28"/>
          <w:u w:val="single"/>
          <w14:textFill>
            <w14:solidFill>
              <w14:schemeClr w14:val="tx1"/>
            </w14:solidFill>
          </w14:textFill>
        </w:rPr>
        <w:t>广州市净水有限公司</w:t>
      </w:r>
      <w:r>
        <w:rPr>
          <w:rFonts w:hint="eastAsia" w:ascii="宋体" w:hAnsi="宋体" w:eastAsia="宋体" w:cs="宋体"/>
          <w:color w:val="000000" w:themeColor="text1"/>
          <w:sz w:val="28"/>
          <w:szCs w:val="28"/>
          <w14:textFill>
            <w14:solidFill>
              <w14:schemeClr w14:val="tx1"/>
            </w14:solidFill>
          </w14:textFill>
        </w:rPr>
        <w:t>，电话：</w:t>
      </w:r>
      <w:r>
        <w:rPr>
          <w:rFonts w:hint="eastAsia" w:ascii="宋体" w:hAnsi="宋体" w:eastAsia="宋体" w:cs="宋体"/>
          <w:color w:val="000000" w:themeColor="text1"/>
          <w:sz w:val="28"/>
          <w:szCs w:val="28"/>
          <w:u w:val="single"/>
          <w14:textFill>
            <w14:solidFill>
              <w14:schemeClr w14:val="tx1"/>
            </w14:solidFill>
          </w14:textFill>
        </w:rPr>
        <w:t>38890841</w:t>
      </w:r>
      <w:r>
        <w:rPr>
          <w:rFonts w:hint="eastAsia" w:ascii="宋体" w:hAnsi="宋体" w:eastAsia="宋体" w:cs="宋体"/>
          <w:color w:val="000000" w:themeColor="text1"/>
          <w:sz w:val="28"/>
          <w:szCs w:val="28"/>
          <w14:textFill>
            <w14:solidFill>
              <w14:schemeClr w14:val="tx1"/>
            </w14:solidFill>
          </w14:textFill>
        </w:rPr>
        <w:t>。</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exact"/>
        <w:ind w:left="1"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地址：</w:t>
      </w:r>
      <w:r>
        <w:rPr>
          <w:rFonts w:hint="eastAsia" w:ascii="宋体" w:hAnsi="宋体" w:eastAsia="宋体" w:cs="宋体"/>
          <w:color w:val="000000" w:themeColor="text1"/>
          <w:sz w:val="28"/>
          <w:szCs w:val="28"/>
          <w:u w:val="single"/>
          <w14:textFill>
            <w14:solidFill>
              <w14:schemeClr w14:val="tx1"/>
            </w14:solidFill>
          </w14:textFill>
        </w:rPr>
        <w:t>广州市天河区临江大道501号广州市净水有限公司</w:t>
      </w:r>
      <w:r>
        <w:rPr>
          <w:rFonts w:hint="eastAsia" w:ascii="宋体" w:hAnsi="宋体" w:eastAsia="宋体" w:cs="宋体"/>
          <w:color w:val="000000" w:themeColor="text1"/>
          <w:sz w:val="28"/>
          <w:szCs w:val="28"/>
          <w14:textFill>
            <w14:solidFill>
              <w14:schemeClr w14:val="tx1"/>
            </w14:solidFill>
          </w14:textFill>
        </w:rPr>
        <w:t xml:space="preserve"> 。</w:t>
      </w:r>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rPr>
        <w:t>9.被书面限制参与采购活动的企业名单</w:t>
      </w:r>
    </w:p>
    <w:p>
      <w:pPr>
        <w:keepNext w:val="0"/>
        <w:keepLines w:val="0"/>
        <w:pageBreakBefore w:val="0"/>
        <w:kinsoku/>
        <w:wordWrap/>
        <w:overflowPunct/>
        <w:topLinePunct w:val="0"/>
        <w:autoSpaceDE/>
        <w:autoSpaceDN/>
        <w:bidi w:val="0"/>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本项目采购人（包括市水投集团及其属下子公司）书面限制参与采购活动的企业名单：</w:t>
      </w:r>
    </w:p>
    <w:tbl>
      <w:tblPr>
        <w:tblStyle w:val="27"/>
        <w:tblW w:w="4997"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09"/>
        <w:gridCol w:w="4182"/>
        <w:gridCol w:w="456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07" w:type="pct"/>
          </w:tcPr>
          <w:p>
            <w:pPr>
              <w:keepNext w:val="0"/>
              <w:keepLines w:val="0"/>
              <w:pageBreakBefore w:val="0"/>
              <w:kinsoku/>
              <w:wordWrap/>
              <w:overflowPunct/>
              <w:topLinePunct w:val="0"/>
              <w:autoSpaceDE/>
              <w:autoSpaceDN/>
              <w:bidi w:val="0"/>
              <w:adjustRightInd w:val="0"/>
              <w:snapToGrid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2100" w:type="pct"/>
          </w:tcPr>
          <w:p>
            <w:pPr>
              <w:keepNext w:val="0"/>
              <w:keepLines w:val="0"/>
              <w:pageBreakBefore w:val="0"/>
              <w:kinsoku/>
              <w:wordWrap/>
              <w:overflowPunct/>
              <w:topLinePunct w:val="0"/>
              <w:autoSpaceDE/>
              <w:autoSpaceDN/>
              <w:bidi w:val="0"/>
              <w:adjustRightInd w:val="0"/>
              <w:snapToGrid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单位名称</w:t>
            </w:r>
          </w:p>
        </w:tc>
        <w:tc>
          <w:tcPr>
            <w:tcW w:w="2292" w:type="pct"/>
          </w:tcPr>
          <w:p>
            <w:pPr>
              <w:keepNext w:val="0"/>
              <w:keepLines w:val="0"/>
              <w:pageBreakBefore w:val="0"/>
              <w:kinsoku/>
              <w:wordWrap/>
              <w:overflowPunct/>
              <w:topLinePunct w:val="0"/>
              <w:autoSpaceDE/>
              <w:autoSpaceDN/>
              <w:bidi w:val="0"/>
              <w:adjustRightInd w:val="0"/>
              <w:snapToGrid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07" w:type="pct"/>
            <w:vAlign w:val="center"/>
          </w:tcPr>
          <w:p>
            <w:pPr>
              <w:keepNext w:val="0"/>
              <w:keepLines w:val="0"/>
              <w:pageBreakBefore w:val="0"/>
              <w:kinsoku/>
              <w:wordWrap/>
              <w:overflowPunct/>
              <w:topLinePunct w:val="0"/>
              <w:autoSpaceDE/>
              <w:autoSpaceDN/>
              <w:bidi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2100" w:type="pct"/>
            <w:vAlign w:val="center"/>
          </w:tcPr>
          <w:p>
            <w:pPr>
              <w:keepNext w:val="0"/>
              <w:keepLines w:val="0"/>
              <w:pageBreakBefore w:val="0"/>
              <w:kinsoku/>
              <w:wordWrap/>
              <w:overflowPunct/>
              <w:topLinePunct w:val="0"/>
              <w:autoSpaceDE/>
              <w:autoSpaceDN/>
              <w:bidi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广州市水电建设工程有限公司</w:t>
            </w:r>
          </w:p>
        </w:tc>
        <w:tc>
          <w:tcPr>
            <w:tcW w:w="2292" w:type="pct"/>
            <w:vAlign w:val="center"/>
          </w:tcPr>
          <w:p>
            <w:pPr>
              <w:keepNext w:val="0"/>
              <w:keepLines w:val="0"/>
              <w:pageBreakBefore w:val="0"/>
              <w:kinsoku/>
              <w:wordWrap/>
              <w:overflowPunct/>
              <w:topLinePunct w:val="0"/>
              <w:autoSpaceDE/>
              <w:autoSpaceDN/>
              <w:bidi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2021年11月18至2022年5月17日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07" w:type="pct"/>
            <w:vAlign w:val="center"/>
          </w:tcPr>
          <w:p>
            <w:pPr>
              <w:keepNext w:val="0"/>
              <w:keepLines w:val="0"/>
              <w:pageBreakBefore w:val="0"/>
              <w:kinsoku/>
              <w:wordWrap/>
              <w:overflowPunct/>
              <w:topLinePunct w:val="0"/>
              <w:autoSpaceDE/>
              <w:autoSpaceDN/>
              <w:bidi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2100" w:type="pct"/>
            <w:vAlign w:val="center"/>
          </w:tcPr>
          <w:p>
            <w:pPr>
              <w:keepNext w:val="0"/>
              <w:keepLines w:val="0"/>
              <w:pageBreakBefore w:val="0"/>
              <w:kinsoku/>
              <w:wordWrap/>
              <w:overflowPunct/>
              <w:topLinePunct w:val="0"/>
              <w:autoSpaceDE/>
              <w:autoSpaceDN/>
              <w:bidi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广州市南粤工程建设监理有限公司</w:t>
            </w:r>
          </w:p>
        </w:tc>
        <w:tc>
          <w:tcPr>
            <w:tcW w:w="2292" w:type="pct"/>
            <w:vAlign w:val="center"/>
          </w:tcPr>
          <w:p>
            <w:pPr>
              <w:keepNext w:val="0"/>
              <w:keepLines w:val="0"/>
              <w:pageBreakBefore w:val="0"/>
              <w:kinsoku/>
              <w:wordWrap/>
              <w:overflowPunct/>
              <w:topLinePunct w:val="0"/>
              <w:autoSpaceDE/>
              <w:autoSpaceDN/>
              <w:bidi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2021年11月18至2023年5月17日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07" w:type="pct"/>
            <w:vAlign w:val="center"/>
          </w:tcPr>
          <w:p>
            <w:pPr>
              <w:keepNext w:val="0"/>
              <w:keepLines w:val="0"/>
              <w:pageBreakBefore w:val="0"/>
              <w:kinsoku/>
              <w:wordWrap/>
              <w:overflowPunct/>
              <w:topLinePunct w:val="0"/>
              <w:autoSpaceDE/>
              <w:autoSpaceDN/>
              <w:bidi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2100" w:type="pct"/>
            <w:vAlign w:val="center"/>
          </w:tcPr>
          <w:p>
            <w:pPr>
              <w:keepNext w:val="0"/>
              <w:keepLines w:val="0"/>
              <w:pageBreakBefore w:val="0"/>
              <w:kinsoku/>
              <w:wordWrap/>
              <w:overflowPunct/>
              <w:topLinePunct w:val="0"/>
              <w:autoSpaceDE/>
              <w:autoSpaceDN/>
              <w:bidi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广州市自来水工程有限公司</w:t>
            </w:r>
          </w:p>
        </w:tc>
        <w:tc>
          <w:tcPr>
            <w:tcW w:w="2292" w:type="pct"/>
            <w:vAlign w:val="center"/>
          </w:tcPr>
          <w:p>
            <w:pPr>
              <w:keepNext w:val="0"/>
              <w:keepLines w:val="0"/>
              <w:pageBreakBefore w:val="0"/>
              <w:kinsoku/>
              <w:wordWrap/>
              <w:overflowPunct/>
              <w:topLinePunct w:val="0"/>
              <w:autoSpaceDE/>
              <w:autoSpaceDN/>
              <w:bidi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2022年1月1至2022年12月31日</w:t>
            </w:r>
          </w:p>
        </w:tc>
      </w:tr>
    </w:tbl>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rPr>
        <w:t>10.联系方式</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95" w:type="dxa"/>
          </w:tcPr>
          <w:p>
            <w:pPr>
              <w:keepNext w:val="0"/>
              <w:keepLines w:val="0"/>
              <w:pageBreakBefore w:val="0"/>
              <w:kinsoku/>
              <w:wordWrap/>
              <w:overflowPunct/>
              <w:topLinePunct w:val="0"/>
              <w:autoSpaceDE/>
              <w:autoSpaceDN/>
              <w:bidi w:val="0"/>
              <w:adjustRightInd w:val="0"/>
              <w:snapToGrid w:val="0"/>
              <w:spacing w:line="600" w:lineRule="exact"/>
              <w:jc w:val="left"/>
              <w:rPr>
                <w:rFonts w:hint="eastAsia" w:ascii="宋体" w:hAnsi="宋体" w:eastAsia="宋体" w:cs="宋体"/>
                <w:sz w:val="24"/>
                <w:szCs w:val="24"/>
              </w:rPr>
            </w:pPr>
            <w:r>
              <w:rPr>
                <w:rFonts w:hint="eastAsia" w:ascii="宋体" w:hAnsi="宋体" w:eastAsia="宋体" w:cs="宋体"/>
                <w:sz w:val="24"/>
                <w:szCs w:val="24"/>
              </w:rPr>
              <w:t>采购人：广州市净水有限公司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95" w:type="dxa"/>
          </w:tcPr>
          <w:p>
            <w:pPr>
              <w:keepNext w:val="0"/>
              <w:keepLines w:val="0"/>
              <w:pageBreakBefore w:val="0"/>
              <w:kinsoku/>
              <w:wordWrap/>
              <w:overflowPunct/>
              <w:topLinePunct w:val="0"/>
              <w:autoSpaceDE/>
              <w:autoSpaceDN/>
              <w:bidi w:val="0"/>
              <w:adjustRightInd w:val="0"/>
              <w:snapToGrid w:val="0"/>
              <w:spacing w:line="600" w:lineRule="exact"/>
              <w:jc w:val="left"/>
              <w:rPr>
                <w:rFonts w:hint="eastAsia" w:ascii="宋体" w:hAnsi="宋体" w:eastAsia="宋体" w:cs="宋体"/>
                <w:sz w:val="24"/>
                <w:szCs w:val="24"/>
              </w:rPr>
            </w:pPr>
            <w:r>
              <w:rPr>
                <w:rFonts w:hint="eastAsia" w:ascii="宋体" w:hAnsi="宋体" w:eastAsia="宋体" w:cs="宋体"/>
                <w:sz w:val="24"/>
                <w:szCs w:val="24"/>
              </w:rPr>
              <w:t>地  址：广州市天河区临江大道501号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95" w:type="dxa"/>
          </w:tcPr>
          <w:p>
            <w:pPr>
              <w:keepNext w:val="0"/>
              <w:keepLines w:val="0"/>
              <w:pageBreakBefore w:val="0"/>
              <w:kinsoku/>
              <w:wordWrap/>
              <w:overflowPunct/>
              <w:topLinePunct w:val="0"/>
              <w:autoSpaceDE/>
              <w:autoSpaceDN/>
              <w:bidi w:val="0"/>
              <w:adjustRightInd w:val="0"/>
              <w:snapToGrid w:val="0"/>
              <w:spacing w:line="600" w:lineRule="exact"/>
              <w:jc w:val="left"/>
              <w:rPr>
                <w:rFonts w:hint="default" w:ascii="宋体" w:hAnsi="宋体" w:eastAsia="宋体" w:cs="宋体"/>
                <w:sz w:val="24"/>
                <w:szCs w:val="24"/>
                <w:lang w:val="en-US" w:eastAsia="zh-CN"/>
              </w:rPr>
            </w:pPr>
            <w:r>
              <w:rPr>
                <w:rFonts w:hint="eastAsia" w:ascii="宋体" w:hAnsi="宋体" w:eastAsia="宋体" w:cs="宋体"/>
                <w:sz w:val="24"/>
                <w:szCs w:val="24"/>
              </w:rPr>
              <w:t>联系人：</w:t>
            </w:r>
            <w:r>
              <w:rPr>
                <w:rFonts w:hint="eastAsia" w:ascii="宋体" w:hAnsi="宋体" w:eastAsia="宋体" w:cs="宋体"/>
                <w:sz w:val="24"/>
                <w:szCs w:val="24"/>
                <w:lang w:val="en-US" w:eastAsia="zh-CN"/>
              </w:rPr>
              <w:t>林工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95" w:type="dxa"/>
          </w:tcPr>
          <w:p>
            <w:pPr>
              <w:keepNext w:val="0"/>
              <w:keepLines w:val="0"/>
              <w:pageBreakBefore w:val="0"/>
              <w:kinsoku/>
              <w:wordWrap/>
              <w:overflowPunct/>
              <w:topLinePunct w:val="0"/>
              <w:autoSpaceDE/>
              <w:autoSpaceDN/>
              <w:bidi w:val="0"/>
              <w:adjustRightInd w:val="0"/>
              <w:snapToGrid w:val="0"/>
              <w:spacing w:line="600" w:lineRule="exact"/>
              <w:jc w:val="left"/>
              <w:rPr>
                <w:rFonts w:hint="default" w:ascii="宋体" w:hAnsi="宋体" w:eastAsia="宋体" w:cs="宋体"/>
                <w:sz w:val="24"/>
                <w:szCs w:val="24"/>
                <w:lang w:val="en-US" w:eastAsia="zh-CN"/>
              </w:rPr>
            </w:pPr>
            <w:r>
              <w:rPr>
                <w:rFonts w:hint="eastAsia" w:ascii="宋体" w:hAnsi="宋体" w:eastAsia="宋体" w:cs="宋体"/>
                <w:sz w:val="24"/>
                <w:szCs w:val="24"/>
              </w:rPr>
              <w:t>电  话：</w:t>
            </w:r>
            <w:r>
              <w:rPr>
                <w:rFonts w:hint="eastAsia" w:ascii="宋体" w:hAnsi="宋体" w:eastAsia="宋体" w:cs="宋体"/>
                <w:sz w:val="24"/>
                <w:szCs w:val="24"/>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95" w:type="dxa"/>
          </w:tcPr>
          <w:p>
            <w:pPr>
              <w:keepNext w:val="0"/>
              <w:keepLines w:val="0"/>
              <w:pageBreakBefore w:val="0"/>
              <w:kinsoku/>
              <w:wordWrap/>
              <w:overflowPunct/>
              <w:topLinePunct w:val="0"/>
              <w:autoSpaceDE/>
              <w:autoSpaceDN/>
              <w:bidi w:val="0"/>
              <w:adjustRightInd w:val="0"/>
              <w:snapToGrid w:val="0"/>
              <w:spacing w:line="600" w:lineRule="exact"/>
              <w:ind w:firstLine="1920" w:firstLineChars="8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2022</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11</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29</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tc>
      </w:tr>
    </w:tbl>
    <w:p>
      <w:pPr>
        <w:rPr>
          <w:rFonts w:hint="eastAsia" w:asciiTheme="minorEastAsia" w:hAnsiTheme="minorEastAsia"/>
          <w:sz w:val="24"/>
          <w:szCs w:val="24"/>
        </w:rPr>
      </w:pPr>
      <w:r>
        <w:rPr>
          <w:rFonts w:hint="eastAsia" w:asciiTheme="minorEastAsia" w:hAnsiTheme="minorEastAsia"/>
          <w:sz w:val="24"/>
          <w:szCs w:val="24"/>
        </w:rPr>
        <w:br w:type="page"/>
      </w:r>
    </w:p>
    <w:p>
      <w:pPr>
        <w:pStyle w:val="25"/>
        <w:ind w:left="0" w:leftChars="0" w:firstLine="0" w:firstLineChars="0"/>
        <w:rPr>
          <w:rFonts w:hint="eastAsia" w:eastAsia="等线"/>
          <w:lang w:val="en-US" w:eastAsia="zh-CN"/>
        </w:rPr>
      </w:pPr>
      <w:r>
        <w:rPr>
          <w:rFonts w:hint="eastAsia" w:asciiTheme="minorEastAsia" w:hAnsiTheme="minorEastAsia"/>
          <w:sz w:val="24"/>
          <w:szCs w:val="24"/>
        </w:rPr>
        <w:t>适用于纸质评审的采购项目</w:t>
      </w: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4"/>
      </w:pPr>
      <w:r>
        <mc:AlternateContent>
          <mc:Choice Requires="wps">
            <w:drawing>
              <wp:anchor distT="0" distB="0" distL="114300" distR="114300" simplePos="0" relativeHeight="251668480" behindDoc="0" locked="0" layoutInCell="1" allowOverlap="1">
                <wp:simplePos x="0" y="0"/>
                <wp:positionH relativeFrom="column">
                  <wp:posOffset>2597785</wp:posOffset>
                </wp:positionH>
                <wp:positionV relativeFrom="paragraph">
                  <wp:posOffset>812165</wp:posOffset>
                </wp:positionV>
                <wp:extent cx="958850" cy="0"/>
                <wp:effectExtent l="0" t="0" r="0" b="0"/>
                <wp:wrapNone/>
                <wp:docPr id="28"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204.55pt;margin-top:63.95pt;height:0pt;width:75.5pt;z-index:251668480;mso-width-relative:page;mso-height-relative:page;" filled="f" stroked="t" coordsize="21600,21600" o:gfxdata="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hjqmtcAAAALAQAADwAAAAAAAAABACAAAAAiAAAAZHJzL2Rvd25yZXYueG1sUEsBAhQA&#10;FAAAAAgAh07iQKhRmP3zAQAA5AMAAA4AAAAAAAAAAQAgAAAAJgEAAGRycy9lMm9Eb2MueG1sUEsF&#10;BgAAAAAGAAYAWQEAAIs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2605405</wp:posOffset>
                </wp:positionH>
                <wp:positionV relativeFrom="paragraph">
                  <wp:posOffset>174625</wp:posOffset>
                </wp:positionV>
                <wp:extent cx="958850" cy="0"/>
                <wp:effectExtent l="0" t="0" r="0" b="0"/>
                <wp:wrapNone/>
                <wp:docPr id="29"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205.15pt;margin-top:13.75pt;height:0pt;width:75.5pt;z-index:251667456;mso-width-relative:page;mso-height-relative:page;" filled="f" stroked="t" coordsize="21600,21600" o:gfxdata="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0wx0tYAAAAJAQAADwAAAAAAAAABACAAAAAiAAAAZHJzL2Rvd25yZXYueG1sUEsBAhQA&#10;FAAAAAgAh07iQNfU5n30AQAA5AMAAA4AAAAAAAAAAQAgAAAAJQEAAGRycy9lMm9Eb2MueG1sUEsF&#10;BgAAAAAGAAYAWQEAAIsFAAAAAA==&#10;">
                <v:fill on="f" focussize="0,0"/>
                <v:stroke color="#000000" joinstyle="round"/>
                <v:imagedata o:title=""/>
                <o:lock v:ext="edit" aspectratio="f"/>
              </v:shape>
            </w:pict>
          </mc:Fallback>
        </mc:AlternateContent>
      </w:r>
      <w:r>
        <w:rPr>
          <w:rFonts w:hint="eastAsia"/>
        </w:rPr>
        <w:t>第</w:t>
      </w:r>
      <w:r>
        <w:rPr>
          <w:rFonts w:hint="eastAsia"/>
          <w:lang w:val="en-US" w:eastAsia="zh-CN"/>
        </w:rPr>
        <w:t>二</w:t>
      </w:r>
      <w:r>
        <w:rPr>
          <w:rFonts w:hint="eastAsia"/>
        </w:rPr>
        <w:t>章</w:t>
      </w:r>
    </w:p>
    <w:p>
      <w:pPr>
        <w:pStyle w:val="45"/>
      </w:pPr>
    </w:p>
    <w:p>
      <w:pPr>
        <w:pStyle w:val="5"/>
        <w:rPr>
          <w:rFonts w:hint="default" w:eastAsia="方正小标宋简体"/>
          <w:lang w:val="en-US" w:eastAsia="zh-CN"/>
        </w:rPr>
      </w:pPr>
      <w:r>
        <w:rPr>
          <w:rFonts w:hint="eastAsia"/>
        </w:rPr>
        <w:t>供应商须知</w:t>
      </w: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r>
        <w:br w:type="page"/>
      </w:r>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lang w:val="en-US" w:eastAsia="zh-CN"/>
        </w:rPr>
        <w:t>1.</w:t>
      </w:r>
      <w:r>
        <w:rPr>
          <w:rFonts w:hint="eastAsia" w:ascii="宋体" w:hAnsi="宋体" w:eastAsia="宋体" w:cs="宋体"/>
          <w:b/>
          <w:sz w:val="32"/>
          <w:szCs w:val="32"/>
        </w:rPr>
        <w:t>对供应商的资格要求.</w:t>
      </w:r>
    </w:p>
    <w:p>
      <w:pPr>
        <w:pStyle w:val="25"/>
        <w:keepNext w:val="0"/>
        <w:keepLines w:val="0"/>
        <w:pageBreakBefore w:val="0"/>
        <w:widowControl w:val="0"/>
        <w:numPr>
          <w:ilvl w:val="255"/>
          <w:numId w:val="0"/>
        </w:numPr>
        <w:kinsoku/>
        <w:wordWrap/>
        <w:overflowPunct/>
        <w:topLinePunct w:val="0"/>
        <w:autoSpaceDE/>
        <w:autoSpaceDN/>
        <w:bidi w:val="0"/>
        <w:adjustRightInd w:val="0"/>
        <w:snapToGrid w:val="0"/>
        <w:spacing w:line="600" w:lineRule="exact"/>
        <w:rPr>
          <w:rFonts w:hint="eastAsia" w:ascii="宋体" w:hAnsi="宋体" w:eastAsia="宋体" w:cs="宋体"/>
          <w:sz w:val="28"/>
          <w:szCs w:val="28"/>
        </w:rPr>
      </w:pPr>
      <w:r>
        <w:rPr>
          <w:rFonts w:hint="eastAsia" w:ascii="宋体" w:hAnsi="宋体" w:eastAsia="宋体" w:cs="宋体"/>
          <w:sz w:val="28"/>
          <w:szCs w:val="28"/>
        </w:rPr>
        <w:t>详见第一章采购公告3.供应商资格要求</w:t>
      </w:r>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rPr>
        <w:t>2.本次交易一般规则.表1.1</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024"/>
        <w:gridCol w:w="1381"/>
        <w:gridCol w:w="6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507"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阶段</w:t>
            </w: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条款</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项目</w:t>
            </w:r>
          </w:p>
        </w:tc>
        <w:tc>
          <w:tcPr>
            <w:tcW w:w="328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07" w:type="pct"/>
            <w:vMerge w:val="restar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准备</w:t>
            </w:r>
          </w:p>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及其</w:t>
            </w:r>
          </w:p>
          <w:p>
            <w:pPr>
              <w:jc w:val="center"/>
              <w:rPr>
                <w:rFonts w:hint="eastAsia" w:ascii="宋体" w:hAnsi="宋体" w:eastAsia="宋体" w:cs="宋体"/>
                <w:sz w:val="24"/>
                <w:szCs w:val="24"/>
              </w:rPr>
            </w:pPr>
            <w:r>
              <w:rPr>
                <w:rFonts w:hint="eastAsia" w:ascii="宋体" w:hAnsi="宋体" w:eastAsia="宋体" w:cs="宋体"/>
                <w:sz w:val="24"/>
                <w:szCs w:val="24"/>
              </w:rPr>
              <w:t>响应</w:t>
            </w: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2.1</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采购文件组成</w:t>
            </w:r>
          </w:p>
        </w:tc>
        <w:tc>
          <w:tcPr>
            <w:tcW w:w="3284" w:type="pct"/>
            <w:vAlign w:val="center"/>
          </w:tcPr>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（1）采购公告</w:t>
            </w:r>
          </w:p>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（2）供应商须知</w:t>
            </w:r>
          </w:p>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（3）采购方式</w:t>
            </w:r>
          </w:p>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（4）评审办法</w:t>
            </w:r>
          </w:p>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（5）采购需求</w:t>
            </w:r>
          </w:p>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（6）合同草案</w:t>
            </w:r>
          </w:p>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（7）响应文件</w:t>
            </w:r>
          </w:p>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（8）在采购过程中由采购单位发出的修正和补充文件等（如有）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507" w:type="pct"/>
            <w:vMerge w:val="continue"/>
            <w:vAlign w:val="center"/>
          </w:tcPr>
          <w:p>
            <w:pPr>
              <w:jc w:val="center"/>
              <w:rPr>
                <w:rFonts w:hint="eastAsia" w:ascii="宋体" w:hAnsi="宋体" w:eastAsia="宋体" w:cs="宋体"/>
                <w:sz w:val="24"/>
                <w:szCs w:val="24"/>
              </w:rPr>
            </w:pP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2.2</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采购文件的澄清和修改</w:t>
            </w:r>
          </w:p>
        </w:tc>
        <w:tc>
          <w:tcPr>
            <w:tcW w:w="3284"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1.2.1供应商对采购文件有疑问的，应当在提交响应文件截止之日</w:t>
            </w:r>
            <w:r>
              <w:rPr>
                <w:rFonts w:hint="eastAsia" w:ascii="宋体" w:hAnsi="宋体" w:eastAsia="宋体" w:cs="宋体"/>
                <w:sz w:val="24"/>
                <w:szCs w:val="24"/>
                <w:u w:val="single"/>
              </w:rPr>
              <w:t>2</w:t>
            </w:r>
            <w:r>
              <w:rPr>
                <w:rFonts w:hint="eastAsia" w:ascii="宋体" w:hAnsi="宋体" w:eastAsia="宋体" w:cs="宋体"/>
                <w:sz w:val="24"/>
                <w:szCs w:val="24"/>
              </w:rPr>
              <w:t>个工作日前，以书面形式提出。</w:t>
            </w:r>
          </w:p>
          <w:p>
            <w:pPr>
              <w:adjustRightInd w:val="0"/>
              <w:snapToGrid w:val="0"/>
              <w:rPr>
                <w:rFonts w:hint="eastAsia" w:ascii="宋体" w:hAnsi="宋体" w:eastAsia="宋体" w:cs="宋体"/>
                <w:sz w:val="24"/>
                <w:szCs w:val="24"/>
              </w:rPr>
            </w:pPr>
            <w:r>
              <w:rPr>
                <w:rFonts w:hint="eastAsia" w:ascii="宋体" w:hAnsi="宋体" w:eastAsia="宋体" w:cs="宋体"/>
                <w:sz w:val="24"/>
                <w:szCs w:val="24"/>
              </w:rPr>
              <w:t>1.2.2采购人可根据供应商的要求或主动对采购文件进行澄清和修改。澄清或修改的内容以补充文件形式发布，采购人可视具体情况在补充文件中通知供应商推迟递交响应文件的截止时间。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7" w:type="pct"/>
            <w:vMerge w:val="continue"/>
            <w:vAlign w:val="center"/>
          </w:tcPr>
          <w:p>
            <w:pPr>
              <w:jc w:val="center"/>
              <w:rPr>
                <w:rFonts w:hint="eastAsia" w:ascii="宋体" w:hAnsi="宋体" w:eastAsia="宋体" w:cs="宋体"/>
                <w:sz w:val="24"/>
                <w:szCs w:val="24"/>
              </w:rPr>
            </w:pP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2.3</w:t>
            </w:r>
          </w:p>
          <w:p>
            <w:pPr>
              <w:adjustRightInd w:val="0"/>
              <w:snapToGrid w:val="0"/>
              <w:jc w:val="center"/>
              <w:rPr>
                <w:rFonts w:hint="eastAsia" w:ascii="宋体" w:hAnsi="宋体" w:eastAsia="宋体" w:cs="宋体"/>
                <w:sz w:val="24"/>
                <w:szCs w:val="24"/>
              </w:rPr>
            </w:pPr>
          </w:p>
        </w:tc>
        <w:tc>
          <w:tcPr>
            <w:tcW w:w="693" w:type="pct"/>
            <w:vAlign w:val="center"/>
          </w:tcPr>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踏勘现场</w:t>
            </w:r>
          </w:p>
        </w:tc>
        <w:tc>
          <w:tcPr>
            <w:tcW w:w="3284"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详见采购公告5.踏勘现场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7" w:type="pct"/>
            <w:vMerge w:val="continue"/>
            <w:vAlign w:val="center"/>
          </w:tcPr>
          <w:p>
            <w:pPr>
              <w:jc w:val="center"/>
              <w:rPr>
                <w:rFonts w:hint="eastAsia" w:ascii="宋体" w:hAnsi="宋体" w:eastAsia="宋体" w:cs="宋体"/>
                <w:b/>
                <w:bCs/>
                <w:sz w:val="24"/>
                <w:szCs w:val="24"/>
              </w:rPr>
            </w:pP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2.4</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分包</w:t>
            </w:r>
          </w:p>
        </w:tc>
        <w:tc>
          <w:tcPr>
            <w:tcW w:w="3284" w:type="pct"/>
            <w:vAlign w:val="center"/>
          </w:tcPr>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本项目不允许分包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07" w:type="pct"/>
            <w:vMerge w:val="continue"/>
            <w:vAlign w:val="center"/>
          </w:tcPr>
          <w:p>
            <w:pPr>
              <w:jc w:val="center"/>
              <w:rPr>
                <w:rFonts w:hint="eastAsia" w:ascii="宋体" w:hAnsi="宋体" w:eastAsia="宋体" w:cs="宋体"/>
                <w:sz w:val="24"/>
                <w:szCs w:val="24"/>
              </w:rPr>
            </w:pP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2.5</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响应截止时间</w:t>
            </w:r>
          </w:p>
        </w:tc>
        <w:tc>
          <w:tcPr>
            <w:tcW w:w="3284" w:type="pct"/>
            <w:vAlign w:val="center"/>
          </w:tcPr>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详见采购公告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507" w:type="pct"/>
            <w:vMerge w:val="restar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准备</w:t>
            </w:r>
          </w:p>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及其</w:t>
            </w:r>
          </w:p>
          <w:p>
            <w:pPr>
              <w:jc w:val="center"/>
              <w:rPr>
                <w:rFonts w:hint="eastAsia" w:ascii="宋体" w:hAnsi="宋体" w:eastAsia="宋体" w:cs="宋体"/>
                <w:sz w:val="24"/>
                <w:szCs w:val="24"/>
              </w:rPr>
            </w:pPr>
            <w:r>
              <w:rPr>
                <w:rFonts w:hint="eastAsia" w:ascii="宋体" w:hAnsi="宋体" w:eastAsia="宋体" w:cs="宋体"/>
                <w:sz w:val="24"/>
                <w:szCs w:val="24"/>
              </w:rPr>
              <w:t>响应</w:t>
            </w: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2.6</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最高限价及低价说明</w:t>
            </w:r>
          </w:p>
        </w:tc>
        <w:tc>
          <w:tcPr>
            <w:tcW w:w="3284" w:type="pct"/>
            <w:vAlign w:val="center"/>
          </w:tcPr>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详见采购公告；</w:t>
            </w:r>
            <w:r>
              <w:rPr>
                <w:rFonts w:hint="eastAsia" w:ascii="宋体" w:hAnsi="宋体" w:eastAsia="宋体" w:cs="宋体"/>
                <w:sz w:val="24"/>
                <w:szCs w:val="24"/>
                <w:highlight w:val="none"/>
              </w:rPr>
              <w:t>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507" w:type="pct"/>
            <w:vMerge w:val="continue"/>
            <w:vAlign w:val="center"/>
          </w:tcPr>
          <w:p>
            <w:pPr>
              <w:jc w:val="center"/>
              <w:rPr>
                <w:rFonts w:hint="eastAsia" w:ascii="宋体" w:hAnsi="宋体" w:eastAsia="宋体" w:cs="宋体"/>
                <w:sz w:val="24"/>
                <w:szCs w:val="24"/>
              </w:rPr>
            </w:pP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2.7</w:t>
            </w:r>
          </w:p>
          <w:p>
            <w:pPr>
              <w:adjustRightInd w:val="0"/>
              <w:snapToGrid w:val="0"/>
              <w:jc w:val="center"/>
              <w:rPr>
                <w:rFonts w:hint="eastAsia" w:ascii="宋体" w:hAnsi="宋体" w:eastAsia="宋体" w:cs="宋体"/>
                <w:sz w:val="24"/>
                <w:szCs w:val="24"/>
              </w:rPr>
            </w:pP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响应文件有效期</w:t>
            </w:r>
          </w:p>
        </w:tc>
        <w:tc>
          <w:tcPr>
            <w:tcW w:w="3284" w:type="pct"/>
            <w:vAlign w:val="center"/>
          </w:tcPr>
          <w:p>
            <w:pPr>
              <w:adjustRightInd w:val="0"/>
              <w:snapToGrid w:val="0"/>
              <w:ind w:firstLine="480" w:firstLineChars="200"/>
              <w:rPr>
                <w:rFonts w:hint="eastAsia" w:ascii="宋体" w:hAnsi="宋体" w:eastAsia="宋体" w:cs="宋体"/>
                <w:sz w:val="24"/>
                <w:szCs w:val="24"/>
                <w:u w:val="single"/>
              </w:rPr>
            </w:pPr>
            <w:r>
              <w:rPr>
                <w:rFonts w:hint="eastAsia" w:ascii="宋体" w:hAnsi="宋体" w:eastAsia="宋体" w:cs="宋体"/>
                <w:sz w:val="24"/>
                <w:szCs w:val="24"/>
                <w:u w:val="single"/>
              </w:rPr>
              <w:t>90个</w:t>
            </w:r>
            <w:r>
              <w:rPr>
                <w:rFonts w:hint="eastAsia" w:ascii="宋体" w:hAnsi="宋体" w:eastAsia="宋体" w:cs="宋体"/>
                <w:sz w:val="24"/>
                <w:szCs w:val="24"/>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07" w:type="pct"/>
            <w:vMerge w:val="restar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准备</w:t>
            </w:r>
          </w:p>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及其</w:t>
            </w:r>
          </w:p>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响应</w:t>
            </w: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2.8</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响应文件份数</w:t>
            </w:r>
          </w:p>
        </w:tc>
        <w:tc>
          <w:tcPr>
            <w:tcW w:w="3284"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 xml:space="preserve">纸质文件正本1份，副本 </w:t>
            </w:r>
            <w:r>
              <w:rPr>
                <w:rFonts w:hint="eastAsia" w:ascii="宋体" w:hAnsi="宋体" w:eastAsia="宋体" w:cs="宋体"/>
                <w:sz w:val="24"/>
                <w:szCs w:val="24"/>
                <w:u w:val="single"/>
              </w:rPr>
              <w:t>1</w:t>
            </w:r>
            <w:r>
              <w:rPr>
                <w:rFonts w:hint="eastAsia" w:ascii="宋体" w:hAnsi="宋体" w:eastAsia="宋体" w:cs="宋体"/>
                <w:sz w:val="24"/>
                <w:szCs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507" w:type="pct"/>
            <w:vMerge w:val="continue"/>
            <w:vAlign w:val="center"/>
          </w:tcPr>
          <w:p>
            <w:pPr>
              <w:adjustRightInd w:val="0"/>
              <w:snapToGrid w:val="0"/>
              <w:jc w:val="center"/>
              <w:rPr>
                <w:rFonts w:hint="eastAsia" w:ascii="宋体" w:hAnsi="宋体" w:eastAsia="宋体" w:cs="宋体"/>
                <w:sz w:val="24"/>
                <w:szCs w:val="24"/>
              </w:rPr>
            </w:pP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2.9</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响应文件的密封和标记</w:t>
            </w:r>
          </w:p>
        </w:tc>
        <w:tc>
          <w:tcPr>
            <w:tcW w:w="3284" w:type="pct"/>
            <w:vAlign w:val="center"/>
          </w:tcPr>
          <w:p>
            <w:pPr>
              <w:adjustRightInd w:val="0"/>
              <w:snapToGrid w:val="0"/>
              <w:ind w:firstLine="465"/>
              <w:rPr>
                <w:rFonts w:hint="eastAsia" w:ascii="宋体" w:hAnsi="宋体" w:eastAsia="宋体" w:cs="宋体"/>
                <w:sz w:val="24"/>
                <w:szCs w:val="24"/>
              </w:rPr>
            </w:pPr>
            <w:r>
              <w:rPr>
                <w:rFonts w:hint="eastAsia" w:ascii="宋体" w:hAnsi="宋体" w:eastAsia="宋体" w:cs="宋体"/>
                <w:sz w:val="24"/>
                <w:szCs w:val="24"/>
              </w:rPr>
              <w:t>要求密封，响应文件应在密封处加盖公章，标注正本和副本，封皮应注明：</w:t>
            </w:r>
          </w:p>
          <w:p>
            <w:pPr>
              <w:adjustRightInd w:val="0"/>
              <w:snapToGrid w:val="0"/>
              <w:ind w:firstLine="465"/>
              <w:rPr>
                <w:rFonts w:hint="eastAsia" w:ascii="宋体" w:hAnsi="宋体" w:eastAsia="宋体" w:cs="宋体"/>
                <w:sz w:val="24"/>
                <w:szCs w:val="24"/>
              </w:rPr>
            </w:pPr>
            <w:r>
              <w:rPr>
                <w:rFonts w:hint="eastAsia" w:ascii="宋体" w:hAnsi="宋体" w:eastAsia="宋体" w:cs="宋体"/>
                <w:sz w:val="24"/>
                <w:szCs w:val="24"/>
              </w:rPr>
              <w:t>项目名称、供应商名称、供应商地址、联系人及其联系方式。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507" w:type="pct"/>
            <w:vMerge w:val="continue"/>
            <w:vAlign w:val="center"/>
          </w:tcPr>
          <w:p>
            <w:pPr>
              <w:adjustRightInd w:val="0"/>
              <w:snapToGrid w:val="0"/>
              <w:jc w:val="center"/>
              <w:rPr>
                <w:rFonts w:hint="eastAsia" w:ascii="宋体" w:hAnsi="宋体" w:eastAsia="宋体" w:cs="宋体"/>
                <w:sz w:val="24"/>
                <w:szCs w:val="24"/>
              </w:rPr>
            </w:pP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2.10</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响应文件提交</w:t>
            </w:r>
          </w:p>
        </w:tc>
        <w:tc>
          <w:tcPr>
            <w:tcW w:w="3284" w:type="pct"/>
            <w:vAlign w:val="center"/>
          </w:tcPr>
          <w:p>
            <w:pPr>
              <w:adjustRightInd w:val="0"/>
              <w:snapToGrid w:val="0"/>
              <w:ind w:left="480" w:hanging="480" w:hangingChars="200"/>
              <w:rPr>
                <w:rFonts w:hint="eastAsia" w:ascii="宋体" w:hAnsi="宋体" w:eastAsia="宋体" w:cs="宋体"/>
                <w:sz w:val="24"/>
                <w:szCs w:val="24"/>
              </w:rPr>
            </w:pPr>
            <w:r>
              <w:rPr>
                <w:rFonts w:hint="eastAsia" w:ascii="宋体" w:hAnsi="宋体" w:eastAsia="宋体" w:cs="宋体"/>
                <w:sz w:val="24"/>
                <w:szCs w:val="24"/>
              </w:rPr>
              <w:t>见采购公告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507" w:type="pct"/>
            <w:vMerge w:val="restar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文件开启及评审</w:t>
            </w: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2.11</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响应文件开启会议</w:t>
            </w:r>
          </w:p>
        </w:tc>
        <w:tc>
          <w:tcPr>
            <w:tcW w:w="3284"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举行</w:t>
            </w:r>
          </w:p>
          <w:p>
            <w:pPr>
              <w:adjustRightInd w:val="0"/>
              <w:snapToGrid w:val="0"/>
              <w:ind w:firstLine="465"/>
              <w:rPr>
                <w:rFonts w:hint="eastAsia" w:ascii="宋体" w:hAnsi="宋体" w:eastAsia="宋体" w:cs="宋体"/>
                <w:sz w:val="24"/>
                <w:szCs w:val="24"/>
              </w:rPr>
            </w:pPr>
            <w:r>
              <w:rPr>
                <w:rFonts w:hint="eastAsia" w:ascii="宋体" w:hAnsi="宋体" w:eastAsia="宋体" w:cs="宋体"/>
                <w:sz w:val="24"/>
                <w:szCs w:val="24"/>
              </w:rPr>
              <w:t>会议时间：同响应截止时间</w:t>
            </w:r>
          </w:p>
          <w:p>
            <w:pPr>
              <w:adjustRightInd w:val="0"/>
              <w:snapToGrid w:val="0"/>
              <w:ind w:firstLine="465"/>
              <w:rPr>
                <w:rFonts w:hint="eastAsia" w:ascii="宋体" w:hAnsi="宋体" w:eastAsia="宋体" w:cs="宋体"/>
                <w:sz w:val="24"/>
                <w:szCs w:val="24"/>
              </w:rPr>
            </w:pPr>
            <w:r>
              <w:rPr>
                <w:rFonts w:hint="eastAsia" w:ascii="宋体" w:hAnsi="宋体" w:eastAsia="宋体" w:cs="宋体"/>
                <w:sz w:val="24"/>
                <w:szCs w:val="24"/>
              </w:rPr>
              <w:t>会议地点：采购公告中指定地点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507" w:type="pct"/>
            <w:vMerge w:val="continue"/>
            <w:vAlign w:val="center"/>
          </w:tcPr>
          <w:p>
            <w:pPr>
              <w:adjustRightInd w:val="0"/>
              <w:snapToGrid w:val="0"/>
              <w:jc w:val="center"/>
              <w:rPr>
                <w:rFonts w:hint="eastAsia" w:ascii="宋体" w:hAnsi="宋体" w:eastAsia="宋体" w:cs="宋体"/>
                <w:sz w:val="24"/>
                <w:szCs w:val="24"/>
              </w:rPr>
            </w:pP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2.12</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开启文件前的密封检查</w:t>
            </w:r>
          </w:p>
        </w:tc>
        <w:tc>
          <w:tcPr>
            <w:tcW w:w="3284" w:type="pct"/>
            <w:vAlign w:val="center"/>
          </w:tcPr>
          <w:p>
            <w:pPr>
              <w:adjustRightInd w:val="0"/>
              <w:snapToGrid w:val="0"/>
              <w:ind w:firstLine="465"/>
              <w:rPr>
                <w:rFonts w:hint="eastAsia" w:ascii="宋体" w:hAnsi="宋体" w:eastAsia="宋体" w:cs="宋体"/>
                <w:sz w:val="24"/>
                <w:szCs w:val="24"/>
              </w:rPr>
            </w:pPr>
            <w:r>
              <w:rPr>
                <w:rFonts w:hint="eastAsia" w:ascii="宋体" w:hAnsi="宋体" w:eastAsia="宋体" w:cs="宋体"/>
                <w:sz w:val="24"/>
                <w:szCs w:val="24"/>
              </w:rPr>
              <w:t>密封情况检查顺序：响应文件拆封前检查，不按照采购文件要求密封的响应文件，采购人将予以拒收。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507" w:type="pct"/>
            <w:vMerge w:val="continue"/>
            <w:vAlign w:val="center"/>
          </w:tcPr>
          <w:p>
            <w:pPr>
              <w:adjustRightInd w:val="0"/>
              <w:snapToGrid w:val="0"/>
              <w:jc w:val="center"/>
              <w:rPr>
                <w:rFonts w:hint="eastAsia" w:ascii="宋体" w:hAnsi="宋体" w:eastAsia="宋体" w:cs="宋体"/>
                <w:sz w:val="24"/>
                <w:szCs w:val="24"/>
              </w:rPr>
            </w:pP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2.13</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评审小组</w:t>
            </w:r>
          </w:p>
        </w:tc>
        <w:tc>
          <w:tcPr>
            <w:tcW w:w="3284"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评审小组构成：</w:t>
            </w:r>
            <w:r>
              <w:rPr>
                <w:rFonts w:hint="eastAsia" w:ascii="宋体" w:hAnsi="宋体" w:eastAsia="宋体" w:cs="宋体"/>
                <w:sz w:val="24"/>
                <w:szCs w:val="24"/>
                <w:u w:val="single"/>
              </w:rPr>
              <w:t>3</w:t>
            </w:r>
            <w:r>
              <w:rPr>
                <w:rFonts w:hint="eastAsia" w:ascii="宋体" w:hAnsi="宋体" w:eastAsia="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07" w:type="pct"/>
            <w:vMerge w:val="continue"/>
            <w:vAlign w:val="center"/>
          </w:tcPr>
          <w:p>
            <w:pPr>
              <w:adjustRightInd w:val="0"/>
              <w:snapToGrid w:val="0"/>
              <w:jc w:val="center"/>
              <w:rPr>
                <w:rFonts w:hint="eastAsia" w:ascii="宋体" w:hAnsi="宋体" w:eastAsia="宋体" w:cs="宋体"/>
                <w:sz w:val="24"/>
                <w:szCs w:val="24"/>
              </w:rPr>
            </w:pP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2.14</w:t>
            </w:r>
          </w:p>
        </w:tc>
        <w:tc>
          <w:tcPr>
            <w:tcW w:w="693" w:type="pct"/>
            <w:vAlign w:val="center"/>
          </w:tcPr>
          <w:p>
            <w:pPr>
              <w:adjustRightInd w:val="0"/>
              <w:snapToGrid w:val="0"/>
              <w:jc w:val="center"/>
              <w:rPr>
                <w:rFonts w:hint="eastAsia" w:ascii="宋体" w:hAnsi="宋体" w:eastAsia="宋体" w:cs="宋体"/>
                <w:sz w:val="24"/>
                <w:szCs w:val="24"/>
                <w:highlight w:val="cyan"/>
              </w:rPr>
            </w:pPr>
            <w:r>
              <w:rPr>
                <w:rFonts w:hint="eastAsia" w:ascii="宋体" w:hAnsi="宋体" w:eastAsia="宋体" w:cs="宋体"/>
                <w:sz w:val="24"/>
                <w:szCs w:val="24"/>
              </w:rPr>
              <w:t>评审办法</w:t>
            </w:r>
          </w:p>
        </w:tc>
        <w:tc>
          <w:tcPr>
            <w:tcW w:w="3284" w:type="pct"/>
            <w:vAlign w:val="center"/>
          </w:tcPr>
          <w:p>
            <w:pPr>
              <w:adjustRightInd w:val="0"/>
              <w:snapToGrid w:val="0"/>
              <w:rPr>
                <w:rFonts w:hint="eastAsia" w:ascii="宋体" w:hAnsi="宋体" w:eastAsia="宋体" w:cs="宋体"/>
                <w:sz w:val="24"/>
                <w:szCs w:val="24"/>
                <w:highlight w:val="cyan"/>
              </w:rPr>
            </w:pPr>
            <w:r>
              <w:rPr>
                <w:rFonts w:hint="eastAsia" w:ascii="宋体" w:hAnsi="宋体" w:eastAsia="宋体" w:cs="宋体"/>
                <w:sz w:val="24"/>
                <w:szCs w:val="24"/>
              </w:rPr>
              <w:t>见第四章评审办法有关条款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507" w:type="pct"/>
            <w:vMerge w:val="continue"/>
            <w:vAlign w:val="center"/>
          </w:tcPr>
          <w:p>
            <w:pPr>
              <w:adjustRightInd w:val="0"/>
              <w:snapToGrid w:val="0"/>
              <w:jc w:val="center"/>
              <w:rPr>
                <w:rFonts w:hint="eastAsia" w:ascii="宋体" w:hAnsi="宋体" w:eastAsia="宋体" w:cs="宋体"/>
                <w:sz w:val="24"/>
                <w:szCs w:val="24"/>
              </w:rPr>
            </w:pP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2.15</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成交候选人</w:t>
            </w:r>
          </w:p>
        </w:tc>
        <w:tc>
          <w:tcPr>
            <w:tcW w:w="3284"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在</w:t>
            </w:r>
            <w:r>
              <w:rPr>
                <w:rFonts w:hint="eastAsia" w:ascii="宋体" w:hAnsi="宋体" w:eastAsia="宋体" w:cs="宋体"/>
                <w:sz w:val="24"/>
                <w:szCs w:val="24"/>
                <w:u w:val="single"/>
              </w:rPr>
              <w:t>广州市净水有限公司门户网站</w:t>
            </w:r>
            <w:r>
              <w:rPr>
                <w:rFonts w:hint="eastAsia" w:ascii="宋体" w:hAnsi="宋体" w:eastAsia="宋体" w:cs="宋体"/>
                <w:sz w:val="24"/>
                <w:szCs w:val="24"/>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507" w:type="pct"/>
            <w:vMerge w:val="restar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确定成交人</w:t>
            </w: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2.16</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成交办法</w:t>
            </w:r>
          </w:p>
        </w:tc>
        <w:tc>
          <w:tcPr>
            <w:tcW w:w="3284"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507" w:type="pct"/>
            <w:vMerge w:val="continue"/>
            <w:vAlign w:val="center"/>
          </w:tcPr>
          <w:p>
            <w:pPr>
              <w:adjustRightInd w:val="0"/>
              <w:snapToGrid w:val="0"/>
              <w:jc w:val="center"/>
              <w:rPr>
                <w:rFonts w:hint="eastAsia" w:ascii="宋体" w:hAnsi="宋体" w:eastAsia="宋体" w:cs="宋体"/>
                <w:sz w:val="24"/>
                <w:szCs w:val="24"/>
              </w:rPr>
            </w:pP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2.17</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签订合同</w:t>
            </w:r>
          </w:p>
        </w:tc>
        <w:tc>
          <w:tcPr>
            <w:tcW w:w="3284"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507" w:type="pct"/>
            <w:vMerge w:val="continue"/>
            <w:vAlign w:val="center"/>
          </w:tcPr>
          <w:p>
            <w:pPr>
              <w:adjustRightInd w:val="0"/>
              <w:snapToGrid w:val="0"/>
              <w:jc w:val="center"/>
              <w:rPr>
                <w:rFonts w:hint="eastAsia" w:ascii="宋体" w:hAnsi="宋体" w:eastAsia="宋体" w:cs="宋体"/>
                <w:sz w:val="24"/>
                <w:szCs w:val="24"/>
              </w:rPr>
            </w:pP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2.18</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履约担保</w:t>
            </w:r>
          </w:p>
        </w:tc>
        <w:tc>
          <w:tcPr>
            <w:tcW w:w="3284" w:type="pct"/>
            <w:vAlign w:val="center"/>
          </w:tcPr>
          <w:p>
            <w:pPr>
              <w:adjustRightInd w:val="0"/>
              <w:snapToGrid w:val="0"/>
              <w:ind w:firstLine="480" w:firstLineChars="200"/>
              <w:rPr>
                <w:rFonts w:hint="eastAsia" w:ascii="宋体" w:hAnsi="宋体" w:eastAsia="宋体" w:cs="宋体"/>
                <w:sz w:val="24"/>
                <w:szCs w:val="24"/>
              </w:rPr>
            </w:pPr>
            <w:r>
              <w:rPr>
                <w:rFonts w:hint="eastAsia" w:ascii="宋体" w:hAnsi="宋体" w:eastAsia="宋体" w:cs="宋体"/>
                <w:sz w:val="24"/>
                <w:szCs w:val="24"/>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07"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其他</w:t>
            </w:r>
          </w:p>
        </w:tc>
        <w:tc>
          <w:tcPr>
            <w:tcW w:w="514"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2.19</w:t>
            </w:r>
          </w:p>
        </w:tc>
        <w:tc>
          <w:tcPr>
            <w:tcW w:w="693"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需要补充的其他内容</w:t>
            </w:r>
          </w:p>
        </w:tc>
        <w:tc>
          <w:tcPr>
            <w:tcW w:w="3284" w:type="pct"/>
            <w:vAlign w:val="center"/>
          </w:tcPr>
          <w:p>
            <w:pPr>
              <w:adjustRightInd w:val="0"/>
              <w:snapToGrid w:val="0"/>
              <w:rPr>
                <w:rFonts w:hint="eastAsia" w:ascii="宋体" w:hAnsi="宋体" w:eastAsia="宋体" w:cs="宋体"/>
                <w:sz w:val="24"/>
                <w:szCs w:val="24"/>
              </w:rPr>
            </w:pPr>
          </w:p>
        </w:tc>
      </w:tr>
    </w:tbl>
    <w:p>
      <w:pPr>
        <w:adjustRightInd w:val="0"/>
        <w:snapToGrid w:val="0"/>
        <w:spacing w:line="600" w:lineRule="exact"/>
        <w:jc w:val="left"/>
        <w:outlineLvl w:val="2"/>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3.若出现以下情况之一的，采购人将拒绝接收响应文件</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（1）逾期送达的、未送达指定地点的响应文件，采购人将予以拒收。</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（2）不按照采购文件要求密封的响应文件，采购人将予以拒收。</w:t>
      </w:r>
    </w:p>
    <w:p>
      <w:pPr>
        <w:adjustRightInd w:val="0"/>
        <w:snapToGrid w:val="0"/>
        <w:spacing w:line="600" w:lineRule="exact"/>
        <w:jc w:val="left"/>
        <w:outlineLvl w:val="2"/>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4.发生下列情况之一者，视为无效响应行为</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（1）响应文件未按规定签字、盖章的。</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（2）响应文件未按规定格式填写，或内容与采购文件严重背离的。</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（3）响应文件有两个以上报价的（采购文件允许提交备选方案的除外）。</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（4）质量标准不符合采购文件要求的。</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（5）服务期不符合采购文件要求的。</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（6）报价超过最高限价的。</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（7）供应商不符合国家或采购文件规定的资格条件。</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（8）响应文件没有对采购文件的实质性要求和条件作出响应。</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（9）其他不符合采购文件要求的情形。</w:t>
      </w:r>
    </w:p>
    <w:p>
      <w:pPr>
        <w:adjustRightInd w:val="0"/>
        <w:snapToGrid w:val="0"/>
        <w:spacing w:line="600" w:lineRule="exact"/>
        <w:jc w:val="left"/>
        <w:outlineLvl w:val="2"/>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5.响应保证金</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本项目无须递交响应保证金。</w:t>
      </w:r>
    </w:p>
    <w:p>
      <w:pPr>
        <w:adjustRightInd w:val="0"/>
        <w:snapToGrid w:val="0"/>
        <w:spacing w:line="600" w:lineRule="exact"/>
        <w:jc w:val="left"/>
        <w:outlineLvl w:val="2"/>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6.响应文件要求</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6.1响应文件包括下列内容</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1.响应函</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2.法定代表人证明或授权委托书</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3.资格审查资料</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4.拟投入本项目的项目负责人情况表</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5.报价表</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6.其他资料</w:t>
      </w:r>
    </w:p>
    <w:p>
      <w:pPr>
        <w:adjustRightInd w:val="0"/>
        <w:snapToGrid w:val="0"/>
        <w:spacing w:line="600" w:lineRule="exact"/>
        <w:jc w:val="left"/>
        <w:outlineLvl w:val="2"/>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7.异议</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7.1 供应商或其他利害关系人可以对采购公告、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（1）异议人名称、地址、邮政编码、联系人及联系电话；</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（2）具体、明确的异议事项、事实依据及与异议事项相关的请求。</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异议函应由异议人的法定代表人（单位负责人）或其授权的代理人签字并加盖单位章。</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7.2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7.3 异议人与采购人对异议事项无法达成一致的，异议人可向采购人的监管部门进行反映。</w:t>
      </w:r>
    </w:p>
    <w:p>
      <w:pPr>
        <w:adjustRightInd w:val="0"/>
        <w:snapToGrid w:val="0"/>
        <w:spacing w:line="600" w:lineRule="exact"/>
        <w:jc w:val="left"/>
        <w:outlineLvl w:val="2"/>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8.本章附件</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附件1：响应文件开启表</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附件2：问题澄清通知</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附件3：问题的澄清</w:t>
      </w:r>
    </w:p>
    <w:p>
      <w:pPr>
        <w:adjustRightInd w:val="0"/>
        <w:snapToGrid w:val="0"/>
        <w:spacing w:line="600" w:lineRule="exact"/>
        <w:ind w:firstLine="420" w:firstLineChars="150"/>
        <w:jc w:val="left"/>
        <w:rPr>
          <w:rFonts w:hint="eastAsia" w:ascii="宋体" w:hAnsi="宋体" w:eastAsia="宋体" w:cs="宋体"/>
          <w:sz w:val="28"/>
          <w:szCs w:val="28"/>
        </w:rPr>
      </w:pPr>
      <w:r>
        <w:rPr>
          <w:rFonts w:hint="eastAsia" w:ascii="宋体" w:hAnsi="宋体" w:eastAsia="宋体" w:cs="宋体"/>
          <w:sz w:val="28"/>
          <w:szCs w:val="28"/>
        </w:rPr>
        <w:t>附件4：成交通知书</w:t>
      </w:r>
    </w:p>
    <w:p>
      <w:pPr>
        <w:adjustRightInd w:val="0"/>
        <w:snapToGrid w:val="0"/>
        <w:spacing w:line="600" w:lineRule="exact"/>
        <w:jc w:val="left"/>
        <w:rPr>
          <w:rFonts w:asciiTheme="majorEastAsia" w:hAnsiTheme="majorEastAsia" w:eastAsiaTheme="majorEastAsia"/>
          <w:b/>
          <w:sz w:val="28"/>
          <w:szCs w:val="28"/>
        </w:rPr>
      </w:pPr>
    </w:p>
    <w:p>
      <w:pPr>
        <w:rPr>
          <w:rFonts w:asciiTheme="majorEastAsia" w:hAnsiTheme="majorEastAsia" w:eastAsiaTheme="majorEastAsia"/>
          <w:b/>
          <w:sz w:val="28"/>
          <w:szCs w:val="28"/>
        </w:rPr>
      </w:pPr>
      <w:r>
        <w:rPr>
          <w:rFonts w:asciiTheme="majorEastAsia" w:hAnsiTheme="majorEastAsia" w:eastAsiaTheme="majorEastAsia"/>
          <w:b/>
          <w:sz w:val="28"/>
          <w:szCs w:val="28"/>
        </w:rPr>
        <w:br w:type="page"/>
      </w:r>
    </w:p>
    <w:p>
      <w:pPr>
        <w:adjustRightInd w:val="0"/>
        <w:snapToGrid w:val="0"/>
        <w:spacing w:line="600" w:lineRule="exact"/>
        <w:jc w:val="left"/>
        <w:rPr>
          <w:rFonts w:asciiTheme="majorEastAsia" w:hAnsiTheme="majorEastAsia" w:eastAsiaTheme="majorEastAsia"/>
          <w:b/>
          <w:sz w:val="28"/>
          <w:szCs w:val="28"/>
        </w:rPr>
      </w:pPr>
      <w:r>
        <w:rPr>
          <w:rFonts w:asciiTheme="majorEastAsia" w:hAnsiTheme="majorEastAsia" w:eastAsiaTheme="majorEastAsia"/>
          <w:b/>
          <w:sz w:val="28"/>
          <w:szCs w:val="28"/>
        </w:rPr>
        <w:t>附件</w:t>
      </w:r>
      <w:r>
        <w:rPr>
          <w:rFonts w:hint="eastAsia" w:asciiTheme="majorEastAsia" w:hAnsiTheme="majorEastAsia" w:eastAsiaTheme="majorEastAsia"/>
          <w:b/>
          <w:sz w:val="28"/>
          <w:szCs w:val="28"/>
        </w:rPr>
        <w:t>1</w:t>
      </w:r>
    </w:p>
    <w:p>
      <w:pPr>
        <w:adjustRightInd w:val="0"/>
        <w:snapToGrid w:val="0"/>
        <w:spacing w:line="600" w:lineRule="exact"/>
        <w:jc w:val="center"/>
        <w:rPr>
          <w:rFonts w:ascii="方正小标宋简体" w:eastAsia="方正小标宋简体" w:hAnsiTheme="majorEastAsia"/>
          <w:sz w:val="32"/>
          <w:szCs w:val="32"/>
        </w:rPr>
      </w:pPr>
    </w:p>
    <w:p>
      <w:pPr>
        <w:adjustRightInd w:val="0"/>
        <w:snapToGrid w:val="0"/>
        <w:spacing w:line="600" w:lineRule="exact"/>
        <w:jc w:val="center"/>
        <w:rPr>
          <w:rFonts w:ascii="方正小标宋简体" w:eastAsia="方正小标宋简体" w:hAnsiTheme="majorEastAsia"/>
          <w:sz w:val="32"/>
          <w:szCs w:val="32"/>
        </w:rPr>
      </w:pPr>
      <w:r>
        <w:rPr>
          <w:rFonts w:hint="eastAsia" w:ascii="方正小标宋简体" w:eastAsia="方正小标宋简体" w:hAnsiTheme="majorEastAsia"/>
          <w:sz w:val="32"/>
          <w:szCs w:val="32"/>
        </w:rPr>
        <w:t>响应文件开启表</w:t>
      </w:r>
    </w:p>
    <w:p>
      <w:pPr>
        <w:pStyle w:val="45"/>
      </w:pPr>
    </w:p>
    <w:p>
      <w:pPr>
        <w:adjustRightInd w:val="0"/>
        <w:snapToGrid w:val="0"/>
        <w:spacing w:line="600" w:lineRule="exact"/>
        <w:ind w:firstLine="1856" w:firstLineChars="663"/>
        <w:jc w:val="left"/>
        <w:rPr>
          <w:rFonts w:hint="eastAsia" w:ascii="宋体" w:hAnsi="宋体" w:eastAsia="宋体" w:cs="宋体"/>
          <w:sz w:val="28"/>
          <w:szCs w:val="28"/>
        </w:rPr>
      </w:pPr>
      <w:r>
        <w:rPr>
          <w:rFonts w:hint="eastAsia" w:ascii="宋体" w:hAnsi="宋体" w:eastAsia="宋体" w:cs="宋体"/>
          <w:sz w:val="28"/>
          <w:szCs w:val="28"/>
        </w:rPr>
        <w:t>开启时间：</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r>
        <w:rPr>
          <w:rFonts w:hint="eastAsia" w:ascii="宋体" w:hAnsi="宋体" w:eastAsia="宋体" w:cs="宋体"/>
          <w:sz w:val="28"/>
          <w:szCs w:val="28"/>
          <w:u w:val="single"/>
        </w:rPr>
        <w:t xml:space="preserve">    </w:t>
      </w:r>
      <w:r>
        <w:rPr>
          <w:rFonts w:hint="eastAsia" w:ascii="宋体" w:hAnsi="宋体" w:eastAsia="宋体" w:cs="宋体"/>
          <w:sz w:val="28"/>
          <w:szCs w:val="28"/>
        </w:rPr>
        <w:t>时</w:t>
      </w:r>
      <w:r>
        <w:rPr>
          <w:rFonts w:hint="eastAsia" w:ascii="宋体" w:hAnsi="宋体" w:eastAsia="宋体" w:cs="宋体"/>
          <w:sz w:val="28"/>
          <w:szCs w:val="28"/>
          <w:u w:val="single"/>
        </w:rPr>
        <w:t xml:space="preserve">    </w:t>
      </w:r>
      <w:r>
        <w:rPr>
          <w:rFonts w:hint="eastAsia" w:ascii="宋体" w:hAnsi="宋体" w:eastAsia="宋体" w:cs="宋体"/>
          <w:sz w:val="28"/>
          <w:szCs w:val="28"/>
        </w:rPr>
        <w:t>分</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3091"/>
        <w:gridCol w:w="1363"/>
        <w:gridCol w:w="2218"/>
        <w:gridCol w:w="1869"/>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22" w:type="pct"/>
            <w:vMerge w:val="restar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序号</w:t>
            </w:r>
          </w:p>
        </w:tc>
        <w:tc>
          <w:tcPr>
            <w:tcW w:w="1551" w:type="pct"/>
            <w:vMerge w:val="restar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供应商</w:t>
            </w:r>
          </w:p>
        </w:tc>
        <w:tc>
          <w:tcPr>
            <w:tcW w:w="684" w:type="pct"/>
            <w:vMerge w:val="restar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密封情况</w:t>
            </w:r>
          </w:p>
        </w:tc>
        <w:tc>
          <w:tcPr>
            <w:tcW w:w="1113" w:type="pct"/>
            <w:vMerge w:val="restar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报价（元）</w:t>
            </w:r>
          </w:p>
        </w:tc>
        <w:tc>
          <w:tcPr>
            <w:tcW w:w="938" w:type="pct"/>
            <w:vMerge w:val="restar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供应商代表签名</w:t>
            </w:r>
          </w:p>
        </w:tc>
        <w:tc>
          <w:tcPr>
            <w:tcW w:w="389" w:type="pct"/>
            <w:vMerge w:val="restar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2" w:type="pct"/>
            <w:vMerge w:val="continue"/>
            <w:vAlign w:val="center"/>
          </w:tcPr>
          <w:p>
            <w:pPr>
              <w:adjustRightInd w:val="0"/>
              <w:snapToGrid w:val="0"/>
              <w:spacing w:line="600" w:lineRule="exact"/>
              <w:jc w:val="center"/>
              <w:rPr>
                <w:rFonts w:hint="eastAsia" w:ascii="宋体" w:hAnsi="宋体" w:eastAsia="宋体" w:cs="宋体"/>
                <w:sz w:val="24"/>
                <w:szCs w:val="24"/>
              </w:rPr>
            </w:pPr>
          </w:p>
        </w:tc>
        <w:tc>
          <w:tcPr>
            <w:tcW w:w="1551" w:type="pct"/>
            <w:vMerge w:val="continue"/>
            <w:vAlign w:val="center"/>
          </w:tcPr>
          <w:p>
            <w:pPr>
              <w:adjustRightInd w:val="0"/>
              <w:snapToGrid w:val="0"/>
              <w:spacing w:line="600" w:lineRule="exact"/>
              <w:jc w:val="center"/>
              <w:rPr>
                <w:rFonts w:hint="eastAsia" w:ascii="宋体" w:hAnsi="宋体" w:eastAsia="宋体" w:cs="宋体"/>
                <w:sz w:val="24"/>
                <w:szCs w:val="24"/>
              </w:rPr>
            </w:pPr>
          </w:p>
        </w:tc>
        <w:tc>
          <w:tcPr>
            <w:tcW w:w="684" w:type="pct"/>
            <w:vMerge w:val="continue"/>
            <w:vAlign w:val="center"/>
          </w:tcPr>
          <w:p>
            <w:pPr>
              <w:adjustRightInd w:val="0"/>
              <w:snapToGrid w:val="0"/>
              <w:spacing w:line="600" w:lineRule="exact"/>
              <w:jc w:val="center"/>
              <w:rPr>
                <w:rFonts w:hint="eastAsia" w:ascii="宋体" w:hAnsi="宋体" w:eastAsia="宋体" w:cs="宋体"/>
                <w:sz w:val="24"/>
                <w:szCs w:val="24"/>
              </w:rPr>
            </w:pPr>
          </w:p>
        </w:tc>
        <w:tc>
          <w:tcPr>
            <w:tcW w:w="1113" w:type="pct"/>
            <w:vMerge w:val="continue"/>
            <w:vAlign w:val="center"/>
          </w:tcPr>
          <w:p>
            <w:pPr>
              <w:adjustRightInd w:val="0"/>
              <w:snapToGrid w:val="0"/>
              <w:spacing w:line="600" w:lineRule="exact"/>
              <w:jc w:val="center"/>
              <w:rPr>
                <w:rFonts w:hint="eastAsia" w:ascii="宋体" w:hAnsi="宋体" w:eastAsia="宋体" w:cs="宋体"/>
                <w:sz w:val="24"/>
                <w:szCs w:val="24"/>
              </w:rPr>
            </w:pPr>
          </w:p>
        </w:tc>
        <w:tc>
          <w:tcPr>
            <w:tcW w:w="938" w:type="pct"/>
            <w:vMerge w:val="continue"/>
            <w:vAlign w:val="center"/>
          </w:tcPr>
          <w:p>
            <w:pPr>
              <w:adjustRightInd w:val="0"/>
              <w:snapToGrid w:val="0"/>
              <w:spacing w:line="600" w:lineRule="exact"/>
              <w:jc w:val="center"/>
              <w:rPr>
                <w:rFonts w:hint="eastAsia" w:ascii="宋体" w:hAnsi="宋体" w:eastAsia="宋体" w:cs="宋体"/>
                <w:sz w:val="24"/>
                <w:szCs w:val="24"/>
              </w:rPr>
            </w:pPr>
          </w:p>
        </w:tc>
        <w:tc>
          <w:tcPr>
            <w:tcW w:w="389" w:type="pct"/>
            <w:vMerge w:val="continue"/>
            <w:vAlign w:val="center"/>
          </w:tcPr>
          <w:p>
            <w:pPr>
              <w:adjustRightInd w:val="0"/>
              <w:snapToGrid w:val="0"/>
              <w:spacing w:line="60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2" w:type="pct"/>
            <w:vAlign w:val="center"/>
          </w:tcPr>
          <w:p>
            <w:pPr>
              <w:adjustRightInd w:val="0"/>
              <w:snapToGrid w:val="0"/>
              <w:spacing w:line="600" w:lineRule="exact"/>
              <w:jc w:val="center"/>
              <w:rPr>
                <w:rFonts w:hint="eastAsia" w:ascii="宋体" w:hAnsi="宋体" w:eastAsia="宋体" w:cs="宋体"/>
                <w:sz w:val="24"/>
                <w:szCs w:val="24"/>
              </w:rPr>
            </w:pPr>
          </w:p>
        </w:tc>
        <w:tc>
          <w:tcPr>
            <w:tcW w:w="1551" w:type="pct"/>
            <w:vAlign w:val="center"/>
          </w:tcPr>
          <w:p>
            <w:pPr>
              <w:adjustRightInd w:val="0"/>
              <w:snapToGrid w:val="0"/>
              <w:spacing w:line="600" w:lineRule="exact"/>
              <w:jc w:val="center"/>
              <w:rPr>
                <w:rFonts w:hint="eastAsia" w:ascii="宋体" w:hAnsi="宋体" w:eastAsia="宋体" w:cs="宋体"/>
                <w:sz w:val="24"/>
                <w:szCs w:val="24"/>
              </w:rPr>
            </w:pPr>
          </w:p>
        </w:tc>
        <w:tc>
          <w:tcPr>
            <w:tcW w:w="684" w:type="pct"/>
            <w:vAlign w:val="center"/>
          </w:tcPr>
          <w:p>
            <w:pPr>
              <w:adjustRightInd w:val="0"/>
              <w:snapToGrid w:val="0"/>
              <w:spacing w:line="600" w:lineRule="exact"/>
              <w:jc w:val="center"/>
              <w:rPr>
                <w:rFonts w:hint="eastAsia" w:ascii="宋体" w:hAnsi="宋体" w:eastAsia="宋体" w:cs="宋体"/>
                <w:sz w:val="24"/>
                <w:szCs w:val="24"/>
              </w:rPr>
            </w:pPr>
          </w:p>
        </w:tc>
        <w:tc>
          <w:tcPr>
            <w:tcW w:w="1113" w:type="pct"/>
            <w:vAlign w:val="center"/>
          </w:tcPr>
          <w:p>
            <w:pPr>
              <w:adjustRightInd w:val="0"/>
              <w:snapToGrid w:val="0"/>
              <w:spacing w:line="600" w:lineRule="exact"/>
              <w:jc w:val="center"/>
              <w:rPr>
                <w:rFonts w:hint="eastAsia" w:ascii="宋体" w:hAnsi="宋体" w:eastAsia="宋体" w:cs="宋体"/>
                <w:sz w:val="24"/>
                <w:szCs w:val="24"/>
              </w:rPr>
            </w:pPr>
          </w:p>
        </w:tc>
        <w:tc>
          <w:tcPr>
            <w:tcW w:w="938" w:type="pct"/>
            <w:vAlign w:val="center"/>
          </w:tcPr>
          <w:p>
            <w:pPr>
              <w:adjustRightInd w:val="0"/>
              <w:snapToGrid w:val="0"/>
              <w:spacing w:line="600" w:lineRule="exact"/>
              <w:rPr>
                <w:rFonts w:hint="eastAsia" w:ascii="宋体" w:hAnsi="宋体" w:eastAsia="宋体" w:cs="宋体"/>
                <w:sz w:val="24"/>
                <w:szCs w:val="24"/>
              </w:rPr>
            </w:pPr>
          </w:p>
        </w:tc>
        <w:tc>
          <w:tcPr>
            <w:tcW w:w="389" w:type="pct"/>
            <w:vAlign w:val="center"/>
          </w:tcPr>
          <w:p>
            <w:pPr>
              <w:adjustRightInd w:val="0"/>
              <w:snapToGrid w:val="0"/>
              <w:spacing w:line="60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2" w:type="pct"/>
            <w:vAlign w:val="center"/>
          </w:tcPr>
          <w:p>
            <w:pPr>
              <w:jc w:val="center"/>
              <w:rPr>
                <w:rFonts w:hint="eastAsia" w:ascii="宋体" w:hAnsi="宋体" w:eastAsia="宋体" w:cs="宋体"/>
                <w:sz w:val="24"/>
                <w:szCs w:val="24"/>
              </w:rPr>
            </w:pPr>
          </w:p>
        </w:tc>
        <w:tc>
          <w:tcPr>
            <w:tcW w:w="1551" w:type="pct"/>
            <w:vAlign w:val="center"/>
          </w:tcPr>
          <w:p>
            <w:pPr>
              <w:adjustRightInd w:val="0"/>
              <w:snapToGrid w:val="0"/>
              <w:spacing w:line="600" w:lineRule="exact"/>
              <w:jc w:val="center"/>
              <w:rPr>
                <w:rFonts w:hint="eastAsia" w:ascii="宋体" w:hAnsi="宋体" w:eastAsia="宋体" w:cs="宋体"/>
                <w:sz w:val="24"/>
                <w:szCs w:val="24"/>
              </w:rPr>
            </w:pPr>
          </w:p>
        </w:tc>
        <w:tc>
          <w:tcPr>
            <w:tcW w:w="684" w:type="pct"/>
            <w:vAlign w:val="center"/>
          </w:tcPr>
          <w:p>
            <w:pPr>
              <w:adjustRightInd w:val="0"/>
              <w:snapToGrid w:val="0"/>
              <w:spacing w:line="600" w:lineRule="exact"/>
              <w:jc w:val="center"/>
              <w:rPr>
                <w:rFonts w:hint="eastAsia" w:ascii="宋体" w:hAnsi="宋体" w:eastAsia="宋体" w:cs="宋体"/>
                <w:sz w:val="24"/>
                <w:szCs w:val="24"/>
              </w:rPr>
            </w:pPr>
          </w:p>
        </w:tc>
        <w:tc>
          <w:tcPr>
            <w:tcW w:w="1113" w:type="pct"/>
            <w:vAlign w:val="center"/>
          </w:tcPr>
          <w:p>
            <w:pPr>
              <w:adjustRightInd w:val="0"/>
              <w:snapToGrid w:val="0"/>
              <w:spacing w:line="600" w:lineRule="exact"/>
              <w:jc w:val="center"/>
              <w:rPr>
                <w:rFonts w:hint="eastAsia" w:ascii="宋体" w:hAnsi="宋体" w:eastAsia="宋体" w:cs="宋体"/>
                <w:sz w:val="24"/>
                <w:szCs w:val="24"/>
              </w:rPr>
            </w:pPr>
          </w:p>
        </w:tc>
        <w:tc>
          <w:tcPr>
            <w:tcW w:w="938" w:type="pct"/>
            <w:vAlign w:val="center"/>
          </w:tcPr>
          <w:p>
            <w:pPr>
              <w:adjustRightInd w:val="0"/>
              <w:snapToGrid w:val="0"/>
              <w:spacing w:line="600" w:lineRule="exact"/>
              <w:rPr>
                <w:rFonts w:hint="eastAsia" w:ascii="宋体" w:hAnsi="宋体" w:eastAsia="宋体" w:cs="宋体"/>
                <w:sz w:val="24"/>
                <w:szCs w:val="24"/>
              </w:rPr>
            </w:pPr>
          </w:p>
        </w:tc>
        <w:tc>
          <w:tcPr>
            <w:tcW w:w="389" w:type="pct"/>
            <w:vAlign w:val="center"/>
          </w:tcPr>
          <w:p>
            <w:pPr>
              <w:adjustRightInd w:val="0"/>
              <w:snapToGrid w:val="0"/>
              <w:spacing w:line="60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2" w:type="pct"/>
            <w:vAlign w:val="center"/>
          </w:tcPr>
          <w:p>
            <w:pPr>
              <w:jc w:val="center"/>
              <w:rPr>
                <w:rFonts w:hint="eastAsia" w:ascii="宋体" w:hAnsi="宋体" w:eastAsia="宋体" w:cs="宋体"/>
                <w:sz w:val="24"/>
                <w:szCs w:val="24"/>
              </w:rPr>
            </w:pPr>
          </w:p>
        </w:tc>
        <w:tc>
          <w:tcPr>
            <w:tcW w:w="1551" w:type="pct"/>
            <w:vAlign w:val="center"/>
          </w:tcPr>
          <w:p>
            <w:pPr>
              <w:adjustRightInd w:val="0"/>
              <w:snapToGrid w:val="0"/>
              <w:spacing w:line="600" w:lineRule="exact"/>
              <w:jc w:val="center"/>
              <w:rPr>
                <w:rFonts w:hint="eastAsia" w:ascii="宋体" w:hAnsi="宋体" w:eastAsia="宋体" w:cs="宋体"/>
                <w:sz w:val="24"/>
                <w:szCs w:val="24"/>
              </w:rPr>
            </w:pPr>
          </w:p>
        </w:tc>
        <w:tc>
          <w:tcPr>
            <w:tcW w:w="684" w:type="pct"/>
            <w:vAlign w:val="center"/>
          </w:tcPr>
          <w:p>
            <w:pPr>
              <w:adjustRightInd w:val="0"/>
              <w:snapToGrid w:val="0"/>
              <w:spacing w:line="600" w:lineRule="exact"/>
              <w:jc w:val="center"/>
              <w:rPr>
                <w:rFonts w:hint="eastAsia" w:ascii="宋体" w:hAnsi="宋体" w:eastAsia="宋体" w:cs="宋体"/>
                <w:sz w:val="24"/>
                <w:szCs w:val="24"/>
              </w:rPr>
            </w:pPr>
          </w:p>
        </w:tc>
        <w:tc>
          <w:tcPr>
            <w:tcW w:w="1113" w:type="pct"/>
            <w:vAlign w:val="center"/>
          </w:tcPr>
          <w:p>
            <w:pPr>
              <w:adjustRightInd w:val="0"/>
              <w:snapToGrid w:val="0"/>
              <w:spacing w:line="600" w:lineRule="exact"/>
              <w:jc w:val="center"/>
              <w:rPr>
                <w:rFonts w:hint="eastAsia" w:ascii="宋体" w:hAnsi="宋体" w:eastAsia="宋体" w:cs="宋体"/>
                <w:sz w:val="24"/>
                <w:szCs w:val="24"/>
              </w:rPr>
            </w:pPr>
          </w:p>
        </w:tc>
        <w:tc>
          <w:tcPr>
            <w:tcW w:w="938" w:type="pct"/>
            <w:vAlign w:val="center"/>
          </w:tcPr>
          <w:p>
            <w:pPr>
              <w:adjustRightInd w:val="0"/>
              <w:snapToGrid w:val="0"/>
              <w:spacing w:line="600" w:lineRule="exact"/>
              <w:rPr>
                <w:rFonts w:hint="eastAsia" w:ascii="宋体" w:hAnsi="宋体" w:eastAsia="宋体" w:cs="宋体"/>
                <w:sz w:val="24"/>
                <w:szCs w:val="24"/>
              </w:rPr>
            </w:pPr>
          </w:p>
        </w:tc>
        <w:tc>
          <w:tcPr>
            <w:tcW w:w="389" w:type="pct"/>
            <w:vAlign w:val="center"/>
          </w:tcPr>
          <w:p>
            <w:pPr>
              <w:adjustRightInd w:val="0"/>
              <w:snapToGrid w:val="0"/>
              <w:spacing w:line="60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2" w:type="pct"/>
            <w:vAlign w:val="center"/>
          </w:tcPr>
          <w:p>
            <w:pPr>
              <w:jc w:val="center"/>
              <w:rPr>
                <w:rFonts w:hint="eastAsia" w:ascii="宋体" w:hAnsi="宋体" w:eastAsia="宋体" w:cs="宋体"/>
                <w:sz w:val="24"/>
                <w:szCs w:val="24"/>
              </w:rPr>
            </w:pPr>
          </w:p>
        </w:tc>
        <w:tc>
          <w:tcPr>
            <w:tcW w:w="1551" w:type="pct"/>
            <w:vAlign w:val="center"/>
          </w:tcPr>
          <w:p>
            <w:pPr>
              <w:adjustRightInd w:val="0"/>
              <w:snapToGrid w:val="0"/>
              <w:spacing w:line="600" w:lineRule="exact"/>
              <w:jc w:val="center"/>
              <w:rPr>
                <w:rFonts w:hint="eastAsia" w:ascii="宋体" w:hAnsi="宋体" w:eastAsia="宋体" w:cs="宋体"/>
                <w:sz w:val="24"/>
                <w:szCs w:val="24"/>
              </w:rPr>
            </w:pPr>
          </w:p>
        </w:tc>
        <w:tc>
          <w:tcPr>
            <w:tcW w:w="684" w:type="pct"/>
            <w:vAlign w:val="center"/>
          </w:tcPr>
          <w:p>
            <w:pPr>
              <w:adjustRightInd w:val="0"/>
              <w:snapToGrid w:val="0"/>
              <w:spacing w:line="600" w:lineRule="exact"/>
              <w:jc w:val="center"/>
              <w:rPr>
                <w:rFonts w:hint="eastAsia" w:ascii="宋体" w:hAnsi="宋体" w:eastAsia="宋体" w:cs="宋体"/>
                <w:sz w:val="24"/>
                <w:szCs w:val="24"/>
              </w:rPr>
            </w:pPr>
          </w:p>
        </w:tc>
        <w:tc>
          <w:tcPr>
            <w:tcW w:w="1113" w:type="pct"/>
            <w:vAlign w:val="center"/>
          </w:tcPr>
          <w:p>
            <w:pPr>
              <w:adjustRightInd w:val="0"/>
              <w:snapToGrid w:val="0"/>
              <w:spacing w:line="600" w:lineRule="exact"/>
              <w:jc w:val="center"/>
              <w:rPr>
                <w:rFonts w:hint="eastAsia" w:ascii="宋体" w:hAnsi="宋体" w:eastAsia="宋体" w:cs="宋体"/>
                <w:sz w:val="24"/>
                <w:szCs w:val="24"/>
              </w:rPr>
            </w:pPr>
          </w:p>
        </w:tc>
        <w:tc>
          <w:tcPr>
            <w:tcW w:w="938" w:type="pct"/>
            <w:vAlign w:val="center"/>
          </w:tcPr>
          <w:p>
            <w:pPr>
              <w:adjustRightInd w:val="0"/>
              <w:snapToGrid w:val="0"/>
              <w:spacing w:line="600" w:lineRule="exact"/>
              <w:rPr>
                <w:rFonts w:hint="eastAsia" w:ascii="宋体" w:hAnsi="宋体" w:eastAsia="宋体" w:cs="宋体"/>
                <w:sz w:val="24"/>
                <w:szCs w:val="24"/>
              </w:rPr>
            </w:pPr>
          </w:p>
        </w:tc>
        <w:tc>
          <w:tcPr>
            <w:tcW w:w="389" w:type="pct"/>
            <w:vAlign w:val="center"/>
          </w:tcPr>
          <w:p>
            <w:pPr>
              <w:adjustRightInd w:val="0"/>
              <w:snapToGrid w:val="0"/>
              <w:spacing w:line="60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2" w:type="pct"/>
            <w:vAlign w:val="center"/>
          </w:tcPr>
          <w:p>
            <w:pPr>
              <w:jc w:val="center"/>
              <w:rPr>
                <w:rFonts w:hint="eastAsia" w:ascii="宋体" w:hAnsi="宋体" w:eastAsia="宋体" w:cs="宋体"/>
                <w:sz w:val="24"/>
                <w:szCs w:val="24"/>
              </w:rPr>
            </w:pPr>
          </w:p>
        </w:tc>
        <w:tc>
          <w:tcPr>
            <w:tcW w:w="1551" w:type="pct"/>
            <w:vAlign w:val="center"/>
          </w:tcPr>
          <w:p>
            <w:pPr>
              <w:adjustRightInd w:val="0"/>
              <w:snapToGrid w:val="0"/>
              <w:spacing w:line="600" w:lineRule="exact"/>
              <w:jc w:val="center"/>
              <w:rPr>
                <w:rFonts w:hint="eastAsia" w:ascii="宋体" w:hAnsi="宋体" w:eastAsia="宋体" w:cs="宋体"/>
                <w:sz w:val="24"/>
                <w:szCs w:val="24"/>
              </w:rPr>
            </w:pPr>
          </w:p>
        </w:tc>
        <w:tc>
          <w:tcPr>
            <w:tcW w:w="684" w:type="pct"/>
            <w:vAlign w:val="center"/>
          </w:tcPr>
          <w:p>
            <w:pPr>
              <w:adjustRightInd w:val="0"/>
              <w:snapToGrid w:val="0"/>
              <w:spacing w:line="600" w:lineRule="exact"/>
              <w:jc w:val="center"/>
              <w:rPr>
                <w:rFonts w:hint="eastAsia" w:ascii="宋体" w:hAnsi="宋体" w:eastAsia="宋体" w:cs="宋体"/>
                <w:sz w:val="24"/>
                <w:szCs w:val="24"/>
              </w:rPr>
            </w:pPr>
          </w:p>
        </w:tc>
        <w:tc>
          <w:tcPr>
            <w:tcW w:w="1113" w:type="pct"/>
            <w:vAlign w:val="center"/>
          </w:tcPr>
          <w:p>
            <w:pPr>
              <w:adjustRightInd w:val="0"/>
              <w:snapToGrid w:val="0"/>
              <w:spacing w:line="600" w:lineRule="exact"/>
              <w:jc w:val="center"/>
              <w:rPr>
                <w:rFonts w:hint="eastAsia" w:ascii="宋体" w:hAnsi="宋体" w:eastAsia="宋体" w:cs="宋体"/>
                <w:sz w:val="24"/>
                <w:szCs w:val="24"/>
              </w:rPr>
            </w:pPr>
          </w:p>
        </w:tc>
        <w:tc>
          <w:tcPr>
            <w:tcW w:w="938" w:type="pct"/>
            <w:vAlign w:val="center"/>
          </w:tcPr>
          <w:p>
            <w:pPr>
              <w:adjustRightInd w:val="0"/>
              <w:snapToGrid w:val="0"/>
              <w:spacing w:line="600" w:lineRule="exact"/>
              <w:rPr>
                <w:rFonts w:hint="eastAsia" w:ascii="宋体" w:hAnsi="宋体" w:eastAsia="宋体" w:cs="宋体"/>
                <w:sz w:val="24"/>
                <w:szCs w:val="24"/>
              </w:rPr>
            </w:pPr>
          </w:p>
        </w:tc>
        <w:tc>
          <w:tcPr>
            <w:tcW w:w="389" w:type="pct"/>
            <w:vAlign w:val="center"/>
          </w:tcPr>
          <w:p>
            <w:pPr>
              <w:adjustRightInd w:val="0"/>
              <w:snapToGrid w:val="0"/>
              <w:spacing w:line="60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2" w:type="pct"/>
            <w:vAlign w:val="center"/>
          </w:tcPr>
          <w:p>
            <w:pPr>
              <w:adjustRightInd w:val="0"/>
              <w:snapToGrid w:val="0"/>
              <w:spacing w:line="600" w:lineRule="exact"/>
              <w:jc w:val="center"/>
              <w:rPr>
                <w:rFonts w:hint="eastAsia" w:ascii="宋体" w:hAnsi="宋体" w:eastAsia="宋体" w:cs="宋体"/>
                <w:sz w:val="24"/>
                <w:szCs w:val="24"/>
              </w:rPr>
            </w:pPr>
          </w:p>
        </w:tc>
        <w:tc>
          <w:tcPr>
            <w:tcW w:w="1551" w:type="pct"/>
            <w:vAlign w:val="center"/>
          </w:tcPr>
          <w:p>
            <w:pPr>
              <w:adjustRightInd w:val="0"/>
              <w:snapToGrid w:val="0"/>
              <w:spacing w:line="600" w:lineRule="exact"/>
              <w:jc w:val="center"/>
              <w:rPr>
                <w:rFonts w:hint="eastAsia" w:ascii="宋体" w:hAnsi="宋体" w:eastAsia="宋体" w:cs="宋体"/>
                <w:sz w:val="24"/>
                <w:szCs w:val="24"/>
              </w:rPr>
            </w:pPr>
          </w:p>
        </w:tc>
        <w:tc>
          <w:tcPr>
            <w:tcW w:w="684" w:type="pct"/>
            <w:vAlign w:val="center"/>
          </w:tcPr>
          <w:p>
            <w:pPr>
              <w:adjustRightInd w:val="0"/>
              <w:snapToGrid w:val="0"/>
              <w:spacing w:line="600" w:lineRule="exact"/>
              <w:jc w:val="center"/>
              <w:rPr>
                <w:rFonts w:hint="eastAsia" w:ascii="宋体" w:hAnsi="宋体" w:eastAsia="宋体" w:cs="宋体"/>
                <w:sz w:val="24"/>
                <w:szCs w:val="24"/>
              </w:rPr>
            </w:pPr>
          </w:p>
        </w:tc>
        <w:tc>
          <w:tcPr>
            <w:tcW w:w="1113" w:type="pct"/>
            <w:vAlign w:val="center"/>
          </w:tcPr>
          <w:p>
            <w:pPr>
              <w:adjustRightInd w:val="0"/>
              <w:snapToGrid w:val="0"/>
              <w:spacing w:line="600" w:lineRule="exact"/>
              <w:jc w:val="center"/>
              <w:rPr>
                <w:rFonts w:hint="eastAsia" w:ascii="宋体" w:hAnsi="宋体" w:eastAsia="宋体" w:cs="宋体"/>
                <w:sz w:val="24"/>
                <w:szCs w:val="24"/>
              </w:rPr>
            </w:pPr>
          </w:p>
        </w:tc>
        <w:tc>
          <w:tcPr>
            <w:tcW w:w="938" w:type="pct"/>
            <w:vAlign w:val="center"/>
          </w:tcPr>
          <w:p>
            <w:pPr>
              <w:adjustRightInd w:val="0"/>
              <w:snapToGrid w:val="0"/>
              <w:spacing w:line="600" w:lineRule="exact"/>
              <w:rPr>
                <w:rFonts w:hint="eastAsia" w:ascii="宋体" w:hAnsi="宋体" w:eastAsia="宋体" w:cs="宋体"/>
                <w:sz w:val="24"/>
                <w:szCs w:val="24"/>
              </w:rPr>
            </w:pPr>
          </w:p>
        </w:tc>
        <w:tc>
          <w:tcPr>
            <w:tcW w:w="389" w:type="pct"/>
            <w:vAlign w:val="center"/>
          </w:tcPr>
          <w:p>
            <w:pPr>
              <w:adjustRightInd w:val="0"/>
              <w:snapToGrid w:val="0"/>
              <w:spacing w:line="600" w:lineRule="exac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22" w:type="pct"/>
            <w:vAlign w:val="center"/>
          </w:tcPr>
          <w:p>
            <w:pPr>
              <w:adjustRightInd w:val="0"/>
              <w:snapToGrid w:val="0"/>
              <w:spacing w:line="600" w:lineRule="exact"/>
              <w:jc w:val="center"/>
              <w:rPr>
                <w:rFonts w:hint="eastAsia" w:ascii="宋体" w:hAnsi="宋体" w:eastAsia="宋体" w:cs="宋体"/>
                <w:sz w:val="24"/>
                <w:szCs w:val="24"/>
              </w:rPr>
            </w:pPr>
          </w:p>
        </w:tc>
        <w:tc>
          <w:tcPr>
            <w:tcW w:w="1551" w:type="pct"/>
            <w:vAlign w:val="center"/>
          </w:tcPr>
          <w:p>
            <w:pPr>
              <w:adjustRightInd w:val="0"/>
              <w:snapToGrid w:val="0"/>
              <w:spacing w:line="600" w:lineRule="exact"/>
              <w:jc w:val="center"/>
              <w:rPr>
                <w:rFonts w:hint="eastAsia" w:ascii="宋体" w:hAnsi="宋体" w:eastAsia="宋体" w:cs="宋体"/>
                <w:sz w:val="24"/>
                <w:szCs w:val="24"/>
              </w:rPr>
            </w:pPr>
          </w:p>
        </w:tc>
        <w:tc>
          <w:tcPr>
            <w:tcW w:w="684" w:type="pct"/>
            <w:vAlign w:val="center"/>
          </w:tcPr>
          <w:p>
            <w:pPr>
              <w:adjustRightInd w:val="0"/>
              <w:snapToGrid w:val="0"/>
              <w:spacing w:line="600" w:lineRule="exact"/>
              <w:jc w:val="center"/>
              <w:rPr>
                <w:rFonts w:hint="eastAsia" w:ascii="宋体" w:hAnsi="宋体" w:eastAsia="宋体" w:cs="宋体"/>
                <w:sz w:val="24"/>
                <w:szCs w:val="24"/>
              </w:rPr>
            </w:pPr>
          </w:p>
        </w:tc>
        <w:tc>
          <w:tcPr>
            <w:tcW w:w="1113" w:type="pct"/>
            <w:vAlign w:val="center"/>
          </w:tcPr>
          <w:p>
            <w:pPr>
              <w:adjustRightInd w:val="0"/>
              <w:snapToGrid w:val="0"/>
              <w:spacing w:line="600" w:lineRule="exact"/>
              <w:jc w:val="center"/>
              <w:rPr>
                <w:rFonts w:hint="eastAsia" w:ascii="宋体" w:hAnsi="宋体" w:eastAsia="宋体" w:cs="宋体"/>
                <w:sz w:val="24"/>
                <w:szCs w:val="24"/>
              </w:rPr>
            </w:pPr>
          </w:p>
        </w:tc>
        <w:tc>
          <w:tcPr>
            <w:tcW w:w="938" w:type="pct"/>
            <w:vAlign w:val="center"/>
          </w:tcPr>
          <w:p>
            <w:pPr>
              <w:adjustRightInd w:val="0"/>
              <w:snapToGrid w:val="0"/>
              <w:spacing w:line="600" w:lineRule="exact"/>
              <w:rPr>
                <w:rFonts w:hint="eastAsia" w:ascii="宋体" w:hAnsi="宋体" w:eastAsia="宋体" w:cs="宋体"/>
                <w:sz w:val="24"/>
                <w:szCs w:val="24"/>
              </w:rPr>
            </w:pPr>
          </w:p>
        </w:tc>
        <w:tc>
          <w:tcPr>
            <w:tcW w:w="389" w:type="pct"/>
            <w:vAlign w:val="center"/>
          </w:tcPr>
          <w:p>
            <w:pPr>
              <w:adjustRightInd w:val="0"/>
              <w:snapToGrid w:val="0"/>
              <w:spacing w:line="600" w:lineRule="exact"/>
              <w:rPr>
                <w:rFonts w:hint="eastAsia" w:ascii="宋体" w:hAnsi="宋体" w:eastAsia="宋体" w:cs="宋体"/>
                <w:sz w:val="24"/>
                <w:szCs w:val="24"/>
              </w:rPr>
            </w:pPr>
          </w:p>
        </w:tc>
      </w:tr>
    </w:tbl>
    <w:p>
      <w:pPr>
        <w:adjustRightInd w:val="0"/>
        <w:snapToGrid w:val="0"/>
        <w:spacing w:line="600" w:lineRule="exact"/>
        <w:ind w:firstLine="1120" w:firstLineChars="400"/>
        <w:jc w:val="left"/>
        <w:rPr>
          <w:rFonts w:hint="eastAsia" w:ascii="宋体" w:hAnsi="宋体" w:eastAsia="宋体" w:cs="宋体"/>
          <w:sz w:val="28"/>
          <w:szCs w:val="28"/>
          <w:u w:val="single"/>
        </w:rPr>
      </w:pPr>
      <w:r>
        <w:rPr>
          <w:rFonts w:hint="eastAsia" w:ascii="宋体" w:hAnsi="宋体" w:eastAsia="宋体" w:cs="宋体"/>
          <w:sz w:val="28"/>
          <w:szCs w:val="28"/>
        </w:rPr>
        <w:t>采购人代表</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记录人</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w:t>
      </w:r>
    </w:p>
    <w:p>
      <w:pPr>
        <w:adjustRightInd w:val="0"/>
        <w:snapToGrid w:val="0"/>
        <w:spacing w:line="600" w:lineRule="exact"/>
        <w:ind w:firstLine="6160" w:firstLineChars="2200"/>
        <w:jc w:val="left"/>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pPr>
        <w:adjustRightInd w:val="0"/>
        <w:snapToGrid w:val="0"/>
        <w:spacing w:line="600" w:lineRule="exact"/>
        <w:ind w:firstLine="555"/>
        <w:jc w:val="left"/>
        <w:rPr>
          <w:rFonts w:ascii="仿宋_GB2312" w:eastAsia="仿宋_GB2312" w:hAnsiTheme="majorEastAsia"/>
          <w:sz w:val="28"/>
          <w:szCs w:val="28"/>
        </w:rPr>
      </w:pPr>
    </w:p>
    <w:p>
      <w:pPr>
        <w:adjustRightInd w:val="0"/>
        <w:snapToGrid w:val="0"/>
        <w:spacing w:line="600" w:lineRule="exact"/>
        <w:ind w:firstLine="555"/>
        <w:jc w:val="left"/>
        <w:rPr>
          <w:rFonts w:ascii="仿宋_GB2312" w:eastAsia="仿宋_GB2312" w:hAnsiTheme="majorEastAsia"/>
          <w:sz w:val="28"/>
          <w:szCs w:val="28"/>
        </w:rPr>
      </w:pPr>
    </w:p>
    <w:p>
      <w:pPr>
        <w:rPr>
          <w:rFonts w:hint="eastAsia" w:asciiTheme="majorEastAsia" w:hAnsiTheme="majorEastAsia" w:eastAsiaTheme="majorEastAsia"/>
          <w:b/>
          <w:sz w:val="28"/>
          <w:szCs w:val="28"/>
        </w:rPr>
      </w:pPr>
      <w:r>
        <w:rPr>
          <w:rFonts w:hint="eastAsia" w:asciiTheme="majorEastAsia" w:hAnsiTheme="majorEastAsia" w:eastAsiaTheme="majorEastAsia"/>
          <w:b/>
          <w:sz w:val="28"/>
          <w:szCs w:val="28"/>
        </w:rPr>
        <w:br w:type="page"/>
      </w:r>
    </w:p>
    <w:p>
      <w:pPr>
        <w:adjustRightInd w:val="0"/>
        <w:snapToGrid w:val="0"/>
        <w:spacing w:line="600" w:lineRule="exact"/>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附件2</w:t>
      </w:r>
    </w:p>
    <w:p>
      <w:pPr>
        <w:adjustRightInd w:val="0"/>
        <w:snapToGrid w:val="0"/>
        <w:spacing w:line="600" w:lineRule="exact"/>
        <w:jc w:val="center"/>
        <w:rPr>
          <w:rFonts w:ascii="方正小标宋简体" w:eastAsia="方正小标宋简体" w:hAnsiTheme="majorEastAsia"/>
          <w:sz w:val="32"/>
          <w:szCs w:val="32"/>
        </w:rPr>
      </w:pPr>
    </w:p>
    <w:p>
      <w:pPr>
        <w:adjustRightInd w:val="0"/>
        <w:snapToGrid w:val="0"/>
        <w:spacing w:line="600" w:lineRule="exact"/>
        <w:jc w:val="center"/>
        <w:rPr>
          <w:rFonts w:hint="eastAsia" w:ascii="方正小标宋简体" w:eastAsia="方正小标宋简体" w:hAnsiTheme="majorEastAsia"/>
          <w:sz w:val="32"/>
          <w:szCs w:val="32"/>
        </w:rPr>
      </w:pPr>
      <w:r>
        <w:rPr>
          <w:rFonts w:hint="eastAsia" w:ascii="方正小标宋简体" w:eastAsia="方正小标宋简体" w:hAnsiTheme="majorEastAsia"/>
          <w:sz w:val="32"/>
          <w:szCs w:val="32"/>
        </w:rPr>
        <w:t>问题澄清通知</w:t>
      </w:r>
    </w:p>
    <w:p>
      <w:pPr>
        <w:pStyle w:val="45"/>
        <w:rPr>
          <w:rFonts w:hint="eastAsia" w:ascii="宋体" w:hAnsi="宋体" w:eastAsia="宋体" w:cs="宋体"/>
          <w:sz w:val="28"/>
          <w:szCs w:val="28"/>
        </w:rPr>
      </w:pPr>
    </w:p>
    <w:p>
      <w:pPr>
        <w:adjustRightInd w:val="0"/>
        <w:snapToGrid w:val="0"/>
        <w:spacing w:line="600" w:lineRule="exact"/>
        <w:jc w:val="left"/>
        <w:rPr>
          <w:rFonts w:hint="eastAsia" w:ascii="宋体" w:hAnsi="宋体" w:eastAsia="宋体" w:cs="宋体"/>
          <w:sz w:val="28"/>
          <w:szCs w:val="28"/>
        </w:rPr>
      </w:pPr>
      <w:r>
        <w:rPr>
          <w:rFonts w:hint="eastAsia" w:ascii="宋体" w:hAnsi="宋体" w:eastAsia="宋体" w:cs="宋体"/>
          <w:sz w:val="28"/>
          <w:szCs w:val="28"/>
        </w:rPr>
        <w:t>编号：</w:t>
      </w:r>
    </w:p>
    <w:p>
      <w:pPr>
        <w:adjustRightInd w:val="0"/>
        <w:snapToGrid w:val="0"/>
        <w:spacing w:line="600" w:lineRule="exact"/>
        <w:jc w:val="left"/>
        <w:rPr>
          <w:rFonts w:hint="eastAsia" w:ascii="宋体" w:hAnsi="宋体" w:eastAsia="宋体" w:cs="宋体"/>
          <w:sz w:val="28"/>
          <w:szCs w:val="28"/>
        </w:rPr>
      </w:pPr>
      <w:r>
        <w:rPr>
          <w:rFonts w:hint="eastAsia" w:ascii="宋体" w:hAnsi="宋体" w:eastAsia="宋体" w:cs="宋体"/>
          <w:sz w:val="28"/>
          <w:szCs w:val="28"/>
          <w:u w:val="single"/>
        </w:rPr>
        <w:t xml:space="preserve">   （供应商名称）    </w:t>
      </w:r>
      <w:r>
        <w:rPr>
          <w:rFonts w:hint="eastAsia" w:ascii="宋体" w:hAnsi="宋体" w:eastAsia="宋体" w:cs="宋体"/>
          <w:sz w:val="28"/>
          <w:szCs w:val="28"/>
        </w:rPr>
        <w:t>：</w:t>
      </w:r>
    </w:p>
    <w:p>
      <w:pPr>
        <w:adjustRightInd w:val="0"/>
        <w:snapToGrid w:val="0"/>
        <w:spacing w:line="600" w:lineRule="exact"/>
        <w:jc w:val="left"/>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u w:val="single"/>
        </w:rPr>
        <w:t xml:space="preserve"> （项目名称） </w:t>
      </w:r>
      <w:r>
        <w:rPr>
          <w:rFonts w:hint="eastAsia" w:ascii="宋体" w:hAnsi="宋体" w:eastAsia="宋体" w:cs="宋体"/>
          <w:sz w:val="28"/>
          <w:szCs w:val="28"/>
        </w:rPr>
        <w:t>的评审小组，对你方的响应文件进行了仔细的审查，现需你方对下列问题以书面形式予以澄清：</w:t>
      </w:r>
    </w:p>
    <w:p>
      <w:pPr>
        <w:adjustRightInd w:val="0"/>
        <w:snapToGrid w:val="0"/>
        <w:spacing w:line="600" w:lineRule="exact"/>
        <w:ind w:firstLine="555"/>
        <w:jc w:val="left"/>
        <w:rPr>
          <w:rFonts w:hint="eastAsia" w:ascii="宋体" w:hAnsi="宋体" w:eastAsia="宋体" w:cs="宋体"/>
          <w:sz w:val="28"/>
          <w:szCs w:val="28"/>
        </w:rPr>
      </w:pPr>
      <w:r>
        <w:rPr>
          <w:rFonts w:hint="eastAsia" w:ascii="宋体" w:hAnsi="宋体" w:eastAsia="宋体" w:cs="宋体"/>
          <w:sz w:val="28"/>
          <w:szCs w:val="28"/>
        </w:rPr>
        <w:t>1.</w:t>
      </w:r>
    </w:p>
    <w:p>
      <w:pPr>
        <w:adjustRightInd w:val="0"/>
        <w:snapToGrid w:val="0"/>
        <w:spacing w:line="600" w:lineRule="exact"/>
        <w:ind w:firstLine="555"/>
        <w:jc w:val="left"/>
        <w:rPr>
          <w:rFonts w:hint="eastAsia" w:ascii="宋体" w:hAnsi="宋体" w:eastAsia="宋体" w:cs="宋体"/>
          <w:sz w:val="28"/>
          <w:szCs w:val="28"/>
        </w:rPr>
      </w:pPr>
      <w:r>
        <w:rPr>
          <w:rFonts w:hint="eastAsia" w:ascii="宋体" w:hAnsi="宋体" w:eastAsia="宋体" w:cs="宋体"/>
          <w:sz w:val="28"/>
          <w:szCs w:val="28"/>
        </w:rPr>
        <w:t>2.</w:t>
      </w:r>
    </w:p>
    <w:p>
      <w:pPr>
        <w:adjustRightInd w:val="0"/>
        <w:snapToGrid w:val="0"/>
        <w:spacing w:line="600" w:lineRule="exact"/>
        <w:ind w:firstLine="555"/>
        <w:jc w:val="left"/>
        <w:rPr>
          <w:rFonts w:hint="eastAsia" w:ascii="宋体" w:hAnsi="宋体" w:eastAsia="宋体" w:cs="宋体"/>
          <w:sz w:val="28"/>
          <w:szCs w:val="28"/>
        </w:rPr>
      </w:pPr>
      <w:r>
        <w:rPr>
          <w:rFonts w:hint="eastAsia" w:ascii="宋体" w:hAnsi="宋体" w:eastAsia="宋体" w:cs="宋体"/>
          <w:sz w:val="28"/>
          <w:szCs w:val="28"/>
        </w:rPr>
        <w:t>请将上述问题的澄清于</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r>
        <w:rPr>
          <w:rFonts w:hint="eastAsia" w:ascii="宋体" w:hAnsi="宋体" w:eastAsia="宋体" w:cs="宋体"/>
          <w:sz w:val="28"/>
          <w:szCs w:val="28"/>
          <w:u w:val="single"/>
        </w:rPr>
        <w:t xml:space="preserve">    </w:t>
      </w:r>
      <w:r>
        <w:rPr>
          <w:rFonts w:hint="eastAsia" w:ascii="宋体" w:hAnsi="宋体" w:eastAsia="宋体" w:cs="宋体"/>
          <w:sz w:val="28"/>
          <w:szCs w:val="28"/>
        </w:rPr>
        <w:t>时前递交至</w:t>
      </w:r>
      <w:r>
        <w:rPr>
          <w:rFonts w:hint="eastAsia" w:ascii="宋体" w:hAnsi="宋体" w:eastAsia="宋体" w:cs="宋体"/>
          <w:sz w:val="28"/>
          <w:szCs w:val="28"/>
          <w:u w:val="single"/>
        </w:rPr>
        <w:t xml:space="preserve">  （详细地址） </w:t>
      </w:r>
      <w:r>
        <w:rPr>
          <w:rFonts w:hint="eastAsia" w:ascii="宋体" w:hAnsi="宋体" w:eastAsia="宋体" w:cs="宋体"/>
          <w:sz w:val="28"/>
          <w:szCs w:val="28"/>
        </w:rPr>
        <w:t>。</w:t>
      </w:r>
    </w:p>
    <w:p>
      <w:pPr>
        <w:adjustRightInd w:val="0"/>
        <w:snapToGrid w:val="0"/>
        <w:spacing w:line="600" w:lineRule="exact"/>
        <w:jc w:val="left"/>
        <w:rPr>
          <w:rFonts w:hint="eastAsia" w:ascii="宋体" w:hAnsi="宋体" w:eastAsia="宋体" w:cs="宋体"/>
          <w:b/>
          <w:sz w:val="28"/>
          <w:szCs w:val="28"/>
        </w:rPr>
      </w:pPr>
    </w:p>
    <w:p>
      <w:pPr>
        <w:adjustRightInd w:val="0"/>
        <w:snapToGrid w:val="0"/>
        <w:spacing w:line="600" w:lineRule="exact"/>
        <w:ind w:firstLine="4760" w:firstLineChars="1700"/>
        <w:jc w:val="left"/>
        <w:rPr>
          <w:rFonts w:hint="eastAsia" w:ascii="宋体" w:hAnsi="宋体" w:eastAsia="宋体" w:cs="宋体"/>
          <w:sz w:val="28"/>
          <w:szCs w:val="28"/>
        </w:rPr>
      </w:pPr>
      <w:r>
        <w:rPr>
          <w:rFonts w:hint="eastAsia" w:ascii="宋体" w:hAnsi="宋体" w:eastAsia="宋体" w:cs="宋体"/>
          <w:sz w:val="28"/>
          <w:szCs w:val="28"/>
          <w:u w:val="single"/>
        </w:rPr>
        <w:t xml:space="preserve">（项目名称） </w:t>
      </w:r>
      <w:r>
        <w:rPr>
          <w:rFonts w:hint="eastAsia" w:ascii="宋体" w:hAnsi="宋体" w:eastAsia="宋体" w:cs="宋体"/>
          <w:sz w:val="28"/>
          <w:szCs w:val="28"/>
        </w:rPr>
        <w:t>评审小组</w:t>
      </w:r>
    </w:p>
    <w:p>
      <w:pPr>
        <w:adjustRightInd w:val="0"/>
        <w:snapToGrid w:val="0"/>
        <w:spacing w:line="600" w:lineRule="exact"/>
        <w:ind w:firstLine="4760" w:firstLineChars="1700"/>
        <w:jc w:val="left"/>
        <w:rPr>
          <w:rFonts w:hint="eastAsia" w:ascii="宋体" w:hAnsi="宋体" w:eastAsia="宋体" w:cs="宋体"/>
          <w:sz w:val="28"/>
          <w:szCs w:val="28"/>
        </w:rPr>
      </w:pPr>
      <w:r>
        <w:rPr>
          <w:rFonts w:hint="eastAsia" w:ascii="宋体" w:hAnsi="宋体" w:eastAsia="宋体" w:cs="宋体"/>
          <w:sz w:val="28"/>
          <w:szCs w:val="28"/>
        </w:rPr>
        <w:t>评审小组：</w:t>
      </w:r>
      <w:r>
        <w:rPr>
          <w:rFonts w:hint="eastAsia" w:ascii="宋体" w:hAnsi="宋体" w:eastAsia="宋体" w:cs="宋体"/>
          <w:b/>
          <w:sz w:val="28"/>
          <w:szCs w:val="28"/>
          <w:u w:val="single"/>
        </w:rPr>
        <w:t xml:space="preserve">          </w:t>
      </w:r>
      <w:r>
        <w:rPr>
          <w:rFonts w:hint="eastAsia" w:ascii="宋体" w:hAnsi="宋体" w:eastAsia="宋体" w:cs="宋体"/>
          <w:sz w:val="28"/>
          <w:szCs w:val="28"/>
        </w:rPr>
        <w:t>（签字）</w:t>
      </w:r>
    </w:p>
    <w:p>
      <w:pPr>
        <w:adjustRightInd w:val="0"/>
        <w:snapToGrid w:val="0"/>
        <w:spacing w:line="600" w:lineRule="exact"/>
        <w:ind w:firstLine="5451" w:firstLineChars="1947"/>
        <w:jc w:val="left"/>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pPr>
        <w:adjustRightInd w:val="0"/>
        <w:snapToGrid w:val="0"/>
        <w:spacing w:line="600" w:lineRule="exact"/>
        <w:ind w:firstLine="4779" w:firstLineChars="1700"/>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rPr>
          <w:rFonts w:hint="eastAsia" w:asciiTheme="majorEastAsia" w:hAnsiTheme="majorEastAsia" w:eastAsiaTheme="majorEastAsia"/>
          <w:b/>
          <w:sz w:val="28"/>
          <w:szCs w:val="28"/>
        </w:rPr>
      </w:pPr>
      <w:r>
        <w:rPr>
          <w:rFonts w:hint="eastAsia" w:asciiTheme="majorEastAsia" w:hAnsiTheme="majorEastAsia" w:eastAsiaTheme="majorEastAsia"/>
          <w:b/>
          <w:sz w:val="28"/>
          <w:szCs w:val="28"/>
        </w:rPr>
        <w:br w:type="page"/>
      </w:r>
    </w:p>
    <w:p>
      <w:pPr>
        <w:adjustRightInd w:val="0"/>
        <w:snapToGrid w:val="0"/>
        <w:spacing w:line="600" w:lineRule="exact"/>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附件3</w:t>
      </w:r>
    </w:p>
    <w:p>
      <w:pPr>
        <w:adjustRightInd w:val="0"/>
        <w:snapToGrid w:val="0"/>
        <w:spacing w:line="600" w:lineRule="exact"/>
        <w:jc w:val="center"/>
        <w:rPr>
          <w:rFonts w:ascii="方正小标宋简体" w:eastAsia="方正小标宋简体" w:hAnsiTheme="majorEastAsia"/>
          <w:sz w:val="32"/>
          <w:szCs w:val="32"/>
        </w:rPr>
      </w:pPr>
    </w:p>
    <w:p>
      <w:pPr>
        <w:adjustRightInd w:val="0"/>
        <w:snapToGrid w:val="0"/>
        <w:spacing w:line="600" w:lineRule="exact"/>
        <w:jc w:val="center"/>
        <w:rPr>
          <w:rFonts w:hint="eastAsia" w:ascii="方正小标宋简体" w:eastAsia="方正小标宋简体" w:hAnsiTheme="majorEastAsia"/>
          <w:sz w:val="32"/>
          <w:szCs w:val="32"/>
        </w:rPr>
      </w:pPr>
      <w:r>
        <w:rPr>
          <w:rFonts w:hint="eastAsia" w:ascii="方正小标宋简体" w:eastAsia="方正小标宋简体" w:hAnsiTheme="majorEastAsia"/>
          <w:sz w:val="32"/>
          <w:szCs w:val="32"/>
        </w:rPr>
        <w:t>问题的澄清</w:t>
      </w:r>
    </w:p>
    <w:p>
      <w:pPr>
        <w:pStyle w:val="45"/>
      </w:pPr>
    </w:p>
    <w:p>
      <w:pPr>
        <w:adjustRightInd w:val="0"/>
        <w:snapToGrid w:val="0"/>
        <w:spacing w:line="600" w:lineRule="exact"/>
        <w:jc w:val="left"/>
        <w:rPr>
          <w:rFonts w:hint="eastAsia" w:ascii="宋体" w:hAnsi="宋体" w:eastAsia="宋体" w:cs="宋体"/>
          <w:sz w:val="28"/>
          <w:szCs w:val="28"/>
        </w:rPr>
      </w:pPr>
      <w:r>
        <w:rPr>
          <w:rFonts w:hint="eastAsia" w:ascii="宋体" w:hAnsi="宋体" w:eastAsia="宋体" w:cs="宋体"/>
          <w:sz w:val="28"/>
          <w:szCs w:val="28"/>
        </w:rPr>
        <w:t>编号：</w:t>
      </w:r>
    </w:p>
    <w:p>
      <w:pPr>
        <w:adjustRightInd w:val="0"/>
        <w:snapToGrid w:val="0"/>
        <w:spacing w:line="600" w:lineRule="exact"/>
        <w:ind w:firstLine="560" w:firstLineChars="200"/>
        <w:jc w:val="left"/>
        <w:rPr>
          <w:rFonts w:hint="eastAsia" w:ascii="宋体" w:hAnsi="宋体" w:eastAsia="宋体" w:cs="宋体"/>
          <w:b/>
          <w:sz w:val="28"/>
          <w:szCs w:val="28"/>
        </w:rPr>
      </w:pPr>
      <w:r>
        <w:rPr>
          <w:rFonts w:hint="eastAsia" w:ascii="宋体" w:hAnsi="宋体" w:eastAsia="宋体" w:cs="宋体"/>
          <w:sz w:val="28"/>
          <w:szCs w:val="28"/>
          <w:u w:val="single"/>
        </w:rPr>
        <w:t>（项目名称）</w:t>
      </w:r>
      <w:r>
        <w:rPr>
          <w:rFonts w:hint="eastAsia" w:ascii="宋体" w:hAnsi="宋体" w:eastAsia="宋体" w:cs="宋体"/>
          <w:sz w:val="28"/>
          <w:szCs w:val="28"/>
        </w:rPr>
        <w:t>评审小组：</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问题澄清通知（编号：</w:t>
      </w:r>
      <w:r>
        <w:rPr>
          <w:rFonts w:hint="eastAsia" w:ascii="宋体" w:hAnsi="宋体" w:eastAsia="宋体" w:cs="宋体"/>
          <w:sz w:val="28"/>
          <w:szCs w:val="28"/>
          <w:u w:val="single"/>
        </w:rPr>
        <w:t xml:space="preserve">    </w:t>
      </w:r>
      <w:r>
        <w:rPr>
          <w:rFonts w:hint="eastAsia" w:ascii="宋体" w:hAnsi="宋体" w:eastAsia="宋体" w:cs="宋体"/>
          <w:sz w:val="28"/>
          <w:szCs w:val="28"/>
        </w:rPr>
        <w:t>）已收悉，现澄清如下：</w:t>
      </w:r>
    </w:p>
    <w:p>
      <w:pPr>
        <w:adjustRightInd w:val="0"/>
        <w:snapToGrid w:val="0"/>
        <w:spacing w:line="600" w:lineRule="exact"/>
        <w:ind w:firstLine="570"/>
        <w:jc w:val="left"/>
        <w:rPr>
          <w:rFonts w:hint="eastAsia" w:ascii="宋体" w:hAnsi="宋体" w:eastAsia="宋体" w:cs="宋体"/>
          <w:sz w:val="28"/>
          <w:szCs w:val="28"/>
        </w:rPr>
      </w:pPr>
      <w:r>
        <w:rPr>
          <w:rFonts w:hint="eastAsia" w:ascii="宋体" w:hAnsi="宋体" w:eastAsia="宋体" w:cs="宋体"/>
          <w:sz w:val="28"/>
          <w:szCs w:val="28"/>
        </w:rPr>
        <w:t>1.</w:t>
      </w:r>
    </w:p>
    <w:p>
      <w:pPr>
        <w:adjustRightInd w:val="0"/>
        <w:snapToGrid w:val="0"/>
        <w:spacing w:line="600" w:lineRule="exact"/>
        <w:ind w:firstLine="570"/>
        <w:jc w:val="left"/>
        <w:rPr>
          <w:rFonts w:hint="eastAsia" w:ascii="宋体" w:hAnsi="宋体" w:eastAsia="宋体" w:cs="宋体"/>
          <w:sz w:val="28"/>
          <w:szCs w:val="28"/>
        </w:rPr>
      </w:pPr>
      <w:r>
        <w:rPr>
          <w:rFonts w:hint="eastAsia" w:ascii="宋体" w:hAnsi="宋体" w:eastAsia="宋体" w:cs="宋体"/>
          <w:sz w:val="28"/>
          <w:szCs w:val="28"/>
        </w:rPr>
        <w:t>2.</w:t>
      </w:r>
    </w:p>
    <w:p>
      <w:pPr>
        <w:adjustRightInd w:val="0"/>
        <w:snapToGrid w:val="0"/>
        <w:spacing w:line="600" w:lineRule="exact"/>
        <w:ind w:firstLine="570"/>
        <w:jc w:val="left"/>
        <w:rPr>
          <w:rFonts w:hint="eastAsia" w:ascii="宋体" w:hAnsi="宋体" w:eastAsia="宋体" w:cs="宋体"/>
          <w:b/>
          <w:sz w:val="28"/>
          <w:szCs w:val="28"/>
        </w:rPr>
      </w:pPr>
    </w:p>
    <w:p>
      <w:pPr>
        <w:adjustRightInd w:val="0"/>
        <w:snapToGrid w:val="0"/>
        <w:spacing w:line="600" w:lineRule="exact"/>
        <w:ind w:firstLine="3080" w:firstLineChars="1100"/>
        <w:jc w:val="left"/>
        <w:rPr>
          <w:rFonts w:hint="eastAsia" w:ascii="宋体" w:hAnsi="宋体" w:eastAsia="宋体" w:cs="宋体"/>
          <w:sz w:val="28"/>
          <w:szCs w:val="28"/>
        </w:rPr>
      </w:pPr>
      <w:r>
        <w:rPr>
          <w:rFonts w:hint="eastAsia" w:ascii="宋体" w:hAnsi="宋体" w:eastAsia="宋体" w:cs="宋体"/>
          <w:sz w:val="28"/>
          <w:szCs w:val="28"/>
        </w:rPr>
        <w:t>供应商：</w:t>
      </w:r>
      <w:r>
        <w:rPr>
          <w:rFonts w:hint="eastAsia" w:ascii="宋体" w:hAnsi="宋体" w:eastAsia="宋体" w:cs="宋体"/>
          <w:b/>
          <w:sz w:val="28"/>
          <w:szCs w:val="28"/>
          <w:u w:val="single"/>
        </w:rPr>
        <w:t xml:space="preserve">                        </w:t>
      </w:r>
      <w:r>
        <w:rPr>
          <w:rFonts w:hint="eastAsia" w:ascii="宋体" w:hAnsi="宋体" w:eastAsia="宋体" w:cs="宋体"/>
          <w:sz w:val="28"/>
          <w:szCs w:val="28"/>
        </w:rPr>
        <w:t>（公章）</w:t>
      </w:r>
    </w:p>
    <w:p>
      <w:pPr>
        <w:adjustRightInd w:val="0"/>
        <w:snapToGrid w:val="0"/>
        <w:spacing w:line="600" w:lineRule="exact"/>
        <w:ind w:firstLine="3080" w:firstLineChars="1100"/>
        <w:jc w:val="left"/>
        <w:rPr>
          <w:rFonts w:hint="eastAsia" w:ascii="宋体" w:hAnsi="宋体" w:eastAsia="宋体" w:cs="宋体"/>
          <w:b/>
          <w:sz w:val="28"/>
          <w:szCs w:val="28"/>
        </w:rPr>
      </w:pPr>
      <w:r>
        <w:rPr>
          <w:rFonts w:hint="eastAsia" w:ascii="宋体" w:hAnsi="宋体" w:eastAsia="宋体" w:cs="宋体"/>
          <w:sz w:val="28"/>
          <w:szCs w:val="28"/>
        </w:rPr>
        <w:t>或</w:t>
      </w:r>
    </w:p>
    <w:p>
      <w:pPr>
        <w:adjustRightInd w:val="0"/>
        <w:snapToGrid w:val="0"/>
        <w:spacing w:line="600" w:lineRule="exact"/>
        <w:ind w:firstLine="3080" w:firstLineChars="1100"/>
        <w:jc w:val="left"/>
        <w:rPr>
          <w:rFonts w:hint="eastAsia" w:ascii="宋体" w:hAnsi="宋体" w:eastAsia="宋体" w:cs="宋体"/>
          <w:sz w:val="28"/>
          <w:szCs w:val="28"/>
        </w:rPr>
      </w:pPr>
      <w:r>
        <w:rPr>
          <w:rFonts w:hint="eastAsia" w:ascii="宋体" w:hAnsi="宋体" w:eastAsia="宋体" w:cs="宋体"/>
          <w:sz w:val="28"/>
          <w:szCs w:val="28"/>
        </w:rPr>
        <w:t>法定代表人或委托代理人：</w:t>
      </w:r>
      <w:r>
        <w:rPr>
          <w:rFonts w:hint="eastAsia" w:ascii="宋体" w:hAnsi="宋体" w:eastAsia="宋体" w:cs="宋体"/>
          <w:b/>
          <w:sz w:val="28"/>
          <w:szCs w:val="28"/>
          <w:u w:val="single"/>
        </w:rPr>
        <w:t xml:space="preserve">          </w:t>
      </w:r>
      <w:r>
        <w:rPr>
          <w:rFonts w:hint="eastAsia" w:ascii="宋体" w:hAnsi="宋体" w:eastAsia="宋体" w:cs="宋体"/>
          <w:sz w:val="28"/>
          <w:szCs w:val="28"/>
        </w:rPr>
        <w:t>（签字）</w:t>
      </w:r>
    </w:p>
    <w:p>
      <w:pPr>
        <w:adjustRightInd w:val="0"/>
        <w:snapToGrid w:val="0"/>
        <w:spacing w:line="600" w:lineRule="exact"/>
        <w:ind w:firstLine="6006" w:firstLineChars="2145"/>
        <w:jc w:val="left"/>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pPr>
        <w:adjustRightInd w:val="0"/>
        <w:snapToGrid w:val="0"/>
        <w:spacing w:line="600" w:lineRule="exact"/>
        <w:ind w:firstLine="2665" w:firstLineChars="952"/>
        <w:jc w:val="left"/>
        <w:rPr>
          <w:rFonts w:hint="eastAsia" w:ascii="宋体" w:hAnsi="宋体" w:eastAsia="宋体" w:cs="宋体"/>
          <w:sz w:val="28"/>
          <w:szCs w:val="28"/>
        </w:rPr>
      </w:pPr>
    </w:p>
    <w:p>
      <w:pPr>
        <w:adjustRightInd w:val="0"/>
        <w:snapToGrid w:val="0"/>
        <w:spacing w:line="600" w:lineRule="exact"/>
        <w:ind w:firstLine="2665" w:firstLineChars="952"/>
        <w:jc w:val="left"/>
        <w:rPr>
          <w:rFonts w:hint="eastAsia" w:ascii="宋体" w:hAnsi="宋体" w:eastAsia="宋体" w:cs="宋体"/>
          <w:sz w:val="28"/>
          <w:szCs w:val="28"/>
        </w:rPr>
      </w:pPr>
    </w:p>
    <w:p>
      <w:pPr>
        <w:adjustRightInd w:val="0"/>
        <w:snapToGrid w:val="0"/>
        <w:spacing w:line="600" w:lineRule="exact"/>
        <w:ind w:firstLine="2665" w:firstLineChars="952"/>
        <w:jc w:val="left"/>
        <w:rPr>
          <w:rFonts w:hint="eastAsia" w:ascii="宋体" w:hAnsi="宋体" w:eastAsia="宋体" w:cs="宋体"/>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adjustRightInd w:val="0"/>
        <w:snapToGrid w:val="0"/>
        <w:spacing w:line="600" w:lineRule="exact"/>
        <w:ind w:firstLine="2665" w:firstLineChars="952"/>
        <w:jc w:val="left"/>
        <w:rPr>
          <w:rFonts w:ascii="仿宋_GB2312" w:eastAsia="仿宋_GB2312" w:hAnsiTheme="majorEastAsia"/>
          <w:sz w:val="28"/>
          <w:szCs w:val="28"/>
        </w:rPr>
      </w:pPr>
    </w:p>
    <w:p>
      <w:pPr>
        <w:rPr>
          <w:rFonts w:hint="eastAsia" w:asciiTheme="majorEastAsia" w:hAnsiTheme="majorEastAsia" w:eastAsiaTheme="majorEastAsia"/>
          <w:b/>
          <w:sz w:val="28"/>
          <w:szCs w:val="28"/>
        </w:rPr>
      </w:pPr>
      <w:r>
        <w:rPr>
          <w:rFonts w:hint="eastAsia" w:asciiTheme="majorEastAsia" w:hAnsiTheme="majorEastAsia" w:eastAsiaTheme="majorEastAsia"/>
          <w:b/>
          <w:sz w:val="28"/>
          <w:szCs w:val="28"/>
        </w:rPr>
        <w:br w:type="page"/>
      </w:r>
    </w:p>
    <w:p>
      <w:pPr>
        <w:adjustRightInd w:val="0"/>
        <w:snapToGrid w:val="0"/>
        <w:spacing w:line="600" w:lineRule="exact"/>
        <w:jc w:val="left"/>
        <w:rPr>
          <w:rFonts w:asciiTheme="majorEastAsia" w:hAnsiTheme="majorEastAsia" w:eastAsiaTheme="majorEastAsia"/>
          <w:b/>
          <w:sz w:val="28"/>
          <w:szCs w:val="28"/>
        </w:rPr>
      </w:pPr>
      <w:r>
        <w:rPr>
          <w:rFonts w:hint="eastAsia" w:asciiTheme="majorEastAsia" w:hAnsiTheme="majorEastAsia" w:eastAsiaTheme="majorEastAsia"/>
          <w:b/>
          <w:sz w:val="28"/>
          <w:szCs w:val="28"/>
        </w:rPr>
        <w:t xml:space="preserve">附件4 </w:t>
      </w:r>
    </w:p>
    <w:p>
      <w:pPr>
        <w:adjustRightInd w:val="0"/>
        <w:snapToGrid w:val="0"/>
        <w:spacing w:line="600" w:lineRule="exact"/>
        <w:jc w:val="center"/>
        <w:rPr>
          <w:rFonts w:ascii="方正小标宋简体" w:eastAsia="方正小标宋简体" w:hAnsiTheme="majorEastAsia"/>
          <w:sz w:val="32"/>
          <w:szCs w:val="32"/>
        </w:rPr>
      </w:pPr>
    </w:p>
    <w:p>
      <w:pPr>
        <w:adjustRightInd w:val="0"/>
        <w:snapToGrid w:val="0"/>
        <w:spacing w:line="600" w:lineRule="exact"/>
        <w:jc w:val="center"/>
        <w:rPr>
          <w:rFonts w:hint="eastAsia" w:ascii="方正小标宋简体" w:eastAsia="方正小标宋简体" w:hAnsiTheme="majorEastAsia"/>
          <w:sz w:val="32"/>
          <w:szCs w:val="32"/>
        </w:rPr>
      </w:pPr>
      <w:r>
        <w:rPr>
          <w:rFonts w:hint="eastAsia" w:ascii="方正小标宋简体" w:eastAsia="方正小标宋简体" w:hAnsiTheme="majorEastAsia"/>
          <w:sz w:val="32"/>
          <w:szCs w:val="32"/>
        </w:rPr>
        <w:t>成交通知书</w:t>
      </w:r>
    </w:p>
    <w:p>
      <w:pPr>
        <w:pStyle w:val="45"/>
        <w:rPr>
          <w:rFonts w:hint="eastAsia" w:ascii="宋体" w:hAnsi="宋体" w:eastAsia="宋体" w:cs="宋体"/>
          <w:sz w:val="28"/>
          <w:szCs w:val="28"/>
        </w:rPr>
      </w:pPr>
    </w:p>
    <w:p>
      <w:pPr>
        <w:pStyle w:val="45"/>
        <w:ind w:firstLine="7140" w:firstLineChars="2550"/>
        <w:rPr>
          <w:rFonts w:hint="eastAsia" w:ascii="宋体" w:hAnsi="宋体" w:eastAsia="宋体" w:cs="宋体"/>
          <w:sz w:val="28"/>
          <w:szCs w:val="28"/>
        </w:rPr>
      </w:pPr>
      <w:r>
        <w:rPr>
          <w:rFonts w:hint="eastAsia" w:ascii="宋体" w:hAnsi="宋体" w:eastAsia="宋体" w:cs="宋体"/>
          <w:sz w:val="28"/>
          <w:szCs w:val="28"/>
        </w:rPr>
        <w:t>（编号：        ）</w:t>
      </w:r>
    </w:p>
    <w:p>
      <w:pPr>
        <w:adjustRightInd w:val="0"/>
        <w:snapToGrid w:val="0"/>
        <w:spacing w:line="600" w:lineRule="exact"/>
        <w:jc w:val="left"/>
        <w:rPr>
          <w:rFonts w:hint="eastAsia" w:ascii="宋体" w:hAnsi="宋体" w:eastAsia="宋体" w:cs="宋体"/>
          <w:sz w:val="28"/>
          <w:szCs w:val="28"/>
        </w:rPr>
      </w:pPr>
      <w:r>
        <w:rPr>
          <w:rFonts w:hint="eastAsia" w:ascii="宋体" w:hAnsi="宋体" w:eastAsia="宋体" w:cs="宋体"/>
          <w:sz w:val="28"/>
          <w:szCs w:val="28"/>
          <w:u w:val="single"/>
        </w:rPr>
        <w:t xml:space="preserve">   （成交供应商名称）    </w:t>
      </w:r>
      <w:r>
        <w:rPr>
          <w:rFonts w:hint="eastAsia" w:ascii="宋体" w:hAnsi="宋体" w:eastAsia="宋体" w:cs="宋体"/>
          <w:sz w:val="28"/>
          <w:szCs w:val="28"/>
        </w:rPr>
        <w:t>：</w:t>
      </w:r>
    </w:p>
    <w:p>
      <w:pPr>
        <w:adjustRightInd w:val="0"/>
        <w:snapToGrid w:val="0"/>
        <w:spacing w:line="600" w:lineRule="exact"/>
        <w:ind w:firstLine="570"/>
        <w:jc w:val="left"/>
        <w:rPr>
          <w:rFonts w:hint="eastAsia" w:ascii="宋体" w:hAnsi="宋体" w:eastAsia="宋体" w:cs="宋体"/>
          <w:sz w:val="28"/>
          <w:szCs w:val="28"/>
        </w:rPr>
      </w:pPr>
      <w:r>
        <w:rPr>
          <w:rFonts w:hint="eastAsia" w:ascii="宋体" w:hAnsi="宋体" w:eastAsia="宋体" w:cs="宋体"/>
          <w:sz w:val="28"/>
          <w:szCs w:val="28"/>
        </w:rPr>
        <w:t>你方递交的响应文件已被我方接受，你方已被确认为</w:t>
      </w:r>
      <w:r>
        <w:rPr>
          <w:rFonts w:hint="eastAsia" w:ascii="宋体" w:hAnsi="宋体" w:eastAsia="宋体" w:cs="宋体"/>
          <w:sz w:val="28"/>
          <w:szCs w:val="28"/>
          <w:u w:val="single"/>
        </w:rPr>
        <w:t xml:space="preserve">      项目</w:t>
      </w:r>
      <w:r>
        <w:rPr>
          <w:rFonts w:hint="eastAsia" w:ascii="宋体" w:hAnsi="宋体" w:eastAsia="宋体" w:cs="宋体"/>
          <w:sz w:val="28"/>
          <w:szCs w:val="28"/>
        </w:rPr>
        <w:t>的成交供应商。</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成交金额，大写：</w:t>
      </w:r>
      <w:r>
        <w:rPr>
          <w:rFonts w:hint="eastAsia" w:ascii="宋体" w:hAnsi="宋体" w:eastAsia="宋体" w:cs="宋体"/>
          <w:sz w:val="28"/>
          <w:szCs w:val="28"/>
          <w:u w:val="single"/>
        </w:rPr>
        <w:t xml:space="preserve">                </w:t>
      </w:r>
      <w:r>
        <w:rPr>
          <w:rFonts w:hint="eastAsia" w:ascii="宋体" w:hAnsi="宋体" w:eastAsia="宋体" w:cs="宋体"/>
          <w:sz w:val="28"/>
          <w:szCs w:val="28"/>
        </w:rPr>
        <w:t>，小写：</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请你方在接到本通知书后的</w:t>
      </w:r>
      <w:r>
        <w:rPr>
          <w:rFonts w:hint="eastAsia" w:ascii="宋体" w:hAnsi="宋体" w:eastAsia="宋体" w:cs="宋体"/>
          <w:sz w:val="28"/>
          <w:szCs w:val="28"/>
          <w:u w:val="single"/>
        </w:rPr>
        <w:t>30</w:t>
      </w:r>
      <w:r>
        <w:rPr>
          <w:rFonts w:hint="eastAsia" w:ascii="宋体" w:hAnsi="宋体" w:eastAsia="宋体" w:cs="宋体"/>
          <w:sz w:val="28"/>
          <w:szCs w:val="28"/>
        </w:rPr>
        <w:t>日内与我方签订采购合同，逾期视为自动放弃成交资格。</w:t>
      </w:r>
    </w:p>
    <w:p>
      <w:pPr>
        <w:adjustRightInd w:val="0"/>
        <w:snapToGrid w:val="0"/>
        <w:spacing w:line="600" w:lineRule="exact"/>
        <w:jc w:val="left"/>
        <w:rPr>
          <w:rFonts w:hint="eastAsia" w:ascii="宋体" w:hAnsi="宋体" w:eastAsia="宋体" w:cs="宋体"/>
          <w:b/>
          <w:sz w:val="28"/>
          <w:szCs w:val="28"/>
        </w:rPr>
      </w:pPr>
    </w:p>
    <w:p>
      <w:pPr>
        <w:adjustRightInd w:val="0"/>
        <w:snapToGrid w:val="0"/>
        <w:spacing w:line="600" w:lineRule="exact"/>
        <w:ind w:firstLine="4760" w:firstLineChars="1700"/>
        <w:jc w:val="left"/>
        <w:rPr>
          <w:rFonts w:hint="eastAsia" w:ascii="宋体" w:hAnsi="宋体" w:eastAsia="宋体" w:cs="宋体"/>
          <w:sz w:val="28"/>
          <w:szCs w:val="28"/>
        </w:rPr>
      </w:pPr>
      <w:r>
        <w:rPr>
          <w:rFonts w:hint="eastAsia" w:ascii="宋体" w:hAnsi="宋体" w:eastAsia="宋体" w:cs="宋体"/>
          <w:sz w:val="28"/>
          <w:szCs w:val="28"/>
        </w:rPr>
        <w:t>采购人：</w:t>
      </w:r>
      <w:r>
        <w:rPr>
          <w:rFonts w:hint="eastAsia" w:ascii="宋体" w:hAnsi="宋体" w:eastAsia="宋体" w:cs="宋体"/>
          <w:b/>
          <w:sz w:val="28"/>
          <w:szCs w:val="28"/>
          <w:u w:val="single"/>
        </w:rPr>
        <w:t xml:space="preserve">          </w:t>
      </w:r>
      <w:r>
        <w:rPr>
          <w:rFonts w:hint="eastAsia" w:ascii="宋体" w:hAnsi="宋体" w:eastAsia="宋体" w:cs="宋体"/>
          <w:sz w:val="28"/>
          <w:szCs w:val="28"/>
        </w:rPr>
        <w:t>（公章）</w:t>
      </w:r>
    </w:p>
    <w:p>
      <w:pPr>
        <w:adjustRightInd w:val="0"/>
        <w:snapToGrid w:val="0"/>
        <w:spacing w:line="600" w:lineRule="exact"/>
        <w:ind w:firstLine="5451" w:firstLineChars="1947"/>
        <w:jc w:val="left"/>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pPr>
        <w:adjustRightInd w:val="0"/>
        <w:snapToGrid w:val="0"/>
        <w:spacing w:line="600" w:lineRule="exact"/>
        <w:jc w:val="left"/>
        <w:rPr>
          <w:rFonts w:hint="eastAsia" w:ascii="宋体" w:hAnsi="宋体" w:eastAsia="宋体" w:cs="宋体"/>
          <w:b/>
          <w:sz w:val="28"/>
          <w:szCs w:val="28"/>
        </w:rPr>
      </w:pPr>
    </w:p>
    <w:p>
      <w:pPr>
        <w:adjustRightInd w:val="0"/>
        <w:snapToGrid w:val="0"/>
        <w:spacing w:line="600" w:lineRule="exact"/>
        <w:jc w:val="left"/>
        <w:rPr>
          <w:rFonts w:asciiTheme="majorEastAsia" w:hAnsiTheme="majorEastAsia" w:eastAsiaTheme="majorEastAsia"/>
          <w:b/>
          <w:sz w:val="28"/>
          <w:szCs w:val="28"/>
        </w:rPr>
      </w:pPr>
    </w:p>
    <w:p>
      <w:pPr>
        <w:adjustRightInd w:val="0"/>
        <w:snapToGrid w:val="0"/>
        <w:spacing w:line="600" w:lineRule="exact"/>
        <w:jc w:val="left"/>
        <w:rPr>
          <w:rFonts w:asciiTheme="majorEastAsia" w:hAnsiTheme="majorEastAsia" w:eastAsiaTheme="majorEastAsia"/>
          <w:b/>
          <w:sz w:val="28"/>
          <w:szCs w:val="28"/>
        </w:rPr>
      </w:pPr>
    </w:p>
    <w:p>
      <w:pPr>
        <w:rPr>
          <w:rFonts w:ascii="仿宋_GB2312" w:eastAsia="仿宋_GB2312"/>
          <w:sz w:val="28"/>
          <w:szCs w:val="28"/>
        </w:rPr>
      </w:pPr>
      <w:r>
        <w:rPr>
          <w:rFonts w:ascii="仿宋_GB2312" w:eastAsia="仿宋_GB2312"/>
          <w:sz w:val="28"/>
          <w:szCs w:val="28"/>
        </w:rPr>
        <w:br w:type="page"/>
      </w:r>
    </w:p>
    <w:p>
      <w:pPr>
        <w:pStyle w:val="25"/>
        <w:ind w:left="0" w:leftChars="0" w:firstLine="0" w:firstLineChars="0"/>
        <w:rPr>
          <w:rFonts w:hint="eastAsia" w:eastAsia="等线"/>
          <w:lang w:val="en-US" w:eastAsia="zh-CN"/>
        </w:rPr>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4"/>
      </w:pPr>
      <w:r>
        <mc:AlternateContent>
          <mc:Choice Requires="wps">
            <w:drawing>
              <wp:anchor distT="0" distB="0" distL="114300" distR="114300" simplePos="0" relativeHeight="251666432" behindDoc="0" locked="0" layoutInCell="1" allowOverlap="1">
                <wp:simplePos x="0" y="0"/>
                <wp:positionH relativeFrom="column">
                  <wp:posOffset>2597785</wp:posOffset>
                </wp:positionH>
                <wp:positionV relativeFrom="paragraph">
                  <wp:posOffset>812165</wp:posOffset>
                </wp:positionV>
                <wp:extent cx="958850" cy="0"/>
                <wp:effectExtent l="0" t="0" r="0" b="0"/>
                <wp:wrapNone/>
                <wp:docPr id="26"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204.55pt;margin-top:63.95pt;height:0pt;width:75.5pt;z-index:251666432;mso-width-relative:page;mso-height-relative:page;" filled="f" stroked="t" coordsize="21600,21600" o:gfxdata="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hjqmtcAAAALAQAADwAAAAAAAAABACAAAAAiAAAAZHJzL2Rvd25yZXYueG1sUEsBAhQA&#10;FAAAAAgAh07iQN8X2CjzAQAA5AMAAA4AAAAAAAAAAQAgAAAAJgEAAGRycy9lMm9Eb2MueG1sUEsF&#10;BgAAAAAGAAYAWQEAAIs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2605405</wp:posOffset>
                </wp:positionH>
                <wp:positionV relativeFrom="paragraph">
                  <wp:posOffset>174625</wp:posOffset>
                </wp:positionV>
                <wp:extent cx="958850" cy="0"/>
                <wp:effectExtent l="0" t="0" r="0" b="0"/>
                <wp:wrapNone/>
                <wp:docPr id="27"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205.15pt;margin-top:13.75pt;height:0pt;width:75.5pt;z-index:251665408;mso-width-relative:page;mso-height-relative:page;" filled="f" stroked="t" coordsize="21600,21600" o:gfxdata="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TDHS1gAAAAkBAAAPAAAAAAAAAAEAIAAAACIAAABkcnMvZG93bnJldi54bWxQSwECFAAU&#10;AAAACACHTuJAoJKmqPMBAADkAwAADgAAAAAAAAABACAAAAAlAQAAZHJzL2Uyb0RvYy54bWxQSwUG&#10;AAAAAAYABgBZAQAAigUAAAAA&#10;">
                <v:fill on="f" focussize="0,0"/>
                <v:stroke color="#000000" joinstyle="round"/>
                <v:imagedata o:title=""/>
                <o:lock v:ext="edit" aspectratio="f"/>
              </v:shape>
            </w:pict>
          </mc:Fallback>
        </mc:AlternateContent>
      </w:r>
      <w:r>
        <w:rPr>
          <w:rFonts w:hint="eastAsia"/>
        </w:rPr>
        <w:t>第</w:t>
      </w:r>
      <w:r>
        <w:rPr>
          <w:rFonts w:hint="eastAsia"/>
          <w:lang w:val="en-US" w:eastAsia="zh-CN"/>
        </w:rPr>
        <w:t>三</w:t>
      </w:r>
      <w:r>
        <w:rPr>
          <w:rFonts w:hint="eastAsia"/>
        </w:rPr>
        <w:t>章</w:t>
      </w:r>
    </w:p>
    <w:p>
      <w:pPr>
        <w:pStyle w:val="45"/>
      </w:pPr>
    </w:p>
    <w:p>
      <w:pPr>
        <w:pStyle w:val="5"/>
        <w:rPr>
          <w:rFonts w:hint="default" w:eastAsia="方正小标宋简体"/>
          <w:lang w:val="en-US" w:eastAsia="zh-CN"/>
        </w:rPr>
      </w:pPr>
      <w:r>
        <w:rPr>
          <w:rFonts w:hint="eastAsia"/>
        </w:rPr>
        <w:t>采购</w:t>
      </w:r>
      <w:r>
        <w:rPr>
          <w:rFonts w:hint="eastAsia"/>
          <w:lang w:val="en-US" w:eastAsia="zh-CN"/>
        </w:rPr>
        <w:t>分法</w:t>
      </w: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r>
        <w:br w:type="page"/>
      </w:r>
    </w:p>
    <w:p>
      <w:pPr>
        <w:adjustRightInd w:val="0"/>
        <w:snapToGrid w:val="0"/>
        <w:spacing w:line="600" w:lineRule="exact"/>
        <w:jc w:val="center"/>
        <w:outlineLvl w:val="2"/>
        <w:rPr>
          <w:rFonts w:hint="eastAsia" w:ascii="宋体" w:hAnsi="宋体" w:eastAsia="宋体" w:cs="宋体"/>
          <w:b/>
          <w:sz w:val="36"/>
          <w:szCs w:val="36"/>
          <w:lang w:val="en-US" w:eastAsia="zh-CN"/>
        </w:rPr>
      </w:pPr>
      <w:bookmarkStart w:id="14" w:name="_Toc3789"/>
      <w:bookmarkStart w:id="15" w:name="_Toc24895"/>
      <w:r>
        <w:rPr>
          <w:rFonts w:hint="eastAsia" w:ascii="宋体" w:hAnsi="宋体" w:eastAsia="宋体" w:cs="宋体"/>
          <w:b/>
          <w:sz w:val="36"/>
          <w:szCs w:val="36"/>
          <w:lang w:val="en-US" w:eastAsia="zh-CN"/>
        </w:rPr>
        <w:t>询比采购</w:t>
      </w:r>
      <w:bookmarkEnd w:id="14"/>
      <w:bookmarkEnd w:id="15"/>
    </w:p>
    <w:p>
      <w:pPr>
        <w:adjustRightInd w:val="0"/>
        <w:snapToGrid w:val="0"/>
        <w:spacing w:line="600" w:lineRule="exact"/>
        <w:jc w:val="left"/>
        <w:rPr>
          <w:rFonts w:hint="eastAsia" w:ascii="宋体" w:hAnsi="宋体" w:eastAsia="宋体" w:cs="宋体"/>
          <w:b/>
          <w:sz w:val="28"/>
          <w:szCs w:val="28"/>
        </w:rPr>
      </w:pPr>
      <w:r>
        <w:rPr>
          <w:rFonts w:hint="eastAsia" w:ascii="宋体" w:hAnsi="宋体" w:eastAsia="宋体" w:cs="宋体"/>
          <w:b/>
          <w:sz w:val="28"/>
          <w:szCs w:val="28"/>
        </w:rPr>
        <w:t>公开询比</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538" w:type="pct"/>
            <w:vAlign w:val="center"/>
          </w:tcPr>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1.采购准备</w:t>
            </w:r>
          </w:p>
        </w:tc>
        <w:tc>
          <w:tcPr>
            <w:tcW w:w="4461"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1.1 在采购文件约定的时间、地点，供应商应向采购人提交响应文件；响应文件按照采购文件第二章供应商须知2.9的要求密封，按照2.10的规定提交</w:t>
            </w:r>
          </w:p>
          <w:p>
            <w:pPr>
              <w:adjustRightInd w:val="0"/>
              <w:snapToGrid w:val="0"/>
              <w:ind w:left="480" w:hanging="480" w:hangingChars="200"/>
              <w:rPr>
                <w:rFonts w:hint="eastAsia" w:ascii="宋体" w:hAnsi="宋体" w:eastAsia="宋体" w:cs="宋体"/>
                <w:sz w:val="24"/>
                <w:szCs w:val="24"/>
              </w:rPr>
            </w:pPr>
            <w:r>
              <w:rPr>
                <w:rFonts w:hint="eastAsia" w:ascii="宋体" w:hAnsi="宋体" w:eastAsia="宋体" w:cs="宋体"/>
                <w:sz w:val="24"/>
                <w:szCs w:val="24"/>
              </w:rPr>
              <w:t>1.2 资格审查执行第二章供应商须知1.对供应商的资格要求</w:t>
            </w:r>
          </w:p>
          <w:p>
            <w:pPr>
              <w:adjustRightInd w:val="0"/>
              <w:snapToGrid w:val="0"/>
              <w:ind w:left="480" w:hanging="480" w:hangingChars="200"/>
              <w:rPr>
                <w:rFonts w:hint="eastAsia" w:ascii="宋体" w:hAnsi="宋体" w:eastAsia="宋体" w:cs="宋体"/>
                <w:sz w:val="24"/>
                <w:szCs w:val="24"/>
              </w:rPr>
            </w:pPr>
            <w:r>
              <w:rPr>
                <w:rFonts w:hint="eastAsia" w:ascii="宋体" w:hAnsi="宋体" w:eastAsia="宋体" w:cs="宋体"/>
                <w:sz w:val="24"/>
                <w:szCs w:val="24"/>
              </w:rPr>
              <w:t>1.3 响应文件提交截止后，递交响应文件供应商不足3家的或有效响应文件供应商不足两家，应分析原因并重新发出采购公告或采取其他采购方式。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538" w:type="pct"/>
            <w:vAlign w:val="center"/>
          </w:tcPr>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2.询比规则</w:t>
            </w:r>
          </w:p>
        </w:tc>
        <w:tc>
          <w:tcPr>
            <w:tcW w:w="4461" w:type="pct"/>
            <w:vAlign w:val="center"/>
          </w:tcPr>
          <w:p>
            <w:pPr>
              <w:adjustRightInd w:val="0"/>
              <w:snapToGrid w:val="0"/>
              <w:ind w:left="458" w:hanging="458" w:hangingChars="191"/>
              <w:rPr>
                <w:rFonts w:hint="eastAsia" w:ascii="宋体" w:hAnsi="宋体" w:eastAsia="宋体" w:cs="宋体"/>
                <w:sz w:val="24"/>
                <w:szCs w:val="24"/>
              </w:rPr>
            </w:pPr>
            <w:r>
              <w:rPr>
                <w:rFonts w:hint="eastAsia" w:ascii="宋体" w:hAnsi="宋体" w:eastAsia="宋体" w:cs="宋体"/>
                <w:sz w:val="24"/>
                <w:szCs w:val="24"/>
              </w:rPr>
              <w:t>2.1 报价应包括国家规定的增值税税金，增值税税金按一般计税方法计算。报价范围包括</w:t>
            </w:r>
            <w:r>
              <w:rPr>
                <w:rFonts w:hint="eastAsia" w:ascii="宋体" w:hAnsi="宋体" w:eastAsia="宋体" w:cs="宋体"/>
                <w:sz w:val="24"/>
                <w:szCs w:val="24"/>
                <w:u w:val="single"/>
              </w:rPr>
              <w:t>本项目所有采购内容和范围。</w:t>
            </w:r>
            <w:r>
              <w:rPr>
                <w:rFonts w:hint="eastAsia" w:ascii="宋体" w:hAnsi="宋体" w:eastAsia="宋体" w:cs="宋体"/>
                <w:sz w:val="24"/>
                <w:szCs w:val="24"/>
              </w:rPr>
              <w:t xml:space="preserve"> </w:t>
            </w:r>
          </w:p>
          <w:p>
            <w:pPr>
              <w:adjustRightInd w:val="0"/>
              <w:snapToGrid w:val="0"/>
              <w:ind w:left="458" w:hanging="458" w:hangingChars="191"/>
              <w:rPr>
                <w:rFonts w:hint="eastAsia" w:ascii="宋体" w:hAnsi="宋体" w:eastAsia="宋体" w:cs="宋体"/>
                <w:sz w:val="24"/>
                <w:szCs w:val="24"/>
              </w:rPr>
            </w:pPr>
            <w:r>
              <w:rPr>
                <w:rFonts w:hint="eastAsia" w:ascii="宋体" w:hAnsi="宋体" w:eastAsia="宋体" w:cs="宋体"/>
                <w:sz w:val="24"/>
                <w:szCs w:val="24"/>
              </w:rPr>
              <w:t xml:space="preserve">2.2 询比地址 </w:t>
            </w:r>
          </w:p>
          <w:p>
            <w:pPr>
              <w:adjustRightInd w:val="0"/>
              <w:snapToGrid w:val="0"/>
              <w:ind w:left="456" w:leftChars="217"/>
              <w:rPr>
                <w:rFonts w:hint="eastAsia" w:ascii="宋体" w:hAnsi="宋体" w:eastAsia="宋体" w:cs="宋体"/>
                <w:sz w:val="24"/>
                <w:szCs w:val="24"/>
                <w:u w:val="single"/>
              </w:rPr>
            </w:pPr>
            <w:r>
              <w:rPr>
                <w:rFonts w:hint="eastAsia" w:ascii="宋体" w:hAnsi="宋体" w:eastAsia="宋体" w:cs="宋体"/>
                <w:sz w:val="24"/>
                <w:szCs w:val="24"/>
                <w:u w:val="single"/>
              </w:rPr>
              <w:t>广州市天河区临江大道501号广州市净水有限公司</w:t>
            </w:r>
          </w:p>
          <w:p>
            <w:pPr>
              <w:adjustRightInd w:val="0"/>
              <w:snapToGrid w:val="0"/>
              <w:rPr>
                <w:rFonts w:hint="eastAsia" w:ascii="宋体" w:hAnsi="宋体" w:eastAsia="宋体" w:cs="宋体"/>
                <w:sz w:val="24"/>
                <w:szCs w:val="24"/>
                <w:u w:val="single"/>
              </w:rPr>
            </w:pPr>
            <w:r>
              <w:rPr>
                <w:rFonts w:hint="eastAsia" w:ascii="宋体" w:hAnsi="宋体" w:eastAsia="宋体" w:cs="宋体"/>
                <w:sz w:val="24"/>
                <w:szCs w:val="24"/>
              </w:rPr>
              <w:t>2.3 询比开始时间（同响应文件截止时间）</w:t>
            </w:r>
          </w:p>
          <w:p>
            <w:pPr>
              <w:adjustRightInd w:val="0"/>
              <w:snapToGrid w:val="0"/>
              <w:ind w:left="480" w:hanging="480" w:hangingChars="200"/>
              <w:rPr>
                <w:rFonts w:hint="eastAsia" w:ascii="宋体" w:hAnsi="宋体" w:eastAsia="宋体" w:cs="宋体"/>
                <w:sz w:val="24"/>
                <w:szCs w:val="24"/>
              </w:rPr>
            </w:pPr>
            <w:r>
              <w:rPr>
                <w:rFonts w:hint="eastAsia" w:ascii="宋体" w:hAnsi="宋体" w:eastAsia="宋体" w:cs="宋体"/>
                <w:sz w:val="24"/>
                <w:szCs w:val="24"/>
              </w:rPr>
              <w:t>2.4 供应商依据采购文件规定的时间和地点递交响应文件，供应商应一次报出不可更改的价格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538" w:type="pct"/>
            <w:vAlign w:val="center"/>
          </w:tcPr>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3.成交规则</w:t>
            </w:r>
          </w:p>
        </w:tc>
        <w:tc>
          <w:tcPr>
            <w:tcW w:w="4461" w:type="pct"/>
            <w:vAlign w:val="center"/>
          </w:tcPr>
          <w:p>
            <w:pPr>
              <w:adjustRightInd w:val="0"/>
              <w:snapToGrid w:val="0"/>
              <w:ind w:left="360" w:hanging="360" w:hangingChars="150"/>
              <w:rPr>
                <w:rFonts w:hint="eastAsia" w:ascii="宋体" w:hAnsi="宋体" w:eastAsia="宋体" w:cs="宋体"/>
                <w:sz w:val="24"/>
                <w:szCs w:val="24"/>
              </w:rPr>
            </w:pPr>
            <w:r>
              <w:rPr>
                <w:rFonts w:hint="eastAsia" w:ascii="宋体" w:hAnsi="宋体" w:eastAsia="宋体" w:cs="宋体"/>
                <w:sz w:val="24"/>
                <w:szCs w:val="24"/>
              </w:rPr>
              <w:t>采购人确定满足采购文件资格性、响应性要求，并且经评审的报价最低的为成交供应商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538" w:type="pct"/>
            <w:vAlign w:val="center"/>
          </w:tcPr>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4.成交候选人公示</w:t>
            </w:r>
          </w:p>
        </w:tc>
        <w:tc>
          <w:tcPr>
            <w:tcW w:w="4461"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在评审小组提交评审报告3日内，在</w:t>
            </w:r>
            <w:r>
              <w:rPr>
                <w:rFonts w:hint="eastAsia" w:ascii="宋体" w:hAnsi="宋体" w:eastAsia="宋体" w:cs="宋体"/>
                <w:sz w:val="24"/>
                <w:szCs w:val="24"/>
                <w:u w:val="single"/>
              </w:rPr>
              <w:t>广州市净水有限公司门户网站</w:t>
            </w:r>
            <w:r>
              <w:rPr>
                <w:rFonts w:hint="eastAsia" w:ascii="宋体" w:hAnsi="宋体" w:eastAsia="宋体" w:cs="宋体"/>
                <w:sz w:val="24"/>
                <w:szCs w:val="24"/>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538" w:type="pct"/>
            <w:vAlign w:val="center"/>
          </w:tcPr>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5.成交结果公告</w:t>
            </w:r>
          </w:p>
        </w:tc>
        <w:tc>
          <w:tcPr>
            <w:tcW w:w="4461"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成交候选人公示结束后。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538" w:type="pct"/>
            <w:vAlign w:val="center"/>
          </w:tcPr>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6.成交通知书</w:t>
            </w:r>
          </w:p>
        </w:tc>
        <w:tc>
          <w:tcPr>
            <w:tcW w:w="4461" w:type="pct"/>
            <w:vAlign w:val="center"/>
          </w:tcPr>
          <w:p>
            <w:pPr>
              <w:adjustRightInd w:val="0"/>
              <w:snapToGrid w:val="0"/>
              <w:ind w:left="1" w:firstLine="2"/>
              <w:jc w:val="left"/>
              <w:rPr>
                <w:rFonts w:hint="eastAsia" w:ascii="宋体" w:hAnsi="宋体" w:eastAsia="宋体" w:cs="宋体"/>
                <w:sz w:val="24"/>
                <w:szCs w:val="24"/>
              </w:rPr>
            </w:pPr>
            <w:r>
              <w:rPr>
                <w:rFonts w:hint="eastAsia" w:ascii="宋体" w:hAnsi="宋体" w:eastAsia="宋体" w:cs="宋体"/>
                <w:sz w:val="24"/>
                <w:szCs w:val="24"/>
              </w:rPr>
              <w:t>采购人应在确定成交供应商后及时向其发出成交通知书。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538" w:type="pct"/>
            <w:vAlign w:val="center"/>
          </w:tcPr>
          <w:p>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7.签订采购合同</w:t>
            </w:r>
          </w:p>
        </w:tc>
        <w:tc>
          <w:tcPr>
            <w:tcW w:w="4461" w:type="pct"/>
            <w:vAlign w:val="center"/>
          </w:tcPr>
          <w:p>
            <w:pPr>
              <w:adjustRightInd w:val="0"/>
              <w:snapToGrid w:val="0"/>
              <w:ind w:left="1" w:firstLine="2"/>
              <w:jc w:val="left"/>
              <w:rPr>
                <w:rFonts w:hint="eastAsia" w:ascii="宋体" w:hAnsi="宋体" w:eastAsia="宋体" w:cs="宋体"/>
                <w:sz w:val="24"/>
                <w:szCs w:val="24"/>
              </w:rPr>
            </w:pPr>
            <w:r>
              <w:rPr>
                <w:rFonts w:hint="eastAsia" w:ascii="宋体" w:hAnsi="宋体" w:eastAsia="宋体" w:cs="宋体"/>
                <w:sz w:val="24"/>
                <w:szCs w:val="24"/>
              </w:rPr>
              <w:t>采购人在发出成交通知书后30日内同成交供应商签订书面采购合同.</w:t>
            </w:r>
          </w:p>
        </w:tc>
      </w:tr>
    </w:tbl>
    <w:p>
      <w:pPr>
        <w:adjustRightInd w:val="0"/>
        <w:snapToGrid w:val="0"/>
        <w:spacing w:line="600" w:lineRule="exact"/>
        <w:ind w:firstLine="560" w:firstLineChars="200"/>
        <w:jc w:val="left"/>
        <w:rPr>
          <w:rFonts w:hint="eastAsia" w:ascii="宋体" w:hAnsi="宋体" w:eastAsia="宋体" w:cs="宋体"/>
          <w:sz w:val="28"/>
          <w:szCs w:val="28"/>
        </w:rPr>
      </w:pPr>
    </w:p>
    <w:p>
      <w:pPr>
        <w:rPr>
          <w:rFonts w:ascii="仿宋_GB2312" w:eastAsia="仿宋_GB2312"/>
          <w:sz w:val="28"/>
          <w:szCs w:val="28"/>
        </w:rPr>
      </w:pPr>
      <w:r>
        <w:rPr>
          <w:rFonts w:ascii="仿宋_GB2312" w:eastAsia="仿宋_GB2312"/>
          <w:sz w:val="28"/>
          <w:szCs w:val="28"/>
        </w:rPr>
        <w:br w:type="page"/>
      </w:r>
    </w:p>
    <w:p>
      <w:pPr>
        <w:pStyle w:val="25"/>
        <w:ind w:left="0" w:leftChars="0" w:firstLine="0" w:firstLineChars="0"/>
        <w:rPr>
          <w:rFonts w:hint="eastAsia" w:eastAsia="等线"/>
          <w:lang w:val="en-US" w:eastAsia="zh-CN"/>
        </w:rPr>
      </w:pPr>
      <w:bookmarkStart w:id="16" w:name="_Toc26826"/>
      <w:bookmarkStart w:id="17" w:name="_Toc23033"/>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4"/>
      </w:pPr>
      <w:r>
        <mc:AlternateContent>
          <mc:Choice Requires="wps">
            <w:drawing>
              <wp:anchor distT="0" distB="0" distL="114300" distR="114300" simplePos="0" relativeHeight="251664384" behindDoc="0" locked="0" layoutInCell="1" allowOverlap="1">
                <wp:simplePos x="0" y="0"/>
                <wp:positionH relativeFrom="column">
                  <wp:posOffset>2597785</wp:posOffset>
                </wp:positionH>
                <wp:positionV relativeFrom="paragraph">
                  <wp:posOffset>812165</wp:posOffset>
                </wp:positionV>
                <wp:extent cx="958850" cy="0"/>
                <wp:effectExtent l="0" t="0" r="0" b="0"/>
                <wp:wrapNone/>
                <wp:docPr id="24"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204.55pt;margin-top:63.95pt;height:0pt;width:75.5pt;z-index:251664384;mso-width-relative:page;mso-height-relative:page;" filled="f" stroked="t" coordsize="21600,21600" o:gfxdata="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HTp5w5sHTj&#10;Pz99+/Xx8+2XH7ffv7LJ86xRH7Cm0JXbxNMOwyZmwoc22vwnKuxQdD2edVWHxAQdvpjN5zNSXNy5&#10;qvu8EDG9Ut6ybDQcUwS969LKO0eX5+OkyAr715ioMiXeJeSixrE+w09nBA40jC0NAZk2ECF0u5KL&#10;3mh5rY3JGRh325WJbA95IMqX+RHuX2G5yBqwG+KKaxiVToF86SRLx0BKOXohPLdgleTMKHpQ2SJA&#10;qBNoc0kklTaOOsgSD6Jma+vlsWhdzunyS4+nQc3T9ee+ZN8/z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hjqmtcAAAALAQAADwAAAAAAAAABACAAAAAiAAAAZHJzL2Rvd25yZXYueG1sUEsBAhQA&#10;FAAAAAgAh07iQNXXZUfzAQAA5AMAAA4AAAAAAAAAAQAgAAAAJgEAAGRycy9lMm9Eb2MueG1sUEsF&#10;BgAAAAAGAAYAWQEAAIs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2605405</wp:posOffset>
                </wp:positionH>
                <wp:positionV relativeFrom="paragraph">
                  <wp:posOffset>174625</wp:posOffset>
                </wp:positionV>
                <wp:extent cx="958850" cy="0"/>
                <wp:effectExtent l="0" t="0" r="0" b="0"/>
                <wp:wrapNone/>
                <wp:docPr id="25"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205.15pt;margin-top:13.75pt;height:0pt;width:75.5pt;z-index:251663360;mso-width-relative:page;mso-height-relative:page;" filled="f" stroked="t" coordsize="21600,21600" o:gfxdata="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TDHS1gAAAAkBAAAPAAAAAAAAAAEAIAAAACIAAABkcnMvZG93bnJldi54bWxQSwECFAAU&#10;AAAACACHTuJAqlIbx/MBAADkAwAADgAAAAAAAAABACAAAAAlAQAAZHJzL2Uyb0RvYy54bWxQSwUG&#10;AAAAAAYABgBZAQAAigUAAAAA&#10;">
                <v:fill on="f" focussize="0,0"/>
                <v:stroke color="#000000" joinstyle="round"/>
                <v:imagedata o:title=""/>
                <o:lock v:ext="edit" aspectratio="f"/>
              </v:shape>
            </w:pict>
          </mc:Fallback>
        </mc:AlternateContent>
      </w:r>
      <w:r>
        <w:rPr>
          <w:rFonts w:hint="eastAsia"/>
        </w:rPr>
        <w:t>第</w:t>
      </w:r>
      <w:r>
        <w:rPr>
          <w:rFonts w:hint="eastAsia"/>
          <w:lang w:val="en-US" w:eastAsia="zh-CN"/>
        </w:rPr>
        <w:t>四</w:t>
      </w:r>
      <w:r>
        <w:rPr>
          <w:rFonts w:hint="eastAsia"/>
        </w:rPr>
        <w:t>章</w:t>
      </w:r>
    </w:p>
    <w:p>
      <w:pPr>
        <w:pStyle w:val="45"/>
      </w:pPr>
    </w:p>
    <w:p>
      <w:pPr>
        <w:pStyle w:val="5"/>
        <w:rPr>
          <w:rFonts w:hint="default" w:eastAsia="方正小标宋简体"/>
          <w:lang w:val="en-US" w:eastAsia="zh-CN"/>
        </w:rPr>
      </w:pPr>
      <w:r>
        <w:rPr>
          <w:rFonts w:hint="eastAsia"/>
        </w:rPr>
        <w:t>采购</w:t>
      </w:r>
      <w:r>
        <w:rPr>
          <w:rFonts w:hint="eastAsia"/>
          <w:lang w:val="en-US" w:eastAsia="zh-CN"/>
        </w:rPr>
        <w:t>方法</w:t>
      </w: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r>
        <w:br w:type="page"/>
      </w:r>
    </w:p>
    <w:p>
      <w:pPr>
        <w:pStyle w:val="5"/>
        <w:rPr>
          <w:rFonts w:hint="eastAsia"/>
        </w:rPr>
      </w:pPr>
      <w:r>
        <w:rPr>
          <w:rFonts w:hint="eastAsia"/>
        </w:rPr>
        <w:t>经评审的最低价法</w:t>
      </w:r>
      <w:bookmarkEnd w:id="16"/>
      <w:bookmarkEnd w:id="17"/>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rPr>
        <w:t>1.评审方法</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供应商的报价应当符合采购文件规定的技术要求和标准，但评审小组无须对响应文件的技术部分进行价格评审。</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除报价外，评审还应考虑的商务因素一般有以下几种：</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（1）运输费用及保险费。（如有）</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（2）工期、交货期或服务期限。</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（3）支付条件。</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（4）备品备件以及售后服务（如有）。</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（5）价格调整因素。</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经澄清确认后修正的最终报价应当认为是供应商的真实要约，可以作为合同签约价。</w:t>
      </w:r>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rPr>
        <w:t>2.评审程序</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2.1 初步评审</w:t>
      </w:r>
    </w:p>
    <w:p>
      <w:pPr>
        <w:adjustRightInd w:val="0"/>
        <w:snapToGrid w:val="0"/>
        <w:spacing w:line="600" w:lineRule="exact"/>
        <w:jc w:val="left"/>
        <w:rPr>
          <w:rFonts w:hint="eastAsia" w:ascii="宋体" w:hAnsi="宋体" w:eastAsia="宋体" w:cs="宋体"/>
          <w:sz w:val="28"/>
          <w:szCs w:val="28"/>
        </w:rPr>
      </w:pPr>
      <w:r>
        <w:rPr>
          <w:rFonts w:hint="eastAsia" w:ascii="宋体" w:hAnsi="宋体" w:eastAsia="宋体" w:cs="宋体"/>
          <w:sz w:val="28"/>
          <w:szCs w:val="28"/>
        </w:rPr>
        <w:t xml:space="preserve">表4-1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初步评审标准</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8"/>
        <w:gridCol w:w="2351"/>
        <w:gridCol w:w="6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752" w:type="pct"/>
            <w:vAlign w:val="center"/>
          </w:tcPr>
          <w:p>
            <w:pPr>
              <w:adjustRightInd w:val="0"/>
              <w:snapToGrid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评审环节</w:t>
            </w:r>
          </w:p>
        </w:tc>
        <w:tc>
          <w:tcPr>
            <w:tcW w:w="1180" w:type="pct"/>
            <w:vAlign w:val="center"/>
          </w:tcPr>
          <w:p>
            <w:pPr>
              <w:adjustRightInd w:val="0"/>
              <w:snapToGrid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评审因素</w:t>
            </w:r>
          </w:p>
        </w:tc>
        <w:tc>
          <w:tcPr>
            <w:tcW w:w="3067" w:type="pct"/>
            <w:vAlign w:val="center"/>
          </w:tcPr>
          <w:p>
            <w:pPr>
              <w:adjustRightInd w:val="0"/>
              <w:snapToGrid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752" w:type="pct"/>
            <w:vMerge w:val="restar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形式评审</w:t>
            </w:r>
          </w:p>
        </w:tc>
        <w:tc>
          <w:tcPr>
            <w:tcW w:w="1180"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响应函签字盖章</w:t>
            </w:r>
          </w:p>
        </w:tc>
        <w:tc>
          <w:tcPr>
            <w:tcW w:w="3067"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有响应函，有法定代表人或其委托代理人签字并加盖单位章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52" w:type="pct"/>
            <w:vMerge w:val="continue"/>
            <w:vAlign w:val="center"/>
          </w:tcPr>
          <w:p>
            <w:pPr>
              <w:adjustRightInd w:val="0"/>
              <w:snapToGrid w:val="0"/>
              <w:jc w:val="center"/>
              <w:rPr>
                <w:rFonts w:hint="eastAsia" w:ascii="宋体" w:hAnsi="宋体" w:eastAsia="宋体" w:cs="宋体"/>
                <w:sz w:val="24"/>
                <w:szCs w:val="24"/>
              </w:rPr>
            </w:pPr>
          </w:p>
        </w:tc>
        <w:tc>
          <w:tcPr>
            <w:tcW w:w="1180" w:type="pct"/>
            <w:vAlign w:val="center"/>
          </w:tcPr>
          <w:p>
            <w:pPr>
              <w:adjustRightInd w:val="0"/>
              <w:snapToGrid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响应文件格式</w:t>
            </w:r>
          </w:p>
        </w:tc>
        <w:tc>
          <w:tcPr>
            <w:tcW w:w="3067" w:type="pct"/>
            <w:vAlign w:val="center"/>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符合采购文件“响应文件格式”要求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2" w:type="pct"/>
            <w:vMerge w:val="continue"/>
            <w:vAlign w:val="center"/>
          </w:tcPr>
          <w:p>
            <w:pPr>
              <w:adjustRightInd w:val="0"/>
              <w:snapToGrid w:val="0"/>
              <w:jc w:val="center"/>
              <w:rPr>
                <w:rFonts w:hint="eastAsia" w:ascii="宋体" w:hAnsi="宋体" w:eastAsia="宋体" w:cs="宋体"/>
                <w:sz w:val="24"/>
                <w:szCs w:val="24"/>
              </w:rPr>
            </w:pPr>
          </w:p>
        </w:tc>
        <w:tc>
          <w:tcPr>
            <w:tcW w:w="1180"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报价唯一</w:t>
            </w:r>
          </w:p>
        </w:tc>
        <w:tc>
          <w:tcPr>
            <w:tcW w:w="3067"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只能有一个有效报价，按采购文件规定提交备选方案除外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52" w:type="pct"/>
            <w:vMerge w:val="continue"/>
            <w:vAlign w:val="center"/>
          </w:tcPr>
          <w:p>
            <w:pPr>
              <w:adjustRightInd w:val="0"/>
              <w:snapToGrid w:val="0"/>
              <w:jc w:val="center"/>
              <w:rPr>
                <w:rFonts w:hint="eastAsia" w:ascii="宋体" w:hAnsi="宋体" w:eastAsia="宋体" w:cs="宋体"/>
                <w:sz w:val="24"/>
                <w:szCs w:val="24"/>
              </w:rPr>
            </w:pPr>
          </w:p>
        </w:tc>
        <w:tc>
          <w:tcPr>
            <w:tcW w:w="1180"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法定代表人授权委托</w:t>
            </w:r>
          </w:p>
        </w:tc>
        <w:tc>
          <w:tcPr>
            <w:tcW w:w="3067"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有授权书，授权书有法定代表人及其委托代理人签字并加盖单位公章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52" w:type="pct"/>
            <w:vMerge w:val="restar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资格评审</w:t>
            </w:r>
          </w:p>
        </w:tc>
        <w:tc>
          <w:tcPr>
            <w:tcW w:w="1180"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营业执照</w:t>
            </w:r>
          </w:p>
        </w:tc>
        <w:tc>
          <w:tcPr>
            <w:tcW w:w="3067"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752" w:type="pct"/>
            <w:vMerge w:val="continue"/>
            <w:vAlign w:val="center"/>
          </w:tcPr>
          <w:p>
            <w:pPr>
              <w:adjustRightInd w:val="0"/>
              <w:snapToGrid w:val="0"/>
              <w:jc w:val="center"/>
              <w:rPr>
                <w:rFonts w:hint="eastAsia" w:ascii="宋体" w:hAnsi="宋体" w:eastAsia="宋体" w:cs="宋体"/>
                <w:sz w:val="24"/>
                <w:szCs w:val="24"/>
              </w:rPr>
            </w:pPr>
          </w:p>
        </w:tc>
        <w:tc>
          <w:tcPr>
            <w:tcW w:w="1180"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供应商资格</w:t>
            </w:r>
          </w:p>
        </w:tc>
        <w:tc>
          <w:tcPr>
            <w:tcW w:w="3067"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满足法律法规及采购文件供应商资格要求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52" w:type="pct"/>
            <w:vMerge w:val="restar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响应性评审</w:t>
            </w:r>
          </w:p>
        </w:tc>
        <w:tc>
          <w:tcPr>
            <w:tcW w:w="1180"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报价</w:t>
            </w:r>
          </w:p>
        </w:tc>
        <w:tc>
          <w:tcPr>
            <w:tcW w:w="3067"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没有超过最高限价；若报价低于本项目最高限价的60%，必须说明报价理由。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752" w:type="pct"/>
            <w:vMerge w:val="continue"/>
            <w:vAlign w:val="center"/>
          </w:tcPr>
          <w:p>
            <w:pPr>
              <w:adjustRightInd w:val="0"/>
              <w:snapToGrid w:val="0"/>
              <w:jc w:val="center"/>
              <w:rPr>
                <w:rFonts w:hint="eastAsia" w:ascii="宋体" w:hAnsi="宋体" w:eastAsia="宋体" w:cs="宋体"/>
                <w:sz w:val="24"/>
                <w:szCs w:val="24"/>
              </w:rPr>
            </w:pPr>
          </w:p>
        </w:tc>
        <w:tc>
          <w:tcPr>
            <w:tcW w:w="1180"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其他</w:t>
            </w:r>
          </w:p>
        </w:tc>
        <w:tc>
          <w:tcPr>
            <w:tcW w:w="3067"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采购文件要求必须提供的其他资料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52" w:type="pct"/>
            <w:vMerge w:val="continue"/>
            <w:vAlign w:val="center"/>
          </w:tcPr>
          <w:p>
            <w:pPr>
              <w:adjustRightInd w:val="0"/>
              <w:snapToGrid w:val="0"/>
              <w:jc w:val="center"/>
              <w:rPr>
                <w:rFonts w:hint="eastAsia" w:ascii="宋体" w:hAnsi="宋体" w:eastAsia="宋体" w:cs="宋体"/>
                <w:sz w:val="24"/>
                <w:szCs w:val="24"/>
              </w:rPr>
            </w:pPr>
          </w:p>
        </w:tc>
        <w:tc>
          <w:tcPr>
            <w:tcW w:w="1180" w:type="pct"/>
            <w:vAlign w:val="center"/>
          </w:tcPr>
          <w:p>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其他无效响应</w:t>
            </w:r>
          </w:p>
        </w:tc>
        <w:tc>
          <w:tcPr>
            <w:tcW w:w="3067" w:type="pct"/>
            <w:vAlign w:val="center"/>
          </w:tcPr>
          <w:p>
            <w:pPr>
              <w:adjustRightInd w:val="0"/>
              <w:snapToGrid w:val="0"/>
              <w:rPr>
                <w:rFonts w:hint="eastAsia" w:ascii="宋体" w:hAnsi="宋体" w:eastAsia="宋体" w:cs="宋体"/>
                <w:sz w:val="24"/>
                <w:szCs w:val="24"/>
              </w:rPr>
            </w:pPr>
            <w:r>
              <w:rPr>
                <w:rFonts w:hint="eastAsia" w:ascii="宋体" w:hAnsi="宋体" w:eastAsia="宋体" w:cs="宋体"/>
                <w:sz w:val="24"/>
                <w:szCs w:val="24"/>
              </w:rPr>
              <w:t>无法律法规及采购文件规定的其他无效响应内容</w:t>
            </w:r>
          </w:p>
        </w:tc>
      </w:tr>
    </w:tbl>
    <w:p>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宋体" w:hAnsi="宋体" w:eastAsia="宋体" w:cs="宋体"/>
          <w:sz w:val="24"/>
          <w:szCs w:val="24"/>
        </w:rPr>
      </w:pPr>
      <w:r>
        <w:rPr>
          <w:rFonts w:hint="eastAsia" w:ascii="宋体" w:hAnsi="宋体" w:eastAsia="宋体" w:cs="宋体"/>
          <w:sz w:val="24"/>
          <w:szCs w:val="24"/>
        </w:rPr>
        <w:t>说明：初步评审活动依照形式评审、资格评审、响应性评审顺序进行，前一个环节不符合采购文件要求的不得进入下一个环节。</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2.2澄清补正</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（1）响应文件中的大写金额与小写金额不一致的，以大写金额为准。</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（2）总价金额与依据单价计算出的结果不一致的，以单价金额为准修正总价，但单价金额小数点有明显错误的除外。</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（3）采购文件中有规定固定费率标准或固定金额的，或者有固定费率标准或固定金额的计算公式的，应按规定填报，否则由评审小组按照采购文件规定的费率、金额或者其计算公式进行修正或否决其响应。</w:t>
      </w:r>
    </w:p>
    <w:p>
      <w:pPr>
        <w:adjustRightInd w:val="0"/>
        <w:snapToGrid w:val="0"/>
        <w:spacing w:line="60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adjustRightInd w:val="0"/>
        <w:snapToGrid w:val="0"/>
        <w:spacing w:line="600" w:lineRule="exact"/>
        <w:ind w:firstLine="560" w:firstLineChars="200"/>
        <w:jc w:val="left"/>
        <w:rPr>
          <w:rFonts w:ascii="仿宋_GB2312" w:eastAsia="仿宋_GB2312" w:hAnsiTheme="minorEastAsia"/>
          <w:szCs w:val="21"/>
        </w:rPr>
      </w:pPr>
      <w:r>
        <w:rPr>
          <w:rFonts w:hint="eastAsia" w:ascii="宋体" w:hAnsi="宋体" w:eastAsia="宋体" w:cs="宋体"/>
          <w:sz w:val="28"/>
          <w:szCs w:val="28"/>
        </w:rPr>
        <w:t>2.3评审结果 评审后，评审价格最低的供应商为成交供应商。如评审价格相同，可由评审小组根据评审情况以记名投票方式确定供应商排名，并将推荐理由写入评审报告。</w:t>
      </w:r>
    </w:p>
    <w:p>
      <w:pPr>
        <w:rPr>
          <w:rFonts w:hint="eastAsia"/>
        </w:rPr>
      </w:pPr>
      <w:bookmarkStart w:id="18" w:name="_Toc88209947"/>
      <w:r>
        <w:rPr>
          <w:rFonts w:hint="eastAsia"/>
        </w:rPr>
        <w:br w:type="page"/>
      </w:r>
    </w:p>
    <w:p>
      <w:pPr>
        <w:pStyle w:val="25"/>
        <w:ind w:left="0" w:leftChars="0" w:firstLine="0" w:firstLineChars="0"/>
        <w:rPr>
          <w:rFonts w:hint="eastAsia" w:eastAsia="等线"/>
          <w:lang w:val="en-US" w:eastAsia="zh-CN"/>
        </w:rPr>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4"/>
      </w:pPr>
      <w:r>
        <mc:AlternateContent>
          <mc:Choice Requires="wps">
            <w:drawing>
              <wp:anchor distT="0" distB="0" distL="114300" distR="114300" simplePos="0" relativeHeight="251662336" behindDoc="0" locked="0" layoutInCell="1" allowOverlap="1">
                <wp:simplePos x="0" y="0"/>
                <wp:positionH relativeFrom="column">
                  <wp:posOffset>2597785</wp:posOffset>
                </wp:positionH>
                <wp:positionV relativeFrom="paragraph">
                  <wp:posOffset>812165</wp:posOffset>
                </wp:positionV>
                <wp:extent cx="958850" cy="0"/>
                <wp:effectExtent l="0" t="0" r="0" b="0"/>
                <wp:wrapNone/>
                <wp:docPr id="2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204.55pt;margin-top:63.95pt;height:0pt;width:75.5pt;z-index:251662336;mso-width-relative:page;mso-height-relative:page;" filled="f" stroked="t" coordsize="21600,21600" o:gfxdata="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YY6prXAAAACwEAAA8AAAAAAAAAAQAgAAAAIgAAAGRycy9kb3ducmV2LnhtbFBLAQIU&#10;ABQAAAAIAIdO4kDLl6P39AEAAOQDAAAOAAAAAAAAAAEAIAAAACYBAABkcnMvZTJvRG9jLnhtbFBL&#10;BQYAAAAABgAGAFkBAACM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2605405</wp:posOffset>
                </wp:positionH>
                <wp:positionV relativeFrom="paragraph">
                  <wp:posOffset>174625</wp:posOffset>
                </wp:positionV>
                <wp:extent cx="958850" cy="0"/>
                <wp:effectExtent l="0" t="0" r="0" b="0"/>
                <wp:wrapNone/>
                <wp:docPr id="23"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205.15pt;margin-top:13.75pt;height:0pt;width:75.5pt;z-index:251661312;mso-width-relative:page;mso-height-relative:page;" filled="f" stroked="t" coordsize="21600,21600" o:gfxdata="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TDHS1gAAAAkBAAAPAAAAAAAAAAEAIAAAACIAAABkcnMvZG93bnJldi54bWxQSwECFAAU&#10;AAAACACHTuJAtBLdd/MBAADkAwAADgAAAAAAAAABACAAAAAlAQAAZHJzL2Uyb0RvYy54bWxQSwUG&#10;AAAAAAYABgBZAQAAigUAAAAA&#10;">
                <v:fill on="f" focussize="0,0"/>
                <v:stroke color="#000000" joinstyle="round"/>
                <v:imagedata o:title=""/>
                <o:lock v:ext="edit" aspectratio="f"/>
              </v:shape>
            </w:pict>
          </mc:Fallback>
        </mc:AlternateContent>
      </w:r>
      <w:r>
        <w:rPr>
          <w:rFonts w:hint="eastAsia"/>
        </w:rPr>
        <w:t>第</w:t>
      </w:r>
      <w:r>
        <w:rPr>
          <w:rFonts w:hint="eastAsia"/>
          <w:lang w:val="en-US" w:eastAsia="zh-CN"/>
        </w:rPr>
        <w:t>五</w:t>
      </w:r>
      <w:r>
        <w:rPr>
          <w:rFonts w:hint="eastAsia"/>
        </w:rPr>
        <w:t>章</w:t>
      </w:r>
    </w:p>
    <w:p>
      <w:pPr>
        <w:pStyle w:val="45"/>
      </w:pPr>
    </w:p>
    <w:p>
      <w:pPr>
        <w:pStyle w:val="5"/>
        <w:rPr>
          <w:rFonts w:hint="eastAsia" w:eastAsia="方正小标宋简体"/>
          <w:lang w:val="en-US" w:eastAsia="zh-CN"/>
        </w:rPr>
      </w:pPr>
      <w:r>
        <w:rPr>
          <w:rFonts w:hint="eastAsia"/>
        </w:rPr>
        <w:t>采购</w:t>
      </w:r>
      <w:r>
        <w:rPr>
          <w:rFonts w:hint="eastAsia"/>
          <w:lang w:val="en-US" w:eastAsia="zh-CN"/>
        </w:rPr>
        <w:t>需求</w:t>
      </w: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r>
        <w:br w:type="page"/>
      </w:r>
    </w:p>
    <w:p>
      <w:pPr>
        <w:adjustRightInd w:val="0"/>
        <w:snapToGrid w:val="0"/>
        <w:spacing w:line="600" w:lineRule="exact"/>
        <w:jc w:val="left"/>
        <w:outlineLvl w:val="2"/>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1.项目内容及需求</w:t>
      </w:r>
    </w:p>
    <w:p>
      <w:pPr>
        <w:spacing w:line="480" w:lineRule="auto"/>
        <w:rPr>
          <w:rFonts w:hint="eastAsia" w:ascii="宋体" w:hAnsi="宋体" w:eastAsia="宋体" w:cs="宋体"/>
          <w:b/>
          <w:bCs/>
          <w:sz w:val="24"/>
          <w:szCs w:val="28"/>
          <w:lang w:val="en-US" w:eastAsia="zh-CN"/>
        </w:rPr>
      </w:pPr>
      <w:r>
        <w:rPr>
          <w:rFonts w:hint="eastAsia" w:ascii="宋体" w:hAnsi="宋体" w:eastAsia="宋体" w:cs="宋体"/>
          <w:b/>
          <w:bCs/>
          <w:sz w:val="24"/>
          <w:szCs w:val="28"/>
          <w:lang w:val="en-US" w:eastAsia="zh-CN"/>
        </w:rPr>
        <w:t>1.1、采购清单</w:t>
      </w:r>
    </w:p>
    <w:tbl>
      <w:tblPr>
        <w:tblStyle w:val="27"/>
        <w:tblW w:w="9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1"/>
        <w:gridCol w:w="6328"/>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center"/>
          </w:tcPr>
          <w:p>
            <w:pPr>
              <w:rPr>
                <w:rFonts w:hint="eastAsia"/>
                <w:b/>
                <w:bCs/>
                <w:vertAlign w:val="baseline"/>
                <w:lang w:val="en-US" w:eastAsia="zh-CN" w:bidi="ar"/>
              </w:rPr>
            </w:pPr>
            <w:r>
              <w:rPr>
                <w:rFonts w:hint="eastAsia"/>
                <w:b/>
                <w:bCs/>
                <w:vertAlign w:val="baseline"/>
                <w:lang w:val="en-US" w:eastAsia="zh-CN" w:bidi="ar"/>
              </w:rPr>
              <w:t xml:space="preserve">      名称</w:t>
            </w:r>
          </w:p>
        </w:tc>
        <w:tc>
          <w:tcPr>
            <w:tcW w:w="5826" w:type="dxa"/>
            <w:vAlign w:val="center"/>
          </w:tcPr>
          <w:p>
            <w:pPr>
              <w:ind w:firstLine="2319" w:firstLineChars="1100"/>
              <w:rPr>
                <w:rFonts w:hint="eastAsia"/>
                <w:b/>
                <w:bCs/>
                <w:vertAlign w:val="baseline"/>
                <w:lang w:val="en-US" w:eastAsia="zh-CN" w:bidi="ar"/>
              </w:rPr>
            </w:pPr>
            <w:r>
              <w:rPr>
                <w:rFonts w:hint="eastAsia"/>
                <w:b/>
                <w:bCs/>
                <w:vertAlign w:val="baseline"/>
                <w:lang w:val="en-US" w:eastAsia="zh-CN" w:bidi="ar"/>
              </w:rPr>
              <w:t>服务内容</w:t>
            </w:r>
          </w:p>
        </w:tc>
        <w:tc>
          <w:tcPr>
            <w:tcW w:w="1300" w:type="dxa"/>
            <w:vAlign w:val="center"/>
          </w:tcPr>
          <w:p>
            <w:pPr>
              <w:ind w:firstLine="422" w:firstLineChars="200"/>
              <w:rPr>
                <w:rFonts w:hint="eastAsia"/>
                <w:b/>
                <w:bCs/>
                <w:vertAlign w:val="baseline"/>
                <w:lang w:val="en-US" w:eastAsia="zh-CN" w:bidi="ar"/>
              </w:rPr>
            </w:pPr>
            <w:r>
              <w:rPr>
                <w:rFonts w:hint="eastAsia"/>
                <w:b/>
                <w:bCs/>
                <w:vertAlign w:val="baseli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072" w:type="dxa"/>
            <w:vAlign w:val="top"/>
          </w:tcPr>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全彩P1.5小间距LED显示屏</w:t>
            </w:r>
          </w:p>
        </w:tc>
        <w:tc>
          <w:tcPr>
            <w:tcW w:w="5826"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1.点间距≤1.56mm；</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2.屏体尺寸：宽度≥3.6米，高度≥2.025米；</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3.整屏分辨率宽≥2304点，高≥1296点；</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4.像素密度：≥409600点/平方；</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5.箱体结构：高精度压铸铝合金材质，一体成型(框架、背板、后盖)整体压铸成型，抗压抗拉；全金属自然散热结构，电源全贴合设计，散热快，稳定性好;无风扇、无孔、防尘、静音设计；</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6.驱动方式：恒流驱动；</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7.水平/垂直相对偏差：≤1%；</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8.屏幕峰值功耗：≤550W/㎡@600cd/m2(nits) ；</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9.白平衡亮度：≥1500cd/m2(nits)；</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10.视角：水平/垂直视角≥160°；</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11.灰度等级：支持通过配套控制软件调节灰度等级的设置选项，灰度等级15Bit~ 22Bit；</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12.色温：2000K－10000K可调；</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13.换帧频率：支持信号源50Hz、60Hz、96Hz、120Hz、144Hz、240Hz 帧频处理，支持3D显示应用；</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14.最高对比度：10000：1；</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15.色域≥120%NTSC；</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16.平整度：≤0.1mm；</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17.刷新频率：≥3840Hz；</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18.亮度均匀性：≥99%；</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19.像素失控率：≤1/1000000，无连续失控点；</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20.外壳防护等级：≥IP6X ；</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21.模块微调功能：支持6轴向精密微调，从单元模块上下、左右、前后，均可以对任何一个模块进行亚毫米级的精细微调</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22.支持单点(逐点)色度和亮度校正；支持5套亮度级校正系数，多层校正及存储;支持出厂校正及现场校正；</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23.平均无故障时间：显示模组的平均失效无故障MTBF≥100000小时，可用度≥0.9999999；</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24.模块表面处理：采用电喷技术，黑色哑光处理，可有效防止反光和静电，无面罩设计，反光率≤1.5%； 显示屏对比度高，屏幕表面采用无塑胶类结构件，屏体表面均匀，观看视角大，观看效果好，PCB及灯管散热良好；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25.亮度调整：具有随环境照度的变化而自动亮度调整的功能，支持手动、自动、程控、软件调节（0-100%无极可调）；</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26.支持色彩置换、色彩调节功能，可以对输入源的色彩进行调节，亮度、对比度、饱和度、色相等都可以调节；</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27.支持把视频源进行倍频，60Hz 的输入，120Hz的输出，解决LED屏拍摄时灰度丢失的问题</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28.数据存储：支持模块级亮度色度校正数据的存储及回读功能；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29.数据传输：支持模块级无线连接、支持模组无线连接；</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30.维护方式：支持整体前维护，模块、控制板、电源、系统卡等所有组件均能快速从前面进行维护；</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31.防护功能：具有完全防尘、防腐蚀、防静电、防电磁干扰、抗雷击、防虫、抗风保护等功能；具有电源过压、过流、断电保护、分布上电措施；具有实时监控温度、故障报警功能；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32.LED显示屏支持模组级DC供电方式(≤48Vdc),支持通讯级开关电源组合集中供电系统,支持N+1冗余备份和热拔插功能（提供首页具有CMA、CNAS和ilac-MRA标识的检测报告证明，并加盖LED显示屏制造厂商公章）</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33.安全特性：符合GB4943.1、IEC60950-1、IEC62368-1、EN60950-1、EN62368-1要求；</w:t>
            </w:r>
          </w:p>
        </w:tc>
        <w:tc>
          <w:tcPr>
            <w:tcW w:w="1300" w:type="dxa"/>
          </w:tcPr>
          <w:p>
            <w:pPr>
              <w:rPr>
                <w:rFonts w:hint="eastAsia" w:asciiTheme="minorHAnsi" w:hAnsiTheme="minorHAnsi" w:eastAsiaTheme="minorEastAsia" w:cstheme="minorBidi"/>
                <w:kern w:val="2"/>
                <w:sz w:val="21"/>
                <w:szCs w:val="22"/>
                <w:lang w:val="en-US" w:eastAsia="zh-CN" w:bidi="ar"/>
              </w:rPr>
            </w:pPr>
          </w:p>
          <w:p>
            <w:pPr>
              <w:rPr>
                <w:rFonts w:hint="eastAsia" w:asciiTheme="minorHAnsi" w:hAnsiTheme="minorHAnsi" w:eastAsiaTheme="minorEastAsia" w:cstheme="minorBidi"/>
                <w:kern w:val="2"/>
                <w:sz w:val="21"/>
                <w:szCs w:val="22"/>
                <w:lang w:val="en-US" w:eastAsia="zh-CN" w:bidi="ar"/>
              </w:rPr>
            </w:pPr>
            <w:r>
              <w:rPr>
                <w:rFonts w:hint="eastAsia" w:asciiTheme="minorHAnsi" w:hAnsiTheme="minorHAnsi" w:eastAsiaTheme="minorEastAsia" w:cstheme="minorBidi"/>
                <w:kern w:val="2"/>
                <w:sz w:val="21"/>
                <w:szCs w:val="22"/>
                <w:lang w:val="en-US" w:eastAsia="zh-CN" w:bidi="ar"/>
              </w:rPr>
              <w:t>7.0875㎡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安装结构支架及结构件</w:t>
            </w:r>
          </w:p>
        </w:tc>
        <w:tc>
          <w:tcPr>
            <w:tcW w:w="5826"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1.安装结构能满足LED高清显示屏的整体均匀平滑要求，采用环保型材，结构应便于安装和调试。</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2.采用国标材料制作，定制装置，拆装方便；具备间距调节装置，可实现精确调节，显示模组之间的缝隙均匀，显示效果清晰；钢结构框架，所有材料采用国家标准材料施工制作，防锈防氧化处理。</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3.LED显示屏选用环保型铝型材框架安装,其框架材料经过严格环保、无毒测试,符合国 家《GB/T26572-2011》标准限量要求。</w:t>
            </w:r>
          </w:p>
        </w:tc>
        <w:tc>
          <w:tcPr>
            <w:tcW w:w="1300" w:type="dxa"/>
          </w:tcPr>
          <w:p>
            <w:pPr>
              <w:rPr>
                <w:rFonts w:hint="default" w:asciiTheme="minorHAnsi" w:hAnsiTheme="minorHAnsi" w:eastAsiaTheme="minorEastAsia" w:cstheme="minorBidi"/>
                <w:kern w:val="2"/>
                <w:sz w:val="21"/>
                <w:szCs w:val="22"/>
                <w:lang w:val="en-US" w:eastAsia="zh-CN" w:bidi="ar"/>
              </w:rPr>
            </w:pPr>
          </w:p>
          <w:p>
            <w:pPr>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7.0875㎡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072"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控制器管理器</w:t>
            </w:r>
          </w:p>
        </w:tc>
        <w:tc>
          <w:tcPr>
            <w:tcW w:w="5826"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1.输入分辨率：最大1920*1200像素，支持分辨率任意设置；</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2.4个千兆网口输出，支持上下、左右及混合型任意拼接；</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3.双USB2.0高速通讯接口，用于电脑调试和卡间级联；</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4.支持亮度和色温调节；</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5.支持低亮高灰；</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6.支持HDCP；</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7.与屏体同品牌，提供CCC证书。</w:t>
            </w:r>
          </w:p>
        </w:tc>
        <w:tc>
          <w:tcPr>
            <w:tcW w:w="1300" w:type="dxa"/>
          </w:tcPr>
          <w:p>
            <w:pPr>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072"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智能配电防雷管理系统</w:t>
            </w:r>
          </w:p>
        </w:tc>
        <w:tc>
          <w:tcPr>
            <w:tcW w:w="5826"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1.配电功率20KW，含各种电器元件、自动空气开关、熔断器、接触器、电流表、电压表、铜排、防电磁浪涌等；</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2.额定输入电压：AC 380V；</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3.额定频率：50Hz；</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4.外壳防护等级：IP50；</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5.额定分散系数：0.7；</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6.环境温度：+10~+40℃；</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7.具备过流、短路、断路保护与报警功能；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8.内置PLC，PLC具备远程开关大屏的功能；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9.具有CQC，与屏体同品牌，提供CQC证书；</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10.LED显示屏厂商具有智能配电管理系统及PLC自动控制系统软件。</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LED显示屏管控平台</w:t>
            </w:r>
          </w:p>
        </w:tc>
        <w:tc>
          <w:tcPr>
            <w:tcW w:w="5826"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1.软件支持集成中控功能，实现对大屏幕的开关控制；</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2.软件支持故障检测功能，支持输入信号丢失检测，使用灰色标示；</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3.可在控制软件观看大屏回显，直接对UI中的可视化窗口进行操作；</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4.支持移动终端软件控制，不用外加中控直接实现场景调取等功能；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5.登录功能：具有单一客户端、多个客户端登录功能，支持默认布局登录；</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6.显示屏设置功能：支持添加、修改、删除LED显示屏；</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7.场景轮循功能：支持添加、修改、删除场景轮循功，支持场景循环分组功能；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8.视频流媒体平台数据管理功能：支持视频流媒体平台数据对接。</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软件支持Windows操作系统和麒麟操作系统：（1）海量图像演示和多媒体控制功能；（2）有图像细节优化处理功能；（3）智能除湿功能；（2）LED显示屏色彩校正软件；（3）显示屏伽马校正软件；（4）LED显示屏远距离视频监控系统软件；（5）屏体自带逐点校正及智能亮度调节软件。</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屏体四周包边</w:t>
            </w:r>
          </w:p>
        </w:tc>
        <w:tc>
          <w:tcPr>
            <w:tcW w:w="5826" w:type="dxa"/>
            <w:vAlign w:val="top"/>
          </w:tcPr>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1.屏体四周包边，要求配合场地装修风格，整体美观和谐。</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视频可视化综合管理设备</w:t>
            </w:r>
          </w:p>
        </w:tc>
        <w:tc>
          <w:tcPr>
            <w:tcW w:w="5826"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1.6U主箱体，共12个卡槽，1-3卡槽为混插卡槽，4-12卡槽为输入卡槽。输入：8路HDMI、2路4K-HDMI；输出：8路DVI；可视化预监回显、支持多组屏管理，支持多用户登入；</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机箱支持输入输出混插，机箱上卡槽为双向数据通道槽位，每个卡槽既可支持输入板卡，也可支持输出板卡；设备支持前面板液晶显示、操作功能，实现设备运行状态可视化，可显示设备型号、IP地址等基础信息，同时可通过升级的液晶前面板实现设备操作；</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3.设备最大单机背板信号处理带宽不小于1600Gbps；单路信号带宽不小于50Gbps；信号切换延迟&lt;6ms，切换无黑屏、蓝屏、闪烁情况。图像处理延迟时间&lt;6 ms;图像开窗响应速度≤7ms;场景调取响应速度&lt;7ms；</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4.设备支持Dual Link DVI、HDMI 1.4、HDBaseT、HDBaseT-4K、DisplayPort、DisplayPort 4K@60Hz、HDMI 2.0 4K@60Hz、VGA、YPbPr、DVI、IP H.264、IP H.265、CVBS、HDMI 1.3、SDI、光纤、4K 光纤信号输入与输出；同时具有音频切换功能，实现对多路输入输出的音视频同步切换；</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5.支持RealControl接口板，支持通过USB线缆与信号源计算机链接，传输USB信号，用于KVM控制；支持设置拼接屏的拼缝补偿，可精确至1像素 ，支持边缘融合带生成，最高可达1500像素；</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6.设备支持图像开窗、矩阵功能、窗口叠加、窗口漫游、窗口缩放、字符叠加、输出字符叠加、图像截取、大底图显示功能；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7.支持拼接墙，投影融合，LED大屏等多种显示终端，并共享输入信号源；支持分辨率实时全兼容，能通过控制软件实现不同屏组输出分辨率自定义显示,屏组数量无限制；支持4K60的 HDR,支持HDR12-bit采样格式,持对带有HDCP加密的视频信号进行采集编码,兼容HDCP1.4、HDCP2.2、HDCP2.3；</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支持窗口布局保存至设备，支持不少于128000个单屏场景且另外支持不少于12800个全局场景，支持调取预先存好的窗口布局，支持场景一键切换，支持场景布局可视化；设备支持OSD大鼠标操作，实现无需客户端可直接对大屏幕窗口进行操作，可使用鼠标直接对大屏显示画面进行多种图形标记，并支持用户自定义图形标记；</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支持不影响大屏信号显示的前提下，可以在软件上对信号源进行位置、大小、布局的调整，在确认无误后，直接推送上屏显示；板卡支持设置超低功耗模式,在板卡闲置时,可设置为超低功耗模式,将板卡功耗降低至0.6w以下，在使用时恢复为正常工作模式,进而实现系统的系统功耗动态管理；</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单台主机支持输入输出端口备份，任意端口故障会自动切换至备份端口。支持输入端口备张输入卡内的两个端口、不同输入卡的间两个端口可以实现对输入信号的备份,任意一路信号有问题，显示图像不受影响;支持输出端口备份,一张输出卡内的两个端口不同输出卡的间两个任意一端口的输出信号可以自动进行备份输出，任意一路信号中断,显示图像不受影响；</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设备具有滚动字幕OSD功能，支持文字，图片，时间内容显示，支持用户调整字幕的位置，大小，字体，颜色，背景色，样式、动作、方向；支持与多种时钟系统进行对接，在静态条幅上添加实时时钟，支持多种不同时间；</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12.PC客户端支持Windows、Linux、麒麟操作系统；</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13.可实现多用户登陆，多用户同时对处理器进行控制管理，多用户间的操作可实时同步显示；多用户之间支持分级分权限分区域管理,可细化至软件各项功能，板卡各接口，屏组各显示屏；</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支持浏览所有输入信号的实时预览画面，所有信预监时，无需额外功能板卡占用设备槽位；支持高清、流畅两种模式信号源预览。高清模式像素不少于42W,流畅模式帧率不少于30Hz;支持所有信号输音星开关控制、预监及预调节功能;同时支持对输入信号源叠加VU音频音柱显示,并可根据音频大小进行变化；</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背板图形化监控，图形化展示设备当前硬件配置，支持实时设备板卡状态识别；默认可以输出不少于7种测试颜色及网格图像,以对设备输出进行测试;或者指定输出默认图像,并可以设置无信号源时输出的图像;支持输出测试图形,支持输出256×256×256种单色图像和网格图像；</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可提供设备端口及底层协议，可以接受第三方软件或运维系统进行控制，实现第三方软件用户及本机用户多人同时网络在线管理，可提供各类检测、控制所需的接口协议，可配合第三方软件进行开发，也可对自带软件进行二次开发；支持系统数据备份恢复，可备份包括系统的配置、拼接模式、拼接场景等所有配置信息。数据可自动或手动进行备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17.支持在控制端显示整面拼接墙的显示图像,支持整面拼接屏的整体回显功能，显示内容与实际输出画面一致,可进行等比例回显或全屏输出,可外接HDMI/DVI接口显示器、IP网络解码器观看大屏回显，图像帧率可达4K@50帧/秒。客户端可直接对大屏幕窗口进行操作。便于对大屏内容进行实时监看与录制,进行分享、复盘与内容留档。支持大屏音频回显输出,音频与画面实时同步，可配合录播进行使用；</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18.产品具备3C、CE、FCC、CB认证。</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24口全千兆网络交换机</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1.配置不低于以下要求：固定端口：28个千兆电口，4个1G SPF千兆光口；管理端口：1个Console口，1个Manage口；</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2.交换机性能：交换性能：336Gbps/3.36Tbps；包转发率：132Mpps/166Mpps；</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3.接入方式：支持胖瘦一体化，支持智能交换机和普通交换机两种工作模式，可以根据不同的组网需要，随时灵活的进行切换；</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4.交换机零配置上线方式：二层广播自动发现控制器平台；配置静态IP地址三层发现控制器平台；DHCP Option43方式发现控制器平台；DNS域名发现控制器平台；</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5.一键替换：支持通过控制器平台一键替换“按钮”即可完成故障设备替换；</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6.M-LAG：支持M-LAG技术，跨设备链路聚合（非堆叠技术实现），要求配对的设备有独立的控制平面；</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7.交换机状态显示：支持通过控制器平台查看交换机端口负载情况；</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8.网络管理：支持通过APP进行远程管理，并且可以修改交换机网络配置；支持通过网管平台跨广域网、NAT远程管理智能交换机；</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9.交换机画像管理：支持通过在控制器平台的Web页面对交换机进行可视化管理查看，包括交换机的端口状态及配置、vlan信息；支持通过控制器平台图形化操作对交换机端口状态的开启与关闭；</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运维：支持通过控制器平台查看交换机面板端口工作状态，通过端口颜色显示状态即可判断端口是否在线工作；支持通过控制器平台查看交换机处于工作端口最近5分钟、1小时、最近1天、最近1周发送与接收的流量趋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11.智能终端类型识别：支持终端类型库，基于指纹自动识别PC、路由器、监控终端设备等；支持基于终端类型自动识别结果，禁止非法终端(例如私接路由器)接入；</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12.第三方系统联动：支持与第三方系统上报接入终端信息，包含IP、MAC、用户名、APID/SWID、AP名/SW名；</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终端安全策略：支持将交换机的端口进行端口组划分，方便配置管理；支持终端的MAC与交换机端口变更检测；支持交换机端口终端类型变更后，通过APP、短信告警；可以自定义交换机端口接入终端类型，及MAC黑白名单；</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终端状态安全分析：支持查看终端在交换机端口离线次数、闲置时间、离线趋势；支持查看安全事件记录、私扩非法边缘设备记录、终端在端口漂移记录、静态IP异常记录等安全事件的记录统计；支持查看终端的的历史接入交换机端口，终端的活跃状态；</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15.交换机业务端口的防雷能力共模不低于9Kv、差模不低于6Kv；</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无线路由器AP</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1.支持802.11ax 协议，兼容802.11a/b/g/n/ac协议，支持2.4G和5G同时工作；</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2.支持2.4G 2*2条流及 5G 2*2条流；2.4G最大传输速率≥570Mbps，5G最大传输速率≥1200Mbps，整机最大传输速率≥1.7Gbps；</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3.千兆以太网口≥2个；</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4.内置智能天线；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5.支持802.3af标准的PoE供电和本地电源适配器供电两种方式，满负荷工作功耗≤14W；</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6.单射频接入人数≥500，整机最大接入人数≥1000；</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6.支持虚拟AP技术，单射频SSID数量≥16，整机≥32；</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7.支持Fat和Fit 两种工作模式，根据网络规划的需要，可以灵活地在Fat和Fit两种工作模式中切换，同时可以根据应用需求，选择工作模式；</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8.支持Wi-Fi报文进行侦听捕获并实时镜像到本地分析设备供网络管理员进行故障排查、优化分析；</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9.支持802.1x 认证、MAC 地址认证、PSK 认证、Portal认证等认证方式，支持面向访客的二维码审核认证方式；</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10.支持802.11h 动态频率选择(DFS)、信道自动扫描功能，自动规避干扰；</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11.支持无线带宽平均分配，让不同协商速率的终端占用相等的无线信道时间，防止低速终端拉低网络整体速率；</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12.通过基于特征和协议的射频优化，有效提升无线部署中高密度接入、流媒体传输等场景中的应用加速能力和质量保障效果；</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13.无线AP支持联动安全策略，通过安全策略可以实现对疑似感染病毒或已感染病毒的无线客户端进行识别、监控与隔离等多种方式的处理；</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14.支持将在内网进行ARP扫描、IP扫描、端口扫描达到阈值后的终端执行告警或自动拉入动态黑名单；</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15.支持Fit AP切换成网关模式（非Fat AP模式），支持PPPoE拨号、静态IP、DHCP三种上网方式；</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16.支持逃生模式，AP与控制器连接中断后，原有用户在线、新用户正常接入，业务不中断。</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控制室有线终端控制软件</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软件支持浏览所有输入信号的实时预览画面,所有信号预监时,无需额外功能板卡占用设备槽位;支持高清、流畅两种模式信号源预览。高清模式像素不少于48W,流畅模式帧率不少于30Hz;支持所有信号输入音量开关控制、预监及预调节功能,同时支持对输入信号源叠加VU音频音柱显示，并可根据音频大小进行变化。</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2.支持将端口设置为拼接端口或矩阵端口,当设置为矩阵端口时，可实现视频矩阵功能，支持矩阵切换,端口搜索、切换关系预览、矩阵信号预监当被设置为拼接端口时，支持大屏拼接功能。</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3.系统板卡支持设置超低功耗模式，在板卡闲置时，可设置为超低功耗模式,将板卡功耗降低至0.6w以下，在使用时恢复为正常工作模式,进而实现系统的系统功耗动态管理。</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4.系统默认可以输出不少于7种测试颜色及网格图像，以对设备输出进行测试;或者指定输出默认图像,并可以设置无信号源时输出的图像;支持输出测试图形,支持输出256×256×256种单色图像和网格图像；</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系统支持前面板触摸屏显示、操作功能，通过前面板触摸屏可实现对拼接屏屏组预案进行调取,对输入信号源进行可视化预监显示。实现设备运行状态可视化,可显示设备型号、IP地址等基础信息,同时可通过升级的液晶前面板实现设备操作。</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6.移动控制端支持Windows、i0S、Android操作系统;支持Windows、Linux, Mac、中标麒麟、银河麒麟等系统通过C/S、B/S软件进行控制;支持通过TCP/IP网口与RS232/422/485串口进行管理控制，开放控制协议，可同时响应不少于32条命令的同时切换。系统支持网络管理协议,配合指控系统保障平台，实现显控应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多用户同时登录,支持设置用户权限级别，各个操作用户可根据实际需求设置不用用户级别,划分不同用户权限,用户之间操作同步实时显示;支持对用户进行分组，支持多用户之间支持分级分权限管理,操作实时同步显示;支持对用户的权限进行分配管理和回收;</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8.系统支持板卡按屏组进行电源管理,可根据实际使用需求，对屏组板卡进行上电、待机管理;可通过设置，对屏组板卡进行定时开关上电管理;</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高端扬声器</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1.低频驱动器：不少于6.5英寸聚丙烯锥体，丁基橡胶环绕，阳极氧化铝音圈，高温音圈；</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2.高频驱动器：19毫米（0.75英寸）高阻尼处理丝绸圆顶，Kapton?音圈，液体冷却，宽色散波导；</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3.盲装背板可以快速方便地安装；</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4.功率：标称设置为8Ω时功率为50W，定压30W，15W，7.5W@70V或100V（仅限3.8W@70V）；</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5.频率范围（-10dB）62Hz-20kHz；</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6.频率响应（±3dB）96Hz-15kHz；</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7.灵敏度：91分贝；</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8.覆盖角度：110°锥形覆盖；</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9.指向性因子（Q）：7.8；</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10.指向性指数（DI）：8.2dB；</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11.额定最大声压级：108dB@1m（3.3ft）平均值，116dB峰值；</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12.名义阻抗8欧姆（直接/旁路8Ω设置）；</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13.交叉网络：12dB/oct（2阶）低通到LF驱动器，12dB/oct（2阶）高通到HF驱动器；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14.输入连接器：可拆卸锁定4针连接器，带螺钉端子；</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15.最大线径：12AWG（2.5mm2）。</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4只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高端扬声器功放</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1.立体声4Ω：2×700W；</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2.立体声8Ω：2×350W；</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3.信噪比：≥90dB；</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4.总谐波失真（THD）：＜0.1%；</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5.频率响应：20Hz-20kHz。</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16路控制带效果器调音台</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1.配置不少于16路；</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2.可开关幻象电源和PAD开关；</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3.单旋钮压缩器；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4.EQ和高通滤波器；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5.AUX/效果发送/编组；</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6.LED电平表；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7.多种输入/输出接口；</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8.金属机身；</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9.内部全局供电；</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10.支持机柜安装；</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11.高品质运算放大器。</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2通道反馈抑制器</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1.56-bit高速DSP，24-bit AD和DA转换。分辨精度1Hz，工作频率20Hz-20KHz；</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2.2寸FTF彩屏，中英文菜单可选；</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3.每通道12个动态陷波器加8个静态陷波器，自动抑制啸叫；</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4.自动陷波配合移频使用，超强抑制声反馈；</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5.噪声门功能可以抑制系统微弱噪声干扰；</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6.输入压缩功能在消除反馈同时更可扩展人声动态；</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7.两通道48V幻象电源，可以独立控制通断；</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8.电源使用超低噪音环形变压器；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9.模拟输入：2CH-XLR和1/4"TRS(母)输入，电子平衡/不平衡；2路独立控制的48V幻象电源；</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10.输入阻抗：平衡 47Ω，不平衡 20KΩ；</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11.最大线路电平输入：+18dBu；</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12.模拟输出：2CH-XLR和1/4" TRS(母)输入，电子平衡/不平衡；</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13.输出阻抗：平衡&gt;120Ω，不平衡&gt;60Ω；</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14.最大输出电平：+20dBu；</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15.频率响应：20Hz-20KHz，±0. 3dB；</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16.信噪比：&gt;105dB(A)；</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17.动态范围：103dB；</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18.总谐波失真+噪声：0.005%，1KHz；20Hz-10KH，&lt;0.01%；10KHz-20KHz，&lt;0.025%。</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电源时序器</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1.8路带空气开关电源时序器；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2.2.5平方三芯珠江品牌电缆线，带10A公牛牌国标插头；</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3.特有的网线端口，外接86底盒开关，无需频繁开机柜开关机；</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4.面板1路直通安全三角插，防止儿童误接触触电；</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5.8路通道输出，每路延时开启和关闭时间可自由设定（通道延时0~999S）；</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6.LCD电压动态显示，日期、时间、通道显示；</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7.每路10A大品牌继电器输出，订制纯铜标准万能接口插座，单路最大输出2KW,总输出4KW；</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8.自由设定过压、欠压保护，保证电源稳定输出；</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9.配置232中控端口，支持外部中央控制设备控制；</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10.可实现远程集中控制，每台设备自带设备编码ID检测和设置；</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11.支持多台设备级联，级联状态可自动检测及设置；</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12.全自动生产和测试技术，保证标准化生产和产品的一致性；</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13.面板LOCK锁定功能，防止人为误操作，轻触开机，长按3秒关机。</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有线鹅颈话筒（含底座）</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1.元件：静电型电容式话筒；</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2.指向性：单一指向性；</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3.频率响应：70~16,000 Hz；</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4.开路灵敏度：-37 dB (14.1 mV) re 1V at 1 Pa；</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5.阻抗：100 ohms；</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6.最大输入声压级：134 dB SPL, 1 kHz at 1% T.H.D.；</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7.动态范围 (典型值)：106 dB, 1 kHz at Max SPL；</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8.信噪比：66 dB， 1 kHz at 1 Pa；</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9.幻像电源：9-52V DC， 2 mA typical；</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10.输出端子：内置三针XLRM卡农公头；</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11.标配：防风绵。</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4支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防静电活动地板</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1.防静电地板600X600mm；</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2.可调节支架系统；</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3.钢筋混凝土结构楼板；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4.具体要求详见深化图纸。</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木饰面（LED电子大屏幕周边）</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1.面层：木饰面；</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2.基础：双层6.0mm厚水泥纤维板；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3.骨架：40X40X4mm热镀锌方钢竖向龙骨(间距600mm);40X40X4mm热镀锌角码用φ12mm膨胀螺栓与墙体固定。</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4.具体要求详见深化图纸。</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不锈钢踢脚线</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1、材料：不锈钢踢脚</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2、规格：展开12+5+10+20mm</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3.具体要求详见深化图纸。</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天棚吊顶（办公室、机房）</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 xml:space="preserve">1.9厘夹板+9.5mm石膏板；        </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 xml:space="preserve">2.50系列次龙骨、50系列主龙骨；                     </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3.综合考虑、夹板打底、肋板、凹缝；</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 xml:space="preserve">4.具体要求详见深化图纸。                                                                                                                                                           </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乳胶漆饰面（办公室、机房）</w:t>
            </w:r>
          </w:p>
        </w:tc>
        <w:tc>
          <w:tcPr>
            <w:tcW w:w="5826" w:type="dxa"/>
            <w:vAlign w:val="top"/>
          </w:tcPr>
          <w:p>
            <w:pPr>
              <w:keepNext w:val="0"/>
              <w:keepLines w:val="0"/>
              <w:widowControl/>
              <w:numPr>
                <w:ilvl w:val="-1"/>
                <w:numId w:val="0"/>
              </w:numPr>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cstheme="minorBidi"/>
                <w:b w:val="0"/>
                <w:bCs w:val="0"/>
                <w:kern w:val="2"/>
                <w:sz w:val="21"/>
                <w:szCs w:val="22"/>
                <w:lang w:val="en-US" w:eastAsia="zh-CN" w:bidi="ar"/>
              </w:rPr>
              <w:t>1.</w:t>
            </w:r>
            <w:r>
              <w:rPr>
                <w:rFonts w:hint="eastAsia" w:asciiTheme="minorHAnsi" w:hAnsiTheme="minorHAnsi" w:eastAsiaTheme="minorEastAsia" w:cstheme="minorBidi"/>
                <w:b w:val="0"/>
                <w:bCs w:val="0"/>
                <w:kern w:val="2"/>
                <w:sz w:val="21"/>
                <w:szCs w:val="22"/>
                <w:lang w:val="en-US" w:eastAsia="zh-CN" w:bidi="ar"/>
              </w:rPr>
              <w:t>喷乳胶漆一道；</w:t>
            </w:r>
          </w:p>
          <w:p>
            <w:pPr>
              <w:keepNext w:val="0"/>
              <w:keepLines w:val="0"/>
              <w:widowControl/>
              <w:numPr>
                <w:ilvl w:val="-1"/>
                <w:numId w:val="0"/>
              </w:numPr>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cstheme="minorBidi"/>
                <w:b w:val="0"/>
                <w:bCs w:val="0"/>
                <w:kern w:val="2"/>
                <w:sz w:val="21"/>
                <w:szCs w:val="22"/>
                <w:lang w:val="en-US" w:eastAsia="zh-CN" w:bidi="ar"/>
              </w:rPr>
              <w:t>2.</w:t>
            </w:r>
            <w:r>
              <w:rPr>
                <w:rFonts w:hint="eastAsia" w:asciiTheme="minorHAnsi" w:hAnsiTheme="minorHAnsi" w:eastAsiaTheme="minorEastAsia" w:cstheme="minorBidi"/>
                <w:b w:val="0"/>
                <w:bCs w:val="0"/>
                <w:kern w:val="2"/>
                <w:sz w:val="21"/>
                <w:szCs w:val="22"/>
                <w:lang w:val="en-US" w:eastAsia="zh-CN" w:bidi="ar"/>
              </w:rPr>
              <w:t xml:space="preserve">刷乳胶漆一道；                             </w:t>
            </w:r>
          </w:p>
          <w:p>
            <w:pPr>
              <w:keepNext w:val="0"/>
              <w:keepLines w:val="0"/>
              <w:widowControl/>
              <w:numPr>
                <w:ilvl w:val="-1"/>
                <w:numId w:val="0"/>
              </w:numPr>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cstheme="minorBidi"/>
                <w:b w:val="0"/>
                <w:bCs w:val="0"/>
                <w:kern w:val="2"/>
                <w:sz w:val="21"/>
                <w:szCs w:val="22"/>
                <w:lang w:val="en-US" w:eastAsia="zh-CN" w:bidi="ar"/>
              </w:rPr>
              <w:t>3.</w:t>
            </w:r>
            <w:r>
              <w:rPr>
                <w:rFonts w:hint="eastAsia" w:asciiTheme="minorHAnsi" w:hAnsiTheme="minorHAnsi" w:eastAsiaTheme="minorEastAsia" w:cstheme="minorBidi"/>
                <w:b w:val="0"/>
                <w:bCs w:val="0"/>
                <w:kern w:val="2"/>
                <w:sz w:val="21"/>
                <w:szCs w:val="22"/>
                <w:lang w:val="en-US" w:eastAsia="zh-CN" w:bidi="ar"/>
              </w:rPr>
              <w:t xml:space="preserve">刷抗碱底漆一道；                             </w:t>
            </w:r>
          </w:p>
          <w:p>
            <w:pPr>
              <w:keepNext w:val="0"/>
              <w:keepLines w:val="0"/>
              <w:widowControl/>
              <w:numPr>
                <w:ilvl w:val="-1"/>
                <w:numId w:val="0"/>
              </w:numPr>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4.腻子找平。</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窗帘盒</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1.9厘夹板(防火防潮防蛀处理）+9.5mm石膏板；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2.50系列次龙骨、50系列主龙骨；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 xml:space="preserve">3.具体要求详见深化图纸。 </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窗帘</w:t>
            </w:r>
          </w:p>
        </w:tc>
        <w:tc>
          <w:tcPr>
            <w:tcW w:w="5826" w:type="dxa"/>
            <w:vAlign w:val="top"/>
          </w:tcPr>
          <w:p>
            <w:pPr>
              <w:keepNext w:val="0"/>
              <w:keepLines w:val="0"/>
              <w:widowControl/>
              <w:suppressLineNumbers w:val="0"/>
              <w:ind w:left="0" w:leftChars="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1.具体要求详见深化图纸。</w:t>
            </w:r>
          </w:p>
        </w:tc>
        <w:tc>
          <w:tcPr>
            <w:tcW w:w="1300"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强电施工</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1.包含管线预埋及安装</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嵌入式成套配电箱</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1.施耐德空气开关</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砖、混凝土结构吊棚内暗配SC管</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1.镀锌线管DN20</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2072"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金属桥架</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1.200*100镀锌金属桥架</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电气配插座/照明线</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1.ZRBV-2.5MM2</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900m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普通插座</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1.施耐德普通插座，含主材及安装</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三极开关</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1.施耐德普通开关，含主材及安装</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管内穿五类线信息线</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1.五类线信息线</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电脑插座</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1.施耐德普通电脑插座，含主材及安装</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格力3P天花机</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1.品牌: Gree/格力</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2.型号:  KFR-50TW/(50520)NhCa-3</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3.功率: 3匹</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4.工作方式: 变频</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5.空调冷暖方式: 冷暖电辅</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格力2P天花机</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1.品牌: Gree/格力</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2.型号:  KFR-50TW/(50520)NhCa-3</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3.功率: 3匹</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4.工作方式: 变频</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5.空调冷暖方式: 冷暖电辅</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铜管</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1.上海飞轮去油加厚铜管，</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排水安装</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1.联塑PUV排水管</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2.局部水钻打孔</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方通灯led长条灯铝方通专用灯</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1.功率: 31W(含)</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2.光源类型: led灯</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3.灯身主材质: ABS+五金底盘</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坐席操作台</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1.根据现场尺寸定制，含桌椅</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原装修拆除措施</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1.原装修拆除措施</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63.2m2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办公卡位办公桌椅</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1.根据现场尺寸定制,长：1.4m,宽：0.7m的办公卡位桌子，含1个桌椅。</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072"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机柜</w:t>
            </w:r>
          </w:p>
        </w:tc>
        <w:tc>
          <w:tcPr>
            <w:tcW w:w="5826"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1.类型机柜；</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2.容量42U；</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3.标准19"国际标准；</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4.前门：网状冷轧钢前门或侧通风钢化玻璃主体前门，弹式免匙锁；</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5.后门：冷轧钢网孔后门，钢质圆锁；</w:t>
            </w:r>
          </w:p>
        </w:tc>
        <w:tc>
          <w:tcPr>
            <w:tcW w:w="1300"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1个</w:t>
            </w:r>
          </w:p>
        </w:tc>
      </w:tr>
    </w:tbl>
    <w:p>
      <w:pPr>
        <w:pStyle w:val="2"/>
        <w:rPr>
          <w:rFonts w:hint="eastAsia"/>
          <w:lang w:val="en-US" w:eastAsia="zh-CN"/>
        </w:rPr>
      </w:pPr>
    </w:p>
    <w:p>
      <w:pPr>
        <w:adjustRightInd/>
        <w:snapToGrid/>
        <w:spacing w:afterLines="-2147483648" w:line="480" w:lineRule="auto"/>
        <w:ind w:firstLine="0"/>
        <w:jc w:val="left"/>
        <w:rPr>
          <w:rFonts w:hint="eastAsia" w:ascii="宋体" w:hAnsi="宋体" w:eastAsia="宋体" w:cs="宋体"/>
          <w:b/>
          <w:bCs/>
          <w:sz w:val="24"/>
          <w:szCs w:val="28"/>
          <w:lang w:val="en-US" w:eastAsia="zh-CN"/>
        </w:rPr>
      </w:pPr>
    </w:p>
    <w:p>
      <w:pPr>
        <w:adjustRightInd w:val="0"/>
        <w:snapToGrid w:val="0"/>
        <w:spacing w:line="600" w:lineRule="exact"/>
        <w:jc w:val="left"/>
        <w:outlineLvl w:val="2"/>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2.</w:t>
      </w:r>
      <w:r>
        <w:rPr>
          <w:rFonts w:hint="eastAsia" w:ascii="宋体" w:hAnsi="宋体" w:eastAsia="宋体" w:cs="宋体"/>
          <w:b/>
          <w:sz w:val="32"/>
          <w:szCs w:val="32"/>
          <w:lang w:val="zh-CN" w:eastAsia="zh-CN"/>
        </w:rPr>
        <w:t>项目技术要求</w:t>
      </w: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rPr>
      </w:pPr>
      <w:r>
        <w:rPr>
          <w:rFonts w:hint="eastAsia" w:ascii="宋体" w:hAnsi="宋体" w:eastAsia="宋体" w:cs="宋体"/>
          <w:b/>
          <w:bCs/>
          <w:color w:val="auto"/>
          <w:kern w:val="2"/>
          <w:sz w:val="24"/>
          <w:szCs w:val="24"/>
          <w:highlight w:val="none"/>
          <w:lang w:val="zh-CN" w:eastAsia="zh-CN" w:bidi="ar"/>
        </w:rPr>
        <w:t>（</w:t>
      </w:r>
      <w:r>
        <w:rPr>
          <w:rFonts w:hint="eastAsia" w:ascii="宋体" w:hAnsi="宋体" w:eastAsia="宋体" w:cs="宋体"/>
          <w:b/>
          <w:bCs/>
          <w:color w:val="auto"/>
          <w:kern w:val="2"/>
          <w:sz w:val="24"/>
          <w:szCs w:val="24"/>
          <w:highlight w:val="none"/>
          <w:lang w:val="en-US" w:eastAsia="zh-CN" w:bidi="ar"/>
        </w:rPr>
        <w:t>1</w:t>
      </w:r>
      <w:r>
        <w:rPr>
          <w:rFonts w:hint="eastAsia" w:ascii="宋体" w:hAnsi="宋体" w:eastAsia="宋体" w:cs="宋体"/>
          <w:b/>
          <w:bCs/>
          <w:color w:val="auto"/>
          <w:kern w:val="2"/>
          <w:sz w:val="24"/>
          <w:szCs w:val="24"/>
          <w:highlight w:val="none"/>
          <w:lang w:val="zh-CN" w:eastAsia="zh-CN" w:bidi="ar"/>
        </w:rPr>
        <w:t>）全彩P1.5小间距LED显示屏</w:t>
      </w:r>
    </w:p>
    <w:p>
      <w:pPr>
        <w:pStyle w:val="7"/>
        <w:keepNext w:val="0"/>
        <w:keepLines w:val="0"/>
        <w:pageBreakBefore w:val="0"/>
        <w:widowControl/>
        <w:numPr>
          <w:ilvl w:val="-1"/>
          <w:numId w:val="0"/>
        </w:numPr>
        <w:kinsoku/>
        <w:wordWrap/>
        <w:overflowPunct/>
        <w:topLinePunct w:val="0"/>
        <w:autoSpaceDE/>
        <w:autoSpaceDN/>
        <w:bidi w:val="0"/>
        <w:adjustRightInd w:val="0"/>
        <w:snapToGrid w:val="0"/>
        <w:spacing w:after="0"/>
        <w:ind w:left="0" w:leftChars="0" w:firstLine="0" w:firstLineChars="0"/>
        <w:textAlignment w:val="auto"/>
        <w:rPr>
          <w:rStyle w:val="55"/>
          <w:rFonts w:hint="eastAsia" w:ascii="宋体" w:hAnsi="宋体" w:eastAsia="宋体" w:cs="宋体"/>
          <w:b w:val="0"/>
          <w:bCs w:val="0"/>
          <w:sz w:val="21"/>
          <w:szCs w:val="21"/>
          <w:lang w:eastAsia="zh-CN" w:bidi="ar"/>
        </w:rPr>
      </w:pPr>
      <w:r>
        <w:rPr>
          <w:rFonts w:hint="eastAsia" w:ascii="宋体" w:hAnsi="宋体" w:eastAsia="宋体" w:cs="宋体"/>
          <w:color w:val="000000"/>
          <w:sz w:val="21"/>
          <w:szCs w:val="21"/>
          <w:lang w:val="en-US" w:eastAsia="zh-CN"/>
        </w:rPr>
        <w:t>1、</w:t>
      </w:r>
      <w:r>
        <w:rPr>
          <w:rStyle w:val="55"/>
          <w:rFonts w:hint="eastAsia" w:ascii="宋体" w:hAnsi="宋体" w:eastAsia="宋体" w:cs="宋体"/>
          <w:b w:val="0"/>
          <w:bCs w:val="0"/>
          <w:sz w:val="21"/>
          <w:szCs w:val="21"/>
          <w:lang w:bidi="ar"/>
        </w:rPr>
        <w:t>点间距：≤1.</w:t>
      </w:r>
      <w:r>
        <w:rPr>
          <w:rStyle w:val="55"/>
          <w:rFonts w:hint="eastAsia" w:ascii="宋体" w:hAnsi="宋体" w:eastAsia="宋体" w:cs="宋体"/>
          <w:b w:val="0"/>
          <w:bCs w:val="0"/>
          <w:sz w:val="21"/>
          <w:szCs w:val="21"/>
          <w:lang w:eastAsia="zh-CN" w:bidi="ar"/>
        </w:rPr>
        <w:t>5</w:t>
      </w:r>
      <w:r>
        <w:rPr>
          <w:rStyle w:val="55"/>
          <w:rFonts w:hint="eastAsia" w:ascii="宋体" w:hAnsi="宋体" w:eastAsia="宋体" w:cs="宋体"/>
          <w:b w:val="0"/>
          <w:bCs w:val="0"/>
          <w:sz w:val="21"/>
          <w:szCs w:val="21"/>
          <w:lang w:val="en-US" w:eastAsia="zh-CN" w:bidi="ar"/>
        </w:rPr>
        <w:t>63</w:t>
      </w:r>
      <w:r>
        <w:rPr>
          <w:rStyle w:val="55"/>
          <w:rFonts w:hint="eastAsia" w:ascii="宋体" w:hAnsi="宋体" w:eastAsia="宋体" w:cs="宋体"/>
          <w:b w:val="0"/>
          <w:bCs w:val="0"/>
          <w:sz w:val="21"/>
          <w:szCs w:val="21"/>
          <w:lang w:bidi="ar"/>
        </w:rPr>
        <w:t>mm；屏体尺寸：宽度≥</w:t>
      </w:r>
      <w:r>
        <w:rPr>
          <w:rStyle w:val="55"/>
          <w:rFonts w:hint="eastAsia" w:ascii="宋体" w:hAnsi="宋体" w:eastAsia="宋体" w:cs="宋体"/>
          <w:b w:val="0"/>
          <w:bCs w:val="0"/>
          <w:sz w:val="21"/>
          <w:szCs w:val="21"/>
          <w:lang w:eastAsia="zh-CN" w:bidi="ar"/>
        </w:rPr>
        <w:t>3</w:t>
      </w:r>
      <w:r>
        <w:rPr>
          <w:rStyle w:val="55"/>
          <w:rFonts w:hint="eastAsia" w:ascii="宋体" w:hAnsi="宋体" w:eastAsia="宋体" w:cs="宋体"/>
          <w:b w:val="0"/>
          <w:bCs w:val="0"/>
          <w:sz w:val="21"/>
          <w:szCs w:val="21"/>
          <w:lang w:val="en-US" w:eastAsia="zh-CN" w:bidi="ar"/>
        </w:rPr>
        <w:t>.6</w:t>
      </w:r>
      <w:r>
        <w:rPr>
          <w:rStyle w:val="55"/>
          <w:rFonts w:hint="eastAsia" w:ascii="宋体" w:hAnsi="宋体" w:eastAsia="宋体" w:cs="宋体"/>
          <w:b w:val="0"/>
          <w:bCs w:val="0"/>
          <w:sz w:val="21"/>
          <w:szCs w:val="21"/>
          <w:lang w:bidi="ar"/>
        </w:rPr>
        <w:t>米，高度≥2.025米</w:t>
      </w:r>
      <w:r>
        <w:rPr>
          <w:rStyle w:val="55"/>
          <w:rFonts w:hint="eastAsia" w:ascii="宋体" w:hAnsi="宋体" w:eastAsia="宋体" w:cs="宋体"/>
          <w:b w:val="0"/>
          <w:bCs w:val="0"/>
          <w:sz w:val="21"/>
          <w:szCs w:val="21"/>
          <w:lang w:eastAsia="zh-CN" w:bidi="ar"/>
        </w:rPr>
        <w:t>。</w:t>
      </w:r>
    </w:p>
    <w:p>
      <w:pPr>
        <w:pStyle w:val="7"/>
        <w:keepNext w:val="0"/>
        <w:keepLines w:val="0"/>
        <w:pageBreakBefore w:val="0"/>
        <w:widowControl/>
        <w:numPr>
          <w:ilvl w:val="-1"/>
          <w:numId w:val="0"/>
        </w:numPr>
        <w:kinsoku/>
        <w:wordWrap/>
        <w:overflowPunct/>
        <w:topLinePunct w:val="0"/>
        <w:autoSpaceDE/>
        <w:autoSpaceDN/>
        <w:bidi w:val="0"/>
        <w:adjustRightInd w:val="0"/>
        <w:snapToGrid w:val="0"/>
        <w:spacing w:after="0"/>
        <w:ind w:left="0" w:leftChars="0" w:firstLine="0" w:firstLineChars="0"/>
        <w:textAlignment w:val="auto"/>
        <w:rPr>
          <w:rStyle w:val="56"/>
          <w:rFonts w:hint="eastAsia" w:ascii="宋体" w:hAnsi="宋体" w:eastAsia="宋体" w:cs="宋体"/>
          <w:color w:val="auto"/>
          <w:sz w:val="21"/>
          <w:szCs w:val="21"/>
          <w:highlight w:val="none"/>
          <w:lang w:bidi="ar"/>
        </w:rPr>
      </w:pPr>
      <w:r>
        <w:rPr>
          <w:rStyle w:val="55"/>
          <w:rFonts w:hint="eastAsia" w:ascii="宋体" w:hAnsi="宋体" w:eastAsia="宋体" w:cs="宋体"/>
          <w:b w:val="0"/>
          <w:bCs w:val="0"/>
          <w:sz w:val="21"/>
          <w:szCs w:val="21"/>
          <w:lang w:val="en-US" w:eastAsia="zh-CN" w:bidi="ar"/>
        </w:rPr>
        <w:t>2</w:t>
      </w:r>
      <w:r>
        <w:rPr>
          <w:rStyle w:val="56"/>
          <w:rFonts w:hint="eastAsia" w:ascii="宋体" w:hAnsi="宋体" w:eastAsia="宋体" w:cs="宋体"/>
          <w:b w:val="0"/>
          <w:bCs w:val="0"/>
          <w:sz w:val="21"/>
          <w:szCs w:val="21"/>
          <w:lang w:bidi="ar"/>
        </w:rPr>
        <w:t>、</w:t>
      </w:r>
      <w:r>
        <w:rPr>
          <w:rStyle w:val="56"/>
          <w:rFonts w:hint="eastAsia" w:ascii="宋体" w:hAnsi="宋体" w:eastAsia="宋体" w:cs="宋体"/>
          <w:sz w:val="21"/>
          <w:szCs w:val="21"/>
          <w:lang w:bidi="ar"/>
        </w:rPr>
        <w:t>LED显示屏需满足高可靠性低故障、符合</w:t>
      </w:r>
      <w:r>
        <w:rPr>
          <w:rStyle w:val="56"/>
          <w:rFonts w:hint="eastAsia" w:ascii="宋体" w:hAnsi="宋体" w:eastAsia="宋体" w:cs="宋体"/>
          <w:sz w:val="21"/>
          <w:szCs w:val="21"/>
          <w:lang w:val="en-US" w:eastAsia="zh-CN" w:bidi="ar"/>
        </w:rPr>
        <w:t>标准</w:t>
      </w:r>
      <w:r>
        <w:rPr>
          <w:rStyle w:val="56"/>
          <w:rFonts w:hint="eastAsia" w:ascii="宋体" w:hAnsi="宋体" w:eastAsia="宋体" w:cs="宋体"/>
          <w:sz w:val="21"/>
          <w:szCs w:val="21"/>
          <w:lang w:bidi="ar"/>
        </w:rPr>
        <w:t>16:9组合拼接显示以及运维管理等要求：</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1</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使用寿命需满足：物理使用寿命，LED灯珠寿命不少于15万小时，屏幕物理使用寿命不少于12万小时。</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2</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可靠性低故障需满足：运行时间支持7*24小时连续运行。显示模组的平均失效无故障MTBF ≥120000小时，平均修复时间MTTR≤5分钟；像素失控率≤1/1000000</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无连续失控点；环路备份：支持信号环路备份；信号连接：模组通过RJ45对接，支持网络同步控制，画面延时≤1ms；单网口带载：支持单网口5G带宽通讯设计，单网口带载328万像素。响应时间：≤8ms；</w:t>
      </w:r>
    </w:p>
    <w:p>
      <w:pPr>
        <w:pStyle w:val="7"/>
        <w:keepNext w:val="0"/>
        <w:keepLines w:val="0"/>
        <w:pageBreakBefore w:val="0"/>
        <w:widowControl/>
        <w:numPr>
          <w:ilvl w:val="-1"/>
          <w:numId w:val="0"/>
        </w:numPr>
        <w:kinsoku/>
        <w:wordWrap/>
        <w:overflowPunct/>
        <w:topLinePunct w:val="0"/>
        <w:autoSpaceDE/>
        <w:autoSpaceDN/>
        <w:bidi w:val="0"/>
        <w:adjustRightInd w:val="0"/>
        <w:snapToGrid w:val="0"/>
        <w:spacing w:after="0"/>
        <w:ind w:left="0" w:leftChars="0" w:firstLine="0" w:firstLineChars="0"/>
        <w:textAlignment w:val="auto"/>
        <w:rPr>
          <w:rStyle w:val="56"/>
          <w:rFonts w:hint="eastAsia" w:ascii="宋体" w:hAnsi="宋体" w:eastAsia="宋体" w:cs="宋体"/>
          <w:color w:val="auto"/>
          <w:sz w:val="21"/>
          <w:szCs w:val="21"/>
          <w:highlight w:val="none"/>
          <w:lang w:bidi="ar"/>
        </w:rPr>
      </w:pPr>
      <w:r>
        <w:rPr>
          <w:rStyle w:val="56"/>
          <w:rFonts w:hint="eastAsia" w:ascii="宋体" w:hAnsi="宋体" w:eastAsia="宋体" w:cs="宋体"/>
          <w:color w:val="auto"/>
          <w:sz w:val="21"/>
          <w:szCs w:val="21"/>
          <w:highlight w:val="none"/>
          <w:lang w:val="en-US" w:eastAsia="zh-CN" w:bidi="ar"/>
        </w:rPr>
        <w:t>3、</w:t>
      </w:r>
      <w:r>
        <w:rPr>
          <w:rStyle w:val="56"/>
          <w:rFonts w:hint="eastAsia" w:ascii="宋体" w:hAnsi="宋体" w:eastAsia="宋体" w:cs="宋体"/>
          <w:color w:val="auto"/>
          <w:sz w:val="21"/>
          <w:szCs w:val="21"/>
          <w:highlight w:val="none"/>
          <w:lang w:bidi="ar"/>
        </w:rPr>
        <w:t>箱体结构：需采用高精度压铸铝合金材质，一体成型（框架、背板、后盖）整体压铸成型，抗压抗拉，全金属自然散热结构，电源全贴合设计，散热快，稳定性好；无风扇、无孔、防尘、静音设计；箱体比例：显示单元支持标准8:9或16:9组合拼接，适应标准视频源，避免图像拉伸引起画面变形；箱体间物理拼缝：≤0.045mm；平整度：≤0.05mm；模块微调功能：支持6轴向精密微调，从单元模块上下、左右、前后，均可以对任何一个模块进行亚毫米级的精细微调。</w:t>
      </w:r>
    </w:p>
    <w:p>
      <w:pPr>
        <w:pStyle w:val="7"/>
        <w:keepNext w:val="0"/>
        <w:keepLines w:val="0"/>
        <w:pageBreakBefore w:val="0"/>
        <w:widowControl/>
        <w:numPr>
          <w:ilvl w:val="-1"/>
          <w:numId w:val="0"/>
        </w:numPr>
        <w:kinsoku/>
        <w:wordWrap/>
        <w:overflowPunct/>
        <w:topLinePunct w:val="0"/>
        <w:autoSpaceDE/>
        <w:autoSpaceDN/>
        <w:bidi w:val="0"/>
        <w:adjustRightInd w:val="0"/>
        <w:snapToGrid w:val="0"/>
        <w:spacing w:after="0"/>
        <w:ind w:left="0" w:leftChars="0" w:firstLine="0" w:firstLineChars="0"/>
        <w:textAlignment w:val="auto"/>
        <w:rPr>
          <w:rStyle w:val="56"/>
          <w:rFonts w:hint="eastAsia" w:ascii="宋体" w:hAnsi="宋体" w:eastAsia="宋体" w:cs="宋体"/>
          <w:color w:val="auto"/>
          <w:sz w:val="21"/>
          <w:szCs w:val="21"/>
          <w:highlight w:val="none"/>
          <w:lang w:bidi="ar"/>
        </w:rPr>
      </w:pPr>
      <w:r>
        <w:rPr>
          <w:rStyle w:val="56"/>
          <w:rFonts w:hint="eastAsia" w:ascii="宋体" w:hAnsi="宋体" w:eastAsia="宋体" w:cs="宋体"/>
          <w:color w:val="auto"/>
          <w:sz w:val="21"/>
          <w:szCs w:val="21"/>
          <w:highlight w:val="none"/>
          <w:lang w:val="en-US" w:eastAsia="zh-CN" w:bidi="ar"/>
        </w:rPr>
        <w:t>4、</w:t>
      </w:r>
      <w:r>
        <w:rPr>
          <w:rStyle w:val="56"/>
          <w:rFonts w:hint="eastAsia" w:ascii="宋体" w:hAnsi="宋体" w:eastAsia="宋体" w:cs="宋体"/>
          <w:color w:val="auto"/>
          <w:sz w:val="21"/>
          <w:szCs w:val="21"/>
          <w:highlight w:val="none"/>
          <w:lang w:bidi="ar"/>
        </w:rPr>
        <w:t>运行监测功能：配备模组级测试按钮，支持电源和信号状态指示，直观呈现运行状态；</w:t>
      </w:r>
    </w:p>
    <w:p>
      <w:pPr>
        <w:pStyle w:val="7"/>
        <w:keepNext w:val="0"/>
        <w:keepLines w:val="0"/>
        <w:pageBreakBefore w:val="0"/>
        <w:widowControl/>
        <w:numPr>
          <w:ilvl w:val="-1"/>
          <w:numId w:val="0"/>
        </w:numPr>
        <w:kinsoku/>
        <w:wordWrap/>
        <w:overflowPunct/>
        <w:topLinePunct w:val="0"/>
        <w:autoSpaceDE/>
        <w:autoSpaceDN/>
        <w:bidi w:val="0"/>
        <w:adjustRightInd w:val="0"/>
        <w:snapToGrid w:val="0"/>
        <w:spacing w:after="0"/>
        <w:ind w:left="0" w:leftChars="0" w:firstLine="0" w:firstLineChars="0"/>
        <w:textAlignment w:val="auto"/>
        <w:rPr>
          <w:rFonts w:hint="eastAsia" w:ascii="宋体" w:hAnsi="宋体" w:eastAsia="宋体" w:cs="宋体"/>
          <w:b w:val="0"/>
          <w:bCs/>
          <w:color w:val="000000"/>
          <w:kern w:val="0"/>
          <w:sz w:val="21"/>
          <w:szCs w:val="21"/>
          <w:lang w:val="en-US" w:eastAsia="zh-CN" w:bidi="ar"/>
        </w:rPr>
      </w:pPr>
      <w:r>
        <w:rPr>
          <w:rStyle w:val="56"/>
          <w:rFonts w:hint="eastAsia" w:ascii="宋体" w:hAnsi="宋体" w:eastAsia="宋体" w:cs="宋体"/>
          <w:color w:val="auto"/>
          <w:sz w:val="21"/>
          <w:szCs w:val="21"/>
          <w:highlight w:val="none"/>
          <w:lang w:val="en-US" w:eastAsia="zh-CN" w:bidi="ar"/>
        </w:rPr>
        <w:t>5、</w:t>
      </w:r>
      <w:r>
        <w:rPr>
          <w:rStyle w:val="56"/>
          <w:rFonts w:hint="eastAsia" w:ascii="宋体" w:hAnsi="宋体" w:eastAsia="宋体" w:cs="宋体"/>
          <w:color w:val="auto"/>
          <w:sz w:val="21"/>
          <w:szCs w:val="21"/>
          <w:highlight w:val="none"/>
          <w:lang w:bidi="ar"/>
        </w:rPr>
        <w:t>除湿设计：具有开机或定时能够自动切入除湿保护功能，支持手动或自动方式进行防潮除湿功能；控制诊断排查：具有综合（电源及多点温度、显示坏点）检测控制系统，支持安全性加密及海量图像演示和多媒体控制等功能，具有故障自诊断排查及视频图像稳定性监测控制等功能。检测与监控：LED显示屏具有坏点检测系统，自动警告，方便维护人员准确定位故障迅速修复；LED显示屏具有多点温度测量系统，均衡散热，防止局部温度过高造成色彩漂移，并提高显示屏寿命；LED显示屏具有电源温度控制系统，提供电源实时温度监控，超出设定温度自动报警，防止过温失效；状态显示：支持LCD状态显示功能，可实时显示箱体的工作状态、温度和告警信息，具备故障报警功能。统一管理：可对所有箱体进行统一管理，设置亮度、色彩、灰度等参数。</w:t>
      </w:r>
      <w:r>
        <w:rPr>
          <w:rStyle w:val="56"/>
          <w:rFonts w:hint="eastAsia" w:ascii="宋体" w:hAnsi="宋体" w:eastAsia="宋体" w:cs="宋体"/>
          <w:sz w:val="21"/>
          <w:szCs w:val="21"/>
          <w:lang w:bidi="ar"/>
        </w:rPr>
        <w:t>（投标文件中需提供完全体现</w:t>
      </w:r>
      <w:r>
        <w:rPr>
          <w:rFonts w:hint="eastAsia" w:ascii="宋体" w:hAnsi="宋体" w:eastAsia="宋体" w:cs="宋体"/>
          <w:color w:val="auto"/>
          <w:kern w:val="0"/>
          <w:sz w:val="21"/>
          <w:szCs w:val="21"/>
          <w:highlight w:val="none"/>
          <w:lang w:val="en-US" w:eastAsia="zh-CN" w:bidi="ar"/>
        </w:rPr>
        <w:t>本项</w:t>
      </w:r>
      <w:r>
        <w:rPr>
          <w:rStyle w:val="56"/>
          <w:rFonts w:hint="eastAsia" w:ascii="宋体" w:hAnsi="宋体" w:eastAsia="宋体" w:cs="宋体"/>
          <w:sz w:val="21"/>
          <w:szCs w:val="21"/>
          <w:lang w:bidi="ar"/>
        </w:rPr>
        <w:t>第</w:t>
      </w:r>
      <w:r>
        <w:rPr>
          <w:rStyle w:val="56"/>
          <w:rFonts w:hint="eastAsia" w:ascii="宋体" w:hAnsi="宋体" w:eastAsia="宋体" w:cs="宋体"/>
          <w:sz w:val="21"/>
          <w:szCs w:val="21"/>
          <w:lang w:eastAsia="zh-CN" w:bidi="ar"/>
        </w:rPr>
        <w:t>（</w:t>
      </w:r>
      <w:r>
        <w:rPr>
          <w:rStyle w:val="56"/>
          <w:rFonts w:hint="eastAsia" w:ascii="宋体" w:hAnsi="宋体" w:eastAsia="宋体" w:cs="宋体"/>
          <w:sz w:val="21"/>
          <w:szCs w:val="21"/>
          <w:lang w:val="en-US" w:eastAsia="zh-CN" w:bidi="ar"/>
        </w:rPr>
        <w:t>1</w:t>
      </w:r>
      <w:r>
        <w:rPr>
          <w:rStyle w:val="56"/>
          <w:rFonts w:hint="eastAsia" w:ascii="宋体" w:hAnsi="宋体" w:eastAsia="宋体" w:cs="宋体"/>
          <w:sz w:val="21"/>
          <w:szCs w:val="21"/>
          <w:lang w:eastAsia="zh-CN" w:bidi="ar"/>
        </w:rPr>
        <w:t>）</w:t>
      </w:r>
      <w:r>
        <w:rPr>
          <w:rStyle w:val="56"/>
          <w:rFonts w:hint="eastAsia" w:ascii="宋体" w:hAnsi="宋体" w:eastAsia="宋体" w:cs="宋体"/>
          <w:sz w:val="21"/>
          <w:szCs w:val="21"/>
          <w:lang w:val="en-US" w:eastAsia="zh-CN" w:bidi="ar"/>
        </w:rPr>
        <w:t>至（5）</w:t>
      </w:r>
      <w:r>
        <w:rPr>
          <w:rStyle w:val="56"/>
          <w:rFonts w:hint="eastAsia" w:ascii="宋体" w:hAnsi="宋体" w:eastAsia="宋体" w:cs="宋体"/>
          <w:sz w:val="21"/>
          <w:szCs w:val="21"/>
          <w:lang w:bidi="ar"/>
        </w:rPr>
        <w:t>项所有参数的国家认可的第三方检测机构出具的首页具有CMA</w:t>
      </w:r>
      <w:r>
        <w:rPr>
          <w:rStyle w:val="56"/>
          <w:rFonts w:hint="eastAsia" w:ascii="宋体" w:hAnsi="宋体" w:eastAsia="宋体" w:cs="宋体"/>
          <w:sz w:val="21"/>
          <w:szCs w:val="21"/>
          <w:lang w:val="en-US" w:eastAsia="zh-CN" w:bidi="ar"/>
        </w:rPr>
        <w:t>或</w:t>
      </w:r>
      <w:r>
        <w:rPr>
          <w:rStyle w:val="56"/>
          <w:rFonts w:hint="eastAsia" w:ascii="宋体" w:hAnsi="宋体" w:eastAsia="宋体" w:cs="宋体"/>
          <w:sz w:val="21"/>
          <w:szCs w:val="21"/>
          <w:lang w:bidi="ar"/>
        </w:rPr>
        <w:t>CNAS标识的检测报告复印件，并加盖LED显示屏制造厂商公章</w:t>
      </w:r>
      <w:r>
        <w:rPr>
          <w:rStyle w:val="56"/>
          <w:rFonts w:hint="eastAsia" w:ascii="宋体" w:hAnsi="宋体" w:eastAsia="宋体" w:cs="宋体"/>
          <w:sz w:val="21"/>
          <w:szCs w:val="21"/>
          <w:lang w:eastAsia="zh-CN" w:bidi="ar"/>
        </w:rPr>
        <w:t>，</w:t>
      </w:r>
      <w:r>
        <w:rPr>
          <w:rStyle w:val="56"/>
          <w:rFonts w:hint="eastAsia" w:ascii="宋体" w:hAnsi="宋体" w:eastAsia="宋体" w:cs="宋体"/>
          <w:sz w:val="21"/>
          <w:szCs w:val="21"/>
          <w:lang w:val="en-US" w:eastAsia="zh-CN" w:bidi="ar"/>
        </w:rPr>
        <w:t>中标人须在中标后的5个日历天内提供原件备查。</w:t>
      </w:r>
      <w:r>
        <w:rPr>
          <w:rStyle w:val="56"/>
          <w:rFonts w:hint="eastAsia" w:ascii="宋体" w:hAnsi="宋体" w:eastAsia="宋体" w:cs="宋体"/>
          <w:sz w:val="21"/>
          <w:szCs w:val="21"/>
          <w:lang w:bidi="ar"/>
        </w:rPr>
        <w:t>）</w:t>
      </w:r>
    </w:p>
    <w:p>
      <w:pPr>
        <w:pStyle w:val="7"/>
        <w:keepNext w:val="0"/>
        <w:keepLines w:val="0"/>
        <w:pageBreakBefore w:val="0"/>
        <w:widowControl/>
        <w:numPr>
          <w:ilvl w:val="-1"/>
          <w:numId w:val="0"/>
        </w:numPr>
        <w:kinsoku/>
        <w:wordWrap/>
        <w:overflowPunct/>
        <w:topLinePunct w:val="0"/>
        <w:autoSpaceDE/>
        <w:autoSpaceDN/>
        <w:bidi w:val="0"/>
        <w:adjustRightInd w:val="0"/>
        <w:snapToGrid w:val="0"/>
        <w:spacing w:after="0"/>
        <w:ind w:left="0" w:leftChars="0" w:firstLine="0" w:firstLineChars="0"/>
        <w:textAlignment w:val="auto"/>
        <w:rPr>
          <w:rStyle w:val="56"/>
          <w:rFonts w:hint="eastAsia" w:ascii="宋体" w:hAnsi="宋体" w:eastAsia="宋体" w:cs="宋体"/>
          <w:color w:val="auto"/>
          <w:sz w:val="21"/>
          <w:szCs w:val="21"/>
          <w:highlight w:val="none"/>
          <w:lang w:bidi="ar"/>
        </w:rPr>
      </w:pPr>
      <w:r>
        <w:rPr>
          <w:rFonts w:hint="eastAsia" w:ascii="微软雅黑" w:hAnsi="微软雅黑" w:eastAsia="微软雅黑" w:cs="微软雅黑"/>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6、</w:t>
      </w:r>
      <w:r>
        <w:rPr>
          <w:rStyle w:val="56"/>
          <w:rFonts w:hint="eastAsia" w:ascii="宋体" w:hAnsi="宋体" w:eastAsia="宋体" w:cs="宋体"/>
          <w:color w:val="auto"/>
          <w:sz w:val="21"/>
          <w:szCs w:val="21"/>
          <w:highlight w:val="none"/>
          <w:lang w:bidi="ar"/>
        </w:rPr>
        <w:t>LED显示屏高清显示技术和效果要求需满足</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1</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显示技术要求：刷新频率需满足≥3840Hz；极速刷新：支持超高刷新输出，驱动解码急速响应，摄取画面稳定无波纹不闪烁，应对动态显示画面，图像边缘清晰，有良好的动态表现力；色域≥130%NTSC，支持DCI-P3色域要求；色温：1000K-15000K可调，调节步长100K；视角：水平视角≥179°，垂直视角≥179°；彩色信号处理位数：24Bit；换帧频率：支持信号源50Hz、60Hz、96Hz、120Hz、144Hz、240Hz 帧频处理，支持3D显示应用；对比度：≥10000：1；视频接口：显示屏支持HDMI视频接入；</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2</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显示效果要求需满足：显示效果：画面稳定无闪烁，多种显示画面应无同亮、暗亮（毛毛虫、鬼影和推尾）的现象；画面质量：显示画面应无动态影像失真，能有效防止几何和非线性失真；显示技术：LED显示单元采用特殊显示技术，有效提高图像锐度；需采用模块表面处理：采用电喷技术，黑色哑光处理，可有效防止反光和静电，无面罩设计，反光率≤1.5%；显示屏对比度高，屏幕表面采用无塑胶类结构件，屏体表面均匀，观看视角大，观看效果好，PCB及灯管散热良好；需符合广电级标准要求：自动Gamma矫正技术，通过构造非线性校正曲线和色坐标变换系数矩阵实现了显示效果的不断改善，各项重要指标如色彩还原性、色温调节范围、亮度均匀性、色度均匀性、换帧频率等均良好，均符合广电级标准。高清显示：支持5G信号传输以及8K极高清显示；沉浸式显示技术：支持VR/AR/MR/XR沉浸式虚拟显示功能；HDR技术：支持HDR3.0的标准，支持标准的PQ Gamma曲线；支持色彩置换、色彩调节功能，可以对输入源的色彩进行调节，亮度、对比度、饱和度、色相等都可以调节。倍频调节功能：支持把视频源进行倍频，60Hz的输入，120Hz的输出，解决LED屏拍摄时灰度丢失的问题。（投标文件中需提供完全体现</w:t>
      </w:r>
      <w:r>
        <w:rPr>
          <w:rFonts w:hint="eastAsia" w:ascii="宋体" w:hAnsi="宋体" w:eastAsia="宋体" w:cs="宋体"/>
          <w:color w:val="auto"/>
          <w:kern w:val="0"/>
          <w:sz w:val="21"/>
          <w:szCs w:val="21"/>
          <w:highlight w:val="none"/>
          <w:lang w:val="en-US" w:eastAsia="zh-CN" w:bidi="ar"/>
        </w:rPr>
        <w:t>本项</w:t>
      </w:r>
      <w:r>
        <w:rPr>
          <w:rStyle w:val="56"/>
          <w:rFonts w:hint="eastAsia" w:ascii="宋体" w:hAnsi="宋体" w:eastAsia="宋体" w:cs="宋体"/>
          <w:color w:val="auto"/>
          <w:sz w:val="21"/>
          <w:szCs w:val="21"/>
          <w:highlight w:val="none"/>
          <w:lang w:bidi="ar"/>
        </w:rPr>
        <w:t>第</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1</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至</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2</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项的所有参数的国家认可的第三方检测机构出具的首页具有CMA</w:t>
      </w:r>
      <w:r>
        <w:rPr>
          <w:rStyle w:val="56"/>
          <w:rFonts w:hint="eastAsia" w:ascii="宋体" w:hAnsi="宋体" w:eastAsia="宋体" w:cs="宋体"/>
          <w:color w:val="auto"/>
          <w:sz w:val="21"/>
          <w:szCs w:val="21"/>
          <w:highlight w:val="none"/>
          <w:lang w:val="en-US" w:eastAsia="zh-CN" w:bidi="ar"/>
        </w:rPr>
        <w:t>或</w:t>
      </w:r>
      <w:r>
        <w:rPr>
          <w:rStyle w:val="56"/>
          <w:rFonts w:hint="eastAsia" w:ascii="宋体" w:hAnsi="宋体" w:eastAsia="宋体" w:cs="宋体"/>
          <w:color w:val="auto"/>
          <w:sz w:val="21"/>
          <w:szCs w:val="21"/>
          <w:highlight w:val="none"/>
          <w:lang w:bidi="ar"/>
        </w:rPr>
        <w:t>CNAS标识的检测报告复印件，并加盖LED显示屏制造厂商公章</w:t>
      </w:r>
      <w:r>
        <w:rPr>
          <w:rStyle w:val="56"/>
          <w:rFonts w:hint="eastAsia" w:ascii="宋体" w:hAnsi="宋体" w:eastAsia="宋体" w:cs="宋体"/>
          <w:sz w:val="21"/>
          <w:szCs w:val="21"/>
          <w:lang w:eastAsia="zh-CN" w:bidi="ar"/>
        </w:rPr>
        <w:t>，</w:t>
      </w:r>
      <w:r>
        <w:rPr>
          <w:rStyle w:val="56"/>
          <w:rFonts w:hint="eastAsia" w:ascii="宋体" w:hAnsi="宋体" w:eastAsia="宋体" w:cs="宋体"/>
          <w:sz w:val="21"/>
          <w:szCs w:val="21"/>
          <w:lang w:val="en-US" w:eastAsia="zh-CN" w:bidi="ar"/>
        </w:rPr>
        <w:t>中标人须在中标后的5个日历天内提供原件备查</w:t>
      </w:r>
      <w:r>
        <w:rPr>
          <w:rStyle w:val="56"/>
          <w:rFonts w:hint="eastAsia" w:ascii="宋体" w:hAnsi="宋体" w:eastAsia="宋体" w:cs="宋体"/>
          <w:color w:val="auto"/>
          <w:sz w:val="21"/>
          <w:szCs w:val="21"/>
          <w:highlight w:val="none"/>
          <w:lang w:bidi="ar"/>
        </w:rPr>
        <w:t>）；</w:t>
      </w:r>
    </w:p>
    <w:p>
      <w:pPr>
        <w:pStyle w:val="7"/>
        <w:keepNext w:val="0"/>
        <w:keepLines w:val="0"/>
        <w:pageBreakBefore w:val="0"/>
        <w:widowControl/>
        <w:numPr>
          <w:ilvl w:val="-1"/>
          <w:numId w:val="0"/>
        </w:numPr>
        <w:kinsoku/>
        <w:wordWrap/>
        <w:overflowPunct/>
        <w:topLinePunct w:val="0"/>
        <w:autoSpaceDE/>
        <w:autoSpaceDN/>
        <w:bidi w:val="0"/>
        <w:adjustRightInd w:val="0"/>
        <w:snapToGrid w:val="0"/>
        <w:spacing w:after="0"/>
        <w:ind w:left="0" w:leftChars="0" w:firstLine="0" w:firstLineChars="0"/>
        <w:textAlignment w:val="auto"/>
        <w:rPr>
          <w:rFonts w:hint="eastAsia" w:ascii="宋体" w:hAnsi="宋体" w:eastAsia="宋体" w:cs="宋体"/>
          <w:b w:val="0"/>
          <w:bCs/>
          <w:color w:val="000000"/>
          <w:kern w:val="0"/>
          <w:sz w:val="21"/>
          <w:szCs w:val="21"/>
          <w:lang w:val="en-US" w:eastAsia="zh-CN" w:bidi="ar"/>
        </w:rPr>
      </w:pPr>
      <w:r>
        <w:rPr>
          <w:rStyle w:val="56"/>
          <w:rFonts w:hint="eastAsia" w:ascii="微软雅黑" w:hAnsi="微软雅黑" w:eastAsia="微软雅黑" w:cs="微软雅黑"/>
          <w:sz w:val="21"/>
          <w:szCs w:val="21"/>
          <w:lang w:val="en-US" w:eastAsia="zh-CN" w:bidi="ar"/>
        </w:rPr>
        <w:t>★</w:t>
      </w:r>
      <w:r>
        <w:rPr>
          <w:rStyle w:val="56"/>
          <w:rFonts w:hint="eastAsia" w:ascii="宋体" w:hAnsi="宋体" w:eastAsia="宋体" w:cs="宋体"/>
          <w:sz w:val="21"/>
          <w:szCs w:val="21"/>
          <w:lang w:val="en-US" w:eastAsia="zh-CN" w:bidi="ar"/>
        </w:rPr>
        <w:t>7、</w:t>
      </w:r>
      <w:r>
        <w:rPr>
          <w:rStyle w:val="56"/>
          <w:rFonts w:hint="eastAsia" w:ascii="宋体" w:hAnsi="宋体" w:eastAsia="宋体" w:cs="宋体"/>
          <w:sz w:val="21"/>
          <w:szCs w:val="21"/>
          <w:lang w:bidi="ar"/>
        </w:rPr>
        <w:t>LED显示屏符合CESI产品认证实施规则CESI-PC-0D11中色彩品质A级的要求；符合CESI产品认证实施规则CESI-PC-0D66中8K 超高清显示的要求；符合CESI产品认证实施规则CESI-PC-0D74中HDR3.0的要求（投标文件中需</w:t>
      </w:r>
      <w:r>
        <w:rPr>
          <w:rStyle w:val="56"/>
          <w:rFonts w:hint="eastAsia" w:ascii="宋体" w:hAnsi="宋体" w:eastAsia="宋体" w:cs="宋体"/>
          <w:sz w:val="21"/>
          <w:szCs w:val="21"/>
          <w:lang w:val="en-US" w:eastAsia="zh-CN" w:bidi="ar"/>
        </w:rPr>
        <w:t>同时</w:t>
      </w:r>
      <w:r>
        <w:rPr>
          <w:rStyle w:val="56"/>
          <w:rFonts w:hint="eastAsia" w:ascii="宋体" w:hAnsi="宋体" w:eastAsia="宋体" w:cs="宋体"/>
          <w:sz w:val="21"/>
          <w:szCs w:val="21"/>
          <w:lang w:bidi="ar"/>
        </w:rPr>
        <w:t>提供以上三类证书复印件加以证明</w:t>
      </w:r>
      <w:r>
        <w:rPr>
          <w:rStyle w:val="56"/>
          <w:rFonts w:hint="eastAsia" w:ascii="宋体" w:hAnsi="宋体" w:eastAsia="宋体" w:cs="宋体"/>
          <w:sz w:val="21"/>
          <w:szCs w:val="21"/>
          <w:lang w:val="en-US" w:eastAsia="zh-CN" w:bidi="ar"/>
        </w:rPr>
        <w:t>本项</w:t>
      </w:r>
      <w:r>
        <w:rPr>
          <w:rStyle w:val="56"/>
          <w:rFonts w:hint="eastAsia" w:ascii="宋体" w:hAnsi="宋体" w:eastAsia="宋体" w:cs="宋体"/>
          <w:sz w:val="21"/>
          <w:szCs w:val="21"/>
          <w:lang w:bidi="ar"/>
        </w:rPr>
        <w:t>的所有参数，并加盖LED显示屏制造厂商公章</w:t>
      </w:r>
      <w:r>
        <w:rPr>
          <w:rStyle w:val="56"/>
          <w:rFonts w:hint="eastAsia" w:ascii="宋体" w:hAnsi="宋体" w:eastAsia="宋体" w:cs="宋体"/>
          <w:sz w:val="21"/>
          <w:szCs w:val="21"/>
          <w:lang w:eastAsia="zh-CN" w:bidi="ar"/>
        </w:rPr>
        <w:t>，</w:t>
      </w:r>
      <w:r>
        <w:rPr>
          <w:rStyle w:val="56"/>
          <w:rFonts w:hint="eastAsia" w:ascii="宋体" w:hAnsi="宋体" w:eastAsia="宋体" w:cs="宋体"/>
          <w:sz w:val="21"/>
          <w:szCs w:val="21"/>
          <w:lang w:val="en-US" w:eastAsia="zh-CN" w:bidi="ar"/>
        </w:rPr>
        <w:t>中标人须在中标后的5个日历天内提供原件备查</w:t>
      </w:r>
      <w:r>
        <w:rPr>
          <w:rStyle w:val="56"/>
          <w:rFonts w:hint="eastAsia" w:ascii="宋体" w:hAnsi="宋体" w:eastAsia="宋体" w:cs="宋体"/>
          <w:sz w:val="21"/>
          <w:szCs w:val="21"/>
          <w:lang w:bidi="ar"/>
        </w:rPr>
        <w:t>）。</w:t>
      </w:r>
    </w:p>
    <w:p>
      <w:pPr>
        <w:pStyle w:val="7"/>
        <w:keepNext w:val="0"/>
        <w:keepLines w:val="0"/>
        <w:pageBreakBefore w:val="0"/>
        <w:widowControl/>
        <w:numPr>
          <w:ilvl w:val="-1"/>
          <w:numId w:val="0"/>
        </w:numPr>
        <w:kinsoku/>
        <w:wordWrap/>
        <w:overflowPunct/>
        <w:topLinePunct w:val="0"/>
        <w:autoSpaceDE/>
        <w:autoSpaceDN/>
        <w:bidi w:val="0"/>
        <w:adjustRightInd w:val="0"/>
        <w:snapToGrid w:val="0"/>
        <w:spacing w:after="0"/>
        <w:ind w:left="0" w:leftChars="0" w:firstLine="0" w:firstLineChars="0"/>
        <w:textAlignment w:val="auto"/>
        <w:rPr>
          <w:rFonts w:hint="eastAsia" w:ascii="宋体" w:hAnsi="宋体" w:eastAsia="宋体" w:cs="宋体"/>
          <w:b w:val="0"/>
          <w:bCs/>
          <w:color w:val="000000"/>
          <w:kern w:val="0"/>
          <w:sz w:val="21"/>
          <w:szCs w:val="21"/>
          <w:lang w:val="en-US" w:eastAsia="zh-CN" w:bidi="ar"/>
        </w:rPr>
      </w:pPr>
      <w:r>
        <w:rPr>
          <w:rFonts w:hint="eastAsia" w:ascii="宋体" w:hAnsi="宋体" w:eastAsia="宋体" w:cs="宋体"/>
          <w:color w:val="000000"/>
          <w:sz w:val="21"/>
          <w:szCs w:val="21"/>
          <w:lang w:val="en-US" w:eastAsia="zh-CN"/>
        </w:rPr>
        <w:t>8</w:t>
      </w:r>
      <w:r>
        <w:rPr>
          <w:rStyle w:val="56"/>
          <w:rFonts w:hint="eastAsia" w:ascii="宋体" w:hAnsi="宋体" w:eastAsia="宋体" w:cs="宋体"/>
          <w:b w:val="0"/>
          <w:bCs w:val="0"/>
          <w:color w:val="auto"/>
          <w:sz w:val="21"/>
          <w:szCs w:val="21"/>
          <w:highlight w:val="none"/>
          <w:lang w:bidi="ar"/>
        </w:rPr>
        <w:t>、</w:t>
      </w:r>
      <w:r>
        <w:rPr>
          <w:rStyle w:val="56"/>
          <w:rFonts w:hint="eastAsia" w:ascii="宋体" w:hAnsi="宋体" w:eastAsia="宋体" w:cs="宋体"/>
          <w:b w:val="0"/>
          <w:bCs w:val="0"/>
          <w:color w:val="auto"/>
          <w:sz w:val="21"/>
          <w:szCs w:val="21"/>
          <w:highlight w:val="none"/>
          <w:lang w:val="en-US" w:eastAsia="zh-CN" w:bidi="ar"/>
        </w:rPr>
        <w:t>保护人眼要求：</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1</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人眼舒适度要求需满足：人眼舒适度VICO指数需达到0-1级；</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2</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人员免受光污染危害的安全要求需满足：光生物安全及蓝光危害评估：需符合IEC/TR62778-2014要求</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符合IEC62471要求，为无危险类别；LED光源的光谱辐亮度与蓝光危害函数B（λ）加权积分后的能量（蓝光加权辐亮度LB）不超过100W·m^-2·Sr^-1，可防止人眼视网膜长期受到蓝光辐射产生的视网膜光化学损伤，LED显示屏符合光生物安全或蓝光危害检测标准要求。</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3</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通过亮度调节等相关技术保护人眼要求需满足：亮度调整，具有随环境照度的变化而自动亮度调整的功能，支持手动、自动、程控、软件任意调节（0</w:t>
      </w:r>
      <w:r>
        <w:rPr>
          <w:rStyle w:val="56"/>
          <w:rFonts w:hint="eastAsia" w:ascii="宋体" w:hAnsi="宋体" w:eastAsia="宋体" w:cs="宋体"/>
          <w:color w:val="auto"/>
          <w:sz w:val="21"/>
          <w:szCs w:val="21"/>
          <w:highlight w:val="none"/>
          <w:lang w:val="en-US" w:eastAsia="zh-CN" w:bidi="ar"/>
        </w:rPr>
        <w:t>～</w:t>
      </w:r>
      <w:r>
        <w:rPr>
          <w:rStyle w:val="56"/>
          <w:rFonts w:hint="eastAsia" w:ascii="宋体" w:hAnsi="宋体" w:eastAsia="宋体" w:cs="宋体"/>
          <w:color w:val="auto"/>
          <w:sz w:val="21"/>
          <w:szCs w:val="21"/>
          <w:highlight w:val="none"/>
          <w:lang w:bidi="ar"/>
        </w:rPr>
        <w:t>100%可调），支持无级调节。亮度均匀性：≥99%（即亮度不均匀性≤1%）；色度均匀性：±0.001Cx</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Cy之内；基色主波长误差：≤2nm；亮度鉴别等级：≥24；色度和亮度校正：支持单点（逐点）色度和亮度校正；支持不少于5套亮度级校正系数，多层校正及存储；支持出厂校正及现场校正。</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4</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需采用低亮高灰技术来提高显示效果同时能保护人眼：运用PWM低亮高灰无损技术，实现屏体在高亮、低亮显示状态下，均具备高灰阶表现力。支持通过配套控制软件调节灰度等级的设</w:t>
      </w:r>
      <w:r>
        <w:rPr>
          <w:rStyle w:val="56"/>
          <w:rFonts w:hint="eastAsia" w:ascii="宋体" w:hAnsi="宋体" w:eastAsia="宋体" w:cs="宋体"/>
          <w:color w:val="auto"/>
          <w:sz w:val="21"/>
          <w:szCs w:val="21"/>
          <w:highlight w:val="none"/>
          <w:lang w:val="en-US" w:eastAsia="zh-CN" w:bidi="ar"/>
        </w:rPr>
        <w:t>置</w:t>
      </w:r>
      <w:r>
        <w:rPr>
          <w:rStyle w:val="56"/>
          <w:rFonts w:hint="eastAsia" w:ascii="宋体" w:hAnsi="宋体" w:eastAsia="宋体" w:cs="宋体"/>
          <w:color w:val="auto"/>
          <w:sz w:val="21"/>
          <w:szCs w:val="21"/>
          <w:highlight w:val="none"/>
          <w:lang w:bidi="ar"/>
        </w:rPr>
        <w:t>选项，灰度等级15Bit</w:t>
      </w:r>
      <w:r>
        <w:rPr>
          <w:rStyle w:val="56"/>
          <w:rFonts w:hint="eastAsia" w:ascii="宋体" w:hAnsi="宋体" w:eastAsia="宋体" w:cs="宋体"/>
          <w:color w:val="auto"/>
          <w:sz w:val="21"/>
          <w:szCs w:val="21"/>
          <w:highlight w:val="none"/>
          <w:lang w:val="en-US" w:eastAsia="zh-CN" w:bidi="ar"/>
        </w:rPr>
        <w:t>～</w:t>
      </w:r>
      <w:r>
        <w:rPr>
          <w:rStyle w:val="56"/>
          <w:rFonts w:hint="eastAsia" w:ascii="宋体" w:hAnsi="宋体" w:eastAsia="宋体" w:cs="宋体"/>
          <w:color w:val="auto"/>
          <w:sz w:val="21"/>
          <w:szCs w:val="21"/>
          <w:highlight w:val="none"/>
          <w:lang w:bidi="ar"/>
        </w:rPr>
        <w:t>22Bit。具备低亮高灰的图像处理及显示技术，亮度调节至100%时，灰度18Bit；亮度调节至80%时，灰度为16Bit</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亮度调节至20%时，灰度为15Bit。（投标文件中需提供完全体现</w:t>
      </w:r>
      <w:r>
        <w:rPr>
          <w:rFonts w:hint="eastAsia" w:ascii="宋体" w:hAnsi="宋体" w:eastAsia="宋体" w:cs="宋体"/>
          <w:color w:val="auto"/>
          <w:kern w:val="0"/>
          <w:sz w:val="21"/>
          <w:szCs w:val="21"/>
          <w:highlight w:val="none"/>
          <w:lang w:val="en-US" w:eastAsia="zh-CN" w:bidi="ar"/>
        </w:rPr>
        <w:t>本项</w:t>
      </w:r>
      <w:r>
        <w:rPr>
          <w:rStyle w:val="56"/>
          <w:rFonts w:hint="eastAsia" w:ascii="宋体" w:hAnsi="宋体" w:eastAsia="宋体" w:cs="宋体"/>
          <w:color w:val="auto"/>
          <w:sz w:val="21"/>
          <w:szCs w:val="21"/>
          <w:highlight w:val="none"/>
          <w:lang w:bidi="ar"/>
        </w:rPr>
        <w:t>第</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1</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至（4）</w:t>
      </w:r>
      <w:r>
        <w:rPr>
          <w:rStyle w:val="56"/>
          <w:rFonts w:hint="eastAsia" w:ascii="宋体" w:hAnsi="宋体" w:eastAsia="宋体" w:cs="宋体"/>
          <w:color w:val="auto"/>
          <w:sz w:val="21"/>
          <w:szCs w:val="21"/>
          <w:highlight w:val="none"/>
          <w:lang w:bidi="ar"/>
        </w:rPr>
        <w:t>项的所有参数的国家认可的第三方检测机构出具的首页具有CMA</w:t>
      </w:r>
      <w:r>
        <w:rPr>
          <w:rStyle w:val="56"/>
          <w:rFonts w:hint="eastAsia" w:ascii="宋体" w:hAnsi="宋体" w:eastAsia="宋体" w:cs="宋体"/>
          <w:color w:val="auto"/>
          <w:sz w:val="21"/>
          <w:szCs w:val="21"/>
          <w:highlight w:val="none"/>
          <w:lang w:val="en-US" w:eastAsia="zh-CN" w:bidi="ar"/>
        </w:rPr>
        <w:t>或</w:t>
      </w:r>
      <w:r>
        <w:rPr>
          <w:rStyle w:val="56"/>
          <w:rFonts w:hint="eastAsia" w:ascii="宋体" w:hAnsi="宋体" w:eastAsia="宋体" w:cs="宋体"/>
          <w:color w:val="auto"/>
          <w:sz w:val="21"/>
          <w:szCs w:val="21"/>
          <w:highlight w:val="none"/>
          <w:lang w:bidi="ar"/>
        </w:rPr>
        <w:t>CNAS标识的检测报告复印件，并加盖LED显示屏制造厂商公章）</w:t>
      </w:r>
    </w:p>
    <w:p>
      <w:pPr>
        <w:pStyle w:val="7"/>
        <w:keepNext w:val="0"/>
        <w:keepLines w:val="0"/>
        <w:pageBreakBefore w:val="0"/>
        <w:widowControl/>
        <w:numPr>
          <w:ilvl w:val="-1"/>
          <w:numId w:val="0"/>
        </w:numPr>
        <w:kinsoku/>
        <w:wordWrap/>
        <w:overflowPunct/>
        <w:topLinePunct w:val="0"/>
        <w:autoSpaceDE/>
        <w:autoSpaceDN/>
        <w:bidi w:val="0"/>
        <w:adjustRightInd w:val="0"/>
        <w:snapToGrid w:val="0"/>
        <w:spacing w:after="0"/>
        <w:ind w:left="0" w:leftChars="0" w:firstLine="0" w:firstLineChars="0"/>
        <w:textAlignment w:val="auto"/>
        <w:rPr>
          <w:rFonts w:hint="eastAsia" w:ascii="宋体" w:hAnsi="宋体" w:eastAsia="宋体" w:cs="宋体"/>
          <w:b w:val="0"/>
          <w:bCs/>
          <w:color w:val="000000"/>
          <w:kern w:val="0"/>
          <w:sz w:val="21"/>
          <w:szCs w:val="21"/>
          <w:lang w:val="en-US" w:eastAsia="zh-CN" w:bidi="ar"/>
        </w:rPr>
      </w:pPr>
      <w:r>
        <w:rPr>
          <w:rStyle w:val="56"/>
          <w:rFonts w:hint="eastAsia" w:ascii="微软雅黑" w:hAnsi="微软雅黑" w:eastAsia="微软雅黑" w:cs="微软雅黑"/>
          <w:b w:val="0"/>
          <w:bCs w:val="0"/>
          <w:sz w:val="21"/>
          <w:szCs w:val="21"/>
          <w:lang w:val="en-US" w:eastAsia="zh-CN" w:bidi="ar"/>
        </w:rPr>
        <w:t>★</w:t>
      </w:r>
      <w:r>
        <w:rPr>
          <w:rStyle w:val="56"/>
          <w:rFonts w:hint="eastAsia" w:ascii="宋体" w:hAnsi="宋体" w:eastAsia="宋体" w:cs="宋体"/>
          <w:b w:val="0"/>
          <w:bCs w:val="0"/>
          <w:sz w:val="21"/>
          <w:szCs w:val="21"/>
          <w:lang w:val="en-US" w:eastAsia="zh-CN" w:bidi="ar"/>
        </w:rPr>
        <w:t>9</w:t>
      </w:r>
      <w:r>
        <w:rPr>
          <w:rStyle w:val="56"/>
          <w:rFonts w:hint="eastAsia" w:ascii="宋体" w:hAnsi="宋体" w:eastAsia="宋体" w:cs="宋体"/>
          <w:b w:val="0"/>
          <w:bCs w:val="0"/>
          <w:color w:val="auto"/>
          <w:sz w:val="21"/>
          <w:szCs w:val="21"/>
          <w:highlight w:val="none"/>
          <w:lang w:bidi="ar"/>
        </w:rPr>
        <w:t>、LED显示屏防护技术要求</w:t>
      </w:r>
      <w:r>
        <w:rPr>
          <w:rStyle w:val="56"/>
          <w:rFonts w:hint="eastAsia" w:ascii="宋体" w:hAnsi="宋体" w:eastAsia="宋体" w:cs="宋体"/>
          <w:b w:val="0"/>
          <w:bCs w:val="0"/>
          <w:color w:val="auto"/>
          <w:sz w:val="21"/>
          <w:szCs w:val="21"/>
          <w:highlight w:val="none"/>
          <w:lang w:eastAsia="zh-CN" w:bidi="ar"/>
        </w:rPr>
        <w:t>，</w:t>
      </w:r>
      <w:r>
        <w:rPr>
          <w:rStyle w:val="56"/>
          <w:rFonts w:hint="eastAsia" w:ascii="宋体" w:hAnsi="宋体" w:eastAsia="宋体" w:cs="宋体"/>
          <w:b w:val="0"/>
          <w:bCs w:val="0"/>
          <w:color w:val="auto"/>
          <w:sz w:val="21"/>
          <w:szCs w:val="21"/>
          <w:highlight w:val="none"/>
          <w:lang w:bidi="ar"/>
        </w:rPr>
        <w:t>防护功能要求需满足：</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1</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支持纳米真空镀膜：灯板支持采用纳米真空镀膜技术，可对灯板进行360度全方位的防护，杜绝LED显示屏在高湿的环境下因灯管受潮而引起的瞎灯或毛毛虫等故障，防潮、防尘、防水，防护等级达到IP65，达到抗紫外UV辐射5级要求；</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2</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防火阻燃，依据BS476-7防火阻燃标准进行测试，显示屏应符合CLASS 1等级标准；防火等级达到UL94 V-0，具备防起火功能；</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3</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抗震，抗震烈度等级8级；</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4</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防潮性能，10%RH-95%RH(无冷凝）范围内，显示屏正常工作；</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5</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LED保护方式：支持模组级的LED防撞灯保护装置。（投标文件中需提供完全体现</w:t>
      </w:r>
      <w:r>
        <w:rPr>
          <w:rFonts w:hint="eastAsia" w:ascii="宋体" w:hAnsi="宋体" w:eastAsia="宋体" w:cs="宋体"/>
          <w:color w:val="auto"/>
          <w:kern w:val="0"/>
          <w:sz w:val="21"/>
          <w:szCs w:val="21"/>
          <w:highlight w:val="none"/>
          <w:lang w:val="en-US" w:eastAsia="zh-CN" w:bidi="ar"/>
        </w:rPr>
        <w:t>本项</w:t>
      </w:r>
      <w:r>
        <w:rPr>
          <w:rStyle w:val="56"/>
          <w:rFonts w:hint="eastAsia" w:ascii="宋体" w:hAnsi="宋体" w:eastAsia="宋体" w:cs="宋体"/>
          <w:color w:val="auto"/>
          <w:sz w:val="21"/>
          <w:szCs w:val="21"/>
          <w:highlight w:val="none"/>
          <w:lang w:bidi="ar"/>
        </w:rPr>
        <w:t>第</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1</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至（5）</w:t>
      </w:r>
      <w:r>
        <w:rPr>
          <w:rStyle w:val="56"/>
          <w:rFonts w:hint="eastAsia" w:ascii="宋体" w:hAnsi="宋体" w:eastAsia="宋体" w:cs="宋体"/>
          <w:color w:val="auto"/>
          <w:sz w:val="21"/>
          <w:szCs w:val="21"/>
          <w:highlight w:val="none"/>
          <w:lang w:bidi="ar"/>
        </w:rPr>
        <w:t>项的所有参数的国家认可的第三方检测机构出具的首页具有CMA</w:t>
      </w:r>
      <w:r>
        <w:rPr>
          <w:rStyle w:val="56"/>
          <w:rFonts w:hint="eastAsia" w:ascii="宋体" w:hAnsi="宋体" w:eastAsia="宋体" w:cs="宋体"/>
          <w:color w:val="auto"/>
          <w:sz w:val="21"/>
          <w:szCs w:val="21"/>
          <w:highlight w:val="none"/>
          <w:lang w:val="en-US" w:eastAsia="zh-CN" w:bidi="ar"/>
        </w:rPr>
        <w:t>或</w:t>
      </w:r>
      <w:r>
        <w:rPr>
          <w:rStyle w:val="56"/>
          <w:rFonts w:hint="eastAsia" w:ascii="宋体" w:hAnsi="宋体" w:eastAsia="宋体" w:cs="宋体"/>
          <w:color w:val="auto"/>
          <w:sz w:val="21"/>
          <w:szCs w:val="21"/>
          <w:highlight w:val="none"/>
          <w:lang w:bidi="ar"/>
        </w:rPr>
        <w:t>CNAS标识的检测报告复印件，并加盖LED显示屏制造厂商公章</w:t>
      </w:r>
      <w:r>
        <w:rPr>
          <w:rStyle w:val="56"/>
          <w:rFonts w:hint="eastAsia" w:ascii="宋体" w:hAnsi="宋体" w:eastAsia="宋体" w:cs="宋体"/>
          <w:sz w:val="21"/>
          <w:szCs w:val="21"/>
          <w:lang w:eastAsia="zh-CN" w:bidi="ar"/>
        </w:rPr>
        <w:t>，</w:t>
      </w:r>
      <w:r>
        <w:rPr>
          <w:rStyle w:val="56"/>
          <w:rFonts w:hint="eastAsia" w:ascii="宋体" w:hAnsi="宋体" w:eastAsia="宋体" w:cs="宋体"/>
          <w:sz w:val="21"/>
          <w:szCs w:val="21"/>
          <w:lang w:val="en-US" w:eastAsia="zh-CN" w:bidi="ar"/>
        </w:rPr>
        <w:t>中标人须在中标后的5个日历天内提供原件备查</w:t>
      </w:r>
      <w:r>
        <w:rPr>
          <w:rStyle w:val="56"/>
          <w:rFonts w:hint="eastAsia" w:ascii="宋体" w:hAnsi="宋体" w:eastAsia="宋体" w:cs="宋体"/>
          <w:color w:val="auto"/>
          <w:sz w:val="21"/>
          <w:szCs w:val="21"/>
          <w:highlight w:val="none"/>
          <w:lang w:bidi="ar"/>
        </w:rPr>
        <w:t>）</w:t>
      </w:r>
    </w:p>
    <w:p>
      <w:pPr>
        <w:pStyle w:val="7"/>
        <w:keepNext w:val="0"/>
        <w:keepLines w:val="0"/>
        <w:pageBreakBefore w:val="0"/>
        <w:widowControl/>
        <w:numPr>
          <w:ilvl w:val="-1"/>
          <w:numId w:val="0"/>
        </w:numPr>
        <w:kinsoku/>
        <w:wordWrap/>
        <w:overflowPunct/>
        <w:topLinePunct w:val="0"/>
        <w:autoSpaceDE/>
        <w:autoSpaceDN/>
        <w:bidi w:val="0"/>
        <w:adjustRightInd w:val="0"/>
        <w:snapToGrid w:val="0"/>
        <w:spacing w:after="0"/>
        <w:ind w:left="0" w:leftChars="0" w:firstLine="0" w:firstLineChars="0"/>
        <w:textAlignment w:val="auto"/>
        <w:rPr>
          <w:rFonts w:hint="eastAsia" w:ascii="宋体" w:hAnsi="宋体" w:eastAsia="宋体" w:cs="宋体"/>
          <w:b w:val="0"/>
          <w:bCs/>
          <w:color w:val="000000"/>
          <w:kern w:val="0"/>
          <w:sz w:val="21"/>
          <w:szCs w:val="21"/>
          <w:lang w:val="en-US" w:eastAsia="zh-CN" w:bidi="ar"/>
        </w:rPr>
      </w:pPr>
      <w:r>
        <w:rPr>
          <w:rStyle w:val="56"/>
          <w:rFonts w:hint="eastAsia" w:ascii="宋体" w:hAnsi="宋体" w:eastAsia="宋体" w:cs="宋体"/>
          <w:b w:val="0"/>
          <w:bCs w:val="0"/>
          <w:sz w:val="21"/>
          <w:szCs w:val="21"/>
          <w:lang w:val="en-US" w:eastAsia="zh-CN" w:bidi="ar"/>
        </w:rPr>
        <w:t>10</w:t>
      </w:r>
      <w:r>
        <w:rPr>
          <w:rStyle w:val="56"/>
          <w:rFonts w:hint="eastAsia" w:ascii="宋体" w:hAnsi="宋体" w:eastAsia="宋体" w:cs="宋体"/>
          <w:b w:val="0"/>
          <w:bCs w:val="0"/>
          <w:sz w:val="21"/>
          <w:szCs w:val="21"/>
          <w:lang w:bidi="ar"/>
        </w:rPr>
        <w:t>、LE</w:t>
      </w:r>
      <w:r>
        <w:rPr>
          <w:rStyle w:val="56"/>
          <w:rFonts w:hint="eastAsia" w:ascii="宋体" w:hAnsi="宋体" w:eastAsia="宋体" w:cs="宋体"/>
          <w:b w:val="0"/>
          <w:bCs w:val="0"/>
          <w:color w:val="auto"/>
          <w:sz w:val="21"/>
          <w:szCs w:val="21"/>
          <w:highlight w:val="none"/>
          <w:lang w:bidi="ar"/>
        </w:rPr>
        <w:t>D显示屏需通过恶劣环境的试验要求：</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1</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LED显示屏需通过恶劣环境的试验要求，需通过以下试验，并要求试验后外观结构和功能均正常：高温工作试验（实行国家标准GB/T 2423.2的规定）、低温工作试验（实行国家标准GB/T 2423.1的规定）、高温贮存试验（实行国家标准GB/T 2423.2的规定）、低温贮存试验（实行国家标准GB/T 2423.1的规定）、湿热负载试验（实行国家标准GB/T 2423.3的规定）、恒定湿热试验（实行国家标准GB/T 2423.3的规定）、冷热冲击试验（实行国家标准GB/T 2423.2的规定）、正弦振动试验（实行国家标准GB/T 6587的规定）；</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2</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LED显示屏需通过盐雾等级10级的测试：按国家标准GB/T 10125-2012人造气氛腐蚀试验-盐雾试验相关规定进行试验，在盐溶液PH值7±0.5，浓度5%NaCL、温度35±1度的条件下，连续进行72h喷雾，试验结束后显示屏表面无锈蚀、起泡，性能完好，正常工作。</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3</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LED显示屏具有电磁兼容抗扰，需满足以下技术：无线电骚扰：依据GB/T 9254-2008《信息技术设备的无线电骚扰限值和测量方法》进行测试，LED显示屏符合Class B级限值要求；抗扰度：依据GB/ T17618-2015《信息技术设备抗扰度限值和测量方法》进行测试，LED显示屏符合抗扰度的等级要求；（投标文件中需提供完全体现</w:t>
      </w:r>
      <w:r>
        <w:rPr>
          <w:rFonts w:hint="eastAsia" w:ascii="宋体" w:hAnsi="宋体" w:eastAsia="宋体" w:cs="宋体"/>
          <w:color w:val="auto"/>
          <w:kern w:val="0"/>
          <w:sz w:val="21"/>
          <w:szCs w:val="21"/>
          <w:highlight w:val="none"/>
          <w:lang w:val="en-US" w:eastAsia="zh-CN" w:bidi="ar"/>
        </w:rPr>
        <w:t>本项</w:t>
      </w:r>
      <w:r>
        <w:rPr>
          <w:rStyle w:val="56"/>
          <w:rFonts w:hint="eastAsia" w:ascii="宋体" w:hAnsi="宋体" w:eastAsia="宋体" w:cs="宋体"/>
          <w:color w:val="auto"/>
          <w:sz w:val="21"/>
          <w:szCs w:val="21"/>
          <w:highlight w:val="none"/>
          <w:lang w:bidi="ar"/>
        </w:rPr>
        <w:t>第</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1</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至</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3</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项的所有参数的国家认可的第三方检测机构出具的首页具有CMA</w:t>
      </w:r>
      <w:r>
        <w:rPr>
          <w:rStyle w:val="56"/>
          <w:rFonts w:hint="eastAsia" w:ascii="宋体" w:hAnsi="宋体" w:eastAsia="宋体" w:cs="宋体"/>
          <w:color w:val="auto"/>
          <w:sz w:val="21"/>
          <w:szCs w:val="21"/>
          <w:highlight w:val="none"/>
          <w:lang w:val="en-US" w:eastAsia="zh-CN" w:bidi="ar"/>
        </w:rPr>
        <w:t>或</w:t>
      </w:r>
      <w:r>
        <w:rPr>
          <w:rStyle w:val="56"/>
          <w:rFonts w:hint="eastAsia" w:ascii="宋体" w:hAnsi="宋体" w:eastAsia="宋体" w:cs="宋体"/>
          <w:sz w:val="21"/>
          <w:szCs w:val="21"/>
          <w:lang w:bidi="ar"/>
        </w:rPr>
        <w:t>CNAS标识的检测报告复印件，并加盖LED显示屏制造厂商公章</w:t>
      </w:r>
      <w:r>
        <w:rPr>
          <w:rStyle w:val="56"/>
          <w:rFonts w:hint="eastAsia" w:ascii="宋体" w:hAnsi="宋体" w:eastAsia="宋体" w:cs="宋体"/>
          <w:sz w:val="21"/>
          <w:szCs w:val="21"/>
          <w:lang w:eastAsia="zh-CN" w:bidi="ar"/>
        </w:rPr>
        <w:t>，</w:t>
      </w:r>
      <w:r>
        <w:rPr>
          <w:rStyle w:val="56"/>
          <w:rFonts w:hint="eastAsia" w:ascii="宋体" w:hAnsi="宋体" w:eastAsia="宋体" w:cs="宋体"/>
          <w:sz w:val="21"/>
          <w:szCs w:val="21"/>
          <w:lang w:val="en-US" w:eastAsia="zh-CN" w:bidi="ar"/>
        </w:rPr>
        <w:t>中标人须在中标后的5个日历天内提供原件备查</w:t>
      </w:r>
      <w:r>
        <w:rPr>
          <w:rStyle w:val="56"/>
          <w:rFonts w:hint="eastAsia" w:ascii="宋体" w:hAnsi="宋体" w:eastAsia="宋体" w:cs="宋体"/>
          <w:sz w:val="21"/>
          <w:szCs w:val="21"/>
          <w:lang w:bidi="ar"/>
        </w:rPr>
        <w:t>）</w:t>
      </w:r>
    </w:p>
    <w:p>
      <w:pPr>
        <w:pStyle w:val="7"/>
        <w:keepNext w:val="0"/>
        <w:keepLines w:val="0"/>
        <w:pageBreakBefore w:val="0"/>
        <w:widowControl/>
        <w:numPr>
          <w:ilvl w:val="-1"/>
          <w:numId w:val="0"/>
        </w:numPr>
        <w:kinsoku/>
        <w:wordWrap/>
        <w:overflowPunct/>
        <w:topLinePunct w:val="0"/>
        <w:autoSpaceDE/>
        <w:autoSpaceDN/>
        <w:bidi w:val="0"/>
        <w:adjustRightInd w:val="0"/>
        <w:snapToGrid w:val="0"/>
        <w:spacing w:after="0"/>
        <w:ind w:left="0" w:leftChars="0" w:firstLine="0" w:firstLineChars="0"/>
        <w:textAlignment w:val="auto"/>
        <w:rPr>
          <w:rFonts w:hint="eastAsia" w:ascii="宋体" w:hAnsi="宋体" w:eastAsia="宋体" w:cs="宋体"/>
          <w:b w:val="0"/>
          <w:bCs/>
          <w:color w:val="000000"/>
          <w:kern w:val="0"/>
          <w:sz w:val="21"/>
          <w:szCs w:val="21"/>
          <w:lang w:val="en-US" w:eastAsia="zh-CN" w:bidi="ar"/>
        </w:rPr>
      </w:pPr>
      <w:r>
        <w:rPr>
          <w:rStyle w:val="56"/>
          <w:rFonts w:hint="eastAsia" w:ascii="宋体" w:hAnsi="宋体" w:eastAsia="宋体" w:cs="宋体"/>
          <w:b w:val="0"/>
          <w:bCs w:val="0"/>
          <w:sz w:val="21"/>
          <w:szCs w:val="21"/>
          <w:lang w:val="en-US" w:eastAsia="zh-CN" w:bidi="ar"/>
        </w:rPr>
        <w:t>11</w:t>
      </w:r>
      <w:r>
        <w:rPr>
          <w:rStyle w:val="56"/>
          <w:rFonts w:hint="eastAsia" w:ascii="宋体" w:hAnsi="宋体" w:eastAsia="宋体" w:cs="宋体"/>
          <w:b w:val="0"/>
          <w:bCs w:val="0"/>
          <w:color w:val="auto"/>
          <w:sz w:val="21"/>
          <w:szCs w:val="21"/>
          <w:highlight w:val="none"/>
          <w:lang w:bidi="ar"/>
        </w:rPr>
        <w:t>、本项目的LED显示屏安装和维护方式满足以下要求，LED模块需采用模块化、标准化、智能化的设计：</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1</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接口设计：模块、接收卡与转接板之间采用金手指接插件设计和浮动式结构，无排线，支持带电维护，热插拔功能；</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2</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支持智能模组：智能模块由Flash和MCU组成，Flash可以存储校正系数和灯板信息。MCU可以与接收卡进行通信，实现模组级的温度、电压、排线通信状态的监控，以及LED点检。智能模组可以使监控单元变小，用户无需安装单独的监控卡，节省箱体空间；</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3</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支持模组自动校正：灯板被更换后，接收卡上电时会自动读取新灯板ID和校正系数，并保存在接收卡Flash中；</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4</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线路传输方式：箱体间电源线及信号线支持外部走线及内部走线，箱体间电源及信号采用分离式传输；</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5</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电路板需满足高稳定性，需采用多层印制电路板设计，PCB表面沉金处理工艺，一体化驱动设计，充分保证模块安装的稳定性和抗氧化性；依据JIS C5012-1993《印制线路板测试方法》标准，PCB设计、板材的选用、加工过程的管控，能有效耐受CAF离子迁移。</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6</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安装方式：支持模块磁吸安装，支持箱体前安装，后安装，支持座装、贴墙、壁挂、吊装、内弧安装等多类型快速安装方式。</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7</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bidi="ar"/>
        </w:rPr>
        <w:t>支持整体前维护，模块、控制板、电源、系统卡等所有组件均能快速从前面进行维护，无需预留维修通道，散热均匀，箱体内外环境温度均衡。（投标文件中需提供完全体现</w:t>
      </w:r>
      <w:r>
        <w:rPr>
          <w:rFonts w:hint="eastAsia" w:ascii="宋体" w:hAnsi="宋体" w:eastAsia="宋体" w:cs="宋体"/>
          <w:color w:val="auto"/>
          <w:kern w:val="0"/>
          <w:sz w:val="21"/>
          <w:szCs w:val="21"/>
          <w:highlight w:val="none"/>
          <w:lang w:val="en-US" w:eastAsia="zh-CN" w:bidi="ar"/>
        </w:rPr>
        <w:t>本项</w:t>
      </w:r>
      <w:r>
        <w:rPr>
          <w:rStyle w:val="56"/>
          <w:rFonts w:hint="eastAsia" w:ascii="宋体" w:hAnsi="宋体" w:eastAsia="宋体" w:cs="宋体"/>
          <w:color w:val="auto"/>
          <w:sz w:val="21"/>
          <w:szCs w:val="21"/>
          <w:highlight w:val="none"/>
          <w:lang w:bidi="ar"/>
        </w:rPr>
        <w:t>第</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1</w:t>
      </w:r>
      <w:r>
        <w:rPr>
          <w:rStyle w:val="56"/>
          <w:rFonts w:hint="eastAsia" w:ascii="宋体" w:hAnsi="宋体" w:eastAsia="宋体" w:cs="宋体"/>
          <w:color w:val="auto"/>
          <w:sz w:val="21"/>
          <w:szCs w:val="21"/>
          <w:highlight w:val="none"/>
          <w:lang w:eastAsia="zh-CN" w:bidi="ar"/>
        </w:rPr>
        <w:t>）</w:t>
      </w:r>
      <w:r>
        <w:rPr>
          <w:rStyle w:val="56"/>
          <w:rFonts w:hint="eastAsia" w:ascii="宋体" w:hAnsi="宋体" w:eastAsia="宋体" w:cs="宋体"/>
          <w:color w:val="auto"/>
          <w:sz w:val="21"/>
          <w:szCs w:val="21"/>
          <w:highlight w:val="none"/>
          <w:lang w:val="en-US" w:eastAsia="zh-CN" w:bidi="ar"/>
        </w:rPr>
        <w:t>至（7）</w:t>
      </w:r>
      <w:r>
        <w:rPr>
          <w:rStyle w:val="56"/>
          <w:rFonts w:hint="eastAsia" w:ascii="宋体" w:hAnsi="宋体" w:eastAsia="宋体" w:cs="宋体"/>
          <w:color w:val="auto"/>
          <w:sz w:val="21"/>
          <w:szCs w:val="21"/>
          <w:highlight w:val="none"/>
          <w:lang w:bidi="ar"/>
        </w:rPr>
        <w:t>项的所有参数的国家认可的第三方检测机构出具的首页具有CMA</w:t>
      </w:r>
      <w:r>
        <w:rPr>
          <w:rStyle w:val="56"/>
          <w:rFonts w:hint="eastAsia" w:ascii="宋体" w:hAnsi="宋体" w:eastAsia="宋体" w:cs="宋体"/>
          <w:color w:val="auto"/>
          <w:sz w:val="21"/>
          <w:szCs w:val="21"/>
          <w:highlight w:val="none"/>
          <w:lang w:val="en-US" w:eastAsia="zh-CN" w:bidi="ar"/>
        </w:rPr>
        <w:t>或</w:t>
      </w:r>
      <w:r>
        <w:rPr>
          <w:rStyle w:val="56"/>
          <w:rFonts w:hint="eastAsia" w:ascii="宋体" w:hAnsi="宋体" w:eastAsia="宋体" w:cs="宋体"/>
          <w:color w:val="auto"/>
          <w:sz w:val="21"/>
          <w:szCs w:val="21"/>
          <w:highlight w:val="none"/>
          <w:lang w:bidi="ar"/>
        </w:rPr>
        <w:t>CNAS标识的检测报告复印件，并加盖LED显示屏制造厂商公章</w:t>
      </w:r>
      <w:r>
        <w:rPr>
          <w:rStyle w:val="56"/>
          <w:rFonts w:hint="eastAsia" w:ascii="宋体" w:hAnsi="宋体" w:eastAsia="宋体" w:cs="宋体"/>
          <w:sz w:val="21"/>
          <w:szCs w:val="21"/>
          <w:lang w:eastAsia="zh-CN" w:bidi="ar"/>
        </w:rPr>
        <w:t>，</w:t>
      </w:r>
      <w:r>
        <w:rPr>
          <w:rStyle w:val="56"/>
          <w:rFonts w:hint="eastAsia" w:ascii="宋体" w:hAnsi="宋体" w:eastAsia="宋体" w:cs="宋体"/>
          <w:sz w:val="21"/>
          <w:szCs w:val="21"/>
          <w:lang w:val="en-US" w:eastAsia="zh-CN" w:bidi="ar"/>
        </w:rPr>
        <w:t>中标人须在中标后的5个日历天内提供原件备查</w:t>
      </w:r>
      <w:r>
        <w:rPr>
          <w:rStyle w:val="56"/>
          <w:rFonts w:hint="eastAsia" w:ascii="宋体" w:hAnsi="宋体" w:eastAsia="宋体" w:cs="宋体"/>
          <w:color w:val="auto"/>
          <w:sz w:val="21"/>
          <w:szCs w:val="21"/>
          <w:highlight w:val="none"/>
          <w:lang w:bidi="ar"/>
        </w:rPr>
        <w:t>）</w:t>
      </w:r>
    </w:p>
    <w:p>
      <w:pPr>
        <w:pStyle w:val="7"/>
        <w:widowControl/>
        <w:adjustRightInd w:val="0"/>
        <w:snapToGrid w:val="0"/>
        <w:spacing w:after="0" w:line="240" w:lineRule="auto"/>
        <w:ind w:firstLine="0"/>
        <w:rPr>
          <w:rStyle w:val="56"/>
          <w:rFonts w:hint="eastAsia" w:ascii="宋体" w:hAnsi="宋体" w:eastAsia="宋体" w:cs="宋体"/>
          <w:sz w:val="21"/>
          <w:szCs w:val="21"/>
          <w:lang w:bidi="ar"/>
        </w:rPr>
      </w:pPr>
      <w:r>
        <w:rPr>
          <w:rStyle w:val="56"/>
          <w:rFonts w:hint="eastAsia" w:ascii="宋体" w:hAnsi="宋体" w:eastAsia="宋体" w:cs="宋体"/>
          <w:b w:val="0"/>
          <w:bCs w:val="0"/>
          <w:sz w:val="21"/>
          <w:szCs w:val="21"/>
          <w:lang w:val="en-US" w:eastAsia="zh-CN" w:bidi="ar"/>
        </w:rPr>
        <w:t>12</w:t>
      </w:r>
      <w:r>
        <w:rPr>
          <w:rStyle w:val="56"/>
          <w:rFonts w:hint="eastAsia" w:ascii="宋体" w:hAnsi="宋体" w:eastAsia="宋体" w:cs="宋体"/>
          <w:b w:val="0"/>
          <w:bCs w:val="0"/>
          <w:sz w:val="21"/>
          <w:szCs w:val="21"/>
          <w:lang w:bidi="ar"/>
        </w:rPr>
        <w:t>、LED</w:t>
      </w:r>
      <w:r>
        <w:rPr>
          <w:rStyle w:val="56"/>
          <w:rFonts w:hint="eastAsia" w:ascii="宋体" w:hAnsi="宋体" w:eastAsia="宋体" w:cs="宋体"/>
          <w:b w:val="0"/>
          <w:bCs w:val="0"/>
          <w:color w:val="auto"/>
          <w:sz w:val="21"/>
          <w:szCs w:val="21"/>
          <w:highlight w:val="none"/>
          <w:lang w:bidi="ar"/>
        </w:rPr>
        <w:t>显示屏的智能节电及数据处理需满足：</w:t>
      </w:r>
      <w:r>
        <w:rPr>
          <w:rStyle w:val="56"/>
          <w:rFonts w:hint="eastAsia" w:ascii="宋体" w:hAnsi="宋体" w:eastAsia="宋体" w:cs="宋体"/>
          <w:color w:val="auto"/>
          <w:sz w:val="21"/>
          <w:szCs w:val="21"/>
          <w:highlight w:val="none"/>
          <w:lang w:val="en-US" w:eastAsia="zh-CN" w:bidi="ar"/>
        </w:rPr>
        <w:t>（1）供电方式</w:t>
      </w:r>
      <w:r>
        <w:rPr>
          <w:rStyle w:val="56"/>
          <w:rFonts w:hint="eastAsia" w:ascii="宋体" w:hAnsi="宋体" w:eastAsia="宋体" w:cs="宋体"/>
          <w:color w:val="auto"/>
          <w:sz w:val="21"/>
          <w:szCs w:val="21"/>
          <w:highlight w:val="none"/>
          <w:lang w:bidi="ar"/>
        </w:rPr>
        <w:t>：支持模组级DC供电方式≤48V，模组级DC供电方式3.7-5V，支持通讯级开关电源组合集中供电系统，支持N＋1冗余备份和热插拔功能。采用PWM-SS双重节能驱动芯片，具备智能息屏功能，可根显示的不同内容来自动判断是否进入“休眠模式”，启动时又自动唤醒进入“正常模式”。“睡眠模式”功耗比“正常模式”功耗最多可降不少于80%，综合节能不少于45%。</w:t>
      </w:r>
      <w:r>
        <w:rPr>
          <w:rStyle w:val="56"/>
          <w:rFonts w:hint="eastAsia" w:ascii="宋体" w:hAnsi="宋体" w:eastAsia="宋体" w:cs="宋体"/>
          <w:color w:val="auto"/>
          <w:sz w:val="21"/>
          <w:szCs w:val="21"/>
          <w:highlight w:val="none"/>
          <w:lang w:val="en-US" w:eastAsia="zh-CN" w:bidi="ar"/>
        </w:rPr>
        <w:t>（2）</w:t>
      </w:r>
      <w:r>
        <w:rPr>
          <w:rStyle w:val="56"/>
          <w:rFonts w:hint="eastAsia" w:ascii="宋体" w:hAnsi="宋体" w:eastAsia="宋体" w:cs="宋体"/>
          <w:color w:val="auto"/>
          <w:sz w:val="21"/>
          <w:szCs w:val="21"/>
          <w:highlight w:val="none"/>
          <w:lang w:bidi="ar"/>
        </w:rPr>
        <w:t>数据处理要求：数据存储，支持模块级亮度色度校正数据的存储及回读功能；数据备份，支持发送卡、接收卡双备份功能；数据传输，支持模块级无线连接、支持模组无线连接。</w:t>
      </w:r>
      <w:r>
        <w:rPr>
          <w:rStyle w:val="56"/>
          <w:rFonts w:hint="eastAsia" w:ascii="宋体" w:hAnsi="宋体" w:eastAsia="宋体" w:cs="宋体"/>
          <w:color w:val="auto"/>
          <w:sz w:val="21"/>
          <w:szCs w:val="21"/>
          <w:highlight w:val="none"/>
          <w:lang w:val="en-US" w:eastAsia="zh-CN" w:bidi="ar"/>
        </w:rPr>
        <w:t>（3）</w:t>
      </w:r>
      <w:r>
        <w:rPr>
          <w:rStyle w:val="56"/>
          <w:rFonts w:hint="eastAsia" w:ascii="宋体" w:hAnsi="宋体" w:eastAsia="宋体" w:cs="宋体"/>
          <w:color w:val="auto"/>
          <w:sz w:val="21"/>
          <w:szCs w:val="21"/>
          <w:highlight w:val="none"/>
          <w:lang w:bidi="ar"/>
        </w:rPr>
        <w:t>电源平均效率：LED显示屏供电电源，带PFC功能，功率因数不小于96%，转换效率不小于90%。</w:t>
      </w:r>
      <w:r>
        <w:rPr>
          <w:rStyle w:val="56"/>
          <w:rFonts w:hint="eastAsia" w:ascii="宋体" w:hAnsi="宋体" w:eastAsia="宋体" w:cs="宋体"/>
          <w:color w:val="auto"/>
          <w:sz w:val="21"/>
          <w:szCs w:val="21"/>
          <w:highlight w:val="none"/>
          <w:lang w:val="en-US" w:eastAsia="zh-CN" w:bidi="ar"/>
        </w:rPr>
        <w:t>（4）</w:t>
      </w:r>
      <w:r>
        <w:rPr>
          <w:rStyle w:val="56"/>
          <w:rFonts w:hint="eastAsia" w:ascii="宋体" w:hAnsi="宋体" w:eastAsia="宋体" w:cs="宋体"/>
          <w:color w:val="auto"/>
          <w:sz w:val="21"/>
          <w:szCs w:val="21"/>
          <w:highlight w:val="none"/>
          <w:lang w:bidi="ar"/>
        </w:rPr>
        <w:t>单箱断电功能：箱体支持伸</w:t>
      </w:r>
      <w:r>
        <w:rPr>
          <w:rStyle w:val="56"/>
          <w:rFonts w:hint="eastAsia" w:ascii="宋体" w:hAnsi="宋体" w:eastAsia="宋体" w:cs="宋体"/>
          <w:color w:val="000000"/>
          <w:sz w:val="21"/>
          <w:szCs w:val="21"/>
          <w:lang w:bidi="ar"/>
        </w:rPr>
        <w:t>缩式硬连接接口，可实现对单箱进行断电/通电控制。（投标文件中需提供完全体现</w:t>
      </w:r>
      <w:r>
        <w:rPr>
          <w:rStyle w:val="56"/>
          <w:rFonts w:ascii="宋体" w:hAnsi="宋体" w:eastAsia="宋体" w:cs="宋体"/>
          <w:sz w:val="21"/>
        </w:rPr>
        <w:t>本项</w:t>
      </w:r>
      <w:r>
        <w:rPr>
          <w:rStyle w:val="56"/>
          <w:rFonts w:hint="eastAsia" w:ascii="宋体" w:hAnsi="宋体" w:eastAsia="宋体" w:cs="宋体"/>
          <w:color w:val="000000"/>
          <w:sz w:val="21"/>
          <w:szCs w:val="21"/>
          <w:lang w:bidi="ar"/>
        </w:rPr>
        <w:t>第</w:t>
      </w:r>
      <w:r>
        <w:rPr>
          <w:rStyle w:val="56"/>
          <w:rFonts w:hint="eastAsia" w:ascii="宋体" w:hAnsi="宋体" w:eastAsia="宋体" w:cs="宋体"/>
          <w:color w:val="000000"/>
          <w:sz w:val="21"/>
          <w:szCs w:val="21"/>
          <w:lang w:eastAsia="zh-CN" w:bidi="ar"/>
        </w:rPr>
        <w:t>（</w:t>
      </w:r>
      <w:r>
        <w:rPr>
          <w:rStyle w:val="56"/>
          <w:rFonts w:hint="eastAsia" w:ascii="宋体" w:hAnsi="宋体" w:eastAsia="宋体" w:cs="宋体"/>
          <w:color w:val="000000"/>
          <w:sz w:val="21"/>
          <w:szCs w:val="21"/>
          <w:lang w:val="en-US" w:eastAsia="zh-CN" w:bidi="ar"/>
        </w:rPr>
        <w:t>1</w:t>
      </w:r>
      <w:r>
        <w:rPr>
          <w:rStyle w:val="56"/>
          <w:rFonts w:hint="eastAsia" w:ascii="宋体" w:hAnsi="宋体" w:eastAsia="宋体" w:cs="宋体"/>
          <w:color w:val="000000"/>
          <w:sz w:val="21"/>
          <w:szCs w:val="21"/>
          <w:lang w:eastAsia="zh-CN" w:bidi="ar"/>
        </w:rPr>
        <w:t>）</w:t>
      </w:r>
      <w:r>
        <w:rPr>
          <w:rStyle w:val="56"/>
          <w:rFonts w:hint="eastAsia" w:ascii="宋体" w:hAnsi="宋体" w:eastAsia="宋体" w:cs="宋体"/>
          <w:color w:val="000000"/>
          <w:sz w:val="21"/>
          <w:szCs w:val="21"/>
          <w:lang w:val="en-US" w:eastAsia="zh-CN" w:bidi="ar"/>
        </w:rPr>
        <w:t>至（4）</w:t>
      </w:r>
      <w:r>
        <w:rPr>
          <w:rStyle w:val="56"/>
          <w:rFonts w:hint="eastAsia" w:ascii="宋体" w:hAnsi="宋体" w:eastAsia="宋体" w:cs="宋体"/>
          <w:color w:val="000000"/>
          <w:sz w:val="21"/>
          <w:szCs w:val="21"/>
          <w:lang w:bidi="ar"/>
        </w:rPr>
        <w:t>项的所有参数的国家认可的第三方检测机构出具的首页具有CMA</w:t>
      </w:r>
      <w:r>
        <w:rPr>
          <w:rStyle w:val="56"/>
          <w:rFonts w:hint="eastAsia" w:ascii="宋体" w:hAnsi="宋体" w:eastAsia="宋体" w:cs="宋体"/>
          <w:color w:val="000000"/>
          <w:sz w:val="21"/>
          <w:szCs w:val="21"/>
          <w:lang w:val="en-US" w:eastAsia="zh-CN" w:bidi="ar"/>
        </w:rPr>
        <w:t>或</w:t>
      </w:r>
      <w:r>
        <w:rPr>
          <w:rStyle w:val="56"/>
          <w:rFonts w:hint="eastAsia" w:ascii="宋体" w:hAnsi="宋体" w:eastAsia="宋体" w:cs="宋体"/>
          <w:color w:val="000000"/>
          <w:sz w:val="21"/>
          <w:szCs w:val="21"/>
          <w:lang w:bidi="ar"/>
        </w:rPr>
        <w:t>CNAS</w:t>
      </w:r>
      <w:r>
        <w:rPr>
          <w:rStyle w:val="56"/>
          <w:rFonts w:hint="eastAsia" w:ascii="宋体" w:hAnsi="宋体" w:eastAsia="宋体" w:cs="宋体"/>
          <w:sz w:val="21"/>
          <w:szCs w:val="21"/>
          <w:lang w:bidi="ar"/>
        </w:rPr>
        <w:t>标识的检测报告复印件，并加盖LED显示屏制造厂商公章</w:t>
      </w:r>
      <w:r>
        <w:rPr>
          <w:rStyle w:val="56"/>
          <w:rFonts w:hint="eastAsia" w:ascii="宋体" w:hAnsi="宋体" w:eastAsia="宋体" w:cs="宋体"/>
          <w:sz w:val="21"/>
          <w:szCs w:val="21"/>
          <w:lang w:eastAsia="zh-CN" w:bidi="ar"/>
        </w:rPr>
        <w:t>，</w:t>
      </w:r>
      <w:r>
        <w:rPr>
          <w:rStyle w:val="56"/>
          <w:rFonts w:hint="eastAsia" w:ascii="宋体" w:hAnsi="宋体" w:eastAsia="宋体" w:cs="宋体"/>
          <w:sz w:val="21"/>
          <w:szCs w:val="21"/>
          <w:lang w:val="en-US" w:eastAsia="zh-CN" w:bidi="ar"/>
        </w:rPr>
        <w:t>中标人须在中标后的5个日历天内提供原件备查</w:t>
      </w:r>
      <w:r>
        <w:rPr>
          <w:rStyle w:val="56"/>
          <w:rFonts w:hint="eastAsia" w:ascii="宋体" w:hAnsi="宋体" w:eastAsia="宋体" w:cs="宋体"/>
          <w:sz w:val="21"/>
          <w:szCs w:val="21"/>
          <w:lang w:bidi="ar"/>
        </w:rPr>
        <w:t>）</w:t>
      </w:r>
    </w:p>
    <w:p>
      <w:pPr>
        <w:pStyle w:val="7"/>
        <w:widowControl/>
        <w:adjustRightInd w:val="0"/>
        <w:snapToGrid w:val="0"/>
        <w:spacing w:after="0" w:line="240" w:lineRule="auto"/>
        <w:ind w:firstLine="0"/>
        <w:rPr>
          <w:rStyle w:val="56"/>
          <w:rFonts w:hint="eastAsia" w:ascii="宋体" w:hAnsi="宋体" w:eastAsia="宋体" w:cs="宋体"/>
          <w:sz w:val="21"/>
          <w:szCs w:val="21"/>
          <w:lang w:bidi="ar"/>
        </w:rPr>
      </w:pPr>
      <w:r>
        <w:rPr>
          <w:rStyle w:val="56"/>
          <w:rFonts w:hint="eastAsia" w:ascii="微软雅黑" w:hAnsi="微软雅黑" w:eastAsia="微软雅黑" w:cs="微软雅黑"/>
          <w:sz w:val="21"/>
          <w:szCs w:val="21"/>
          <w:lang w:val="en-US" w:eastAsia="zh-CN" w:bidi="ar"/>
        </w:rPr>
        <w:t>★</w:t>
      </w:r>
      <w:r>
        <w:rPr>
          <w:rStyle w:val="56"/>
          <w:rFonts w:hint="eastAsia" w:ascii="宋体" w:hAnsi="宋体" w:eastAsia="宋体" w:cs="宋体"/>
          <w:sz w:val="21"/>
          <w:szCs w:val="21"/>
          <w:lang w:val="en-US" w:eastAsia="zh-CN" w:bidi="ar"/>
        </w:rPr>
        <w:t>13</w:t>
      </w:r>
      <w:r>
        <w:rPr>
          <w:rStyle w:val="56"/>
          <w:rFonts w:hint="eastAsia" w:ascii="宋体" w:hAnsi="宋体" w:eastAsia="宋体" w:cs="宋体"/>
          <w:sz w:val="21"/>
          <w:szCs w:val="21"/>
          <w:lang w:bidi="ar"/>
        </w:rPr>
        <w:t>、需满足同一品牌要求：为了确保系统的运行安全稳定及兼容性，本项目的核心设备（全彩P1.5小间距LED显示屏、安装结构支架及结构件、控制器管理器、智能配电防雷管理系统、LED显示屏管控平台）需属同一品牌产品。（投标文件中需提供LED显示屏制造厂商的以上核心设备同一品牌证明文件复印件，并加盖LED显示屏制造厂商公章，中标人须在中标后的5个日历天内提供原件备查）。</w:t>
      </w:r>
    </w:p>
    <w:p>
      <w:pPr>
        <w:pStyle w:val="7"/>
        <w:widowControl/>
        <w:adjustRightInd w:val="0"/>
        <w:snapToGrid w:val="0"/>
        <w:spacing w:after="0" w:line="240" w:lineRule="auto"/>
        <w:ind w:firstLine="0"/>
        <w:rPr>
          <w:rStyle w:val="56"/>
          <w:rFonts w:hint="eastAsia" w:ascii="宋体" w:hAnsi="宋体" w:eastAsia="宋体" w:cs="宋体"/>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（2）安装结构支架及结构件</w:t>
      </w:r>
    </w:p>
    <w:p>
      <w:pPr>
        <w:pStyle w:val="7"/>
        <w:keepNext w:val="0"/>
        <w:keepLines w:val="0"/>
        <w:pageBreakBefore w:val="0"/>
        <w:widowControl/>
        <w:kinsoku/>
        <w:wordWrap/>
        <w:overflowPunct/>
        <w:topLinePunct w:val="0"/>
        <w:autoSpaceDE/>
        <w:autoSpaceDN/>
        <w:bidi w:val="0"/>
        <w:adjustRightInd w:val="0"/>
        <w:snapToGrid w:val="0"/>
        <w:spacing w:after="0"/>
        <w:ind w:left="0" w:leftChars="0" w:firstLine="0" w:firstLineChars="0"/>
        <w:textAlignment w:val="auto"/>
        <w:rPr>
          <w:rStyle w:val="56"/>
          <w:rFonts w:hint="eastAsia" w:eastAsia="宋体"/>
          <w:color w:val="000000"/>
          <w:sz w:val="21"/>
          <w:szCs w:val="21"/>
          <w:lang w:val="en-US" w:eastAsia="zh-CN" w:bidi="ar"/>
        </w:rPr>
      </w:pPr>
      <w:r>
        <w:rPr>
          <w:rStyle w:val="56"/>
          <w:rFonts w:hint="eastAsia" w:eastAsia="宋体"/>
          <w:color w:val="000000"/>
          <w:sz w:val="21"/>
          <w:szCs w:val="21"/>
          <w:lang w:val="en-US" w:eastAsia="zh-CN" w:bidi="ar"/>
        </w:rPr>
        <w:t>1、</w:t>
      </w:r>
      <w:r>
        <w:rPr>
          <w:rStyle w:val="56"/>
          <w:rFonts w:hint="eastAsia"/>
          <w:color w:val="000000"/>
          <w:sz w:val="21"/>
          <w:szCs w:val="21"/>
          <w:lang w:bidi="ar"/>
        </w:rPr>
        <w:t>安装结构能满足LED高清显示屏的整体均匀平滑要求，结构应便于安装和调试，采用国标材料制作，定制装置，拆装方便；具备间距调节装置，可实现精确调节，显示模组之间的缝隙均匀，显示效果清晰；钢结构框架，所有材料采用国家标准材料施工制作，防锈防氧化处理</w:t>
      </w:r>
      <w:r>
        <w:rPr>
          <w:rStyle w:val="56"/>
          <w:rFonts w:hint="eastAsia" w:eastAsia="宋体"/>
          <w:color w:val="000000"/>
          <w:sz w:val="21"/>
          <w:szCs w:val="21"/>
          <w:lang w:eastAsia="zh-CN" w:bidi="ar"/>
        </w:rPr>
        <w:t>。</w:t>
      </w:r>
    </w:p>
    <w:p>
      <w:pPr>
        <w:pStyle w:val="7"/>
        <w:keepNext w:val="0"/>
        <w:keepLines w:val="0"/>
        <w:pageBreakBefore w:val="0"/>
        <w:widowControl/>
        <w:kinsoku/>
        <w:wordWrap/>
        <w:overflowPunct/>
        <w:topLinePunct w:val="0"/>
        <w:autoSpaceDE/>
        <w:autoSpaceDN/>
        <w:bidi w:val="0"/>
        <w:adjustRightInd w:val="0"/>
        <w:snapToGrid w:val="0"/>
        <w:spacing w:after="0"/>
        <w:ind w:left="0" w:leftChars="0" w:firstLine="0" w:firstLineChars="0"/>
        <w:textAlignment w:val="auto"/>
        <w:rPr>
          <w:rStyle w:val="56"/>
          <w:rFonts w:hint="eastAsia" w:eastAsia="宋体"/>
          <w:color w:val="000000"/>
          <w:sz w:val="21"/>
          <w:szCs w:val="21"/>
          <w:lang w:val="en-US" w:eastAsia="zh-CN" w:bidi="ar"/>
        </w:rPr>
      </w:pPr>
      <w:r>
        <w:rPr>
          <w:rStyle w:val="56"/>
          <w:rFonts w:hint="eastAsia" w:eastAsia="宋体"/>
          <w:color w:val="000000"/>
          <w:sz w:val="21"/>
          <w:szCs w:val="21"/>
          <w:lang w:val="en-US" w:eastAsia="zh-CN" w:bidi="ar"/>
        </w:rPr>
        <w:t>2、</w:t>
      </w:r>
      <w:r>
        <w:rPr>
          <w:rStyle w:val="56"/>
          <w:rFonts w:hint="eastAsia"/>
          <w:color w:val="000000"/>
          <w:sz w:val="21"/>
          <w:szCs w:val="21"/>
          <w:lang w:bidi="ar"/>
        </w:rPr>
        <w:t>LED显示屏选用环保型铝型材框架安装</w:t>
      </w:r>
      <w:r>
        <w:rPr>
          <w:rStyle w:val="56"/>
          <w:rFonts w:hint="eastAsia" w:eastAsia="宋体"/>
          <w:color w:val="000000"/>
          <w:sz w:val="21"/>
          <w:szCs w:val="21"/>
          <w:lang w:eastAsia="zh-CN" w:bidi="ar"/>
        </w:rPr>
        <w:t>，</w:t>
      </w:r>
      <w:r>
        <w:rPr>
          <w:rStyle w:val="56"/>
          <w:rFonts w:hint="eastAsia"/>
          <w:color w:val="000000"/>
          <w:sz w:val="21"/>
          <w:szCs w:val="21"/>
          <w:lang w:bidi="ar"/>
        </w:rPr>
        <w:t>其框架材料经过严格环保、无毒测试</w:t>
      </w:r>
      <w:r>
        <w:rPr>
          <w:rStyle w:val="56"/>
          <w:rFonts w:hint="eastAsia" w:eastAsia="宋体"/>
          <w:color w:val="000000"/>
          <w:sz w:val="21"/>
          <w:szCs w:val="21"/>
          <w:lang w:eastAsia="zh-CN" w:bidi="ar"/>
        </w:rPr>
        <w:t>，</w:t>
      </w:r>
      <w:r>
        <w:rPr>
          <w:rStyle w:val="56"/>
          <w:rFonts w:hint="eastAsia"/>
          <w:color w:val="000000"/>
          <w:sz w:val="21"/>
          <w:szCs w:val="21"/>
          <w:lang w:bidi="ar"/>
        </w:rPr>
        <w:t>符合国家《GB/T26572-2011》标准限量要求</w:t>
      </w:r>
      <w:r>
        <w:rPr>
          <w:rStyle w:val="56"/>
          <w:rFonts w:hint="eastAsia" w:eastAsia="宋体"/>
          <w:color w:val="000000"/>
          <w:sz w:val="21"/>
          <w:szCs w:val="21"/>
          <w:lang w:eastAsia="zh-CN" w:bidi="ar"/>
        </w:rPr>
        <w:t>（</w:t>
      </w:r>
      <w:r>
        <w:rPr>
          <w:rStyle w:val="56"/>
          <w:rFonts w:hint="eastAsia"/>
          <w:color w:val="000000"/>
          <w:sz w:val="21"/>
          <w:szCs w:val="21"/>
          <w:lang w:bidi="ar"/>
        </w:rPr>
        <w:t>投标文件中需提供完全体现该第</w:t>
      </w:r>
      <w:r>
        <w:rPr>
          <w:rStyle w:val="56"/>
          <w:rFonts w:hint="eastAsia" w:eastAsia="宋体"/>
          <w:color w:val="000000"/>
          <w:sz w:val="21"/>
          <w:szCs w:val="21"/>
          <w:lang w:val="en-US" w:eastAsia="zh-CN" w:bidi="ar"/>
        </w:rPr>
        <w:t>2</w:t>
      </w:r>
      <w:r>
        <w:rPr>
          <w:rStyle w:val="56"/>
          <w:rFonts w:hint="eastAsia"/>
          <w:color w:val="000000"/>
          <w:sz w:val="21"/>
          <w:szCs w:val="21"/>
          <w:lang w:bidi="ar"/>
        </w:rPr>
        <w:t>项的所有参数的国家认可的第三方检测机构出具的首页具有CMA</w:t>
      </w:r>
      <w:r>
        <w:rPr>
          <w:rStyle w:val="56"/>
          <w:rFonts w:hint="eastAsia" w:eastAsia="宋体"/>
          <w:color w:val="000000"/>
          <w:sz w:val="21"/>
          <w:szCs w:val="21"/>
          <w:lang w:val="en-US" w:eastAsia="zh-CN" w:bidi="ar"/>
        </w:rPr>
        <w:t>或</w:t>
      </w:r>
      <w:r>
        <w:rPr>
          <w:rStyle w:val="56"/>
          <w:rFonts w:hint="eastAsia"/>
          <w:color w:val="000000"/>
          <w:sz w:val="21"/>
          <w:szCs w:val="21"/>
          <w:lang w:bidi="ar"/>
        </w:rPr>
        <w:t>CNAS标识的检测报告复印件，并加盖LED显示屏制造厂商公章</w:t>
      </w:r>
      <w:r>
        <w:rPr>
          <w:rStyle w:val="56"/>
          <w:rFonts w:hint="eastAsia" w:eastAsia="宋体"/>
          <w:sz w:val="21"/>
          <w:szCs w:val="21"/>
          <w:lang w:eastAsia="zh-CN" w:bidi="ar"/>
        </w:rPr>
        <w:t>，</w:t>
      </w:r>
      <w:r>
        <w:rPr>
          <w:rStyle w:val="56"/>
          <w:rFonts w:hint="eastAsia" w:eastAsia="宋体"/>
          <w:sz w:val="21"/>
          <w:szCs w:val="21"/>
          <w:lang w:val="en-US" w:eastAsia="zh-CN" w:bidi="ar"/>
        </w:rPr>
        <w:t>中标人须在中标后的5个日历天内提供原件备查</w:t>
      </w:r>
      <w:r>
        <w:rPr>
          <w:rStyle w:val="56"/>
          <w:rFonts w:hint="eastAsia"/>
          <w:color w:val="000000"/>
          <w:sz w:val="21"/>
          <w:szCs w:val="21"/>
          <w:lang w:bidi="ar"/>
        </w:rPr>
        <w:t>）</w:t>
      </w:r>
      <w:r>
        <w:rPr>
          <w:rStyle w:val="56"/>
          <w:rFonts w:hint="eastAsia" w:eastAsia="宋体"/>
          <w:color w:val="000000"/>
          <w:sz w:val="21"/>
          <w:szCs w:val="21"/>
          <w:lang w:eastAsia="zh-CN" w:bidi="ar"/>
        </w:rPr>
        <w:t>。</w:t>
      </w:r>
    </w:p>
    <w:p>
      <w:pPr>
        <w:pStyle w:val="7"/>
        <w:widowControl/>
        <w:spacing w:line="240" w:lineRule="auto"/>
        <w:ind w:firstLine="0"/>
        <w:rPr>
          <w:rStyle w:val="56"/>
          <w:rFonts w:hint="eastAsia" w:eastAsia="宋体"/>
          <w:color w:val="000000"/>
          <w:sz w:val="21"/>
          <w:szCs w:val="21"/>
          <w:lang w:eastAsia="zh-CN" w:bidi="ar"/>
        </w:rPr>
      </w:pPr>
      <w:r>
        <w:rPr>
          <w:rStyle w:val="56"/>
          <w:rFonts w:hint="eastAsia" w:ascii="微软雅黑" w:hAnsi="微软雅黑" w:eastAsia="微软雅黑" w:cs="微软雅黑"/>
          <w:color w:val="000000"/>
          <w:sz w:val="21"/>
          <w:szCs w:val="21"/>
          <w:lang w:val="en-US" w:eastAsia="zh-CN" w:bidi="ar"/>
        </w:rPr>
        <w:t>★</w:t>
      </w:r>
      <w:r>
        <w:rPr>
          <w:rStyle w:val="56"/>
          <w:rFonts w:hint="eastAsia" w:eastAsia="宋体"/>
          <w:color w:val="000000"/>
          <w:sz w:val="21"/>
          <w:szCs w:val="21"/>
          <w:lang w:val="en-US" w:eastAsia="zh-CN" w:bidi="ar"/>
        </w:rPr>
        <w:t>3</w:t>
      </w:r>
      <w:r>
        <w:rPr>
          <w:rStyle w:val="56"/>
          <w:rFonts w:hint="eastAsia"/>
          <w:color w:val="000000"/>
          <w:sz w:val="21"/>
          <w:szCs w:val="21"/>
          <w:lang w:bidi="ar"/>
        </w:rPr>
        <w:t>、为保证LED显示屏制造厂商专业性与实施规范性，LED显示屏制造厂商应具有建筑机电安装工程专业承包</w:t>
      </w:r>
      <w:r>
        <w:rPr>
          <w:rStyle w:val="56"/>
          <w:rFonts w:hint="eastAsia" w:eastAsia="宋体"/>
          <w:color w:val="000000"/>
          <w:sz w:val="21"/>
          <w:szCs w:val="21"/>
          <w:lang w:val="en-US" w:eastAsia="zh-CN" w:bidi="ar"/>
        </w:rPr>
        <w:t>三</w:t>
      </w:r>
      <w:r>
        <w:rPr>
          <w:rStyle w:val="56"/>
          <w:rFonts w:hint="eastAsia"/>
          <w:color w:val="000000"/>
          <w:sz w:val="21"/>
          <w:szCs w:val="21"/>
          <w:lang w:bidi="ar"/>
        </w:rPr>
        <w:t>级或以上</w:t>
      </w:r>
      <w:r>
        <w:rPr>
          <w:rStyle w:val="56"/>
          <w:rFonts w:hint="eastAsia" w:eastAsia="宋体"/>
          <w:color w:val="000000"/>
          <w:sz w:val="21"/>
          <w:szCs w:val="21"/>
          <w:lang w:val="en-US" w:eastAsia="zh-CN" w:bidi="ar"/>
        </w:rPr>
        <w:t>和</w:t>
      </w:r>
      <w:r>
        <w:rPr>
          <w:rStyle w:val="56"/>
          <w:rFonts w:hint="eastAsia" w:cs="宋体"/>
          <w:color w:val="000000"/>
          <w:kern w:val="0"/>
          <w:sz w:val="21"/>
          <w:szCs w:val="21"/>
          <w:lang w:val="en-US" w:eastAsia="zh-CN" w:bidi="ar"/>
        </w:rPr>
        <w:t>安全技术防范系统设计、施工、维修肆级或以上资质复印件</w:t>
      </w:r>
      <w:r>
        <w:rPr>
          <w:rStyle w:val="56"/>
          <w:rFonts w:hint="eastAsia"/>
          <w:color w:val="000000"/>
          <w:sz w:val="21"/>
          <w:szCs w:val="21"/>
          <w:lang w:bidi="ar"/>
        </w:rPr>
        <w:t>，</w:t>
      </w:r>
      <w:r>
        <w:rPr>
          <w:rStyle w:val="56"/>
          <w:rFonts w:hint="eastAsia" w:eastAsia="宋体"/>
          <w:color w:val="000000"/>
          <w:sz w:val="21"/>
          <w:szCs w:val="21"/>
          <w:lang w:val="en-US" w:eastAsia="zh-CN" w:bidi="ar"/>
        </w:rPr>
        <w:t>同时</w:t>
      </w:r>
      <w:r>
        <w:rPr>
          <w:rStyle w:val="56"/>
          <w:rFonts w:hint="eastAsia"/>
          <w:color w:val="000000"/>
          <w:sz w:val="21"/>
          <w:szCs w:val="21"/>
          <w:lang w:bidi="ar"/>
        </w:rPr>
        <w:t>提供</w:t>
      </w:r>
      <w:r>
        <w:rPr>
          <w:rStyle w:val="56"/>
          <w:rFonts w:hint="eastAsia" w:eastAsia="宋体"/>
          <w:color w:val="000000"/>
          <w:sz w:val="21"/>
          <w:szCs w:val="21"/>
          <w:lang w:val="en-US" w:eastAsia="zh-CN" w:bidi="ar"/>
        </w:rPr>
        <w:t>上述2种</w:t>
      </w:r>
      <w:r>
        <w:rPr>
          <w:rStyle w:val="56"/>
          <w:rFonts w:hint="eastAsia"/>
          <w:color w:val="000000"/>
          <w:sz w:val="21"/>
          <w:szCs w:val="21"/>
          <w:lang w:bidi="ar"/>
        </w:rPr>
        <w:t>证书复印件并加盖LED显示屏制造厂商公章</w:t>
      </w:r>
      <w:r>
        <w:rPr>
          <w:rStyle w:val="56"/>
          <w:rFonts w:hint="eastAsia" w:eastAsia="宋体"/>
          <w:sz w:val="21"/>
          <w:szCs w:val="21"/>
          <w:lang w:eastAsia="zh-CN" w:bidi="ar"/>
        </w:rPr>
        <w:t>，</w:t>
      </w:r>
      <w:r>
        <w:rPr>
          <w:rStyle w:val="56"/>
          <w:rFonts w:hint="eastAsia" w:eastAsia="宋体"/>
          <w:sz w:val="21"/>
          <w:szCs w:val="21"/>
          <w:lang w:val="en-US" w:eastAsia="zh-CN" w:bidi="ar"/>
        </w:rPr>
        <w:t>中标人须在中标后的5个日历天内提供原件备查</w:t>
      </w:r>
      <w:r>
        <w:rPr>
          <w:rStyle w:val="56"/>
          <w:rFonts w:hint="eastAsia" w:eastAsia="宋体"/>
          <w:color w:val="000000"/>
          <w:sz w:val="21"/>
          <w:szCs w:val="21"/>
          <w:lang w:eastAsia="zh-CN" w:bidi="ar"/>
        </w:rPr>
        <w:t>。</w:t>
      </w:r>
    </w:p>
    <w:p>
      <w:pPr>
        <w:pStyle w:val="7"/>
        <w:widowControl/>
        <w:spacing w:line="240" w:lineRule="auto"/>
        <w:ind w:firstLine="0"/>
        <w:rPr>
          <w:rStyle w:val="56"/>
          <w:rFonts w:hint="eastAsia" w:eastAsia="宋体"/>
          <w:color w:val="000000"/>
          <w:sz w:val="21"/>
          <w:szCs w:val="21"/>
          <w:lang w:eastAsia="zh-CN"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（3）控制器管理器</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default"/>
          <w:bCs/>
          <w:color w:val="auto"/>
          <w:sz w:val="21"/>
          <w:szCs w:val="21"/>
          <w:lang w:bidi="ar"/>
        </w:rPr>
      </w:pPr>
      <w:r>
        <w:rPr>
          <w:rStyle w:val="56"/>
          <w:rFonts w:hint="eastAsia" w:eastAsia="宋体"/>
          <w:color w:val="auto"/>
          <w:sz w:val="21"/>
          <w:szCs w:val="21"/>
          <w:lang w:val="en-US" w:eastAsia="zh-CN" w:bidi="ar"/>
        </w:rPr>
        <w:t>1、</w:t>
      </w:r>
      <w:r>
        <w:rPr>
          <w:rStyle w:val="56"/>
          <w:rFonts w:hint="default"/>
          <w:bCs/>
          <w:color w:val="auto"/>
          <w:sz w:val="21"/>
          <w:szCs w:val="21"/>
          <w:lang w:bidi="ar"/>
        </w:rPr>
        <w:t>带载能力不少于230 万点，支持自定义分辨率</w:t>
      </w:r>
      <w:r>
        <w:rPr>
          <w:rStyle w:val="56"/>
          <w:rFonts w:hint="eastAsia" w:eastAsia="宋体"/>
          <w:bCs/>
          <w:color w:val="auto"/>
          <w:sz w:val="21"/>
          <w:szCs w:val="21"/>
          <w:lang w:eastAsia="zh-CN" w:bidi="ar"/>
        </w:rPr>
        <w:t>。</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eastAsia="宋体"/>
          <w:bCs/>
          <w:color w:val="auto"/>
          <w:sz w:val="21"/>
          <w:szCs w:val="21"/>
          <w:lang w:eastAsia="zh-CN" w:bidi="ar"/>
        </w:rPr>
      </w:pPr>
      <w:r>
        <w:rPr>
          <w:rStyle w:val="56"/>
          <w:rFonts w:hint="eastAsia" w:eastAsia="宋体"/>
          <w:bCs/>
          <w:color w:val="auto"/>
          <w:sz w:val="21"/>
          <w:szCs w:val="21"/>
          <w:lang w:val="en-US" w:eastAsia="zh-CN" w:bidi="ar"/>
        </w:rPr>
        <w:t>2、</w:t>
      </w:r>
      <w:r>
        <w:rPr>
          <w:rStyle w:val="56"/>
          <w:rFonts w:hint="default"/>
          <w:bCs/>
          <w:color w:val="auto"/>
          <w:sz w:val="21"/>
          <w:szCs w:val="21"/>
          <w:lang w:bidi="ar"/>
        </w:rPr>
        <w:t>支持最大宽度：3840</w:t>
      </w:r>
      <w:r>
        <w:rPr>
          <w:rStyle w:val="56"/>
          <w:rFonts w:hint="eastAsia" w:eastAsia="宋体"/>
          <w:bCs/>
          <w:color w:val="auto"/>
          <w:sz w:val="21"/>
          <w:szCs w:val="21"/>
          <w:lang w:eastAsia="zh-CN" w:bidi="ar"/>
        </w:rPr>
        <w:t>。</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default" w:eastAsia="宋体"/>
          <w:bCs/>
          <w:color w:val="auto"/>
          <w:sz w:val="21"/>
          <w:szCs w:val="21"/>
          <w:lang w:val="en-US" w:eastAsia="zh-CN" w:bidi="ar"/>
        </w:rPr>
      </w:pPr>
      <w:r>
        <w:rPr>
          <w:rStyle w:val="56"/>
          <w:rFonts w:hint="eastAsia" w:eastAsia="宋体"/>
          <w:bCs/>
          <w:color w:val="auto"/>
          <w:sz w:val="21"/>
          <w:szCs w:val="21"/>
          <w:lang w:val="en-US" w:eastAsia="zh-CN" w:bidi="ar"/>
        </w:rPr>
        <w:t>3、支持最大高度：3840.</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default"/>
          <w:bCs/>
          <w:color w:val="auto"/>
          <w:sz w:val="21"/>
          <w:szCs w:val="21"/>
          <w:lang w:bidi="ar"/>
        </w:rPr>
      </w:pPr>
      <w:r>
        <w:rPr>
          <w:rStyle w:val="56"/>
          <w:rFonts w:hint="eastAsia" w:eastAsia="宋体"/>
          <w:bCs/>
          <w:color w:val="auto"/>
          <w:sz w:val="21"/>
          <w:szCs w:val="21"/>
          <w:lang w:val="en-US" w:eastAsia="zh-CN" w:bidi="ar"/>
        </w:rPr>
        <w:t>4、</w:t>
      </w:r>
      <w:r>
        <w:rPr>
          <w:rStyle w:val="56"/>
          <w:rFonts w:hint="default"/>
          <w:bCs/>
          <w:color w:val="auto"/>
          <w:sz w:val="21"/>
          <w:szCs w:val="21"/>
          <w:lang w:bidi="ar"/>
        </w:rPr>
        <w:t>单台最大带载：1920×1200@60Hz</w:t>
      </w:r>
      <w:r>
        <w:rPr>
          <w:rStyle w:val="56"/>
          <w:rFonts w:hint="eastAsia" w:eastAsia="宋体"/>
          <w:bCs/>
          <w:color w:val="auto"/>
          <w:sz w:val="21"/>
          <w:szCs w:val="21"/>
          <w:lang w:eastAsia="zh-CN" w:bidi="ar"/>
        </w:rPr>
        <w:t>。</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default"/>
          <w:bCs/>
          <w:color w:val="auto"/>
          <w:sz w:val="21"/>
          <w:szCs w:val="21"/>
          <w:lang w:bidi="ar"/>
        </w:rPr>
      </w:pPr>
      <w:r>
        <w:rPr>
          <w:rStyle w:val="56"/>
          <w:rFonts w:hint="eastAsia" w:eastAsia="宋体"/>
          <w:bCs/>
          <w:color w:val="auto"/>
          <w:sz w:val="21"/>
          <w:szCs w:val="21"/>
          <w:lang w:val="en-US" w:eastAsia="zh-CN" w:bidi="ar"/>
        </w:rPr>
        <w:t>5、</w:t>
      </w:r>
      <w:r>
        <w:rPr>
          <w:rStyle w:val="56"/>
          <w:rFonts w:hint="default"/>
          <w:bCs/>
          <w:color w:val="auto"/>
          <w:sz w:val="21"/>
          <w:szCs w:val="21"/>
          <w:lang w:bidi="ar"/>
        </w:rPr>
        <w:t>支持2K高清画面</w:t>
      </w:r>
      <w:r>
        <w:rPr>
          <w:rStyle w:val="56"/>
          <w:rFonts w:hint="eastAsia" w:eastAsia="宋体"/>
          <w:bCs/>
          <w:color w:val="auto"/>
          <w:sz w:val="21"/>
          <w:szCs w:val="21"/>
          <w:lang w:eastAsia="zh-CN" w:bidi="ar"/>
        </w:rPr>
        <w:t>。</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default"/>
          <w:bCs/>
          <w:color w:val="auto"/>
          <w:sz w:val="21"/>
          <w:szCs w:val="21"/>
          <w:lang w:bidi="ar"/>
        </w:rPr>
      </w:pPr>
      <w:r>
        <w:rPr>
          <w:rStyle w:val="56"/>
          <w:rFonts w:hint="eastAsia" w:eastAsia="宋体"/>
          <w:bCs/>
          <w:color w:val="auto"/>
          <w:sz w:val="21"/>
          <w:szCs w:val="21"/>
          <w:lang w:val="en-US" w:eastAsia="zh-CN" w:bidi="ar"/>
        </w:rPr>
        <w:t>6、</w:t>
      </w:r>
      <w:r>
        <w:rPr>
          <w:rStyle w:val="56"/>
          <w:rFonts w:hint="default"/>
          <w:bCs/>
          <w:color w:val="auto"/>
          <w:sz w:val="21"/>
          <w:szCs w:val="21"/>
          <w:lang w:bidi="ar"/>
        </w:rPr>
        <w:t>输入接口DVI×1，DVI OUT×1</w:t>
      </w:r>
      <w:r>
        <w:rPr>
          <w:rStyle w:val="56"/>
          <w:rFonts w:hint="eastAsia" w:eastAsia="宋体"/>
          <w:bCs/>
          <w:color w:val="auto"/>
          <w:sz w:val="21"/>
          <w:szCs w:val="21"/>
          <w:lang w:eastAsia="zh-CN" w:bidi="ar"/>
        </w:rPr>
        <w:t>，</w:t>
      </w:r>
      <w:r>
        <w:rPr>
          <w:rStyle w:val="56"/>
          <w:rFonts w:hint="default"/>
          <w:bCs/>
          <w:color w:val="auto"/>
          <w:sz w:val="21"/>
          <w:szCs w:val="21"/>
          <w:lang w:bidi="ar"/>
        </w:rPr>
        <w:t>HDMI×1</w:t>
      </w:r>
      <w:r>
        <w:rPr>
          <w:rStyle w:val="56"/>
          <w:rFonts w:hint="eastAsia" w:eastAsia="宋体"/>
          <w:bCs/>
          <w:color w:val="auto"/>
          <w:sz w:val="21"/>
          <w:szCs w:val="21"/>
          <w:lang w:eastAsia="zh-CN" w:bidi="ar"/>
        </w:rPr>
        <w:t>，</w:t>
      </w:r>
      <w:r>
        <w:rPr>
          <w:rStyle w:val="56"/>
          <w:rFonts w:hint="default"/>
          <w:bCs/>
          <w:color w:val="auto"/>
          <w:sz w:val="21"/>
          <w:szCs w:val="21"/>
          <w:lang w:bidi="ar"/>
        </w:rPr>
        <w:t>HDMI OUT×1</w:t>
      </w:r>
      <w:r>
        <w:rPr>
          <w:rStyle w:val="56"/>
          <w:rFonts w:hint="eastAsia" w:eastAsia="宋体"/>
          <w:bCs/>
          <w:color w:val="auto"/>
          <w:sz w:val="21"/>
          <w:szCs w:val="21"/>
          <w:lang w:eastAsia="zh-CN" w:bidi="ar"/>
        </w:rPr>
        <w:t>。</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default"/>
          <w:bCs/>
          <w:color w:val="auto"/>
          <w:sz w:val="21"/>
          <w:szCs w:val="21"/>
          <w:lang w:bidi="ar"/>
        </w:rPr>
      </w:pPr>
      <w:r>
        <w:rPr>
          <w:rStyle w:val="56"/>
          <w:rFonts w:hint="eastAsia" w:eastAsia="宋体"/>
          <w:bCs/>
          <w:color w:val="auto"/>
          <w:sz w:val="21"/>
          <w:szCs w:val="21"/>
          <w:lang w:val="en-US" w:eastAsia="zh-CN" w:bidi="ar"/>
        </w:rPr>
        <w:t>7</w:t>
      </w:r>
      <w:r>
        <w:rPr>
          <w:rStyle w:val="56"/>
          <w:rFonts w:hint="eastAsia" w:eastAsia="宋体"/>
          <w:bCs/>
          <w:color w:val="auto"/>
          <w:sz w:val="21"/>
          <w:szCs w:val="21"/>
          <w:lang w:eastAsia="zh-CN" w:bidi="ar"/>
        </w:rPr>
        <w:t>、</w:t>
      </w:r>
      <w:r>
        <w:rPr>
          <w:rStyle w:val="56"/>
          <w:rFonts w:hint="default"/>
          <w:bCs/>
          <w:color w:val="auto"/>
          <w:sz w:val="21"/>
          <w:szCs w:val="21"/>
          <w:lang w:bidi="ar"/>
        </w:rPr>
        <w:t>输出接口：6路千兆网口输出</w:t>
      </w:r>
      <w:r>
        <w:rPr>
          <w:rStyle w:val="56"/>
          <w:rFonts w:hint="eastAsia" w:eastAsia="宋体"/>
          <w:bCs/>
          <w:color w:val="auto"/>
          <w:sz w:val="21"/>
          <w:szCs w:val="21"/>
          <w:lang w:eastAsia="zh-CN" w:bidi="ar"/>
        </w:rPr>
        <w:t>。</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default"/>
          <w:bCs/>
          <w:color w:val="auto"/>
          <w:sz w:val="21"/>
          <w:szCs w:val="21"/>
          <w:lang w:bidi="ar"/>
        </w:rPr>
      </w:pPr>
      <w:r>
        <w:rPr>
          <w:rStyle w:val="56"/>
          <w:rFonts w:hint="eastAsia" w:eastAsia="宋体"/>
          <w:bCs/>
          <w:color w:val="auto"/>
          <w:sz w:val="21"/>
          <w:szCs w:val="21"/>
          <w:lang w:val="en-US" w:eastAsia="zh-CN" w:bidi="ar"/>
        </w:rPr>
        <w:t>8、</w:t>
      </w:r>
      <w:r>
        <w:rPr>
          <w:rStyle w:val="56"/>
          <w:rFonts w:hint="default"/>
          <w:bCs/>
          <w:color w:val="auto"/>
          <w:sz w:val="21"/>
          <w:szCs w:val="21"/>
          <w:lang w:bidi="ar"/>
        </w:rPr>
        <w:t>视频源位深：8bit</w:t>
      </w:r>
      <w:r>
        <w:rPr>
          <w:rStyle w:val="56"/>
          <w:rFonts w:hint="eastAsia" w:eastAsia="宋体"/>
          <w:bCs/>
          <w:color w:val="auto"/>
          <w:sz w:val="21"/>
          <w:szCs w:val="21"/>
          <w:lang w:eastAsia="zh-CN" w:bidi="ar"/>
        </w:rPr>
        <w:t>。</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default"/>
          <w:bCs/>
          <w:color w:val="auto"/>
          <w:sz w:val="21"/>
          <w:szCs w:val="21"/>
          <w:lang w:bidi="ar"/>
        </w:rPr>
      </w:pPr>
      <w:r>
        <w:rPr>
          <w:rStyle w:val="56"/>
          <w:rFonts w:hint="eastAsia" w:eastAsia="宋体"/>
          <w:bCs/>
          <w:color w:val="auto"/>
          <w:sz w:val="21"/>
          <w:szCs w:val="21"/>
          <w:lang w:val="en-US" w:eastAsia="zh-CN" w:bidi="ar"/>
        </w:rPr>
        <w:t>9、</w:t>
      </w:r>
      <w:r>
        <w:rPr>
          <w:rStyle w:val="56"/>
          <w:rFonts w:hint="default"/>
          <w:bCs/>
          <w:color w:val="auto"/>
          <w:sz w:val="21"/>
          <w:szCs w:val="21"/>
          <w:lang w:bidi="ar"/>
        </w:rPr>
        <w:t>支持新一代逐点亮色度校正技术，校正过程快速高效</w:t>
      </w:r>
      <w:r>
        <w:rPr>
          <w:rStyle w:val="56"/>
          <w:rFonts w:hint="eastAsia" w:eastAsia="宋体"/>
          <w:bCs/>
          <w:color w:val="auto"/>
          <w:sz w:val="21"/>
          <w:szCs w:val="21"/>
          <w:lang w:eastAsia="zh-CN" w:bidi="ar"/>
        </w:rPr>
        <w:t>。</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default"/>
          <w:bCs/>
          <w:color w:val="auto"/>
          <w:sz w:val="21"/>
          <w:szCs w:val="21"/>
          <w:lang w:bidi="ar"/>
        </w:rPr>
      </w:pPr>
      <w:r>
        <w:rPr>
          <w:rStyle w:val="56"/>
          <w:rFonts w:hint="eastAsia" w:eastAsia="宋体"/>
          <w:bCs/>
          <w:color w:val="auto"/>
          <w:sz w:val="21"/>
          <w:szCs w:val="21"/>
          <w:lang w:val="en-US" w:eastAsia="zh-CN" w:bidi="ar"/>
        </w:rPr>
        <w:t>10</w:t>
      </w:r>
      <w:r>
        <w:rPr>
          <w:rStyle w:val="56"/>
          <w:rFonts w:hint="eastAsia" w:eastAsia="宋体"/>
          <w:bCs/>
          <w:color w:val="auto"/>
          <w:sz w:val="21"/>
          <w:szCs w:val="21"/>
          <w:lang w:eastAsia="zh-CN" w:bidi="ar"/>
        </w:rPr>
        <w:t>、</w:t>
      </w:r>
      <w:r>
        <w:rPr>
          <w:rStyle w:val="56"/>
          <w:rFonts w:hint="default"/>
          <w:bCs/>
          <w:color w:val="auto"/>
          <w:sz w:val="21"/>
          <w:szCs w:val="21"/>
          <w:lang w:bidi="ar"/>
        </w:rPr>
        <w:t>可级联多台进行统一控制。</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default"/>
          <w:bCs/>
          <w:color w:val="auto"/>
          <w:sz w:val="21"/>
          <w:szCs w:val="21"/>
          <w:lang w:bidi="ar"/>
        </w:rPr>
      </w:pPr>
      <w:r>
        <w:rPr>
          <w:rStyle w:val="56"/>
          <w:rFonts w:hint="eastAsia" w:eastAsia="宋体"/>
          <w:bCs/>
          <w:color w:val="auto"/>
          <w:sz w:val="21"/>
          <w:szCs w:val="21"/>
          <w:lang w:val="en-US" w:eastAsia="zh-CN" w:bidi="ar"/>
        </w:rPr>
        <w:t>11、</w:t>
      </w:r>
      <w:r>
        <w:rPr>
          <w:rStyle w:val="56"/>
          <w:rFonts w:hint="default"/>
          <w:bCs/>
          <w:color w:val="auto"/>
          <w:sz w:val="21"/>
          <w:szCs w:val="21"/>
          <w:lang w:bidi="ar"/>
        </w:rPr>
        <w:t>投标文件中需提供完全体现第</w:t>
      </w:r>
      <w:r>
        <w:rPr>
          <w:rStyle w:val="56"/>
          <w:rFonts w:hint="eastAsia" w:eastAsia="宋体"/>
          <w:bCs/>
          <w:color w:val="auto"/>
          <w:sz w:val="21"/>
          <w:szCs w:val="21"/>
          <w:lang w:val="en-US" w:eastAsia="zh-CN" w:bidi="ar"/>
        </w:rPr>
        <w:t>1至10</w:t>
      </w:r>
      <w:r>
        <w:rPr>
          <w:rStyle w:val="56"/>
          <w:rFonts w:hint="default"/>
          <w:bCs/>
          <w:color w:val="auto"/>
          <w:sz w:val="21"/>
          <w:szCs w:val="21"/>
          <w:lang w:bidi="ar"/>
        </w:rPr>
        <w:t>项的所有参数的国家认可的第三方检测机构出具的首页具有CMA</w:t>
      </w:r>
      <w:r>
        <w:rPr>
          <w:rStyle w:val="56"/>
          <w:rFonts w:hint="eastAsia" w:eastAsia="宋体"/>
          <w:bCs/>
          <w:color w:val="auto"/>
          <w:sz w:val="21"/>
          <w:szCs w:val="21"/>
          <w:lang w:val="en-US" w:eastAsia="zh-CN" w:bidi="ar"/>
        </w:rPr>
        <w:t>或</w:t>
      </w:r>
      <w:r>
        <w:rPr>
          <w:rStyle w:val="56"/>
          <w:rFonts w:hint="default"/>
          <w:bCs/>
          <w:color w:val="auto"/>
          <w:sz w:val="21"/>
          <w:szCs w:val="21"/>
          <w:lang w:bidi="ar"/>
        </w:rPr>
        <w:t>CNAS标识的检测报告复印件，并加盖LED显示屏制造厂商公章</w:t>
      </w:r>
      <w:r>
        <w:rPr>
          <w:rStyle w:val="56"/>
          <w:rFonts w:hint="eastAsia" w:eastAsia="宋体"/>
          <w:sz w:val="21"/>
          <w:szCs w:val="21"/>
          <w:lang w:eastAsia="zh-CN" w:bidi="ar"/>
        </w:rPr>
        <w:t>，</w:t>
      </w:r>
      <w:r>
        <w:rPr>
          <w:rStyle w:val="56"/>
          <w:rFonts w:hint="eastAsia" w:eastAsia="宋体"/>
          <w:sz w:val="21"/>
          <w:szCs w:val="21"/>
          <w:lang w:val="en-US" w:eastAsia="zh-CN" w:bidi="ar"/>
        </w:rPr>
        <w:t>中标人须在中标后的5个日历天内提供原件备查</w:t>
      </w:r>
      <w:r>
        <w:rPr>
          <w:rStyle w:val="56"/>
          <w:rFonts w:hint="default"/>
          <w:bCs/>
          <w:color w:val="auto"/>
          <w:sz w:val="21"/>
          <w:szCs w:val="21"/>
          <w:lang w:bidi="ar"/>
        </w:rPr>
        <w:t>。</w:t>
      </w:r>
    </w:p>
    <w:p>
      <w:pPr>
        <w:pStyle w:val="7"/>
        <w:widowControl/>
        <w:spacing w:line="240" w:lineRule="auto"/>
        <w:ind w:firstLine="0"/>
        <w:rPr>
          <w:rStyle w:val="56"/>
          <w:sz w:val="21"/>
          <w:szCs w:val="21"/>
          <w:lang w:bidi="ar"/>
        </w:rPr>
      </w:pPr>
      <w:r>
        <w:rPr>
          <w:rStyle w:val="56"/>
          <w:rFonts w:hint="eastAsia" w:ascii="微软雅黑" w:hAnsi="微软雅黑" w:eastAsia="微软雅黑" w:cs="微软雅黑"/>
          <w:bCs/>
          <w:color w:val="auto"/>
          <w:sz w:val="21"/>
          <w:szCs w:val="21"/>
          <w:lang w:val="en-US" w:eastAsia="zh-CN" w:bidi="ar"/>
        </w:rPr>
        <w:t>★</w:t>
      </w:r>
      <w:r>
        <w:rPr>
          <w:rStyle w:val="56"/>
          <w:rFonts w:hint="eastAsia" w:eastAsia="宋体"/>
          <w:bCs/>
          <w:color w:val="auto"/>
          <w:sz w:val="21"/>
          <w:szCs w:val="21"/>
          <w:lang w:val="en-US" w:eastAsia="zh-CN" w:bidi="ar"/>
        </w:rPr>
        <w:t>12</w:t>
      </w:r>
      <w:r>
        <w:rPr>
          <w:rStyle w:val="56"/>
          <w:rFonts w:hint="default"/>
          <w:bCs/>
          <w:color w:val="auto"/>
          <w:sz w:val="21"/>
          <w:szCs w:val="21"/>
          <w:lang w:bidi="ar"/>
        </w:rPr>
        <w:t>、为保证知识产权，需具备LED显示屏视频发送/接收处理主控芯片集成电路布图设计登记证书，投标文件中需提供</w:t>
      </w:r>
      <w:r>
        <w:rPr>
          <w:rStyle w:val="56"/>
          <w:rFonts w:hint="eastAsia" w:eastAsia="宋体"/>
          <w:bCs/>
          <w:color w:val="auto"/>
          <w:sz w:val="21"/>
          <w:szCs w:val="21"/>
          <w:lang w:val="en-US" w:eastAsia="zh-CN" w:bidi="ar"/>
        </w:rPr>
        <w:t>上述</w:t>
      </w:r>
      <w:r>
        <w:rPr>
          <w:rStyle w:val="56"/>
          <w:rFonts w:hint="default"/>
          <w:bCs/>
          <w:color w:val="auto"/>
          <w:sz w:val="21"/>
          <w:szCs w:val="21"/>
          <w:lang w:bidi="ar"/>
        </w:rPr>
        <w:t>证书复印件加以证明，并加盖LED显示屏制造厂商公章</w:t>
      </w:r>
      <w:r>
        <w:rPr>
          <w:rStyle w:val="56"/>
          <w:rFonts w:hint="eastAsia" w:eastAsia="宋体"/>
          <w:sz w:val="21"/>
          <w:szCs w:val="21"/>
          <w:lang w:eastAsia="zh-CN" w:bidi="ar"/>
        </w:rPr>
        <w:t>，</w:t>
      </w:r>
      <w:r>
        <w:rPr>
          <w:rStyle w:val="56"/>
          <w:rFonts w:hint="eastAsia" w:eastAsia="宋体"/>
          <w:sz w:val="21"/>
          <w:szCs w:val="21"/>
          <w:lang w:val="en-US" w:eastAsia="zh-CN" w:bidi="ar"/>
        </w:rPr>
        <w:t>中标人须在中标后的5个日历天内提供原件备查</w:t>
      </w:r>
      <w:r>
        <w:rPr>
          <w:rStyle w:val="56"/>
          <w:rFonts w:hint="eastAsia" w:eastAsia="宋体"/>
          <w:color w:val="auto"/>
          <w:sz w:val="21"/>
          <w:szCs w:val="21"/>
          <w:lang w:eastAsia="zh-CN" w:bidi="ar"/>
        </w:rPr>
        <w:t>。</w:t>
      </w: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（4）智能配电防雷管理系统</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eastAsia="zh-CN" w:bidi="ar"/>
        </w:rPr>
      </w:pPr>
      <w:r>
        <w:rPr>
          <w:rStyle w:val="56"/>
          <w:rFonts w:hint="eastAsia"/>
          <w:bCs/>
          <w:color w:val="auto"/>
          <w:sz w:val="21"/>
          <w:szCs w:val="21"/>
          <w:lang w:val="en-US" w:eastAsia="zh-CN" w:bidi="ar"/>
        </w:rPr>
        <w:t>1、</w:t>
      </w:r>
      <w:r>
        <w:rPr>
          <w:rStyle w:val="56"/>
          <w:rFonts w:hint="eastAsia"/>
          <w:bCs/>
          <w:color w:val="auto"/>
          <w:sz w:val="21"/>
          <w:szCs w:val="21"/>
          <w:lang w:bidi="ar"/>
        </w:rPr>
        <w:t>外观与结构：配电箱壳体外表面喷涂无眩目反光的覆盖层，表面无起泡、裂紋或流痕等缺陷；面板能在不小于90度的角度内灵活启闭；母线无毛刺、锤痕，接触面平整，主辅电路接线正确，导线截面、颜色、标志及相序符合要求：标志、符号及铭牌应正确、清晰、齐全且易于辨认，安装的位置正确；室内电柜防护外壳防护等级IP30；户外电柜防护外壳防护等級IP65；机械碰撞等级IK10；灰色钣金箱体，外壳板材厚度≥1.5mm；布线合理规格、操作性能和功能安全可靠</w:t>
      </w:r>
      <w:r>
        <w:rPr>
          <w:rStyle w:val="56"/>
          <w:rFonts w:hint="eastAsia"/>
          <w:bCs/>
          <w:color w:val="auto"/>
          <w:sz w:val="21"/>
          <w:szCs w:val="21"/>
          <w:lang w:eastAsia="zh-CN" w:bidi="ar"/>
        </w:rPr>
        <w:t>。</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eastAsia="zh-CN" w:bidi="ar"/>
        </w:rPr>
      </w:pPr>
      <w:r>
        <w:rPr>
          <w:rStyle w:val="56"/>
          <w:rFonts w:hint="eastAsia"/>
          <w:bCs/>
          <w:color w:val="auto"/>
          <w:sz w:val="21"/>
          <w:szCs w:val="21"/>
          <w:lang w:val="en-US" w:eastAsia="zh-CN" w:bidi="ar"/>
        </w:rPr>
        <w:t>2、</w:t>
      </w:r>
      <w:r>
        <w:rPr>
          <w:rStyle w:val="56"/>
          <w:rFonts w:hint="eastAsia"/>
          <w:bCs/>
          <w:color w:val="auto"/>
          <w:sz w:val="21"/>
          <w:szCs w:val="21"/>
          <w:lang w:bidi="ar"/>
        </w:rPr>
        <w:t>主要组成部分：空气开关、断路器、刀闸、接线端子、保护设备(避雷器、热继电器、时间继电器、熔断器等)、测量设备(电压表、电流表、频率表、功率表等)</w:t>
      </w:r>
      <w:r>
        <w:rPr>
          <w:rStyle w:val="56"/>
          <w:rFonts w:hint="eastAsia" w:eastAsia="宋体"/>
          <w:bCs/>
          <w:color w:val="auto"/>
          <w:sz w:val="21"/>
          <w:szCs w:val="21"/>
          <w:lang w:val="en-US" w:eastAsia="zh-CN" w:bidi="ar"/>
        </w:rPr>
        <w:t>,</w:t>
      </w:r>
      <w:r>
        <w:rPr>
          <w:rStyle w:val="56"/>
          <w:rFonts w:hint="eastAsia"/>
          <w:bCs/>
          <w:color w:val="auto"/>
          <w:sz w:val="21"/>
          <w:szCs w:val="21"/>
          <w:lang w:bidi="ar"/>
        </w:rPr>
        <w:t>所有硬件设备符合相关国家标准</w:t>
      </w:r>
      <w:r>
        <w:rPr>
          <w:rStyle w:val="56"/>
          <w:rFonts w:hint="eastAsia"/>
          <w:bCs/>
          <w:color w:val="auto"/>
          <w:sz w:val="21"/>
          <w:szCs w:val="21"/>
          <w:lang w:eastAsia="zh-CN" w:bidi="ar"/>
        </w:rPr>
        <w:t>。</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eastAsia="zh-CN" w:bidi="ar"/>
        </w:rPr>
      </w:pPr>
      <w:r>
        <w:rPr>
          <w:rStyle w:val="56"/>
          <w:rFonts w:hint="eastAsia"/>
          <w:bCs/>
          <w:color w:val="auto"/>
          <w:sz w:val="21"/>
          <w:szCs w:val="21"/>
          <w:lang w:eastAsia="zh-CN" w:bidi="ar"/>
        </w:rPr>
        <w:t>3、</w:t>
      </w:r>
      <w:r>
        <w:rPr>
          <w:rStyle w:val="56"/>
          <w:rFonts w:hint="eastAsia"/>
          <w:bCs/>
          <w:color w:val="auto"/>
          <w:sz w:val="21"/>
          <w:szCs w:val="21"/>
          <w:lang w:bidi="ar"/>
        </w:rPr>
        <w:t>额定工作电压：AC380V</w:t>
      </w:r>
      <w:r>
        <w:rPr>
          <w:rStyle w:val="56"/>
          <w:rFonts w:hint="eastAsia" w:eastAsia="宋体"/>
          <w:bCs/>
          <w:color w:val="auto"/>
          <w:sz w:val="21"/>
          <w:szCs w:val="21"/>
          <w:lang w:val="en-US" w:eastAsia="zh-CN" w:bidi="ar"/>
        </w:rPr>
        <w:t>±</w:t>
      </w:r>
      <w:r>
        <w:rPr>
          <w:rStyle w:val="56"/>
          <w:rFonts w:hint="eastAsia"/>
          <w:bCs/>
          <w:color w:val="auto"/>
          <w:sz w:val="21"/>
          <w:szCs w:val="21"/>
          <w:lang w:bidi="ar"/>
        </w:rPr>
        <w:t>5% (三相五线)；额定频率50Hz；输出功率≥10KW；额定绝缘电压660V；辅助电路绝缘电压660V；额定冲压耐受电压：6K</w:t>
      </w:r>
      <w:r>
        <w:rPr>
          <w:rStyle w:val="56"/>
          <w:rFonts w:hint="eastAsia" w:eastAsia="宋体"/>
          <w:bCs/>
          <w:color w:val="auto"/>
          <w:sz w:val="21"/>
          <w:szCs w:val="21"/>
          <w:lang w:val="en-US" w:eastAsia="zh-CN" w:bidi="ar"/>
        </w:rPr>
        <w:t>V</w:t>
      </w:r>
      <w:r>
        <w:rPr>
          <w:rStyle w:val="56"/>
          <w:rFonts w:hint="eastAsia"/>
          <w:bCs/>
          <w:color w:val="auto"/>
          <w:sz w:val="21"/>
          <w:szCs w:val="21"/>
          <w:lang w:eastAsia="zh-CN" w:bidi="ar"/>
        </w:rPr>
        <w:t>。</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eastAsia="zh-CN" w:bidi="ar"/>
        </w:rPr>
      </w:pPr>
      <w:r>
        <w:rPr>
          <w:rStyle w:val="56"/>
          <w:rFonts w:hint="eastAsia"/>
          <w:bCs/>
          <w:color w:val="auto"/>
          <w:sz w:val="21"/>
          <w:szCs w:val="21"/>
          <w:lang w:val="en-US" w:eastAsia="zh-CN" w:bidi="ar"/>
        </w:rPr>
        <w:t>4、</w:t>
      </w:r>
      <w:r>
        <w:rPr>
          <w:rStyle w:val="56"/>
          <w:rFonts w:hint="eastAsia"/>
          <w:bCs/>
          <w:color w:val="auto"/>
          <w:sz w:val="21"/>
          <w:szCs w:val="21"/>
          <w:lang w:bidi="ar"/>
        </w:rPr>
        <w:t>设备配置：支持≥3路输出，每路输出功率≥3.5KW，预留照明、维修、备用1路（单相）输出</w:t>
      </w:r>
      <w:r>
        <w:rPr>
          <w:rStyle w:val="56"/>
          <w:rFonts w:hint="eastAsia"/>
          <w:bCs/>
          <w:color w:val="auto"/>
          <w:sz w:val="21"/>
          <w:szCs w:val="21"/>
          <w:lang w:eastAsia="zh-CN" w:bidi="ar"/>
        </w:rPr>
        <w:t>。</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eastAsia="zh-CN" w:bidi="ar"/>
        </w:rPr>
      </w:pPr>
      <w:r>
        <w:rPr>
          <w:rStyle w:val="56"/>
          <w:rFonts w:hint="eastAsia"/>
          <w:bCs/>
          <w:color w:val="auto"/>
          <w:sz w:val="21"/>
          <w:szCs w:val="21"/>
          <w:lang w:val="en-US" w:eastAsia="zh-CN" w:bidi="ar"/>
        </w:rPr>
        <w:t>5、</w:t>
      </w:r>
      <w:r>
        <w:rPr>
          <w:rStyle w:val="56"/>
          <w:rFonts w:hint="eastAsia"/>
          <w:bCs/>
          <w:color w:val="auto"/>
          <w:sz w:val="21"/>
          <w:szCs w:val="21"/>
          <w:lang w:bidi="ar"/>
        </w:rPr>
        <w:t>电器间隙允许值：≥5.5mm；爬电距离允许值≥12.5mm</w:t>
      </w:r>
      <w:r>
        <w:rPr>
          <w:rStyle w:val="56"/>
          <w:rFonts w:hint="eastAsia"/>
          <w:bCs/>
          <w:color w:val="auto"/>
          <w:sz w:val="21"/>
          <w:szCs w:val="21"/>
          <w:lang w:eastAsia="zh-CN" w:bidi="ar"/>
        </w:rPr>
        <w:t>。</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bidi="ar"/>
        </w:rPr>
      </w:pPr>
      <w:r>
        <w:rPr>
          <w:rStyle w:val="56"/>
          <w:rFonts w:hint="eastAsia"/>
          <w:bCs/>
          <w:color w:val="auto"/>
          <w:sz w:val="21"/>
          <w:szCs w:val="21"/>
          <w:lang w:eastAsia="zh-CN" w:bidi="ar"/>
        </w:rPr>
        <w:t>6、</w:t>
      </w:r>
      <w:r>
        <w:rPr>
          <w:rStyle w:val="56"/>
          <w:rFonts w:hint="eastAsia"/>
          <w:bCs/>
          <w:color w:val="auto"/>
          <w:sz w:val="21"/>
          <w:szCs w:val="21"/>
          <w:lang w:bidi="ar"/>
        </w:rPr>
        <w:t>保护电路连续性：保护电路各连接处的连接良好，主接地端子与保护电路任一点之间的电阻值小于0.01Ω。</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bidi="ar"/>
        </w:rPr>
      </w:pPr>
      <w:r>
        <w:rPr>
          <w:rStyle w:val="56"/>
          <w:rFonts w:hint="eastAsia"/>
          <w:bCs/>
          <w:color w:val="auto"/>
          <w:sz w:val="21"/>
          <w:szCs w:val="21"/>
          <w:lang w:val="en-US" w:eastAsia="zh-CN" w:bidi="ar"/>
        </w:rPr>
        <w:t>7、</w:t>
      </w:r>
      <w:r>
        <w:rPr>
          <w:rStyle w:val="56"/>
          <w:rFonts w:hint="eastAsia"/>
          <w:bCs/>
          <w:color w:val="auto"/>
          <w:sz w:val="21"/>
          <w:szCs w:val="21"/>
          <w:lang w:bidi="ar"/>
        </w:rPr>
        <w:t>通电安全：辅助电路分别通以额定电压的85%和110%的条件下，各操作10次，所有电器元件的动作显示均符合电路图的要求，且各个电器元件动作灵活。</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eastAsia="zh-CN" w:bidi="ar"/>
        </w:rPr>
      </w:pPr>
      <w:r>
        <w:rPr>
          <w:rStyle w:val="56"/>
          <w:rFonts w:hint="eastAsia"/>
          <w:bCs/>
          <w:color w:val="auto"/>
          <w:sz w:val="21"/>
          <w:szCs w:val="21"/>
          <w:lang w:eastAsia="zh-CN" w:bidi="ar"/>
        </w:rPr>
        <w:t>8、</w:t>
      </w:r>
      <w:r>
        <w:rPr>
          <w:rStyle w:val="56"/>
          <w:rFonts w:hint="eastAsia"/>
          <w:bCs/>
          <w:color w:val="auto"/>
          <w:sz w:val="21"/>
          <w:szCs w:val="21"/>
          <w:lang w:bidi="ar"/>
        </w:rPr>
        <w:t>自我保护：支持温感、烟感接入，当超过预设阈值时，启动应急机制，自动切断电源保护配电柜及接入设备，实现PLC功能</w:t>
      </w:r>
      <w:r>
        <w:rPr>
          <w:rStyle w:val="56"/>
          <w:rFonts w:hint="eastAsia"/>
          <w:bCs/>
          <w:color w:val="auto"/>
          <w:sz w:val="21"/>
          <w:szCs w:val="21"/>
          <w:lang w:eastAsia="zh-CN" w:bidi="ar"/>
        </w:rPr>
        <w:t>。</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eastAsia="zh-CN" w:bidi="ar"/>
        </w:rPr>
      </w:pPr>
      <w:r>
        <w:rPr>
          <w:rStyle w:val="56"/>
          <w:rFonts w:hint="eastAsia"/>
          <w:bCs/>
          <w:color w:val="auto"/>
          <w:sz w:val="21"/>
          <w:szCs w:val="21"/>
          <w:lang w:eastAsia="zh-CN" w:bidi="ar"/>
        </w:rPr>
        <w:t>9、</w:t>
      </w:r>
      <w:r>
        <w:rPr>
          <w:rStyle w:val="56"/>
          <w:rFonts w:hint="eastAsia"/>
          <w:bCs/>
          <w:color w:val="auto"/>
          <w:sz w:val="21"/>
          <w:szCs w:val="21"/>
          <w:lang w:bidi="ar"/>
        </w:rPr>
        <w:t>无线远程控制：支持GSM、GPRS、3G、4G、5G等RTU物联网终端远程控制，实现手机、PAD等移动智能云端控制；无人值守：选定“启用定时计划”后</w:t>
      </w:r>
      <w:r>
        <w:rPr>
          <w:rStyle w:val="56"/>
          <w:rFonts w:hint="eastAsia" w:eastAsia="宋体"/>
          <w:bCs/>
          <w:color w:val="auto"/>
          <w:sz w:val="21"/>
          <w:szCs w:val="21"/>
          <w:lang w:eastAsia="zh-CN" w:bidi="ar"/>
        </w:rPr>
        <w:t>，</w:t>
      </w:r>
      <w:r>
        <w:rPr>
          <w:rStyle w:val="56"/>
          <w:rFonts w:hint="eastAsia"/>
          <w:bCs/>
          <w:color w:val="auto"/>
          <w:sz w:val="21"/>
          <w:szCs w:val="21"/>
          <w:lang w:bidi="ar"/>
        </w:rPr>
        <w:t>经过用户预先设定，即可以对显示屏进行定时自动开关控制，无需人工值守</w:t>
      </w:r>
      <w:r>
        <w:rPr>
          <w:rStyle w:val="56"/>
          <w:rFonts w:hint="eastAsia"/>
          <w:bCs/>
          <w:color w:val="auto"/>
          <w:sz w:val="21"/>
          <w:szCs w:val="21"/>
          <w:lang w:eastAsia="zh-CN" w:bidi="ar"/>
        </w:rPr>
        <w:t>。</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bidi="ar"/>
        </w:rPr>
      </w:pPr>
      <w:r>
        <w:rPr>
          <w:rStyle w:val="56"/>
          <w:rFonts w:hint="eastAsia"/>
          <w:bCs/>
          <w:color w:val="auto"/>
          <w:sz w:val="21"/>
          <w:szCs w:val="21"/>
          <w:lang w:val="en-US" w:eastAsia="zh-CN" w:bidi="ar"/>
        </w:rPr>
        <w:t>10、</w:t>
      </w:r>
      <w:r>
        <w:rPr>
          <w:rStyle w:val="56"/>
          <w:rFonts w:hint="eastAsia"/>
          <w:bCs/>
          <w:color w:val="auto"/>
          <w:sz w:val="21"/>
          <w:szCs w:val="21"/>
          <w:lang w:bidi="ar"/>
        </w:rPr>
        <w:t>保护功能：具有过流、短路等保护功能；符合成套设备的防护等级要求；符合短路耐受强度验证要求；符合绝缘材料耐受内部电效应引起的非正常发热和着火验证要求；支持分布式自动逐级上电功能；自动控制功能：支持65℃高温自动切断大屏电源功能；支持空调35℃自动开关机功能；支持根据光探测到的环境亮度数据变化来自动调整功能。</w:t>
      </w:r>
    </w:p>
    <w:p>
      <w:pPr>
        <w:pStyle w:val="7"/>
        <w:widowControl/>
        <w:spacing w:line="240" w:lineRule="auto"/>
        <w:ind w:firstLine="0"/>
        <w:rPr>
          <w:rStyle w:val="56"/>
          <w:sz w:val="21"/>
          <w:szCs w:val="21"/>
          <w:lang w:bidi="ar"/>
        </w:rPr>
      </w:pPr>
      <w:r>
        <w:rPr>
          <w:rStyle w:val="56"/>
          <w:rFonts w:hint="eastAsia" w:ascii="微软雅黑" w:hAnsi="微软雅黑" w:eastAsia="微软雅黑" w:cs="微软雅黑"/>
          <w:bCs/>
          <w:color w:val="auto"/>
          <w:sz w:val="21"/>
          <w:szCs w:val="21"/>
          <w:lang w:bidi="ar"/>
        </w:rPr>
        <w:t>★</w:t>
      </w:r>
      <w:r>
        <w:rPr>
          <w:rStyle w:val="56"/>
          <w:rFonts w:hint="eastAsia"/>
          <w:bCs/>
          <w:color w:val="auto"/>
          <w:sz w:val="21"/>
          <w:szCs w:val="21"/>
          <w:lang w:val="en-US" w:eastAsia="zh-CN" w:bidi="ar"/>
        </w:rPr>
        <w:t>11、</w:t>
      </w:r>
      <w:r>
        <w:rPr>
          <w:rStyle w:val="56"/>
          <w:rFonts w:hint="eastAsia"/>
          <w:bCs/>
          <w:color w:val="auto"/>
          <w:sz w:val="21"/>
          <w:szCs w:val="21"/>
          <w:lang w:bidi="ar"/>
        </w:rPr>
        <w:t>投标文件中需提供完全体现第</w:t>
      </w:r>
      <w:r>
        <w:rPr>
          <w:rStyle w:val="56"/>
          <w:rFonts w:hint="eastAsia"/>
          <w:bCs/>
          <w:color w:val="auto"/>
          <w:sz w:val="21"/>
          <w:szCs w:val="21"/>
          <w:lang w:val="en-US" w:eastAsia="zh-CN" w:bidi="ar"/>
        </w:rPr>
        <w:t>1至10</w:t>
      </w:r>
      <w:r>
        <w:rPr>
          <w:rStyle w:val="56"/>
          <w:rFonts w:hint="eastAsia"/>
          <w:bCs/>
          <w:color w:val="auto"/>
          <w:sz w:val="21"/>
          <w:szCs w:val="21"/>
          <w:lang w:bidi="ar"/>
        </w:rPr>
        <w:t>项的所有参数的国家认可的第三方检测机构出具的首页具有CMA</w:t>
      </w:r>
      <w:r>
        <w:rPr>
          <w:rStyle w:val="56"/>
          <w:rFonts w:hint="eastAsia"/>
          <w:bCs/>
          <w:color w:val="auto"/>
          <w:sz w:val="21"/>
          <w:szCs w:val="21"/>
          <w:lang w:val="en-US" w:eastAsia="zh-CN" w:bidi="ar"/>
        </w:rPr>
        <w:t>或</w:t>
      </w:r>
      <w:r>
        <w:rPr>
          <w:rStyle w:val="56"/>
          <w:rFonts w:hint="eastAsia"/>
          <w:bCs/>
          <w:color w:val="auto"/>
          <w:sz w:val="21"/>
          <w:szCs w:val="21"/>
          <w:lang w:bidi="ar"/>
        </w:rPr>
        <w:t>CNAS标识的检测报告复印件，并加盖LED显示屏制造厂商公章</w:t>
      </w:r>
      <w:r>
        <w:rPr>
          <w:rStyle w:val="56"/>
          <w:rFonts w:hint="eastAsia" w:eastAsia="宋体"/>
          <w:sz w:val="21"/>
          <w:szCs w:val="21"/>
          <w:lang w:eastAsia="zh-CN" w:bidi="ar"/>
        </w:rPr>
        <w:t>，</w:t>
      </w:r>
      <w:r>
        <w:rPr>
          <w:rStyle w:val="56"/>
          <w:rFonts w:hint="eastAsia" w:eastAsia="宋体"/>
          <w:sz w:val="21"/>
          <w:szCs w:val="21"/>
          <w:lang w:val="en-US" w:eastAsia="zh-CN" w:bidi="ar"/>
        </w:rPr>
        <w:t>中标人须在中标后的5个日历天内提供原件备查</w:t>
      </w:r>
      <w:r>
        <w:rPr>
          <w:rStyle w:val="56"/>
          <w:rFonts w:hint="eastAsia"/>
          <w:bCs/>
          <w:color w:val="auto"/>
          <w:sz w:val="21"/>
          <w:szCs w:val="21"/>
          <w:lang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（5）LED显示屏管控平台</w:t>
      </w:r>
    </w:p>
    <w:p>
      <w:pPr>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eastAsia="zh-CN" w:bidi="ar"/>
        </w:rPr>
      </w:pPr>
      <w:r>
        <w:rPr>
          <w:rStyle w:val="56"/>
          <w:rFonts w:hint="eastAsia"/>
          <w:bCs/>
          <w:color w:val="auto"/>
          <w:sz w:val="21"/>
          <w:szCs w:val="21"/>
          <w:lang w:val="en-US" w:eastAsia="zh-CN" w:bidi="ar"/>
        </w:rPr>
        <w:t>1、</w:t>
      </w:r>
      <w:r>
        <w:rPr>
          <w:rStyle w:val="56"/>
          <w:rFonts w:hint="default"/>
          <w:bCs/>
          <w:color w:val="auto"/>
          <w:sz w:val="21"/>
          <w:szCs w:val="21"/>
          <w:lang w:bidi="ar"/>
        </w:rPr>
        <w:t>窗口：支持通用窗口，打折窗口，多种视频格式、图片、动画、Office文件、文字、时钟、走马灯、天气、计时、温湿度、流媒体、网页、采集卡、摄像头、Rss简讯等内容</w:t>
      </w:r>
      <w:r>
        <w:rPr>
          <w:rStyle w:val="56"/>
          <w:rFonts w:hint="eastAsia"/>
          <w:bCs/>
          <w:color w:val="auto"/>
          <w:sz w:val="21"/>
          <w:szCs w:val="21"/>
          <w:lang w:eastAsia="zh-CN" w:bidi="ar"/>
        </w:rPr>
        <w:t>。</w:t>
      </w:r>
    </w:p>
    <w:p>
      <w:pPr>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eastAsia="zh-CN" w:bidi="ar"/>
        </w:rPr>
      </w:pPr>
      <w:r>
        <w:rPr>
          <w:rStyle w:val="56"/>
          <w:rFonts w:hint="eastAsia"/>
          <w:bCs/>
          <w:color w:val="auto"/>
          <w:sz w:val="21"/>
          <w:szCs w:val="21"/>
          <w:lang w:val="en-US" w:eastAsia="zh-CN" w:bidi="ar"/>
        </w:rPr>
        <w:t>2、</w:t>
      </w:r>
      <w:r>
        <w:rPr>
          <w:rStyle w:val="56"/>
          <w:rFonts w:hint="default"/>
          <w:bCs/>
          <w:color w:val="auto"/>
          <w:sz w:val="21"/>
          <w:szCs w:val="21"/>
          <w:lang w:bidi="ar"/>
        </w:rPr>
        <w:t>媒体属性：软件具有丰富的媒体属性：包括透明、背景颜色、背景图片、透明度、音量、显示比例、出入场特效、特效速度、文字颜色、炫彩效果、字体、风格等</w:t>
      </w:r>
      <w:r>
        <w:rPr>
          <w:rStyle w:val="56"/>
          <w:rFonts w:hint="eastAsia"/>
          <w:bCs/>
          <w:color w:val="auto"/>
          <w:sz w:val="21"/>
          <w:szCs w:val="21"/>
          <w:lang w:eastAsia="zh-CN" w:bidi="ar"/>
        </w:rPr>
        <w:t>。</w:t>
      </w:r>
    </w:p>
    <w:p>
      <w:pPr>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eastAsia="zh-CN" w:bidi="ar"/>
        </w:rPr>
      </w:pPr>
      <w:r>
        <w:rPr>
          <w:rStyle w:val="56"/>
          <w:rFonts w:hint="eastAsia"/>
          <w:bCs/>
          <w:color w:val="auto"/>
          <w:sz w:val="21"/>
          <w:szCs w:val="21"/>
          <w:lang w:val="en-US" w:eastAsia="zh-CN" w:bidi="ar"/>
        </w:rPr>
        <w:t>3、</w:t>
      </w:r>
      <w:r>
        <w:rPr>
          <w:rStyle w:val="56"/>
          <w:rFonts w:hint="default"/>
          <w:bCs/>
          <w:color w:val="auto"/>
          <w:sz w:val="21"/>
          <w:szCs w:val="21"/>
          <w:lang w:bidi="ar"/>
        </w:rPr>
        <w:t>支持云发布在任意手机、平板、PC等可联网设备上均可以对显示屏进行管理；无需单独安装客户端，可实现随时随地访问，融合实现：媒体管理、用户管理、角色管理、工作组管理、媒体审批、节目管理、播放器管理、播放日志管理。媒体管理：支持主流的图片、视频、音频及RSS</w:t>
      </w:r>
      <w:r>
        <w:rPr>
          <w:rStyle w:val="56"/>
          <w:rFonts w:hint="eastAsia" w:eastAsia="宋体"/>
          <w:bCs/>
          <w:color w:val="auto"/>
          <w:sz w:val="21"/>
          <w:szCs w:val="21"/>
          <w:lang w:eastAsia="zh-CN" w:bidi="ar"/>
        </w:rPr>
        <w:t>，</w:t>
      </w:r>
      <w:r>
        <w:rPr>
          <w:rStyle w:val="56"/>
          <w:rFonts w:hint="default"/>
          <w:bCs/>
          <w:color w:val="auto"/>
          <w:sz w:val="21"/>
          <w:szCs w:val="21"/>
          <w:lang w:bidi="ar"/>
        </w:rPr>
        <w:t>HTML等诸多媒体格式；系统需支持云媒体库管理，满足任何支持浏览器设备随时访问并管理媒体库，同时支持多种过滤条件筛选(类型、工作组、类别、有效日期、批准状态)；媒体支持在线预览；同一个媒体支持多版本管理</w:t>
      </w:r>
      <w:r>
        <w:rPr>
          <w:rStyle w:val="56"/>
          <w:rFonts w:hint="eastAsia"/>
          <w:bCs/>
          <w:color w:val="auto"/>
          <w:sz w:val="21"/>
          <w:szCs w:val="21"/>
          <w:lang w:eastAsia="zh-CN" w:bidi="ar"/>
        </w:rPr>
        <w:t>。</w:t>
      </w:r>
    </w:p>
    <w:p>
      <w:pPr>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eastAsia="zh-CN" w:bidi="ar"/>
        </w:rPr>
      </w:pPr>
      <w:r>
        <w:rPr>
          <w:rStyle w:val="56"/>
          <w:rFonts w:hint="eastAsia"/>
          <w:bCs/>
          <w:color w:val="auto"/>
          <w:sz w:val="21"/>
          <w:szCs w:val="21"/>
          <w:lang w:val="en-US" w:eastAsia="zh-CN" w:bidi="ar"/>
        </w:rPr>
        <w:t>4、</w:t>
      </w:r>
      <w:r>
        <w:rPr>
          <w:rStyle w:val="56"/>
          <w:rFonts w:hint="default"/>
          <w:bCs/>
          <w:color w:val="auto"/>
          <w:sz w:val="21"/>
          <w:szCs w:val="21"/>
          <w:lang w:bidi="ar"/>
        </w:rPr>
        <w:t>用户管理：系统内需支持多级用户管理；用户支持分配到不同工作组进行分组管理，不同的工作组之间数据隔离；用户支持分配多种角色，拥有其对应角色权限；系统可针对不同用户设定改用户所使用系统语言</w:t>
      </w:r>
      <w:r>
        <w:rPr>
          <w:rStyle w:val="56"/>
          <w:rFonts w:hint="eastAsia"/>
          <w:bCs/>
          <w:color w:val="auto"/>
          <w:sz w:val="21"/>
          <w:szCs w:val="21"/>
          <w:lang w:eastAsia="zh-CN" w:bidi="ar"/>
        </w:rPr>
        <w:t>。</w:t>
      </w:r>
    </w:p>
    <w:p>
      <w:pPr>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default"/>
          <w:bCs/>
          <w:color w:val="auto"/>
          <w:sz w:val="21"/>
          <w:szCs w:val="21"/>
          <w:lang w:bidi="ar"/>
        </w:rPr>
      </w:pPr>
      <w:r>
        <w:rPr>
          <w:rStyle w:val="56"/>
          <w:rFonts w:hint="eastAsia"/>
          <w:bCs/>
          <w:color w:val="auto"/>
          <w:sz w:val="21"/>
          <w:szCs w:val="21"/>
          <w:lang w:val="en-US" w:eastAsia="zh-CN" w:bidi="ar"/>
        </w:rPr>
        <w:t>5、</w:t>
      </w:r>
      <w:r>
        <w:rPr>
          <w:rStyle w:val="56"/>
          <w:rFonts w:hint="default"/>
          <w:bCs/>
          <w:color w:val="auto"/>
          <w:sz w:val="21"/>
          <w:szCs w:val="21"/>
          <w:lang w:bidi="ar"/>
        </w:rPr>
        <w:t>显示屏管理：系统支持GIS地图方式展示显示屏状态，支持列表形式展示显示屏信息；系统支持系统状态实时更新（红色：故障，黄色：告警，灰色：离线，绿色：正常）系统支持显示屏故障自动检测，异常后5分钟内发出告警通知。系统异常后提供显示屏故障维修方案。系统支持亮度计划表智能调节显示屏亮度。系统支持亮度调节异常时智能提醒系统支持显示屏上线离线记录查看和提醒系统支持控制系统实时温度监控系统支持智能模组工作时间统计监控系统支持播放盒监控（CPU、RAM、磁盘等）系统支持LED灯状态监测系统支持LED显示屏硬件状态监测，（发送卡工作状态，DVI状态，网卡冗余，连接状态，接收卡工作状态，电压，温度，监控卡工作状态，电压，烟雾，箱门，湿度，风扇转速，排线，智能模组电压，温度）。</w:t>
      </w:r>
    </w:p>
    <w:p>
      <w:pPr>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eastAsia="zh-CN" w:bidi="ar"/>
        </w:rPr>
      </w:pPr>
      <w:r>
        <w:rPr>
          <w:rStyle w:val="56"/>
          <w:rFonts w:hint="eastAsia"/>
          <w:bCs/>
          <w:color w:val="auto"/>
          <w:sz w:val="21"/>
          <w:szCs w:val="21"/>
          <w:lang w:val="en-US" w:eastAsia="zh-CN" w:bidi="ar"/>
        </w:rPr>
        <w:t>6、</w:t>
      </w:r>
      <w:r>
        <w:rPr>
          <w:rStyle w:val="56"/>
          <w:rFonts w:hint="default"/>
          <w:bCs/>
          <w:color w:val="auto"/>
          <w:sz w:val="21"/>
          <w:szCs w:val="21"/>
          <w:lang w:bidi="ar"/>
        </w:rPr>
        <w:t>投标文件中需提供完全体现</w:t>
      </w:r>
      <w:r>
        <w:rPr>
          <w:rStyle w:val="56"/>
          <w:rFonts w:hint="eastAsia" w:eastAsia="宋体"/>
          <w:bCs/>
          <w:color w:val="auto"/>
          <w:sz w:val="21"/>
          <w:szCs w:val="21"/>
          <w:lang w:val="en-US" w:eastAsia="zh-CN" w:bidi="ar"/>
        </w:rPr>
        <w:t>本项</w:t>
      </w:r>
      <w:r>
        <w:rPr>
          <w:rStyle w:val="56"/>
          <w:rFonts w:hint="default"/>
          <w:bCs/>
          <w:color w:val="auto"/>
          <w:sz w:val="21"/>
          <w:szCs w:val="21"/>
          <w:lang w:bidi="ar"/>
        </w:rPr>
        <w:t>第</w:t>
      </w:r>
      <w:r>
        <w:rPr>
          <w:rStyle w:val="56"/>
          <w:rFonts w:hint="eastAsia"/>
          <w:bCs/>
          <w:color w:val="auto"/>
          <w:sz w:val="21"/>
          <w:szCs w:val="21"/>
          <w:lang w:val="en-US" w:eastAsia="zh-CN" w:bidi="ar"/>
        </w:rPr>
        <w:t>1至5</w:t>
      </w:r>
      <w:r>
        <w:rPr>
          <w:rStyle w:val="56"/>
          <w:rFonts w:hint="default"/>
          <w:bCs/>
          <w:color w:val="auto"/>
          <w:sz w:val="21"/>
          <w:szCs w:val="21"/>
          <w:lang w:bidi="ar"/>
        </w:rPr>
        <w:t>项的所有参数的国家认可的第三方检测机构出具的首页具有CMA</w:t>
      </w:r>
      <w:r>
        <w:rPr>
          <w:rStyle w:val="56"/>
          <w:rFonts w:hint="eastAsia" w:eastAsia="宋体"/>
          <w:bCs/>
          <w:color w:val="auto"/>
          <w:sz w:val="21"/>
          <w:szCs w:val="21"/>
          <w:lang w:val="en-US" w:eastAsia="zh-CN" w:bidi="ar"/>
        </w:rPr>
        <w:t>或</w:t>
      </w:r>
      <w:r>
        <w:rPr>
          <w:rStyle w:val="56"/>
          <w:rFonts w:hint="default"/>
          <w:bCs/>
          <w:color w:val="auto"/>
          <w:sz w:val="21"/>
          <w:szCs w:val="21"/>
          <w:lang w:bidi="ar"/>
        </w:rPr>
        <w:t>CNAS标识的检测报告复印件，并加盖LED显示屏制造厂商公章</w:t>
      </w:r>
      <w:r>
        <w:rPr>
          <w:rStyle w:val="56"/>
          <w:rFonts w:hint="eastAsia" w:eastAsia="宋体"/>
          <w:sz w:val="21"/>
          <w:szCs w:val="21"/>
          <w:lang w:eastAsia="zh-CN" w:bidi="ar"/>
        </w:rPr>
        <w:t>，</w:t>
      </w:r>
      <w:r>
        <w:rPr>
          <w:rStyle w:val="56"/>
          <w:rFonts w:hint="eastAsia" w:eastAsia="宋体"/>
          <w:sz w:val="21"/>
          <w:szCs w:val="21"/>
          <w:lang w:val="en-US" w:eastAsia="zh-CN" w:bidi="ar"/>
        </w:rPr>
        <w:t>中标人须在中标后的5个日历天内提供原件备查</w:t>
      </w:r>
      <w:r>
        <w:rPr>
          <w:rStyle w:val="56"/>
          <w:rFonts w:hint="eastAsia"/>
          <w:bCs/>
          <w:color w:val="auto"/>
          <w:sz w:val="21"/>
          <w:szCs w:val="21"/>
          <w:lang w:eastAsia="zh-CN" w:bidi="ar"/>
        </w:rPr>
        <w:t>。</w:t>
      </w:r>
    </w:p>
    <w:p>
      <w:pPr>
        <w:pStyle w:val="7"/>
        <w:widowControl/>
        <w:spacing w:line="240" w:lineRule="auto"/>
        <w:ind w:firstLine="0"/>
        <w:rPr>
          <w:rStyle w:val="56"/>
          <w:sz w:val="21"/>
          <w:szCs w:val="21"/>
          <w:lang w:bidi="ar"/>
        </w:rPr>
      </w:pPr>
      <w:r>
        <w:rPr>
          <w:rStyle w:val="56"/>
          <w:rFonts w:hint="eastAsia" w:ascii="微软雅黑" w:hAnsi="微软雅黑" w:eastAsia="微软雅黑" w:cs="微软雅黑"/>
          <w:bCs/>
          <w:color w:val="auto"/>
          <w:sz w:val="21"/>
          <w:szCs w:val="21"/>
          <w:lang w:val="en-US" w:eastAsia="zh-CN" w:bidi="ar"/>
        </w:rPr>
        <w:t>★</w:t>
      </w:r>
      <w:r>
        <w:rPr>
          <w:rStyle w:val="56"/>
          <w:rFonts w:hint="eastAsia"/>
          <w:bCs/>
          <w:color w:val="auto"/>
          <w:sz w:val="21"/>
          <w:szCs w:val="21"/>
          <w:lang w:val="en-US" w:eastAsia="zh-CN" w:bidi="ar"/>
        </w:rPr>
        <w:t>7</w:t>
      </w:r>
      <w:r>
        <w:rPr>
          <w:rStyle w:val="56"/>
          <w:rFonts w:hint="default"/>
          <w:bCs/>
          <w:color w:val="auto"/>
          <w:sz w:val="21"/>
          <w:szCs w:val="21"/>
          <w:lang w:bidi="ar"/>
        </w:rPr>
        <w:t>、所投软件需支持</w:t>
      </w:r>
      <w:r>
        <w:rPr>
          <w:rStyle w:val="56"/>
          <w:rFonts w:hint="default"/>
          <w:bCs/>
          <w:color w:val="auto"/>
          <w:kern w:val="0"/>
          <w:sz w:val="21"/>
          <w:szCs w:val="21"/>
          <w:lang w:bidi="ar"/>
        </w:rPr>
        <w:t>以下功能：</w:t>
      </w:r>
      <w:r>
        <w:rPr>
          <w:rStyle w:val="56"/>
          <w:rFonts w:hint="default" w:ascii="宋体" w:hAnsi="宋体" w:eastAsia="宋体" w:cs="宋体"/>
          <w:bCs/>
          <w:color w:val="auto"/>
          <w:kern w:val="0"/>
          <w:sz w:val="21"/>
          <w:szCs w:val="21"/>
          <w:lang w:val="en-US" w:eastAsia="zh-CN" w:bidi="ar"/>
        </w:rPr>
        <w:t>图像演示和多媒体控制功能、显示图像细节优化处理功能、智能除湿功能、色彩校正功能、伽马校正功能、视频监控功能、逐点校正功能、故障自诊断及排查功能、画质处理功能、任意倍频调试功能、显示位置调整功能、智能温度功能。</w:t>
      </w:r>
      <w:r>
        <w:rPr>
          <w:rStyle w:val="56"/>
          <w:rFonts w:hint="default"/>
          <w:bCs/>
          <w:color w:val="auto"/>
          <w:sz w:val="21"/>
          <w:szCs w:val="21"/>
          <w:lang w:bidi="ar"/>
        </w:rPr>
        <w:t>（投标文件中需提供</w:t>
      </w:r>
      <w:r>
        <w:rPr>
          <w:rStyle w:val="56"/>
          <w:rFonts w:hint="default" w:ascii="宋体" w:hAnsi="宋体" w:eastAsia="宋体" w:cs="宋体"/>
          <w:bCs/>
          <w:color w:val="auto"/>
          <w:kern w:val="0"/>
          <w:sz w:val="21"/>
          <w:szCs w:val="21"/>
          <w:lang w:val="en-US" w:eastAsia="zh-CN" w:bidi="ar"/>
        </w:rPr>
        <w:t>完全体现</w:t>
      </w:r>
      <w:r>
        <w:rPr>
          <w:rStyle w:val="56"/>
          <w:rFonts w:hint="default"/>
          <w:bCs/>
          <w:color w:val="auto"/>
          <w:sz w:val="21"/>
          <w:szCs w:val="21"/>
          <w:lang w:bidi="ar"/>
        </w:rPr>
        <w:t>以上</w:t>
      </w:r>
      <w:r>
        <w:rPr>
          <w:rStyle w:val="56"/>
          <w:rFonts w:hint="eastAsia" w:eastAsia="宋体"/>
          <w:bCs/>
          <w:color w:val="auto"/>
          <w:sz w:val="21"/>
          <w:szCs w:val="21"/>
          <w:lang w:val="en-US" w:eastAsia="zh-CN" w:bidi="ar"/>
        </w:rPr>
        <w:t>所有</w:t>
      </w:r>
      <w:r>
        <w:rPr>
          <w:rStyle w:val="56"/>
          <w:rFonts w:hint="default"/>
          <w:bCs/>
          <w:color w:val="auto"/>
          <w:sz w:val="21"/>
          <w:szCs w:val="21"/>
          <w:lang w:bidi="ar"/>
        </w:rPr>
        <w:t>相关功能对应的计算机软件著作权登记证书复印件，并加盖LED显示屏制造厂商公章</w:t>
      </w:r>
      <w:r>
        <w:rPr>
          <w:rStyle w:val="56"/>
          <w:rFonts w:hint="eastAsia" w:eastAsia="宋体"/>
          <w:sz w:val="21"/>
          <w:szCs w:val="21"/>
          <w:lang w:eastAsia="zh-CN" w:bidi="ar"/>
        </w:rPr>
        <w:t>，</w:t>
      </w:r>
      <w:r>
        <w:rPr>
          <w:rStyle w:val="56"/>
          <w:rFonts w:hint="eastAsia" w:eastAsia="宋体"/>
          <w:sz w:val="21"/>
          <w:szCs w:val="21"/>
          <w:lang w:val="en-US" w:eastAsia="zh-CN" w:bidi="ar"/>
        </w:rPr>
        <w:t>中标人须在中标后的5个日历天内提供原件备查</w:t>
      </w:r>
      <w:r>
        <w:rPr>
          <w:rStyle w:val="56"/>
          <w:rFonts w:hint="default"/>
          <w:bCs/>
          <w:color w:val="auto"/>
          <w:sz w:val="21"/>
          <w:szCs w:val="21"/>
          <w:lang w:bidi="ar"/>
        </w:rPr>
        <w:t>）</w:t>
      </w:r>
      <w:r>
        <w:rPr>
          <w:rStyle w:val="56"/>
          <w:rFonts w:hint="eastAsia"/>
          <w:bCs/>
          <w:color w:val="auto"/>
          <w:sz w:val="21"/>
          <w:szCs w:val="21"/>
          <w:lang w:eastAsia="zh-CN" w:bidi="ar"/>
        </w:rPr>
        <w:t>。</w:t>
      </w:r>
    </w:p>
    <w:p>
      <w:pPr>
        <w:pStyle w:val="7"/>
        <w:widowControl/>
        <w:spacing w:line="240" w:lineRule="auto"/>
        <w:ind w:firstLine="0"/>
        <w:rPr>
          <w:rFonts w:hint="default"/>
          <w:bCs/>
          <w:sz w:val="21"/>
          <w:szCs w:val="21"/>
          <w:lang w:bidi="ar"/>
        </w:rPr>
      </w:pP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（6）屏体四周包边</w:t>
      </w:r>
    </w:p>
    <w:p>
      <w:pPr>
        <w:pStyle w:val="7"/>
        <w:widowControl/>
        <w:spacing w:line="240" w:lineRule="auto"/>
        <w:ind w:firstLine="0"/>
        <w:rPr>
          <w:rFonts w:hint="default"/>
          <w:bCs/>
          <w:sz w:val="21"/>
          <w:szCs w:val="21"/>
          <w:lang w:bidi="ar"/>
        </w:rPr>
      </w:pPr>
      <w:r>
        <w:rPr>
          <w:rStyle w:val="56"/>
          <w:rFonts w:hint="default"/>
          <w:bCs/>
          <w:color w:val="auto"/>
          <w:sz w:val="21"/>
          <w:szCs w:val="21"/>
          <w:lang w:val="en-US" w:eastAsia="zh-CN" w:bidi="ar"/>
        </w:rPr>
        <w:t>1</w:t>
      </w:r>
      <w:r>
        <w:rPr>
          <w:rStyle w:val="56"/>
          <w:rFonts w:hint="eastAsia"/>
          <w:bCs/>
          <w:color w:val="auto"/>
          <w:sz w:val="21"/>
          <w:szCs w:val="21"/>
          <w:lang w:val="en-US" w:eastAsia="zh-CN" w:bidi="ar"/>
        </w:rPr>
        <w:t>、</w:t>
      </w:r>
      <w:r>
        <w:rPr>
          <w:rStyle w:val="56"/>
          <w:rFonts w:hint="default"/>
          <w:bCs/>
          <w:color w:val="auto"/>
          <w:sz w:val="21"/>
          <w:szCs w:val="21"/>
          <w:lang w:val="en-US" w:eastAsia="zh-CN" w:bidi="ar"/>
        </w:rPr>
        <w:t>屏体四周包边，要求配合场地装修风格，整体美观和谐。</w:t>
      </w: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（7）视频可视化综合管理设备</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val="en-US" w:eastAsia="zh-CN" w:bidi="ar"/>
        </w:rPr>
      </w:pPr>
      <w:r>
        <w:rPr>
          <w:rStyle w:val="56"/>
          <w:rFonts w:hint="eastAsia"/>
          <w:bCs/>
          <w:color w:val="auto"/>
          <w:sz w:val="21"/>
          <w:szCs w:val="21"/>
          <w:lang w:val="en-US" w:eastAsia="zh-CN" w:bidi="ar"/>
        </w:rPr>
        <w:t>1、输入：8路HDMI、2路4K-HDMI；输出：8路DVI；可视化预监回显、支持多组屏管理，支持多用户登入。</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val="en-US" w:eastAsia="zh-CN" w:bidi="ar"/>
        </w:rPr>
      </w:pPr>
      <w:r>
        <w:rPr>
          <w:rStyle w:val="56"/>
          <w:rFonts w:hint="eastAsia"/>
          <w:bCs/>
          <w:color w:val="auto"/>
          <w:sz w:val="21"/>
          <w:szCs w:val="21"/>
          <w:lang w:val="en-US" w:eastAsia="zh-CN" w:bidi="ar"/>
        </w:rPr>
        <w:t>2、图像处理延迟时间：信号切换延迟＜5ms，切换无黑屏、蓝屏、闪烁情况。图像处理延迟时间＜5ms；图像开窗响应速度＜5ms；场景调取响应速度＜5ms。</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val="en-US" w:eastAsia="zh-CN" w:bidi="ar"/>
        </w:rPr>
      </w:pPr>
      <w:r>
        <w:rPr>
          <w:rStyle w:val="56"/>
          <w:rFonts w:hint="eastAsia"/>
          <w:bCs/>
          <w:color w:val="auto"/>
          <w:sz w:val="21"/>
          <w:szCs w:val="21"/>
          <w:lang w:val="en-US" w:eastAsia="zh-CN" w:bidi="ar"/>
        </w:rPr>
        <w:t>3、最大单机背板信号处理带宽32000Gbps，单路信号带宽50Gbps。</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val="en-US" w:eastAsia="zh-CN" w:bidi="ar"/>
        </w:rPr>
      </w:pPr>
      <w:r>
        <w:rPr>
          <w:rStyle w:val="56"/>
          <w:rFonts w:hint="eastAsia"/>
          <w:bCs/>
          <w:color w:val="auto"/>
          <w:sz w:val="21"/>
          <w:szCs w:val="21"/>
          <w:lang w:val="en-US" w:eastAsia="zh-CN" w:bidi="ar"/>
        </w:rPr>
        <w:t>4、支持4K60的HDR，支待HDR 12-bit采样格式，支持对带有HDCP加密的视频信号进行采集编码，兼容HDCP1.4、HDCP2.2、HDCP2.3。</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val="en-US" w:eastAsia="zh-CN" w:bidi="ar"/>
        </w:rPr>
      </w:pPr>
      <w:r>
        <w:rPr>
          <w:rStyle w:val="56"/>
          <w:rFonts w:hint="eastAsia"/>
          <w:bCs/>
          <w:color w:val="auto"/>
          <w:sz w:val="21"/>
          <w:szCs w:val="21"/>
          <w:lang w:val="en-US" w:eastAsia="zh-CN" w:bidi="ar"/>
        </w:rPr>
        <w:t>5、支持视频信号采集和输出可调，支持60Hz、120Hz、144Hz、240Hz视频信号采集和输出；信号传输延时＜5ms，支持最高图像处理不丢帧。</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val="en-US" w:eastAsia="zh-CN" w:bidi="ar"/>
        </w:rPr>
      </w:pPr>
      <w:r>
        <w:rPr>
          <w:rStyle w:val="56"/>
          <w:rFonts w:hint="eastAsia"/>
          <w:bCs/>
          <w:color w:val="auto"/>
          <w:sz w:val="21"/>
          <w:szCs w:val="21"/>
          <w:lang w:val="en-US" w:eastAsia="zh-CN" w:bidi="ar"/>
        </w:rPr>
        <w:t>6、支持整面拼接屏的整体回显功能，可外接HDMI/DVI接口显示器、IP网络解码器观看大屏回显，图像帧率可达4K@60帧／秒。支持大屏音频回显输出，音频与画面实时同步，可配合录播进行使用。</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val="en-US" w:eastAsia="zh-CN" w:bidi="ar"/>
        </w:rPr>
      </w:pPr>
      <w:r>
        <w:rPr>
          <w:rStyle w:val="56"/>
          <w:rFonts w:hint="eastAsia"/>
          <w:bCs/>
          <w:color w:val="auto"/>
          <w:sz w:val="21"/>
          <w:szCs w:val="21"/>
          <w:lang w:val="en-US" w:eastAsia="zh-CN" w:bidi="ar"/>
        </w:rPr>
        <w:t>7、所有信号预监时，无需额外功能板卡占用设备槽位；支持所有信号输入音量开关控制、预监及预调节功能。</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val="en-US" w:eastAsia="zh-CN" w:bidi="ar"/>
        </w:rPr>
      </w:pPr>
      <w:r>
        <w:rPr>
          <w:rStyle w:val="56"/>
          <w:rFonts w:hint="eastAsia"/>
          <w:bCs/>
          <w:color w:val="auto"/>
          <w:sz w:val="21"/>
          <w:szCs w:val="21"/>
          <w:lang w:val="en-US" w:eastAsia="zh-CN" w:bidi="ar"/>
        </w:rPr>
        <w:t>8、支持窗口布局保存至设备，支持不少于128000个单屏场景、保存、自动轮巡且另外支持不少于128000个全局场景、保存、轮巡，场景轮巡间隔的时间可调。</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val="en-US" w:eastAsia="zh-CN" w:bidi="ar"/>
        </w:rPr>
      </w:pPr>
      <w:r>
        <w:rPr>
          <w:rStyle w:val="56"/>
          <w:rFonts w:hint="eastAsia"/>
          <w:bCs/>
          <w:color w:val="auto"/>
          <w:sz w:val="21"/>
          <w:szCs w:val="21"/>
          <w:lang w:val="en-US" w:eastAsia="zh-CN" w:bidi="ar"/>
        </w:rPr>
        <w:t>9、移动控制端支持Windows、iOS、Android操作系统；支持Windows、Linux、MAC、中标麒麟、银河麒麟等系统通过C/S、B/S软件进行控制；支持通过TCP/IP网口与RS232/422/485串口进行管理控制。</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val="en-US" w:eastAsia="zh-CN" w:bidi="ar"/>
        </w:rPr>
      </w:pPr>
      <w:r>
        <w:rPr>
          <w:rStyle w:val="56"/>
          <w:rFonts w:hint="eastAsia"/>
          <w:bCs/>
          <w:color w:val="auto"/>
          <w:sz w:val="21"/>
          <w:szCs w:val="21"/>
          <w:lang w:val="en-US" w:eastAsia="zh-CN" w:bidi="ar"/>
        </w:rPr>
        <w:t>10、支持在输入输出通道上叠加任意字符，可自定义字体、颜色、大小、位置、背景色等参数，支持1024*256分辨率的点对点图片台标显示。</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val="en-US" w:eastAsia="zh-CN" w:bidi="ar"/>
        </w:rPr>
      </w:pPr>
      <w:r>
        <w:rPr>
          <w:rStyle w:val="56"/>
          <w:rFonts w:hint="eastAsia"/>
          <w:bCs/>
          <w:color w:val="auto"/>
          <w:sz w:val="21"/>
          <w:szCs w:val="21"/>
          <w:lang w:val="en-US" w:eastAsia="zh-CN" w:bidi="ar"/>
        </w:rPr>
        <w:t>11、输入总容量不少于320路多种不同视频接口，不需要设备级联；输出总容量不少于320路混合视频多种不同视频接口，不需要设备级联。</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val="en-US" w:eastAsia="zh-CN" w:bidi="ar"/>
        </w:rPr>
      </w:pPr>
      <w:r>
        <w:rPr>
          <w:rStyle w:val="56"/>
          <w:rFonts w:hint="eastAsia"/>
          <w:bCs/>
          <w:color w:val="auto"/>
          <w:sz w:val="21"/>
          <w:szCs w:val="21"/>
          <w:lang w:val="en-US" w:eastAsia="zh-CN" w:bidi="ar"/>
        </w:rPr>
        <w:t>12、平均修复时间小于30分钟，设备整体可用度不低于99.99%。</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val="en-US" w:eastAsia="zh-CN" w:bidi="ar"/>
        </w:rPr>
      </w:pPr>
      <w:r>
        <w:rPr>
          <w:rStyle w:val="56"/>
          <w:rFonts w:hint="eastAsia"/>
          <w:bCs/>
          <w:color w:val="auto"/>
          <w:sz w:val="21"/>
          <w:szCs w:val="21"/>
          <w:lang w:val="en-US" w:eastAsia="zh-CN" w:bidi="ar"/>
        </w:rPr>
        <w:t>13、同时支持拼接墙，投影融合，LED大屏等多种显示终端，支持同时控制不少于40组大屏，并共享输入信号源。</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val="en-US" w:eastAsia="zh-CN" w:bidi="ar"/>
        </w:rPr>
      </w:pPr>
      <w:r>
        <w:rPr>
          <w:rStyle w:val="56"/>
          <w:rFonts w:hint="eastAsia"/>
          <w:bCs/>
          <w:color w:val="auto"/>
          <w:sz w:val="21"/>
          <w:szCs w:val="21"/>
          <w:lang w:val="en-US" w:eastAsia="zh-CN" w:bidi="ar"/>
        </w:rPr>
        <w:t>14、支持高清、流畅两种模式信号源预览。高清模式像素不少于48W，流畅模式帧率不少于30Hz。</w:t>
      </w:r>
    </w:p>
    <w:p>
      <w:pPr>
        <w:pStyle w:val="7"/>
        <w:keepNext w:val="0"/>
        <w:keepLines w:val="0"/>
        <w:pageBreakBefore w:val="0"/>
        <w:kinsoku/>
        <w:wordWrap/>
        <w:overflowPunct/>
        <w:topLinePunct w:val="0"/>
        <w:autoSpaceDE/>
        <w:autoSpaceDN/>
        <w:bidi w:val="0"/>
        <w:spacing w:after="0" w:line="240" w:lineRule="auto"/>
        <w:ind w:left="0" w:leftChars="0" w:firstLine="0" w:firstLineChars="0"/>
        <w:textAlignment w:val="auto"/>
        <w:rPr>
          <w:rStyle w:val="56"/>
          <w:rFonts w:hint="eastAsia"/>
          <w:bCs/>
          <w:color w:val="auto"/>
          <w:sz w:val="21"/>
          <w:szCs w:val="21"/>
          <w:lang w:val="en-US" w:eastAsia="zh-CN" w:bidi="ar"/>
        </w:rPr>
      </w:pPr>
      <w:r>
        <w:rPr>
          <w:rStyle w:val="56"/>
          <w:rFonts w:hint="eastAsia"/>
          <w:bCs/>
          <w:color w:val="auto"/>
          <w:sz w:val="21"/>
          <w:szCs w:val="21"/>
          <w:lang w:val="en-US" w:eastAsia="zh-CN" w:bidi="ar"/>
        </w:rPr>
        <w:t>15、板卡支持设置超低功耗模式，在板卡闲置时，可设置为超低功耗模式，将板卡功耗降低至0.5w以下，在使用时恢复为正常工作模式，进而实现系统的系统功耗动态管理。</w:t>
      </w:r>
    </w:p>
    <w:p>
      <w:pPr>
        <w:pStyle w:val="7"/>
        <w:widowControl/>
        <w:spacing w:line="240" w:lineRule="auto"/>
        <w:ind w:firstLine="0"/>
        <w:rPr>
          <w:rStyle w:val="56"/>
          <w:rFonts w:hint="eastAsia"/>
          <w:bCs/>
          <w:color w:val="auto"/>
          <w:sz w:val="21"/>
          <w:szCs w:val="21"/>
          <w:lang w:val="en-US" w:eastAsia="zh-CN" w:bidi="ar"/>
        </w:rPr>
      </w:pPr>
      <w:r>
        <w:rPr>
          <w:rStyle w:val="56"/>
          <w:rFonts w:hint="eastAsia" w:ascii="微软雅黑" w:hAnsi="微软雅黑" w:eastAsia="微软雅黑" w:cs="微软雅黑"/>
          <w:bCs/>
          <w:color w:val="auto"/>
          <w:sz w:val="21"/>
          <w:szCs w:val="21"/>
          <w:lang w:val="en-US" w:eastAsia="zh-CN" w:bidi="ar"/>
        </w:rPr>
        <w:t>★</w:t>
      </w:r>
      <w:r>
        <w:rPr>
          <w:rStyle w:val="56"/>
          <w:rFonts w:hint="eastAsia"/>
          <w:bCs/>
          <w:color w:val="auto"/>
          <w:sz w:val="21"/>
          <w:szCs w:val="21"/>
          <w:lang w:val="en-US" w:eastAsia="zh-CN" w:bidi="ar"/>
        </w:rPr>
        <w:t>16、</w:t>
      </w:r>
      <w:r>
        <w:rPr>
          <w:rStyle w:val="56"/>
          <w:rFonts w:hint="default"/>
          <w:bCs/>
          <w:color w:val="auto"/>
          <w:sz w:val="21"/>
          <w:szCs w:val="21"/>
          <w:lang w:val="en-US" w:eastAsia="zh-CN" w:bidi="ar"/>
        </w:rPr>
        <w:t>投标文件中需提供完全体现第</w:t>
      </w:r>
      <w:r>
        <w:rPr>
          <w:rStyle w:val="56"/>
          <w:rFonts w:hint="eastAsia"/>
          <w:bCs/>
          <w:color w:val="auto"/>
          <w:sz w:val="21"/>
          <w:szCs w:val="21"/>
          <w:lang w:val="en-US" w:eastAsia="zh-CN" w:bidi="ar"/>
        </w:rPr>
        <w:t>2至15</w:t>
      </w:r>
      <w:r>
        <w:rPr>
          <w:rStyle w:val="56"/>
          <w:rFonts w:hint="default"/>
          <w:bCs/>
          <w:color w:val="auto"/>
          <w:sz w:val="21"/>
          <w:szCs w:val="21"/>
          <w:lang w:val="en-US" w:eastAsia="zh-CN" w:bidi="ar"/>
        </w:rPr>
        <w:t>项的所有参数的国家认可的第三方检测机构出具的首页具有CMA</w:t>
      </w:r>
      <w:r>
        <w:rPr>
          <w:rStyle w:val="56"/>
          <w:rFonts w:hint="eastAsia"/>
          <w:bCs/>
          <w:color w:val="auto"/>
          <w:sz w:val="21"/>
          <w:szCs w:val="21"/>
          <w:lang w:val="en-US" w:eastAsia="zh-CN" w:bidi="ar"/>
        </w:rPr>
        <w:t>或</w:t>
      </w:r>
      <w:r>
        <w:rPr>
          <w:rStyle w:val="56"/>
          <w:rFonts w:hint="default"/>
          <w:bCs/>
          <w:color w:val="auto"/>
          <w:sz w:val="21"/>
          <w:szCs w:val="21"/>
          <w:lang w:val="en-US" w:eastAsia="zh-CN" w:bidi="ar"/>
        </w:rPr>
        <w:t>CNAS标识的检测报告复印件，并加盖LED显示屏制造厂商公章</w:t>
      </w:r>
      <w:r>
        <w:rPr>
          <w:rStyle w:val="56"/>
          <w:rFonts w:hint="eastAsia"/>
          <w:bCs/>
          <w:color w:val="auto"/>
          <w:sz w:val="21"/>
          <w:szCs w:val="21"/>
          <w:lang w:val="en-US" w:eastAsia="zh-CN" w:bidi="ar"/>
        </w:rPr>
        <w:t>。</w:t>
      </w:r>
    </w:p>
    <w:p>
      <w:pPr>
        <w:pStyle w:val="7"/>
        <w:widowControl/>
        <w:spacing w:line="240" w:lineRule="auto"/>
        <w:ind w:firstLine="0"/>
        <w:rPr>
          <w:rFonts w:hint="default"/>
          <w:bCs/>
          <w:color w:val="000000"/>
          <w:sz w:val="21"/>
          <w:szCs w:val="21"/>
          <w:lang w:val="en-US" w:eastAsia="zh-CN"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（8）24口全千兆网络交换机</w:t>
      </w:r>
    </w:p>
    <w:p>
      <w:pPr>
        <w:keepNext w:val="0"/>
        <w:keepLines w:val="0"/>
        <w:widowControl/>
        <w:numPr>
          <w:ilvl w:val="-1"/>
          <w:numId w:val="0"/>
        </w:numPr>
        <w:suppressLineNumbers w:val="0"/>
        <w:jc w:val="left"/>
        <w:rPr>
          <w:rFonts w:hint="eastAsia" w:ascii="宋体" w:hAnsi="宋体" w:eastAsia="宋体" w:cs="宋体"/>
          <w:color w:val="000000"/>
          <w:kern w:val="0"/>
          <w:szCs w:val="21"/>
          <w:highlight w:val="none"/>
          <w:lang w:eastAsia="zh-CN" w:bidi="ar"/>
        </w:rPr>
      </w:pPr>
      <w:r>
        <w:rPr>
          <w:rFonts w:hint="eastAsia" w:ascii="宋体" w:hAnsi="宋体" w:eastAsia="宋体" w:cs="宋体"/>
          <w:color w:val="000000"/>
          <w:kern w:val="0"/>
          <w:szCs w:val="21"/>
          <w:highlight w:val="none"/>
          <w:lang w:val="en-US" w:eastAsia="zh-CN" w:bidi="ar"/>
        </w:rPr>
        <w:t>1、</w:t>
      </w:r>
      <w:r>
        <w:rPr>
          <w:rFonts w:hint="eastAsia" w:asciiTheme="minorEastAsia" w:hAnsiTheme="minorEastAsia" w:cstheme="minorEastAsia"/>
          <w:highlight w:val="none"/>
          <w:lang w:val="en-US" w:eastAsia="zh-CN"/>
        </w:rPr>
        <w:t>24口全千兆网络</w:t>
      </w:r>
      <w:r>
        <w:rPr>
          <w:rFonts w:hint="eastAsia" w:asciiTheme="minorEastAsia" w:hAnsiTheme="minorEastAsia" w:cstheme="minorEastAsia"/>
          <w:highlight w:val="none"/>
          <w:lang w:val="en-US"/>
        </w:rPr>
        <w:t>交换机</w:t>
      </w:r>
      <w:r>
        <w:rPr>
          <w:rFonts w:hint="eastAsia" w:ascii="宋体" w:hAnsi="宋体" w:eastAsia="宋体" w:cs="宋体"/>
          <w:color w:val="000000"/>
          <w:kern w:val="0"/>
          <w:szCs w:val="21"/>
          <w:highlight w:val="none"/>
          <w:lang w:eastAsia="zh-CN" w:bidi="ar"/>
        </w:rPr>
        <w:t>硬件参数需满足以下要求</w:t>
      </w:r>
      <w:r>
        <w:rPr>
          <w:rFonts w:hint="eastAsia" w:ascii="宋体" w:hAnsi="宋体" w:eastAsia="宋体" w:cs="宋体"/>
          <w:color w:val="000000"/>
          <w:kern w:val="0"/>
          <w:szCs w:val="21"/>
          <w:highlight w:val="none"/>
          <w:lang w:bidi="ar"/>
        </w:rPr>
        <w:t>：1.1、固定端口：24 个10/100/1000Base-T 以太网端口，4个千兆SFP光口。Console口：1个</w:t>
      </w:r>
      <w:r>
        <w:rPr>
          <w:rFonts w:hint="eastAsia" w:ascii="宋体" w:hAnsi="宋体" w:eastAsia="宋体" w:cs="宋体"/>
          <w:color w:val="000000"/>
          <w:kern w:val="0"/>
          <w:szCs w:val="21"/>
          <w:highlight w:val="none"/>
          <w:lang w:eastAsia="zh-CN" w:bidi="ar"/>
        </w:rPr>
        <w:t>。</w:t>
      </w:r>
      <w:r>
        <w:rPr>
          <w:rFonts w:hint="eastAsia" w:ascii="宋体" w:hAnsi="宋体" w:eastAsia="宋体" w:cs="宋体"/>
          <w:color w:val="000000"/>
          <w:kern w:val="0"/>
          <w:szCs w:val="21"/>
          <w:highlight w:val="none"/>
          <w:lang w:bidi="ar"/>
        </w:rPr>
        <w:t>MGMT口：1个</w:t>
      </w:r>
      <w:r>
        <w:rPr>
          <w:rFonts w:hint="eastAsia" w:ascii="宋体" w:hAnsi="宋体" w:eastAsia="宋体" w:cs="宋体"/>
          <w:color w:val="000000"/>
          <w:kern w:val="0"/>
          <w:szCs w:val="21"/>
          <w:highlight w:val="none"/>
          <w:lang w:eastAsia="zh-CN" w:bidi="ar"/>
        </w:rPr>
        <w:t>。</w:t>
      </w:r>
    </w:p>
    <w:p>
      <w:pPr>
        <w:keepNext w:val="0"/>
        <w:keepLines w:val="0"/>
        <w:widowControl/>
        <w:numPr>
          <w:ilvl w:val="-1"/>
          <w:numId w:val="0"/>
        </w:numPr>
        <w:suppressLineNumbers w:val="0"/>
        <w:jc w:val="left"/>
        <w:rPr>
          <w:rFonts w:hint="eastAsia" w:ascii="宋体" w:hAnsi="宋体" w:eastAsia="宋体" w:cs="宋体"/>
          <w:color w:val="000000"/>
          <w:kern w:val="0"/>
          <w:szCs w:val="21"/>
          <w:highlight w:val="none"/>
          <w:lang w:bidi="ar"/>
        </w:rPr>
      </w:pPr>
      <w:r>
        <w:rPr>
          <w:rFonts w:hint="eastAsia" w:ascii="宋体" w:hAnsi="宋体" w:eastAsia="宋体" w:cs="宋体"/>
          <w:color w:val="000000"/>
          <w:kern w:val="0"/>
          <w:szCs w:val="21"/>
          <w:highlight w:val="none"/>
          <w:lang w:val="en-US" w:eastAsia="zh-CN" w:bidi="ar"/>
        </w:rPr>
        <w:t>2、</w:t>
      </w:r>
      <w:r>
        <w:rPr>
          <w:rFonts w:hint="eastAsia" w:ascii="宋体" w:hAnsi="宋体" w:eastAsia="宋体" w:cs="宋体"/>
          <w:color w:val="000000"/>
          <w:kern w:val="0"/>
          <w:szCs w:val="21"/>
          <w:highlight w:val="none"/>
          <w:lang w:bidi="ar"/>
        </w:rPr>
        <w:t>所投</w:t>
      </w:r>
      <w:r>
        <w:rPr>
          <w:rFonts w:hint="eastAsia" w:asciiTheme="minorEastAsia" w:hAnsiTheme="minorEastAsia" w:cstheme="minorEastAsia"/>
          <w:highlight w:val="none"/>
          <w:lang w:val="en-US" w:eastAsia="zh-CN"/>
        </w:rPr>
        <w:t>24口全千兆网络</w:t>
      </w:r>
      <w:r>
        <w:rPr>
          <w:rFonts w:hint="eastAsia" w:asciiTheme="minorEastAsia" w:hAnsiTheme="minorEastAsia" w:cstheme="minorEastAsia"/>
          <w:highlight w:val="none"/>
          <w:lang w:val="en-US"/>
        </w:rPr>
        <w:t>交换机</w:t>
      </w:r>
      <w:r>
        <w:rPr>
          <w:rFonts w:hint="eastAsia" w:ascii="宋体" w:hAnsi="宋体" w:eastAsia="宋体" w:cs="宋体"/>
          <w:color w:val="000000"/>
          <w:kern w:val="0"/>
          <w:szCs w:val="21"/>
          <w:highlight w:val="none"/>
          <w:lang w:bidi="ar"/>
        </w:rPr>
        <w:t>需具备中华人民共和国工业和信息化部颁发的电信设备进网许可证</w:t>
      </w:r>
      <w:r>
        <w:rPr>
          <w:rFonts w:hint="eastAsia" w:ascii="宋体" w:hAnsi="宋体" w:eastAsia="宋体" w:cs="宋体"/>
          <w:color w:val="000000"/>
          <w:kern w:val="0"/>
          <w:sz w:val="21"/>
          <w:szCs w:val="21"/>
          <w:highlight w:val="none"/>
          <w:lang w:bidi="ar"/>
        </w:rPr>
        <w:t>，且在有效期限之内的</w:t>
      </w:r>
      <w:r>
        <w:rPr>
          <w:rFonts w:hint="eastAsia" w:ascii="宋体" w:hAnsi="宋体" w:eastAsia="宋体" w:cs="宋体"/>
          <w:color w:val="000000"/>
          <w:kern w:val="0"/>
          <w:szCs w:val="21"/>
          <w:highlight w:val="none"/>
          <w:lang w:bidi="ar"/>
        </w:rPr>
        <w:t>（投标文件中要求提供电信设备进网许可证复印件，并加盖产品制造厂商公章）</w:t>
      </w:r>
      <w:r>
        <w:rPr>
          <w:rFonts w:hint="eastAsia" w:ascii="宋体" w:hAnsi="宋体" w:eastAsia="宋体" w:cs="宋体"/>
          <w:color w:val="000000"/>
          <w:kern w:val="0"/>
          <w:szCs w:val="21"/>
          <w:highlight w:val="none"/>
          <w:lang w:eastAsia="zh-CN" w:bidi="ar"/>
        </w:rPr>
        <w:t>。</w:t>
      </w:r>
    </w:p>
    <w:p>
      <w:pPr>
        <w:keepNext w:val="0"/>
        <w:keepLines w:val="0"/>
        <w:widowControl/>
        <w:numPr>
          <w:ilvl w:val="-1"/>
          <w:numId w:val="0"/>
        </w:numPr>
        <w:suppressLineNumbers w:val="0"/>
        <w:jc w:val="left"/>
        <w:rPr>
          <w:rFonts w:hint="eastAsia" w:ascii="宋体" w:hAnsi="宋体" w:eastAsia="宋体" w:cs="宋体"/>
          <w:color w:val="000000"/>
          <w:kern w:val="0"/>
          <w:szCs w:val="21"/>
          <w:highlight w:val="none"/>
          <w:lang w:eastAsia="zh-CN" w:bidi="ar"/>
        </w:rPr>
      </w:pPr>
      <w:r>
        <w:rPr>
          <w:rFonts w:hint="eastAsia" w:ascii="宋体" w:hAnsi="宋体" w:eastAsia="宋体" w:cs="宋体"/>
          <w:color w:val="000000"/>
          <w:kern w:val="0"/>
          <w:szCs w:val="21"/>
          <w:highlight w:val="none"/>
          <w:lang w:val="en-US" w:eastAsia="zh-CN" w:bidi="ar"/>
        </w:rPr>
        <w:t>3、</w:t>
      </w:r>
      <w:r>
        <w:rPr>
          <w:rFonts w:hint="eastAsia" w:ascii="宋体" w:hAnsi="宋体" w:eastAsia="宋体" w:cs="宋体"/>
          <w:color w:val="000000"/>
          <w:kern w:val="0"/>
          <w:szCs w:val="21"/>
          <w:highlight w:val="none"/>
          <w:lang w:bidi="ar"/>
        </w:rPr>
        <w:t>所投</w:t>
      </w:r>
      <w:r>
        <w:rPr>
          <w:rFonts w:hint="eastAsia" w:asciiTheme="minorEastAsia" w:hAnsiTheme="minorEastAsia" w:cstheme="minorEastAsia"/>
          <w:highlight w:val="none"/>
          <w:lang w:val="en-US" w:eastAsia="zh-CN"/>
        </w:rPr>
        <w:t>24口全千兆网络</w:t>
      </w:r>
      <w:r>
        <w:rPr>
          <w:rFonts w:hint="eastAsia" w:asciiTheme="minorEastAsia" w:hAnsiTheme="minorEastAsia" w:cstheme="minorEastAsia"/>
          <w:highlight w:val="none"/>
          <w:lang w:val="en-US"/>
        </w:rPr>
        <w:t>交换机</w:t>
      </w:r>
      <w:r>
        <w:rPr>
          <w:rFonts w:hint="eastAsia" w:ascii="宋体" w:hAnsi="宋体" w:eastAsia="宋体" w:cs="宋体"/>
          <w:color w:val="000000"/>
          <w:kern w:val="0"/>
          <w:szCs w:val="21"/>
          <w:highlight w:val="none"/>
          <w:lang w:bidi="ar"/>
        </w:rPr>
        <w:t>需具备中国国家强制性产品认证证书</w:t>
      </w:r>
      <w:r>
        <w:rPr>
          <w:rFonts w:hint="eastAsia" w:ascii="宋体" w:hAnsi="宋体" w:eastAsia="宋体" w:cs="宋体"/>
          <w:color w:val="000000"/>
          <w:kern w:val="0"/>
          <w:szCs w:val="21"/>
          <w:highlight w:val="none"/>
          <w:lang w:eastAsia="zh-CN" w:bidi="ar"/>
        </w:rPr>
        <w:t>（</w:t>
      </w:r>
      <w:r>
        <w:rPr>
          <w:rFonts w:hint="eastAsia" w:ascii="宋体" w:hAnsi="宋体" w:eastAsia="宋体" w:cs="宋体"/>
          <w:color w:val="000000"/>
          <w:kern w:val="0"/>
          <w:szCs w:val="21"/>
          <w:highlight w:val="none"/>
          <w:lang w:bidi="ar"/>
        </w:rPr>
        <w:t>CCC认证证书</w:t>
      </w:r>
      <w:r>
        <w:rPr>
          <w:rFonts w:hint="eastAsia" w:ascii="宋体" w:hAnsi="宋体" w:eastAsia="宋体" w:cs="宋体"/>
          <w:color w:val="000000"/>
          <w:kern w:val="0"/>
          <w:szCs w:val="21"/>
          <w:highlight w:val="none"/>
          <w:lang w:eastAsia="zh-CN" w:bidi="ar"/>
        </w:rPr>
        <w:t>）</w:t>
      </w:r>
      <w:r>
        <w:rPr>
          <w:rFonts w:hint="eastAsia" w:ascii="宋体" w:hAnsi="宋体" w:eastAsia="宋体" w:cs="宋体"/>
          <w:color w:val="000000"/>
          <w:kern w:val="0"/>
          <w:sz w:val="21"/>
          <w:szCs w:val="21"/>
          <w:highlight w:val="none"/>
          <w:lang w:bidi="ar"/>
        </w:rPr>
        <w:t>，且在有效期限之内的</w:t>
      </w:r>
      <w:r>
        <w:rPr>
          <w:rFonts w:hint="eastAsia" w:ascii="宋体" w:hAnsi="宋体" w:eastAsia="宋体" w:cs="宋体"/>
          <w:color w:val="000000"/>
          <w:kern w:val="0"/>
          <w:szCs w:val="21"/>
          <w:highlight w:val="none"/>
          <w:lang w:bidi="ar"/>
        </w:rPr>
        <w:t>（投标文件中要求提供中国国家强制性产品认证证书</w:t>
      </w:r>
      <w:r>
        <w:rPr>
          <w:rFonts w:hint="eastAsia" w:ascii="宋体" w:hAnsi="宋体" w:eastAsia="宋体" w:cs="宋体"/>
          <w:color w:val="000000"/>
          <w:kern w:val="0"/>
          <w:szCs w:val="21"/>
          <w:highlight w:val="none"/>
          <w:lang w:eastAsia="zh-CN" w:bidi="ar"/>
        </w:rPr>
        <w:t>（</w:t>
      </w:r>
      <w:r>
        <w:rPr>
          <w:rFonts w:hint="eastAsia" w:ascii="宋体" w:hAnsi="宋体" w:eastAsia="宋体" w:cs="宋体"/>
          <w:color w:val="000000"/>
          <w:kern w:val="0"/>
          <w:szCs w:val="21"/>
          <w:highlight w:val="none"/>
          <w:lang w:bidi="ar"/>
        </w:rPr>
        <w:t>CCC认证证书</w:t>
      </w:r>
      <w:r>
        <w:rPr>
          <w:rFonts w:hint="eastAsia" w:ascii="宋体" w:hAnsi="宋体" w:eastAsia="宋体" w:cs="宋体"/>
          <w:color w:val="000000"/>
          <w:kern w:val="0"/>
          <w:szCs w:val="21"/>
          <w:highlight w:val="none"/>
          <w:lang w:eastAsia="zh-CN" w:bidi="ar"/>
        </w:rPr>
        <w:t>）</w:t>
      </w:r>
      <w:r>
        <w:rPr>
          <w:rFonts w:hint="eastAsia" w:ascii="宋体" w:hAnsi="宋体" w:eastAsia="宋体" w:cs="宋体"/>
          <w:color w:val="000000"/>
          <w:kern w:val="0"/>
          <w:szCs w:val="21"/>
          <w:highlight w:val="none"/>
          <w:lang w:bidi="ar"/>
        </w:rPr>
        <w:t>复印件，并加盖产品制造厂商公章）</w:t>
      </w:r>
      <w:r>
        <w:rPr>
          <w:rFonts w:hint="eastAsia" w:ascii="宋体" w:hAnsi="宋体" w:eastAsia="宋体" w:cs="宋体"/>
          <w:color w:val="000000"/>
          <w:kern w:val="0"/>
          <w:szCs w:val="21"/>
          <w:highlight w:val="none"/>
          <w:lang w:eastAsia="zh-CN" w:bidi="ar"/>
        </w:rPr>
        <w:t>。</w:t>
      </w:r>
    </w:p>
    <w:p>
      <w:pPr>
        <w:keepNext w:val="0"/>
        <w:keepLines w:val="0"/>
        <w:widowControl/>
        <w:numPr>
          <w:ilvl w:val="-1"/>
          <w:numId w:val="0"/>
        </w:numPr>
        <w:suppressLineNumbers w:val="0"/>
        <w:jc w:val="left"/>
        <w:rPr>
          <w:rFonts w:hint="eastAsia" w:ascii="宋体" w:hAnsi="宋体" w:eastAsia="宋体" w:cs="宋体"/>
          <w:color w:val="auto"/>
          <w:kern w:val="0"/>
          <w:szCs w:val="21"/>
          <w:highlight w:val="none"/>
          <w:lang w:bidi="ar"/>
        </w:rPr>
      </w:pPr>
      <w:r>
        <w:rPr>
          <w:rFonts w:hint="eastAsia" w:ascii="宋体" w:hAnsi="宋体" w:eastAsia="宋体" w:cs="宋体"/>
          <w:b w:val="0"/>
          <w:bCs w:val="0"/>
          <w:color w:val="000000"/>
          <w:kern w:val="0"/>
          <w:szCs w:val="21"/>
          <w:highlight w:val="none"/>
          <w:lang w:val="en-US" w:eastAsia="zh-CN" w:bidi="ar"/>
        </w:rPr>
        <w:t>4、</w:t>
      </w:r>
      <w:r>
        <w:rPr>
          <w:rFonts w:hint="eastAsia" w:asciiTheme="minorEastAsia" w:hAnsiTheme="minorEastAsia" w:cstheme="minorEastAsia"/>
          <w:color w:val="auto"/>
          <w:highlight w:val="none"/>
          <w:lang w:val="en-US" w:eastAsia="zh-CN"/>
        </w:rPr>
        <w:t>24口全千兆网络</w:t>
      </w:r>
      <w:r>
        <w:rPr>
          <w:rFonts w:hint="eastAsia" w:asciiTheme="minorEastAsia" w:hAnsiTheme="minorEastAsia" w:cstheme="minorEastAsia"/>
          <w:color w:val="auto"/>
          <w:highlight w:val="none"/>
          <w:lang w:val="en-US"/>
        </w:rPr>
        <w:t>交换机</w:t>
      </w:r>
      <w:r>
        <w:rPr>
          <w:rFonts w:hint="eastAsia" w:ascii="宋体" w:hAnsi="宋体" w:eastAsia="宋体" w:cs="宋体"/>
          <w:b w:val="0"/>
          <w:bCs w:val="0"/>
          <w:color w:val="auto"/>
          <w:kern w:val="0"/>
          <w:szCs w:val="21"/>
          <w:highlight w:val="none"/>
          <w:lang w:bidi="ar"/>
        </w:rPr>
        <w:t>功能</w:t>
      </w:r>
      <w:r>
        <w:rPr>
          <w:rFonts w:hint="eastAsia" w:ascii="宋体" w:hAnsi="宋体" w:eastAsia="宋体" w:cs="宋体"/>
          <w:color w:val="auto"/>
          <w:kern w:val="0"/>
          <w:szCs w:val="21"/>
          <w:highlight w:val="none"/>
          <w:lang w:eastAsia="zh-CN" w:bidi="ar"/>
        </w:rPr>
        <w:t>需满足以下要求</w:t>
      </w:r>
      <w:r>
        <w:rPr>
          <w:rFonts w:hint="eastAsia" w:ascii="宋体" w:hAnsi="宋体" w:eastAsia="宋体" w:cs="宋体"/>
          <w:b w:val="0"/>
          <w:bCs w:val="0"/>
          <w:color w:val="auto"/>
          <w:kern w:val="0"/>
          <w:szCs w:val="21"/>
          <w:highlight w:val="none"/>
          <w:lang w:eastAsia="zh-CN" w:bidi="ar"/>
        </w:rPr>
        <w:t>：</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1</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基础功能：</w:t>
      </w:r>
      <w:r>
        <w:rPr>
          <w:rFonts w:hint="eastAsia" w:ascii="宋体" w:hAnsi="宋体" w:eastAsia="宋体" w:cs="宋体"/>
          <w:color w:val="auto"/>
          <w:kern w:val="0"/>
          <w:szCs w:val="21"/>
          <w:highlight w:val="none"/>
          <w:lang w:val="en-US" w:eastAsia="zh-CN" w:bidi="ar"/>
        </w:rPr>
        <w:t>①</w:t>
      </w:r>
      <w:r>
        <w:rPr>
          <w:rFonts w:hint="eastAsia" w:ascii="宋体" w:hAnsi="宋体" w:eastAsia="宋体" w:cs="宋体"/>
          <w:color w:val="auto"/>
          <w:kern w:val="0"/>
          <w:szCs w:val="21"/>
          <w:highlight w:val="none"/>
          <w:lang w:bidi="ar"/>
        </w:rPr>
        <w:t>M-LAG功能测试：支持M-LAG技术，要求配对的设备有独立的控制平面，且能够通过独立图形化界面进行配置管理。</w:t>
      </w:r>
      <w:r>
        <w:rPr>
          <w:rFonts w:hint="eastAsia" w:ascii="宋体" w:hAnsi="宋体" w:eastAsia="宋体" w:cs="宋体"/>
          <w:color w:val="auto"/>
          <w:kern w:val="0"/>
          <w:szCs w:val="21"/>
          <w:highlight w:val="none"/>
          <w:lang w:val="en-US" w:eastAsia="zh-CN" w:bidi="ar"/>
        </w:rPr>
        <w:t>②</w:t>
      </w:r>
      <w:r>
        <w:rPr>
          <w:rFonts w:hint="eastAsia" w:ascii="宋体" w:hAnsi="宋体" w:eastAsia="宋体" w:cs="宋体"/>
          <w:color w:val="auto"/>
          <w:kern w:val="0"/>
          <w:szCs w:val="21"/>
          <w:highlight w:val="none"/>
          <w:lang w:bidi="ar"/>
        </w:rPr>
        <w:t>堆叠功能：支持堆叠虚拟化组网。</w:t>
      </w:r>
      <w:r>
        <w:rPr>
          <w:rFonts w:hint="eastAsia" w:ascii="宋体" w:hAnsi="宋体" w:eastAsia="宋体" w:cs="宋体"/>
          <w:color w:val="auto"/>
          <w:kern w:val="0"/>
          <w:szCs w:val="21"/>
          <w:highlight w:val="none"/>
          <w:lang w:val="en-US" w:eastAsia="zh-CN" w:bidi="ar"/>
        </w:rPr>
        <w:t>③</w:t>
      </w:r>
      <w:r>
        <w:rPr>
          <w:rFonts w:hint="eastAsia" w:ascii="宋体" w:hAnsi="宋体" w:eastAsia="宋体" w:cs="宋体"/>
          <w:color w:val="auto"/>
          <w:kern w:val="0"/>
          <w:szCs w:val="21"/>
          <w:highlight w:val="none"/>
          <w:lang w:bidi="ar"/>
        </w:rPr>
        <w:t>交换机支持MAC地址自动学习；支持源MAC地址过滤；支持接口MAC地址学习个数限制。</w:t>
      </w:r>
      <w:r>
        <w:rPr>
          <w:rFonts w:hint="eastAsia" w:ascii="宋体" w:hAnsi="宋体" w:eastAsia="宋体" w:cs="宋体"/>
          <w:color w:val="auto"/>
          <w:kern w:val="0"/>
          <w:szCs w:val="21"/>
          <w:highlight w:val="none"/>
          <w:lang w:val="en-US" w:eastAsia="zh-CN" w:bidi="ar"/>
        </w:rPr>
        <w:t>④</w:t>
      </w:r>
      <w:r>
        <w:rPr>
          <w:rFonts w:hint="eastAsia" w:ascii="宋体" w:hAnsi="宋体" w:eastAsia="宋体" w:cs="宋体"/>
          <w:color w:val="auto"/>
          <w:kern w:val="0"/>
          <w:szCs w:val="21"/>
          <w:highlight w:val="none"/>
          <w:lang w:bidi="ar"/>
        </w:rPr>
        <w:t>交换机支持IGMP v1/v2/v3 Snooping功能。</w:t>
      </w:r>
      <w:r>
        <w:rPr>
          <w:rFonts w:hint="eastAsia" w:ascii="宋体" w:hAnsi="宋体" w:eastAsia="宋体" w:cs="宋体"/>
          <w:color w:val="auto"/>
          <w:kern w:val="0"/>
          <w:szCs w:val="21"/>
          <w:highlight w:val="none"/>
          <w:lang w:val="en-US" w:eastAsia="zh-CN" w:bidi="ar"/>
        </w:rPr>
        <w:t>⑤</w:t>
      </w:r>
      <w:r>
        <w:rPr>
          <w:rFonts w:hint="eastAsia" w:ascii="宋体" w:hAnsi="宋体" w:eastAsia="宋体" w:cs="宋体"/>
          <w:color w:val="auto"/>
          <w:kern w:val="0"/>
          <w:szCs w:val="21"/>
          <w:highlight w:val="none"/>
          <w:lang w:bidi="ar"/>
        </w:rPr>
        <w:t>生成树协议功能：交换机支持STP、RSTP、MSTP协议功能。</w:t>
      </w:r>
      <w:r>
        <w:rPr>
          <w:rFonts w:hint="eastAsia" w:ascii="宋体" w:hAnsi="宋体" w:eastAsia="宋体" w:cs="宋体"/>
          <w:color w:val="auto"/>
          <w:kern w:val="0"/>
          <w:szCs w:val="21"/>
          <w:highlight w:val="none"/>
          <w:lang w:val="en-US" w:eastAsia="zh-CN" w:bidi="ar"/>
        </w:rPr>
        <w:t>⑥</w:t>
      </w:r>
      <w:r>
        <w:rPr>
          <w:rFonts w:hint="eastAsia" w:ascii="宋体" w:hAnsi="宋体" w:eastAsia="宋体" w:cs="宋体"/>
          <w:color w:val="auto"/>
          <w:kern w:val="0"/>
          <w:szCs w:val="21"/>
          <w:highlight w:val="none"/>
          <w:lang w:bidi="ar"/>
        </w:rPr>
        <w:t>端口聚合功能：交换机支持端口聚合，支持手工和静态LACP。</w:t>
      </w:r>
      <w:r>
        <w:rPr>
          <w:rFonts w:hint="eastAsia" w:ascii="宋体" w:hAnsi="宋体" w:eastAsia="宋体" w:cs="宋体"/>
          <w:color w:val="auto"/>
          <w:kern w:val="0"/>
          <w:szCs w:val="21"/>
          <w:highlight w:val="none"/>
          <w:lang w:val="en-US" w:eastAsia="zh-CN" w:bidi="ar"/>
        </w:rPr>
        <w:t>⑦</w:t>
      </w:r>
      <w:r>
        <w:rPr>
          <w:rFonts w:hint="eastAsia" w:ascii="宋体" w:hAnsi="宋体" w:eastAsia="宋体" w:cs="宋体"/>
          <w:color w:val="auto"/>
          <w:kern w:val="0"/>
          <w:szCs w:val="21"/>
          <w:highlight w:val="none"/>
          <w:lang w:bidi="ar"/>
        </w:rPr>
        <w:t>DHCP功能：交换机支持DHCP</w:t>
      </w:r>
      <w:r>
        <w:rPr>
          <w:rFonts w:hint="eastAsia" w:ascii="宋体" w:hAnsi="宋体" w:eastAsia="宋体" w:cs="宋体"/>
          <w:color w:val="auto"/>
          <w:kern w:val="0"/>
          <w:szCs w:val="21"/>
          <w:highlight w:val="none"/>
          <w:lang w:val="en-US" w:eastAsia="zh-CN" w:bidi="ar"/>
        </w:rPr>
        <w:t>功能</w:t>
      </w:r>
      <w:r>
        <w:rPr>
          <w:rFonts w:hint="eastAsia" w:ascii="宋体" w:hAnsi="宋体" w:eastAsia="宋体" w:cs="宋体"/>
          <w:color w:val="auto"/>
          <w:kern w:val="0"/>
          <w:szCs w:val="21"/>
          <w:highlight w:val="none"/>
          <w:lang w:bidi="ar"/>
        </w:rPr>
        <w:t>。</w:t>
      </w:r>
      <w:r>
        <w:rPr>
          <w:rFonts w:hint="eastAsia" w:ascii="宋体" w:hAnsi="宋体" w:eastAsia="宋体" w:cs="宋体"/>
          <w:color w:val="auto"/>
          <w:kern w:val="0"/>
          <w:szCs w:val="21"/>
          <w:highlight w:val="none"/>
          <w:lang w:val="en-US" w:eastAsia="zh-CN" w:bidi="ar"/>
        </w:rPr>
        <w:t>⑧</w:t>
      </w:r>
      <w:r>
        <w:rPr>
          <w:rFonts w:hint="eastAsia" w:ascii="宋体" w:hAnsi="宋体" w:eastAsia="宋体" w:cs="宋体"/>
          <w:color w:val="auto"/>
          <w:kern w:val="0"/>
          <w:szCs w:val="21"/>
          <w:highlight w:val="none"/>
          <w:lang w:bidi="ar"/>
        </w:rPr>
        <w:t xml:space="preserve">交换机的DHCP Snooping 功能支持：交换机支持DHCP Snooping </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支持交换机端口设置为信任端口或非信任端口，非信任端口也可设置白名单响应DHCP报文。</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2</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业务可视化功能：</w:t>
      </w:r>
      <w:r>
        <w:rPr>
          <w:rFonts w:hint="eastAsia" w:ascii="宋体" w:hAnsi="宋体" w:eastAsia="宋体" w:cs="宋体"/>
          <w:color w:val="auto"/>
          <w:kern w:val="0"/>
          <w:szCs w:val="21"/>
          <w:highlight w:val="none"/>
          <w:lang w:val="en-US" w:eastAsia="zh-CN" w:bidi="ar"/>
        </w:rPr>
        <w:t>①</w:t>
      </w:r>
      <w:r>
        <w:rPr>
          <w:rFonts w:hint="eastAsia" w:ascii="宋体" w:hAnsi="宋体" w:eastAsia="宋体" w:cs="宋体"/>
          <w:color w:val="auto"/>
          <w:kern w:val="0"/>
          <w:szCs w:val="21"/>
          <w:highlight w:val="none"/>
          <w:lang w:bidi="ar"/>
        </w:rPr>
        <w:t>终端类型可视化：交换机支持终端类型库，基于指纹终端识别库自动识别PC、路由器、摄像头设备、无线AP等。</w:t>
      </w:r>
      <w:r>
        <w:rPr>
          <w:rFonts w:hint="eastAsia" w:ascii="宋体" w:hAnsi="宋体" w:eastAsia="宋体" w:cs="宋体"/>
          <w:color w:val="auto"/>
          <w:kern w:val="0"/>
          <w:szCs w:val="21"/>
          <w:highlight w:val="none"/>
          <w:lang w:val="en-US" w:eastAsia="zh-CN" w:bidi="ar"/>
        </w:rPr>
        <w:t>②</w:t>
      </w:r>
      <w:r>
        <w:rPr>
          <w:rFonts w:hint="eastAsia" w:ascii="宋体" w:hAnsi="宋体" w:eastAsia="宋体" w:cs="宋体"/>
          <w:color w:val="auto"/>
          <w:kern w:val="0"/>
          <w:szCs w:val="21"/>
          <w:highlight w:val="none"/>
          <w:lang w:bidi="ar"/>
        </w:rPr>
        <w:t>交换机运行状态可视化。</w:t>
      </w:r>
      <w:r>
        <w:rPr>
          <w:rFonts w:hint="eastAsia" w:ascii="宋体" w:hAnsi="宋体" w:eastAsia="宋体" w:cs="宋体"/>
          <w:color w:val="auto"/>
          <w:kern w:val="0"/>
          <w:szCs w:val="21"/>
          <w:highlight w:val="none"/>
          <w:lang w:val="en-US" w:eastAsia="zh-CN" w:bidi="ar"/>
        </w:rPr>
        <w:t>③</w:t>
      </w:r>
      <w:r>
        <w:rPr>
          <w:rFonts w:hint="eastAsia" w:ascii="宋体" w:hAnsi="宋体" w:eastAsia="宋体" w:cs="宋体"/>
          <w:color w:val="auto"/>
          <w:kern w:val="0"/>
          <w:szCs w:val="21"/>
          <w:highlight w:val="none"/>
          <w:lang w:bidi="ar"/>
        </w:rPr>
        <w:t>交换机画像可视化。</w:t>
      </w:r>
      <w:r>
        <w:rPr>
          <w:rFonts w:hint="eastAsia" w:ascii="宋体" w:hAnsi="宋体" w:eastAsia="宋体" w:cs="宋体"/>
          <w:color w:val="auto"/>
          <w:kern w:val="0"/>
          <w:szCs w:val="21"/>
          <w:highlight w:val="none"/>
          <w:lang w:val="en-US" w:eastAsia="zh-CN" w:bidi="ar"/>
        </w:rPr>
        <w:t>④</w:t>
      </w:r>
      <w:r>
        <w:rPr>
          <w:rFonts w:hint="eastAsia" w:ascii="宋体" w:hAnsi="宋体" w:eastAsia="宋体" w:cs="宋体"/>
          <w:color w:val="auto"/>
          <w:kern w:val="0"/>
          <w:szCs w:val="21"/>
          <w:highlight w:val="none"/>
          <w:lang w:bidi="ar"/>
        </w:rPr>
        <w:t>终端业务可视化。</w:t>
      </w:r>
      <w:r>
        <w:rPr>
          <w:rFonts w:hint="eastAsia" w:ascii="宋体" w:hAnsi="宋体" w:eastAsia="宋体" w:cs="宋体"/>
          <w:color w:val="auto"/>
          <w:kern w:val="0"/>
          <w:szCs w:val="21"/>
          <w:highlight w:val="none"/>
          <w:lang w:val="en-US" w:eastAsia="zh-CN" w:bidi="ar"/>
        </w:rPr>
        <w:t>⑤</w:t>
      </w:r>
      <w:r>
        <w:rPr>
          <w:rFonts w:hint="eastAsia" w:ascii="宋体" w:hAnsi="宋体" w:eastAsia="宋体" w:cs="宋体"/>
          <w:color w:val="auto"/>
          <w:kern w:val="0"/>
          <w:szCs w:val="21"/>
          <w:highlight w:val="none"/>
          <w:lang w:bidi="ar"/>
        </w:rPr>
        <w:t>IP地址池可视化。</w:t>
      </w:r>
      <w:r>
        <w:rPr>
          <w:rFonts w:hint="eastAsia" w:ascii="宋体" w:hAnsi="宋体" w:eastAsia="宋体" w:cs="宋体"/>
          <w:color w:val="auto"/>
          <w:kern w:val="0"/>
          <w:szCs w:val="21"/>
          <w:highlight w:val="none"/>
          <w:lang w:val="en-US" w:eastAsia="zh-CN" w:bidi="ar"/>
        </w:rPr>
        <w:t>⑥</w:t>
      </w:r>
      <w:r>
        <w:rPr>
          <w:rFonts w:hint="eastAsia" w:ascii="宋体" w:hAnsi="宋体" w:eastAsia="宋体" w:cs="宋体"/>
          <w:color w:val="auto"/>
          <w:kern w:val="0"/>
          <w:szCs w:val="21"/>
          <w:highlight w:val="none"/>
          <w:lang w:bidi="ar"/>
        </w:rPr>
        <w:t>DHCP地址锁定：交换机支持DHCP地址锁定。</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3</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自动化部署和管理：</w:t>
      </w:r>
      <w:r>
        <w:rPr>
          <w:rFonts w:hint="eastAsia" w:ascii="宋体" w:hAnsi="宋体" w:eastAsia="宋体" w:cs="宋体"/>
          <w:color w:val="auto"/>
          <w:kern w:val="0"/>
          <w:szCs w:val="21"/>
          <w:highlight w:val="none"/>
          <w:lang w:val="en-US" w:eastAsia="zh-CN" w:bidi="ar"/>
        </w:rPr>
        <w:t>①</w:t>
      </w:r>
      <w:r>
        <w:rPr>
          <w:rFonts w:hint="eastAsia" w:ascii="宋体" w:hAnsi="宋体" w:eastAsia="宋体" w:cs="宋体"/>
          <w:color w:val="auto"/>
          <w:kern w:val="0"/>
          <w:szCs w:val="21"/>
          <w:highlight w:val="none"/>
          <w:lang w:bidi="ar"/>
        </w:rPr>
        <w:t>交换机支持二层上线技术：交换机支持二层广播自动发现网管中心平台。</w:t>
      </w:r>
      <w:r>
        <w:rPr>
          <w:rFonts w:hint="eastAsia" w:ascii="宋体" w:hAnsi="宋体" w:eastAsia="宋体" w:cs="宋体"/>
          <w:color w:val="auto"/>
          <w:kern w:val="0"/>
          <w:szCs w:val="21"/>
          <w:highlight w:val="none"/>
          <w:lang w:val="en-US" w:eastAsia="zh-CN" w:bidi="ar"/>
        </w:rPr>
        <w:t>②</w:t>
      </w:r>
      <w:r>
        <w:rPr>
          <w:rFonts w:hint="eastAsia" w:ascii="宋体" w:hAnsi="宋体" w:eastAsia="宋体" w:cs="宋体"/>
          <w:color w:val="auto"/>
          <w:kern w:val="0"/>
          <w:szCs w:val="21"/>
          <w:highlight w:val="none"/>
          <w:lang w:bidi="ar"/>
        </w:rPr>
        <w:t>交换机支持静态IP三层上线技术：交换机支持静态IP三层发现网管中心并上线。</w:t>
      </w:r>
      <w:r>
        <w:rPr>
          <w:rFonts w:hint="eastAsia" w:ascii="宋体" w:hAnsi="宋体" w:eastAsia="宋体" w:cs="宋体"/>
          <w:color w:val="auto"/>
          <w:kern w:val="0"/>
          <w:szCs w:val="21"/>
          <w:highlight w:val="none"/>
          <w:lang w:val="en-US" w:eastAsia="zh-CN" w:bidi="ar"/>
        </w:rPr>
        <w:t>③</w:t>
      </w:r>
      <w:r>
        <w:rPr>
          <w:rFonts w:hint="eastAsia" w:ascii="宋体" w:hAnsi="宋体" w:eastAsia="宋体" w:cs="宋体"/>
          <w:color w:val="auto"/>
          <w:kern w:val="0"/>
          <w:szCs w:val="21"/>
          <w:highlight w:val="none"/>
          <w:lang w:bidi="ar"/>
        </w:rPr>
        <w:t>交换机支持DHCP option43方式上线技术：交换机支持DHCP option43方式自动发现网管中心平台。</w:t>
      </w:r>
      <w:r>
        <w:rPr>
          <w:rFonts w:hint="eastAsia" w:ascii="宋体" w:hAnsi="宋体" w:eastAsia="宋体" w:cs="宋体"/>
          <w:color w:val="auto"/>
          <w:kern w:val="0"/>
          <w:szCs w:val="21"/>
          <w:highlight w:val="none"/>
          <w:lang w:val="en-US" w:eastAsia="zh-CN" w:bidi="ar"/>
        </w:rPr>
        <w:t>④</w:t>
      </w:r>
      <w:r>
        <w:rPr>
          <w:rFonts w:hint="eastAsia" w:ascii="宋体" w:hAnsi="宋体" w:eastAsia="宋体" w:cs="宋体"/>
          <w:color w:val="auto"/>
          <w:kern w:val="0"/>
          <w:szCs w:val="21"/>
          <w:highlight w:val="none"/>
          <w:lang w:bidi="ar"/>
        </w:rPr>
        <w:t>交换机支持DNS域名上线技术：交换机支持DNS方式自动发现网管中心平台。</w:t>
      </w:r>
      <w:r>
        <w:rPr>
          <w:rFonts w:hint="eastAsia" w:ascii="宋体" w:hAnsi="宋体" w:eastAsia="宋体" w:cs="宋体"/>
          <w:color w:val="auto"/>
          <w:kern w:val="0"/>
          <w:szCs w:val="21"/>
          <w:highlight w:val="none"/>
          <w:lang w:val="en-US" w:eastAsia="zh-CN" w:bidi="ar"/>
        </w:rPr>
        <w:t>⑤</w:t>
      </w:r>
      <w:r>
        <w:rPr>
          <w:rFonts w:hint="eastAsia" w:ascii="宋体" w:hAnsi="宋体" w:eastAsia="宋体" w:cs="宋体"/>
          <w:color w:val="auto"/>
          <w:kern w:val="0"/>
          <w:szCs w:val="21"/>
          <w:highlight w:val="none"/>
          <w:lang w:bidi="ar"/>
        </w:rPr>
        <w:t>交换机支持代理上线技术：交换机支持代理发现技术，可以通过代理交换机在网管中心平台上自动发现。</w:t>
      </w:r>
      <w:r>
        <w:rPr>
          <w:rFonts w:hint="eastAsia" w:ascii="宋体" w:hAnsi="宋体" w:eastAsia="宋体" w:cs="宋体"/>
          <w:color w:val="auto"/>
          <w:kern w:val="0"/>
          <w:szCs w:val="21"/>
          <w:highlight w:val="none"/>
          <w:lang w:val="en-US" w:eastAsia="zh-CN" w:bidi="ar"/>
        </w:rPr>
        <w:t>⑥</w:t>
      </w:r>
      <w:r>
        <w:rPr>
          <w:rFonts w:hint="eastAsia" w:ascii="宋体" w:hAnsi="宋体" w:eastAsia="宋体" w:cs="宋体"/>
          <w:color w:val="auto"/>
          <w:kern w:val="0"/>
          <w:szCs w:val="21"/>
          <w:highlight w:val="none"/>
          <w:lang w:bidi="ar"/>
        </w:rPr>
        <w:t>交换机支持云部署方式上线技术。</w:t>
      </w:r>
      <w:r>
        <w:rPr>
          <w:rFonts w:hint="eastAsia" w:ascii="宋体" w:hAnsi="宋体" w:eastAsia="宋体" w:cs="宋体"/>
          <w:color w:val="auto"/>
          <w:kern w:val="0"/>
          <w:szCs w:val="21"/>
          <w:highlight w:val="none"/>
          <w:lang w:val="en-US" w:eastAsia="zh-CN" w:bidi="ar"/>
        </w:rPr>
        <w:t>⑦</w:t>
      </w:r>
      <w:r>
        <w:rPr>
          <w:rFonts w:hint="eastAsia" w:ascii="宋体" w:hAnsi="宋体" w:eastAsia="宋体" w:cs="宋体"/>
          <w:color w:val="auto"/>
          <w:kern w:val="0"/>
          <w:szCs w:val="21"/>
          <w:highlight w:val="none"/>
          <w:lang w:bidi="ar"/>
        </w:rPr>
        <w:t>交换机支持webagent代理服务器部署上线。</w:t>
      </w:r>
      <w:r>
        <w:rPr>
          <w:rFonts w:hint="eastAsia" w:ascii="宋体" w:hAnsi="宋体" w:eastAsia="宋体" w:cs="宋体"/>
          <w:color w:val="auto"/>
          <w:kern w:val="0"/>
          <w:szCs w:val="21"/>
          <w:highlight w:val="none"/>
          <w:lang w:val="en-US" w:eastAsia="zh-CN" w:bidi="ar"/>
        </w:rPr>
        <w:t>⑧</w:t>
      </w:r>
      <w:r>
        <w:rPr>
          <w:rFonts w:hint="eastAsia" w:ascii="宋体" w:hAnsi="宋体" w:eastAsia="宋体" w:cs="宋体"/>
          <w:color w:val="auto"/>
          <w:kern w:val="0"/>
          <w:szCs w:val="21"/>
          <w:highlight w:val="none"/>
          <w:lang w:bidi="ar"/>
        </w:rPr>
        <w:t>交换机支持自动修复，提高容错率。</w:t>
      </w:r>
      <w:r>
        <w:rPr>
          <w:rFonts w:hint="eastAsia" w:ascii="宋体" w:hAnsi="宋体" w:eastAsia="宋体" w:cs="宋体"/>
          <w:color w:val="auto"/>
          <w:kern w:val="0"/>
          <w:szCs w:val="21"/>
          <w:highlight w:val="none"/>
          <w:lang w:val="en-US" w:eastAsia="zh-CN" w:bidi="ar"/>
        </w:rPr>
        <w:t>⑨</w:t>
      </w:r>
      <w:r>
        <w:rPr>
          <w:rFonts w:hint="eastAsia" w:ascii="宋体" w:hAnsi="宋体" w:eastAsia="宋体" w:cs="宋体"/>
          <w:color w:val="auto"/>
          <w:kern w:val="0"/>
          <w:szCs w:val="21"/>
          <w:highlight w:val="none"/>
          <w:lang w:bidi="ar"/>
        </w:rPr>
        <w:t>交换机工作模式管理：交换机支持智能交换机和普通交换机两种工作模式，可以根据不同的组网需要灵活的进行切换。</w:t>
      </w:r>
      <w:r>
        <w:rPr>
          <w:rFonts w:hint="eastAsia" w:ascii="宋体" w:hAnsi="宋体" w:eastAsia="宋体" w:cs="宋体"/>
          <w:color w:val="auto"/>
          <w:kern w:val="0"/>
          <w:szCs w:val="21"/>
          <w:highlight w:val="none"/>
          <w:lang w:val="en-US" w:eastAsia="zh-CN" w:bidi="ar"/>
        </w:rPr>
        <w:t>⑩</w:t>
      </w:r>
      <w:r>
        <w:rPr>
          <w:rFonts w:hint="eastAsia" w:ascii="宋体" w:hAnsi="宋体" w:eastAsia="宋体" w:cs="宋体"/>
          <w:color w:val="auto"/>
          <w:kern w:val="0"/>
          <w:szCs w:val="21"/>
          <w:highlight w:val="none"/>
          <w:lang w:bidi="ar"/>
        </w:rPr>
        <w:t>拓扑自动生成和编辑管理：交换机拓扑自动生成和编辑，用户可以通过浏览拓扑视图了解交换机的层次结构和运行状态，并进行管理。</w:t>
      </w:r>
      <w:r>
        <w:rPr>
          <w:rFonts w:hint="eastAsia" w:ascii="宋体" w:hAnsi="宋体" w:eastAsia="宋体" w:cs="宋体"/>
          <w:color w:val="auto"/>
          <w:kern w:val="0"/>
          <w:szCs w:val="21"/>
          <w:highlight w:val="none"/>
          <w:lang w:val="en-US" w:eastAsia="zh-CN" w:bidi="ar"/>
        </w:rPr>
        <w:fldChar w:fldCharType="begin"/>
      </w:r>
      <w:r>
        <w:rPr>
          <w:rFonts w:hint="eastAsia" w:ascii="宋体" w:hAnsi="宋体" w:eastAsia="宋体" w:cs="宋体"/>
          <w:color w:val="auto"/>
          <w:kern w:val="0"/>
          <w:szCs w:val="21"/>
          <w:highlight w:val="none"/>
          <w:lang w:val="en-US" w:eastAsia="zh-CN" w:bidi="ar"/>
        </w:rPr>
        <w:instrText xml:space="preserve"> EQ \o\ac(</w:instrText>
      </w:r>
      <w:r>
        <w:rPr>
          <w:rFonts w:hint="eastAsia" w:ascii="宋体" w:hAnsi="宋体" w:eastAsia="宋体" w:cs="宋体"/>
          <w:color w:val="auto"/>
          <w:kern w:val="0"/>
          <w:sz w:val="21"/>
          <w:szCs w:val="21"/>
          <w:highlight w:val="none"/>
          <w:lang w:val="en-US" w:eastAsia="zh-CN" w:bidi="ar"/>
        </w:rPr>
        <w:instrText xml:space="preserve">○</w:instrText>
      </w:r>
      <w:r>
        <w:rPr>
          <w:rFonts w:hint="eastAsia" w:ascii="宋体" w:hAnsi="宋体" w:eastAsia="宋体" w:cs="宋体"/>
          <w:color w:val="auto"/>
          <w:kern w:val="0"/>
          <w:szCs w:val="21"/>
          <w:highlight w:val="none"/>
          <w:lang w:val="en-US" w:eastAsia="zh-CN" w:bidi="ar"/>
        </w:rPr>
        <w:instrText xml:space="preserve">,</w:instrText>
      </w:r>
      <w:r>
        <w:rPr>
          <w:rFonts w:hint="eastAsia" w:ascii="宋体" w:hAnsi="宋体" w:eastAsia="宋体" w:cs="宋体"/>
          <w:color w:val="auto"/>
          <w:kern w:val="0"/>
          <w:position w:val="2"/>
          <w:sz w:val="14"/>
          <w:szCs w:val="21"/>
          <w:highlight w:val="none"/>
          <w:lang w:val="en-US" w:eastAsia="zh-CN" w:bidi="ar"/>
        </w:rPr>
        <w:instrText xml:space="preserve">11</w:instrText>
      </w:r>
      <w:r>
        <w:rPr>
          <w:rFonts w:hint="eastAsia" w:ascii="宋体" w:hAnsi="宋体" w:eastAsia="宋体" w:cs="宋体"/>
          <w:color w:val="auto"/>
          <w:kern w:val="0"/>
          <w:szCs w:val="21"/>
          <w:highlight w:val="none"/>
          <w:lang w:val="en-US" w:eastAsia="zh-CN" w:bidi="ar"/>
        </w:rPr>
        <w:instrText xml:space="preserve">)</w:instrText>
      </w:r>
      <w:r>
        <w:rPr>
          <w:rFonts w:hint="eastAsia" w:ascii="宋体" w:hAnsi="宋体" w:eastAsia="宋体" w:cs="宋体"/>
          <w:color w:val="auto"/>
          <w:kern w:val="0"/>
          <w:szCs w:val="21"/>
          <w:highlight w:val="none"/>
          <w:lang w:val="en-US" w:eastAsia="zh-CN" w:bidi="ar"/>
        </w:rPr>
        <w:fldChar w:fldCharType="end"/>
      </w:r>
      <w:r>
        <w:rPr>
          <w:rFonts w:hint="eastAsia" w:ascii="宋体" w:hAnsi="宋体" w:eastAsia="宋体" w:cs="宋体"/>
          <w:color w:val="auto"/>
          <w:kern w:val="0"/>
          <w:szCs w:val="21"/>
          <w:highlight w:val="none"/>
          <w:lang w:bidi="ar"/>
        </w:rPr>
        <w:t>APP可视化管理：交换机支持通过APP进行远程管理，并且可以修改交换机网络配置。</w:t>
      </w:r>
      <w:r>
        <w:rPr>
          <w:rFonts w:hint="eastAsia" w:ascii="宋体" w:hAnsi="宋体" w:eastAsia="宋体" w:cs="宋体"/>
          <w:color w:val="auto"/>
          <w:kern w:val="0"/>
          <w:szCs w:val="21"/>
          <w:highlight w:val="none"/>
          <w:lang w:val="en-US" w:eastAsia="zh-CN" w:bidi="ar"/>
        </w:rPr>
        <w:fldChar w:fldCharType="begin"/>
      </w:r>
      <w:r>
        <w:rPr>
          <w:rFonts w:hint="eastAsia" w:ascii="宋体" w:hAnsi="宋体" w:eastAsia="宋体" w:cs="宋体"/>
          <w:color w:val="auto"/>
          <w:kern w:val="0"/>
          <w:szCs w:val="21"/>
          <w:highlight w:val="none"/>
          <w:lang w:val="en-US" w:eastAsia="zh-CN" w:bidi="ar"/>
        </w:rPr>
        <w:instrText xml:space="preserve"> EQ \o\ac(</w:instrText>
      </w:r>
      <w:r>
        <w:rPr>
          <w:rFonts w:hint="eastAsia" w:ascii="宋体" w:hAnsi="宋体" w:eastAsia="宋体" w:cs="宋体"/>
          <w:color w:val="auto"/>
          <w:kern w:val="0"/>
          <w:sz w:val="21"/>
          <w:szCs w:val="21"/>
          <w:highlight w:val="none"/>
          <w:lang w:val="en-US" w:eastAsia="zh-CN" w:bidi="ar"/>
        </w:rPr>
        <w:instrText xml:space="preserve">○</w:instrText>
      </w:r>
      <w:r>
        <w:rPr>
          <w:rFonts w:hint="eastAsia" w:ascii="宋体" w:hAnsi="宋体" w:eastAsia="宋体" w:cs="宋体"/>
          <w:color w:val="auto"/>
          <w:kern w:val="0"/>
          <w:szCs w:val="21"/>
          <w:highlight w:val="none"/>
          <w:lang w:val="en-US" w:eastAsia="zh-CN" w:bidi="ar"/>
        </w:rPr>
        <w:instrText xml:space="preserve">,</w:instrText>
      </w:r>
      <w:r>
        <w:rPr>
          <w:rFonts w:hint="eastAsia" w:ascii="宋体" w:hAnsi="宋体" w:eastAsia="宋体" w:cs="宋体"/>
          <w:color w:val="auto"/>
          <w:kern w:val="0"/>
          <w:position w:val="2"/>
          <w:sz w:val="14"/>
          <w:szCs w:val="21"/>
          <w:highlight w:val="none"/>
          <w:lang w:val="en-US" w:eastAsia="zh-CN" w:bidi="ar"/>
        </w:rPr>
        <w:instrText xml:space="preserve">12</w:instrText>
      </w:r>
      <w:r>
        <w:rPr>
          <w:rFonts w:hint="eastAsia" w:ascii="宋体" w:hAnsi="宋体" w:eastAsia="宋体" w:cs="宋体"/>
          <w:color w:val="auto"/>
          <w:kern w:val="0"/>
          <w:szCs w:val="21"/>
          <w:highlight w:val="none"/>
          <w:lang w:val="en-US" w:eastAsia="zh-CN" w:bidi="ar"/>
        </w:rPr>
        <w:instrText xml:space="preserve">)</w:instrText>
      </w:r>
      <w:r>
        <w:rPr>
          <w:rFonts w:hint="eastAsia" w:ascii="宋体" w:hAnsi="宋体" w:eastAsia="宋体" w:cs="宋体"/>
          <w:color w:val="auto"/>
          <w:kern w:val="0"/>
          <w:szCs w:val="21"/>
          <w:highlight w:val="none"/>
          <w:lang w:val="en-US" w:eastAsia="zh-CN" w:bidi="ar"/>
        </w:rPr>
        <w:fldChar w:fldCharType="end"/>
      </w:r>
      <w:r>
        <w:rPr>
          <w:rFonts w:hint="eastAsia" w:ascii="宋体" w:hAnsi="宋体" w:eastAsia="宋体" w:cs="宋体"/>
          <w:color w:val="auto"/>
          <w:kern w:val="0"/>
          <w:szCs w:val="21"/>
          <w:highlight w:val="none"/>
          <w:lang w:bidi="ar"/>
        </w:rPr>
        <w:t>交换机远程管理：支持通过网管中心平台跨广域网、NAT远程管理智能交换机。</w:t>
      </w:r>
      <w:r>
        <w:rPr>
          <w:rFonts w:hint="eastAsia" w:ascii="宋体" w:hAnsi="宋体" w:eastAsia="宋体" w:cs="宋体"/>
          <w:color w:val="auto"/>
          <w:kern w:val="0"/>
          <w:szCs w:val="21"/>
          <w:highlight w:val="none"/>
          <w:lang w:val="en-US" w:eastAsia="zh-CN" w:bidi="ar"/>
        </w:rPr>
        <w:fldChar w:fldCharType="begin"/>
      </w:r>
      <w:r>
        <w:rPr>
          <w:rFonts w:hint="eastAsia" w:ascii="宋体" w:hAnsi="宋体" w:eastAsia="宋体" w:cs="宋体"/>
          <w:color w:val="auto"/>
          <w:kern w:val="0"/>
          <w:szCs w:val="21"/>
          <w:highlight w:val="none"/>
          <w:lang w:val="en-US" w:eastAsia="zh-CN" w:bidi="ar"/>
        </w:rPr>
        <w:instrText xml:space="preserve"> EQ \o\ac(</w:instrText>
      </w:r>
      <w:r>
        <w:rPr>
          <w:rFonts w:hint="eastAsia" w:ascii="宋体" w:hAnsi="宋体" w:eastAsia="宋体" w:cs="宋体"/>
          <w:color w:val="auto"/>
          <w:kern w:val="0"/>
          <w:sz w:val="21"/>
          <w:szCs w:val="21"/>
          <w:highlight w:val="none"/>
          <w:lang w:val="en-US" w:eastAsia="zh-CN" w:bidi="ar"/>
        </w:rPr>
        <w:instrText xml:space="preserve">○</w:instrText>
      </w:r>
      <w:r>
        <w:rPr>
          <w:rFonts w:hint="eastAsia" w:ascii="宋体" w:hAnsi="宋体" w:eastAsia="宋体" w:cs="宋体"/>
          <w:color w:val="auto"/>
          <w:kern w:val="0"/>
          <w:szCs w:val="21"/>
          <w:highlight w:val="none"/>
          <w:lang w:val="en-US" w:eastAsia="zh-CN" w:bidi="ar"/>
        </w:rPr>
        <w:instrText xml:space="preserve">,</w:instrText>
      </w:r>
      <w:r>
        <w:rPr>
          <w:rFonts w:hint="eastAsia" w:ascii="宋体" w:hAnsi="宋体" w:eastAsia="宋体" w:cs="宋体"/>
          <w:color w:val="auto"/>
          <w:kern w:val="0"/>
          <w:position w:val="2"/>
          <w:sz w:val="14"/>
          <w:szCs w:val="21"/>
          <w:highlight w:val="none"/>
          <w:lang w:val="en-US" w:eastAsia="zh-CN" w:bidi="ar"/>
        </w:rPr>
        <w:instrText xml:space="preserve">13</w:instrText>
      </w:r>
      <w:r>
        <w:rPr>
          <w:rFonts w:hint="eastAsia" w:ascii="宋体" w:hAnsi="宋体" w:eastAsia="宋体" w:cs="宋体"/>
          <w:color w:val="auto"/>
          <w:kern w:val="0"/>
          <w:szCs w:val="21"/>
          <w:highlight w:val="none"/>
          <w:lang w:val="en-US" w:eastAsia="zh-CN" w:bidi="ar"/>
        </w:rPr>
        <w:instrText xml:space="preserve">)</w:instrText>
      </w:r>
      <w:r>
        <w:rPr>
          <w:rFonts w:hint="eastAsia" w:ascii="宋体" w:hAnsi="宋体" w:eastAsia="宋体" w:cs="宋体"/>
          <w:color w:val="auto"/>
          <w:kern w:val="0"/>
          <w:szCs w:val="21"/>
          <w:highlight w:val="none"/>
          <w:lang w:val="en-US" w:eastAsia="zh-CN" w:bidi="ar"/>
        </w:rPr>
        <w:fldChar w:fldCharType="end"/>
      </w:r>
      <w:r>
        <w:rPr>
          <w:rFonts w:hint="eastAsia" w:ascii="宋体" w:hAnsi="宋体" w:eastAsia="宋体" w:cs="宋体"/>
          <w:color w:val="auto"/>
          <w:kern w:val="0"/>
          <w:szCs w:val="21"/>
          <w:highlight w:val="none"/>
          <w:lang w:bidi="ar"/>
        </w:rPr>
        <w:t>交换机支持管理员分级管理。</w:t>
      </w:r>
      <w:r>
        <w:rPr>
          <w:rFonts w:hint="eastAsia" w:ascii="宋体" w:hAnsi="宋体" w:eastAsia="宋体" w:cs="宋体"/>
          <w:color w:val="auto"/>
          <w:kern w:val="0"/>
          <w:szCs w:val="21"/>
          <w:highlight w:val="none"/>
          <w:lang w:val="en-US" w:eastAsia="zh-CN" w:bidi="ar"/>
        </w:rPr>
        <w:fldChar w:fldCharType="begin"/>
      </w:r>
      <w:r>
        <w:rPr>
          <w:rFonts w:hint="eastAsia" w:ascii="宋体" w:hAnsi="宋体" w:eastAsia="宋体" w:cs="宋体"/>
          <w:color w:val="auto"/>
          <w:kern w:val="0"/>
          <w:szCs w:val="21"/>
          <w:highlight w:val="none"/>
          <w:lang w:val="en-US" w:eastAsia="zh-CN" w:bidi="ar"/>
        </w:rPr>
        <w:instrText xml:space="preserve"> EQ \o\ac(</w:instrText>
      </w:r>
      <w:r>
        <w:rPr>
          <w:rFonts w:hint="eastAsia" w:ascii="宋体" w:hAnsi="宋体" w:eastAsia="宋体" w:cs="宋体"/>
          <w:color w:val="auto"/>
          <w:kern w:val="0"/>
          <w:sz w:val="21"/>
          <w:szCs w:val="21"/>
          <w:highlight w:val="none"/>
          <w:lang w:val="en-US" w:eastAsia="zh-CN" w:bidi="ar"/>
        </w:rPr>
        <w:instrText xml:space="preserve">○</w:instrText>
      </w:r>
      <w:r>
        <w:rPr>
          <w:rFonts w:hint="eastAsia" w:ascii="宋体" w:hAnsi="宋体" w:eastAsia="宋体" w:cs="宋体"/>
          <w:color w:val="auto"/>
          <w:kern w:val="0"/>
          <w:szCs w:val="21"/>
          <w:highlight w:val="none"/>
          <w:lang w:val="en-US" w:eastAsia="zh-CN" w:bidi="ar"/>
        </w:rPr>
        <w:instrText xml:space="preserve">,</w:instrText>
      </w:r>
      <w:r>
        <w:rPr>
          <w:rFonts w:hint="eastAsia" w:ascii="宋体" w:hAnsi="宋体" w:eastAsia="宋体" w:cs="宋体"/>
          <w:color w:val="auto"/>
          <w:kern w:val="0"/>
          <w:position w:val="2"/>
          <w:sz w:val="14"/>
          <w:szCs w:val="21"/>
          <w:highlight w:val="none"/>
          <w:lang w:val="en-US" w:eastAsia="zh-CN" w:bidi="ar"/>
        </w:rPr>
        <w:instrText xml:space="preserve">14</w:instrText>
      </w:r>
      <w:r>
        <w:rPr>
          <w:rFonts w:hint="eastAsia" w:ascii="宋体" w:hAnsi="宋体" w:eastAsia="宋体" w:cs="宋体"/>
          <w:color w:val="auto"/>
          <w:kern w:val="0"/>
          <w:szCs w:val="21"/>
          <w:highlight w:val="none"/>
          <w:lang w:val="en-US" w:eastAsia="zh-CN" w:bidi="ar"/>
        </w:rPr>
        <w:instrText xml:space="preserve">)</w:instrText>
      </w:r>
      <w:r>
        <w:rPr>
          <w:rFonts w:hint="eastAsia" w:ascii="宋体" w:hAnsi="宋体" w:eastAsia="宋体" w:cs="宋体"/>
          <w:color w:val="auto"/>
          <w:kern w:val="0"/>
          <w:szCs w:val="21"/>
          <w:highlight w:val="none"/>
          <w:lang w:val="en-US" w:eastAsia="zh-CN" w:bidi="ar"/>
        </w:rPr>
        <w:fldChar w:fldCharType="end"/>
      </w:r>
      <w:r>
        <w:rPr>
          <w:rFonts w:hint="eastAsia" w:ascii="宋体" w:hAnsi="宋体" w:eastAsia="宋体" w:cs="宋体"/>
          <w:color w:val="auto"/>
          <w:kern w:val="0"/>
          <w:szCs w:val="21"/>
          <w:highlight w:val="none"/>
          <w:lang w:bidi="ar"/>
        </w:rPr>
        <w:t>交换机一键替换功能：交换机支持通过网管中心平台一键替换“按钮”即可完成故障设备替换。</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4</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认证功能：</w:t>
      </w:r>
      <w:r>
        <w:rPr>
          <w:rFonts w:hint="eastAsia" w:ascii="宋体" w:hAnsi="宋体" w:eastAsia="宋体" w:cs="宋体"/>
          <w:color w:val="auto"/>
          <w:kern w:val="0"/>
          <w:szCs w:val="21"/>
          <w:highlight w:val="none"/>
          <w:lang w:val="en-US" w:eastAsia="zh-CN" w:bidi="ar"/>
        </w:rPr>
        <w:t>①</w:t>
      </w:r>
      <w:r>
        <w:rPr>
          <w:rFonts w:hint="eastAsia" w:ascii="宋体" w:hAnsi="宋体" w:eastAsia="宋体" w:cs="宋体"/>
          <w:color w:val="auto"/>
          <w:kern w:val="0"/>
          <w:szCs w:val="21"/>
          <w:highlight w:val="none"/>
          <w:lang w:bidi="ar"/>
        </w:rPr>
        <w:t>本地用户认证：交换机支持本地用户认证，并支持以下企业级身份认证功能：802.1x认证、Portal认证，免认证等认证方式。</w:t>
      </w:r>
      <w:r>
        <w:rPr>
          <w:rFonts w:hint="eastAsia" w:ascii="宋体" w:hAnsi="宋体" w:eastAsia="宋体" w:cs="宋体"/>
          <w:color w:val="auto"/>
          <w:kern w:val="0"/>
          <w:szCs w:val="21"/>
          <w:highlight w:val="none"/>
          <w:lang w:val="en-US" w:eastAsia="zh-CN" w:bidi="ar"/>
        </w:rPr>
        <w:t>②</w:t>
      </w:r>
      <w:r>
        <w:rPr>
          <w:rFonts w:hint="eastAsia" w:ascii="宋体" w:hAnsi="宋体" w:eastAsia="宋体" w:cs="宋体"/>
          <w:color w:val="auto"/>
          <w:kern w:val="0"/>
          <w:szCs w:val="21"/>
          <w:highlight w:val="none"/>
          <w:lang w:bidi="ar"/>
        </w:rPr>
        <w:t>外部服务器认证：交换机支持外部服务器认证，支持Radius、阿里钉钉、口袋助理认证等。</w:t>
      </w:r>
      <w:r>
        <w:rPr>
          <w:rFonts w:hint="eastAsia" w:ascii="宋体" w:hAnsi="宋体" w:eastAsia="宋体" w:cs="宋体"/>
          <w:color w:val="auto"/>
          <w:kern w:val="0"/>
          <w:szCs w:val="21"/>
          <w:highlight w:val="none"/>
          <w:lang w:val="en-US" w:eastAsia="zh-CN" w:bidi="ar"/>
        </w:rPr>
        <w:t>③</w:t>
      </w:r>
      <w:r>
        <w:rPr>
          <w:rFonts w:hint="eastAsia" w:ascii="宋体" w:hAnsi="宋体" w:eastAsia="宋体" w:cs="宋体"/>
          <w:color w:val="auto"/>
          <w:kern w:val="0"/>
          <w:szCs w:val="21"/>
          <w:highlight w:val="none"/>
          <w:lang w:bidi="ar"/>
        </w:rPr>
        <w:t>支持有线无线一体化授权：网管中心平台支持基于用户/用户组进行授权，可实现用户通过有线、无线接入具有相同的认证账号和上网权限。</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5</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安全功能：</w:t>
      </w:r>
      <w:r>
        <w:rPr>
          <w:rFonts w:hint="eastAsia" w:ascii="宋体" w:hAnsi="宋体" w:eastAsia="宋体" w:cs="宋体"/>
          <w:color w:val="auto"/>
          <w:kern w:val="0"/>
          <w:szCs w:val="21"/>
          <w:highlight w:val="none"/>
          <w:lang w:val="en-US" w:eastAsia="zh-CN" w:bidi="ar"/>
        </w:rPr>
        <w:t>①</w:t>
      </w:r>
      <w:r>
        <w:rPr>
          <w:rFonts w:hint="eastAsia" w:ascii="宋体" w:hAnsi="宋体" w:eastAsia="宋体" w:cs="宋体"/>
          <w:color w:val="auto"/>
          <w:kern w:val="0"/>
          <w:szCs w:val="21"/>
          <w:highlight w:val="none"/>
          <w:lang w:bidi="ar"/>
        </w:rPr>
        <w:t>交换机安全特性功能：交换机支持防网关ARP欺骗、支持端口保护、隔离、防止ARP泛洪攻击功能。</w:t>
      </w:r>
      <w:r>
        <w:rPr>
          <w:rFonts w:hint="eastAsia" w:ascii="宋体" w:hAnsi="宋体" w:eastAsia="宋体" w:cs="宋体"/>
          <w:color w:val="auto"/>
          <w:kern w:val="0"/>
          <w:szCs w:val="21"/>
          <w:highlight w:val="none"/>
          <w:lang w:val="en-US" w:eastAsia="zh-CN" w:bidi="ar"/>
        </w:rPr>
        <w:t>②</w:t>
      </w:r>
      <w:r>
        <w:rPr>
          <w:rFonts w:hint="eastAsia" w:ascii="宋体" w:hAnsi="宋体" w:eastAsia="宋体" w:cs="宋体"/>
          <w:color w:val="auto"/>
          <w:kern w:val="0"/>
          <w:szCs w:val="21"/>
          <w:highlight w:val="none"/>
          <w:lang w:bidi="ar"/>
        </w:rPr>
        <w:t>东西向流量安全：支持在交换机上创建东西向安全策略，实现全网安全风险拦截；并支持各个区域/角色流量互访记录并呈现，支持攻击源定位，检测到攻击源后根据策略将终端拉黑，防止终端持续攻击。</w:t>
      </w:r>
      <w:r>
        <w:rPr>
          <w:rFonts w:hint="eastAsia" w:ascii="宋体" w:hAnsi="宋体" w:eastAsia="宋体" w:cs="宋体"/>
          <w:color w:val="auto"/>
          <w:kern w:val="0"/>
          <w:szCs w:val="21"/>
          <w:highlight w:val="none"/>
          <w:lang w:val="en-US" w:eastAsia="zh-CN" w:bidi="ar"/>
        </w:rPr>
        <w:t>③</w:t>
      </w:r>
      <w:r>
        <w:rPr>
          <w:rFonts w:hint="eastAsia" w:ascii="宋体" w:hAnsi="宋体" w:eastAsia="宋体" w:cs="宋体"/>
          <w:color w:val="auto"/>
          <w:kern w:val="0"/>
          <w:szCs w:val="21"/>
          <w:highlight w:val="none"/>
          <w:lang w:bidi="ar"/>
        </w:rPr>
        <w:t>根据终端类型实现终端的准入：支持基于终端类型自动识别结果，禁止非法终端（例如私接路由器）接入；支持自定义接入终端类型、终端MAC白名单，对于非指定型接入终端可以通过短信通知、手机APP通知，并可同时可将终端加入黑名单冻结（以小时/分钟为单位）。</w:t>
      </w:r>
      <w:r>
        <w:rPr>
          <w:rFonts w:hint="eastAsia" w:ascii="宋体" w:hAnsi="宋体" w:eastAsia="宋体" w:cs="宋体"/>
          <w:color w:val="auto"/>
          <w:kern w:val="0"/>
          <w:szCs w:val="21"/>
          <w:highlight w:val="none"/>
          <w:lang w:val="en-US" w:eastAsia="zh-CN" w:bidi="ar"/>
        </w:rPr>
        <w:t>④</w:t>
      </w:r>
      <w:r>
        <w:rPr>
          <w:rFonts w:hint="eastAsia" w:ascii="宋体" w:hAnsi="宋体" w:eastAsia="宋体" w:cs="宋体"/>
          <w:color w:val="auto"/>
          <w:kern w:val="0"/>
          <w:szCs w:val="21"/>
          <w:highlight w:val="none"/>
          <w:lang w:bidi="ar"/>
        </w:rPr>
        <w:t>防WiFi共享功能支持：交换机支持禁止通过内网笔记本（PC端）进行私接随身WiFi共享。</w:t>
      </w:r>
      <w:r>
        <w:rPr>
          <w:rFonts w:hint="eastAsia" w:ascii="宋体" w:hAnsi="宋体" w:eastAsia="宋体" w:cs="宋体"/>
          <w:color w:val="auto"/>
          <w:kern w:val="0"/>
          <w:szCs w:val="21"/>
          <w:highlight w:val="none"/>
          <w:lang w:val="en-US" w:eastAsia="zh-CN" w:bidi="ar"/>
        </w:rPr>
        <w:t>⑤</w:t>
      </w:r>
      <w:r>
        <w:rPr>
          <w:rFonts w:hint="eastAsia" w:ascii="宋体" w:hAnsi="宋体" w:eastAsia="宋体" w:cs="宋体"/>
          <w:color w:val="auto"/>
          <w:kern w:val="0"/>
          <w:szCs w:val="21"/>
          <w:highlight w:val="none"/>
          <w:lang w:bidi="ar"/>
        </w:rPr>
        <w:t>交换机的终端状态安全分析功能支持：交换机支持对终端安全状态分析的功能。</w:t>
      </w:r>
      <w:r>
        <w:rPr>
          <w:rFonts w:hint="eastAsia" w:ascii="宋体" w:hAnsi="宋体" w:eastAsia="宋体" w:cs="宋体"/>
          <w:color w:val="auto"/>
          <w:kern w:val="0"/>
          <w:szCs w:val="21"/>
          <w:highlight w:val="none"/>
          <w:lang w:val="en-US" w:eastAsia="zh-CN" w:bidi="ar"/>
        </w:rPr>
        <w:t>⑥</w:t>
      </w:r>
      <w:r>
        <w:rPr>
          <w:rFonts w:hint="eastAsia" w:ascii="宋体" w:hAnsi="宋体" w:eastAsia="宋体" w:cs="宋体"/>
          <w:color w:val="auto"/>
          <w:kern w:val="0"/>
          <w:szCs w:val="21"/>
          <w:highlight w:val="none"/>
          <w:lang w:bidi="ar"/>
        </w:rPr>
        <w:t>交换机的终端安全策略功能支持：交换机支持以下终端安全策略功能：支持终端IP-MAC首次部署自动学习绑定；支持终端IP-MAC绑定，当IP+MAC不对应时，可以将终端加入黑名单实现断开终端流量；支持将交换机的端口进行端口组划分，方便配置管理；支持预留的特权IP必须由管理员审批才可以使用，同时支持IP白名单免审批；支持终端的MAC与交换机端口变更检测；支持终端发生安全策略事件后，交换机将终端加入黑名单；支持交换机端口终端类型变更后，通过APP、短信告警；可以自定义交换机端口接入终端类型，及MAC黑白名单。</w:t>
      </w:r>
      <w:r>
        <w:rPr>
          <w:rFonts w:hint="eastAsia" w:ascii="宋体" w:hAnsi="宋体" w:eastAsia="宋体" w:cs="宋体"/>
          <w:color w:val="auto"/>
          <w:kern w:val="0"/>
          <w:szCs w:val="21"/>
          <w:highlight w:val="none"/>
          <w:lang w:val="en-US" w:eastAsia="zh-CN" w:bidi="ar"/>
        </w:rPr>
        <w:t>⑦</w:t>
      </w:r>
      <w:r>
        <w:rPr>
          <w:rFonts w:hint="eastAsia" w:ascii="宋体" w:hAnsi="宋体" w:eastAsia="宋体" w:cs="宋体"/>
          <w:color w:val="auto"/>
          <w:kern w:val="0"/>
          <w:szCs w:val="21"/>
          <w:highlight w:val="none"/>
          <w:lang w:bidi="ar"/>
        </w:rPr>
        <w:t>交换机支持运维告警。</w:t>
      </w:r>
      <w:r>
        <w:rPr>
          <w:rFonts w:hint="eastAsia" w:ascii="宋体" w:hAnsi="宋体" w:eastAsia="宋体" w:cs="宋体"/>
          <w:color w:val="auto"/>
          <w:kern w:val="0"/>
          <w:szCs w:val="21"/>
          <w:highlight w:val="none"/>
          <w:lang w:val="en-US" w:eastAsia="zh-CN" w:bidi="ar"/>
        </w:rPr>
        <w:t>⑧</w:t>
      </w:r>
      <w:r>
        <w:rPr>
          <w:rFonts w:hint="eastAsia" w:ascii="宋体" w:hAnsi="宋体" w:eastAsia="宋体" w:cs="宋体"/>
          <w:color w:val="auto"/>
          <w:kern w:val="0"/>
          <w:szCs w:val="21"/>
          <w:highlight w:val="none"/>
          <w:lang w:bidi="ar"/>
        </w:rPr>
        <w:t>交换机与安全设备联动：交换机支持与外部安全感知平台联动，且联动实现从系统及接入层交换机对风险终端MAC地址进行封堵。</w:t>
      </w:r>
      <w:r>
        <w:rPr>
          <w:rFonts w:hint="eastAsia" w:ascii="宋体" w:hAnsi="宋体" w:eastAsia="宋体" w:cs="宋体"/>
          <w:color w:val="auto"/>
          <w:kern w:val="0"/>
          <w:szCs w:val="21"/>
          <w:highlight w:val="none"/>
          <w:lang w:val="en-US" w:eastAsia="zh-CN" w:bidi="ar"/>
        </w:rPr>
        <w:t>⑨</w:t>
      </w:r>
      <w:r>
        <w:rPr>
          <w:rFonts w:hint="eastAsia" w:ascii="宋体" w:hAnsi="宋体" w:eastAsia="宋体" w:cs="宋体"/>
          <w:color w:val="auto"/>
          <w:kern w:val="0"/>
          <w:szCs w:val="21"/>
          <w:highlight w:val="none"/>
          <w:lang w:bidi="ar"/>
        </w:rPr>
        <w:t>所投交换机IK达到IK06。（投标文件中需提供完全体现以下</w:t>
      </w:r>
      <w:r>
        <w:rPr>
          <w:rFonts w:hint="eastAsia" w:ascii="宋体" w:hAnsi="宋体" w:eastAsia="宋体" w:cs="宋体"/>
          <w:color w:val="auto"/>
          <w:kern w:val="0"/>
          <w:szCs w:val="21"/>
          <w:highlight w:val="none"/>
          <w:lang w:val="en-US" w:eastAsia="zh-CN" w:bidi="ar"/>
        </w:rPr>
        <w:t>本项</w:t>
      </w:r>
      <w:r>
        <w:rPr>
          <w:rFonts w:hint="eastAsia" w:ascii="宋体" w:hAnsi="宋体" w:eastAsia="宋体" w:cs="宋体"/>
          <w:color w:val="auto"/>
          <w:kern w:val="0"/>
          <w:szCs w:val="21"/>
          <w:highlight w:val="none"/>
          <w:lang w:bidi="ar"/>
        </w:rPr>
        <w:t>第</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1</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至</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5</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项的所有参数的第三方检测机构出具的首页具有CMA或CNAS标识的检测报告复印件）</w:t>
      </w:r>
    </w:p>
    <w:p>
      <w:pPr>
        <w:pStyle w:val="7"/>
        <w:widowControl/>
        <w:spacing w:line="240" w:lineRule="auto"/>
        <w:ind w:firstLine="0"/>
        <w:rPr>
          <w:rStyle w:val="56"/>
          <w:sz w:val="21"/>
          <w:szCs w:val="21"/>
          <w:lang w:bidi="ar"/>
        </w:rPr>
      </w:pPr>
      <w:r>
        <w:rPr>
          <w:rFonts w:hint="eastAsia" w:ascii="宋体" w:hAnsi="宋体" w:eastAsia="宋体" w:cs="宋体"/>
          <w:color w:val="auto"/>
          <w:kern w:val="0"/>
          <w:szCs w:val="21"/>
          <w:highlight w:val="none"/>
          <w:lang w:val="en-US" w:eastAsia="zh-CN" w:bidi="ar"/>
        </w:rPr>
        <w:t>5、配套1套</w:t>
      </w:r>
      <w:r>
        <w:rPr>
          <w:rFonts w:hint="eastAsia" w:ascii="宋体" w:hAnsi="宋体" w:eastAsia="宋体" w:cs="宋体"/>
          <w:color w:val="auto"/>
          <w:kern w:val="0"/>
          <w:szCs w:val="21"/>
          <w:highlight w:val="none"/>
          <w:lang w:bidi="ar"/>
        </w:rPr>
        <w:t>网络控制平台</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该平台</w:t>
      </w:r>
      <w:r>
        <w:rPr>
          <w:rFonts w:hint="eastAsia" w:ascii="宋体" w:hAnsi="宋体" w:eastAsia="宋体" w:cs="宋体"/>
          <w:color w:val="auto"/>
          <w:kern w:val="0"/>
          <w:szCs w:val="21"/>
          <w:highlight w:val="none"/>
          <w:lang w:bidi="ar"/>
        </w:rPr>
        <w:t>需满足以下要求：</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1</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基础功能：</w:t>
      </w:r>
      <w:r>
        <w:rPr>
          <w:rFonts w:hint="eastAsia" w:ascii="宋体" w:hAnsi="宋体" w:eastAsia="宋体" w:cs="宋体"/>
          <w:color w:val="auto"/>
          <w:kern w:val="0"/>
          <w:szCs w:val="21"/>
          <w:highlight w:val="none"/>
          <w:lang w:val="en-US" w:eastAsia="zh-CN" w:bidi="ar"/>
        </w:rPr>
        <w:t>①</w:t>
      </w:r>
      <w:r>
        <w:rPr>
          <w:rFonts w:hint="eastAsia" w:ascii="宋体" w:hAnsi="宋体" w:eastAsia="宋体" w:cs="宋体"/>
          <w:color w:val="auto"/>
          <w:kern w:val="0"/>
          <w:szCs w:val="21"/>
          <w:highlight w:val="none"/>
          <w:lang w:bidi="ar"/>
        </w:rPr>
        <w:t>交换机在网络控制平台管理下的三层功能；</w:t>
      </w:r>
      <w:r>
        <w:rPr>
          <w:rFonts w:hint="eastAsia" w:ascii="宋体" w:hAnsi="宋体" w:eastAsia="宋体" w:cs="宋体"/>
          <w:color w:val="auto"/>
          <w:kern w:val="0"/>
          <w:szCs w:val="21"/>
          <w:highlight w:val="none"/>
          <w:lang w:val="en-US" w:eastAsia="zh-CN" w:bidi="ar"/>
        </w:rPr>
        <w:t>②</w:t>
      </w:r>
      <w:r>
        <w:rPr>
          <w:rFonts w:hint="eastAsia" w:ascii="宋体" w:hAnsi="宋体" w:eastAsia="宋体" w:cs="宋体"/>
          <w:color w:val="auto"/>
          <w:kern w:val="0"/>
          <w:szCs w:val="21"/>
          <w:highlight w:val="none"/>
          <w:lang w:bidi="ar"/>
        </w:rPr>
        <w:t>无线 AP 在网络控制平台管理下的 802.11 协议；</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2</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安全功能：</w:t>
      </w:r>
      <w:r>
        <w:rPr>
          <w:rFonts w:hint="eastAsia" w:ascii="宋体" w:hAnsi="宋体" w:eastAsia="宋体" w:cs="宋体"/>
          <w:color w:val="auto"/>
          <w:kern w:val="0"/>
          <w:szCs w:val="21"/>
          <w:highlight w:val="none"/>
          <w:lang w:val="en-US" w:eastAsia="zh-CN" w:bidi="ar"/>
        </w:rPr>
        <w:t>①</w:t>
      </w:r>
      <w:r>
        <w:rPr>
          <w:rFonts w:hint="eastAsia" w:ascii="宋体" w:hAnsi="宋体" w:eastAsia="宋体" w:cs="宋体"/>
          <w:color w:val="auto"/>
          <w:kern w:val="0"/>
          <w:szCs w:val="21"/>
          <w:highlight w:val="none"/>
          <w:lang w:bidi="ar"/>
        </w:rPr>
        <w:t>交换机在网络控制平台管理下的安全特性功能；</w:t>
      </w:r>
      <w:r>
        <w:rPr>
          <w:rFonts w:hint="eastAsia" w:ascii="宋体" w:hAnsi="宋体" w:eastAsia="宋体" w:cs="宋体"/>
          <w:color w:val="auto"/>
          <w:kern w:val="0"/>
          <w:szCs w:val="21"/>
          <w:highlight w:val="none"/>
          <w:lang w:val="en-US" w:eastAsia="zh-CN" w:bidi="ar"/>
        </w:rPr>
        <w:t>②</w:t>
      </w:r>
      <w:r>
        <w:rPr>
          <w:rFonts w:hint="eastAsia" w:ascii="宋体" w:hAnsi="宋体" w:eastAsia="宋体" w:cs="宋体"/>
          <w:color w:val="auto"/>
          <w:kern w:val="0"/>
          <w:szCs w:val="21"/>
          <w:highlight w:val="none"/>
          <w:lang w:bidi="ar"/>
        </w:rPr>
        <w:t>交换机在网络控制平台管理下的终端安全策略功能；</w:t>
      </w:r>
      <w:r>
        <w:rPr>
          <w:rFonts w:hint="eastAsia" w:ascii="宋体" w:hAnsi="宋体" w:eastAsia="宋体" w:cs="宋体"/>
          <w:color w:val="auto"/>
          <w:kern w:val="0"/>
          <w:szCs w:val="21"/>
          <w:highlight w:val="none"/>
          <w:lang w:val="en-US" w:eastAsia="zh-CN" w:bidi="ar"/>
        </w:rPr>
        <w:t>③</w:t>
      </w:r>
      <w:r>
        <w:rPr>
          <w:rFonts w:hint="eastAsia" w:ascii="宋体" w:hAnsi="宋体" w:eastAsia="宋体" w:cs="宋体"/>
          <w:color w:val="auto"/>
          <w:kern w:val="0"/>
          <w:szCs w:val="21"/>
          <w:highlight w:val="none"/>
          <w:lang w:bidi="ar"/>
        </w:rPr>
        <w:t>交换机在网络控制平台管理下的终端状态安全分析功能；</w:t>
      </w:r>
      <w:r>
        <w:rPr>
          <w:rFonts w:hint="eastAsia" w:ascii="宋体" w:hAnsi="宋体" w:eastAsia="宋体" w:cs="宋体"/>
          <w:color w:val="auto"/>
          <w:kern w:val="0"/>
          <w:szCs w:val="21"/>
          <w:highlight w:val="none"/>
          <w:lang w:val="en-US" w:eastAsia="zh-CN" w:bidi="ar"/>
        </w:rPr>
        <w:t>④</w:t>
      </w:r>
      <w:r>
        <w:rPr>
          <w:rFonts w:hint="eastAsia" w:ascii="宋体" w:hAnsi="宋体" w:eastAsia="宋体" w:cs="宋体"/>
          <w:color w:val="auto"/>
          <w:kern w:val="0"/>
          <w:szCs w:val="21"/>
          <w:highlight w:val="none"/>
          <w:lang w:bidi="ar"/>
        </w:rPr>
        <w:t>交换机在网络控制平台管理下的防 WiFi 共享功能；</w:t>
      </w:r>
      <w:r>
        <w:rPr>
          <w:rFonts w:hint="eastAsia" w:ascii="宋体" w:hAnsi="宋体" w:eastAsia="宋体" w:cs="宋体"/>
          <w:color w:val="auto"/>
          <w:kern w:val="0"/>
          <w:szCs w:val="21"/>
          <w:highlight w:val="none"/>
          <w:lang w:val="en-US" w:eastAsia="zh-CN" w:bidi="ar"/>
        </w:rPr>
        <w:t>⑤</w:t>
      </w:r>
      <w:r>
        <w:rPr>
          <w:rFonts w:hint="eastAsia" w:ascii="宋体" w:hAnsi="宋体" w:eastAsia="宋体" w:cs="宋体"/>
          <w:color w:val="auto"/>
          <w:kern w:val="0"/>
          <w:szCs w:val="21"/>
          <w:highlight w:val="none"/>
          <w:lang w:bidi="ar"/>
        </w:rPr>
        <w:t>交换机在网络控制平台管理下的 POE 终端安全功能；</w:t>
      </w:r>
      <w:r>
        <w:rPr>
          <w:rFonts w:hint="eastAsia" w:ascii="宋体" w:hAnsi="宋体" w:eastAsia="宋体" w:cs="宋体"/>
          <w:color w:val="auto"/>
          <w:kern w:val="0"/>
          <w:szCs w:val="21"/>
          <w:highlight w:val="none"/>
          <w:lang w:val="en-US" w:eastAsia="zh-CN" w:bidi="ar"/>
        </w:rPr>
        <w:t>⑥</w:t>
      </w:r>
      <w:r>
        <w:rPr>
          <w:rFonts w:hint="eastAsia" w:ascii="宋体" w:hAnsi="宋体" w:eastAsia="宋体" w:cs="宋体"/>
          <w:color w:val="auto"/>
          <w:kern w:val="0"/>
          <w:szCs w:val="21"/>
          <w:highlight w:val="none"/>
          <w:lang w:bidi="ar"/>
        </w:rPr>
        <w:t>交换机在网络控制平台管理下的防御终端病毒扩散功能；</w:t>
      </w:r>
      <w:r>
        <w:rPr>
          <w:rFonts w:hint="eastAsia" w:ascii="宋体" w:hAnsi="宋体" w:eastAsia="宋体" w:cs="宋体"/>
          <w:color w:val="auto"/>
          <w:kern w:val="0"/>
          <w:szCs w:val="21"/>
          <w:highlight w:val="none"/>
          <w:lang w:val="en-US" w:eastAsia="zh-CN" w:bidi="ar"/>
        </w:rPr>
        <w:t>⑦</w:t>
      </w:r>
      <w:r>
        <w:rPr>
          <w:rFonts w:hint="eastAsia" w:ascii="宋体" w:hAnsi="宋体" w:eastAsia="宋体" w:cs="宋体"/>
          <w:color w:val="auto"/>
          <w:kern w:val="0"/>
          <w:szCs w:val="21"/>
          <w:highlight w:val="none"/>
          <w:lang w:bidi="ar"/>
        </w:rPr>
        <w:t>无线 AP 在网络控制平台管理下的射频防护功能；</w:t>
      </w:r>
      <w:r>
        <w:rPr>
          <w:rFonts w:hint="eastAsia" w:ascii="宋体" w:hAnsi="宋体" w:eastAsia="宋体" w:cs="宋体"/>
          <w:color w:val="auto"/>
          <w:kern w:val="0"/>
          <w:szCs w:val="21"/>
          <w:highlight w:val="none"/>
          <w:lang w:val="en-US" w:eastAsia="zh-CN" w:bidi="ar"/>
        </w:rPr>
        <w:t>⑧</w:t>
      </w:r>
      <w:r>
        <w:rPr>
          <w:rFonts w:hint="eastAsia" w:ascii="宋体" w:hAnsi="宋体" w:eastAsia="宋体" w:cs="宋体"/>
          <w:color w:val="auto"/>
          <w:kern w:val="0"/>
          <w:szCs w:val="21"/>
          <w:highlight w:val="none"/>
          <w:lang w:bidi="ar"/>
        </w:rPr>
        <w:t>无线 AP 在网络控制平台管理下的射频环境监测功能；</w:t>
      </w:r>
      <w:r>
        <w:rPr>
          <w:rFonts w:hint="eastAsia" w:ascii="宋体" w:hAnsi="宋体" w:eastAsia="宋体" w:cs="宋体"/>
          <w:color w:val="auto"/>
          <w:kern w:val="0"/>
          <w:szCs w:val="21"/>
          <w:highlight w:val="none"/>
          <w:lang w:val="en-US" w:eastAsia="zh-CN" w:bidi="ar"/>
        </w:rPr>
        <w:t>⑨</w:t>
      </w:r>
      <w:r>
        <w:rPr>
          <w:rFonts w:hint="eastAsia" w:ascii="宋体" w:hAnsi="宋体" w:eastAsia="宋体" w:cs="宋体"/>
          <w:color w:val="auto"/>
          <w:kern w:val="0"/>
          <w:szCs w:val="21"/>
          <w:highlight w:val="none"/>
          <w:lang w:bidi="ar"/>
        </w:rPr>
        <w:t>无线 AP 在网络控制平台管理下的 IPSec VPN 功能；</w:t>
      </w:r>
      <w:r>
        <w:rPr>
          <w:rFonts w:hint="eastAsia" w:ascii="宋体" w:hAnsi="宋体" w:eastAsia="宋体" w:cs="宋体"/>
          <w:color w:val="auto"/>
          <w:kern w:val="0"/>
          <w:szCs w:val="21"/>
          <w:highlight w:val="none"/>
          <w:lang w:val="en-US" w:eastAsia="zh-CN" w:bidi="ar"/>
        </w:rPr>
        <w:t>⑩</w:t>
      </w:r>
      <w:r>
        <w:rPr>
          <w:rFonts w:hint="eastAsia" w:ascii="宋体" w:hAnsi="宋体" w:eastAsia="宋体" w:cs="宋体"/>
          <w:color w:val="auto"/>
          <w:kern w:val="0"/>
          <w:szCs w:val="21"/>
          <w:highlight w:val="none"/>
          <w:lang w:bidi="ar"/>
        </w:rPr>
        <w:t>无线 AP 在网络控制平台管理下的接入点 VPN 功能；</w:t>
      </w:r>
      <w:r>
        <w:rPr>
          <w:rFonts w:hint="eastAsia" w:ascii="宋体" w:hAnsi="宋体" w:eastAsia="宋体" w:cs="宋体"/>
          <w:color w:val="auto"/>
          <w:kern w:val="0"/>
          <w:szCs w:val="21"/>
          <w:highlight w:val="none"/>
          <w:lang w:bidi="ar"/>
        </w:rPr>
        <w:fldChar w:fldCharType="begin"/>
      </w:r>
      <w:r>
        <w:rPr>
          <w:rFonts w:hint="eastAsia" w:ascii="宋体" w:hAnsi="宋体" w:eastAsia="宋体" w:cs="宋体"/>
          <w:color w:val="auto"/>
          <w:kern w:val="0"/>
          <w:szCs w:val="21"/>
          <w:highlight w:val="none"/>
          <w:lang w:bidi="ar"/>
        </w:rPr>
        <w:instrText xml:space="preserve"> EQ \o\ac(</w:instrText>
      </w:r>
      <w:r>
        <w:rPr>
          <w:rFonts w:hint="eastAsia" w:ascii="宋体" w:hAnsi="宋体" w:eastAsia="宋体" w:cs="宋体"/>
          <w:color w:val="auto"/>
          <w:kern w:val="0"/>
          <w:sz w:val="21"/>
          <w:szCs w:val="21"/>
          <w:highlight w:val="none"/>
          <w:lang w:val="en-US" w:eastAsia="zh-CN" w:bidi="ar"/>
        </w:rPr>
        <w:instrText xml:space="preserve">○</w:instrText>
      </w:r>
      <w:r>
        <w:rPr>
          <w:rFonts w:hint="eastAsia" w:ascii="宋体" w:hAnsi="宋体" w:eastAsia="宋体" w:cs="宋体"/>
          <w:color w:val="auto"/>
          <w:kern w:val="0"/>
          <w:szCs w:val="21"/>
          <w:highlight w:val="none"/>
          <w:lang w:bidi="ar"/>
        </w:rPr>
        <w:instrText xml:space="preserve">,</w:instrText>
      </w:r>
      <w:r>
        <w:rPr>
          <w:rFonts w:hint="eastAsia" w:ascii="宋体" w:hAnsi="宋体" w:eastAsia="宋体" w:cs="宋体"/>
          <w:color w:val="auto"/>
          <w:kern w:val="0"/>
          <w:position w:val="2"/>
          <w:sz w:val="14"/>
          <w:szCs w:val="21"/>
          <w:highlight w:val="none"/>
          <w:lang w:val="en-US" w:eastAsia="zh-CN" w:bidi="ar"/>
        </w:rPr>
        <w:instrText xml:space="preserve">11</w:instrText>
      </w:r>
      <w:r>
        <w:rPr>
          <w:rFonts w:hint="eastAsia" w:ascii="宋体" w:hAnsi="宋体" w:eastAsia="宋体" w:cs="宋体"/>
          <w:color w:val="auto"/>
          <w:kern w:val="0"/>
          <w:szCs w:val="21"/>
          <w:highlight w:val="none"/>
          <w:lang w:bidi="ar"/>
        </w:rPr>
        <w:instrText xml:space="preserve">)</w:instrText>
      </w:r>
      <w:r>
        <w:rPr>
          <w:rFonts w:hint="eastAsia" w:ascii="宋体" w:hAnsi="宋体" w:eastAsia="宋体" w:cs="宋体"/>
          <w:color w:val="auto"/>
          <w:kern w:val="0"/>
          <w:szCs w:val="21"/>
          <w:highlight w:val="none"/>
          <w:lang w:bidi="ar"/>
        </w:rPr>
        <w:fldChar w:fldCharType="end"/>
      </w:r>
      <w:r>
        <w:rPr>
          <w:rFonts w:hint="eastAsia" w:ascii="宋体" w:hAnsi="宋体" w:eastAsia="宋体" w:cs="宋体"/>
          <w:color w:val="auto"/>
          <w:kern w:val="0"/>
          <w:szCs w:val="21"/>
          <w:highlight w:val="none"/>
          <w:lang w:bidi="ar"/>
        </w:rPr>
        <w:t>网络控制平台对接移动办公平台认证功能；</w:t>
      </w:r>
      <w:r>
        <w:rPr>
          <w:rFonts w:hint="eastAsia" w:ascii="宋体" w:hAnsi="宋体" w:eastAsia="宋体" w:cs="宋体"/>
          <w:color w:val="auto"/>
          <w:kern w:val="0"/>
          <w:szCs w:val="21"/>
          <w:highlight w:val="none"/>
          <w:lang w:bidi="ar"/>
        </w:rPr>
        <w:fldChar w:fldCharType="begin"/>
      </w:r>
      <w:r>
        <w:rPr>
          <w:rFonts w:hint="eastAsia" w:ascii="宋体" w:hAnsi="宋体" w:eastAsia="宋体" w:cs="宋体"/>
          <w:color w:val="auto"/>
          <w:kern w:val="0"/>
          <w:szCs w:val="21"/>
          <w:highlight w:val="none"/>
          <w:lang w:bidi="ar"/>
        </w:rPr>
        <w:instrText xml:space="preserve"> EQ \o\ac(</w:instrText>
      </w:r>
      <w:r>
        <w:rPr>
          <w:rFonts w:hint="eastAsia" w:ascii="宋体" w:hAnsi="宋体" w:eastAsia="宋体" w:cs="宋体"/>
          <w:color w:val="auto"/>
          <w:kern w:val="0"/>
          <w:sz w:val="21"/>
          <w:szCs w:val="21"/>
          <w:highlight w:val="none"/>
          <w:lang w:val="en-US" w:eastAsia="zh-CN" w:bidi="ar"/>
        </w:rPr>
        <w:instrText xml:space="preserve">○</w:instrText>
      </w:r>
      <w:r>
        <w:rPr>
          <w:rFonts w:hint="eastAsia" w:ascii="宋体" w:hAnsi="宋体" w:eastAsia="宋体" w:cs="宋体"/>
          <w:color w:val="auto"/>
          <w:kern w:val="0"/>
          <w:szCs w:val="21"/>
          <w:highlight w:val="none"/>
          <w:lang w:bidi="ar"/>
        </w:rPr>
        <w:instrText xml:space="preserve">,</w:instrText>
      </w:r>
      <w:r>
        <w:rPr>
          <w:rFonts w:hint="eastAsia" w:ascii="宋体" w:hAnsi="宋体" w:eastAsia="宋体" w:cs="宋体"/>
          <w:color w:val="auto"/>
          <w:kern w:val="0"/>
          <w:position w:val="2"/>
          <w:sz w:val="14"/>
          <w:szCs w:val="21"/>
          <w:highlight w:val="none"/>
          <w:lang w:val="en-US" w:eastAsia="zh-CN" w:bidi="ar"/>
        </w:rPr>
        <w:instrText xml:space="preserve">12</w:instrText>
      </w:r>
      <w:r>
        <w:rPr>
          <w:rFonts w:hint="eastAsia" w:ascii="宋体" w:hAnsi="宋体" w:eastAsia="宋体" w:cs="宋体"/>
          <w:color w:val="auto"/>
          <w:kern w:val="0"/>
          <w:szCs w:val="21"/>
          <w:highlight w:val="none"/>
          <w:lang w:bidi="ar"/>
        </w:rPr>
        <w:instrText xml:space="preserve">)</w:instrText>
      </w:r>
      <w:r>
        <w:rPr>
          <w:rFonts w:hint="eastAsia" w:ascii="宋体" w:hAnsi="宋体" w:eastAsia="宋体" w:cs="宋体"/>
          <w:color w:val="auto"/>
          <w:kern w:val="0"/>
          <w:szCs w:val="21"/>
          <w:highlight w:val="none"/>
          <w:lang w:bidi="ar"/>
        </w:rPr>
        <w:fldChar w:fldCharType="end"/>
      </w:r>
      <w:r>
        <w:rPr>
          <w:rFonts w:hint="eastAsia" w:ascii="宋体" w:hAnsi="宋体" w:eastAsia="宋体" w:cs="宋体"/>
          <w:color w:val="auto"/>
          <w:kern w:val="0"/>
          <w:szCs w:val="21"/>
          <w:highlight w:val="none"/>
          <w:lang w:bidi="ar"/>
        </w:rPr>
        <w:t>网络控制平台对人脸识别认证功能；</w:t>
      </w:r>
      <w:r>
        <w:rPr>
          <w:rFonts w:hint="eastAsia" w:ascii="宋体" w:hAnsi="宋体" w:eastAsia="宋体" w:cs="宋体"/>
          <w:color w:val="auto"/>
          <w:kern w:val="0"/>
          <w:szCs w:val="21"/>
          <w:highlight w:val="none"/>
          <w:lang w:bidi="ar"/>
        </w:rPr>
        <w:fldChar w:fldCharType="begin"/>
      </w:r>
      <w:r>
        <w:rPr>
          <w:rFonts w:hint="eastAsia" w:ascii="宋体" w:hAnsi="宋体" w:eastAsia="宋体" w:cs="宋体"/>
          <w:color w:val="auto"/>
          <w:kern w:val="0"/>
          <w:szCs w:val="21"/>
          <w:highlight w:val="none"/>
          <w:lang w:bidi="ar"/>
        </w:rPr>
        <w:instrText xml:space="preserve"> EQ \o\ac(</w:instrText>
      </w:r>
      <w:r>
        <w:rPr>
          <w:rFonts w:hint="eastAsia" w:ascii="宋体" w:hAnsi="宋体" w:eastAsia="宋体" w:cs="宋体"/>
          <w:color w:val="auto"/>
          <w:kern w:val="0"/>
          <w:sz w:val="21"/>
          <w:szCs w:val="21"/>
          <w:highlight w:val="none"/>
          <w:lang w:val="en-US" w:eastAsia="zh-CN" w:bidi="ar"/>
        </w:rPr>
        <w:instrText xml:space="preserve">○</w:instrText>
      </w:r>
      <w:r>
        <w:rPr>
          <w:rFonts w:hint="eastAsia" w:ascii="宋体" w:hAnsi="宋体" w:eastAsia="宋体" w:cs="宋体"/>
          <w:color w:val="auto"/>
          <w:kern w:val="0"/>
          <w:szCs w:val="21"/>
          <w:highlight w:val="none"/>
          <w:lang w:bidi="ar"/>
        </w:rPr>
        <w:instrText xml:space="preserve">,</w:instrText>
      </w:r>
      <w:r>
        <w:rPr>
          <w:rFonts w:hint="eastAsia" w:ascii="宋体" w:hAnsi="宋体" w:eastAsia="宋体" w:cs="宋体"/>
          <w:color w:val="auto"/>
          <w:kern w:val="0"/>
          <w:position w:val="2"/>
          <w:sz w:val="14"/>
          <w:szCs w:val="21"/>
          <w:highlight w:val="none"/>
          <w:lang w:val="en-US" w:eastAsia="zh-CN" w:bidi="ar"/>
        </w:rPr>
        <w:instrText xml:space="preserve">13</w:instrText>
      </w:r>
      <w:r>
        <w:rPr>
          <w:rFonts w:hint="eastAsia" w:ascii="宋体" w:hAnsi="宋体" w:eastAsia="宋体" w:cs="宋体"/>
          <w:color w:val="auto"/>
          <w:kern w:val="0"/>
          <w:szCs w:val="21"/>
          <w:highlight w:val="none"/>
          <w:lang w:bidi="ar"/>
        </w:rPr>
        <w:instrText xml:space="preserve">)</w:instrText>
      </w:r>
      <w:r>
        <w:rPr>
          <w:rFonts w:hint="eastAsia" w:ascii="宋体" w:hAnsi="宋体" w:eastAsia="宋体" w:cs="宋体"/>
          <w:color w:val="auto"/>
          <w:kern w:val="0"/>
          <w:szCs w:val="21"/>
          <w:highlight w:val="none"/>
          <w:lang w:bidi="ar"/>
        </w:rPr>
        <w:fldChar w:fldCharType="end"/>
      </w:r>
      <w:r>
        <w:rPr>
          <w:rFonts w:hint="eastAsia" w:ascii="宋体" w:hAnsi="宋体" w:eastAsia="宋体" w:cs="宋体"/>
          <w:color w:val="auto"/>
          <w:kern w:val="0"/>
          <w:szCs w:val="21"/>
          <w:highlight w:val="none"/>
          <w:lang w:bidi="ar"/>
        </w:rPr>
        <w:t>网络控制平台对安全事件可视功能；</w:t>
      </w:r>
      <w:r>
        <w:rPr>
          <w:rFonts w:hint="eastAsia" w:ascii="宋体" w:hAnsi="宋体" w:eastAsia="宋体" w:cs="宋体"/>
          <w:color w:val="auto"/>
          <w:kern w:val="0"/>
          <w:szCs w:val="21"/>
          <w:highlight w:val="none"/>
          <w:lang w:bidi="ar"/>
        </w:rPr>
        <w:fldChar w:fldCharType="begin"/>
      </w:r>
      <w:r>
        <w:rPr>
          <w:rFonts w:hint="eastAsia" w:ascii="宋体" w:hAnsi="宋体" w:eastAsia="宋体" w:cs="宋体"/>
          <w:color w:val="auto"/>
          <w:kern w:val="0"/>
          <w:szCs w:val="21"/>
          <w:highlight w:val="none"/>
          <w:lang w:bidi="ar"/>
        </w:rPr>
        <w:instrText xml:space="preserve"> EQ \o\ac(</w:instrText>
      </w:r>
      <w:r>
        <w:rPr>
          <w:rFonts w:hint="eastAsia" w:ascii="宋体" w:hAnsi="宋体" w:eastAsia="宋体" w:cs="宋体"/>
          <w:color w:val="auto"/>
          <w:kern w:val="0"/>
          <w:sz w:val="21"/>
          <w:szCs w:val="21"/>
          <w:highlight w:val="none"/>
          <w:lang w:val="en-US" w:eastAsia="zh-CN" w:bidi="ar"/>
        </w:rPr>
        <w:instrText xml:space="preserve">○</w:instrText>
      </w:r>
      <w:r>
        <w:rPr>
          <w:rFonts w:hint="eastAsia" w:ascii="宋体" w:hAnsi="宋体" w:eastAsia="宋体" w:cs="宋体"/>
          <w:color w:val="auto"/>
          <w:kern w:val="0"/>
          <w:szCs w:val="21"/>
          <w:highlight w:val="none"/>
          <w:lang w:bidi="ar"/>
        </w:rPr>
        <w:instrText xml:space="preserve">,</w:instrText>
      </w:r>
      <w:r>
        <w:rPr>
          <w:rFonts w:hint="eastAsia" w:ascii="宋体" w:hAnsi="宋体" w:eastAsia="宋体" w:cs="宋体"/>
          <w:color w:val="auto"/>
          <w:kern w:val="0"/>
          <w:position w:val="2"/>
          <w:sz w:val="14"/>
          <w:szCs w:val="21"/>
          <w:highlight w:val="none"/>
          <w:lang w:val="en-US" w:eastAsia="zh-CN" w:bidi="ar"/>
        </w:rPr>
        <w:instrText xml:space="preserve">14</w:instrText>
      </w:r>
      <w:r>
        <w:rPr>
          <w:rFonts w:hint="eastAsia" w:ascii="宋体" w:hAnsi="宋体" w:eastAsia="宋体" w:cs="宋体"/>
          <w:color w:val="auto"/>
          <w:kern w:val="0"/>
          <w:szCs w:val="21"/>
          <w:highlight w:val="none"/>
          <w:lang w:bidi="ar"/>
        </w:rPr>
        <w:instrText xml:space="preserve">)</w:instrText>
      </w:r>
      <w:r>
        <w:rPr>
          <w:rFonts w:hint="eastAsia" w:ascii="宋体" w:hAnsi="宋体" w:eastAsia="宋体" w:cs="宋体"/>
          <w:color w:val="auto"/>
          <w:kern w:val="0"/>
          <w:szCs w:val="21"/>
          <w:highlight w:val="none"/>
          <w:lang w:bidi="ar"/>
        </w:rPr>
        <w:fldChar w:fldCharType="end"/>
      </w:r>
      <w:r>
        <w:rPr>
          <w:rFonts w:hint="eastAsia" w:ascii="宋体" w:hAnsi="宋体" w:eastAsia="宋体" w:cs="宋体"/>
          <w:color w:val="auto"/>
          <w:kern w:val="0"/>
          <w:szCs w:val="21"/>
          <w:highlight w:val="none"/>
          <w:lang w:bidi="ar"/>
        </w:rPr>
        <w:t>网络控制平台对安全风险状态统计功能；</w:t>
      </w:r>
      <w:r>
        <w:rPr>
          <w:rFonts w:hint="eastAsia" w:ascii="宋体" w:hAnsi="宋体" w:eastAsia="宋体" w:cs="宋体"/>
          <w:color w:val="auto"/>
          <w:kern w:val="0"/>
          <w:szCs w:val="21"/>
          <w:highlight w:val="none"/>
          <w:lang w:bidi="ar"/>
        </w:rPr>
        <w:fldChar w:fldCharType="begin"/>
      </w:r>
      <w:r>
        <w:rPr>
          <w:rFonts w:hint="eastAsia" w:ascii="宋体" w:hAnsi="宋体" w:eastAsia="宋体" w:cs="宋体"/>
          <w:color w:val="auto"/>
          <w:kern w:val="0"/>
          <w:szCs w:val="21"/>
          <w:highlight w:val="none"/>
          <w:lang w:bidi="ar"/>
        </w:rPr>
        <w:instrText xml:space="preserve"> EQ \o\ac(</w:instrText>
      </w:r>
      <w:r>
        <w:rPr>
          <w:rFonts w:hint="eastAsia" w:ascii="宋体" w:hAnsi="宋体" w:eastAsia="宋体" w:cs="宋体"/>
          <w:color w:val="auto"/>
          <w:kern w:val="0"/>
          <w:sz w:val="21"/>
          <w:szCs w:val="21"/>
          <w:highlight w:val="none"/>
          <w:lang w:val="en-US" w:eastAsia="zh-CN" w:bidi="ar"/>
        </w:rPr>
        <w:instrText xml:space="preserve">○</w:instrText>
      </w:r>
      <w:r>
        <w:rPr>
          <w:rFonts w:hint="eastAsia" w:ascii="宋体" w:hAnsi="宋体" w:eastAsia="宋体" w:cs="宋体"/>
          <w:color w:val="auto"/>
          <w:kern w:val="0"/>
          <w:szCs w:val="21"/>
          <w:highlight w:val="none"/>
          <w:lang w:bidi="ar"/>
        </w:rPr>
        <w:instrText xml:space="preserve">,</w:instrText>
      </w:r>
      <w:r>
        <w:rPr>
          <w:rFonts w:hint="eastAsia" w:ascii="宋体" w:hAnsi="宋体" w:eastAsia="宋体" w:cs="宋体"/>
          <w:color w:val="auto"/>
          <w:kern w:val="0"/>
          <w:position w:val="2"/>
          <w:sz w:val="14"/>
          <w:szCs w:val="21"/>
          <w:highlight w:val="none"/>
          <w:lang w:val="en-US" w:eastAsia="zh-CN" w:bidi="ar"/>
        </w:rPr>
        <w:instrText xml:space="preserve">15</w:instrText>
      </w:r>
      <w:r>
        <w:rPr>
          <w:rFonts w:hint="eastAsia" w:ascii="宋体" w:hAnsi="宋体" w:eastAsia="宋体" w:cs="宋体"/>
          <w:color w:val="auto"/>
          <w:kern w:val="0"/>
          <w:szCs w:val="21"/>
          <w:highlight w:val="none"/>
          <w:lang w:bidi="ar"/>
        </w:rPr>
        <w:instrText xml:space="preserve">)</w:instrText>
      </w:r>
      <w:r>
        <w:rPr>
          <w:rFonts w:hint="eastAsia" w:ascii="宋体" w:hAnsi="宋体" w:eastAsia="宋体" w:cs="宋体"/>
          <w:color w:val="auto"/>
          <w:kern w:val="0"/>
          <w:szCs w:val="21"/>
          <w:highlight w:val="none"/>
          <w:lang w:bidi="ar"/>
        </w:rPr>
        <w:fldChar w:fldCharType="end"/>
      </w:r>
      <w:r>
        <w:rPr>
          <w:rFonts w:hint="eastAsia" w:ascii="宋体" w:hAnsi="宋体" w:eastAsia="宋体" w:cs="宋体"/>
          <w:color w:val="auto"/>
          <w:kern w:val="0"/>
          <w:szCs w:val="21"/>
          <w:highlight w:val="none"/>
          <w:lang w:bidi="ar"/>
        </w:rPr>
        <w:t>网络控制平台对交换机安全告警事件功能；</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3</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可靠性功能：</w:t>
      </w:r>
      <w:r>
        <w:rPr>
          <w:rFonts w:hint="eastAsia" w:ascii="宋体" w:hAnsi="宋体" w:eastAsia="宋体" w:cs="宋体"/>
          <w:color w:val="auto"/>
          <w:kern w:val="0"/>
          <w:szCs w:val="21"/>
          <w:highlight w:val="none"/>
          <w:lang w:val="en-US" w:eastAsia="zh-CN" w:bidi="ar"/>
        </w:rPr>
        <w:t>①</w:t>
      </w:r>
      <w:r>
        <w:rPr>
          <w:rFonts w:hint="eastAsia" w:ascii="宋体" w:hAnsi="宋体" w:eastAsia="宋体" w:cs="宋体"/>
          <w:color w:val="auto"/>
          <w:kern w:val="0"/>
          <w:szCs w:val="21"/>
          <w:highlight w:val="none"/>
          <w:lang w:bidi="ar"/>
        </w:rPr>
        <w:t>交换机在网络控制平台管理下的 M-LAG 功能；</w:t>
      </w:r>
      <w:r>
        <w:rPr>
          <w:rFonts w:hint="eastAsia" w:ascii="宋体" w:hAnsi="宋体" w:eastAsia="宋体" w:cs="宋体"/>
          <w:color w:val="auto"/>
          <w:kern w:val="0"/>
          <w:szCs w:val="21"/>
          <w:highlight w:val="none"/>
          <w:lang w:val="en-US" w:eastAsia="zh-CN" w:bidi="ar"/>
        </w:rPr>
        <w:t>②</w:t>
      </w:r>
      <w:r>
        <w:rPr>
          <w:rFonts w:hint="eastAsia" w:ascii="宋体" w:hAnsi="宋体" w:eastAsia="宋体" w:cs="宋体"/>
          <w:color w:val="auto"/>
          <w:kern w:val="0"/>
          <w:szCs w:val="21"/>
          <w:highlight w:val="none"/>
          <w:lang w:bidi="ar"/>
        </w:rPr>
        <w:t>交换机在网络控制平台管理下的虚拟化功能（堆叠）；</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4</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管理功能：</w:t>
      </w:r>
      <w:r>
        <w:rPr>
          <w:rFonts w:hint="eastAsia" w:ascii="宋体" w:hAnsi="宋体" w:eastAsia="宋体" w:cs="宋体"/>
          <w:color w:val="auto"/>
          <w:kern w:val="0"/>
          <w:szCs w:val="21"/>
          <w:highlight w:val="none"/>
          <w:lang w:val="en-US" w:eastAsia="zh-CN" w:bidi="ar"/>
        </w:rPr>
        <w:t>①</w:t>
      </w:r>
      <w:r>
        <w:rPr>
          <w:rFonts w:hint="eastAsia" w:ascii="宋体" w:hAnsi="宋体" w:eastAsia="宋体" w:cs="宋体"/>
          <w:color w:val="auto"/>
          <w:kern w:val="0"/>
          <w:szCs w:val="21"/>
          <w:highlight w:val="none"/>
          <w:lang w:bidi="ar"/>
        </w:rPr>
        <w:t>网络控制平台对交换机和无线 AP 的网络管理功能；</w:t>
      </w:r>
      <w:r>
        <w:rPr>
          <w:rFonts w:hint="eastAsia" w:ascii="宋体" w:hAnsi="宋体" w:eastAsia="宋体" w:cs="宋体"/>
          <w:color w:val="auto"/>
          <w:kern w:val="0"/>
          <w:szCs w:val="21"/>
          <w:highlight w:val="none"/>
          <w:lang w:val="en-US" w:eastAsia="zh-CN" w:bidi="ar"/>
        </w:rPr>
        <w:t>②</w:t>
      </w:r>
      <w:r>
        <w:rPr>
          <w:rFonts w:hint="eastAsia" w:ascii="宋体" w:hAnsi="宋体" w:eastAsia="宋体" w:cs="宋体"/>
          <w:color w:val="auto"/>
          <w:kern w:val="0"/>
          <w:szCs w:val="21"/>
          <w:highlight w:val="none"/>
          <w:lang w:bidi="ar"/>
        </w:rPr>
        <w:t>在网络控制平台管理下的对交换机及 AP 统一运维管理功能；</w:t>
      </w:r>
      <w:r>
        <w:rPr>
          <w:rFonts w:hint="eastAsia" w:ascii="宋体" w:hAnsi="宋体" w:eastAsia="宋体" w:cs="宋体"/>
          <w:color w:val="auto"/>
          <w:kern w:val="0"/>
          <w:szCs w:val="21"/>
          <w:highlight w:val="none"/>
          <w:lang w:val="en-US" w:eastAsia="zh-CN" w:bidi="ar"/>
        </w:rPr>
        <w:t>③</w:t>
      </w:r>
      <w:r>
        <w:rPr>
          <w:rFonts w:hint="eastAsia" w:ascii="宋体" w:hAnsi="宋体" w:eastAsia="宋体" w:cs="宋体"/>
          <w:color w:val="auto"/>
          <w:kern w:val="0"/>
          <w:szCs w:val="21"/>
          <w:highlight w:val="none"/>
          <w:lang w:bidi="ar"/>
        </w:rPr>
        <w:t>在网络控制平台管理下 AP 易部署上线功能；</w:t>
      </w:r>
      <w:r>
        <w:rPr>
          <w:rFonts w:hint="eastAsia" w:ascii="宋体" w:hAnsi="宋体" w:eastAsia="宋体" w:cs="宋体"/>
          <w:color w:val="auto"/>
          <w:kern w:val="0"/>
          <w:szCs w:val="21"/>
          <w:highlight w:val="none"/>
          <w:lang w:val="en-US" w:eastAsia="zh-CN" w:bidi="ar"/>
        </w:rPr>
        <w:t>④</w:t>
      </w:r>
      <w:r>
        <w:rPr>
          <w:rFonts w:hint="eastAsia" w:ascii="宋体" w:hAnsi="宋体" w:eastAsia="宋体" w:cs="宋体"/>
          <w:color w:val="auto"/>
          <w:kern w:val="0"/>
          <w:szCs w:val="21"/>
          <w:highlight w:val="none"/>
          <w:lang w:bidi="ar"/>
        </w:rPr>
        <w:t>网络控制平台“1+1 水平异地灾备”功能；</w:t>
      </w:r>
      <w:r>
        <w:rPr>
          <w:rFonts w:hint="eastAsia" w:ascii="宋体" w:hAnsi="宋体" w:eastAsia="宋体" w:cs="宋体"/>
          <w:color w:val="auto"/>
          <w:kern w:val="0"/>
          <w:szCs w:val="21"/>
          <w:highlight w:val="none"/>
          <w:lang w:val="en-US" w:eastAsia="zh-CN" w:bidi="ar"/>
        </w:rPr>
        <w:t>⑤</w:t>
      </w:r>
      <w:r>
        <w:rPr>
          <w:rFonts w:hint="eastAsia" w:ascii="宋体" w:hAnsi="宋体" w:eastAsia="宋体" w:cs="宋体"/>
          <w:color w:val="auto"/>
          <w:kern w:val="0"/>
          <w:szCs w:val="21"/>
          <w:highlight w:val="none"/>
          <w:lang w:bidi="ar"/>
        </w:rPr>
        <w:t>在网络控制平台管理下的 AP 分组功能；</w:t>
      </w:r>
      <w:r>
        <w:rPr>
          <w:rFonts w:hint="eastAsia" w:ascii="宋体" w:hAnsi="宋体" w:eastAsia="宋体" w:cs="宋体"/>
          <w:color w:val="auto"/>
          <w:kern w:val="0"/>
          <w:szCs w:val="21"/>
          <w:highlight w:val="none"/>
          <w:lang w:val="en-US" w:eastAsia="zh-CN" w:bidi="ar"/>
        </w:rPr>
        <w:t>⑥</w:t>
      </w:r>
      <w:r>
        <w:rPr>
          <w:rFonts w:hint="eastAsia" w:ascii="宋体" w:hAnsi="宋体" w:eastAsia="宋体" w:cs="宋体"/>
          <w:color w:val="auto"/>
          <w:kern w:val="0"/>
          <w:szCs w:val="21"/>
          <w:highlight w:val="none"/>
          <w:lang w:bidi="ar"/>
        </w:rPr>
        <w:t>网络控制平台对 IP 地址管理功能；</w:t>
      </w:r>
      <w:r>
        <w:rPr>
          <w:rFonts w:hint="eastAsia" w:ascii="宋体" w:hAnsi="宋体" w:eastAsia="宋体" w:cs="宋体"/>
          <w:color w:val="auto"/>
          <w:kern w:val="0"/>
          <w:szCs w:val="21"/>
          <w:highlight w:val="none"/>
          <w:lang w:val="en-US" w:eastAsia="zh-CN" w:bidi="ar"/>
        </w:rPr>
        <w:t>⑦</w:t>
      </w:r>
      <w:r>
        <w:rPr>
          <w:rFonts w:hint="eastAsia" w:ascii="宋体" w:hAnsi="宋体" w:eastAsia="宋体" w:cs="宋体"/>
          <w:color w:val="auto"/>
          <w:kern w:val="0"/>
          <w:szCs w:val="21"/>
          <w:highlight w:val="none"/>
          <w:lang w:bidi="ar"/>
        </w:rPr>
        <w:t>网络控制平台企业级身份认证功能；</w:t>
      </w:r>
      <w:r>
        <w:rPr>
          <w:rFonts w:hint="eastAsia" w:ascii="宋体" w:hAnsi="宋体" w:eastAsia="宋体" w:cs="宋体"/>
          <w:color w:val="auto"/>
          <w:kern w:val="0"/>
          <w:szCs w:val="21"/>
          <w:highlight w:val="none"/>
          <w:lang w:val="en-US" w:eastAsia="zh-CN" w:bidi="ar"/>
        </w:rPr>
        <w:t>⑧</w:t>
      </w:r>
      <w:r>
        <w:rPr>
          <w:rFonts w:hint="eastAsia" w:ascii="宋体" w:hAnsi="宋体" w:eastAsia="宋体" w:cs="宋体"/>
          <w:color w:val="auto"/>
          <w:kern w:val="0"/>
          <w:szCs w:val="21"/>
          <w:highlight w:val="none"/>
          <w:lang w:bidi="ar"/>
        </w:rPr>
        <w:t>网络控制平台对有线无线一体化功能；</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5</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终端应用管理及审计：</w:t>
      </w:r>
      <w:r>
        <w:rPr>
          <w:rFonts w:hint="eastAsia" w:ascii="宋体" w:hAnsi="宋体" w:eastAsia="宋体" w:cs="宋体"/>
          <w:color w:val="auto"/>
          <w:kern w:val="0"/>
          <w:szCs w:val="21"/>
          <w:highlight w:val="none"/>
          <w:lang w:val="en-US" w:eastAsia="zh-CN" w:bidi="ar"/>
        </w:rPr>
        <w:t>①</w:t>
      </w:r>
      <w:r>
        <w:rPr>
          <w:rFonts w:hint="eastAsia" w:ascii="宋体" w:hAnsi="宋体" w:eastAsia="宋体" w:cs="宋体"/>
          <w:color w:val="auto"/>
          <w:kern w:val="0"/>
          <w:szCs w:val="21"/>
          <w:highlight w:val="none"/>
          <w:lang w:bidi="ar"/>
        </w:rPr>
        <w:t>网络控制平台对交换机智能终端类型识别功能；</w:t>
      </w:r>
      <w:r>
        <w:rPr>
          <w:rFonts w:hint="eastAsia" w:ascii="宋体" w:hAnsi="宋体" w:eastAsia="宋体" w:cs="宋体"/>
          <w:color w:val="auto"/>
          <w:kern w:val="0"/>
          <w:szCs w:val="21"/>
          <w:highlight w:val="none"/>
          <w:lang w:val="en-US" w:eastAsia="zh-CN" w:bidi="ar"/>
        </w:rPr>
        <w:t>②</w:t>
      </w:r>
      <w:r>
        <w:rPr>
          <w:rFonts w:hint="eastAsia" w:ascii="宋体" w:hAnsi="宋体" w:eastAsia="宋体" w:cs="宋体"/>
          <w:color w:val="auto"/>
          <w:kern w:val="0"/>
          <w:szCs w:val="21"/>
          <w:highlight w:val="none"/>
          <w:lang w:bidi="ar"/>
        </w:rPr>
        <w:t>网络控制平台对无线 AP 的应用识别功能；</w:t>
      </w:r>
      <w:r>
        <w:rPr>
          <w:rFonts w:hint="eastAsia" w:ascii="宋体" w:hAnsi="宋体" w:eastAsia="宋体" w:cs="宋体"/>
          <w:color w:val="auto"/>
          <w:kern w:val="0"/>
          <w:szCs w:val="21"/>
          <w:highlight w:val="none"/>
          <w:lang w:val="en-US" w:eastAsia="zh-CN" w:bidi="ar"/>
        </w:rPr>
        <w:t>③</w:t>
      </w:r>
      <w:r>
        <w:rPr>
          <w:rFonts w:hint="eastAsia" w:ascii="宋体" w:hAnsi="宋体" w:eastAsia="宋体" w:cs="宋体"/>
          <w:color w:val="auto"/>
          <w:kern w:val="0"/>
          <w:szCs w:val="21"/>
          <w:highlight w:val="none"/>
          <w:lang w:bidi="ar"/>
        </w:rPr>
        <w:t>网络控制平台对无线 AP 的 URL 识别功能；</w:t>
      </w:r>
      <w:r>
        <w:rPr>
          <w:rFonts w:hint="eastAsia" w:ascii="宋体" w:hAnsi="宋体" w:eastAsia="宋体" w:cs="宋体"/>
          <w:color w:val="auto"/>
          <w:kern w:val="0"/>
          <w:szCs w:val="21"/>
          <w:highlight w:val="none"/>
          <w:lang w:val="en-US" w:eastAsia="zh-CN" w:bidi="ar"/>
        </w:rPr>
        <w:t>④</w:t>
      </w:r>
      <w:r>
        <w:rPr>
          <w:rFonts w:hint="eastAsia" w:ascii="宋体" w:hAnsi="宋体" w:eastAsia="宋体" w:cs="宋体"/>
          <w:color w:val="auto"/>
          <w:kern w:val="0"/>
          <w:szCs w:val="21"/>
          <w:highlight w:val="none"/>
          <w:lang w:bidi="ar"/>
        </w:rPr>
        <w:t>网络控制平台对无线 AP 的基于应用识别的 ACL 功能；</w:t>
      </w:r>
      <w:r>
        <w:rPr>
          <w:rFonts w:hint="eastAsia" w:ascii="宋体" w:hAnsi="宋体" w:eastAsia="宋体" w:cs="宋体"/>
          <w:color w:val="auto"/>
          <w:kern w:val="0"/>
          <w:szCs w:val="21"/>
          <w:highlight w:val="none"/>
          <w:lang w:val="en-US" w:eastAsia="zh-CN" w:bidi="ar"/>
        </w:rPr>
        <w:t>⑤</w:t>
      </w:r>
      <w:r>
        <w:rPr>
          <w:rFonts w:hint="eastAsia" w:ascii="宋体" w:hAnsi="宋体" w:eastAsia="宋体" w:cs="宋体"/>
          <w:color w:val="auto"/>
          <w:kern w:val="0"/>
          <w:szCs w:val="21"/>
          <w:highlight w:val="none"/>
          <w:lang w:bidi="ar"/>
        </w:rPr>
        <w:t>网络控制平台对无线 AP 基于应用识别和 URL 地址的 ACL 功能（投标文件中需提供完全体现以上</w:t>
      </w:r>
      <w:r>
        <w:rPr>
          <w:rFonts w:hint="eastAsia" w:ascii="宋体" w:hAnsi="宋体" w:eastAsia="宋体" w:cs="宋体"/>
          <w:color w:val="auto"/>
          <w:kern w:val="0"/>
          <w:szCs w:val="21"/>
          <w:highlight w:val="none"/>
          <w:lang w:val="en-US" w:eastAsia="zh-CN" w:bidi="ar"/>
        </w:rPr>
        <w:t>本项</w:t>
      </w:r>
      <w:r>
        <w:rPr>
          <w:rFonts w:hint="eastAsia" w:ascii="宋体" w:hAnsi="宋体" w:eastAsia="宋体" w:cs="宋体"/>
          <w:color w:val="auto"/>
          <w:kern w:val="0"/>
          <w:szCs w:val="21"/>
          <w:highlight w:val="none"/>
          <w:lang w:bidi="ar"/>
        </w:rPr>
        <w:t>第</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1</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至</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val="en-US" w:eastAsia="zh-CN" w:bidi="ar"/>
        </w:rPr>
        <w:t>5</w:t>
      </w:r>
      <w:r>
        <w:rPr>
          <w:rFonts w:hint="eastAsia" w:ascii="宋体" w:hAnsi="宋体" w:eastAsia="宋体" w:cs="宋体"/>
          <w:color w:val="auto"/>
          <w:kern w:val="0"/>
          <w:szCs w:val="21"/>
          <w:highlight w:val="none"/>
          <w:lang w:eastAsia="zh-CN" w:bidi="ar"/>
        </w:rPr>
        <w:t>）</w:t>
      </w:r>
      <w:r>
        <w:rPr>
          <w:rFonts w:hint="eastAsia" w:ascii="宋体" w:hAnsi="宋体" w:eastAsia="宋体" w:cs="宋体"/>
          <w:color w:val="auto"/>
          <w:kern w:val="0"/>
          <w:szCs w:val="21"/>
          <w:highlight w:val="none"/>
          <w:lang w:bidi="ar"/>
        </w:rPr>
        <w:t>项的所有参数的检验报告复印件）</w:t>
      </w:r>
      <w:r>
        <w:rPr>
          <w:rFonts w:hint="eastAsia" w:ascii="宋体" w:hAnsi="宋体" w:eastAsia="宋体" w:cs="宋体"/>
          <w:color w:val="auto"/>
          <w:kern w:val="0"/>
          <w:szCs w:val="21"/>
          <w:highlight w:val="none"/>
          <w:lang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（9）无线路由器AP</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支持802.11ax 协议，兼容802.11a/b/g/n/ac协议，支持2.4G和5G同时工作</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2</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支持2.4G 2*2条流及 5G 2*2条流；2.4G最大传输速率≥570Mbps，5G最大传输速率≥1200Mbps，整机最大传输速率≥1.7Gbps</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3</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千兆以太网口≥2个</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4</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内置智能天线</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5</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支持802.3af标准的PoE供电和本地电源适配器供电两种方式，满负荷工作功耗≤14W</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6</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单射频接入人数≥500，整机最大接入人数≥1000</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eastAsia" w:ascii="宋体" w:hAnsi="宋体" w:eastAsia="宋体" w:cs="宋体"/>
          <w:b w:val="0"/>
          <w:bCs/>
          <w:color w:val="000000"/>
          <w:kern w:val="0"/>
          <w:sz w:val="21"/>
          <w:szCs w:val="21"/>
          <w:lang w:val="en-US" w:eastAsia="zh-CN" w:bidi="ar"/>
        </w:rPr>
        <w:t>7、</w:t>
      </w:r>
      <w:r>
        <w:rPr>
          <w:rFonts w:hint="default" w:ascii="宋体" w:hAnsi="宋体" w:eastAsia="宋体" w:cs="宋体"/>
          <w:b w:val="0"/>
          <w:bCs/>
          <w:color w:val="000000"/>
          <w:kern w:val="0"/>
          <w:sz w:val="21"/>
          <w:szCs w:val="21"/>
          <w:lang w:val="en-US" w:eastAsia="zh-CN" w:bidi="ar"/>
        </w:rPr>
        <w:t>支持虚拟AP技术，单射频SSID数量≥16，整机≥32</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eastAsia" w:ascii="宋体" w:hAnsi="宋体" w:eastAsia="宋体" w:cs="宋体"/>
          <w:b w:val="0"/>
          <w:bCs/>
          <w:color w:val="000000"/>
          <w:kern w:val="0"/>
          <w:sz w:val="21"/>
          <w:szCs w:val="21"/>
          <w:lang w:val="en-US" w:eastAsia="zh-CN" w:bidi="ar"/>
        </w:rPr>
        <w:t>8、</w:t>
      </w:r>
      <w:r>
        <w:rPr>
          <w:rFonts w:hint="default" w:ascii="宋体" w:hAnsi="宋体" w:eastAsia="宋体" w:cs="宋体"/>
          <w:b w:val="0"/>
          <w:bCs/>
          <w:color w:val="000000"/>
          <w:kern w:val="0"/>
          <w:sz w:val="21"/>
          <w:szCs w:val="21"/>
          <w:lang w:val="en-US" w:eastAsia="zh-CN" w:bidi="ar"/>
        </w:rPr>
        <w:t>支持Fat和Fit 两种工作模式，根据网络规划的需要，可以灵活地在Fat和Fit两种工作模式中切换，同时可以根据应用需求，选择工作模式</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eastAsia" w:ascii="宋体" w:hAnsi="宋体" w:eastAsia="宋体" w:cs="宋体"/>
          <w:b w:val="0"/>
          <w:bCs/>
          <w:color w:val="000000"/>
          <w:kern w:val="0"/>
          <w:sz w:val="21"/>
          <w:szCs w:val="21"/>
          <w:lang w:val="en-US" w:eastAsia="zh-CN" w:bidi="ar"/>
        </w:rPr>
        <w:t>9、</w:t>
      </w:r>
      <w:r>
        <w:rPr>
          <w:rFonts w:hint="default" w:ascii="宋体" w:hAnsi="宋体" w:eastAsia="宋体" w:cs="宋体"/>
          <w:b w:val="0"/>
          <w:bCs/>
          <w:color w:val="000000"/>
          <w:kern w:val="0"/>
          <w:sz w:val="21"/>
          <w:szCs w:val="21"/>
          <w:lang w:val="en-US" w:eastAsia="zh-CN" w:bidi="ar"/>
        </w:rPr>
        <w:t>支持Wi-Fi报文进行侦听捕获并实时镜像到本地分析设备供网络管理员进行故障排查、优化分析</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eastAsia" w:ascii="宋体" w:hAnsi="宋体" w:eastAsia="宋体" w:cs="宋体"/>
          <w:b w:val="0"/>
          <w:bCs/>
          <w:color w:val="000000"/>
          <w:kern w:val="0"/>
          <w:sz w:val="21"/>
          <w:szCs w:val="21"/>
          <w:lang w:val="en-US" w:eastAsia="zh-CN" w:bidi="ar"/>
        </w:rPr>
        <w:t>10、</w:t>
      </w:r>
      <w:r>
        <w:rPr>
          <w:rFonts w:hint="default" w:ascii="宋体" w:hAnsi="宋体" w:eastAsia="宋体" w:cs="宋体"/>
          <w:b w:val="0"/>
          <w:bCs/>
          <w:color w:val="000000"/>
          <w:kern w:val="0"/>
          <w:sz w:val="21"/>
          <w:szCs w:val="21"/>
          <w:lang w:val="en-US" w:eastAsia="zh-CN" w:bidi="ar"/>
        </w:rPr>
        <w:t>支持802.1x 认证、MAC 地址认证、PSK 认证、Portal认证等认证方式，支持面向访客的二维码审核认证方式</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1、</w:t>
      </w:r>
      <w:r>
        <w:rPr>
          <w:rFonts w:hint="default" w:ascii="宋体" w:hAnsi="宋体" w:eastAsia="宋体" w:cs="宋体"/>
          <w:b w:val="0"/>
          <w:bCs/>
          <w:color w:val="000000"/>
          <w:kern w:val="0"/>
          <w:sz w:val="21"/>
          <w:szCs w:val="21"/>
          <w:lang w:val="en-US" w:eastAsia="zh-CN" w:bidi="ar"/>
        </w:rPr>
        <w:t>支持802.11h 动态频率选择(DFS)、信道自动扫描功能，自动规避干扰</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2、</w:t>
      </w:r>
      <w:r>
        <w:rPr>
          <w:rFonts w:hint="default" w:ascii="宋体" w:hAnsi="宋体" w:eastAsia="宋体" w:cs="宋体"/>
          <w:b w:val="0"/>
          <w:bCs/>
          <w:color w:val="000000"/>
          <w:kern w:val="0"/>
          <w:sz w:val="21"/>
          <w:szCs w:val="21"/>
          <w:lang w:val="en-US" w:eastAsia="zh-CN" w:bidi="ar"/>
        </w:rPr>
        <w:t>支持无线带宽平均分配，让不同协商速率的终端占用相等的无线信道时间，防止低速终端拉低网络整体速率</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3、</w:t>
      </w:r>
      <w:r>
        <w:rPr>
          <w:rFonts w:hint="default" w:ascii="宋体" w:hAnsi="宋体" w:eastAsia="宋体" w:cs="宋体"/>
          <w:b w:val="0"/>
          <w:bCs/>
          <w:color w:val="000000"/>
          <w:kern w:val="0"/>
          <w:sz w:val="21"/>
          <w:szCs w:val="21"/>
          <w:lang w:val="en-US" w:eastAsia="zh-CN" w:bidi="ar"/>
        </w:rPr>
        <w:t>通过基于特征和协议的射频优化，有效提升无线部署中高密度接入、流媒体传输等场景中的应用加速能力和质量保障效果</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4、</w:t>
      </w:r>
      <w:r>
        <w:rPr>
          <w:rFonts w:hint="default" w:ascii="宋体" w:hAnsi="宋体" w:eastAsia="宋体" w:cs="宋体"/>
          <w:b w:val="0"/>
          <w:bCs/>
          <w:color w:val="000000"/>
          <w:kern w:val="0"/>
          <w:sz w:val="21"/>
          <w:szCs w:val="21"/>
          <w:lang w:val="en-US" w:eastAsia="zh-CN" w:bidi="ar"/>
        </w:rPr>
        <w:t>无线AP支持联动安全策略，通过安全策略可以实现对疑似感染病毒或已感染病毒的无线客户端进行识别、监控与隔离等多种方式的处理</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5、</w:t>
      </w:r>
      <w:r>
        <w:rPr>
          <w:rFonts w:hint="default" w:ascii="宋体" w:hAnsi="宋体" w:eastAsia="宋体" w:cs="宋体"/>
          <w:b w:val="0"/>
          <w:bCs/>
          <w:color w:val="000000"/>
          <w:kern w:val="0"/>
          <w:sz w:val="21"/>
          <w:szCs w:val="21"/>
          <w:lang w:val="en-US" w:eastAsia="zh-CN" w:bidi="ar"/>
        </w:rPr>
        <w:t>支持将在内网进行ARP扫描、IP扫描、端口扫描达到阈值后的终端执行告警或自动拉入动态黑名单</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6、</w:t>
      </w:r>
      <w:r>
        <w:rPr>
          <w:rFonts w:hint="default" w:ascii="宋体" w:hAnsi="宋体" w:eastAsia="宋体" w:cs="宋体"/>
          <w:b w:val="0"/>
          <w:bCs/>
          <w:color w:val="000000"/>
          <w:kern w:val="0"/>
          <w:sz w:val="21"/>
          <w:szCs w:val="21"/>
          <w:lang w:val="en-US" w:eastAsia="zh-CN" w:bidi="ar"/>
        </w:rPr>
        <w:t>支持Fit AP切换成网关模式（非Fat AP模式），支持PPPoE拨号、静态IP、DHCP三种上网方式</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7、</w:t>
      </w:r>
      <w:r>
        <w:rPr>
          <w:rFonts w:hint="default" w:ascii="宋体" w:hAnsi="宋体" w:eastAsia="宋体" w:cs="宋体"/>
          <w:b w:val="0"/>
          <w:bCs/>
          <w:color w:val="000000"/>
          <w:kern w:val="0"/>
          <w:sz w:val="21"/>
          <w:szCs w:val="21"/>
          <w:lang w:val="en-US" w:eastAsia="zh-CN" w:bidi="ar"/>
        </w:rPr>
        <w:t>支持逃生模式，AP与控制器连接中断后，原有用户在线、新用户正常接入，业务不中断。</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（10）控制室有线终端控制软件</w:t>
      </w:r>
    </w:p>
    <w:p>
      <w:pPr>
        <w:keepNext w:val="0"/>
        <w:keepLines w:val="0"/>
        <w:widowControl/>
        <w:suppressLineNumbers w:val="0"/>
        <w:jc w:val="both"/>
        <w:rPr>
          <w:rFonts w:hint="default"/>
          <w:lang w:val="en-US" w:eastAsia="zh-CN"/>
        </w:rPr>
      </w:pPr>
      <w:r>
        <w:rPr>
          <w:rFonts w:hint="default"/>
          <w:lang w:val="en-US" w:eastAsia="zh-CN"/>
        </w:rPr>
        <w:t>1</w:t>
      </w:r>
      <w:r>
        <w:rPr>
          <w:rFonts w:hint="eastAsia"/>
          <w:lang w:val="en-US" w:eastAsia="zh-CN"/>
        </w:rPr>
        <w:t>、</w:t>
      </w:r>
      <w:r>
        <w:rPr>
          <w:rFonts w:hint="default"/>
          <w:lang w:val="en-US" w:eastAsia="zh-CN"/>
        </w:rPr>
        <w:t>软件支持浏览所有输入信号的实时预览画面</w:t>
      </w:r>
      <w:r>
        <w:rPr>
          <w:rFonts w:hint="eastAsia"/>
          <w:lang w:val="en-US" w:eastAsia="zh-CN"/>
        </w:rPr>
        <w:t>，</w:t>
      </w:r>
      <w:r>
        <w:rPr>
          <w:rFonts w:hint="default"/>
          <w:lang w:val="en-US" w:eastAsia="zh-CN"/>
        </w:rPr>
        <w:t>所有信号预监时</w:t>
      </w:r>
      <w:r>
        <w:rPr>
          <w:rFonts w:hint="eastAsia"/>
          <w:lang w:val="en-US" w:eastAsia="zh-CN"/>
        </w:rPr>
        <w:t>，</w:t>
      </w:r>
      <w:r>
        <w:rPr>
          <w:rFonts w:hint="default"/>
          <w:lang w:val="en-US" w:eastAsia="zh-CN"/>
        </w:rPr>
        <w:t>无需额外功能板卡占用设备槽位</w:t>
      </w:r>
      <w:r>
        <w:rPr>
          <w:rFonts w:hint="eastAsia"/>
          <w:lang w:val="en-US" w:eastAsia="zh-CN"/>
        </w:rPr>
        <w:t>；</w:t>
      </w:r>
      <w:r>
        <w:rPr>
          <w:rFonts w:hint="default"/>
          <w:lang w:val="en-US" w:eastAsia="zh-CN"/>
        </w:rPr>
        <w:t>支持高清、流畅两种模式信号源预览。高清模式像素不少于48W</w:t>
      </w:r>
      <w:r>
        <w:rPr>
          <w:rFonts w:hint="eastAsia"/>
          <w:lang w:val="en-US" w:eastAsia="zh-CN"/>
        </w:rPr>
        <w:t>，</w:t>
      </w:r>
      <w:r>
        <w:rPr>
          <w:rFonts w:hint="default"/>
          <w:lang w:val="en-US" w:eastAsia="zh-CN"/>
        </w:rPr>
        <w:t>流畅模式帧率不少于30Hz</w:t>
      </w:r>
      <w:r>
        <w:rPr>
          <w:rFonts w:hint="eastAsia"/>
          <w:lang w:val="en-US" w:eastAsia="zh-CN"/>
        </w:rPr>
        <w:t>；</w:t>
      </w:r>
      <w:r>
        <w:rPr>
          <w:rFonts w:hint="default"/>
          <w:lang w:val="en-US" w:eastAsia="zh-CN"/>
        </w:rPr>
        <w:t>支持所有信号输入音量开关控制、预监及预调节功能</w:t>
      </w:r>
      <w:r>
        <w:rPr>
          <w:rFonts w:hint="eastAsia"/>
          <w:lang w:val="en-US" w:eastAsia="zh-CN"/>
        </w:rPr>
        <w:t>，</w:t>
      </w:r>
      <w:r>
        <w:rPr>
          <w:rFonts w:hint="default"/>
          <w:lang w:val="en-US" w:eastAsia="zh-CN"/>
        </w:rPr>
        <w:t>同时支持对输入信号源叠加VU音频音柱显示，并可根据音频大小进行变化。</w:t>
      </w:r>
    </w:p>
    <w:p>
      <w:pPr>
        <w:keepNext w:val="0"/>
        <w:keepLines w:val="0"/>
        <w:widowControl/>
        <w:suppressLineNumbers w:val="0"/>
        <w:jc w:val="both"/>
        <w:rPr>
          <w:rFonts w:hint="default"/>
          <w:lang w:val="en-US" w:eastAsia="zh-CN"/>
        </w:rPr>
      </w:pPr>
      <w:r>
        <w:rPr>
          <w:rFonts w:hint="default"/>
          <w:lang w:val="en-US" w:eastAsia="zh-CN"/>
        </w:rPr>
        <w:t>2</w:t>
      </w:r>
      <w:r>
        <w:rPr>
          <w:rFonts w:hint="eastAsia"/>
          <w:lang w:val="en-US" w:eastAsia="zh-CN"/>
        </w:rPr>
        <w:t>、</w:t>
      </w:r>
      <w:r>
        <w:rPr>
          <w:rFonts w:hint="default"/>
          <w:lang w:val="en-US" w:eastAsia="zh-CN"/>
        </w:rPr>
        <w:t>支持将端口设置为拼接端口或矩阵端口</w:t>
      </w:r>
      <w:r>
        <w:rPr>
          <w:rFonts w:hint="eastAsia"/>
          <w:lang w:val="en-US" w:eastAsia="zh-CN"/>
        </w:rPr>
        <w:t>，</w:t>
      </w:r>
      <w:r>
        <w:rPr>
          <w:rFonts w:hint="default"/>
          <w:lang w:val="en-US" w:eastAsia="zh-CN"/>
        </w:rPr>
        <w:t>当设置为矩阵端口时，可实现视频矩阵功能，支持矩阵切换</w:t>
      </w:r>
      <w:r>
        <w:rPr>
          <w:rFonts w:hint="eastAsia"/>
          <w:lang w:val="en-US" w:eastAsia="zh-CN"/>
        </w:rPr>
        <w:t>，</w:t>
      </w:r>
      <w:r>
        <w:rPr>
          <w:rFonts w:hint="default"/>
          <w:lang w:val="en-US" w:eastAsia="zh-CN"/>
        </w:rPr>
        <w:t>端口搜索、切换关系预览、矩阵信号预监当被设置为拼接端口时，支持大屏拼接功能。</w:t>
      </w:r>
    </w:p>
    <w:p>
      <w:pPr>
        <w:keepNext w:val="0"/>
        <w:keepLines w:val="0"/>
        <w:widowControl/>
        <w:suppressLineNumbers w:val="0"/>
        <w:jc w:val="both"/>
        <w:rPr>
          <w:rFonts w:hint="default"/>
          <w:lang w:val="en-US" w:eastAsia="zh-CN"/>
        </w:rPr>
      </w:pPr>
      <w:r>
        <w:rPr>
          <w:rFonts w:hint="default"/>
          <w:lang w:val="en-US" w:eastAsia="zh-CN"/>
        </w:rPr>
        <w:t>3</w:t>
      </w:r>
      <w:r>
        <w:rPr>
          <w:rFonts w:hint="eastAsia"/>
          <w:lang w:val="en-US" w:eastAsia="zh-CN"/>
        </w:rPr>
        <w:t>、</w:t>
      </w:r>
      <w:r>
        <w:rPr>
          <w:rFonts w:hint="default"/>
          <w:lang w:val="en-US" w:eastAsia="zh-CN"/>
        </w:rPr>
        <w:t>系统板卡支持设置超低功耗模式，在板卡闲置时，可设置为超低功耗模式</w:t>
      </w:r>
      <w:r>
        <w:rPr>
          <w:rFonts w:hint="eastAsia"/>
          <w:lang w:val="en-US" w:eastAsia="zh-CN"/>
        </w:rPr>
        <w:t>，</w:t>
      </w:r>
      <w:r>
        <w:rPr>
          <w:rFonts w:hint="default"/>
          <w:lang w:val="en-US" w:eastAsia="zh-CN"/>
        </w:rPr>
        <w:t>将板卡功耗降低至0.6w以下，在使用时恢复为正常工作模式</w:t>
      </w:r>
      <w:r>
        <w:rPr>
          <w:rFonts w:hint="eastAsia"/>
          <w:lang w:val="en-US" w:eastAsia="zh-CN"/>
        </w:rPr>
        <w:t>，</w:t>
      </w:r>
      <w:r>
        <w:rPr>
          <w:rFonts w:hint="default"/>
          <w:lang w:val="en-US" w:eastAsia="zh-CN"/>
        </w:rPr>
        <w:t>进而实现系统的系统功耗动态管理。</w:t>
      </w:r>
    </w:p>
    <w:p>
      <w:pPr>
        <w:keepNext w:val="0"/>
        <w:keepLines w:val="0"/>
        <w:widowControl/>
        <w:suppressLineNumbers w:val="0"/>
        <w:jc w:val="both"/>
        <w:rPr>
          <w:rFonts w:hint="default"/>
          <w:lang w:val="en-US" w:eastAsia="zh-CN"/>
        </w:rPr>
      </w:pPr>
      <w:r>
        <w:rPr>
          <w:rFonts w:hint="default"/>
          <w:lang w:val="en-US" w:eastAsia="zh-CN"/>
        </w:rPr>
        <w:t>4</w:t>
      </w:r>
      <w:r>
        <w:rPr>
          <w:rFonts w:hint="eastAsia"/>
          <w:lang w:val="en-US" w:eastAsia="zh-CN"/>
        </w:rPr>
        <w:t>、</w:t>
      </w:r>
      <w:r>
        <w:rPr>
          <w:rFonts w:hint="default"/>
          <w:lang w:val="en-US" w:eastAsia="zh-CN"/>
        </w:rPr>
        <w:t>系统默认可以输出不少于7种测试颜色及网格图像，以对设备输出进行测试</w:t>
      </w:r>
      <w:r>
        <w:rPr>
          <w:rFonts w:hint="eastAsia"/>
          <w:lang w:val="en-US" w:eastAsia="zh-CN"/>
        </w:rPr>
        <w:t>；</w:t>
      </w:r>
      <w:r>
        <w:rPr>
          <w:rFonts w:hint="default"/>
          <w:lang w:val="en-US" w:eastAsia="zh-CN"/>
        </w:rPr>
        <w:t>或者指定输出默认图像</w:t>
      </w:r>
      <w:r>
        <w:rPr>
          <w:rFonts w:hint="eastAsia"/>
          <w:lang w:val="en-US" w:eastAsia="zh-CN"/>
        </w:rPr>
        <w:t>，</w:t>
      </w:r>
      <w:r>
        <w:rPr>
          <w:rFonts w:hint="default"/>
          <w:lang w:val="en-US" w:eastAsia="zh-CN"/>
        </w:rPr>
        <w:t>并可以设置无信号源时输出的图像</w:t>
      </w:r>
      <w:r>
        <w:rPr>
          <w:rFonts w:hint="eastAsia"/>
          <w:lang w:val="en-US" w:eastAsia="zh-CN"/>
        </w:rPr>
        <w:t>；</w:t>
      </w:r>
      <w:r>
        <w:rPr>
          <w:rFonts w:hint="default"/>
          <w:lang w:val="en-US" w:eastAsia="zh-CN"/>
        </w:rPr>
        <w:t>支持输出测试图形</w:t>
      </w:r>
      <w:r>
        <w:rPr>
          <w:rFonts w:hint="eastAsia"/>
          <w:lang w:val="en-US" w:eastAsia="zh-CN"/>
        </w:rPr>
        <w:t>，</w:t>
      </w:r>
      <w:r>
        <w:rPr>
          <w:rFonts w:hint="default"/>
          <w:lang w:val="en-US" w:eastAsia="zh-CN"/>
        </w:rPr>
        <w:t>支持输出256×256×256种单色图像和网格图像；</w:t>
      </w:r>
    </w:p>
    <w:p>
      <w:pPr>
        <w:keepNext w:val="0"/>
        <w:keepLines w:val="0"/>
        <w:widowControl/>
        <w:suppressLineNumbers w:val="0"/>
        <w:jc w:val="both"/>
        <w:rPr>
          <w:rFonts w:hint="default"/>
          <w:lang w:val="en-US" w:eastAsia="zh-CN"/>
        </w:rPr>
      </w:pPr>
      <w:r>
        <w:rPr>
          <w:rFonts w:hint="default"/>
          <w:lang w:val="en-US" w:eastAsia="zh-CN"/>
        </w:rPr>
        <w:t>5</w:t>
      </w:r>
      <w:r>
        <w:rPr>
          <w:rFonts w:hint="eastAsia"/>
          <w:lang w:val="en-US" w:eastAsia="zh-CN"/>
        </w:rPr>
        <w:t>、</w:t>
      </w:r>
      <w:r>
        <w:rPr>
          <w:rFonts w:hint="default"/>
          <w:lang w:val="en-US" w:eastAsia="zh-CN"/>
        </w:rPr>
        <w:t>系统支持前面板触摸屏显示、操作功能，通过前面板触摸屏可实现对拼接屏屏组预案进行调取</w:t>
      </w:r>
      <w:r>
        <w:rPr>
          <w:rFonts w:hint="eastAsia"/>
          <w:lang w:val="en-US" w:eastAsia="zh-CN"/>
        </w:rPr>
        <w:t>，</w:t>
      </w:r>
      <w:r>
        <w:rPr>
          <w:rFonts w:hint="default"/>
          <w:lang w:val="en-US" w:eastAsia="zh-CN"/>
        </w:rPr>
        <w:t>对输入信号源进行可视化预监显示。实现设备运行状态可视化</w:t>
      </w:r>
      <w:r>
        <w:rPr>
          <w:rFonts w:hint="eastAsia"/>
          <w:lang w:val="en-US" w:eastAsia="zh-CN"/>
        </w:rPr>
        <w:t>，</w:t>
      </w:r>
      <w:r>
        <w:rPr>
          <w:rFonts w:hint="default"/>
          <w:lang w:val="en-US" w:eastAsia="zh-CN"/>
        </w:rPr>
        <w:t>可显示设备型号、IP地址等基础信息</w:t>
      </w:r>
      <w:r>
        <w:rPr>
          <w:rFonts w:hint="eastAsia"/>
          <w:lang w:val="en-US" w:eastAsia="zh-CN"/>
        </w:rPr>
        <w:t>，</w:t>
      </w:r>
      <w:r>
        <w:rPr>
          <w:rFonts w:hint="default"/>
          <w:lang w:val="en-US" w:eastAsia="zh-CN"/>
        </w:rPr>
        <w:t>同时可通过升级的液晶前面板实现设备操作。</w:t>
      </w:r>
    </w:p>
    <w:p>
      <w:pPr>
        <w:keepNext w:val="0"/>
        <w:keepLines w:val="0"/>
        <w:widowControl/>
        <w:suppressLineNumbers w:val="0"/>
        <w:jc w:val="both"/>
        <w:rPr>
          <w:rFonts w:hint="default"/>
          <w:lang w:val="en-US" w:eastAsia="zh-CN"/>
        </w:rPr>
      </w:pPr>
      <w:r>
        <w:rPr>
          <w:rFonts w:hint="default"/>
          <w:lang w:val="en-US" w:eastAsia="zh-CN"/>
        </w:rPr>
        <w:t>6</w:t>
      </w:r>
      <w:r>
        <w:rPr>
          <w:rFonts w:hint="eastAsia"/>
          <w:lang w:val="en-US" w:eastAsia="zh-CN"/>
        </w:rPr>
        <w:t>、</w:t>
      </w:r>
      <w:r>
        <w:rPr>
          <w:rFonts w:hint="default"/>
          <w:lang w:val="en-US" w:eastAsia="zh-CN"/>
        </w:rPr>
        <w:t>移动控制端支持Windows、i0S、Android操作系统</w:t>
      </w:r>
      <w:r>
        <w:rPr>
          <w:rFonts w:hint="eastAsia"/>
          <w:lang w:val="en-US" w:eastAsia="zh-CN"/>
        </w:rPr>
        <w:t>；</w:t>
      </w:r>
      <w:r>
        <w:rPr>
          <w:rFonts w:hint="default"/>
          <w:lang w:val="en-US" w:eastAsia="zh-CN"/>
        </w:rPr>
        <w:t>支持Windows、Linux</w:t>
      </w:r>
      <w:r>
        <w:rPr>
          <w:rFonts w:hint="eastAsia"/>
          <w:lang w:val="en-US" w:eastAsia="zh-CN"/>
        </w:rPr>
        <w:t>，</w:t>
      </w:r>
      <w:r>
        <w:rPr>
          <w:rFonts w:hint="default"/>
          <w:lang w:val="en-US" w:eastAsia="zh-CN"/>
        </w:rPr>
        <w:t xml:space="preserve"> Mac、中标麒麟、银河麒麟等系统通过C/S、B/S软件进行控制</w:t>
      </w:r>
      <w:r>
        <w:rPr>
          <w:rFonts w:hint="eastAsia"/>
          <w:lang w:val="en-US" w:eastAsia="zh-CN"/>
        </w:rPr>
        <w:t>；</w:t>
      </w:r>
      <w:r>
        <w:rPr>
          <w:rFonts w:hint="default"/>
          <w:lang w:val="en-US" w:eastAsia="zh-CN"/>
        </w:rPr>
        <w:t>支持通过TCP/IP网口与RS232/422/485串口进行管理控制，开放控制协议，可同时响应不少于32条命令的同时切换。系统支持网络管理协议</w:t>
      </w:r>
      <w:r>
        <w:rPr>
          <w:rFonts w:hint="eastAsia"/>
          <w:lang w:val="en-US" w:eastAsia="zh-CN"/>
        </w:rPr>
        <w:t>，</w:t>
      </w:r>
      <w:r>
        <w:rPr>
          <w:rFonts w:hint="default"/>
          <w:lang w:val="en-US" w:eastAsia="zh-CN"/>
        </w:rPr>
        <w:t>配合指控系统保障平台，实现显控应用。</w:t>
      </w:r>
    </w:p>
    <w:p>
      <w:pPr>
        <w:keepNext w:val="0"/>
        <w:keepLines w:val="0"/>
        <w:widowControl/>
        <w:suppressLineNumbers w:val="0"/>
        <w:jc w:val="both"/>
        <w:rPr>
          <w:rFonts w:hint="default"/>
          <w:lang w:val="en-US" w:eastAsia="zh-CN"/>
        </w:rPr>
      </w:pPr>
      <w:r>
        <w:rPr>
          <w:rFonts w:hint="default"/>
          <w:lang w:val="en-US" w:eastAsia="zh-CN"/>
        </w:rPr>
        <w:t>7</w:t>
      </w:r>
      <w:r>
        <w:rPr>
          <w:rFonts w:hint="eastAsia"/>
          <w:lang w:val="en-US" w:eastAsia="zh-CN"/>
        </w:rPr>
        <w:t>、</w:t>
      </w:r>
      <w:r>
        <w:rPr>
          <w:rFonts w:hint="default"/>
          <w:lang w:val="en-US" w:eastAsia="zh-CN"/>
        </w:rPr>
        <w:t>多用户同时登录</w:t>
      </w:r>
      <w:r>
        <w:rPr>
          <w:rFonts w:hint="eastAsia"/>
          <w:lang w:val="en-US" w:eastAsia="zh-CN"/>
        </w:rPr>
        <w:t>，</w:t>
      </w:r>
      <w:r>
        <w:rPr>
          <w:rFonts w:hint="default"/>
          <w:lang w:val="en-US" w:eastAsia="zh-CN"/>
        </w:rPr>
        <w:t>支持设置用户权限级别，各个操作用户可根据实际需求设置不用用户级别</w:t>
      </w:r>
      <w:r>
        <w:rPr>
          <w:rFonts w:hint="eastAsia"/>
          <w:lang w:val="en-US" w:eastAsia="zh-CN"/>
        </w:rPr>
        <w:t>，</w:t>
      </w:r>
      <w:r>
        <w:rPr>
          <w:rFonts w:hint="default"/>
          <w:lang w:val="en-US" w:eastAsia="zh-CN"/>
        </w:rPr>
        <w:t>划分不同用户权限</w:t>
      </w:r>
      <w:r>
        <w:rPr>
          <w:rFonts w:hint="eastAsia"/>
          <w:lang w:val="en-US" w:eastAsia="zh-CN"/>
        </w:rPr>
        <w:t>，</w:t>
      </w:r>
      <w:r>
        <w:rPr>
          <w:rFonts w:hint="default"/>
          <w:lang w:val="en-US" w:eastAsia="zh-CN"/>
        </w:rPr>
        <w:t>用户之间操作同步实时显示</w:t>
      </w:r>
      <w:r>
        <w:rPr>
          <w:rFonts w:hint="eastAsia"/>
          <w:lang w:val="en-US" w:eastAsia="zh-CN"/>
        </w:rPr>
        <w:t>；</w:t>
      </w:r>
      <w:r>
        <w:rPr>
          <w:rFonts w:hint="default"/>
          <w:lang w:val="en-US" w:eastAsia="zh-CN"/>
        </w:rPr>
        <w:t>支持对用户进行分组，支持多用户之间支持分级分权限管理</w:t>
      </w:r>
      <w:r>
        <w:rPr>
          <w:rFonts w:hint="eastAsia"/>
          <w:lang w:val="en-US" w:eastAsia="zh-CN"/>
        </w:rPr>
        <w:t>，</w:t>
      </w:r>
      <w:r>
        <w:rPr>
          <w:rFonts w:hint="default"/>
          <w:lang w:val="en-US" w:eastAsia="zh-CN"/>
        </w:rPr>
        <w:t>操作实时同步显示</w:t>
      </w:r>
      <w:r>
        <w:rPr>
          <w:rFonts w:hint="eastAsia"/>
          <w:lang w:val="en-US" w:eastAsia="zh-CN"/>
        </w:rPr>
        <w:t>；</w:t>
      </w:r>
      <w:r>
        <w:rPr>
          <w:rFonts w:hint="default"/>
          <w:lang w:val="en-US" w:eastAsia="zh-CN"/>
        </w:rPr>
        <w:t>支持对用户的权限进行分配管理和回收</w:t>
      </w:r>
      <w:r>
        <w:rPr>
          <w:rFonts w:hint="eastAsia"/>
          <w:lang w:val="en-US" w:eastAsia="zh-CN"/>
        </w:rPr>
        <w:t>；</w:t>
      </w:r>
    </w:p>
    <w:p>
      <w:pPr>
        <w:widowControl/>
        <w:jc w:val="both"/>
        <w:rPr>
          <w:rFonts w:hint="default"/>
          <w:sz w:val="21"/>
          <w:szCs w:val="22"/>
          <w:lang w:bidi="ar"/>
        </w:rPr>
      </w:pPr>
      <w:r>
        <w:rPr>
          <w:rFonts w:hint="default"/>
          <w:lang w:val="en-US" w:eastAsia="zh-CN"/>
        </w:rPr>
        <w:t>8</w:t>
      </w:r>
      <w:r>
        <w:rPr>
          <w:rFonts w:hint="eastAsia"/>
          <w:lang w:val="en-US" w:eastAsia="zh-CN"/>
        </w:rPr>
        <w:t>、</w:t>
      </w:r>
      <w:r>
        <w:rPr>
          <w:rFonts w:hint="default"/>
          <w:lang w:val="en-US" w:eastAsia="zh-CN"/>
        </w:rPr>
        <w:t>系统支持板卡按屏组进行电源管理</w:t>
      </w:r>
      <w:r>
        <w:rPr>
          <w:rFonts w:hint="eastAsia"/>
          <w:lang w:val="en-US" w:eastAsia="zh-CN"/>
        </w:rPr>
        <w:t>，</w:t>
      </w:r>
      <w:r>
        <w:rPr>
          <w:rFonts w:hint="default"/>
          <w:lang w:val="en-US" w:eastAsia="zh-CN"/>
        </w:rPr>
        <w:t>可根据实际使用需求，对屏组板卡进行上电、待机管理</w:t>
      </w:r>
      <w:r>
        <w:rPr>
          <w:rFonts w:hint="eastAsia"/>
          <w:lang w:val="en-US" w:eastAsia="zh-CN"/>
        </w:rPr>
        <w:t>；</w:t>
      </w:r>
      <w:r>
        <w:rPr>
          <w:rFonts w:hint="default"/>
          <w:lang w:val="en-US" w:eastAsia="zh-CN"/>
        </w:rPr>
        <w:t>可通过设置，对屏组板卡进行定时开关上电管理</w:t>
      </w:r>
      <w:r>
        <w:rPr>
          <w:rFonts w:hint="eastAsia"/>
          <w:lang w:val="en-US" w:eastAsia="zh-CN"/>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（11）高端扬声器</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低频驱动器：不少于6.5英寸聚丙烯锥体，丁基橡胶环绕，阳极氧化铝音圈，高温音圈</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2</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高频驱动器：不少于19毫米（0.75英寸）高阻尼处理丝绸圆顶，音圈，液体冷却，宽色散波导</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3</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盲装背板可以快速方便地安装</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4</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功率：设置为8Ω时功率为50W，定压30W，15W，7.5W@70V或100V（仅限3.8W@70V）</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5</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频率范围（-10dB）</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62Hz-20kHz</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6</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频率响应（±3dB）</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96Hz-15kHz</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7</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灵敏度：不少于91分贝</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8</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覆盖角度：不少于110°锥形覆盖</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9</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指向性因子（Q）：不少于7.8</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10</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指向性指数（DI）：不少于8.2dB</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额定最大声压级：不少于108dB@1m（3.3ft）平均值，116dB峰值</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12</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阻抗8欧姆（直接/旁路8Ω设置）</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13</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交叉网络：12dB/oct（2阶）低通到LF驱动器，12dB/oct（2阶）高通到HF驱动器</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14</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输入连接器：</w:t>
      </w:r>
      <w:r>
        <w:rPr>
          <w:rFonts w:hint="eastAsia" w:ascii="宋体" w:hAnsi="宋体" w:eastAsia="宋体" w:cs="宋体"/>
          <w:b w:val="0"/>
          <w:bCs/>
          <w:color w:val="000000"/>
          <w:kern w:val="0"/>
          <w:sz w:val="21"/>
          <w:szCs w:val="21"/>
          <w:lang w:val="en-US" w:eastAsia="zh-CN" w:bidi="ar"/>
        </w:rPr>
        <w:t>支持</w:t>
      </w:r>
      <w:r>
        <w:rPr>
          <w:rFonts w:hint="default" w:ascii="宋体" w:hAnsi="宋体" w:eastAsia="宋体" w:cs="宋体"/>
          <w:b w:val="0"/>
          <w:bCs/>
          <w:color w:val="000000"/>
          <w:kern w:val="0"/>
          <w:sz w:val="21"/>
          <w:szCs w:val="21"/>
          <w:lang w:val="en-US" w:eastAsia="zh-CN" w:bidi="ar"/>
        </w:rPr>
        <w:t>可拆卸锁定4针连接器，带螺钉端子</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15</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最大线径：不少于12AWG（2.5mm2）。</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（12）高端扬声器功放</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立体声4Ω：2×700W</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2</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立体声8Ω：2×350W</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3</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信噪比：≥90dB</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4</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总谐波失真（THD）：＜0.1%</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5</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频率响应：20Hz-20kHz。</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w:t>
      </w:r>
      <w:r>
        <w:rPr>
          <w:rFonts w:hint="eastAsia" w:ascii="宋体" w:hAnsi="宋体" w:eastAsia="宋体" w:cs="宋体"/>
          <w:b/>
          <w:bCs/>
          <w:color w:val="auto"/>
          <w:kern w:val="2"/>
          <w:sz w:val="24"/>
          <w:szCs w:val="24"/>
          <w:highlight w:val="none"/>
          <w:lang w:val="zh-CN" w:eastAsia="zh-CN" w:bidi="ar"/>
        </w:rPr>
        <w:t>13</w:t>
      </w:r>
      <w:r>
        <w:rPr>
          <w:rFonts w:hint="eastAsia" w:ascii="宋体" w:hAnsi="宋体" w:eastAsia="宋体" w:cs="宋体"/>
          <w:b/>
          <w:bCs/>
          <w:color w:val="auto"/>
          <w:kern w:val="2"/>
          <w:sz w:val="24"/>
          <w:szCs w:val="24"/>
          <w:highlight w:val="none"/>
          <w:lang w:val="en-US" w:eastAsia="zh-CN" w:bidi="ar"/>
        </w:rPr>
        <w:t>）</w:t>
      </w:r>
      <w:r>
        <w:rPr>
          <w:rFonts w:hint="eastAsia" w:ascii="宋体" w:hAnsi="宋体" w:eastAsia="宋体" w:cs="宋体"/>
          <w:b/>
          <w:bCs/>
          <w:color w:val="auto"/>
          <w:kern w:val="2"/>
          <w:sz w:val="24"/>
          <w:szCs w:val="24"/>
          <w:highlight w:val="none"/>
          <w:lang w:val="zh-CN" w:eastAsia="zh-CN" w:bidi="ar"/>
        </w:rPr>
        <w:t>16路控制带效果器调音台</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配置不少于16路</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2</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可开关幻象电源和PAD开关</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3</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单旋钮压缩器</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4</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EQ和高通滤波器</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5</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AUX/效果发送/编组</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6</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LED电平表</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7</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多种输入/输出接口</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8</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金属机身</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9</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内部全局供电</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10</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支持机柜安装</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11</w:t>
      </w:r>
      <w:r>
        <w:rPr>
          <w:rFonts w:hint="eastAsia" w:ascii="宋体" w:hAnsi="宋体" w:eastAsia="宋体" w:cs="宋体"/>
          <w:b w:val="0"/>
          <w:bCs/>
          <w:color w:val="000000"/>
          <w:kern w:val="0"/>
          <w:sz w:val="21"/>
          <w:szCs w:val="21"/>
          <w:lang w:val="en-US" w:eastAsia="zh-CN" w:bidi="ar"/>
        </w:rPr>
        <w:t>、带有</w:t>
      </w:r>
      <w:r>
        <w:rPr>
          <w:rFonts w:hint="default" w:ascii="宋体" w:hAnsi="宋体" w:eastAsia="宋体" w:cs="宋体"/>
          <w:b w:val="0"/>
          <w:bCs/>
          <w:color w:val="000000"/>
          <w:kern w:val="0"/>
          <w:sz w:val="21"/>
          <w:szCs w:val="21"/>
          <w:lang w:val="en-US" w:eastAsia="zh-CN" w:bidi="ar"/>
        </w:rPr>
        <w:t>运算放大器。</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（14）2通道反馈抑制器</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56-bit高速DSP，24-bit AD和DA转换。分辨精度1Hz，工作频率20Hz-20KHz</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2</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2寸FTF彩屏，中英文菜单可选</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3</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每通道12个动态陷波器加8个静态陷波器，自动抑制啸叫</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4</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自动陷波配合移频使用，超强抑制声反馈</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5</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噪声门功能可以抑制系统微弱噪声干扰</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6</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输入压缩功能在消除反馈同时更可扩展人声动态</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7</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两通道48V幻象电源，可以独立控制通断</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8</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电源使用超低噪音环形变压器</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9</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模拟输入：2CH-XLR和1/4"TRS(母)输入，电子平衡/不平衡；2路独立控制的48V幻象电源</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10</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输入阻抗：平衡 47Ω，不平衡 20KΩ</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最大线路电平输入：+18dBu</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12</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模拟输出：2CH-XLR和1/4" TRS(母)输入，电子平衡/不平衡</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13</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输出阻抗：平衡&gt;120Ω，不平衡&gt;60Ω</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14</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最大输出电平：+20dBu</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15</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频率响应：20Hz-20KHz，±0. 3dB</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16</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信噪比：&gt;105dB(A)</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17</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动态范围：103dB</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18</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总谐波失真+噪声：0.005%，1KHz；20Hz-10KH，&lt;0.01%；10KHz-20KHz，&lt;0.025%。</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（15）电源时序器</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8路带空气开关电源时序器</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2</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2.5平方三芯电缆线，带10A国标插头</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3</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网线端口，外接86底盒开关，无需频繁开机柜开关机</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4</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面板</w:t>
      </w:r>
      <w:r>
        <w:rPr>
          <w:rFonts w:hint="eastAsia" w:ascii="宋体" w:hAnsi="宋体" w:eastAsia="宋体" w:cs="宋体"/>
          <w:b w:val="0"/>
          <w:bCs/>
          <w:color w:val="000000"/>
          <w:kern w:val="0"/>
          <w:sz w:val="21"/>
          <w:szCs w:val="21"/>
          <w:lang w:val="en-US" w:eastAsia="zh-CN" w:bidi="ar"/>
        </w:rPr>
        <w:t>带有</w:t>
      </w:r>
      <w:r>
        <w:rPr>
          <w:rFonts w:hint="default" w:ascii="宋体" w:hAnsi="宋体" w:eastAsia="宋体" w:cs="宋体"/>
          <w:b w:val="0"/>
          <w:bCs/>
          <w:color w:val="000000"/>
          <w:kern w:val="0"/>
          <w:sz w:val="21"/>
          <w:szCs w:val="21"/>
          <w:lang w:val="en-US" w:eastAsia="zh-CN" w:bidi="ar"/>
        </w:rPr>
        <w:t>1路</w:t>
      </w:r>
      <w:r>
        <w:rPr>
          <w:rFonts w:hint="eastAsia" w:ascii="宋体" w:hAnsi="宋体" w:eastAsia="宋体" w:cs="宋体"/>
          <w:b w:val="0"/>
          <w:bCs/>
          <w:color w:val="000000"/>
          <w:kern w:val="0"/>
          <w:sz w:val="21"/>
          <w:szCs w:val="21"/>
          <w:lang w:val="en-US" w:eastAsia="zh-CN" w:bidi="ar"/>
        </w:rPr>
        <w:t>国标</w:t>
      </w:r>
      <w:r>
        <w:rPr>
          <w:rFonts w:hint="default" w:ascii="宋体" w:hAnsi="宋体" w:eastAsia="宋体" w:cs="宋体"/>
          <w:b w:val="0"/>
          <w:bCs/>
          <w:color w:val="000000"/>
          <w:kern w:val="0"/>
          <w:sz w:val="21"/>
          <w:szCs w:val="21"/>
          <w:lang w:val="en-US" w:eastAsia="zh-CN" w:bidi="ar"/>
        </w:rPr>
        <w:t>三角</w:t>
      </w:r>
      <w:r>
        <w:rPr>
          <w:rFonts w:hint="eastAsia" w:ascii="宋体" w:hAnsi="宋体" w:eastAsia="宋体" w:cs="宋体"/>
          <w:b w:val="0"/>
          <w:bCs/>
          <w:color w:val="000000"/>
          <w:kern w:val="0"/>
          <w:sz w:val="21"/>
          <w:szCs w:val="21"/>
          <w:lang w:val="en-US" w:eastAsia="zh-CN" w:bidi="ar"/>
        </w:rPr>
        <w:t>插座</w:t>
      </w:r>
      <w:r>
        <w:rPr>
          <w:rFonts w:hint="default" w:ascii="宋体" w:hAnsi="宋体" w:eastAsia="宋体" w:cs="宋体"/>
          <w:b w:val="0"/>
          <w:bCs/>
          <w:color w:val="000000"/>
          <w:kern w:val="0"/>
          <w:sz w:val="21"/>
          <w:szCs w:val="21"/>
          <w:lang w:val="en-US" w:eastAsia="zh-CN" w:bidi="ar"/>
        </w:rPr>
        <w:t>，防止误接触触电</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5</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8路通道输出，每路延时开启和关闭时间可自由设定（通道延时0~999S）</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6</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LCD电压动态显示，日期、时间、通道显示</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7</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每路10A继电器输出，</w:t>
      </w:r>
      <w:r>
        <w:rPr>
          <w:rFonts w:hint="eastAsia" w:ascii="宋体" w:hAnsi="宋体" w:eastAsia="宋体" w:cs="宋体"/>
          <w:b w:val="0"/>
          <w:bCs/>
          <w:color w:val="000000"/>
          <w:kern w:val="0"/>
          <w:sz w:val="21"/>
          <w:szCs w:val="21"/>
          <w:lang w:val="en-US" w:eastAsia="zh-CN" w:bidi="ar"/>
        </w:rPr>
        <w:t>采用</w:t>
      </w:r>
      <w:r>
        <w:rPr>
          <w:rFonts w:hint="default" w:ascii="宋体" w:hAnsi="宋体" w:eastAsia="宋体" w:cs="宋体"/>
          <w:b w:val="0"/>
          <w:bCs/>
          <w:color w:val="000000"/>
          <w:kern w:val="0"/>
          <w:sz w:val="21"/>
          <w:szCs w:val="21"/>
          <w:lang w:val="en-US" w:eastAsia="zh-CN" w:bidi="ar"/>
        </w:rPr>
        <w:t>纯铜标准接口插座，单路最大输出2KW</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总输出4KW</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8</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自由设定过压、欠压保护，保证电源稳定输出</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9</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配置232中控端口，支持外部中央控制设备控制</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10</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可实现远程集中控制，每台设备自带设备编码ID检测和设置</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支持多台设备级联，级联状态可自动检测及设置</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2、</w:t>
      </w:r>
      <w:r>
        <w:rPr>
          <w:rFonts w:hint="default" w:ascii="宋体" w:hAnsi="宋体" w:eastAsia="宋体" w:cs="宋体"/>
          <w:b w:val="0"/>
          <w:bCs/>
          <w:color w:val="000000"/>
          <w:kern w:val="0"/>
          <w:sz w:val="21"/>
          <w:szCs w:val="21"/>
          <w:lang w:val="en-US" w:eastAsia="zh-CN" w:bidi="ar"/>
        </w:rPr>
        <w:t>面板LOCK锁定功能，防止人为误操作，轻触开机，长按3秒关机。</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（16）有线鹅颈话筒（含底座）</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元件：静电型电容式话筒</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2</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指向性：单一指向性</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3</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频率响应：70~16</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000 Hz</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4</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开路灵敏度：-37 dB (14.1 mV) re 1V at 1 Pa</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5</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阻抗：100 ohms</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6</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最大输入声压级：134 dB SPL</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 xml:space="preserve"> 1 kHz at 1% T.H.D.</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7</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动态范围 (典型值)：106 dB</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 xml:space="preserve"> 1 kHz at Max SPL</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8</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信噪比：66 dB， 1 kHz at 1 Pa</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9</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幻像电源：9-52V DC， 2 mA typical</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10</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输出端子：内置三针XLRM卡农公头</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标配：防风</w:t>
      </w:r>
      <w:r>
        <w:rPr>
          <w:rFonts w:hint="eastAsia" w:ascii="宋体" w:hAnsi="宋体" w:eastAsia="宋体" w:cs="宋体"/>
          <w:b w:val="0"/>
          <w:bCs/>
          <w:color w:val="000000"/>
          <w:kern w:val="0"/>
          <w:sz w:val="21"/>
          <w:szCs w:val="21"/>
          <w:lang w:val="en-US" w:eastAsia="zh-CN" w:bidi="ar"/>
        </w:rPr>
        <w:t>棉</w:t>
      </w:r>
      <w:r>
        <w:rPr>
          <w:rFonts w:hint="default"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（17）防静电活动地板</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防静电地板600X600mm</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2</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可调节支架系统</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3</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钢筋混凝土结构楼板</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（18）木饰面（LED电子大屏幕周边）</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面层：木饰面</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2</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基础：双层6.0mm厚水泥纤维板</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3</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骨架：40X40X4mm热镀锌方钢竖向龙骨(间距600mm)</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40X40X4mm热镀锌角码用φ12mm膨胀螺栓与墙体固定。</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（19）不锈钢踢脚线</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1、材料：不锈钢踢脚</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2、规格：展开12+5+10+20mm</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（20）天棚吊顶（办公室、机房）</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9厘夹板+9.5mm石膏板</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2</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50系列次龙骨、50系列主龙骨</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3</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综合考虑、夹板打底、肋板、凹缝</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（21）乳胶漆饰面（办公室、机房）</w:t>
      </w:r>
    </w:p>
    <w:p>
      <w:pPr>
        <w:keepNext w:val="0"/>
        <w:keepLines w:val="0"/>
        <w:widowControl/>
        <w:numPr>
          <w:ilvl w:val="-1"/>
          <w:numId w:val="0"/>
        </w:numPr>
        <w:suppressLineNumbers w:val="0"/>
        <w:jc w:val="both"/>
        <w:rPr>
          <w:rFonts w:hint="default" w:ascii="宋体" w:hAnsi="宋体" w:eastAsia="宋体" w:cs="宋体"/>
          <w:b w:val="0"/>
          <w:bCs/>
          <w:color w:val="000000"/>
          <w:kern w:val="0"/>
          <w:sz w:val="21"/>
          <w:szCs w:val="21"/>
          <w:lang w:val="en-US" w:eastAsia="zh-CN" w:bidi="ar"/>
        </w:rPr>
      </w:pPr>
      <w:r>
        <w:rPr>
          <w:rFonts w:hint="eastAsia" w:ascii="宋体" w:hAnsi="宋体" w:eastAsia="宋体" w:cs="宋体"/>
          <w:b w:val="0"/>
          <w:bCs/>
          <w:color w:val="000000"/>
          <w:kern w:val="0"/>
          <w:sz w:val="21"/>
          <w:szCs w:val="21"/>
          <w:lang w:val="en-US" w:eastAsia="zh-CN" w:bidi="ar"/>
        </w:rPr>
        <w:t>1、</w:t>
      </w:r>
      <w:r>
        <w:rPr>
          <w:rFonts w:hint="default" w:ascii="宋体" w:hAnsi="宋体" w:eastAsia="宋体" w:cs="宋体"/>
          <w:b w:val="0"/>
          <w:bCs/>
          <w:color w:val="000000"/>
          <w:kern w:val="0"/>
          <w:sz w:val="21"/>
          <w:szCs w:val="21"/>
          <w:lang w:val="en-US" w:eastAsia="zh-CN" w:bidi="ar"/>
        </w:rPr>
        <w:t>喷乳胶漆一道</w:t>
      </w:r>
      <w:r>
        <w:rPr>
          <w:rFonts w:hint="eastAsia" w:ascii="宋体" w:hAnsi="宋体" w:eastAsia="宋体" w:cs="宋体"/>
          <w:b w:val="0"/>
          <w:bCs/>
          <w:color w:val="000000"/>
          <w:kern w:val="0"/>
          <w:sz w:val="21"/>
          <w:szCs w:val="21"/>
          <w:lang w:val="en-US" w:eastAsia="zh-CN" w:bidi="ar"/>
        </w:rPr>
        <w:t>。</w:t>
      </w:r>
    </w:p>
    <w:p>
      <w:pPr>
        <w:keepNext w:val="0"/>
        <w:keepLines w:val="0"/>
        <w:widowControl/>
        <w:numPr>
          <w:ilvl w:val="-1"/>
          <w:numId w:val="0"/>
        </w:numPr>
        <w:suppressLineNumbers w:val="0"/>
        <w:jc w:val="both"/>
        <w:rPr>
          <w:rFonts w:hint="default" w:ascii="宋体" w:hAnsi="宋体" w:eastAsia="宋体" w:cs="宋体"/>
          <w:b w:val="0"/>
          <w:bCs/>
          <w:color w:val="000000"/>
          <w:kern w:val="0"/>
          <w:sz w:val="21"/>
          <w:szCs w:val="21"/>
          <w:lang w:val="en-US" w:eastAsia="zh-CN" w:bidi="ar"/>
        </w:rPr>
      </w:pPr>
      <w:r>
        <w:rPr>
          <w:rFonts w:hint="eastAsia" w:ascii="宋体" w:hAnsi="宋体" w:eastAsia="宋体" w:cs="宋体"/>
          <w:b w:val="0"/>
          <w:bCs/>
          <w:color w:val="000000"/>
          <w:kern w:val="0"/>
          <w:sz w:val="21"/>
          <w:szCs w:val="21"/>
          <w:lang w:val="en-US" w:eastAsia="zh-CN" w:bidi="ar"/>
        </w:rPr>
        <w:t>2、</w:t>
      </w:r>
      <w:r>
        <w:rPr>
          <w:rFonts w:hint="default" w:ascii="宋体" w:hAnsi="宋体" w:eastAsia="宋体" w:cs="宋体"/>
          <w:b w:val="0"/>
          <w:bCs/>
          <w:color w:val="000000"/>
          <w:kern w:val="0"/>
          <w:sz w:val="21"/>
          <w:szCs w:val="21"/>
          <w:lang w:val="en-US" w:eastAsia="zh-CN" w:bidi="ar"/>
        </w:rPr>
        <w:t>刷乳胶漆一道</w:t>
      </w:r>
      <w:r>
        <w:rPr>
          <w:rFonts w:hint="eastAsia" w:ascii="宋体" w:hAnsi="宋体" w:eastAsia="宋体" w:cs="宋体"/>
          <w:b w:val="0"/>
          <w:bCs/>
          <w:color w:val="000000"/>
          <w:kern w:val="0"/>
          <w:sz w:val="21"/>
          <w:szCs w:val="21"/>
          <w:lang w:val="en-US" w:eastAsia="zh-CN" w:bidi="ar"/>
        </w:rPr>
        <w:t>。</w:t>
      </w:r>
    </w:p>
    <w:p>
      <w:pPr>
        <w:keepNext w:val="0"/>
        <w:keepLines w:val="0"/>
        <w:widowControl/>
        <w:numPr>
          <w:ilvl w:val="-1"/>
          <w:numId w:val="0"/>
        </w:numPr>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3</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刷抗碱底漆一道</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4</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腻子找平。</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（22）窗帘盒</w:t>
      </w:r>
    </w:p>
    <w:p>
      <w:pPr>
        <w:pStyle w:val="7"/>
        <w:widowControl/>
        <w:spacing w:line="240" w:lineRule="auto"/>
        <w:ind w:firstLine="0"/>
        <w:rPr>
          <w:rStyle w:val="56"/>
          <w:rFonts w:hint="eastAsia"/>
          <w:sz w:val="21"/>
          <w:szCs w:val="21"/>
          <w:lang w:bidi="ar"/>
        </w:rPr>
      </w:pPr>
      <w:r>
        <w:rPr>
          <w:rStyle w:val="56"/>
          <w:rFonts w:hint="eastAsia"/>
          <w:sz w:val="21"/>
          <w:szCs w:val="21"/>
          <w:lang w:bidi="ar"/>
        </w:rPr>
        <w:t>1、9厘夹板(防火防潮防蛀处理）+9.5mm石膏板。</w:t>
      </w:r>
    </w:p>
    <w:p>
      <w:pPr>
        <w:pStyle w:val="7"/>
        <w:widowControl/>
        <w:spacing w:line="240" w:lineRule="auto"/>
        <w:ind w:firstLine="0"/>
        <w:rPr>
          <w:rStyle w:val="56"/>
          <w:sz w:val="21"/>
          <w:szCs w:val="21"/>
          <w:lang w:bidi="ar"/>
        </w:rPr>
      </w:pPr>
      <w:r>
        <w:rPr>
          <w:rStyle w:val="56"/>
          <w:rFonts w:hint="eastAsia"/>
          <w:sz w:val="21"/>
          <w:szCs w:val="21"/>
          <w:lang w:bidi="ar"/>
        </w:rPr>
        <w:t>2、50系列次龙骨、50系列主龙骨。</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（23）窗帘</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具体要求根据现场尺寸定制。</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（24）强电施工</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包含管线预埋及安装</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（25）嵌入式成套配电箱</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空气开关</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kern w:val="2"/>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（26）砖、混凝土结构吊棚内暗配SC管</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镀锌线管DN20</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kern w:val="2"/>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（27）金属桥架</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200*100镀锌金属桥架</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kern w:val="2"/>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（28）电气配插座/照明线</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ZRBV-2.5MM2</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kern w:val="2"/>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（29）普通插座</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普通插座，含主材及安装</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kern w:val="2"/>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（30）三极开关</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普通开关，含主材及安装</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kern w:val="2"/>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（31）管内穿五类线信息线</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五类线信息线</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kern w:val="2"/>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（32）电脑插座</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普通电脑插座，含主材及安装</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kern w:val="2"/>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（33）3P天花机空调</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eastAsia" w:ascii="宋体" w:hAnsi="宋体" w:eastAsia="宋体" w:cs="宋体"/>
          <w:b w:val="0"/>
          <w:bCs/>
          <w:color w:val="000000"/>
          <w:kern w:val="0"/>
          <w:sz w:val="21"/>
          <w:szCs w:val="21"/>
          <w:lang w:val="en-US" w:eastAsia="zh-CN" w:bidi="ar"/>
        </w:rPr>
        <w:t>1、</w:t>
      </w:r>
      <w:r>
        <w:rPr>
          <w:rFonts w:hint="default" w:ascii="宋体" w:hAnsi="宋体" w:eastAsia="宋体" w:cs="宋体"/>
          <w:b w:val="0"/>
          <w:bCs/>
          <w:color w:val="000000"/>
          <w:kern w:val="0"/>
          <w:sz w:val="21"/>
          <w:szCs w:val="21"/>
          <w:lang w:val="en-US" w:eastAsia="zh-CN" w:bidi="ar"/>
        </w:rPr>
        <w:t>功率: 3匹</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eastAsia" w:ascii="宋体" w:hAnsi="宋体" w:eastAsia="宋体" w:cs="宋体"/>
          <w:b w:val="0"/>
          <w:bCs/>
          <w:color w:val="000000"/>
          <w:kern w:val="0"/>
          <w:sz w:val="21"/>
          <w:szCs w:val="21"/>
          <w:lang w:val="en-US" w:eastAsia="zh-CN" w:bidi="ar"/>
        </w:rPr>
        <w:t>2、</w:t>
      </w:r>
      <w:r>
        <w:rPr>
          <w:rFonts w:hint="default" w:ascii="宋体" w:hAnsi="宋体" w:eastAsia="宋体" w:cs="宋体"/>
          <w:b w:val="0"/>
          <w:bCs/>
          <w:color w:val="000000"/>
          <w:kern w:val="0"/>
          <w:sz w:val="21"/>
          <w:szCs w:val="21"/>
          <w:lang w:val="en-US" w:eastAsia="zh-CN" w:bidi="ar"/>
        </w:rPr>
        <w:t>工作方式: 变频</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r>
        <w:rPr>
          <w:rFonts w:hint="eastAsia" w:ascii="宋体" w:hAnsi="宋体" w:eastAsia="宋体" w:cs="宋体"/>
          <w:b w:val="0"/>
          <w:bCs/>
          <w:color w:val="000000"/>
          <w:kern w:val="0"/>
          <w:sz w:val="21"/>
          <w:szCs w:val="21"/>
          <w:lang w:val="en-US" w:eastAsia="zh-CN" w:bidi="ar"/>
        </w:rPr>
        <w:t>3、</w:t>
      </w:r>
      <w:r>
        <w:rPr>
          <w:rFonts w:hint="default" w:ascii="宋体" w:hAnsi="宋体" w:eastAsia="宋体" w:cs="宋体"/>
          <w:b w:val="0"/>
          <w:bCs/>
          <w:color w:val="000000"/>
          <w:kern w:val="0"/>
          <w:sz w:val="21"/>
          <w:szCs w:val="21"/>
          <w:lang w:val="en-US" w:eastAsia="zh-CN" w:bidi="ar"/>
        </w:rPr>
        <w:t>空调冷暖方式: 冷暖电辅</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kern w:val="2"/>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（34）2P天花机空调</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eastAsia" w:ascii="宋体" w:hAnsi="宋体" w:eastAsia="宋体" w:cs="宋体"/>
          <w:b w:val="0"/>
          <w:bCs/>
          <w:color w:val="000000"/>
          <w:kern w:val="0"/>
          <w:sz w:val="21"/>
          <w:szCs w:val="21"/>
          <w:lang w:val="en-US" w:eastAsia="zh-CN" w:bidi="ar"/>
        </w:rPr>
        <w:t>1、</w:t>
      </w:r>
      <w:r>
        <w:rPr>
          <w:rFonts w:hint="default" w:ascii="宋体" w:hAnsi="宋体" w:eastAsia="宋体" w:cs="宋体"/>
          <w:b w:val="0"/>
          <w:bCs/>
          <w:color w:val="000000"/>
          <w:kern w:val="0"/>
          <w:sz w:val="21"/>
          <w:szCs w:val="21"/>
          <w:lang w:val="en-US" w:eastAsia="zh-CN" w:bidi="ar"/>
        </w:rPr>
        <w:t xml:space="preserve">功率: </w:t>
      </w:r>
      <w:r>
        <w:rPr>
          <w:rFonts w:hint="eastAsia" w:ascii="宋体" w:hAnsi="宋体" w:eastAsia="宋体" w:cs="宋体"/>
          <w:b w:val="0"/>
          <w:bCs/>
          <w:color w:val="000000"/>
          <w:kern w:val="0"/>
          <w:sz w:val="21"/>
          <w:szCs w:val="21"/>
          <w:lang w:val="en-US" w:eastAsia="zh-CN" w:bidi="ar"/>
        </w:rPr>
        <w:t>2</w:t>
      </w:r>
      <w:r>
        <w:rPr>
          <w:rFonts w:hint="default" w:ascii="宋体" w:hAnsi="宋体" w:eastAsia="宋体" w:cs="宋体"/>
          <w:b w:val="0"/>
          <w:bCs/>
          <w:color w:val="000000"/>
          <w:kern w:val="0"/>
          <w:sz w:val="21"/>
          <w:szCs w:val="21"/>
          <w:lang w:val="en-US" w:eastAsia="zh-CN" w:bidi="ar"/>
        </w:rPr>
        <w:t>匹</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eastAsia" w:ascii="宋体" w:hAnsi="宋体" w:eastAsia="宋体" w:cs="宋体"/>
          <w:b w:val="0"/>
          <w:bCs/>
          <w:color w:val="000000"/>
          <w:kern w:val="0"/>
          <w:sz w:val="21"/>
          <w:szCs w:val="21"/>
          <w:lang w:val="en-US" w:eastAsia="zh-CN" w:bidi="ar"/>
        </w:rPr>
        <w:t>2、</w:t>
      </w:r>
      <w:r>
        <w:rPr>
          <w:rFonts w:hint="default" w:ascii="宋体" w:hAnsi="宋体" w:eastAsia="宋体" w:cs="宋体"/>
          <w:b w:val="0"/>
          <w:bCs/>
          <w:color w:val="000000"/>
          <w:kern w:val="0"/>
          <w:sz w:val="21"/>
          <w:szCs w:val="21"/>
          <w:lang w:val="en-US" w:eastAsia="zh-CN" w:bidi="ar"/>
        </w:rPr>
        <w:t>工作方式: 变频</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r>
        <w:rPr>
          <w:rFonts w:hint="eastAsia" w:ascii="宋体" w:hAnsi="宋体" w:eastAsia="宋体" w:cs="宋体"/>
          <w:b w:val="0"/>
          <w:bCs/>
          <w:color w:val="000000"/>
          <w:kern w:val="0"/>
          <w:sz w:val="21"/>
          <w:szCs w:val="21"/>
          <w:lang w:val="en-US" w:eastAsia="zh-CN" w:bidi="ar"/>
        </w:rPr>
        <w:t>3、</w:t>
      </w:r>
      <w:r>
        <w:rPr>
          <w:rFonts w:hint="default" w:ascii="宋体" w:hAnsi="宋体" w:eastAsia="宋体" w:cs="宋体"/>
          <w:b w:val="0"/>
          <w:bCs/>
          <w:color w:val="000000"/>
          <w:kern w:val="0"/>
          <w:sz w:val="21"/>
          <w:szCs w:val="21"/>
          <w:lang w:val="en-US" w:eastAsia="zh-CN" w:bidi="ar"/>
        </w:rPr>
        <w:t>空调冷暖方式: 冷暖电辅</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kern w:val="2"/>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（35）铜管</w:t>
      </w:r>
    </w:p>
    <w:p>
      <w:pPr>
        <w:pStyle w:val="7"/>
        <w:widowControl/>
        <w:spacing w:line="240" w:lineRule="auto"/>
        <w:ind w:firstLine="0"/>
        <w:rPr>
          <w:rFonts w:hint="default"/>
          <w:bCs/>
          <w:sz w:val="21"/>
          <w:szCs w:val="21"/>
          <w:lang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去油加厚铜管</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kern w:val="2"/>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（36）排水安装</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PUV排水管</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2</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局部水钻打孔</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kern w:val="2"/>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（37）方通灯led长条灯铝方通专用灯</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功率: 31W(含)</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2</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光源类型: led灯</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3</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灯身主材质: ABS+五金底盘</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kern w:val="2"/>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（38）坐席操作台</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根据现场尺寸定制，含桌椅</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kern w:val="2"/>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（39）原装修拆除措施</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原装修拆除措施</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kern w:val="2"/>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（40）办公卡位办公桌椅</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根据现场尺寸定制</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长：1.4m</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宽：0.7m的办公卡位桌子，含1个桌椅。</w:t>
      </w:r>
    </w:p>
    <w:p>
      <w:pPr>
        <w:pStyle w:val="7"/>
        <w:widowControl/>
        <w:spacing w:line="240" w:lineRule="auto"/>
        <w:ind w:firstLine="0"/>
        <w:rPr>
          <w:rFonts w:hint="default"/>
          <w:bCs/>
          <w:sz w:val="21"/>
          <w:szCs w:val="21"/>
          <w:lang w:bidi="ar"/>
        </w:rPr>
      </w:pPr>
    </w:p>
    <w:p>
      <w:pPr>
        <w:adjustRightInd w:val="0"/>
        <w:snapToGrid w:val="0"/>
        <w:spacing w:afterLines="50" w:line="600" w:lineRule="exact"/>
        <w:ind w:firstLine="0"/>
        <w:jc w:val="left"/>
        <w:rPr>
          <w:rFonts w:hint="eastAsia" w:ascii="宋体" w:hAnsi="宋体" w:eastAsia="宋体" w:cs="宋体"/>
          <w:b/>
          <w:bCs/>
          <w:color w:val="auto"/>
          <w:kern w:val="2"/>
          <w:sz w:val="24"/>
          <w:szCs w:val="24"/>
          <w:highlight w:val="none"/>
          <w:lang w:val="zh-CN" w:eastAsia="zh-CN" w:bidi="ar"/>
        </w:rPr>
      </w:pPr>
      <w:r>
        <w:rPr>
          <w:rFonts w:hint="eastAsia" w:ascii="宋体" w:hAnsi="宋体" w:eastAsia="宋体" w:cs="宋体"/>
          <w:b/>
          <w:bCs/>
          <w:color w:val="auto"/>
          <w:kern w:val="2"/>
          <w:sz w:val="24"/>
          <w:szCs w:val="24"/>
          <w:highlight w:val="none"/>
          <w:lang w:val="zh-CN" w:eastAsia="zh-CN" w:bidi="ar"/>
        </w:rPr>
        <w:t>（41）机柜</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1</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类型机柜</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2</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容量42U</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3</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标准19"国际标准</w:t>
      </w:r>
      <w:r>
        <w:rPr>
          <w:rFonts w:hint="eastAsia" w:ascii="宋体" w:hAnsi="宋体" w:eastAsia="宋体" w:cs="宋体"/>
          <w:b w:val="0"/>
          <w:bCs/>
          <w:color w:val="000000"/>
          <w:kern w:val="0"/>
          <w:sz w:val="21"/>
          <w:szCs w:val="21"/>
          <w:lang w:val="en-US" w:eastAsia="zh-CN" w:bidi="ar"/>
        </w:rPr>
        <w:t>。</w:t>
      </w:r>
    </w:p>
    <w:p>
      <w:pPr>
        <w:keepNext w:val="0"/>
        <w:keepLines w:val="0"/>
        <w:widowControl/>
        <w:suppressLineNumbers w:val="0"/>
        <w:jc w:val="both"/>
        <w:rPr>
          <w:rFonts w:hint="default" w:ascii="宋体" w:hAnsi="宋体" w:eastAsia="宋体" w:cs="宋体"/>
          <w:b w:val="0"/>
          <w:bCs/>
          <w:color w:val="000000"/>
          <w:kern w:val="0"/>
          <w:sz w:val="21"/>
          <w:szCs w:val="21"/>
          <w:lang w:val="en-US" w:eastAsia="zh-CN" w:bidi="ar"/>
        </w:rPr>
      </w:pPr>
      <w:r>
        <w:rPr>
          <w:rFonts w:hint="default" w:ascii="宋体" w:hAnsi="宋体" w:eastAsia="宋体" w:cs="宋体"/>
          <w:b w:val="0"/>
          <w:bCs/>
          <w:color w:val="000000"/>
          <w:kern w:val="0"/>
          <w:sz w:val="21"/>
          <w:szCs w:val="21"/>
          <w:lang w:val="en-US" w:eastAsia="zh-CN" w:bidi="ar"/>
        </w:rPr>
        <w:t>4</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前门：网状冷轧钢前门或侧通风钢化玻璃主体前门，弹式免匙锁</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Style w:val="56"/>
          <w:sz w:val="21"/>
          <w:szCs w:val="21"/>
          <w:lang w:bidi="ar"/>
        </w:rPr>
      </w:pPr>
      <w:r>
        <w:rPr>
          <w:rFonts w:hint="default" w:ascii="宋体" w:hAnsi="宋体" w:eastAsia="宋体" w:cs="宋体"/>
          <w:b w:val="0"/>
          <w:bCs/>
          <w:color w:val="000000"/>
          <w:kern w:val="0"/>
          <w:sz w:val="21"/>
          <w:szCs w:val="21"/>
          <w:lang w:val="en-US" w:eastAsia="zh-CN" w:bidi="ar"/>
        </w:rPr>
        <w:t>5</w:t>
      </w:r>
      <w:r>
        <w:rPr>
          <w:rFonts w:hint="eastAsia" w:ascii="宋体" w:hAnsi="宋体" w:eastAsia="宋体" w:cs="宋体"/>
          <w:b w:val="0"/>
          <w:bCs/>
          <w:color w:val="000000"/>
          <w:kern w:val="0"/>
          <w:sz w:val="21"/>
          <w:szCs w:val="21"/>
          <w:lang w:val="en-US" w:eastAsia="zh-CN" w:bidi="ar"/>
        </w:rPr>
        <w:t>、</w:t>
      </w:r>
      <w:r>
        <w:rPr>
          <w:rFonts w:hint="default" w:ascii="宋体" w:hAnsi="宋体" w:eastAsia="宋体" w:cs="宋体"/>
          <w:b w:val="0"/>
          <w:bCs/>
          <w:color w:val="000000"/>
          <w:kern w:val="0"/>
          <w:sz w:val="21"/>
          <w:szCs w:val="21"/>
          <w:lang w:val="en-US" w:eastAsia="zh-CN" w:bidi="ar"/>
        </w:rPr>
        <w:t>后门：冷轧钢网孔后门，钢质圆锁</w:t>
      </w:r>
      <w:r>
        <w:rPr>
          <w:rFonts w:hint="eastAsia" w:ascii="宋体" w:hAnsi="宋体" w:eastAsia="宋体" w:cs="宋体"/>
          <w:b w:val="0"/>
          <w:bCs/>
          <w:color w:val="000000"/>
          <w:kern w:val="0"/>
          <w:sz w:val="21"/>
          <w:szCs w:val="21"/>
          <w:lang w:val="en-US" w:eastAsia="zh-CN" w:bidi="ar"/>
        </w:rPr>
        <w:t>。</w:t>
      </w:r>
    </w:p>
    <w:p>
      <w:pPr>
        <w:pStyle w:val="7"/>
        <w:widowControl/>
        <w:spacing w:line="240" w:lineRule="auto"/>
        <w:ind w:firstLine="0"/>
        <w:rPr>
          <w:rFonts w:hint="default"/>
          <w:bCs/>
          <w:sz w:val="21"/>
          <w:szCs w:val="21"/>
          <w:lang w:bidi="ar"/>
        </w:rPr>
      </w:pPr>
    </w:p>
    <w:p>
      <w:pPr>
        <w:adjustRightInd w:val="0"/>
        <w:snapToGrid w:val="0"/>
        <w:spacing w:line="600" w:lineRule="exact"/>
        <w:ind w:firstLine="0" w:firstLineChars="0"/>
        <w:rPr>
          <w:rFonts w:hint="eastAsia" w:ascii="宋体" w:hAnsi="宋体" w:eastAsia="宋体" w:cs="宋体"/>
          <w:b/>
          <w:bCs/>
          <w:color w:val="000000"/>
          <w:sz w:val="28"/>
          <w:szCs w:val="28"/>
          <w:highlight w:val="none"/>
          <w:lang w:val="en-US" w:eastAsia="zh-CN"/>
        </w:rPr>
      </w:pPr>
      <w:bookmarkStart w:id="19" w:name="_Toc9231"/>
      <w:bookmarkStart w:id="20" w:name="_Toc5841"/>
      <w:bookmarkStart w:id="21" w:name="_Toc31847_WPSOffice_Level1"/>
      <w:bookmarkStart w:id="22" w:name="_Toc17515"/>
      <w:bookmarkStart w:id="23" w:name="_Toc3308"/>
      <w:bookmarkStart w:id="24" w:name="_Toc12107"/>
      <w:r>
        <w:rPr>
          <w:rFonts w:hint="eastAsia" w:ascii="宋体" w:hAnsi="宋体" w:eastAsia="宋体" w:cs="宋体"/>
          <w:b/>
          <w:bCs/>
          <w:color w:val="000000"/>
          <w:sz w:val="28"/>
          <w:szCs w:val="28"/>
          <w:highlight w:val="none"/>
          <w:lang w:val="en-US" w:eastAsia="zh-CN"/>
        </w:rPr>
        <w:t>3.项目</w:t>
      </w:r>
      <w:bookmarkEnd w:id="19"/>
      <w:bookmarkEnd w:id="20"/>
      <w:bookmarkEnd w:id="21"/>
      <w:bookmarkEnd w:id="22"/>
      <w:bookmarkEnd w:id="23"/>
      <w:bookmarkEnd w:id="24"/>
      <w:bookmarkStart w:id="25" w:name="_Toc29635_WPSOffice_Level2"/>
      <w:bookmarkStart w:id="26" w:name="_Toc6787"/>
      <w:bookmarkStart w:id="27" w:name="_Toc847"/>
      <w:bookmarkStart w:id="28" w:name="_Toc23412"/>
      <w:bookmarkStart w:id="29" w:name="_Toc10100"/>
      <w:bookmarkStart w:id="30" w:name="_Toc15187"/>
      <w:r>
        <w:rPr>
          <w:rFonts w:hint="eastAsia" w:ascii="宋体" w:hAnsi="宋体" w:eastAsia="宋体" w:cs="宋体"/>
          <w:b/>
          <w:bCs/>
          <w:color w:val="000000"/>
          <w:sz w:val="28"/>
          <w:szCs w:val="28"/>
          <w:highlight w:val="none"/>
          <w:lang w:val="en-US" w:eastAsia="zh-CN"/>
        </w:rPr>
        <w:t>建设要求</w:t>
      </w:r>
      <w:bookmarkEnd w:id="25"/>
      <w:bookmarkEnd w:id="26"/>
      <w:bookmarkEnd w:id="27"/>
      <w:bookmarkEnd w:id="28"/>
      <w:bookmarkEnd w:id="29"/>
      <w:bookmarkEnd w:id="30"/>
    </w:p>
    <w:p>
      <w:pPr>
        <w:adjustRightInd w:val="0"/>
        <w:snapToGrid w:val="0"/>
        <w:spacing w:line="600" w:lineRule="exact"/>
        <w:ind w:firstLine="560"/>
        <w:rPr>
          <w:rFonts w:hint="eastAsia" w:ascii="宋体" w:hAnsi="宋体" w:eastAsia="宋体" w:cs="宋体"/>
          <w:color w:val="000000"/>
          <w:kern w:val="2"/>
          <w:sz w:val="28"/>
          <w:szCs w:val="28"/>
          <w:highlight w:val="none"/>
        </w:rPr>
      </w:pPr>
      <w:bookmarkStart w:id="31" w:name="_Toc400920456"/>
      <w:r>
        <w:rPr>
          <w:rFonts w:hint="eastAsia" w:ascii="宋体" w:hAnsi="宋体" w:eastAsia="宋体" w:cs="宋体"/>
          <w:color w:val="000000"/>
          <w:kern w:val="2"/>
          <w:sz w:val="28"/>
          <w:szCs w:val="28"/>
          <w:highlight w:val="none"/>
          <w:lang w:eastAsia="zh-CN"/>
        </w:rPr>
        <w:t>广州市净水有限公司竹料分公司调度中心改造项目</w:t>
      </w:r>
      <w:r>
        <w:rPr>
          <w:rFonts w:hint="eastAsia" w:ascii="宋体" w:hAnsi="宋体" w:eastAsia="宋体" w:cs="宋体"/>
          <w:color w:val="000000"/>
          <w:kern w:val="2"/>
          <w:sz w:val="28"/>
          <w:szCs w:val="28"/>
          <w:highlight w:val="none"/>
          <w:lang w:val="en-US" w:eastAsia="zh-CN"/>
        </w:rPr>
        <w:t>建设要求，</w:t>
      </w:r>
      <w:r>
        <w:rPr>
          <w:rFonts w:hint="eastAsia" w:ascii="宋体" w:hAnsi="宋体" w:eastAsia="宋体" w:cs="宋体"/>
          <w:color w:val="000000"/>
          <w:kern w:val="2"/>
          <w:sz w:val="28"/>
          <w:szCs w:val="28"/>
          <w:highlight w:val="none"/>
        </w:rPr>
        <w:t>按功能划分为：</w:t>
      </w:r>
      <w:r>
        <w:rPr>
          <w:rFonts w:hint="eastAsia" w:ascii="宋体" w:hAnsi="宋体" w:eastAsia="宋体" w:cs="宋体"/>
          <w:color w:val="000000"/>
          <w:kern w:val="2"/>
          <w:sz w:val="28"/>
          <w:szCs w:val="28"/>
          <w:highlight w:val="none"/>
          <w:lang w:val="en-US" w:eastAsia="zh-CN"/>
        </w:rPr>
        <w:t>大屏显示系统、智能多媒体</w:t>
      </w:r>
      <w:r>
        <w:rPr>
          <w:rFonts w:hint="eastAsia" w:ascii="宋体" w:hAnsi="宋体" w:eastAsia="宋体" w:cs="宋体"/>
          <w:color w:val="000000"/>
          <w:kern w:val="2"/>
          <w:sz w:val="28"/>
          <w:szCs w:val="28"/>
          <w:highlight w:val="none"/>
        </w:rPr>
        <w:t>交互管理系统</w:t>
      </w:r>
      <w:r>
        <w:rPr>
          <w:rFonts w:hint="eastAsia" w:ascii="宋体" w:hAnsi="宋体" w:eastAsia="宋体" w:cs="宋体"/>
          <w:color w:val="000000"/>
          <w:kern w:val="2"/>
          <w:sz w:val="28"/>
          <w:szCs w:val="28"/>
          <w:highlight w:val="none"/>
          <w:lang w:eastAsia="zh-CN"/>
        </w:rPr>
        <w:t>、</w:t>
      </w:r>
      <w:r>
        <w:rPr>
          <w:rFonts w:hint="eastAsia" w:ascii="宋体" w:hAnsi="宋体" w:eastAsia="宋体" w:cs="宋体"/>
          <w:color w:val="000000"/>
          <w:kern w:val="2"/>
          <w:sz w:val="28"/>
          <w:szCs w:val="28"/>
          <w:highlight w:val="none"/>
          <w:lang w:val="en-US" w:eastAsia="zh-CN"/>
        </w:rPr>
        <w:t>机房改造及环境改造三</w:t>
      </w:r>
      <w:r>
        <w:rPr>
          <w:rFonts w:hint="eastAsia" w:ascii="宋体" w:hAnsi="宋体" w:eastAsia="宋体" w:cs="宋体"/>
          <w:color w:val="000000"/>
          <w:kern w:val="2"/>
          <w:sz w:val="28"/>
          <w:szCs w:val="28"/>
          <w:highlight w:val="none"/>
        </w:rPr>
        <w:t>大部分。</w:t>
      </w:r>
    </w:p>
    <w:p>
      <w:pPr>
        <w:adjustRightInd w:val="0"/>
        <w:snapToGrid w:val="0"/>
        <w:spacing w:line="600" w:lineRule="exact"/>
        <w:ind w:firstLine="0" w:firstLineChars="0"/>
        <w:rPr>
          <w:rFonts w:hint="eastAsia" w:ascii="宋体" w:hAnsi="宋体" w:eastAsia="宋体" w:cs="宋体"/>
          <w:b/>
          <w:bCs/>
          <w:color w:val="000000"/>
          <w:sz w:val="28"/>
          <w:szCs w:val="28"/>
          <w:highlight w:val="none"/>
          <w:lang w:val="en-US" w:eastAsia="zh-CN"/>
        </w:rPr>
      </w:pPr>
      <w:bookmarkStart w:id="32" w:name="_Toc22546"/>
      <w:bookmarkStart w:id="33" w:name="_Toc13015"/>
      <w:bookmarkStart w:id="34" w:name="_Toc26975_WPSOffice_Level3"/>
      <w:bookmarkStart w:id="35" w:name="_Toc11130"/>
      <w:bookmarkStart w:id="36" w:name="_Toc22720"/>
      <w:bookmarkStart w:id="37" w:name="_Toc3236"/>
      <w:r>
        <w:rPr>
          <w:rFonts w:hint="eastAsia" w:ascii="宋体" w:hAnsi="宋体" w:eastAsia="宋体" w:cs="宋体"/>
          <w:b/>
          <w:bCs/>
          <w:color w:val="000000"/>
          <w:sz w:val="28"/>
          <w:szCs w:val="28"/>
          <w:highlight w:val="none"/>
          <w:lang w:val="en-US" w:eastAsia="zh-CN"/>
        </w:rPr>
        <w:t>（一）大屏显示系统系统建设要求</w:t>
      </w:r>
      <w:bookmarkEnd w:id="32"/>
      <w:bookmarkEnd w:id="33"/>
      <w:bookmarkEnd w:id="34"/>
      <w:bookmarkEnd w:id="35"/>
      <w:bookmarkEnd w:id="36"/>
      <w:bookmarkEnd w:id="37"/>
    </w:p>
    <w:p>
      <w:pPr>
        <w:adjustRightInd w:val="0"/>
        <w:snapToGrid w:val="0"/>
        <w:spacing w:line="600" w:lineRule="exact"/>
        <w:ind w:firstLine="560"/>
        <w:rPr>
          <w:rFonts w:hint="eastAsia" w:ascii="宋体" w:hAnsi="宋体" w:eastAsia="宋体" w:cs="宋体"/>
          <w:color w:val="000000"/>
          <w:kern w:val="2"/>
          <w:sz w:val="28"/>
          <w:szCs w:val="28"/>
          <w:highlight w:val="none"/>
        </w:rPr>
      </w:pPr>
      <w:r>
        <w:rPr>
          <w:rFonts w:hint="eastAsia" w:ascii="宋体" w:hAnsi="宋体" w:eastAsia="宋体" w:cs="宋体"/>
          <w:color w:val="000000"/>
          <w:kern w:val="2"/>
          <w:sz w:val="28"/>
          <w:szCs w:val="28"/>
          <w:highlight w:val="none"/>
        </w:rPr>
        <w:t>本次项目根据</w:t>
      </w:r>
      <w:r>
        <w:rPr>
          <w:rFonts w:hint="eastAsia" w:ascii="宋体" w:hAnsi="宋体" w:eastAsia="宋体" w:cs="宋体"/>
          <w:color w:val="000000"/>
          <w:kern w:val="2"/>
          <w:sz w:val="28"/>
          <w:szCs w:val="28"/>
          <w:highlight w:val="none"/>
          <w:lang w:eastAsia="zh-CN"/>
        </w:rPr>
        <w:t>调度中心</w:t>
      </w:r>
      <w:r>
        <w:rPr>
          <w:rFonts w:hint="eastAsia" w:ascii="宋体" w:hAnsi="宋体" w:eastAsia="宋体" w:cs="宋体"/>
          <w:color w:val="000000"/>
          <w:kern w:val="2"/>
          <w:sz w:val="28"/>
          <w:szCs w:val="28"/>
          <w:highlight w:val="none"/>
        </w:rPr>
        <w:t>建设调度大屏幕系统</w:t>
      </w:r>
      <w:r>
        <w:rPr>
          <w:rFonts w:hint="eastAsia" w:ascii="宋体" w:hAnsi="宋体" w:eastAsia="宋体" w:cs="宋体"/>
          <w:color w:val="000000"/>
          <w:kern w:val="2"/>
          <w:sz w:val="28"/>
          <w:szCs w:val="28"/>
          <w:highlight w:val="none"/>
          <w:lang w:val="en-US" w:eastAsia="zh-CN"/>
        </w:rPr>
        <w:t>的业务需求</w:t>
      </w:r>
      <w:r>
        <w:rPr>
          <w:rFonts w:hint="eastAsia" w:ascii="宋体" w:hAnsi="宋体" w:eastAsia="宋体" w:cs="宋体"/>
          <w:color w:val="000000"/>
          <w:kern w:val="2"/>
          <w:sz w:val="28"/>
          <w:szCs w:val="28"/>
          <w:highlight w:val="none"/>
          <w:lang w:eastAsia="zh-CN"/>
        </w:rPr>
        <w:t>，</w:t>
      </w:r>
      <w:r>
        <w:rPr>
          <w:rFonts w:hint="eastAsia" w:ascii="宋体" w:hAnsi="宋体" w:eastAsia="宋体" w:cs="宋体"/>
          <w:color w:val="000000"/>
          <w:kern w:val="2"/>
          <w:sz w:val="28"/>
          <w:szCs w:val="28"/>
          <w:highlight w:val="none"/>
        </w:rPr>
        <w:t>LED显示屏采用多信号接入、系统稳定性高。前端由高清网络信号、电脑信号等信号接入到</w:t>
      </w:r>
      <w:r>
        <w:rPr>
          <w:rFonts w:hint="eastAsia" w:ascii="宋体" w:hAnsi="宋体" w:eastAsia="宋体" w:cs="宋体"/>
          <w:color w:val="000000"/>
          <w:kern w:val="2"/>
          <w:sz w:val="28"/>
          <w:szCs w:val="28"/>
          <w:highlight w:val="none"/>
          <w:lang w:val="en-US" w:eastAsia="zh-CN"/>
        </w:rPr>
        <w:t>交互管理系统</w:t>
      </w:r>
      <w:r>
        <w:rPr>
          <w:rFonts w:hint="eastAsia" w:ascii="宋体" w:hAnsi="宋体" w:eastAsia="宋体" w:cs="宋体"/>
          <w:color w:val="000000"/>
          <w:kern w:val="2"/>
          <w:sz w:val="28"/>
          <w:szCs w:val="28"/>
          <w:highlight w:val="none"/>
        </w:rPr>
        <w:t>输出高清信号，</w:t>
      </w:r>
      <w:r>
        <w:rPr>
          <w:rFonts w:hint="eastAsia" w:ascii="宋体" w:hAnsi="宋体" w:eastAsia="宋体" w:cs="宋体"/>
          <w:color w:val="000000"/>
          <w:kern w:val="2"/>
          <w:sz w:val="28"/>
          <w:szCs w:val="28"/>
          <w:highlight w:val="none"/>
          <w:lang w:val="en-US" w:eastAsia="zh-CN"/>
        </w:rPr>
        <w:t>并</w:t>
      </w:r>
      <w:r>
        <w:rPr>
          <w:rFonts w:hint="eastAsia" w:ascii="宋体" w:hAnsi="宋体" w:eastAsia="宋体" w:cs="宋体"/>
          <w:color w:val="000000"/>
          <w:kern w:val="2"/>
          <w:sz w:val="28"/>
          <w:szCs w:val="28"/>
          <w:highlight w:val="none"/>
        </w:rPr>
        <w:t>切换所有信号输入输出，真正实现了所有信号互联互通显示。同时考虑操作便捷、使用方便等特点，在操作中心使用集中控制信号切换，通过预监整个监控系统输入的视频信号，实现无线任意切换（淡入淡出）操作，保证切换信息内容不会失误。也省去有线操作的限制。</w:t>
      </w:r>
    </w:p>
    <w:p>
      <w:pPr>
        <w:adjustRightInd w:val="0"/>
        <w:snapToGrid w:val="0"/>
        <w:spacing w:line="600" w:lineRule="exact"/>
        <w:ind w:firstLine="560"/>
        <w:rPr>
          <w:rFonts w:hint="eastAsia" w:ascii="宋体" w:hAnsi="宋体" w:eastAsia="宋体" w:cs="宋体"/>
          <w:color w:val="000000"/>
          <w:kern w:val="2"/>
          <w:sz w:val="28"/>
          <w:szCs w:val="28"/>
          <w:highlight w:val="none"/>
        </w:rPr>
      </w:pPr>
      <w:r>
        <w:rPr>
          <w:rFonts w:hint="eastAsia" w:ascii="宋体" w:hAnsi="宋体" w:eastAsia="宋体" w:cs="宋体"/>
          <w:color w:val="000000"/>
          <w:kern w:val="2"/>
          <w:sz w:val="28"/>
          <w:szCs w:val="28"/>
          <w:highlight w:val="none"/>
        </w:rPr>
        <w:t>LED拼接显示系统可以完成各种显示模式，用以显示用户的各种输入信号。具体模式可根据用户需要进行制定。</w:t>
      </w:r>
    </w:p>
    <w:p>
      <w:pPr>
        <w:adjustRightInd w:val="0"/>
        <w:snapToGrid w:val="0"/>
        <w:spacing w:line="600" w:lineRule="exact"/>
        <w:ind w:firstLine="560" w:firstLineChars="200"/>
        <w:jc w:val="left"/>
        <w:rPr>
          <w:rFonts w:hint="eastAsia" w:ascii="宋体" w:hAnsi="宋体" w:eastAsia="宋体" w:cs="宋体"/>
          <w:color w:val="000000"/>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1</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全屏显示</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color w:val="000000"/>
          <w:kern w:val="2"/>
          <w:sz w:val="28"/>
          <w:szCs w:val="28"/>
          <w:highlight w:val="none"/>
        </w:rPr>
        <w:t>全墙在多屏处理系统的驱动下实现显示宣传短片、标语、欢迎词。</w:t>
      </w:r>
    </w:p>
    <w:p>
      <w:pPr>
        <w:adjustRightInd w:val="0"/>
        <w:snapToGrid w:val="0"/>
        <w:spacing w:line="600" w:lineRule="exact"/>
        <w:ind w:firstLine="560" w:firstLineChars="200"/>
        <w:rPr>
          <w:rFonts w:hint="eastAsia" w:ascii="宋体" w:hAnsi="宋体" w:eastAsia="宋体" w:cs="宋体"/>
          <w:color w:val="000000"/>
          <w:kern w:val="2"/>
          <w:sz w:val="28"/>
          <w:szCs w:val="28"/>
          <w:highlight w:val="none"/>
        </w:rPr>
      </w:pPr>
      <w:bookmarkStart w:id="38" w:name="_Toc363632596"/>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2</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重要信息发布显示</w:t>
      </w:r>
      <w:bookmarkEnd w:id="38"/>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color w:val="000000"/>
          <w:kern w:val="2"/>
          <w:sz w:val="28"/>
          <w:szCs w:val="28"/>
          <w:highlight w:val="none"/>
        </w:rPr>
        <w:t>LED拼接显示系统可以在显示墙屏幕的最上方位置创建飞行或恒定的字幕。</w:t>
      </w:r>
    </w:p>
    <w:p>
      <w:pPr>
        <w:adjustRightInd w:val="0"/>
        <w:snapToGrid w:val="0"/>
        <w:spacing w:line="600" w:lineRule="exact"/>
        <w:ind w:firstLine="560" w:firstLineChars="200"/>
        <w:rPr>
          <w:rFonts w:hint="eastAsia" w:ascii="宋体" w:hAnsi="宋体" w:eastAsia="宋体" w:cs="宋体"/>
          <w:color w:val="000000"/>
          <w:kern w:val="2"/>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3</w:t>
      </w:r>
      <w:r>
        <w:rPr>
          <w:rFonts w:hint="eastAsia" w:ascii="宋体" w:hAnsi="宋体" w:eastAsia="宋体" w:cs="宋体"/>
          <w:color w:val="000000"/>
          <w:sz w:val="28"/>
          <w:szCs w:val="28"/>
          <w:highlight w:val="none"/>
          <w:lang w:eastAsia="zh-CN"/>
        </w:rPr>
        <w:t>）</w:t>
      </w:r>
      <w:r>
        <w:rPr>
          <w:rFonts w:hint="eastAsia" w:ascii="宋体" w:hAnsi="宋体" w:eastAsia="宋体" w:cs="宋体"/>
          <w:b w:val="0"/>
          <w:bCs w:val="0"/>
          <w:color w:val="000000"/>
          <w:sz w:val="28"/>
          <w:szCs w:val="28"/>
          <w:highlight w:val="none"/>
        </w:rPr>
        <w:t>功能分区显示模式</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color w:val="000000"/>
          <w:kern w:val="2"/>
          <w:sz w:val="28"/>
          <w:szCs w:val="28"/>
          <w:highlight w:val="none"/>
        </w:rPr>
        <w:t>LED拼接显示系统可以根据系统分工，划分相应的显示区域，各分区独立控制。各系统图像只在本系统的显示分区内进行任意缩放和漫游显示，从而保证各系统之间工作的独立性。功能分区根据需要做装饰边布置。任意分区操作，极大便捷界面编排操作。</w:t>
      </w:r>
    </w:p>
    <w:p>
      <w:pPr>
        <w:adjustRightInd w:val="0"/>
        <w:snapToGrid w:val="0"/>
        <w:spacing w:line="600" w:lineRule="exact"/>
        <w:ind w:firstLine="560" w:firstLineChars="200"/>
        <w:jc w:val="left"/>
        <w:rPr>
          <w:rFonts w:hint="eastAsia" w:ascii="宋体" w:hAnsi="宋体" w:eastAsia="宋体" w:cs="宋体"/>
          <w:color w:val="000000"/>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4</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视频信号显示</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color w:val="000000"/>
          <w:kern w:val="2"/>
          <w:sz w:val="28"/>
          <w:szCs w:val="28"/>
          <w:highlight w:val="none"/>
        </w:rPr>
        <w:t>LED拼接显示系统支持全制式视频输入信号，视频监控信息、摄像机等各类视频信号源，信号经处理后以窗口的形式在显示墙上任意位置任意移动、无级缩放等。</w:t>
      </w:r>
    </w:p>
    <w:p>
      <w:pPr>
        <w:adjustRightInd w:val="0"/>
        <w:snapToGrid w:val="0"/>
        <w:spacing w:line="600" w:lineRule="exact"/>
        <w:ind w:firstLine="560" w:firstLineChars="200"/>
        <w:rPr>
          <w:rFonts w:hint="eastAsia" w:ascii="宋体" w:hAnsi="宋体" w:eastAsia="宋体" w:cs="宋体"/>
          <w:color w:val="000000"/>
          <w:kern w:val="2"/>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5</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计算机信号显示</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color w:val="000000"/>
          <w:kern w:val="2"/>
          <w:sz w:val="28"/>
          <w:szCs w:val="28"/>
          <w:highlight w:val="none"/>
        </w:rPr>
        <w:t>LED拼接显示系统支持独立的计算机信号以窗口的形式在拼接显示墙上快速显示；并且显示窗口可以任意缩放、移动或全屏显示等。</w:t>
      </w:r>
    </w:p>
    <w:p>
      <w:pPr>
        <w:adjustRightInd w:val="0"/>
        <w:snapToGrid w:val="0"/>
        <w:spacing w:line="600" w:lineRule="exact"/>
        <w:ind w:firstLine="560" w:firstLineChars="200"/>
        <w:jc w:val="left"/>
        <w:rPr>
          <w:rFonts w:hint="eastAsia" w:ascii="宋体" w:hAnsi="宋体" w:eastAsia="宋体" w:cs="宋体"/>
          <w:color w:val="000000"/>
          <w:sz w:val="28"/>
          <w:szCs w:val="28"/>
          <w:highlight w:val="none"/>
        </w:rPr>
      </w:pPr>
    </w:p>
    <w:p>
      <w:pPr>
        <w:adjustRightInd w:val="0"/>
        <w:snapToGrid w:val="0"/>
        <w:spacing w:line="600" w:lineRule="exact"/>
        <w:ind w:firstLine="560" w:firstLineChars="200"/>
        <w:rPr>
          <w:rFonts w:hint="eastAsia" w:ascii="宋体" w:hAnsi="宋体" w:eastAsia="宋体" w:cs="宋体"/>
          <w:color w:val="000000"/>
          <w:kern w:val="2"/>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6</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数字IP流媒体视频信号</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color w:val="000000"/>
          <w:kern w:val="2"/>
          <w:sz w:val="28"/>
          <w:szCs w:val="28"/>
          <w:highlight w:val="none"/>
        </w:rPr>
        <w:t>客户的远程IP摄像头通过IP网络传输到指挥中心后，无须通过专用的IP流媒体解码服务器解码转换成复合视频信号，而是直接以IP网络的方式接入Digicom® AP2000多屏处理系统解码后输出到LED大屏显示。整个系统可实现（32路CIF格式或16路D1格式）IP流媒体信号的同时显示，所有画面均可实现客户意愿的任意排布。</w:t>
      </w:r>
    </w:p>
    <w:p>
      <w:pPr>
        <w:adjustRightInd w:val="0"/>
        <w:snapToGrid w:val="0"/>
        <w:spacing w:line="600" w:lineRule="exact"/>
        <w:ind w:firstLine="560" w:firstLineChars="200"/>
        <w:rPr>
          <w:rFonts w:hint="eastAsia" w:ascii="宋体" w:hAnsi="宋体" w:eastAsia="宋体" w:cs="宋体"/>
          <w:color w:val="000000"/>
          <w:kern w:val="2"/>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7</w:t>
      </w:r>
      <w:r>
        <w:rPr>
          <w:rFonts w:hint="eastAsia" w:ascii="宋体" w:hAnsi="宋体" w:eastAsia="宋体" w:cs="宋体"/>
          <w:color w:val="000000"/>
          <w:sz w:val="28"/>
          <w:szCs w:val="28"/>
          <w:highlight w:val="none"/>
          <w:lang w:eastAsia="zh-CN"/>
        </w:rPr>
        <w:t>）</w:t>
      </w:r>
      <w:r>
        <w:rPr>
          <w:rFonts w:hint="eastAsia" w:ascii="宋体" w:hAnsi="宋体" w:eastAsia="宋体" w:cs="宋体"/>
          <w:b w:val="0"/>
          <w:bCs w:val="0"/>
          <w:color w:val="000000"/>
          <w:sz w:val="28"/>
          <w:szCs w:val="28"/>
          <w:highlight w:val="none"/>
        </w:rPr>
        <w:t>各类信号混合显示</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color w:val="000000"/>
          <w:kern w:val="2"/>
          <w:sz w:val="28"/>
          <w:szCs w:val="28"/>
          <w:highlight w:val="none"/>
        </w:rPr>
        <w:t>视频信号、计算机信号、网络计算机信号均可同时在拼接墙上以各自方式显示，互不干扰。或者把拼接墙根据应用系统的需要，进行分区域显示，并分区域控制。用户可以根据需要，把各种信号的显示和位置存储为模式，在用户需要的时候直接切换，即可即时按照模式定义显示窗口，或者进而定义预案，按照需要自动调用或者切换各种显示模式，实现对拼接墙系统的自动化管理。</w:t>
      </w:r>
    </w:p>
    <w:p>
      <w:pPr>
        <w:adjustRightInd w:val="0"/>
        <w:snapToGrid w:val="0"/>
        <w:spacing w:line="600" w:lineRule="exact"/>
        <w:ind w:firstLine="560" w:firstLineChars="200"/>
        <w:rPr>
          <w:rFonts w:hint="eastAsia" w:ascii="宋体" w:hAnsi="宋体" w:eastAsia="宋体" w:cs="宋体"/>
          <w:color w:val="000000"/>
          <w:kern w:val="2"/>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8</w:t>
      </w:r>
      <w:r>
        <w:rPr>
          <w:rFonts w:hint="eastAsia" w:ascii="宋体" w:hAnsi="宋体" w:eastAsia="宋体" w:cs="宋体"/>
          <w:color w:val="000000"/>
          <w:sz w:val="28"/>
          <w:szCs w:val="28"/>
          <w:highlight w:val="none"/>
          <w:lang w:eastAsia="zh-CN"/>
        </w:rPr>
        <w:t>）</w:t>
      </w:r>
      <w:r>
        <w:rPr>
          <w:rFonts w:hint="eastAsia" w:ascii="宋体" w:hAnsi="宋体" w:eastAsia="宋体" w:cs="宋体"/>
          <w:b w:val="0"/>
          <w:bCs w:val="0"/>
          <w:color w:val="000000"/>
          <w:sz w:val="28"/>
          <w:szCs w:val="28"/>
          <w:highlight w:val="none"/>
        </w:rPr>
        <w:t>混合信号显示</w:t>
      </w:r>
      <w:r>
        <w:rPr>
          <w:rFonts w:hint="eastAsia" w:ascii="宋体" w:hAnsi="宋体" w:eastAsia="宋体" w:cs="宋体"/>
          <w:color w:val="000000"/>
          <w:kern w:val="2"/>
          <w:sz w:val="28"/>
          <w:szCs w:val="28"/>
          <w:highlight w:val="none"/>
        </w:rPr>
        <w:t>以上几种显示模式图仅用来说明不同的显示模式，并非实际的显示效果。在实际使用中可以根据用户的需求</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相应的显示模式。</w:t>
      </w:r>
    </w:p>
    <w:p>
      <w:pPr>
        <w:adjustRightInd w:val="0"/>
        <w:snapToGrid w:val="0"/>
        <w:spacing w:line="600" w:lineRule="exact"/>
        <w:ind w:firstLine="560" w:firstLineChars="200"/>
        <w:rPr>
          <w:rFonts w:hint="eastAsia" w:ascii="宋体" w:hAnsi="宋体" w:eastAsia="宋体" w:cs="宋体"/>
          <w:color w:val="000000"/>
          <w:kern w:val="2"/>
          <w:sz w:val="28"/>
          <w:szCs w:val="28"/>
          <w:highlight w:val="none"/>
        </w:rPr>
      </w:pPr>
      <w:bookmarkStart w:id="39" w:name="_Toc397550913"/>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9</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针对性</w:t>
      </w:r>
      <w:r>
        <w:rPr>
          <w:rFonts w:hint="eastAsia" w:ascii="宋体" w:hAnsi="宋体" w:eastAsia="宋体" w:cs="宋体"/>
          <w:b w:val="0"/>
          <w:bCs w:val="0"/>
          <w:color w:val="000000"/>
          <w:sz w:val="28"/>
          <w:szCs w:val="28"/>
          <w:highlight w:val="none"/>
          <w:lang w:eastAsia="zh-CN"/>
        </w:rPr>
        <w:t>建设</w:t>
      </w:r>
      <w:r>
        <w:rPr>
          <w:rFonts w:hint="eastAsia" w:ascii="宋体" w:hAnsi="宋体" w:eastAsia="宋体" w:cs="宋体"/>
          <w:b w:val="0"/>
          <w:bCs w:val="0"/>
          <w:color w:val="000000"/>
          <w:sz w:val="28"/>
          <w:szCs w:val="28"/>
          <w:highlight w:val="none"/>
        </w:rPr>
        <w:t>显示模式显示功能</w:t>
      </w:r>
      <w:bookmarkEnd w:id="39"/>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color w:val="000000"/>
          <w:kern w:val="2"/>
          <w:sz w:val="28"/>
          <w:szCs w:val="28"/>
          <w:highlight w:val="none"/>
        </w:rPr>
        <w:t>本项目选用的LED拼接显示系统全套软硬件产品均为</w:t>
      </w:r>
      <w:r>
        <w:rPr>
          <w:rFonts w:hint="eastAsia" w:ascii="宋体" w:hAnsi="宋体" w:eastAsia="宋体" w:cs="宋体"/>
          <w:color w:val="000000"/>
          <w:kern w:val="2"/>
          <w:sz w:val="28"/>
          <w:szCs w:val="28"/>
          <w:highlight w:val="none"/>
          <w:lang w:val="en-US" w:eastAsia="zh-CN"/>
        </w:rPr>
        <w:t>定制化</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，因此可以针对用户各业务系统的应用需求，提供专业化的定制服务，综合</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市场监控大屏的各种场景显示模式，为用户提供行业化、个性化的整体解决方案，满足监控人员灵活调用、快捷控制的使用需求。以下是针对来宾参观模式、日常使用模式、应急处理模式等显示应用的具体说明。</w:t>
      </w:r>
    </w:p>
    <w:p>
      <w:pPr>
        <w:adjustRightInd w:val="0"/>
        <w:snapToGrid w:val="0"/>
        <w:spacing w:line="600" w:lineRule="exact"/>
        <w:ind w:firstLine="560" w:firstLineChars="200"/>
        <w:rPr>
          <w:rFonts w:hint="eastAsia" w:ascii="宋体" w:hAnsi="宋体" w:eastAsia="宋体" w:cs="宋体"/>
          <w:color w:val="000000"/>
          <w:kern w:val="2"/>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10</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来宾参观模式</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color w:val="000000"/>
          <w:kern w:val="2"/>
          <w:sz w:val="28"/>
          <w:szCs w:val="28"/>
          <w:highlight w:val="none"/>
        </w:rPr>
        <w:t>在上级领导或者大客户参观考察时，</w:t>
      </w:r>
      <w:r>
        <w:rPr>
          <w:rFonts w:hint="eastAsia" w:ascii="宋体" w:hAnsi="宋体" w:eastAsia="宋体" w:cs="宋体"/>
          <w:color w:val="000000"/>
          <w:kern w:val="2"/>
          <w:sz w:val="28"/>
          <w:szCs w:val="28"/>
          <w:highlight w:val="none"/>
          <w:lang w:val="en-US" w:eastAsia="zh-CN"/>
        </w:rPr>
        <w:t>调度</w:t>
      </w:r>
      <w:r>
        <w:rPr>
          <w:rFonts w:hint="eastAsia" w:ascii="宋体" w:hAnsi="宋体" w:eastAsia="宋体" w:cs="宋体"/>
          <w:color w:val="000000"/>
          <w:kern w:val="2"/>
          <w:sz w:val="28"/>
          <w:szCs w:val="28"/>
          <w:highlight w:val="none"/>
          <w:lang w:eastAsia="zh-CN"/>
        </w:rPr>
        <w:t>中心</w:t>
      </w:r>
      <w:r>
        <w:rPr>
          <w:rFonts w:hint="eastAsia" w:ascii="宋体" w:hAnsi="宋体" w:eastAsia="宋体" w:cs="宋体"/>
          <w:color w:val="000000"/>
          <w:kern w:val="2"/>
          <w:sz w:val="28"/>
          <w:szCs w:val="28"/>
          <w:highlight w:val="none"/>
        </w:rPr>
        <w:t>内的LED大屏幕可以作为超大面积的业务展示平台，全墙显示演示图片、欢迎界面、宣传片等等，各种信号图像以窗口形式显示，并可以在全墙范围内任意缩放、跨屏漫游。</w:t>
      </w:r>
    </w:p>
    <w:p>
      <w:pPr>
        <w:adjustRightInd w:val="0"/>
        <w:snapToGrid w:val="0"/>
        <w:spacing w:line="600" w:lineRule="exact"/>
        <w:ind w:firstLine="560" w:firstLineChars="200"/>
        <w:rPr>
          <w:rFonts w:hint="eastAsia" w:ascii="宋体" w:hAnsi="宋体" w:eastAsia="宋体" w:cs="宋体"/>
          <w:color w:val="000000"/>
          <w:kern w:val="2"/>
          <w:sz w:val="28"/>
          <w:szCs w:val="28"/>
          <w:highlight w:val="none"/>
        </w:rPr>
      </w:pPr>
    </w:p>
    <w:p>
      <w:pPr>
        <w:adjustRightInd w:val="0"/>
        <w:snapToGrid w:val="0"/>
        <w:spacing w:line="600" w:lineRule="exact"/>
        <w:ind w:firstLine="560" w:firstLineChars="200"/>
        <w:rPr>
          <w:rFonts w:hint="eastAsia" w:ascii="宋体" w:hAnsi="宋体" w:eastAsia="宋体" w:cs="宋体"/>
          <w:color w:val="000000"/>
          <w:kern w:val="2"/>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11</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日常使用模式</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color w:val="000000"/>
          <w:kern w:val="2"/>
          <w:sz w:val="28"/>
          <w:szCs w:val="28"/>
          <w:highlight w:val="none"/>
        </w:rPr>
        <w:t>根据各系统分工，可以对</w:t>
      </w:r>
      <w:r>
        <w:rPr>
          <w:rFonts w:hint="eastAsia" w:ascii="宋体" w:hAnsi="宋体" w:eastAsia="宋体" w:cs="宋体"/>
          <w:color w:val="000000"/>
          <w:kern w:val="2"/>
          <w:sz w:val="28"/>
          <w:szCs w:val="28"/>
          <w:highlight w:val="none"/>
          <w:lang w:eastAsia="zh-CN"/>
        </w:rPr>
        <w:t>调度中心</w:t>
      </w:r>
      <w:r>
        <w:rPr>
          <w:rFonts w:hint="eastAsia" w:ascii="宋体" w:hAnsi="宋体" w:eastAsia="宋体" w:cs="宋体"/>
          <w:color w:val="000000"/>
          <w:kern w:val="2"/>
          <w:sz w:val="28"/>
          <w:szCs w:val="28"/>
          <w:highlight w:val="none"/>
        </w:rPr>
        <w:t>的LED大屏幕设置功能分区，由对应的</w:t>
      </w:r>
      <w:r>
        <w:rPr>
          <w:rFonts w:hint="eastAsia" w:ascii="宋体" w:hAnsi="宋体" w:eastAsia="宋体" w:cs="宋体"/>
          <w:color w:val="000000"/>
          <w:kern w:val="2"/>
          <w:sz w:val="28"/>
          <w:szCs w:val="28"/>
          <w:highlight w:val="none"/>
          <w:lang w:val="en-US" w:eastAsia="zh-CN"/>
        </w:rPr>
        <w:t>调度</w:t>
      </w:r>
      <w:r>
        <w:rPr>
          <w:rFonts w:hint="eastAsia" w:ascii="宋体" w:hAnsi="宋体" w:eastAsia="宋体" w:cs="宋体"/>
          <w:color w:val="000000"/>
          <w:kern w:val="2"/>
          <w:sz w:val="28"/>
          <w:szCs w:val="28"/>
          <w:highlight w:val="none"/>
        </w:rPr>
        <w:t>人员对所在分区的大屏幕进行各自的显示控制管理，可以在所控制的显示区域上，对任意一个信号源进行任意缩放、漫游或组合显示，从而保证各系统之间工作的独立性。监控人员可以按照各种信号的显示布局预先定义好显示应用组合模式，进行快速显示切换。而系统总管理员，可以实现对全屏显示内容的集中进行管理，也可以在某一个分区管理操作工作站故障的时候，可以由其他管理操作员，或者由总管理员代替其实现其管理控制功能，不会对整套系统的正常运行造成影响。</w:t>
      </w:r>
    </w:p>
    <w:p>
      <w:pPr>
        <w:adjustRightInd w:val="0"/>
        <w:snapToGrid w:val="0"/>
        <w:spacing w:line="600" w:lineRule="exact"/>
        <w:ind w:firstLine="560" w:firstLineChars="200"/>
        <w:rPr>
          <w:rFonts w:hint="eastAsia" w:ascii="宋体" w:hAnsi="宋体" w:eastAsia="宋体" w:cs="宋体"/>
          <w:color w:val="000000"/>
          <w:kern w:val="2"/>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12</w:t>
      </w:r>
      <w:r>
        <w:rPr>
          <w:rFonts w:hint="eastAsia" w:ascii="宋体" w:hAnsi="宋体" w:eastAsia="宋体" w:cs="宋体"/>
          <w:color w:val="000000"/>
          <w:sz w:val="28"/>
          <w:szCs w:val="28"/>
          <w:highlight w:val="none"/>
          <w:lang w:eastAsia="zh-CN"/>
        </w:rPr>
        <w:t>）</w:t>
      </w:r>
      <w:r>
        <w:rPr>
          <w:rFonts w:hint="eastAsia" w:ascii="宋体" w:hAnsi="宋体" w:eastAsia="宋体" w:cs="宋体"/>
          <w:b w:val="0"/>
          <w:bCs w:val="0"/>
          <w:color w:val="000000"/>
          <w:sz w:val="28"/>
          <w:szCs w:val="28"/>
          <w:highlight w:val="none"/>
        </w:rPr>
        <w:t>应急处理模式</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color w:val="000000"/>
          <w:kern w:val="2"/>
          <w:sz w:val="28"/>
          <w:szCs w:val="28"/>
          <w:highlight w:val="none"/>
        </w:rPr>
        <w:t>当有突发异常情况时，日常监控场景可切换到应急处理模式，值班领导可以根据应急处置预案，将大屏幕显示以人工或自动方式转入应急指挥调度工作模式，快速联系相应部门负责人员进行会商分析，有必要时开启远程视频会议确定处置决策，会商分析或相关业务数据画面以大窗口放大显示，本地会场和对端会场画面在相应分区显示，便于监控人员的应急调度和值班领导的现场决策指挥。</w:t>
      </w:r>
    </w:p>
    <w:bookmarkEnd w:id="31"/>
    <w:p>
      <w:pPr>
        <w:adjustRightInd w:val="0"/>
        <w:snapToGrid w:val="0"/>
        <w:spacing w:line="600" w:lineRule="exact"/>
        <w:ind w:firstLine="0" w:firstLineChars="0"/>
        <w:rPr>
          <w:rFonts w:hint="default" w:ascii="宋体" w:hAnsi="宋体" w:eastAsia="宋体" w:cs="宋体"/>
          <w:b/>
          <w:bCs/>
          <w:color w:val="000000"/>
          <w:sz w:val="28"/>
          <w:szCs w:val="28"/>
          <w:highlight w:val="none"/>
          <w:lang w:val="en-US" w:eastAsia="zh-CN"/>
        </w:rPr>
      </w:pPr>
      <w:bookmarkStart w:id="40" w:name="_Toc12458"/>
      <w:bookmarkStart w:id="41" w:name="_Toc5420"/>
      <w:bookmarkStart w:id="42" w:name="_Toc1227"/>
      <w:bookmarkStart w:id="43" w:name="_Toc18584"/>
      <w:bookmarkStart w:id="44" w:name="_Toc7241"/>
      <w:r>
        <w:rPr>
          <w:rFonts w:hint="eastAsia" w:ascii="宋体" w:hAnsi="宋体" w:eastAsia="宋体" w:cs="宋体"/>
          <w:b/>
          <w:bCs/>
          <w:color w:val="000000"/>
          <w:kern w:val="2"/>
          <w:sz w:val="28"/>
          <w:szCs w:val="28"/>
          <w:highlight w:val="none"/>
          <w:lang w:val="en-US" w:eastAsia="zh-CN"/>
        </w:rPr>
        <w:t>（二）</w:t>
      </w:r>
      <w:r>
        <w:rPr>
          <w:rFonts w:hint="default" w:ascii="宋体" w:hAnsi="宋体" w:eastAsia="宋体" w:cs="宋体"/>
          <w:b/>
          <w:bCs/>
          <w:color w:val="000000"/>
          <w:sz w:val="28"/>
          <w:szCs w:val="28"/>
          <w:highlight w:val="none"/>
          <w:lang w:val="en-US" w:eastAsia="zh-CN"/>
        </w:rPr>
        <w:t>智能多媒体音视频管控系统</w:t>
      </w:r>
      <w:r>
        <w:rPr>
          <w:rFonts w:hint="eastAsia" w:ascii="宋体" w:hAnsi="宋体" w:eastAsia="宋体" w:cs="宋体"/>
          <w:b/>
          <w:bCs/>
          <w:color w:val="000000"/>
          <w:sz w:val="28"/>
          <w:szCs w:val="28"/>
          <w:highlight w:val="none"/>
          <w:lang w:val="en-US" w:eastAsia="zh-CN"/>
        </w:rPr>
        <w:t>建设</w:t>
      </w:r>
      <w:r>
        <w:rPr>
          <w:rFonts w:hint="default" w:ascii="宋体" w:hAnsi="宋体" w:eastAsia="宋体" w:cs="宋体"/>
          <w:b/>
          <w:bCs/>
          <w:color w:val="000000"/>
          <w:sz w:val="28"/>
          <w:szCs w:val="28"/>
          <w:highlight w:val="none"/>
          <w:lang w:val="en-US" w:eastAsia="zh-CN"/>
        </w:rPr>
        <w:t>要求</w:t>
      </w:r>
      <w:bookmarkEnd w:id="40"/>
      <w:bookmarkEnd w:id="41"/>
      <w:bookmarkEnd w:id="42"/>
      <w:bookmarkEnd w:id="43"/>
      <w:bookmarkEnd w:id="44"/>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right="0" w:rightChars="0" w:firstLine="560" w:firstLineChars="200"/>
        <w:jc w:val="both"/>
        <w:textAlignment w:val="auto"/>
        <w:outlineLvl w:val="9"/>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1</w:t>
      </w:r>
      <w:r>
        <w:rPr>
          <w:rFonts w:hint="eastAsia" w:ascii="宋体" w:hAnsi="宋体" w:eastAsia="宋体" w:cs="宋体"/>
          <w:b w:val="0"/>
          <w:bCs w:val="0"/>
          <w:color w:val="000000"/>
          <w:sz w:val="28"/>
          <w:szCs w:val="28"/>
          <w:highlight w:val="none"/>
          <w:lang w:eastAsia="zh-CN"/>
        </w:rPr>
        <w:t>）建设</w:t>
      </w:r>
      <w:r>
        <w:rPr>
          <w:rFonts w:hint="eastAsia" w:ascii="宋体" w:hAnsi="宋体" w:eastAsia="宋体" w:cs="宋体"/>
          <w:b w:val="0"/>
          <w:bCs w:val="0"/>
          <w:color w:val="000000"/>
          <w:sz w:val="28"/>
          <w:szCs w:val="28"/>
          <w:highlight w:val="none"/>
        </w:rPr>
        <w:t>方法</w:t>
      </w:r>
    </w:p>
    <w:p>
      <w:pPr>
        <w:adjustRightInd w:val="0"/>
        <w:snapToGrid w:val="0"/>
        <w:spacing w:afterLines="50" w:line="600" w:lineRule="exact"/>
        <w:ind w:firstLine="560"/>
        <w:jc w:val="left"/>
        <w:rPr>
          <w:rFonts w:hint="eastAsia" w:ascii="宋体" w:hAnsi="宋体" w:eastAsia="宋体" w:cs="宋体"/>
          <w:color w:val="000000"/>
          <w:kern w:val="2"/>
          <w:sz w:val="28"/>
          <w:szCs w:val="28"/>
          <w:highlight w:val="none"/>
        </w:rPr>
      </w:pPr>
      <w:r>
        <w:rPr>
          <w:rFonts w:hint="eastAsia" w:ascii="宋体" w:hAnsi="宋体" w:eastAsia="宋体" w:cs="宋体"/>
          <w:color w:val="000000"/>
          <w:kern w:val="2"/>
          <w:sz w:val="28"/>
          <w:szCs w:val="28"/>
          <w:highlight w:val="none"/>
        </w:rPr>
        <w:t>针对扩声系统声学特性，使用计算机辅助</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软件对声学特性指标进行辅助</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和计算，使得计算的声学特性指标更加准确。</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right="0" w:rightChars="0" w:firstLine="560" w:firstLineChars="200"/>
        <w:jc w:val="both"/>
        <w:textAlignment w:val="auto"/>
        <w:outlineLvl w:val="9"/>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lang w:val="en-US" w:eastAsia="zh-CN"/>
        </w:rPr>
        <w:t>（2）</w:t>
      </w:r>
      <w:r>
        <w:rPr>
          <w:rFonts w:hint="eastAsia" w:ascii="宋体" w:hAnsi="宋体" w:eastAsia="宋体" w:cs="宋体"/>
          <w:b w:val="0"/>
          <w:bCs w:val="0"/>
          <w:color w:val="000000"/>
          <w:sz w:val="28"/>
          <w:szCs w:val="28"/>
          <w:highlight w:val="none"/>
          <w:lang w:eastAsia="zh-CN"/>
        </w:rPr>
        <w:t>建设</w:t>
      </w:r>
      <w:r>
        <w:rPr>
          <w:rFonts w:hint="eastAsia" w:ascii="宋体" w:hAnsi="宋体" w:eastAsia="宋体" w:cs="宋体"/>
          <w:b w:val="0"/>
          <w:bCs w:val="0"/>
          <w:color w:val="000000"/>
          <w:sz w:val="28"/>
          <w:szCs w:val="28"/>
          <w:highlight w:val="none"/>
        </w:rPr>
        <w:t>过程</w:t>
      </w:r>
    </w:p>
    <w:p>
      <w:pPr>
        <w:adjustRightInd w:val="0"/>
        <w:snapToGrid w:val="0"/>
        <w:spacing w:afterLines="50" w:line="600" w:lineRule="exact"/>
        <w:ind w:firstLine="560"/>
        <w:jc w:val="left"/>
        <w:rPr>
          <w:rFonts w:hint="eastAsia" w:ascii="宋体" w:hAnsi="宋体" w:eastAsia="宋体" w:cs="宋体"/>
          <w:color w:val="000000"/>
          <w:kern w:val="2"/>
          <w:sz w:val="28"/>
          <w:szCs w:val="28"/>
          <w:highlight w:val="none"/>
        </w:rPr>
      </w:pPr>
      <w:r>
        <w:rPr>
          <w:rFonts w:hint="eastAsia" w:ascii="宋体" w:hAnsi="宋体" w:eastAsia="宋体" w:cs="宋体"/>
          <w:color w:val="000000"/>
          <w:kern w:val="2"/>
          <w:sz w:val="28"/>
          <w:szCs w:val="28"/>
          <w:highlight w:val="none"/>
        </w:rPr>
        <w:t>声学</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规范中要求座位区的音质主要是足够声压级，语言清晰、可懂度高，其次是丰满度，</w:t>
      </w:r>
      <w:r>
        <w:rPr>
          <w:rFonts w:hint="eastAsia" w:ascii="宋体" w:hAnsi="宋体" w:eastAsia="宋体" w:cs="宋体"/>
          <w:color w:val="000000"/>
          <w:kern w:val="2"/>
          <w:sz w:val="28"/>
          <w:szCs w:val="28"/>
          <w:highlight w:val="none"/>
          <w:lang w:val="en-US" w:eastAsia="zh-CN"/>
        </w:rPr>
        <w:t>室</w:t>
      </w:r>
      <w:r>
        <w:rPr>
          <w:rFonts w:hint="eastAsia" w:ascii="宋体" w:hAnsi="宋体" w:eastAsia="宋体" w:cs="宋体"/>
          <w:color w:val="000000"/>
          <w:kern w:val="2"/>
          <w:sz w:val="28"/>
          <w:szCs w:val="28"/>
          <w:highlight w:val="none"/>
        </w:rPr>
        <w:t>内各处要有合适的响度和均匀度，</w:t>
      </w:r>
      <w:r>
        <w:rPr>
          <w:rFonts w:hint="eastAsia" w:ascii="宋体" w:hAnsi="宋体" w:eastAsia="宋体" w:cs="宋体"/>
          <w:color w:val="000000"/>
          <w:kern w:val="2"/>
          <w:sz w:val="28"/>
          <w:szCs w:val="28"/>
          <w:highlight w:val="none"/>
          <w:lang w:eastAsia="zh-CN"/>
        </w:rPr>
        <w:t>办公人员</w:t>
      </w:r>
      <w:r>
        <w:rPr>
          <w:rFonts w:hint="eastAsia" w:ascii="宋体" w:hAnsi="宋体" w:eastAsia="宋体" w:cs="宋体"/>
          <w:color w:val="000000"/>
          <w:kern w:val="2"/>
          <w:sz w:val="28"/>
          <w:szCs w:val="28"/>
          <w:highlight w:val="none"/>
        </w:rPr>
        <w:t>的任何位置不得出现回声和声聚焦等声学缺陷，并无来自</w:t>
      </w:r>
      <w:r>
        <w:rPr>
          <w:rFonts w:hint="eastAsia" w:ascii="宋体" w:hAnsi="宋体" w:eastAsia="宋体" w:cs="宋体"/>
          <w:color w:val="000000"/>
          <w:kern w:val="2"/>
          <w:sz w:val="28"/>
          <w:szCs w:val="28"/>
          <w:highlight w:val="none"/>
          <w:lang w:eastAsia="zh-CN"/>
        </w:rPr>
        <w:t>室</w:t>
      </w:r>
      <w:r>
        <w:rPr>
          <w:rFonts w:hint="eastAsia" w:ascii="宋体" w:hAnsi="宋体" w:eastAsia="宋体" w:cs="宋体"/>
          <w:color w:val="000000"/>
          <w:kern w:val="2"/>
          <w:sz w:val="28"/>
          <w:szCs w:val="28"/>
          <w:highlight w:val="none"/>
        </w:rPr>
        <w:t>内设备、外界环境噪声的干扰，这些指标形成室内音质</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的综合效果。</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right="0" w:rightChars="0" w:firstLine="560" w:firstLineChars="200"/>
        <w:jc w:val="both"/>
        <w:textAlignment w:val="auto"/>
        <w:outlineLvl w:val="9"/>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lang w:val="en-US" w:eastAsia="zh-CN"/>
        </w:rPr>
        <w:t>（3）音频</w:t>
      </w:r>
      <w:r>
        <w:rPr>
          <w:rFonts w:hint="eastAsia" w:ascii="宋体" w:hAnsi="宋体" w:eastAsia="宋体" w:cs="宋体"/>
          <w:b w:val="0"/>
          <w:bCs w:val="0"/>
          <w:color w:val="000000"/>
          <w:sz w:val="28"/>
          <w:szCs w:val="28"/>
          <w:highlight w:val="none"/>
        </w:rPr>
        <w:t>系统的要求</w:t>
      </w:r>
    </w:p>
    <w:p>
      <w:pPr>
        <w:adjustRightInd w:val="0"/>
        <w:snapToGrid w:val="0"/>
        <w:spacing w:afterLines="50" w:line="600" w:lineRule="exact"/>
        <w:ind w:firstLine="560"/>
        <w:jc w:val="left"/>
        <w:rPr>
          <w:rFonts w:hint="eastAsia" w:ascii="宋体" w:hAnsi="宋体" w:eastAsia="宋体" w:cs="宋体"/>
          <w:color w:val="000000"/>
          <w:kern w:val="2"/>
          <w:sz w:val="28"/>
          <w:szCs w:val="28"/>
          <w:highlight w:val="none"/>
        </w:rPr>
      </w:pPr>
      <w:r>
        <w:rPr>
          <w:rFonts w:hint="eastAsia" w:ascii="宋体" w:hAnsi="宋体" w:eastAsia="宋体" w:cs="宋体"/>
          <w:color w:val="000000"/>
          <w:kern w:val="2"/>
          <w:sz w:val="28"/>
          <w:szCs w:val="28"/>
          <w:highlight w:val="none"/>
        </w:rPr>
        <w:t>随着科技的进步技术的发展，特别是数字技术在音频领域中得以应用，使得声信号的记录、传输和重放的音质有了很大的改善，但是决定音质的好坏不仅与设备有关，还与声学环境和入耳的听觉特性有关。在同样设备的条件下后者显得更为重要。</w:t>
      </w:r>
    </w:p>
    <w:p>
      <w:pPr>
        <w:adjustRightInd w:val="0"/>
        <w:snapToGrid w:val="0"/>
        <w:spacing w:afterLines="50" w:line="600" w:lineRule="exact"/>
        <w:ind w:firstLine="560"/>
        <w:jc w:val="left"/>
        <w:rPr>
          <w:rFonts w:hint="eastAsia" w:ascii="宋体" w:hAnsi="宋体" w:eastAsia="宋体" w:cs="宋体"/>
          <w:color w:val="000000"/>
          <w:kern w:val="2"/>
          <w:sz w:val="28"/>
          <w:szCs w:val="28"/>
          <w:highlight w:val="none"/>
        </w:rPr>
      </w:pPr>
      <w:r>
        <w:rPr>
          <w:rFonts w:hint="eastAsia" w:ascii="宋体" w:hAnsi="宋体" w:eastAsia="宋体" w:cs="宋体"/>
          <w:color w:val="000000"/>
          <w:kern w:val="2"/>
          <w:sz w:val="28"/>
          <w:szCs w:val="28"/>
          <w:highlight w:val="none"/>
        </w:rPr>
        <w:t>所以</w:t>
      </w:r>
      <w:r>
        <w:rPr>
          <w:rFonts w:hint="eastAsia" w:ascii="宋体" w:hAnsi="宋体" w:eastAsia="宋体" w:cs="宋体"/>
          <w:color w:val="000000"/>
          <w:kern w:val="2"/>
          <w:sz w:val="28"/>
          <w:szCs w:val="28"/>
          <w:highlight w:val="none"/>
          <w:lang w:val="en-US" w:eastAsia="zh-CN"/>
        </w:rPr>
        <w:t>音频</w:t>
      </w:r>
      <w:r>
        <w:rPr>
          <w:rFonts w:hint="eastAsia" w:ascii="宋体" w:hAnsi="宋体" w:eastAsia="宋体" w:cs="宋体"/>
          <w:color w:val="000000"/>
          <w:kern w:val="2"/>
          <w:sz w:val="28"/>
          <w:szCs w:val="28"/>
          <w:highlight w:val="none"/>
        </w:rPr>
        <w:t>系统</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的根本问题是声学问题，不是简单的设备选型与组套，系统方案内的最终音质效果是电声与建声综合</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效果的体现，系统</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首先要研究指定空间的声场，这一点非常重要。只有对要</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的场所进行深入的了解、并进行仔细的研究后，进而对场馆进行建声</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、处理和电声系统</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，并使二者完美结合，才能给出准确的“</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”，并获得最佳的音响效果。</w:t>
      </w:r>
    </w:p>
    <w:p>
      <w:pPr>
        <w:adjustRightInd w:val="0"/>
        <w:snapToGrid w:val="0"/>
        <w:spacing w:afterLines="50" w:line="600" w:lineRule="exact"/>
        <w:ind w:firstLine="560"/>
        <w:jc w:val="left"/>
        <w:rPr>
          <w:rFonts w:hint="eastAsia" w:ascii="宋体" w:hAnsi="宋体" w:eastAsia="宋体" w:cs="宋体"/>
          <w:b/>
          <w:bCs/>
          <w:color w:val="000000"/>
          <w:kern w:val="2"/>
          <w:sz w:val="28"/>
          <w:szCs w:val="28"/>
          <w:highlight w:val="none"/>
          <w:lang w:val="en-US" w:eastAsia="zh-CN"/>
        </w:rPr>
      </w:pPr>
      <w:r>
        <w:rPr>
          <w:rFonts w:hint="eastAsia" w:ascii="宋体" w:hAnsi="宋体" w:eastAsia="宋体" w:cs="宋体"/>
          <w:b/>
          <w:bCs/>
          <w:color w:val="000000"/>
          <w:kern w:val="2"/>
          <w:sz w:val="28"/>
          <w:szCs w:val="28"/>
          <w:highlight w:val="none"/>
          <w:lang w:val="en-US" w:eastAsia="zh-CN"/>
        </w:rPr>
        <w:t>（三）视频系统建设要求</w:t>
      </w:r>
    </w:p>
    <w:p>
      <w:pPr>
        <w:adjustRightInd w:val="0"/>
        <w:snapToGrid w:val="0"/>
        <w:spacing w:afterLines="50" w:line="600" w:lineRule="exact"/>
        <w:ind w:firstLine="560"/>
        <w:jc w:val="left"/>
        <w:rPr>
          <w:rFonts w:hint="eastAsia" w:ascii="宋体" w:hAnsi="宋体" w:eastAsia="宋体" w:cs="宋体"/>
          <w:color w:val="000000"/>
          <w:kern w:val="2"/>
          <w:sz w:val="28"/>
          <w:szCs w:val="28"/>
          <w:highlight w:val="none"/>
        </w:rPr>
      </w:pPr>
      <w:r>
        <w:rPr>
          <w:rFonts w:hint="eastAsia" w:ascii="宋体" w:hAnsi="宋体" w:eastAsia="宋体" w:cs="宋体"/>
          <w:color w:val="000000"/>
          <w:kern w:val="2"/>
          <w:sz w:val="28"/>
          <w:szCs w:val="28"/>
          <w:highlight w:val="none"/>
          <w:lang w:val="en-US" w:eastAsia="zh-CN"/>
        </w:rPr>
        <w:t>视频</w:t>
      </w:r>
      <w:r>
        <w:rPr>
          <w:rFonts w:hint="eastAsia" w:ascii="宋体" w:hAnsi="宋体" w:eastAsia="宋体" w:cs="宋体"/>
          <w:color w:val="000000"/>
          <w:kern w:val="2"/>
          <w:sz w:val="28"/>
          <w:szCs w:val="28"/>
          <w:highlight w:val="none"/>
        </w:rPr>
        <w:t>系统是集多种信息接收处理显示、多类人员操作控制于一体的多媒体互动系统，涉及声光电多方面联动等技术问题，也涉及有关部门的管理协调问题，还与大厅整体结构密不可分，必须注重需求为主、统筹兼顾、运用综合集成技术，才能使之达到预期效果。</w:t>
      </w:r>
    </w:p>
    <w:p>
      <w:pPr>
        <w:adjustRightInd w:val="0"/>
        <w:snapToGrid w:val="0"/>
        <w:spacing w:afterLines="50" w:line="600" w:lineRule="exact"/>
        <w:ind w:firstLine="560"/>
        <w:jc w:val="left"/>
        <w:rPr>
          <w:rFonts w:hint="eastAsia" w:ascii="宋体" w:hAnsi="宋体" w:eastAsia="宋体" w:cs="宋体"/>
          <w:color w:val="000000"/>
          <w:kern w:val="2"/>
          <w:sz w:val="28"/>
          <w:szCs w:val="28"/>
          <w:highlight w:val="none"/>
        </w:rPr>
      </w:pPr>
      <w:r>
        <w:rPr>
          <w:rFonts w:hint="eastAsia" w:ascii="宋体" w:hAnsi="宋体" w:eastAsia="宋体" w:cs="宋体"/>
          <w:color w:val="000000"/>
          <w:kern w:val="2"/>
          <w:sz w:val="28"/>
          <w:szCs w:val="28"/>
          <w:highlight w:val="none"/>
        </w:rPr>
        <w:t>视频系统的</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首先要提出需求，以下为通用的主要功能与要求</w:t>
      </w:r>
      <w:r>
        <w:rPr>
          <w:rFonts w:hint="eastAsia" w:ascii="宋体" w:hAnsi="宋体" w:eastAsia="宋体" w:cs="宋体"/>
          <w:color w:val="000000"/>
          <w:kern w:val="2"/>
          <w:sz w:val="28"/>
          <w:szCs w:val="28"/>
          <w:highlight w:val="none"/>
          <w:lang w:eastAsia="zh-CN"/>
        </w:rPr>
        <w:t>：</w:t>
      </w:r>
    </w:p>
    <w:p>
      <w:pPr>
        <w:keepNext w:val="0"/>
        <w:keepLines w:val="0"/>
        <w:pageBreakBefore w:val="0"/>
        <w:widowControl w:val="0"/>
        <w:numPr>
          <w:ilvl w:val="0"/>
          <w:numId w:val="4"/>
        </w:numPr>
        <w:kinsoku/>
        <w:wordWrap/>
        <w:overflowPunct/>
        <w:topLinePunct w:val="0"/>
        <w:autoSpaceDE/>
        <w:autoSpaceDN/>
        <w:bidi w:val="0"/>
        <w:adjustRightInd w:val="0"/>
        <w:snapToGrid w:val="0"/>
        <w:spacing w:line="600" w:lineRule="exact"/>
        <w:ind w:right="0" w:rightChars="0" w:firstLine="560" w:firstLineChars="0"/>
        <w:jc w:val="both"/>
        <w:textAlignment w:val="auto"/>
        <w:outlineLvl w:val="9"/>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1</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信息接收</w:t>
      </w:r>
    </w:p>
    <w:p>
      <w:pPr>
        <w:adjustRightInd w:val="0"/>
        <w:snapToGrid w:val="0"/>
        <w:spacing w:afterLines="50" w:line="600" w:lineRule="exact"/>
        <w:ind w:firstLine="560"/>
        <w:jc w:val="left"/>
        <w:rPr>
          <w:rFonts w:hint="eastAsia" w:ascii="宋体" w:hAnsi="宋体" w:eastAsia="宋体" w:cs="宋体"/>
          <w:color w:val="000000"/>
          <w:kern w:val="2"/>
          <w:sz w:val="28"/>
          <w:szCs w:val="28"/>
          <w:highlight w:val="none"/>
        </w:rPr>
      </w:pPr>
      <w:r>
        <w:rPr>
          <w:rFonts w:hint="eastAsia" w:ascii="宋体" w:hAnsi="宋体" w:eastAsia="宋体" w:cs="宋体"/>
          <w:color w:val="000000"/>
          <w:kern w:val="2"/>
          <w:sz w:val="28"/>
          <w:szCs w:val="28"/>
          <w:highlight w:val="none"/>
        </w:rPr>
        <w:t>系统不仅要能接收</w:t>
      </w:r>
      <w:r>
        <w:rPr>
          <w:rFonts w:hint="eastAsia" w:ascii="宋体" w:hAnsi="宋体" w:eastAsia="宋体" w:cs="宋体"/>
          <w:color w:val="000000"/>
          <w:kern w:val="2"/>
          <w:sz w:val="28"/>
          <w:szCs w:val="28"/>
          <w:highlight w:val="none"/>
          <w:lang w:val="en-US" w:eastAsia="zh-CN"/>
        </w:rPr>
        <w:t>DVI</w:t>
      </w:r>
      <w:r>
        <w:rPr>
          <w:rFonts w:hint="eastAsia" w:ascii="宋体" w:hAnsi="宋体" w:eastAsia="宋体" w:cs="宋体"/>
          <w:color w:val="000000"/>
          <w:kern w:val="2"/>
          <w:sz w:val="28"/>
          <w:szCs w:val="28"/>
          <w:highlight w:val="none"/>
        </w:rPr>
        <w:t>、</w:t>
      </w:r>
      <w:r>
        <w:rPr>
          <w:rFonts w:hint="eastAsia" w:ascii="宋体" w:hAnsi="宋体" w:eastAsia="宋体" w:cs="宋体"/>
          <w:color w:val="000000"/>
          <w:kern w:val="2"/>
          <w:sz w:val="28"/>
          <w:szCs w:val="28"/>
          <w:highlight w:val="none"/>
          <w:lang w:val="en-US" w:eastAsia="zh-CN"/>
        </w:rPr>
        <w:t>HDMI</w:t>
      </w:r>
      <w:r>
        <w:rPr>
          <w:rFonts w:hint="eastAsia" w:ascii="宋体" w:hAnsi="宋体" w:eastAsia="宋体" w:cs="宋体"/>
          <w:color w:val="000000"/>
          <w:kern w:val="2"/>
          <w:sz w:val="28"/>
          <w:szCs w:val="28"/>
          <w:highlight w:val="none"/>
        </w:rPr>
        <w:t>、网络计算机信息，还要能接收宽带语音、流媒体音视频信号，并能根据需要进行适当的信息转换。</w:t>
      </w:r>
    </w:p>
    <w:p>
      <w:pPr>
        <w:keepNext w:val="0"/>
        <w:keepLines w:val="0"/>
        <w:pageBreakBefore w:val="0"/>
        <w:widowControl w:val="0"/>
        <w:numPr>
          <w:ilvl w:val="0"/>
          <w:numId w:val="4"/>
        </w:numPr>
        <w:kinsoku/>
        <w:wordWrap/>
        <w:overflowPunct/>
        <w:topLinePunct w:val="0"/>
        <w:autoSpaceDE/>
        <w:autoSpaceDN/>
        <w:bidi w:val="0"/>
        <w:adjustRightInd w:val="0"/>
        <w:snapToGrid w:val="0"/>
        <w:spacing w:line="600" w:lineRule="exact"/>
        <w:ind w:right="0" w:rightChars="0" w:firstLine="560" w:firstLineChars="0"/>
        <w:jc w:val="both"/>
        <w:textAlignment w:val="auto"/>
        <w:outlineLvl w:val="9"/>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2</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信息显示</w:t>
      </w:r>
    </w:p>
    <w:p>
      <w:pPr>
        <w:adjustRightInd w:val="0"/>
        <w:snapToGrid w:val="0"/>
        <w:spacing w:afterLines="50" w:line="600" w:lineRule="exact"/>
        <w:ind w:firstLine="560"/>
        <w:jc w:val="left"/>
        <w:rPr>
          <w:rFonts w:hint="eastAsia" w:ascii="宋体" w:hAnsi="宋体" w:eastAsia="宋体" w:cs="宋体"/>
          <w:color w:val="000000"/>
          <w:kern w:val="2"/>
          <w:sz w:val="28"/>
          <w:szCs w:val="28"/>
          <w:highlight w:val="none"/>
        </w:rPr>
      </w:pPr>
      <w:r>
        <w:rPr>
          <w:rFonts w:hint="eastAsia" w:ascii="宋体" w:hAnsi="宋体" w:eastAsia="宋体" w:cs="宋体"/>
          <w:color w:val="000000"/>
          <w:kern w:val="2"/>
          <w:sz w:val="28"/>
          <w:szCs w:val="28"/>
          <w:highlight w:val="none"/>
        </w:rPr>
        <w:t>系统能以多媒体的形式发布共享信息，能以不同的模式、按照划分区域显示态势、文本、表格和高清视频图像信息。要求态势显示清晰、分辨率高，文字、图像显示清晰稳定。</w:t>
      </w:r>
    </w:p>
    <w:p>
      <w:pPr>
        <w:keepNext w:val="0"/>
        <w:keepLines w:val="0"/>
        <w:pageBreakBefore w:val="0"/>
        <w:widowControl w:val="0"/>
        <w:numPr>
          <w:ilvl w:val="0"/>
          <w:numId w:val="4"/>
        </w:numPr>
        <w:kinsoku/>
        <w:wordWrap/>
        <w:overflowPunct/>
        <w:topLinePunct w:val="0"/>
        <w:autoSpaceDE/>
        <w:autoSpaceDN/>
        <w:bidi w:val="0"/>
        <w:adjustRightInd w:val="0"/>
        <w:snapToGrid w:val="0"/>
        <w:spacing w:line="600" w:lineRule="exact"/>
        <w:ind w:right="0" w:rightChars="0" w:firstLine="560" w:firstLineChars="0"/>
        <w:jc w:val="both"/>
        <w:textAlignment w:val="auto"/>
        <w:outlineLvl w:val="9"/>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lang w:val="en-US" w:eastAsia="zh-CN"/>
        </w:rPr>
        <w:t>(3)</w:t>
      </w:r>
      <w:r>
        <w:rPr>
          <w:rFonts w:hint="eastAsia" w:ascii="宋体" w:hAnsi="宋体" w:eastAsia="宋体" w:cs="宋体"/>
          <w:b w:val="0"/>
          <w:bCs w:val="0"/>
          <w:color w:val="000000"/>
          <w:sz w:val="28"/>
          <w:szCs w:val="28"/>
          <w:highlight w:val="none"/>
        </w:rPr>
        <w:t>预览、摄像与切换</w:t>
      </w:r>
    </w:p>
    <w:p>
      <w:pPr>
        <w:adjustRightInd w:val="0"/>
        <w:snapToGrid w:val="0"/>
        <w:spacing w:afterLines="50" w:line="600" w:lineRule="exact"/>
        <w:ind w:firstLine="560"/>
        <w:jc w:val="left"/>
        <w:rPr>
          <w:rFonts w:hint="eastAsia" w:ascii="宋体" w:hAnsi="宋体" w:eastAsia="宋体" w:cs="宋体"/>
          <w:color w:val="000000"/>
          <w:kern w:val="2"/>
          <w:sz w:val="28"/>
          <w:szCs w:val="28"/>
          <w:highlight w:val="none"/>
        </w:rPr>
      </w:pPr>
      <w:r>
        <w:rPr>
          <w:rFonts w:hint="eastAsia" w:ascii="宋体" w:hAnsi="宋体" w:eastAsia="宋体" w:cs="宋体"/>
          <w:color w:val="000000"/>
          <w:kern w:val="2"/>
          <w:sz w:val="28"/>
          <w:szCs w:val="28"/>
          <w:highlight w:val="none"/>
        </w:rPr>
        <w:t>为保证LED大屏幕和</w:t>
      </w:r>
      <w:r>
        <w:rPr>
          <w:rFonts w:hint="eastAsia" w:ascii="宋体" w:hAnsi="宋体" w:eastAsia="宋体" w:cs="宋体"/>
          <w:color w:val="000000"/>
          <w:kern w:val="2"/>
          <w:sz w:val="28"/>
          <w:szCs w:val="28"/>
          <w:highlight w:val="none"/>
          <w:lang w:val="en-US" w:eastAsia="zh-CN"/>
        </w:rPr>
        <w:t>工业屏</w:t>
      </w:r>
      <w:r>
        <w:rPr>
          <w:rFonts w:hint="eastAsia" w:ascii="宋体" w:hAnsi="宋体" w:eastAsia="宋体" w:cs="宋体"/>
          <w:color w:val="000000"/>
          <w:kern w:val="2"/>
          <w:sz w:val="28"/>
          <w:szCs w:val="28"/>
          <w:highlight w:val="none"/>
        </w:rPr>
        <w:t>等显示信息的准确性和质量，系统必须具有多通道、多路图象预览功能，音视频同步，用于图像的预审。大厅内应安装摄像机，用以提取管理控制机构工作的视频图像。系统应具有切换显示功能，满足多路信息显示需要。</w:t>
      </w:r>
    </w:p>
    <w:p>
      <w:pPr>
        <w:bidi w:val="0"/>
        <w:adjustRightInd w:val="0"/>
        <w:snapToGrid w:val="0"/>
        <w:spacing w:afterLines="50" w:line="600" w:lineRule="exact"/>
        <w:ind w:firstLine="560"/>
        <w:jc w:val="left"/>
        <w:rPr>
          <w:rFonts w:hint="eastAsia" w:ascii="宋体" w:hAnsi="宋体" w:eastAsia="宋体" w:cs="宋体"/>
          <w:b/>
          <w:bCs/>
          <w:color w:val="000000"/>
          <w:kern w:val="2"/>
          <w:sz w:val="28"/>
          <w:szCs w:val="28"/>
          <w:highlight w:val="none"/>
          <w:lang w:val="en-US" w:eastAsia="zh-CN"/>
        </w:rPr>
      </w:pPr>
      <w:r>
        <w:rPr>
          <w:rFonts w:hint="eastAsia" w:ascii="宋体" w:hAnsi="宋体" w:eastAsia="宋体" w:cs="宋体"/>
          <w:b/>
          <w:bCs/>
          <w:color w:val="000000"/>
          <w:kern w:val="2"/>
          <w:sz w:val="28"/>
          <w:szCs w:val="28"/>
          <w:highlight w:val="none"/>
          <w:lang w:val="en-US" w:eastAsia="zh-CN"/>
        </w:rPr>
        <w:t>（四）智能多媒体音视频管控总系统建设要求</w:t>
      </w:r>
    </w:p>
    <w:p>
      <w:pPr>
        <w:keepNext w:val="0"/>
        <w:keepLines w:val="0"/>
        <w:pageBreakBefore w:val="0"/>
        <w:widowControl w:val="0"/>
        <w:numPr>
          <w:ilvl w:val="0"/>
          <w:numId w:val="5"/>
        </w:numPr>
        <w:kinsoku/>
        <w:wordWrap/>
        <w:overflowPunct/>
        <w:topLinePunct w:val="0"/>
        <w:autoSpaceDE/>
        <w:autoSpaceDN/>
        <w:bidi w:val="0"/>
        <w:adjustRightInd w:val="0"/>
        <w:snapToGrid w:val="0"/>
        <w:spacing w:line="600" w:lineRule="exact"/>
        <w:ind w:right="0" w:rightChars="0" w:firstLine="560" w:firstLineChars="0"/>
        <w:jc w:val="both"/>
        <w:textAlignment w:val="auto"/>
        <w:outlineLvl w:val="9"/>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1</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复杂的应用系统使用简单化</w:t>
      </w:r>
    </w:p>
    <w:p>
      <w:pPr>
        <w:adjustRightInd w:val="0"/>
        <w:snapToGrid w:val="0"/>
        <w:spacing w:afterLines="50" w:line="600" w:lineRule="exact"/>
        <w:ind w:firstLine="560"/>
        <w:jc w:val="left"/>
        <w:rPr>
          <w:rFonts w:hint="eastAsia" w:ascii="宋体" w:hAnsi="宋体" w:eastAsia="宋体" w:cs="宋体"/>
          <w:color w:val="000000"/>
          <w:kern w:val="2"/>
          <w:sz w:val="28"/>
          <w:szCs w:val="28"/>
          <w:highlight w:val="none"/>
        </w:rPr>
      </w:pPr>
      <w:r>
        <w:rPr>
          <w:rFonts w:hint="eastAsia" w:ascii="宋体" w:hAnsi="宋体" w:eastAsia="宋体" w:cs="宋体"/>
          <w:color w:val="000000"/>
          <w:kern w:val="2"/>
          <w:sz w:val="28"/>
          <w:szCs w:val="28"/>
          <w:highlight w:val="none"/>
        </w:rPr>
        <w:t>系统中的所有设备都通过</w:t>
      </w:r>
      <w:r>
        <w:rPr>
          <w:rFonts w:hint="eastAsia" w:ascii="宋体" w:hAnsi="宋体" w:eastAsia="宋体" w:cs="宋体"/>
          <w:color w:val="000000"/>
          <w:kern w:val="2"/>
          <w:sz w:val="28"/>
          <w:szCs w:val="28"/>
          <w:highlight w:val="none"/>
          <w:lang w:val="en-US" w:eastAsia="zh-CN"/>
        </w:rPr>
        <w:t>云中控</w:t>
      </w:r>
      <w:r>
        <w:rPr>
          <w:rFonts w:hint="eastAsia" w:ascii="宋体" w:hAnsi="宋体" w:eastAsia="宋体" w:cs="宋体"/>
          <w:color w:val="000000"/>
          <w:kern w:val="2"/>
          <w:sz w:val="28"/>
          <w:szCs w:val="28"/>
          <w:highlight w:val="none"/>
        </w:rPr>
        <w:t>进行控制，并通过</w:t>
      </w:r>
      <w:r>
        <w:rPr>
          <w:rFonts w:hint="eastAsia" w:ascii="宋体" w:hAnsi="宋体" w:eastAsia="宋体" w:cs="宋体"/>
          <w:color w:val="000000"/>
          <w:kern w:val="2"/>
          <w:sz w:val="28"/>
          <w:szCs w:val="28"/>
          <w:highlight w:val="none"/>
          <w:lang w:val="en-US" w:eastAsia="zh-CN"/>
        </w:rPr>
        <w:t>管理客户端</w:t>
      </w:r>
      <w:r>
        <w:rPr>
          <w:rFonts w:hint="eastAsia" w:ascii="宋体" w:hAnsi="宋体" w:eastAsia="宋体" w:cs="宋体"/>
          <w:color w:val="000000"/>
          <w:kern w:val="2"/>
          <w:sz w:val="28"/>
          <w:szCs w:val="28"/>
          <w:highlight w:val="none"/>
        </w:rPr>
        <w:t>进行操作，使得应用系统的控制、操作和切换简单明了。通过编程，能够将复杂的应用逻辑转换成人们熟悉的按键操作。您只需在触摸屏上操作，整个控制过程将变得前所未有的轻松。</w:t>
      </w:r>
    </w:p>
    <w:p>
      <w:pPr>
        <w:keepNext w:val="0"/>
        <w:keepLines w:val="0"/>
        <w:pageBreakBefore w:val="0"/>
        <w:widowControl w:val="0"/>
        <w:numPr>
          <w:ilvl w:val="0"/>
          <w:numId w:val="5"/>
        </w:numPr>
        <w:kinsoku/>
        <w:wordWrap/>
        <w:overflowPunct/>
        <w:topLinePunct w:val="0"/>
        <w:autoSpaceDE/>
        <w:autoSpaceDN/>
        <w:bidi w:val="0"/>
        <w:adjustRightInd w:val="0"/>
        <w:snapToGrid w:val="0"/>
        <w:spacing w:line="600" w:lineRule="exact"/>
        <w:ind w:right="0" w:rightChars="0" w:firstLine="560" w:firstLineChars="0"/>
        <w:jc w:val="both"/>
        <w:textAlignment w:val="auto"/>
        <w:outlineLvl w:val="9"/>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2</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应用系统智能化、有序化，提高资源使用率</w:t>
      </w:r>
    </w:p>
    <w:p>
      <w:pPr>
        <w:adjustRightInd w:val="0"/>
        <w:snapToGrid w:val="0"/>
        <w:spacing w:afterLines="50" w:line="600" w:lineRule="exact"/>
        <w:ind w:firstLine="560"/>
        <w:jc w:val="left"/>
        <w:rPr>
          <w:rFonts w:hint="eastAsia" w:ascii="宋体" w:hAnsi="宋体" w:eastAsia="宋体" w:cs="宋体"/>
          <w:color w:val="000000"/>
          <w:kern w:val="2"/>
          <w:sz w:val="28"/>
          <w:szCs w:val="28"/>
          <w:highlight w:val="none"/>
        </w:rPr>
      </w:pPr>
      <w:r>
        <w:rPr>
          <w:rFonts w:hint="eastAsia" w:ascii="宋体" w:hAnsi="宋体" w:eastAsia="宋体" w:cs="宋体"/>
          <w:color w:val="000000"/>
          <w:kern w:val="2"/>
          <w:sz w:val="28"/>
          <w:szCs w:val="28"/>
          <w:highlight w:val="none"/>
        </w:rPr>
        <w:t>有了交互式管理系统，让繁锁的操作由控制系统自动处理，复杂的逻辑过程在后台资源服务器中完成，尽量减少人为的干预和操作。系统将会自动根据您的命令去执行相应的动作系列，包括任意并行或异步、定时或延时处理，甚至是智能化的探测无人值守执行，能使系统中的设备按照实际应用逻辑有序化的工作。</w:t>
      </w:r>
    </w:p>
    <w:p>
      <w:pPr>
        <w:keepNext w:val="0"/>
        <w:keepLines w:val="0"/>
        <w:pageBreakBefore w:val="0"/>
        <w:widowControl w:val="0"/>
        <w:numPr>
          <w:ilvl w:val="0"/>
          <w:numId w:val="5"/>
        </w:numPr>
        <w:kinsoku/>
        <w:wordWrap/>
        <w:overflowPunct/>
        <w:topLinePunct w:val="0"/>
        <w:autoSpaceDE/>
        <w:autoSpaceDN/>
        <w:bidi w:val="0"/>
        <w:adjustRightInd w:val="0"/>
        <w:snapToGrid w:val="0"/>
        <w:spacing w:line="600" w:lineRule="exact"/>
        <w:ind w:right="0" w:rightChars="0" w:firstLine="560" w:firstLineChars="0"/>
        <w:jc w:val="both"/>
        <w:textAlignment w:val="auto"/>
        <w:outlineLvl w:val="9"/>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3</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各</w:t>
      </w:r>
      <w:r>
        <w:rPr>
          <w:rFonts w:hint="eastAsia" w:ascii="宋体" w:hAnsi="宋体" w:eastAsia="宋体" w:cs="宋体"/>
          <w:b w:val="0"/>
          <w:bCs w:val="0"/>
          <w:color w:val="000000"/>
          <w:sz w:val="28"/>
          <w:szCs w:val="28"/>
          <w:highlight w:val="none"/>
          <w:lang w:val="en-US" w:eastAsia="zh-CN"/>
        </w:rPr>
        <w:t>会议室</w:t>
      </w:r>
      <w:r>
        <w:rPr>
          <w:rFonts w:hint="eastAsia" w:ascii="宋体" w:hAnsi="宋体" w:eastAsia="宋体" w:cs="宋体"/>
          <w:b w:val="0"/>
          <w:bCs w:val="0"/>
          <w:color w:val="000000"/>
          <w:sz w:val="28"/>
          <w:szCs w:val="28"/>
          <w:highlight w:val="none"/>
        </w:rPr>
        <w:t>系统更好的协调工作，充分发挥各设备的效能</w:t>
      </w:r>
    </w:p>
    <w:p>
      <w:pPr>
        <w:adjustRightInd w:val="0"/>
        <w:snapToGrid w:val="0"/>
        <w:spacing w:afterLines="50" w:line="600" w:lineRule="exact"/>
        <w:ind w:firstLine="560"/>
        <w:jc w:val="left"/>
        <w:rPr>
          <w:rFonts w:hint="eastAsia" w:ascii="宋体" w:hAnsi="宋体" w:eastAsia="宋体" w:cs="宋体"/>
          <w:color w:val="000000"/>
          <w:kern w:val="2"/>
          <w:sz w:val="28"/>
          <w:szCs w:val="28"/>
          <w:highlight w:val="none"/>
        </w:rPr>
      </w:pPr>
      <w:r>
        <w:rPr>
          <w:rFonts w:hint="eastAsia" w:ascii="宋体" w:hAnsi="宋体" w:eastAsia="宋体" w:cs="宋体"/>
          <w:color w:val="000000"/>
          <w:kern w:val="2"/>
          <w:sz w:val="28"/>
          <w:szCs w:val="28"/>
          <w:highlight w:val="none"/>
        </w:rPr>
        <w:t>控制系统能够根据用户的应用需求，适时控制各设备的开关，功能的切换，并让相关媒体、环境设备与应用场境进行融合，协调工作，达到最佳的应用效果。</w:t>
      </w:r>
    </w:p>
    <w:p>
      <w:pPr>
        <w:keepNext w:val="0"/>
        <w:keepLines w:val="0"/>
        <w:pageBreakBefore w:val="0"/>
        <w:widowControl w:val="0"/>
        <w:numPr>
          <w:ilvl w:val="0"/>
          <w:numId w:val="5"/>
        </w:numPr>
        <w:kinsoku/>
        <w:wordWrap/>
        <w:overflowPunct/>
        <w:topLinePunct w:val="0"/>
        <w:autoSpaceDE/>
        <w:autoSpaceDN/>
        <w:bidi w:val="0"/>
        <w:adjustRightInd w:val="0"/>
        <w:snapToGrid w:val="0"/>
        <w:spacing w:line="600" w:lineRule="exact"/>
        <w:ind w:right="0" w:rightChars="0" w:firstLine="560" w:firstLineChars="0"/>
        <w:jc w:val="both"/>
        <w:textAlignment w:val="auto"/>
        <w:outlineLvl w:val="9"/>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4</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极大的提高系统的可靠性和稳定性</w:t>
      </w:r>
    </w:p>
    <w:p>
      <w:pPr>
        <w:adjustRightInd w:val="0"/>
        <w:snapToGrid w:val="0"/>
        <w:spacing w:afterLines="50" w:line="600" w:lineRule="exact"/>
        <w:ind w:firstLine="560"/>
        <w:jc w:val="left"/>
        <w:rPr>
          <w:rFonts w:hint="eastAsia" w:ascii="宋体" w:hAnsi="宋体" w:eastAsia="宋体" w:cs="宋体"/>
          <w:color w:val="000000"/>
          <w:kern w:val="2"/>
          <w:sz w:val="28"/>
          <w:szCs w:val="28"/>
          <w:highlight w:val="none"/>
        </w:rPr>
      </w:pPr>
      <w:r>
        <w:rPr>
          <w:rFonts w:hint="eastAsia" w:ascii="宋体" w:hAnsi="宋体" w:eastAsia="宋体" w:cs="宋体"/>
          <w:color w:val="000000"/>
          <w:kern w:val="2"/>
          <w:sz w:val="28"/>
          <w:szCs w:val="28"/>
          <w:highlight w:val="none"/>
        </w:rPr>
        <w:t>使用交互式管理系统的工程，从设备的布置，常用接口和线缆的安装，我们都严格按照结构化布线和工程施工规范进行，并充分使用旁路</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、冗余</w:t>
      </w:r>
      <w:r>
        <w:rPr>
          <w:rFonts w:hint="eastAsia" w:ascii="宋体" w:hAnsi="宋体" w:eastAsia="宋体" w:cs="宋体"/>
          <w:color w:val="000000"/>
          <w:kern w:val="2"/>
          <w:sz w:val="28"/>
          <w:szCs w:val="28"/>
          <w:highlight w:val="none"/>
          <w:lang w:eastAsia="zh-CN"/>
        </w:rPr>
        <w:t>建设</w:t>
      </w:r>
      <w:r>
        <w:rPr>
          <w:rFonts w:hint="eastAsia" w:ascii="宋体" w:hAnsi="宋体" w:eastAsia="宋体" w:cs="宋体"/>
          <w:color w:val="000000"/>
          <w:kern w:val="2"/>
          <w:sz w:val="28"/>
          <w:szCs w:val="28"/>
          <w:highlight w:val="none"/>
        </w:rPr>
        <w:t>；实现应急手动控制、多点控制；对所有设备电源进行智能电源管理等措施。这些措施能极大地提高系统的可靠性、稳定性。</w:t>
      </w:r>
    </w:p>
    <w:p>
      <w:pPr>
        <w:keepNext w:val="0"/>
        <w:keepLines w:val="0"/>
        <w:pageBreakBefore w:val="0"/>
        <w:widowControl w:val="0"/>
        <w:numPr>
          <w:ilvl w:val="0"/>
          <w:numId w:val="5"/>
        </w:numPr>
        <w:kinsoku/>
        <w:wordWrap/>
        <w:overflowPunct/>
        <w:topLinePunct w:val="0"/>
        <w:autoSpaceDE/>
        <w:autoSpaceDN/>
        <w:bidi w:val="0"/>
        <w:adjustRightInd w:val="0"/>
        <w:snapToGrid w:val="0"/>
        <w:spacing w:line="600" w:lineRule="exact"/>
        <w:ind w:right="0" w:rightChars="0" w:firstLine="560" w:firstLineChars="0"/>
        <w:jc w:val="both"/>
        <w:textAlignment w:val="auto"/>
        <w:outlineLvl w:val="9"/>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lang w:val="en-US" w:eastAsia="zh-CN"/>
        </w:rPr>
        <w:t>5</w:t>
      </w:r>
      <w:r>
        <w:rPr>
          <w:rFonts w:hint="eastAsia" w:ascii="宋体" w:hAnsi="宋体" w:eastAsia="宋体" w:cs="宋体"/>
          <w:b w:val="0"/>
          <w:bCs w:val="0"/>
          <w:color w:val="000000"/>
          <w:sz w:val="28"/>
          <w:szCs w:val="28"/>
          <w:highlight w:val="none"/>
          <w:lang w:eastAsia="zh-CN"/>
        </w:rPr>
        <w:t>）</w:t>
      </w:r>
      <w:r>
        <w:rPr>
          <w:rFonts w:hint="eastAsia" w:ascii="宋体" w:hAnsi="宋体" w:eastAsia="宋体" w:cs="宋体"/>
          <w:b w:val="0"/>
          <w:bCs w:val="0"/>
          <w:color w:val="000000"/>
          <w:sz w:val="28"/>
          <w:szCs w:val="28"/>
          <w:highlight w:val="none"/>
        </w:rPr>
        <w:t>实现远程维护、管理和自动升级</w:t>
      </w:r>
    </w:p>
    <w:p>
      <w:pPr>
        <w:shd w:val="clear" w:color="auto" w:fill="auto"/>
        <w:adjustRightInd w:val="0"/>
        <w:snapToGrid w:val="0"/>
        <w:spacing w:line="600" w:lineRule="exact"/>
        <w:ind w:firstLine="560"/>
        <w:rPr>
          <w:rFonts w:hint="eastAsia" w:ascii="宋体" w:hAnsi="宋体" w:eastAsia="宋体" w:cs="宋体"/>
          <w:color w:val="000000"/>
          <w:sz w:val="28"/>
          <w:szCs w:val="28"/>
          <w:highlight w:val="none"/>
        </w:rPr>
      </w:pPr>
      <w:r>
        <w:rPr>
          <w:rFonts w:hint="eastAsia" w:ascii="宋体" w:hAnsi="宋体" w:eastAsia="宋体" w:cs="宋体"/>
          <w:color w:val="000000"/>
          <w:kern w:val="2"/>
          <w:sz w:val="28"/>
          <w:szCs w:val="28"/>
          <w:highlight w:val="none"/>
          <w:lang w:val="en-GB" w:eastAsia="zh-CN" w:bidi="ar-SA"/>
        </w:rPr>
        <w:t>通过交互式管理软件，交互管理系统可以实现在线自动升级、远程管理和远程控制。对于终端用户来说，随着设备数量的增多，实现远程维护和管理变得非常重要。由于中心服务器通过网络与终端设备通讯，再配合中央管理软件，你在办公室中，总机房就可以进行远程编程、维护和管理。你能够及时而最高效地解决用户的问题。</w:t>
      </w:r>
    </w:p>
    <w:p>
      <w:pPr>
        <w:keepNext w:val="0"/>
        <w:keepLines w:val="0"/>
        <w:pageBreakBefore w:val="0"/>
        <w:widowControl w:val="0"/>
        <w:numPr>
          <w:ilvl w:val="0"/>
          <w:numId w:val="5"/>
        </w:numPr>
        <w:kinsoku/>
        <w:wordWrap/>
        <w:overflowPunct/>
        <w:topLinePunct w:val="0"/>
        <w:autoSpaceDE/>
        <w:autoSpaceDN/>
        <w:bidi w:val="0"/>
        <w:adjustRightInd w:val="0"/>
        <w:snapToGrid w:val="0"/>
        <w:spacing w:line="600" w:lineRule="exact"/>
        <w:ind w:right="0" w:rightChars="0" w:firstLine="560" w:firstLineChars="0"/>
        <w:jc w:val="both"/>
        <w:textAlignment w:val="auto"/>
        <w:outlineLvl w:val="9"/>
        <w:rPr>
          <w:rFonts w:hint="eastAsia" w:ascii="宋体" w:hAnsi="宋体" w:eastAsia="宋体" w:cs="宋体"/>
          <w:b w:val="0"/>
          <w:bCs w:val="0"/>
          <w:color w:val="000000"/>
          <w:sz w:val="28"/>
          <w:szCs w:val="28"/>
          <w:highlight w:val="none"/>
        </w:rPr>
      </w:pPr>
      <w:r>
        <w:rPr>
          <w:rFonts w:hint="eastAsia" w:ascii="宋体" w:hAnsi="宋体" w:eastAsia="宋体" w:cs="宋体"/>
          <w:b w:val="0"/>
          <w:bCs w:val="0"/>
          <w:color w:val="000000"/>
          <w:sz w:val="28"/>
          <w:szCs w:val="28"/>
          <w:highlight w:val="none"/>
          <w:lang w:val="en-US" w:eastAsia="zh-CN"/>
        </w:rPr>
        <w:t>（6）可视化多媒体管理系统</w:t>
      </w:r>
    </w:p>
    <w:p>
      <w:pPr>
        <w:adjustRightInd w:val="0"/>
        <w:snapToGrid w:val="0"/>
        <w:spacing w:afterLines="50" w:line="600" w:lineRule="exact"/>
        <w:ind w:firstLine="560"/>
        <w:jc w:val="left"/>
        <w:rPr>
          <w:rFonts w:hint="eastAsia" w:ascii="宋体" w:hAnsi="宋体" w:eastAsia="宋体" w:cs="宋体"/>
          <w:color w:val="000000"/>
          <w:kern w:val="2"/>
          <w:sz w:val="28"/>
          <w:szCs w:val="28"/>
          <w:highlight w:val="none"/>
        </w:rPr>
      </w:pPr>
      <w:r>
        <w:rPr>
          <w:rFonts w:hint="eastAsia" w:ascii="宋体" w:hAnsi="宋体" w:eastAsia="宋体" w:cs="宋体"/>
          <w:color w:val="000000"/>
          <w:kern w:val="2"/>
          <w:sz w:val="28"/>
          <w:szCs w:val="28"/>
          <w:highlight w:val="none"/>
        </w:rPr>
        <w:t>传统的系统缺乏集中控制和后台管理功能，不能实现对多个或数</w:t>
      </w:r>
      <w:r>
        <w:rPr>
          <w:rFonts w:hint="eastAsia" w:ascii="宋体" w:hAnsi="宋体" w:eastAsia="宋体" w:cs="宋体"/>
          <w:color w:val="000000"/>
          <w:kern w:val="2"/>
          <w:sz w:val="28"/>
          <w:szCs w:val="28"/>
          <w:highlight w:val="none"/>
          <w:lang w:val="en-US" w:eastAsia="zh-CN"/>
        </w:rPr>
        <w:t>百</w:t>
      </w:r>
      <w:r>
        <w:rPr>
          <w:rFonts w:hint="eastAsia" w:ascii="宋体" w:hAnsi="宋体" w:eastAsia="宋体" w:cs="宋体"/>
          <w:color w:val="000000"/>
          <w:kern w:val="2"/>
          <w:sz w:val="28"/>
          <w:szCs w:val="28"/>
          <w:highlight w:val="none"/>
        </w:rPr>
        <w:t>个系统进行统一控制，维护成本高，成了维护人员的心病，集中控制系统专门为这样的需求量身定制，解决后顾之忧。</w:t>
      </w:r>
    </w:p>
    <w:p>
      <w:pPr>
        <w:adjustRightInd w:val="0"/>
        <w:snapToGrid w:val="0"/>
        <w:spacing w:afterLines="50" w:line="600" w:lineRule="exact"/>
        <w:ind w:firstLine="560"/>
        <w:jc w:val="left"/>
        <w:rPr>
          <w:rFonts w:hint="eastAsia" w:ascii="宋体" w:hAnsi="宋体" w:eastAsia="宋体" w:cs="宋体"/>
          <w:color w:val="000000"/>
          <w:kern w:val="2"/>
          <w:sz w:val="28"/>
          <w:szCs w:val="28"/>
          <w:highlight w:val="none"/>
          <w:lang w:val="en-US" w:eastAsia="zh-CN"/>
        </w:rPr>
      </w:pPr>
      <w:r>
        <w:rPr>
          <w:rFonts w:hint="eastAsia" w:ascii="宋体" w:hAnsi="宋体" w:eastAsia="宋体" w:cs="宋体"/>
          <w:color w:val="000000"/>
          <w:kern w:val="2"/>
          <w:sz w:val="28"/>
          <w:szCs w:val="28"/>
          <w:highlight w:val="none"/>
          <w:lang w:val="en-US" w:eastAsia="zh-CN"/>
        </w:rPr>
        <w:t>可视化多媒体管理系统区别于传统系统，其特点更显著，功能更强大，操作界面人性化、直观、实时显示，适用范围更广泛。</w:t>
      </w:r>
    </w:p>
    <w:p>
      <w:pPr>
        <w:bidi w:val="0"/>
        <w:adjustRightInd w:val="0"/>
        <w:snapToGrid w:val="0"/>
        <w:spacing w:line="600" w:lineRule="exact"/>
        <w:rPr>
          <w:rFonts w:hint="eastAsia" w:ascii="宋体" w:hAnsi="宋体" w:eastAsia="宋体" w:cs="宋体"/>
          <w:b/>
          <w:bCs/>
          <w:color w:val="000000"/>
          <w:sz w:val="28"/>
          <w:szCs w:val="28"/>
          <w:highlight w:val="none"/>
          <w:lang w:val="en-US" w:eastAsia="zh-CN"/>
        </w:rPr>
      </w:pPr>
      <w:bookmarkStart w:id="45" w:name="_Toc4885"/>
      <w:bookmarkStart w:id="46" w:name="_Toc14622"/>
      <w:bookmarkStart w:id="47" w:name="_Toc4116"/>
      <w:bookmarkStart w:id="48" w:name="_Toc10708"/>
      <w:bookmarkStart w:id="49" w:name="_Toc10864"/>
      <w:r>
        <w:rPr>
          <w:rFonts w:hint="eastAsia" w:ascii="宋体" w:hAnsi="宋体" w:eastAsia="宋体" w:cs="宋体"/>
          <w:b/>
          <w:bCs/>
          <w:color w:val="000000"/>
          <w:sz w:val="28"/>
          <w:szCs w:val="28"/>
          <w:highlight w:val="none"/>
          <w:lang w:val="en-US" w:eastAsia="zh-CN"/>
        </w:rPr>
        <w:t>（五）环境与机房升级改造建设要求</w:t>
      </w:r>
      <w:bookmarkEnd w:id="45"/>
      <w:bookmarkEnd w:id="46"/>
      <w:bookmarkEnd w:id="47"/>
      <w:bookmarkEnd w:id="48"/>
      <w:bookmarkEnd w:id="49"/>
    </w:p>
    <w:p>
      <w:pPr>
        <w:adjustRightInd w:val="0"/>
        <w:snapToGrid w:val="0"/>
        <w:spacing w:afterLines="50" w:line="600" w:lineRule="exact"/>
        <w:ind w:firstLine="560"/>
        <w:jc w:val="left"/>
        <w:rPr>
          <w:rFonts w:hint="eastAsia" w:ascii="宋体" w:hAnsi="宋体" w:eastAsia="宋体" w:cs="宋体"/>
          <w:bCs w:val="0"/>
          <w:color w:val="000000"/>
          <w:kern w:val="2"/>
          <w:sz w:val="28"/>
          <w:szCs w:val="28"/>
          <w:highlight w:val="none"/>
          <w:lang w:val="en-US"/>
        </w:rPr>
      </w:pPr>
      <w:r>
        <w:rPr>
          <w:rFonts w:hint="eastAsia" w:ascii="宋体" w:hAnsi="宋体" w:eastAsia="宋体" w:cs="宋体"/>
          <w:bCs w:val="0"/>
          <w:color w:val="000000"/>
          <w:kern w:val="2"/>
          <w:sz w:val="28"/>
          <w:szCs w:val="28"/>
          <w:highlight w:val="none"/>
          <w:lang w:val="en-US" w:eastAsia="zh-CN"/>
        </w:rPr>
        <w:t>调度中心</w:t>
      </w:r>
      <w:r>
        <w:rPr>
          <w:rFonts w:hint="eastAsia" w:ascii="宋体" w:hAnsi="宋体" w:eastAsia="宋体" w:cs="宋体"/>
          <w:bCs w:val="0"/>
          <w:color w:val="000000"/>
          <w:kern w:val="2"/>
          <w:sz w:val="28"/>
          <w:szCs w:val="28"/>
          <w:highlight w:val="none"/>
          <w:lang w:val="en-US"/>
        </w:rPr>
        <w:t>要求按照以下原则建设：</w:t>
      </w:r>
      <w:r>
        <w:rPr>
          <w:rFonts w:hint="eastAsia" w:ascii="宋体" w:hAnsi="宋体" w:eastAsia="宋体" w:cs="宋体"/>
          <w:b w:val="0"/>
          <w:color w:val="000000"/>
          <w:kern w:val="2"/>
          <w:sz w:val="28"/>
          <w:szCs w:val="28"/>
          <w:highlight w:val="none"/>
          <w:lang w:val="en-US"/>
        </w:rPr>
        <w:t>一是布局合理。</w:t>
      </w:r>
      <w:r>
        <w:rPr>
          <w:rFonts w:hint="eastAsia" w:ascii="宋体" w:hAnsi="宋体" w:eastAsia="宋体" w:cs="宋体"/>
          <w:bCs w:val="0"/>
          <w:color w:val="000000"/>
          <w:kern w:val="2"/>
          <w:sz w:val="28"/>
          <w:szCs w:val="28"/>
          <w:highlight w:val="none"/>
          <w:lang w:val="en-US"/>
        </w:rPr>
        <w:t>未来设备要求不断提高，业务不断增加，空间宽敞的工作环境既“以人为本”，也可以为日后业务拓展提供预留足够空间。</w:t>
      </w:r>
      <w:r>
        <w:rPr>
          <w:rFonts w:hint="eastAsia" w:ascii="宋体" w:hAnsi="宋体" w:eastAsia="宋体" w:cs="宋体"/>
          <w:b w:val="0"/>
          <w:color w:val="000000"/>
          <w:kern w:val="2"/>
          <w:sz w:val="28"/>
          <w:szCs w:val="28"/>
          <w:highlight w:val="none"/>
          <w:lang w:val="en-US"/>
        </w:rPr>
        <w:t>二是风格独出。</w:t>
      </w:r>
      <w:r>
        <w:rPr>
          <w:rFonts w:hint="eastAsia" w:ascii="宋体" w:hAnsi="宋体" w:eastAsia="宋体" w:cs="宋体"/>
          <w:bCs w:val="0"/>
          <w:color w:val="000000"/>
          <w:kern w:val="2"/>
          <w:sz w:val="28"/>
          <w:szCs w:val="28"/>
          <w:highlight w:val="none"/>
          <w:lang w:val="en-US"/>
        </w:rPr>
        <w:t>应结合突显</w:t>
      </w:r>
      <w:r>
        <w:rPr>
          <w:rFonts w:hint="eastAsia" w:ascii="宋体" w:hAnsi="宋体" w:eastAsia="宋体" w:cs="宋体"/>
          <w:bCs w:val="0"/>
          <w:color w:val="000000"/>
          <w:kern w:val="2"/>
          <w:sz w:val="28"/>
          <w:szCs w:val="28"/>
          <w:highlight w:val="none"/>
          <w:lang w:val="en-US" w:eastAsia="zh-CN"/>
        </w:rPr>
        <w:t>净水厂</w:t>
      </w:r>
      <w:r>
        <w:rPr>
          <w:rFonts w:hint="eastAsia" w:ascii="宋体" w:hAnsi="宋体" w:eastAsia="宋体" w:cs="宋体"/>
          <w:bCs w:val="0"/>
          <w:color w:val="000000"/>
          <w:kern w:val="2"/>
          <w:sz w:val="28"/>
          <w:szCs w:val="28"/>
          <w:highlight w:val="none"/>
          <w:lang w:val="en-US"/>
        </w:rPr>
        <w:t>独特的个性风貌。</w:t>
      </w:r>
      <w:r>
        <w:rPr>
          <w:rFonts w:hint="eastAsia" w:ascii="宋体" w:hAnsi="宋体" w:eastAsia="宋体" w:cs="宋体"/>
          <w:b w:val="0"/>
          <w:color w:val="000000"/>
          <w:kern w:val="2"/>
          <w:sz w:val="28"/>
          <w:szCs w:val="28"/>
          <w:highlight w:val="none"/>
          <w:lang w:val="en-US"/>
        </w:rPr>
        <w:t>三是功能齐全。</w:t>
      </w:r>
      <w:r>
        <w:rPr>
          <w:rFonts w:hint="eastAsia" w:ascii="宋体" w:hAnsi="宋体" w:eastAsia="宋体" w:cs="宋体"/>
          <w:b w:val="0"/>
          <w:color w:val="000000"/>
          <w:kern w:val="2"/>
          <w:sz w:val="28"/>
          <w:szCs w:val="28"/>
          <w:highlight w:val="none"/>
          <w:lang w:val="en-US" w:eastAsia="zh-CN"/>
        </w:rPr>
        <w:t>满足</w:t>
      </w:r>
      <w:r>
        <w:rPr>
          <w:rFonts w:hint="eastAsia" w:ascii="宋体" w:hAnsi="宋体" w:eastAsia="宋体" w:cs="宋体"/>
          <w:bCs w:val="0"/>
          <w:color w:val="000000"/>
          <w:kern w:val="2"/>
          <w:sz w:val="28"/>
          <w:szCs w:val="28"/>
          <w:highlight w:val="none"/>
          <w:lang w:val="en-US"/>
        </w:rPr>
        <w:t>业务功能</w:t>
      </w:r>
      <w:r>
        <w:rPr>
          <w:rFonts w:hint="eastAsia" w:ascii="宋体" w:hAnsi="宋体" w:eastAsia="宋体" w:cs="宋体"/>
          <w:bCs w:val="0"/>
          <w:color w:val="000000"/>
          <w:kern w:val="2"/>
          <w:sz w:val="28"/>
          <w:szCs w:val="28"/>
          <w:highlight w:val="none"/>
          <w:lang w:val="en-US" w:eastAsia="zh-CN"/>
        </w:rPr>
        <w:t>需求</w:t>
      </w:r>
      <w:r>
        <w:rPr>
          <w:rFonts w:hint="eastAsia" w:ascii="宋体" w:hAnsi="宋体" w:eastAsia="宋体" w:cs="宋体"/>
          <w:bCs w:val="0"/>
          <w:color w:val="000000"/>
          <w:kern w:val="2"/>
          <w:sz w:val="28"/>
          <w:szCs w:val="28"/>
          <w:highlight w:val="none"/>
          <w:lang w:val="en-US"/>
        </w:rPr>
        <w:t>。</w:t>
      </w:r>
      <w:r>
        <w:rPr>
          <w:rFonts w:hint="eastAsia" w:ascii="宋体" w:hAnsi="宋体" w:eastAsia="宋体" w:cs="宋体"/>
          <w:b w:val="0"/>
          <w:color w:val="000000"/>
          <w:kern w:val="2"/>
          <w:sz w:val="28"/>
          <w:szCs w:val="28"/>
          <w:highlight w:val="none"/>
          <w:lang w:val="en-US"/>
        </w:rPr>
        <w:t>四是高效实用。</w:t>
      </w:r>
      <w:r>
        <w:rPr>
          <w:rFonts w:hint="eastAsia" w:ascii="宋体" w:hAnsi="宋体" w:eastAsia="宋体" w:cs="宋体"/>
          <w:bCs w:val="0"/>
          <w:color w:val="000000"/>
          <w:kern w:val="2"/>
          <w:sz w:val="28"/>
          <w:szCs w:val="28"/>
          <w:highlight w:val="none"/>
          <w:lang w:val="en-US"/>
        </w:rPr>
        <w:t>业务平台</w:t>
      </w:r>
      <w:r>
        <w:rPr>
          <w:rFonts w:hint="eastAsia" w:ascii="宋体" w:hAnsi="宋体" w:eastAsia="宋体" w:cs="宋体"/>
          <w:bCs w:val="0"/>
          <w:color w:val="000000"/>
          <w:kern w:val="2"/>
          <w:sz w:val="28"/>
          <w:szCs w:val="28"/>
          <w:highlight w:val="none"/>
          <w:lang w:val="en-US" w:eastAsia="zh-CN"/>
        </w:rPr>
        <w:t>建设</w:t>
      </w:r>
      <w:r>
        <w:rPr>
          <w:rFonts w:hint="eastAsia" w:ascii="宋体" w:hAnsi="宋体" w:eastAsia="宋体" w:cs="宋体"/>
          <w:bCs w:val="0"/>
          <w:color w:val="000000"/>
          <w:kern w:val="2"/>
          <w:sz w:val="28"/>
          <w:szCs w:val="28"/>
          <w:highlight w:val="none"/>
          <w:lang w:val="en-US"/>
        </w:rPr>
        <w:t>以简约、实用、集约的原则，在解决业务需求的同时，能更好的为公众服务。根据</w:t>
      </w:r>
      <w:r>
        <w:rPr>
          <w:rFonts w:hint="eastAsia" w:ascii="宋体" w:hAnsi="宋体" w:eastAsia="宋体" w:cs="宋体"/>
          <w:bCs w:val="0"/>
          <w:color w:val="000000"/>
          <w:kern w:val="2"/>
          <w:sz w:val="28"/>
          <w:szCs w:val="28"/>
          <w:highlight w:val="none"/>
          <w:lang w:val="en-US" w:eastAsia="zh-CN"/>
        </w:rPr>
        <w:t>调度中心</w:t>
      </w:r>
      <w:r>
        <w:rPr>
          <w:rFonts w:hint="eastAsia" w:ascii="宋体" w:hAnsi="宋体" w:eastAsia="宋体" w:cs="宋体"/>
          <w:bCs w:val="0"/>
          <w:color w:val="000000"/>
          <w:kern w:val="2"/>
          <w:sz w:val="28"/>
          <w:szCs w:val="28"/>
          <w:highlight w:val="none"/>
          <w:lang w:val="en-US"/>
        </w:rPr>
        <w:t>的业务特点及之间业务关系，合理空间分配、合理布局。</w:t>
      </w:r>
    </w:p>
    <w:p>
      <w:pPr>
        <w:adjustRightInd w:val="0"/>
        <w:snapToGrid w:val="0"/>
        <w:spacing w:afterLines="50" w:line="600" w:lineRule="exact"/>
        <w:ind w:firstLine="560"/>
        <w:jc w:val="left"/>
        <w:rPr>
          <w:rFonts w:hint="eastAsia" w:ascii="宋体" w:hAnsi="宋体" w:eastAsia="宋体" w:cs="宋体"/>
          <w:color w:val="000000"/>
          <w:kern w:val="2"/>
          <w:sz w:val="28"/>
          <w:szCs w:val="28"/>
          <w:highlight w:val="none"/>
          <w:lang w:val="en-US"/>
        </w:rPr>
      </w:pPr>
      <w:r>
        <w:rPr>
          <w:rFonts w:hint="eastAsia" w:ascii="宋体" w:hAnsi="宋体" w:eastAsia="宋体" w:cs="宋体"/>
          <w:color w:val="000000"/>
          <w:kern w:val="2"/>
          <w:sz w:val="28"/>
          <w:szCs w:val="28"/>
          <w:highlight w:val="none"/>
          <w:lang w:val="en-US" w:eastAsia="zh-CN"/>
        </w:rPr>
        <w:t>根据机房的现状，按照机房标准化的要求，具体根据项目的</w:t>
      </w:r>
      <w:r>
        <w:rPr>
          <w:rFonts w:hint="eastAsia" w:ascii="宋体" w:hAnsi="宋体" w:eastAsia="宋体" w:cs="宋体"/>
          <w:color w:val="000000"/>
          <w:kern w:val="2"/>
          <w:sz w:val="28"/>
          <w:szCs w:val="28"/>
          <w:highlight w:val="none"/>
          <w:lang w:val="en-US"/>
        </w:rPr>
        <w:t>性能要求、选址与及设备布置、环境要求、建筑与其结构、空气调节、电气、电磁屏蔽、网络和布线系统、智能化系统、给水排水、消防和安全</w:t>
      </w:r>
      <w:r>
        <w:rPr>
          <w:rFonts w:hint="eastAsia" w:ascii="宋体" w:hAnsi="宋体" w:eastAsia="宋体" w:cs="宋体"/>
          <w:color w:val="000000"/>
          <w:kern w:val="2"/>
          <w:sz w:val="28"/>
          <w:szCs w:val="28"/>
          <w:highlight w:val="none"/>
          <w:lang w:val="en-US" w:eastAsia="zh-CN"/>
        </w:rPr>
        <w:t>统一考虑建设</w:t>
      </w:r>
      <w:r>
        <w:rPr>
          <w:rFonts w:hint="eastAsia" w:ascii="宋体" w:hAnsi="宋体" w:eastAsia="宋体" w:cs="宋体"/>
          <w:color w:val="000000"/>
          <w:kern w:val="2"/>
          <w:sz w:val="28"/>
          <w:szCs w:val="28"/>
          <w:highlight w:val="none"/>
          <w:lang w:val="en-US"/>
        </w:rPr>
        <w:t>。</w:t>
      </w:r>
    </w:p>
    <w:p>
      <w:pPr>
        <w:numPr>
          <w:ilvl w:val="-1"/>
          <w:numId w:val="0"/>
        </w:numPr>
        <w:adjustRightInd w:val="0"/>
        <w:snapToGrid w:val="0"/>
        <w:spacing w:line="600" w:lineRule="exact"/>
        <w:ind w:firstLine="0" w:firstLineChars="0"/>
        <w:rPr>
          <w:rFonts w:hint="eastAsia" w:ascii="宋体" w:hAnsi="宋体" w:eastAsia="宋体" w:cs="宋体"/>
          <w:b/>
          <w:bCs/>
          <w:color w:val="000000"/>
          <w:sz w:val="28"/>
          <w:szCs w:val="28"/>
          <w:highlight w:val="none"/>
          <w:lang w:eastAsia="zh-CN"/>
        </w:rPr>
      </w:pPr>
      <w:r>
        <w:rPr>
          <w:rFonts w:hint="eastAsia" w:ascii="宋体" w:hAnsi="宋体" w:eastAsia="宋体" w:cs="宋体"/>
          <w:b/>
          <w:bCs/>
          <w:color w:val="000000"/>
          <w:sz w:val="28"/>
          <w:szCs w:val="28"/>
          <w:highlight w:val="none"/>
          <w:lang w:eastAsia="zh-CN"/>
        </w:rPr>
        <w:t>（</w:t>
      </w:r>
      <w:r>
        <w:rPr>
          <w:rFonts w:hint="eastAsia" w:ascii="宋体" w:hAnsi="宋体" w:eastAsia="宋体" w:cs="宋体"/>
          <w:b/>
          <w:bCs/>
          <w:color w:val="000000"/>
          <w:sz w:val="28"/>
          <w:szCs w:val="28"/>
          <w:highlight w:val="none"/>
          <w:lang w:val="en-US" w:eastAsia="zh-CN"/>
        </w:rPr>
        <w:t>六）</w:t>
      </w:r>
      <w:r>
        <w:rPr>
          <w:rFonts w:hint="eastAsia" w:ascii="宋体" w:hAnsi="宋体" w:eastAsia="宋体" w:cs="宋体"/>
          <w:b/>
          <w:bCs/>
          <w:color w:val="000000"/>
          <w:sz w:val="28"/>
          <w:szCs w:val="28"/>
          <w:highlight w:val="none"/>
          <w:lang w:eastAsia="zh-CN"/>
        </w:rPr>
        <w:t>建设内容：</w:t>
      </w:r>
    </w:p>
    <w:p>
      <w:pPr>
        <w:pStyle w:val="2"/>
        <w:rPr>
          <w:rFonts w:hint="eastAsia"/>
          <w:highlight w:val="none"/>
          <w:lang w:eastAsia="zh-CN"/>
        </w:rPr>
      </w:pPr>
    </w:p>
    <w:tbl>
      <w:tblPr>
        <w:tblStyle w:val="27"/>
        <w:tblW w:w="4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5945"/>
        <w:gridCol w:w="1060"/>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008" w:type="dxa"/>
            <w:noWrap w:val="0"/>
            <w:vAlign w:val="center"/>
          </w:tcPr>
          <w:p>
            <w:pPr>
              <w:spacing w:line="240" w:lineRule="auto"/>
              <w:jc w:val="center"/>
              <w:rPr>
                <w:rFonts w:hint="eastAsia" w:ascii="宋体" w:hAnsi="宋体" w:eastAsia="宋体" w:cs="宋体"/>
                <w:b w:val="0"/>
                <w:bCs w:val="0"/>
                <w:sz w:val="28"/>
                <w:szCs w:val="28"/>
                <w:highlight w:val="none"/>
                <w:lang w:val="zh-CN" w:eastAsia="zh-CN"/>
              </w:rPr>
            </w:pPr>
            <w:r>
              <w:rPr>
                <w:rFonts w:hint="eastAsia" w:ascii="宋体" w:hAnsi="宋体" w:eastAsia="宋体" w:cs="宋体"/>
                <w:b w:val="0"/>
                <w:bCs w:val="0"/>
                <w:sz w:val="28"/>
                <w:szCs w:val="28"/>
                <w:highlight w:val="none"/>
                <w:lang w:val="zh-CN" w:eastAsia="zh-CN"/>
              </w:rPr>
              <w:t>序号</w:t>
            </w:r>
          </w:p>
        </w:tc>
        <w:tc>
          <w:tcPr>
            <w:tcW w:w="5639" w:type="dxa"/>
            <w:noWrap w:val="0"/>
            <w:vAlign w:val="center"/>
          </w:tcPr>
          <w:p>
            <w:pPr>
              <w:spacing w:line="240" w:lineRule="auto"/>
              <w:jc w:val="center"/>
              <w:rPr>
                <w:rFonts w:hint="eastAsia" w:ascii="宋体" w:hAnsi="宋体" w:eastAsia="宋体" w:cs="宋体"/>
                <w:b w:val="0"/>
                <w:bCs w:val="0"/>
                <w:sz w:val="28"/>
                <w:szCs w:val="28"/>
                <w:highlight w:val="none"/>
                <w:lang w:val="zh-CN" w:eastAsia="zh-CN"/>
              </w:rPr>
            </w:pPr>
            <w:r>
              <w:rPr>
                <w:rFonts w:hint="eastAsia" w:ascii="宋体" w:hAnsi="宋体" w:eastAsia="宋体" w:cs="宋体"/>
                <w:b w:val="0"/>
                <w:bCs w:val="0"/>
                <w:sz w:val="28"/>
                <w:szCs w:val="28"/>
                <w:highlight w:val="none"/>
                <w:lang w:val="zh-CN" w:eastAsia="zh-CN"/>
              </w:rPr>
              <w:t>建设内容</w:t>
            </w:r>
          </w:p>
        </w:tc>
        <w:tc>
          <w:tcPr>
            <w:tcW w:w="1005" w:type="dxa"/>
            <w:noWrap w:val="0"/>
            <w:vAlign w:val="center"/>
          </w:tcPr>
          <w:p>
            <w:pPr>
              <w:spacing w:line="240" w:lineRule="auto"/>
              <w:jc w:val="center"/>
              <w:rPr>
                <w:rFonts w:hint="eastAsia" w:ascii="宋体" w:hAnsi="宋体" w:eastAsia="宋体" w:cs="宋体"/>
                <w:b w:val="0"/>
                <w:bCs w:val="0"/>
                <w:sz w:val="28"/>
                <w:szCs w:val="28"/>
                <w:highlight w:val="none"/>
                <w:lang w:val="zh-CN" w:eastAsia="zh-CN"/>
              </w:rPr>
            </w:pPr>
            <w:r>
              <w:rPr>
                <w:rFonts w:hint="eastAsia" w:ascii="宋体" w:hAnsi="宋体" w:eastAsia="宋体" w:cs="宋体"/>
                <w:b w:val="0"/>
                <w:bCs w:val="0"/>
                <w:sz w:val="28"/>
                <w:szCs w:val="28"/>
                <w:highlight w:val="none"/>
                <w:lang w:val="zh-CN" w:eastAsia="zh-CN"/>
              </w:rPr>
              <w:t>数量</w:t>
            </w:r>
          </w:p>
        </w:tc>
        <w:tc>
          <w:tcPr>
            <w:tcW w:w="852" w:type="dxa"/>
            <w:noWrap w:val="0"/>
            <w:vAlign w:val="center"/>
          </w:tcPr>
          <w:p>
            <w:pPr>
              <w:spacing w:line="240" w:lineRule="auto"/>
              <w:jc w:val="center"/>
              <w:rPr>
                <w:rFonts w:hint="eastAsia" w:ascii="宋体" w:hAnsi="宋体" w:eastAsia="宋体" w:cs="宋体"/>
                <w:b w:val="0"/>
                <w:bCs w:val="0"/>
                <w:sz w:val="28"/>
                <w:szCs w:val="28"/>
                <w:highlight w:val="none"/>
                <w:lang w:val="zh-CN" w:eastAsia="zh-CN"/>
              </w:rPr>
            </w:pPr>
            <w:r>
              <w:rPr>
                <w:rFonts w:hint="eastAsia" w:ascii="宋体" w:hAnsi="宋体" w:eastAsia="宋体" w:cs="宋体"/>
                <w:b w:val="0"/>
                <w:bCs w:val="0"/>
                <w:sz w:val="28"/>
                <w:szCs w:val="28"/>
                <w:highlight w:val="none"/>
                <w:lang w:val="zh-CN"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noWrap w:val="0"/>
            <w:vAlign w:val="center"/>
          </w:tcPr>
          <w:p>
            <w:pPr>
              <w:spacing w:line="240" w:lineRule="auto"/>
              <w:jc w:val="center"/>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val="zh-CN" w:eastAsia="zh-CN"/>
              </w:rPr>
              <w:t>1</w:t>
            </w:r>
          </w:p>
        </w:tc>
        <w:tc>
          <w:tcPr>
            <w:tcW w:w="5639" w:type="dxa"/>
            <w:noWrap w:val="0"/>
            <w:vAlign w:val="center"/>
          </w:tcPr>
          <w:p>
            <w:pPr>
              <w:spacing w:line="240" w:lineRule="auto"/>
              <w:jc w:val="center"/>
              <w:rPr>
                <w:rFonts w:hint="eastAsia" w:ascii="宋体" w:hAnsi="宋体" w:eastAsia="宋体" w:cs="宋体"/>
                <w:sz w:val="28"/>
                <w:szCs w:val="28"/>
                <w:highlight w:val="none"/>
                <w:lang w:val="zh-CN"/>
              </w:rPr>
            </w:pPr>
            <w:r>
              <w:rPr>
                <w:rFonts w:hint="eastAsia" w:ascii="宋体" w:hAnsi="宋体" w:eastAsia="宋体" w:cs="宋体"/>
                <w:sz w:val="28"/>
                <w:szCs w:val="28"/>
                <w:highlight w:val="none"/>
                <w:lang w:val="zh-CN"/>
              </w:rPr>
              <w:t>大屏显示系统</w:t>
            </w:r>
          </w:p>
        </w:tc>
        <w:tc>
          <w:tcPr>
            <w:tcW w:w="1005" w:type="dxa"/>
            <w:noWrap w:val="0"/>
            <w:vAlign w:val="center"/>
          </w:tcPr>
          <w:p>
            <w:pPr>
              <w:spacing w:line="240" w:lineRule="auto"/>
              <w:jc w:val="center"/>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val="zh-CN" w:eastAsia="zh-CN"/>
              </w:rPr>
              <w:t>1</w:t>
            </w:r>
          </w:p>
        </w:tc>
        <w:tc>
          <w:tcPr>
            <w:tcW w:w="852" w:type="dxa"/>
            <w:noWrap w:val="0"/>
            <w:vAlign w:val="center"/>
          </w:tcPr>
          <w:p>
            <w:pPr>
              <w:spacing w:line="240" w:lineRule="auto"/>
              <w:jc w:val="center"/>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val="zh-CN"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noWrap w:val="0"/>
            <w:vAlign w:val="center"/>
          </w:tcPr>
          <w:p>
            <w:pPr>
              <w:spacing w:line="240" w:lineRule="auto"/>
              <w:jc w:val="center"/>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w:t>
            </w:r>
          </w:p>
        </w:tc>
        <w:tc>
          <w:tcPr>
            <w:tcW w:w="5639" w:type="dxa"/>
            <w:noWrap w:val="0"/>
            <w:vAlign w:val="center"/>
          </w:tcPr>
          <w:p>
            <w:pPr>
              <w:spacing w:line="240" w:lineRule="auto"/>
              <w:jc w:val="center"/>
              <w:rPr>
                <w:rFonts w:hint="eastAsia" w:ascii="宋体" w:hAnsi="宋体" w:eastAsia="宋体" w:cs="宋体"/>
                <w:sz w:val="28"/>
                <w:szCs w:val="28"/>
                <w:highlight w:val="none"/>
                <w:lang w:val="zh-CN"/>
              </w:rPr>
            </w:pPr>
            <w:r>
              <w:rPr>
                <w:rFonts w:hint="eastAsia" w:ascii="宋体" w:hAnsi="宋体" w:eastAsia="宋体" w:cs="宋体"/>
                <w:sz w:val="28"/>
                <w:szCs w:val="28"/>
                <w:highlight w:val="none"/>
                <w:lang w:val="zh-CN"/>
              </w:rPr>
              <w:t>智能多媒体音视频管控系统</w:t>
            </w:r>
          </w:p>
        </w:tc>
        <w:tc>
          <w:tcPr>
            <w:tcW w:w="1005" w:type="dxa"/>
            <w:noWrap w:val="0"/>
            <w:vAlign w:val="center"/>
          </w:tcPr>
          <w:p>
            <w:pPr>
              <w:spacing w:line="240" w:lineRule="auto"/>
              <w:jc w:val="center"/>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val="zh-CN" w:eastAsia="zh-CN"/>
              </w:rPr>
              <w:t>1</w:t>
            </w:r>
          </w:p>
        </w:tc>
        <w:tc>
          <w:tcPr>
            <w:tcW w:w="852" w:type="dxa"/>
            <w:noWrap w:val="0"/>
            <w:vAlign w:val="center"/>
          </w:tcPr>
          <w:p>
            <w:pPr>
              <w:spacing w:line="240" w:lineRule="auto"/>
              <w:jc w:val="center"/>
              <w:rPr>
                <w:rFonts w:hint="eastAsia" w:ascii="宋体" w:hAnsi="宋体" w:eastAsia="宋体" w:cs="宋体"/>
                <w:sz w:val="28"/>
                <w:szCs w:val="28"/>
                <w:highlight w:val="none"/>
                <w:lang w:val="zh-CN"/>
              </w:rPr>
            </w:pPr>
            <w:r>
              <w:rPr>
                <w:rFonts w:hint="eastAsia" w:ascii="宋体" w:hAnsi="宋体" w:eastAsia="宋体" w:cs="宋体"/>
                <w:sz w:val="28"/>
                <w:szCs w:val="28"/>
                <w:highlight w:val="none"/>
                <w:lang w:val="zh-CN" w:eastAsia="zh-CN"/>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noWrap w:val="0"/>
            <w:vAlign w:val="center"/>
          </w:tcPr>
          <w:p>
            <w:pPr>
              <w:spacing w:line="240" w:lineRule="auto"/>
              <w:jc w:val="center"/>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val="zh-CN" w:eastAsia="zh-CN"/>
              </w:rPr>
              <w:t>3</w:t>
            </w:r>
          </w:p>
        </w:tc>
        <w:tc>
          <w:tcPr>
            <w:tcW w:w="5639" w:type="dxa"/>
            <w:noWrap w:val="0"/>
            <w:vAlign w:val="center"/>
          </w:tcPr>
          <w:p>
            <w:pPr>
              <w:spacing w:line="240" w:lineRule="auto"/>
              <w:jc w:val="center"/>
              <w:rPr>
                <w:rFonts w:hint="eastAsia" w:ascii="宋体" w:hAnsi="宋体" w:eastAsia="宋体" w:cs="宋体"/>
                <w:sz w:val="28"/>
                <w:szCs w:val="28"/>
                <w:highlight w:val="none"/>
                <w:lang w:val="zh-CN"/>
              </w:rPr>
            </w:pPr>
            <w:r>
              <w:rPr>
                <w:rFonts w:hint="eastAsia" w:ascii="宋体" w:hAnsi="宋体" w:eastAsia="宋体" w:cs="宋体"/>
                <w:sz w:val="28"/>
                <w:szCs w:val="28"/>
                <w:highlight w:val="none"/>
                <w:lang w:val="zh-CN"/>
              </w:rPr>
              <w:t>环境</w:t>
            </w:r>
            <w:r>
              <w:rPr>
                <w:rFonts w:hint="eastAsia" w:ascii="宋体" w:hAnsi="宋体" w:eastAsia="宋体" w:cs="宋体"/>
                <w:sz w:val="28"/>
                <w:szCs w:val="28"/>
                <w:highlight w:val="none"/>
                <w:lang w:val="zh-CN" w:eastAsia="zh-CN"/>
              </w:rPr>
              <w:t>与</w:t>
            </w:r>
            <w:r>
              <w:rPr>
                <w:rFonts w:hint="eastAsia" w:ascii="宋体" w:hAnsi="宋体" w:eastAsia="宋体" w:cs="宋体"/>
                <w:sz w:val="28"/>
                <w:szCs w:val="28"/>
                <w:highlight w:val="none"/>
                <w:lang w:val="zh-CN"/>
              </w:rPr>
              <w:t>机房</w:t>
            </w:r>
            <w:r>
              <w:rPr>
                <w:rFonts w:hint="eastAsia" w:ascii="宋体" w:hAnsi="宋体" w:eastAsia="宋体" w:cs="宋体"/>
                <w:sz w:val="28"/>
                <w:szCs w:val="28"/>
                <w:highlight w:val="none"/>
                <w:lang w:val="zh-CN" w:eastAsia="zh-CN"/>
              </w:rPr>
              <w:t>升级</w:t>
            </w:r>
            <w:r>
              <w:rPr>
                <w:rFonts w:hint="eastAsia" w:ascii="宋体" w:hAnsi="宋体" w:eastAsia="宋体" w:cs="宋体"/>
                <w:sz w:val="28"/>
                <w:szCs w:val="28"/>
                <w:highlight w:val="none"/>
                <w:lang w:val="zh-CN"/>
              </w:rPr>
              <w:t>改造</w:t>
            </w:r>
          </w:p>
        </w:tc>
        <w:tc>
          <w:tcPr>
            <w:tcW w:w="1005" w:type="dxa"/>
            <w:noWrap w:val="0"/>
            <w:vAlign w:val="center"/>
          </w:tcPr>
          <w:p>
            <w:pPr>
              <w:spacing w:line="240" w:lineRule="auto"/>
              <w:jc w:val="center"/>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val="zh-CN" w:eastAsia="zh-CN"/>
              </w:rPr>
              <w:t>1</w:t>
            </w:r>
          </w:p>
        </w:tc>
        <w:tc>
          <w:tcPr>
            <w:tcW w:w="852" w:type="dxa"/>
            <w:noWrap w:val="0"/>
            <w:vAlign w:val="center"/>
          </w:tcPr>
          <w:p>
            <w:pPr>
              <w:spacing w:line="240" w:lineRule="auto"/>
              <w:jc w:val="center"/>
              <w:rPr>
                <w:rFonts w:hint="eastAsia" w:ascii="宋体" w:hAnsi="宋体" w:eastAsia="宋体" w:cs="宋体"/>
                <w:sz w:val="28"/>
                <w:szCs w:val="28"/>
                <w:highlight w:val="none"/>
                <w:lang w:val="zh-CN" w:eastAsia="zh-CN"/>
              </w:rPr>
            </w:pPr>
            <w:r>
              <w:rPr>
                <w:rFonts w:hint="eastAsia" w:ascii="宋体" w:hAnsi="宋体" w:eastAsia="宋体" w:cs="宋体"/>
                <w:sz w:val="28"/>
                <w:szCs w:val="28"/>
                <w:highlight w:val="none"/>
                <w:lang w:val="zh-CN" w:eastAsia="zh-CN"/>
              </w:rPr>
              <w:t>项</w:t>
            </w:r>
          </w:p>
        </w:tc>
      </w:tr>
    </w:tbl>
    <w:p>
      <w:pPr>
        <w:pStyle w:val="2"/>
        <w:numPr>
          <w:ilvl w:val="-1"/>
          <w:numId w:val="0"/>
        </w:numPr>
        <w:rPr>
          <w:rFonts w:hint="default" w:eastAsiaTheme="minorEastAsia"/>
          <w:highlight w:val="none"/>
          <w:lang w:eastAsia="zh-CN"/>
        </w:rPr>
      </w:pPr>
    </w:p>
    <w:p>
      <w:pPr>
        <w:adjustRightInd w:val="0"/>
        <w:snapToGrid w:val="0"/>
        <w:spacing w:line="600" w:lineRule="exact"/>
        <w:ind w:firstLine="560" w:firstLineChars="200"/>
        <w:jc w:val="left"/>
        <w:rPr>
          <w:rFonts w:hint="eastAsia" w:ascii="宋体" w:hAnsi="宋体" w:eastAsia="宋体" w:cs="宋体"/>
          <w:color w:val="000000"/>
          <w:kern w:val="2"/>
          <w:sz w:val="28"/>
          <w:szCs w:val="28"/>
          <w:highlight w:val="none"/>
          <w:lang w:val="zh-CN" w:eastAsia="zh-CN"/>
        </w:rPr>
      </w:pPr>
      <w:r>
        <w:rPr>
          <w:rFonts w:hint="eastAsia" w:ascii="宋体" w:hAnsi="宋体" w:eastAsia="宋体" w:cs="宋体"/>
          <w:color w:val="000000"/>
          <w:kern w:val="2"/>
          <w:sz w:val="28"/>
          <w:szCs w:val="28"/>
          <w:highlight w:val="none"/>
          <w:lang w:val="en-US" w:eastAsia="zh-CN"/>
        </w:rPr>
        <w:t xml:space="preserve">2.1 </w:t>
      </w:r>
      <w:r>
        <w:rPr>
          <w:rFonts w:hint="eastAsia" w:ascii="宋体" w:hAnsi="宋体" w:eastAsia="宋体" w:cs="宋体"/>
          <w:color w:val="000000"/>
          <w:kern w:val="2"/>
          <w:sz w:val="28"/>
          <w:szCs w:val="28"/>
          <w:highlight w:val="none"/>
          <w:lang w:val="zh-CN" w:eastAsia="zh-CN"/>
        </w:rPr>
        <w:t>建设1</w:t>
      </w:r>
      <w:r>
        <w:rPr>
          <w:rFonts w:hint="eastAsia" w:ascii="宋体" w:hAnsi="宋体" w:eastAsia="宋体" w:cs="宋体"/>
          <w:color w:val="000000"/>
          <w:sz w:val="28"/>
          <w:szCs w:val="28"/>
          <w:highlight w:val="none"/>
          <w:lang w:val="zh-CN" w:eastAsia="zh-CN"/>
        </w:rPr>
        <w:t>项</w:t>
      </w:r>
      <w:r>
        <w:rPr>
          <w:rFonts w:hint="eastAsia" w:ascii="宋体" w:hAnsi="宋体" w:eastAsia="宋体" w:cs="宋体"/>
          <w:color w:val="000000"/>
          <w:kern w:val="2"/>
          <w:sz w:val="28"/>
          <w:szCs w:val="28"/>
          <w:highlight w:val="none"/>
          <w:lang w:val="zh-CN" w:eastAsia="zh-CN"/>
        </w:rPr>
        <w:t>大屏显示系统，要求如下：</w:t>
      </w:r>
    </w:p>
    <w:p>
      <w:pPr>
        <w:adjustRightInd w:val="0"/>
        <w:snapToGrid w:val="0"/>
        <w:spacing w:line="600" w:lineRule="exact"/>
        <w:ind w:firstLine="560" w:firstLineChars="200"/>
        <w:jc w:val="left"/>
        <w:rPr>
          <w:rFonts w:hint="eastAsia" w:ascii="宋体" w:hAnsi="宋体" w:eastAsia="宋体" w:cs="宋体"/>
          <w:color w:val="000000"/>
          <w:kern w:val="2"/>
          <w:sz w:val="28"/>
          <w:szCs w:val="28"/>
          <w:highlight w:val="none"/>
          <w:lang w:val="zh-CN" w:eastAsia="zh-CN"/>
        </w:rPr>
      </w:pPr>
      <w:r>
        <w:rPr>
          <w:rFonts w:hint="eastAsia" w:ascii="宋体" w:hAnsi="宋体" w:eastAsia="宋体" w:cs="宋体"/>
          <w:color w:val="000000"/>
          <w:kern w:val="2"/>
          <w:sz w:val="28"/>
          <w:szCs w:val="28"/>
          <w:highlight w:val="none"/>
          <w:lang w:val="zh-CN" w:eastAsia="zh-CN"/>
        </w:rPr>
        <w:t>安装1块小间距LED全彩屏幕，用作竹料分公司调度中心的主显示屏幕。</w:t>
      </w:r>
    </w:p>
    <w:p>
      <w:pPr>
        <w:adjustRightInd w:val="0"/>
        <w:snapToGrid w:val="0"/>
        <w:spacing w:line="600" w:lineRule="exact"/>
        <w:ind w:firstLine="560" w:firstLineChars="200"/>
        <w:rPr>
          <w:rFonts w:hint="eastAsia" w:ascii="宋体" w:hAnsi="宋体" w:eastAsia="宋体" w:cs="宋体"/>
          <w:color w:val="000000"/>
          <w:kern w:val="2"/>
          <w:sz w:val="28"/>
          <w:szCs w:val="28"/>
          <w:highlight w:val="none"/>
          <w:lang w:val="zh-CN" w:eastAsia="zh-CN"/>
        </w:rPr>
      </w:pPr>
      <w:r>
        <w:rPr>
          <w:rFonts w:hint="eastAsia" w:ascii="宋体" w:hAnsi="宋体" w:eastAsia="宋体" w:cs="宋体"/>
          <w:color w:val="000000"/>
          <w:kern w:val="2"/>
          <w:sz w:val="28"/>
          <w:szCs w:val="28"/>
          <w:highlight w:val="none"/>
          <w:lang w:val="en-US" w:eastAsia="zh-CN"/>
        </w:rPr>
        <w:t xml:space="preserve">2.2 </w:t>
      </w:r>
      <w:r>
        <w:rPr>
          <w:rFonts w:hint="eastAsia" w:ascii="宋体" w:hAnsi="宋体" w:eastAsia="宋体" w:cs="宋体"/>
          <w:color w:val="000000"/>
          <w:kern w:val="2"/>
          <w:sz w:val="28"/>
          <w:szCs w:val="28"/>
          <w:highlight w:val="none"/>
          <w:lang w:val="zh-CN" w:eastAsia="zh-CN"/>
        </w:rPr>
        <w:t>建设1项</w:t>
      </w:r>
      <w:r>
        <w:rPr>
          <w:rFonts w:hint="eastAsia" w:ascii="宋体" w:hAnsi="宋体" w:eastAsia="宋体" w:cs="宋体"/>
          <w:b w:val="0"/>
          <w:bCs w:val="0"/>
          <w:color w:val="000000"/>
          <w:sz w:val="28"/>
          <w:szCs w:val="28"/>
          <w:highlight w:val="none"/>
          <w:lang w:val="zh-CN" w:eastAsia="zh-CN"/>
        </w:rPr>
        <w:t>智能多媒体音视频</w:t>
      </w:r>
      <w:r>
        <w:rPr>
          <w:rFonts w:hint="eastAsia" w:ascii="宋体" w:hAnsi="宋体" w:eastAsia="宋体" w:cs="宋体"/>
          <w:color w:val="000000"/>
          <w:kern w:val="2"/>
          <w:sz w:val="28"/>
          <w:szCs w:val="28"/>
          <w:highlight w:val="none"/>
          <w:lang w:val="zh-CN" w:eastAsia="zh-CN"/>
        </w:rPr>
        <w:t>管理系统，要求如下：</w:t>
      </w:r>
    </w:p>
    <w:p>
      <w:pPr>
        <w:numPr>
          <w:ilvl w:val="-1"/>
          <w:numId w:val="0"/>
        </w:numPr>
        <w:adjustRightInd w:val="0"/>
        <w:snapToGrid w:val="0"/>
        <w:spacing w:line="600" w:lineRule="exact"/>
        <w:ind w:firstLine="560" w:firstLineChars="200"/>
        <w:rPr>
          <w:rFonts w:hint="eastAsia" w:ascii="宋体" w:hAnsi="宋体" w:eastAsia="宋体" w:cs="宋体"/>
          <w:color w:val="000000"/>
          <w:kern w:val="2"/>
          <w:sz w:val="28"/>
          <w:szCs w:val="28"/>
          <w:highlight w:val="none"/>
          <w:lang w:val="zh-CN" w:eastAsia="zh-CN"/>
        </w:rPr>
      </w:pPr>
      <w:r>
        <w:rPr>
          <w:rFonts w:hint="eastAsia" w:ascii="宋体" w:hAnsi="宋体" w:eastAsia="宋体" w:cs="宋体"/>
          <w:color w:val="000000"/>
          <w:kern w:val="2"/>
          <w:sz w:val="28"/>
          <w:szCs w:val="28"/>
          <w:highlight w:val="none"/>
          <w:lang w:val="en-US" w:eastAsia="zh-CN"/>
        </w:rPr>
        <w:t>（1）</w:t>
      </w:r>
      <w:r>
        <w:rPr>
          <w:rFonts w:hint="eastAsia" w:ascii="宋体" w:hAnsi="宋体" w:eastAsia="宋体" w:cs="宋体"/>
          <w:color w:val="000000"/>
          <w:kern w:val="2"/>
          <w:sz w:val="28"/>
          <w:szCs w:val="28"/>
          <w:highlight w:val="none"/>
          <w:lang w:val="zh-CN" w:eastAsia="zh-CN"/>
        </w:rPr>
        <w:t>支持对于调度中心建设调度大屏幕系统的音视频状态监测、控制、调节和分配。</w:t>
      </w:r>
    </w:p>
    <w:p>
      <w:pPr>
        <w:numPr>
          <w:ilvl w:val="-1"/>
          <w:numId w:val="0"/>
        </w:numPr>
        <w:adjustRightInd w:val="0"/>
        <w:snapToGrid w:val="0"/>
        <w:spacing w:line="600" w:lineRule="exact"/>
        <w:ind w:firstLine="560" w:firstLineChars="200"/>
        <w:rPr>
          <w:rFonts w:hint="eastAsia" w:ascii="宋体" w:hAnsi="宋体" w:eastAsia="宋体" w:cs="宋体"/>
          <w:color w:val="000000"/>
          <w:kern w:val="2"/>
          <w:sz w:val="28"/>
          <w:szCs w:val="28"/>
          <w:highlight w:val="none"/>
          <w:lang w:val="zh-CN" w:eastAsia="zh-CN"/>
        </w:rPr>
      </w:pPr>
      <w:r>
        <w:rPr>
          <w:rFonts w:hint="eastAsia" w:ascii="宋体" w:hAnsi="宋体" w:eastAsia="宋体" w:cs="宋体"/>
          <w:color w:val="000000"/>
          <w:kern w:val="2"/>
          <w:sz w:val="28"/>
          <w:szCs w:val="28"/>
          <w:highlight w:val="none"/>
          <w:lang w:val="en-US" w:eastAsia="zh-CN"/>
        </w:rPr>
        <w:t>（2）支持</w:t>
      </w:r>
      <w:r>
        <w:rPr>
          <w:rFonts w:hint="eastAsia" w:ascii="宋体" w:hAnsi="宋体" w:eastAsia="宋体" w:cs="宋体"/>
          <w:color w:val="000000"/>
          <w:kern w:val="2"/>
          <w:sz w:val="28"/>
          <w:szCs w:val="28"/>
          <w:highlight w:val="none"/>
          <w:lang w:val="zh-CN" w:eastAsia="zh-CN"/>
        </w:rPr>
        <w:t>音频信号和视频信号的灵活性可调节同步功能，交互式控制功能，视频拖拽预览功能，一键式切换模式、开关功能等。</w:t>
      </w:r>
    </w:p>
    <w:p>
      <w:pPr>
        <w:numPr>
          <w:ilvl w:val="-1"/>
          <w:numId w:val="0"/>
        </w:numPr>
        <w:adjustRightInd w:val="0"/>
        <w:snapToGrid w:val="0"/>
        <w:spacing w:line="600" w:lineRule="exact"/>
        <w:ind w:firstLine="560" w:firstLineChars="200"/>
        <w:rPr>
          <w:rFonts w:hint="eastAsia" w:ascii="宋体" w:hAnsi="宋体" w:eastAsia="宋体" w:cs="宋体"/>
          <w:color w:val="000000"/>
          <w:kern w:val="2"/>
          <w:sz w:val="28"/>
          <w:szCs w:val="28"/>
          <w:highlight w:val="none"/>
          <w:lang w:val="zh-CN" w:eastAsia="zh-CN"/>
        </w:rPr>
      </w:pPr>
      <w:r>
        <w:rPr>
          <w:rFonts w:hint="eastAsia" w:ascii="宋体" w:hAnsi="宋体" w:eastAsia="宋体" w:cs="宋体"/>
          <w:color w:val="000000"/>
          <w:kern w:val="2"/>
          <w:sz w:val="28"/>
          <w:szCs w:val="28"/>
          <w:highlight w:val="none"/>
          <w:lang w:val="en-US" w:eastAsia="zh-CN"/>
        </w:rPr>
        <w:t>（3）支持</w:t>
      </w:r>
      <w:r>
        <w:rPr>
          <w:rFonts w:hint="eastAsia" w:ascii="宋体" w:hAnsi="宋体" w:eastAsia="宋体" w:cs="宋体"/>
          <w:color w:val="000000"/>
          <w:kern w:val="2"/>
          <w:sz w:val="28"/>
          <w:szCs w:val="28"/>
          <w:highlight w:val="none"/>
          <w:lang w:val="zh-CN" w:eastAsia="zh-CN"/>
        </w:rPr>
        <w:t>所有信号传输和控制</w:t>
      </w:r>
      <w:r>
        <w:rPr>
          <w:rFonts w:hint="eastAsia" w:ascii="宋体" w:hAnsi="宋体" w:eastAsia="宋体" w:cs="宋体"/>
          <w:color w:val="000000"/>
          <w:kern w:val="2"/>
          <w:sz w:val="28"/>
          <w:szCs w:val="28"/>
          <w:highlight w:val="none"/>
          <w:lang w:val="en-US" w:eastAsia="zh-CN"/>
        </w:rPr>
        <w:t>统一</w:t>
      </w:r>
      <w:r>
        <w:rPr>
          <w:rFonts w:hint="eastAsia" w:ascii="宋体" w:hAnsi="宋体" w:eastAsia="宋体" w:cs="宋体"/>
          <w:color w:val="000000"/>
          <w:kern w:val="2"/>
          <w:sz w:val="28"/>
          <w:szCs w:val="28"/>
          <w:highlight w:val="none"/>
          <w:lang w:val="zh-CN" w:eastAsia="zh-CN"/>
        </w:rPr>
        <w:t>管理，实现高效稳定、反应迅捷功能。</w:t>
      </w:r>
    </w:p>
    <w:p>
      <w:pPr>
        <w:numPr>
          <w:ilvl w:val="-1"/>
          <w:numId w:val="0"/>
        </w:numPr>
        <w:adjustRightInd w:val="0"/>
        <w:snapToGrid w:val="0"/>
        <w:spacing w:line="600" w:lineRule="exact"/>
        <w:ind w:firstLine="560" w:firstLineChars="200"/>
        <w:rPr>
          <w:rFonts w:hint="eastAsia" w:ascii="宋体" w:hAnsi="宋体" w:eastAsia="宋体" w:cs="宋体"/>
          <w:color w:val="000000"/>
          <w:kern w:val="2"/>
          <w:sz w:val="28"/>
          <w:szCs w:val="28"/>
          <w:highlight w:val="none"/>
          <w:lang w:val="zh-CN" w:eastAsia="zh-CN"/>
        </w:rPr>
      </w:pPr>
      <w:r>
        <w:rPr>
          <w:rFonts w:hint="eastAsia" w:ascii="宋体" w:hAnsi="宋体" w:eastAsia="宋体" w:cs="宋体"/>
          <w:color w:val="000000"/>
          <w:kern w:val="2"/>
          <w:sz w:val="28"/>
          <w:szCs w:val="28"/>
          <w:highlight w:val="none"/>
          <w:lang w:val="en-US" w:eastAsia="zh-CN"/>
        </w:rPr>
        <w:t>（4）</w:t>
      </w:r>
      <w:r>
        <w:rPr>
          <w:rFonts w:hint="eastAsia" w:ascii="宋体" w:hAnsi="宋体" w:eastAsia="宋体" w:cs="宋体"/>
          <w:color w:val="000000"/>
          <w:kern w:val="2"/>
          <w:sz w:val="28"/>
          <w:szCs w:val="28"/>
          <w:highlight w:val="none"/>
          <w:lang w:val="zh-CN" w:eastAsia="zh-CN"/>
        </w:rPr>
        <w:t>严格按照国家和行业的有关标准，采用先进、可扩展、易维护、易操作的设备，整体技术具有前瞻性，保证系统满足业务需求的基础上，一定时期内不落后。</w:t>
      </w:r>
    </w:p>
    <w:p>
      <w:pPr>
        <w:numPr>
          <w:ilvl w:val="-1"/>
          <w:numId w:val="0"/>
        </w:numPr>
        <w:adjustRightInd w:val="0"/>
        <w:snapToGrid w:val="0"/>
        <w:spacing w:line="600" w:lineRule="exact"/>
        <w:ind w:firstLine="560" w:firstLineChars="200"/>
        <w:rPr>
          <w:rFonts w:hint="eastAsia" w:ascii="宋体" w:hAnsi="宋体" w:eastAsia="宋体" w:cs="宋体"/>
          <w:color w:val="000000"/>
          <w:kern w:val="2"/>
          <w:sz w:val="28"/>
          <w:szCs w:val="28"/>
          <w:highlight w:val="none"/>
          <w:lang w:val="zh-CN" w:eastAsia="zh-CN"/>
        </w:rPr>
      </w:pPr>
      <w:r>
        <w:rPr>
          <w:rFonts w:hint="eastAsia" w:ascii="宋体" w:hAnsi="宋体" w:eastAsia="宋体" w:cs="宋体"/>
          <w:color w:val="000000"/>
          <w:kern w:val="2"/>
          <w:sz w:val="28"/>
          <w:szCs w:val="28"/>
          <w:highlight w:val="none"/>
          <w:lang w:val="en-US" w:eastAsia="zh-CN"/>
        </w:rPr>
        <w:t>（5）</w:t>
      </w:r>
      <w:r>
        <w:rPr>
          <w:rFonts w:hint="eastAsia" w:ascii="宋体" w:hAnsi="宋体" w:eastAsia="宋体" w:cs="宋体"/>
          <w:color w:val="000000"/>
          <w:kern w:val="2"/>
          <w:sz w:val="28"/>
          <w:szCs w:val="28"/>
          <w:highlight w:val="none"/>
          <w:lang w:val="zh-CN" w:eastAsia="zh-CN"/>
        </w:rPr>
        <w:t>要求实现信号传输及共享、分散控制、分级使用、智能化、集约化管理</w:t>
      </w:r>
      <w:r>
        <w:rPr>
          <w:rFonts w:hint="eastAsia" w:ascii="宋体" w:hAnsi="宋体" w:eastAsia="宋体" w:cs="宋体"/>
          <w:color w:val="000000"/>
          <w:kern w:val="2"/>
          <w:sz w:val="28"/>
          <w:szCs w:val="28"/>
          <w:highlight w:val="none"/>
          <w:lang w:val="en-US" w:eastAsia="zh-CN"/>
        </w:rPr>
        <w:t>以及</w:t>
      </w:r>
      <w:r>
        <w:rPr>
          <w:rFonts w:hint="eastAsia" w:ascii="宋体" w:hAnsi="宋体" w:eastAsia="宋体" w:cs="宋体"/>
          <w:color w:val="000000"/>
          <w:kern w:val="2"/>
          <w:sz w:val="28"/>
          <w:szCs w:val="28"/>
          <w:highlight w:val="none"/>
          <w:lang w:val="zh-CN" w:eastAsia="zh-CN"/>
        </w:rPr>
        <w:t>触摸式</w:t>
      </w:r>
      <w:r>
        <w:rPr>
          <w:rFonts w:hint="eastAsia" w:ascii="宋体" w:hAnsi="宋体" w:eastAsia="宋体" w:cs="宋体"/>
          <w:color w:val="000000"/>
          <w:kern w:val="2"/>
          <w:sz w:val="28"/>
          <w:szCs w:val="28"/>
          <w:highlight w:val="none"/>
          <w:lang w:val="en-US" w:eastAsia="zh-CN"/>
        </w:rPr>
        <w:t>的</w:t>
      </w:r>
      <w:r>
        <w:rPr>
          <w:rFonts w:hint="eastAsia" w:ascii="宋体" w:hAnsi="宋体" w:eastAsia="宋体" w:cs="宋体"/>
          <w:color w:val="000000"/>
          <w:kern w:val="2"/>
          <w:sz w:val="28"/>
          <w:szCs w:val="28"/>
          <w:highlight w:val="none"/>
          <w:lang w:val="zh-CN" w:eastAsia="zh-CN"/>
        </w:rPr>
        <w:t>平台操作及控制。</w:t>
      </w:r>
    </w:p>
    <w:p>
      <w:pPr>
        <w:adjustRightInd w:val="0"/>
        <w:snapToGrid w:val="0"/>
        <w:spacing w:line="600" w:lineRule="exact"/>
        <w:ind w:firstLine="560" w:firstLineChars="200"/>
        <w:rPr>
          <w:rFonts w:hint="eastAsia" w:ascii="宋体" w:hAnsi="宋体" w:eastAsia="宋体" w:cs="宋体"/>
          <w:b w:val="0"/>
          <w:bCs w:val="0"/>
          <w:color w:val="000000"/>
          <w:kern w:val="2"/>
          <w:sz w:val="28"/>
          <w:szCs w:val="28"/>
          <w:highlight w:val="none"/>
          <w:lang w:val="zh-CN" w:eastAsia="zh-CN"/>
        </w:rPr>
      </w:pPr>
      <w:bookmarkStart w:id="50" w:name="_Toc28136"/>
      <w:r>
        <w:rPr>
          <w:rFonts w:hint="eastAsia" w:ascii="宋体" w:hAnsi="宋体" w:eastAsia="宋体" w:cs="宋体"/>
          <w:color w:val="000000"/>
          <w:kern w:val="2"/>
          <w:sz w:val="28"/>
          <w:szCs w:val="28"/>
          <w:highlight w:val="none"/>
          <w:lang w:val="en-US" w:eastAsia="zh-CN"/>
        </w:rPr>
        <w:t xml:space="preserve">2.3 </w:t>
      </w:r>
      <w:r>
        <w:rPr>
          <w:rFonts w:hint="eastAsia" w:ascii="宋体" w:hAnsi="宋体" w:eastAsia="宋体" w:cs="宋体"/>
          <w:color w:val="000000"/>
          <w:kern w:val="2"/>
          <w:sz w:val="28"/>
          <w:szCs w:val="28"/>
          <w:highlight w:val="none"/>
          <w:lang w:val="zh-CN" w:eastAsia="zh-CN"/>
        </w:rPr>
        <w:t>建设1项</w:t>
      </w:r>
      <w:r>
        <w:rPr>
          <w:rFonts w:hint="eastAsia" w:ascii="宋体" w:hAnsi="宋体" w:eastAsia="宋体" w:cs="宋体"/>
          <w:b w:val="0"/>
          <w:bCs w:val="0"/>
          <w:color w:val="000000"/>
          <w:kern w:val="2"/>
          <w:sz w:val="28"/>
          <w:szCs w:val="28"/>
          <w:highlight w:val="none"/>
          <w:lang w:val="zh-CN" w:eastAsia="zh-CN"/>
        </w:rPr>
        <w:t>机房与环境改造升级，</w:t>
      </w:r>
      <w:r>
        <w:rPr>
          <w:rFonts w:hint="eastAsia" w:ascii="宋体" w:hAnsi="宋体" w:eastAsia="宋体" w:cs="宋体"/>
          <w:b w:val="0"/>
          <w:bCs w:val="0"/>
          <w:color w:val="000000"/>
          <w:kern w:val="2"/>
          <w:sz w:val="28"/>
          <w:szCs w:val="28"/>
          <w:highlight w:val="none"/>
          <w:lang w:val="en-US" w:eastAsia="zh-CN"/>
        </w:rPr>
        <w:t>要求如下</w:t>
      </w:r>
      <w:r>
        <w:rPr>
          <w:rFonts w:hint="eastAsia" w:ascii="宋体" w:hAnsi="宋体" w:eastAsia="宋体" w:cs="宋体"/>
          <w:b w:val="0"/>
          <w:bCs w:val="0"/>
          <w:color w:val="000000"/>
          <w:kern w:val="2"/>
          <w:sz w:val="28"/>
          <w:szCs w:val="28"/>
          <w:highlight w:val="none"/>
          <w:lang w:val="zh-CN" w:eastAsia="zh-CN"/>
        </w:rPr>
        <w:t>：</w:t>
      </w:r>
      <w:bookmarkEnd w:id="50"/>
    </w:p>
    <w:p>
      <w:pPr>
        <w:numPr>
          <w:ilvl w:val="-1"/>
          <w:numId w:val="0"/>
        </w:numPr>
        <w:adjustRightInd w:val="0"/>
        <w:snapToGrid w:val="0"/>
        <w:spacing w:afterLines="50" w:line="600" w:lineRule="exact"/>
        <w:ind w:firstLine="560" w:firstLineChars="200"/>
        <w:jc w:val="left"/>
        <w:rPr>
          <w:rFonts w:hint="eastAsia" w:ascii="宋体" w:hAnsi="宋体" w:eastAsia="宋体" w:cs="宋体"/>
          <w:color w:val="000000"/>
          <w:kern w:val="2"/>
          <w:sz w:val="28"/>
          <w:szCs w:val="28"/>
          <w:highlight w:val="none"/>
          <w:lang w:val="zh-CN"/>
        </w:rPr>
      </w:pPr>
      <w:r>
        <w:rPr>
          <w:rFonts w:hint="eastAsia" w:ascii="宋体" w:hAnsi="宋体" w:eastAsia="宋体" w:cs="宋体"/>
          <w:color w:val="000000"/>
          <w:kern w:val="2"/>
          <w:sz w:val="28"/>
          <w:szCs w:val="28"/>
          <w:highlight w:val="none"/>
          <w:lang w:val="en-US" w:eastAsia="zh-CN"/>
        </w:rPr>
        <w:t>（1）升级改造环境</w:t>
      </w:r>
      <w:r>
        <w:rPr>
          <w:rFonts w:hint="eastAsia" w:ascii="宋体" w:hAnsi="宋体" w:eastAsia="宋体" w:cs="宋体"/>
          <w:color w:val="000000"/>
          <w:kern w:val="2"/>
          <w:sz w:val="28"/>
          <w:szCs w:val="28"/>
          <w:highlight w:val="none"/>
          <w:lang w:val="zh-CN"/>
        </w:rPr>
        <w:t>，并重新造型建设，凸显公司元素，</w:t>
      </w:r>
    </w:p>
    <w:p>
      <w:pPr>
        <w:numPr>
          <w:ilvl w:val="-1"/>
          <w:numId w:val="0"/>
        </w:numPr>
        <w:adjustRightInd w:val="0"/>
        <w:snapToGrid w:val="0"/>
        <w:spacing w:afterLines="50" w:line="600" w:lineRule="exact"/>
        <w:ind w:firstLine="560" w:firstLineChars="200"/>
        <w:jc w:val="left"/>
        <w:rPr>
          <w:rFonts w:hint="eastAsia" w:ascii="宋体" w:hAnsi="宋体" w:eastAsia="宋体" w:cs="宋体"/>
          <w:color w:val="000000"/>
          <w:kern w:val="2"/>
          <w:sz w:val="28"/>
          <w:szCs w:val="28"/>
          <w:highlight w:val="none"/>
          <w:lang w:val="zh-CN"/>
        </w:rPr>
      </w:pPr>
      <w:r>
        <w:rPr>
          <w:rFonts w:hint="eastAsia" w:ascii="宋体" w:hAnsi="宋体" w:eastAsia="宋体" w:cs="宋体"/>
          <w:color w:val="000000"/>
          <w:kern w:val="2"/>
          <w:sz w:val="28"/>
          <w:szCs w:val="28"/>
          <w:highlight w:val="none"/>
          <w:lang w:val="en-US" w:eastAsia="zh-CN"/>
        </w:rPr>
        <w:t>（2）</w:t>
      </w:r>
      <w:r>
        <w:rPr>
          <w:rFonts w:hint="eastAsia" w:ascii="宋体" w:hAnsi="宋体" w:eastAsia="宋体" w:cs="宋体"/>
          <w:color w:val="000000"/>
          <w:kern w:val="2"/>
          <w:sz w:val="28"/>
          <w:szCs w:val="28"/>
          <w:highlight w:val="none"/>
          <w:lang w:val="zh-CN" w:eastAsia="zh-CN"/>
        </w:rPr>
        <w:t>升级改造</w:t>
      </w:r>
      <w:r>
        <w:rPr>
          <w:rFonts w:hint="eastAsia" w:ascii="宋体" w:hAnsi="宋体" w:eastAsia="宋体" w:cs="宋体"/>
          <w:color w:val="000000"/>
          <w:kern w:val="2"/>
          <w:sz w:val="28"/>
          <w:szCs w:val="28"/>
          <w:highlight w:val="none"/>
          <w:lang w:val="zh-CN"/>
        </w:rPr>
        <w:t>机房</w:t>
      </w:r>
      <w:r>
        <w:rPr>
          <w:rFonts w:hint="eastAsia" w:ascii="宋体" w:hAnsi="宋体" w:eastAsia="宋体" w:cs="宋体"/>
          <w:color w:val="000000"/>
          <w:kern w:val="2"/>
          <w:sz w:val="28"/>
          <w:szCs w:val="28"/>
          <w:highlight w:val="none"/>
          <w:lang w:val="zh-CN" w:eastAsia="zh-CN"/>
        </w:rPr>
        <w:t>标准化建设；</w:t>
      </w:r>
    </w:p>
    <w:p>
      <w:pPr>
        <w:numPr>
          <w:ilvl w:val="-1"/>
          <w:numId w:val="0"/>
        </w:numPr>
        <w:adjustRightInd w:val="0"/>
        <w:snapToGrid w:val="0"/>
        <w:spacing w:line="600" w:lineRule="exact"/>
        <w:ind w:firstLine="0" w:firstLineChars="0"/>
        <w:jc w:val="left"/>
        <w:rPr>
          <w:rFonts w:hint="eastAsia" w:ascii="宋体" w:hAnsi="宋体" w:eastAsia="宋体" w:cs="宋体"/>
          <w:sz w:val="28"/>
          <w:szCs w:val="28"/>
          <w:highlight w:val="none"/>
        </w:rPr>
      </w:pPr>
    </w:p>
    <w:p>
      <w:pPr>
        <w:adjustRightInd w:val="0"/>
        <w:snapToGrid w:val="0"/>
        <w:spacing w:line="600" w:lineRule="exact"/>
        <w:jc w:val="left"/>
        <w:outlineLvl w:val="2"/>
        <w:rPr>
          <w:rFonts w:hint="eastAsia" w:ascii="宋体" w:hAnsi="宋体" w:eastAsia="宋体" w:cs="宋体"/>
          <w:b/>
          <w:sz w:val="32"/>
          <w:szCs w:val="32"/>
          <w:highlight w:val="none"/>
          <w:lang w:val="zh-CN" w:eastAsia="zh-CN"/>
        </w:rPr>
      </w:pPr>
      <w:r>
        <w:rPr>
          <w:rFonts w:hint="eastAsia" w:ascii="宋体" w:hAnsi="宋体" w:eastAsia="宋体" w:cs="宋体"/>
          <w:b/>
          <w:sz w:val="32"/>
          <w:szCs w:val="32"/>
          <w:highlight w:val="none"/>
          <w:lang w:val="en-US" w:eastAsia="zh-CN"/>
        </w:rPr>
        <w:t>4.</w:t>
      </w:r>
      <w:r>
        <w:rPr>
          <w:rFonts w:hint="eastAsia" w:ascii="宋体" w:hAnsi="宋体" w:eastAsia="宋体" w:cs="宋体"/>
          <w:b/>
          <w:sz w:val="32"/>
          <w:szCs w:val="32"/>
          <w:highlight w:val="none"/>
          <w:lang w:val="zh-CN" w:eastAsia="zh-CN"/>
        </w:rPr>
        <w:t>项目商务要求</w:t>
      </w:r>
    </w:p>
    <w:p>
      <w:pPr>
        <w:adjustRightInd w:val="0"/>
        <w:snapToGrid w:val="0"/>
        <w:spacing w:line="600" w:lineRule="exact"/>
        <w:ind w:firstLine="420" w:firstLineChars="150"/>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zh-CN"/>
        </w:rPr>
        <w:t>1.服务期：自双方签订合同为期</w:t>
      </w:r>
      <w:r>
        <w:rPr>
          <w:rFonts w:hint="eastAsia" w:ascii="宋体" w:hAnsi="宋体" w:eastAsia="宋体" w:cs="宋体"/>
          <w:sz w:val="28"/>
          <w:szCs w:val="28"/>
          <w:highlight w:val="none"/>
          <w:lang w:val="en-US" w:eastAsia="zh-CN"/>
        </w:rPr>
        <w:t>90</w:t>
      </w:r>
      <w:r>
        <w:rPr>
          <w:rFonts w:hint="eastAsia" w:ascii="宋体" w:hAnsi="宋体" w:eastAsia="宋体" w:cs="宋体"/>
          <w:sz w:val="28"/>
          <w:szCs w:val="28"/>
          <w:highlight w:val="none"/>
        </w:rPr>
        <w:t>天。</w:t>
      </w:r>
    </w:p>
    <w:p>
      <w:pPr>
        <w:adjustRightInd w:val="0"/>
        <w:snapToGrid w:val="0"/>
        <w:spacing w:line="600" w:lineRule="exact"/>
        <w:ind w:firstLine="420" w:firstLineChars="150"/>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zh-CN"/>
        </w:rPr>
        <w:t>2.质量要求：</w:t>
      </w:r>
      <w:r>
        <w:rPr>
          <w:rFonts w:hint="eastAsia" w:ascii="宋体" w:hAnsi="宋体" w:eastAsia="宋体" w:cs="宋体"/>
          <w:sz w:val="28"/>
          <w:szCs w:val="28"/>
          <w:highlight w:val="none"/>
        </w:rPr>
        <w:t>项目实施内容及要求，必须按国家标准、行业标准、检定规程、设备技术要求等规定对设备进行安全检查、维保等服务，确保设备使用的正常、安全。</w:t>
      </w:r>
    </w:p>
    <w:p>
      <w:pPr>
        <w:adjustRightInd w:val="0"/>
        <w:snapToGrid w:val="0"/>
        <w:spacing w:line="600" w:lineRule="exact"/>
        <w:ind w:firstLine="420" w:firstLineChars="15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3.总包及分包规定：</w:t>
      </w:r>
    </w:p>
    <w:p>
      <w:pPr>
        <w:adjustRightInd w:val="0"/>
        <w:snapToGrid w:val="0"/>
        <w:spacing w:line="600" w:lineRule="exact"/>
        <w:ind w:firstLine="420" w:firstLineChars="150"/>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zh-CN"/>
        </w:rPr>
        <w:t>承包单位不许转包，不许擅自分包, 否则，发包人有权单方面终止合同，并令其立即退场，由此而造成的经济损失由承包单位负责赔偿。</w:t>
      </w:r>
    </w:p>
    <w:p>
      <w:pPr>
        <w:adjustRightInd w:val="0"/>
        <w:snapToGrid w:val="0"/>
        <w:spacing w:line="600" w:lineRule="exact"/>
        <w:ind w:firstLine="420" w:firstLineChars="15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4.保修期（保养期）：质保期为验收合格之日起1年。</w:t>
      </w:r>
    </w:p>
    <w:p>
      <w:pPr>
        <w:adjustRightInd w:val="0"/>
        <w:snapToGrid w:val="0"/>
        <w:spacing w:line="600" w:lineRule="exact"/>
        <w:ind w:firstLine="420" w:firstLineChars="150"/>
        <w:jc w:val="left"/>
        <w:rPr>
          <w:rFonts w:hint="eastAsia" w:ascii="宋体" w:hAnsi="宋体" w:eastAsia="宋体" w:cs="宋体"/>
          <w:sz w:val="28"/>
          <w:szCs w:val="28"/>
          <w:highlight w:val="none"/>
        </w:rPr>
      </w:pPr>
      <w:r>
        <w:rPr>
          <w:rFonts w:hint="eastAsia" w:ascii="宋体" w:hAnsi="宋体" w:eastAsia="宋体" w:cs="宋体"/>
          <w:sz w:val="28"/>
          <w:szCs w:val="28"/>
          <w:highlight w:val="none"/>
        </w:rPr>
        <w:t>5.询价人将自承包人履行完合同义务之日起20天内组织验收，验收要求、验收标准及方法如下：</w:t>
      </w:r>
    </w:p>
    <w:p>
      <w:pPr>
        <w:adjustRightInd w:val="0"/>
        <w:snapToGrid w:val="0"/>
        <w:spacing w:line="600" w:lineRule="exact"/>
        <w:ind w:firstLine="420" w:firstLineChars="150"/>
        <w:jc w:val="left"/>
        <w:rPr>
          <w:rFonts w:hint="eastAsia" w:ascii="宋体" w:hAnsi="宋体" w:eastAsia="宋体" w:cs="宋体"/>
          <w:sz w:val="28"/>
          <w:szCs w:val="28"/>
          <w:highlight w:val="none"/>
          <w:lang w:val="zh-CN"/>
        </w:rPr>
      </w:pPr>
      <w:r>
        <w:rPr>
          <w:rFonts w:hint="eastAsia" w:ascii="宋体" w:hAnsi="宋体" w:eastAsia="宋体" w:cs="宋体"/>
          <w:sz w:val="28"/>
          <w:szCs w:val="28"/>
          <w:highlight w:val="none"/>
          <w:lang w:val="zh-CN"/>
        </w:rPr>
        <w:t>（</w:t>
      </w:r>
      <w:r>
        <w:rPr>
          <w:rFonts w:hint="eastAsia" w:ascii="宋体" w:hAnsi="宋体" w:eastAsia="宋体" w:cs="宋体"/>
          <w:sz w:val="28"/>
          <w:szCs w:val="28"/>
          <w:highlight w:val="none"/>
        </w:rPr>
        <w:t>1</w:t>
      </w:r>
      <w:r>
        <w:rPr>
          <w:rFonts w:hint="eastAsia" w:ascii="宋体" w:hAnsi="宋体" w:eastAsia="宋体" w:cs="宋体"/>
          <w:sz w:val="28"/>
          <w:szCs w:val="28"/>
          <w:highlight w:val="none"/>
          <w:lang w:val="zh-CN"/>
        </w:rPr>
        <w:t>）验收依据：询价文件、询价响应文件有关的质量标准规定。</w:t>
      </w:r>
    </w:p>
    <w:p>
      <w:pPr>
        <w:adjustRightInd w:val="0"/>
        <w:snapToGrid w:val="0"/>
        <w:spacing w:line="600" w:lineRule="exact"/>
        <w:ind w:firstLine="420" w:firstLineChars="150"/>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zh-CN"/>
        </w:rPr>
        <w:t>（</w:t>
      </w:r>
      <w:r>
        <w:rPr>
          <w:rFonts w:hint="eastAsia" w:ascii="宋体" w:hAnsi="宋体" w:eastAsia="宋体" w:cs="宋体"/>
          <w:sz w:val="28"/>
          <w:szCs w:val="28"/>
          <w:highlight w:val="none"/>
        </w:rPr>
        <w:t>2</w:t>
      </w:r>
      <w:r>
        <w:rPr>
          <w:rFonts w:hint="eastAsia" w:ascii="宋体" w:hAnsi="宋体" w:eastAsia="宋体" w:cs="宋体"/>
          <w:sz w:val="28"/>
          <w:szCs w:val="28"/>
          <w:highlight w:val="none"/>
          <w:lang w:val="zh-CN"/>
        </w:rPr>
        <w:t>）承包单位根据要求进行</w:t>
      </w:r>
      <w:r>
        <w:rPr>
          <w:rFonts w:hint="eastAsia" w:ascii="宋体" w:hAnsi="宋体" w:eastAsia="宋体" w:cs="宋体"/>
          <w:sz w:val="28"/>
          <w:szCs w:val="28"/>
          <w:highlight w:val="none"/>
        </w:rPr>
        <w:t>维修。</w:t>
      </w:r>
      <w:r>
        <w:rPr>
          <w:rFonts w:hint="eastAsia" w:ascii="宋体" w:hAnsi="宋体" w:eastAsia="宋体" w:cs="宋体"/>
          <w:sz w:val="28"/>
          <w:szCs w:val="28"/>
          <w:highlight w:val="none"/>
          <w:lang w:val="zh-CN"/>
        </w:rPr>
        <w:t>完成之后，</w:t>
      </w:r>
      <w:r>
        <w:rPr>
          <w:rFonts w:hint="eastAsia" w:ascii="宋体" w:hAnsi="宋体" w:eastAsia="宋体" w:cs="宋体"/>
          <w:sz w:val="28"/>
          <w:szCs w:val="28"/>
          <w:highlight w:val="none"/>
        </w:rPr>
        <w:t>确保管道正常运行</w:t>
      </w:r>
      <w:r>
        <w:rPr>
          <w:rFonts w:hint="eastAsia" w:ascii="宋体" w:hAnsi="宋体" w:eastAsia="宋体" w:cs="宋体"/>
          <w:sz w:val="28"/>
          <w:szCs w:val="28"/>
          <w:highlight w:val="none"/>
          <w:lang w:val="zh-CN"/>
        </w:rPr>
        <w:t>的要求。</w:t>
      </w:r>
    </w:p>
    <w:p>
      <w:pPr>
        <w:adjustRightInd w:val="0"/>
        <w:snapToGrid w:val="0"/>
        <w:spacing w:line="600" w:lineRule="exact"/>
        <w:ind w:firstLine="420" w:firstLineChars="150"/>
        <w:jc w:val="left"/>
        <w:rPr>
          <w:rFonts w:hint="eastAsia" w:ascii="宋体" w:hAnsi="宋体" w:eastAsia="宋体" w:cs="宋体"/>
          <w:sz w:val="28"/>
          <w:szCs w:val="28"/>
          <w:highlight w:val="none"/>
          <w:lang w:val="zh-CN"/>
        </w:rPr>
      </w:pPr>
      <w:r>
        <w:rPr>
          <w:rFonts w:hint="eastAsia" w:ascii="宋体" w:hAnsi="宋体" w:eastAsia="宋体" w:cs="宋体"/>
          <w:sz w:val="28"/>
          <w:szCs w:val="28"/>
          <w:highlight w:val="none"/>
          <w:lang w:val="zh-CN"/>
        </w:rPr>
        <w:t>（</w:t>
      </w:r>
      <w:r>
        <w:rPr>
          <w:rFonts w:hint="eastAsia" w:ascii="宋体" w:hAnsi="宋体" w:eastAsia="宋体" w:cs="宋体"/>
          <w:sz w:val="28"/>
          <w:szCs w:val="28"/>
          <w:highlight w:val="none"/>
        </w:rPr>
        <w:t>3</w:t>
      </w:r>
      <w:r>
        <w:rPr>
          <w:rFonts w:hint="eastAsia" w:ascii="宋体" w:hAnsi="宋体" w:eastAsia="宋体" w:cs="宋体"/>
          <w:sz w:val="28"/>
          <w:szCs w:val="28"/>
          <w:highlight w:val="none"/>
          <w:lang w:val="zh-CN"/>
        </w:rPr>
        <w:t>）验收时承包单位必须派代表参加。</w:t>
      </w:r>
    </w:p>
    <w:p>
      <w:pPr>
        <w:adjustRightInd w:val="0"/>
        <w:snapToGrid w:val="0"/>
        <w:spacing w:line="600" w:lineRule="exact"/>
        <w:ind w:firstLine="420" w:firstLineChars="150"/>
        <w:jc w:val="left"/>
        <w:rPr>
          <w:rFonts w:hint="eastAsia" w:ascii="宋体" w:hAnsi="宋体" w:eastAsia="宋体" w:cs="宋体"/>
          <w:sz w:val="28"/>
          <w:szCs w:val="28"/>
          <w:highlight w:val="none"/>
        </w:rPr>
      </w:pPr>
      <w:r>
        <w:rPr>
          <w:rFonts w:hint="eastAsia" w:ascii="宋体" w:hAnsi="宋体" w:eastAsia="宋体" w:cs="宋体"/>
          <w:sz w:val="28"/>
          <w:szCs w:val="28"/>
          <w:highlight w:val="none"/>
          <w:lang w:val="zh-CN"/>
        </w:rPr>
        <w:t>（</w:t>
      </w:r>
      <w:r>
        <w:rPr>
          <w:rFonts w:hint="eastAsia" w:ascii="宋体" w:hAnsi="宋体" w:eastAsia="宋体" w:cs="宋体"/>
          <w:sz w:val="28"/>
          <w:szCs w:val="28"/>
          <w:highlight w:val="none"/>
        </w:rPr>
        <w:t>4</w:t>
      </w:r>
      <w:r>
        <w:rPr>
          <w:rFonts w:hint="eastAsia" w:ascii="宋体" w:hAnsi="宋体" w:eastAsia="宋体" w:cs="宋体"/>
          <w:sz w:val="28"/>
          <w:szCs w:val="28"/>
          <w:highlight w:val="none"/>
          <w:lang w:val="zh-CN"/>
        </w:rPr>
        <w:t>）验收过程所发生的一切费用由承包单位承担。</w:t>
      </w:r>
    </w:p>
    <w:p>
      <w:pPr>
        <w:adjustRightInd w:val="0"/>
        <w:snapToGrid w:val="0"/>
        <w:spacing w:line="600" w:lineRule="exact"/>
        <w:ind w:firstLine="420" w:firstLineChars="150"/>
        <w:jc w:val="left"/>
        <w:rPr>
          <w:rFonts w:hint="eastAsia" w:ascii="宋体" w:hAnsi="宋体" w:eastAsia="宋体" w:cs="宋体"/>
          <w:sz w:val="28"/>
          <w:szCs w:val="28"/>
          <w:lang w:val="zh-CN"/>
        </w:rPr>
      </w:pPr>
      <w:r>
        <w:rPr>
          <w:rFonts w:hint="eastAsia" w:ascii="宋体" w:hAnsi="宋体" w:eastAsia="宋体" w:cs="宋体"/>
          <w:sz w:val="28"/>
          <w:szCs w:val="28"/>
          <w:highlight w:val="none"/>
        </w:rPr>
        <w:t>6.承包方式：</w:t>
      </w:r>
      <w:r>
        <w:rPr>
          <w:rFonts w:hint="eastAsia" w:ascii="宋体" w:hAnsi="宋体" w:eastAsia="宋体" w:cs="宋体"/>
          <w:sz w:val="28"/>
          <w:szCs w:val="28"/>
          <w:highlight w:val="none"/>
          <w:lang w:val="zh-CN"/>
        </w:rPr>
        <w:sym w:font="Wingdings" w:char="00FE"/>
      </w:r>
      <w:r>
        <w:rPr>
          <w:rFonts w:hint="eastAsia" w:ascii="宋体" w:hAnsi="宋体" w:eastAsia="宋体" w:cs="宋体"/>
          <w:sz w:val="28"/>
          <w:szCs w:val="28"/>
          <w:highlight w:val="none"/>
          <w:lang w:val="zh-CN"/>
        </w:rPr>
        <w:t>单价</w:t>
      </w:r>
      <w:r>
        <w:rPr>
          <w:rFonts w:hint="eastAsia" w:ascii="宋体" w:hAnsi="宋体" w:eastAsia="宋体" w:cs="宋体"/>
          <w:sz w:val="28"/>
          <w:szCs w:val="28"/>
          <w:highlight w:val="none"/>
        </w:rPr>
        <w:t>包干</w:t>
      </w:r>
      <w:r>
        <w:rPr>
          <w:rFonts w:hint="eastAsia" w:ascii="宋体" w:hAnsi="宋体" w:eastAsia="宋体" w:cs="宋体"/>
          <w:sz w:val="28"/>
          <w:szCs w:val="28"/>
          <w:highlight w:val="none"/>
          <w:lang w:val="zh-CN"/>
        </w:rPr>
        <w:t>：询价响应文件包含总价及综合单价时，综合单价为合同单价。合同单价在询价文件及</w:t>
      </w:r>
      <w:r>
        <w:rPr>
          <w:rFonts w:hint="eastAsia" w:ascii="宋体" w:hAnsi="宋体" w:eastAsia="宋体" w:cs="宋体"/>
          <w:sz w:val="28"/>
          <w:szCs w:val="28"/>
          <w:lang w:val="zh-CN"/>
        </w:rPr>
        <w:t>施工合同约定的风险范围之内不可调整。</w:t>
      </w:r>
    </w:p>
    <w:bookmarkEnd w:id="18"/>
    <w:p>
      <w:pPr>
        <w:pStyle w:val="25"/>
        <w:rPr>
          <w:highlight w:val="yellow"/>
        </w:rPr>
      </w:pPr>
      <w:bookmarkStart w:id="51" w:name="_Toc23330"/>
      <w:bookmarkStart w:id="52" w:name="_Toc15570"/>
      <w:bookmarkStart w:id="53" w:name="_Toc18538"/>
      <w:bookmarkStart w:id="54" w:name="_Toc1284"/>
      <w:bookmarkStart w:id="55" w:name="_Toc23353"/>
      <w:bookmarkStart w:id="56" w:name="_Toc25925"/>
      <w:bookmarkStart w:id="57" w:name="_Toc29835"/>
      <w:bookmarkStart w:id="58" w:name="_Toc1496"/>
      <w:bookmarkStart w:id="59" w:name="_Toc12135"/>
      <w:bookmarkStart w:id="60" w:name="_Toc4680"/>
      <w:bookmarkStart w:id="61" w:name="_Toc537"/>
    </w:p>
    <w:p>
      <w:r>
        <w:br w:type="page"/>
      </w:r>
    </w:p>
    <w:p>
      <w:pPr>
        <w:pStyle w:val="25"/>
        <w:ind w:left="0" w:leftChars="0" w:firstLine="0" w:firstLineChars="0"/>
        <w:rPr>
          <w:rFonts w:hint="eastAsia" w:eastAsia="等线"/>
          <w:lang w:val="en-US" w:eastAsia="zh-CN"/>
        </w:rPr>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4"/>
      </w:pPr>
      <w:r>
        <mc:AlternateContent>
          <mc:Choice Requires="wps">
            <w:drawing>
              <wp:anchor distT="0" distB="0" distL="114300" distR="114300" simplePos="0" relativeHeight="251660288" behindDoc="0" locked="0" layoutInCell="1" allowOverlap="1">
                <wp:simplePos x="0" y="0"/>
                <wp:positionH relativeFrom="column">
                  <wp:posOffset>2597785</wp:posOffset>
                </wp:positionH>
                <wp:positionV relativeFrom="paragraph">
                  <wp:posOffset>812165</wp:posOffset>
                </wp:positionV>
                <wp:extent cx="958850" cy="0"/>
                <wp:effectExtent l="0" t="0" r="0" b="0"/>
                <wp:wrapNone/>
                <wp:docPr id="17"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204.55pt;margin-top:63.95pt;height:0pt;width:75.5pt;z-index:251660288;mso-width-relative:page;mso-height-relative:page;" filled="f" stroked="t" coordsize="21600,21600" o:gfxdata="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hjqmtcAAAALAQAADwAAAAAAAAABACAAAAAiAAAAZHJzL2Rvd25yZXYueG1sUEsBAhQA&#10;FAAAAAgAh07iQGuJ4Y/zAQAA5AMAAA4AAAAAAAAAAQAgAAAAJgEAAGRycy9lMm9Eb2MueG1sUEsF&#10;BgAAAAAGAAYAWQEAAIs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2605405</wp:posOffset>
                </wp:positionH>
                <wp:positionV relativeFrom="paragraph">
                  <wp:posOffset>174625</wp:posOffset>
                </wp:positionV>
                <wp:extent cx="958850" cy="0"/>
                <wp:effectExtent l="0" t="0" r="0" b="0"/>
                <wp:wrapNone/>
                <wp:docPr id="18"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205.15pt;margin-top:13.75pt;height:0pt;width:75.5pt;z-index:251659264;mso-width-relative:page;mso-height-relative:page;" filled="f" stroked="t" coordsize="21600,21600" o:gfxdata="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HTDHS1gAAAAkBAAAPAAAAAAAAAAEAIAAAACIAAABkcnMvZG93bnJldi54bWxQSwECFAAU&#10;AAAACACHTuJAY0rf2vMBAADkAwAADgAAAAAAAAABACAAAAAlAQAAZHJzL2Uyb0RvYy54bWxQSwUG&#10;AAAAAAYABgBZAQAAigUAAAAA&#10;">
                <v:fill on="f" focussize="0,0"/>
                <v:stroke color="#000000" joinstyle="round"/>
                <v:imagedata o:title=""/>
                <o:lock v:ext="edit" aspectratio="f"/>
              </v:shape>
            </w:pict>
          </mc:Fallback>
        </mc:AlternateContent>
      </w:r>
      <w:r>
        <w:rPr>
          <w:rFonts w:hint="eastAsia"/>
        </w:rPr>
        <w:t>第</w:t>
      </w:r>
      <w:r>
        <w:rPr>
          <w:rFonts w:hint="eastAsia"/>
          <w:lang w:val="en-US" w:eastAsia="zh-CN"/>
        </w:rPr>
        <w:t>六</w:t>
      </w:r>
      <w:r>
        <w:rPr>
          <w:rFonts w:hint="eastAsia"/>
        </w:rPr>
        <w:t>章</w:t>
      </w:r>
    </w:p>
    <w:p>
      <w:pPr>
        <w:pStyle w:val="45"/>
      </w:pPr>
    </w:p>
    <w:p>
      <w:pPr>
        <w:pStyle w:val="5"/>
        <w:rPr>
          <w:rFonts w:hint="eastAsia" w:eastAsia="方正小标宋简体"/>
          <w:lang w:val="en-US" w:eastAsia="zh-CN"/>
        </w:rPr>
      </w:pPr>
      <w:r>
        <w:rPr>
          <w:rFonts w:hint="eastAsia"/>
          <w:lang w:val="en-US" w:eastAsia="zh-CN"/>
        </w:rPr>
        <w:t>合同</w:t>
      </w: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pPr>
        <w:pStyle w:val="25"/>
        <w:ind w:left="0" w:leftChars="0" w:firstLine="0" w:firstLineChars="0"/>
      </w:pPr>
    </w:p>
    <w:p>
      <w:r>
        <w:br w:type="page"/>
      </w:r>
    </w:p>
    <w:bookmarkEnd w:id="51"/>
    <w:bookmarkEnd w:id="52"/>
    <w:bookmarkEnd w:id="53"/>
    <w:bookmarkEnd w:id="54"/>
    <w:bookmarkEnd w:id="55"/>
    <w:bookmarkEnd w:id="56"/>
    <w:bookmarkEnd w:id="57"/>
    <w:bookmarkEnd w:id="58"/>
    <w:bookmarkEnd w:id="59"/>
    <w:bookmarkEnd w:id="60"/>
    <w:bookmarkEnd w:id="61"/>
    <w:p>
      <w:pPr>
        <w:pStyle w:val="25"/>
        <w:ind w:firstLine="0"/>
        <w:rPr>
          <w:rFonts w:hint="eastAsia" w:ascii="宋体" w:hAnsi="宋体" w:eastAsia="宋体" w:cs="宋体"/>
          <w:b/>
          <w:bCs/>
        </w:rPr>
      </w:pPr>
    </w:p>
    <w:p>
      <w:pPr>
        <w:spacing w:line="400" w:lineRule="atLeast"/>
        <w:jc w:val="center"/>
        <w:rPr>
          <w:rFonts w:hint="eastAsia" w:ascii="宋体" w:hAnsi="宋体" w:eastAsia="宋体" w:cs="宋体"/>
          <w:b/>
          <w:bCs/>
          <w:sz w:val="48"/>
          <w:szCs w:val="48"/>
        </w:rPr>
      </w:pPr>
      <w:r>
        <w:rPr>
          <w:rFonts w:hint="eastAsia" w:ascii="宋体" w:hAnsi="宋体" w:eastAsia="宋体" w:cs="宋体"/>
          <w:b/>
          <w:bCs/>
          <w:sz w:val="48"/>
          <w:szCs w:val="48"/>
        </w:rPr>
        <w:t>广州市净水有限公司</w:t>
      </w:r>
    </w:p>
    <w:p>
      <w:pPr>
        <w:spacing w:line="400" w:lineRule="atLeast"/>
        <w:jc w:val="center"/>
        <w:rPr>
          <w:rFonts w:hint="eastAsia" w:ascii="宋体" w:hAnsi="宋体" w:eastAsia="宋体" w:cs="宋体"/>
          <w:b/>
          <w:bCs/>
          <w:sz w:val="52"/>
          <w:szCs w:val="52"/>
        </w:rPr>
      </w:pPr>
      <w:r>
        <w:rPr>
          <w:rFonts w:hint="eastAsia" w:ascii="宋体" w:hAnsi="宋体" w:eastAsia="宋体" w:cs="宋体"/>
          <w:b/>
          <w:bCs/>
          <w:sz w:val="48"/>
          <w:szCs w:val="48"/>
        </w:rPr>
        <w:t>设备维修维护/技改项目合同</w:t>
      </w:r>
    </w:p>
    <w:p>
      <w:pPr>
        <w:spacing w:line="400" w:lineRule="atLeast"/>
        <w:jc w:val="center"/>
        <w:rPr>
          <w:rFonts w:ascii="宋体" w:hAnsi="宋体"/>
          <w:b/>
          <w:sz w:val="28"/>
        </w:rPr>
      </w:pPr>
    </w:p>
    <w:p>
      <w:pPr>
        <w:spacing w:line="0" w:lineRule="atLeast"/>
        <w:rPr>
          <w:rFonts w:hint="eastAsia" w:ascii="宋体" w:hAnsi="宋体" w:eastAsia="宋体" w:cs="宋体"/>
          <w:b/>
          <w:sz w:val="28"/>
          <w:szCs w:val="28"/>
        </w:rPr>
      </w:pPr>
    </w:p>
    <w:p>
      <w:pPr>
        <w:spacing w:line="0" w:lineRule="atLeast"/>
        <w:ind w:left="1506" w:hanging="1405" w:hangingChars="500"/>
        <w:rPr>
          <w:rFonts w:hint="eastAsia" w:ascii="宋体" w:hAnsi="宋体" w:eastAsia="宋体" w:cs="宋体"/>
          <w:b/>
          <w:sz w:val="28"/>
          <w:szCs w:val="28"/>
        </w:rPr>
      </w:pPr>
      <w:r>
        <w:rPr>
          <w:rFonts w:hint="eastAsia" w:ascii="宋体" w:hAnsi="宋体" w:eastAsia="宋体" w:cs="宋体"/>
          <w:b/>
          <w:sz w:val="28"/>
          <w:szCs w:val="28"/>
        </w:rPr>
        <w:t>项目名称:</w:t>
      </w:r>
    </w:p>
    <w:p>
      <w:pPr>
        <w:widowControl/>
        <w:jc w:val="left"/>
        <w:rPr>
          <w:rFonts w:hint="eastAsia" w:ascii="宋体" w:hAnsi="宋体" w:eastAsia="宋体" w:cs="宋体"/>
          <w:sz w:val="28"/>
          <w:szCs w:val="28"/>
        </w:rPr>
      </w:pPr>
      <w:r>
        <w:rPr>
          <w:rFonts w:hint="eastAsia" w:ascii="宋体" w:hAnsi="宋体" w:eastAsia="宋体" w:cs="宋体"/>
          <w:b/>
          <w:sz w:val="28"/>
          <w:szCs w:val="28"/>
        </w:rPr>
        <w:t>项目编号：</w:t>
      </w:r>
    </w:p>
    <w:p>
      <w:pPr>
        <w:spacing w:line="400" w:lineRule="atLeast"/>
        <w:rPr>
          <w:rFonts w:hint="eastAsia" w:ascii="宋体" w:hAnsi="宋体" w:eastAsia="宋体" w:cs="宋体"/>
          <w:b/>
          <w:sz w:val="28"/>
          <w:szCs w:val="28"/>
        </w:rPr>
      </w:pPr>
    </w:p>
    <w:p>
      <w:pPr>
        <w:spacing w:line="480" w:lineRule="auto"/>
        <w:rPr>
          <w:rFonts w:hint="eastAsia" w:ascii="宋体" w:hAnsi="宋体" w:eastAsia="宋体" w:cs="宋体"/>
          <w:b/>
          <w:bCs/>
          <w:sz w:val="28"/>
          <w:szCs w:val="28"/>
        </w:rPr>
      </w:pPr>
      <w:r>
        <w:rPr>
          <w:rFonts w:hint="eastAsia" w:ascii="宋体" w:hAnsi="宋体" w:eastAsia="宋体" w:cs="宋体"/>
          <w:b/>
          <w:sz w:val="28"/>
          <w:szCs w:val="28"/>
        </w:rPr>
        <w:t>合同编号：</w:t>
      </w:r>
      <w:r>
        <w:rPr>
          <w:rFonts w:hint="eastAsia" w:ascii="宋体" w:hAnsi="宋体" w:eastAsia="宋体" w:cs="宋体"/>
          <w:b/>
          <w:bCs/>
          <w:sz w:val="28"/>
          <w:szCs w:val="28"/>
        </w:rPr>
        <w:t>穗净水合[     ]    号</w:t>
      </w:r>
    </w:p>
    <w:p>
      <w:pPr>
        <w:spacing w:line="400" w:lineRule="atLeast"/>
        <w:rPr>
          <w:rFonts w:hint="eastAsia" w:ascii="宋体" w:hAnsi="宋体" w:eastAsia="宋体" w:cs="宋体"/>
          <w:b/>
          <w:sz w:val="28"/>
          <w:szCs w:val="28"/>
        </w:rPr>
      </w:pPr>
    </w:p>
    <w:p>
      <w:pPr>
        <w:spacing w:line="400" w:lineRule="atLeast"/>
        <w:rPr>
          <w:rFonts w:hint="eastAsia" w:ascii="宋体" w:hAnsi="宋体" w:eastAsia="宋体" w:cs="宋体"/>
          <w:b/>
          <w:sz w:val="28"/>
          <w:szCs w:val="28"/>
        </w:rPr>
      </w:pPr>
      <w:r>
        <w:rPr>
          <w:rFonts w:hint="eastAsia" w:ascii="宋体" w:hAnsi="宋体" w:eastAsia="宋体" w:cs="宋体"/>
          <w:b/>
          <w:sz w:val="28"/>
          <w:szCs w:val="28"/>
        </w:rPr>
        <w:t>甲方： 广州市净水有限公司</w:t>
      </w:r>
    </w:p>
    <w:p>
      <w:pPr>
        <w:spacing w:line="400" w:lineRule="atLeast"/>
        <w:rPr>
          <w:rFonts w:hint="eastAsia" w:ascii="宋体" w:hAnsi="宋体" w:eastAsia="宋体" w:cs="宋体"/>
          <w:b/>
          <w:sz w:val="28"/>
          <w:szCs w:val="28"/>
        </w:rPr>
      </w:pPr>
    </w:p>
    <w:p>
      <w:pPr>
        <w:spacing w:line="400" w:lineRule="atLeast"/>
        <w:rPr>
          <w:rFonts w:hint="eastAsia" w:ascii="宋体" w:hAnsi="宋体" w:eastAsia="宋体" w:cs="宋体"/>
          <w:b/>
          <w:sz w:val="28"/>
          <w:szCs w:val="28"/>
        </w:rPr>
      </w:pPr>
      <w:r>
        <w:rPr>
          <w:rFonts w:hint="eastAsia" w:ascii="宋体" w:hAnsi="宋体" w:eastAsia="宋体" w:cs="宋体"/>
          <w:b/>
          <w:sz w:val="28"/>
          <w:szCs w:val="28"/>
        </w:rPr>
        <w:t>乙方</w:t>
      </w:r>
      <w:r>
        <w:rPr>
          <w:rFonts w:hint="eastAsia" w:ascii="宋体" w:hAnsi="宋体" w:eastAsia="宋体" w:cs="宋体"/>
          <w:sz w:val="28"/>
          <w:szCs w:val="28"/>
        </w:rPr>
        <w:t>：</w:t>
      </w:r>
    </w:p>
    <w:p>
      <w:pPr>
        <w:spacing w:line="400" w:lineRule="atLeast"/>
        <w:rPr>
          <w:rFonts w:hint="eastAsia" w:ascii="宋体" w:hAnsi="宋体" w:eastAsia="宋体" w:cs="宋体"/>
          <w:b/>
          <w:sz w:val="28"/>
          <w:szCs w:val="28"/>
        </w:rPr>
      </w:pPr>
    </w:p>
    <w:p>
      <w:pPr>
        <w:pStyle w:val="2"/>
        <w:rPr>
          <w:rFonts w:hint="eastAsia" w:ascii="宋体" w:hAnsi="宋体" w:eastAsia="宋体" w:cs="宋体"/>
          <w:b/>
          <w:sz w:val="28"/>
          <w:szCs w:val="28"/>
        </w:rPr>
      </w:pPr>
    </w:p>
    <w:p>
      <w:pPr>
        <w:pStyle w:val="3"/>
        <w:numPr>
          <w:ilvl w:val="-1"/>
          <w:numId w:val="0"/>
        </w:numPr>
        <w:ind w:left="0" w:firstLine="0"/>
        <w:rPr>
          <w:rFonts w:hint="eastAsia"/>
        </w:rPr>
      </w:pPr>
    </w:p>
    <w:p>
      <w:pPr>
        <w:rPr>
          <w:rFonts w:hint="eastAsia"/>
        </w:rPr>
      </w:pPr>
    </w:p>
    <w:p>
      <w:pPr>
        <w:spacing w:line="400" w:lineRule="atLeast"/>
        <w:rPr>
          <w:rFonts w:hint="eastAsia" w:ascii="宋体" w:hAnsi="宋体" w:eastAsia="宋体" w:cs="宋体"/>
          <w:b/>
          <w:sz w:val="28"/>
          <w:szCs w:val="28"/>
        </w:rPr>
      </w:pPr>
      <w:r>
        <w:rPr>
          <w:rFonts w:hint="eastAsia" w:ascii="宋体" w:hAnsi="宋体" w:eastAsia="宋体" w:cs="宋体"/>
          <w:b/>
          <w:sz w:val="28"/>
          <w:szCs w:val="28"/>
        </w:rPr>
        <w:t xml:space="preserve">签订日期：       年   月   日       </w:t>
      </w:r>
    </w:p>
    <w:p>
      <w:pPr>
        <w:spacing w:before="0" w:beforeLines="-2147483648" w:line="400" w:lineRule="atLeast"/>
        <w:ind w:left="0" w:leftChars="0" w:firstLine="0" w:firstLineChars="0"/>
        <w:rPr>
          <w:rFonts w:hint="eastAsia" w:ascii="宋体" w:hAnsi="宋体" w:eastAsia="宋体" w:cs="宋体"/>
          <w:b/>
          <w:sz w:val="28"/>
          <w:szCs w:val="28"/>
          <w:lang w:eastAsia="zh-CN"/>
        </w:rPr>
      </w:pPr>
      <w:r>
        <w:rPr>
          <w:rFonts w:hint="eastAsia" w:ascii="宋体" w:hAnsi="宋体" w:eastAsia="宋体" w:cs="宋体"/>
          <w:b/>
          <w:sz w:val="28"/>
          <w:szCs w:val="28"/>
        </w:rPr>
        <w:t>签约地点：广州市</w:t>
      </w:r>
    </w:p>
    <w:p>
      <w:pPr>
        <w:pStyle w:val="2"/>
        <w:rPr>
          <w:rFonts w:hint="eastAsia"/>
        </w:rPr>
      </w:pPr>
    </w:p>
    <w:p>
      <w:pPr>
        <w:pStyle w:val="3"/>
        <w:numPr>
          <w:ilvl w:val="-1"/>
          <w:numId w:val="0"/>
        </w:numPr>
        <w:ind w:left="0" w:firstLine="0"/>
        <w:rPr>
          <w:rFonts w:hint="eastAsia"/>
        </w:rPr>
      </w:pPr>
    </w:p>
    <w:p>
      <w:pPr>
        <w:rPr>
          <w:rFonts w:hint="eastAsia"/>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根据《中华人民共和国民法典》及其他有关法律、行政法规，广州市净水有限公司 （以下简称“甲方”）与 …（以下简称“乙方”）就 项目承接工作事宜，遵循平等、自愿、公平和诚实信用的原则，双方协商一致，订立本合同。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第一条 组成合同的文件及优先顺序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下列文件（如有）均为本合同的组成部分，可视为能相互说明和补充的，如果合同文件存在歧义或相矛盾的地方，则根据以下次序判断：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⑴ 在本合同实施过程双方签署的补充与修正文件；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⑵ 本合同书；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⑶ 中标通知书/发包通知书/成交通知书/委托函；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⑷ 招标文件/询价文件；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⑸ 投标文件/响应文件；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⑹ 标准、规范及有关技术性文件；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⑺ 图纸；</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⑻ 工程量清单/工程报价单或预算书；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⑼ 本合同其他附件；</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第二条 项目概况、项目承包范围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2.1项目名称：竹料分公司2022年中控室升级改造项目。</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2.2项目地点：广州市白云区钟落潭镇竹二路兰桂街100号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2.3项目内容：</w:t>
      </w:r>
      <w:r>
        <w:rPr>
          <w:rFonts w:hint="eastAsia" w:ascii="宋体" w:hAnsi="宋体" w:eastAsia="宋体" w:cs="宋体"/>
          <w:sz w:val="24"/>
          <w:lang w:val="en-US" w:eastAsia="zh-CN"/>
        </w:rPr>
        <w:t>对</w:t>
      </w:r>
      <w:r>
        <w:rPr>
          <w:rFonts w:hint="eastAsia" w:ascii="宋体" w:hAnsi="宋体" w:eastAsia="宋体" w:cs="宋体"/>
          <w:sz w:val="24"/>
        </w:rPr>
        <w:t>中控室</w:t>
      </w:r>
      <w:r>
        <w:rPr>
          <w:rFonts w:hint="eastAsia" w:ascii="宋体" w:hAnsi="宋体" w:eastAsia="宋体" w:cs="宋体"/>
          <w:sz w:val="24"/>
          <w:lang w:val="en-US" w:eastAsia="zh-CN"/>
        </w:rPr>
        <w:t>进行</w:t>
      </w:r>
      <w:r>
        <w:rPr>
          <w:rFonts w:hint="eastAsia" w:ascii="宋体" w:hAnsi="宋体" w:eastAsia="宋体" w:cs="宋体"/>
          <w:sz w:val="24"/>
        </w:rPr>
        <w:t>升级改造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2.4项目承包范围：包括提供所有需要的材料、机械、人工、设施、完成合同约定的工作和服务。按照甲方审核同意的方案、图纸所包括的实施范围和内容进行施工并在质量保修期内承担项目质量保修责任。（如需可附表）</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3"/>
        <w:gridCol w:w="3454"/>
        <w:gridCol w:w="3520"/>
        <w:gridCol w:w="1296"/>
        <w:gridCol w:w="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6" w:hRule="exact"/>
          <w:jc w:val="center"/>
        </w:trPr>
        <w:tc>
          <w:tcPr>
            <w:tcW w:w="368" w:type="pct"/>
            <w:tcBorders>
              <w:right w:val="single" w:color="auto" w:sz="4" w:space="0"/>
            </w:tcBorders>
            <w:vAlign w:val="center"/>
          </w:tcPr>
          <w:p>
            <w:pPr>
              <w:spacing w:line="384"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733" w:type="pct"/>
            <w:tcBorders>
              <w:left w:val="single" w:color="auto" w:sz="4" w:space="0"/>
              <w:right w:val="single" w:color="auto" w:sz="4" w:space="0"/>
            </w:tcBorders>
            <w:vAlign w:val="center"/>
          </w:tcPr>
          <w:p>
            <w:pPr>
              <w:spacing w:line="384"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766" w:type="pct"/>
            <w:tcBorders>
              <w:left w:val="single" w:color="auto" w:sz="4" w:space="0"/>
            </w:tcBorders>
            <w:vAlign w:val="center"/>
          </w:tcPr>
          <w:p>
            <w:pPr>
              <w:widowControl/>
              <w:spacing w:line="384" w:lineRule="auto"/>
              <w:jc w:val="center"/>
              <w:rPr>
                <w:rFonts w:hint="eastAsia" w:ascii="宋体" w:hAnsi="宋体" w:eastAsia="宋体" w:cs="宋体"/>
                <w:sz w:val="24"/>
                <w:szCs w:val="24"/>
              </w:rPr>
            </w:pPr>
            <w:r>
              <w:rPr>
                <w:rFonts w:hint="eastAsia" w:ascii="宋体" w:hAnsi="宋体" w:eastAsia="宋体" w:cs="宋体"/>
                <w:sz w:val="24"/>
                <w:szCs w:val="24"/>
              </w:rPr>
              <w:t>参数要求</w:t>
            </w:r>
          </w:p>
        </w:tc>
        <w:tc>
          <w:tcPr>
            <w:tcW w:w="650" w:type="pct"/>
            <w:tcBorders>
              <w:right w:val="single" w:color="auto" w:sz="4" w:space="0"/>
            </w:tcBorders>
            <w:vAlign w:val="center"/>
          </w:tcPr>
          <w:p>
            <w:pPr>
              <w:spacing w:line="384"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479" w:type="pct"/>
            <w:tcBorders>
              <w:left w:val="single" w:color="auto" w:sz="4" w:space="0"/>
            </w:tcBorders>
            <w:vAlign w:val="center"/>
          </w:tcPr>
          <w:p>
            <w:pPr>
              <w:spacing w:line="384"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exact"/>
          <w:jc w:val="center"/>
        </w:trPr>
        <w:tc>
          <w:tcPr>
            <w:tcW w:w="368" w:type="pct"/>
            <w:tcBorders>
              <w:right w:val="single" w:color="auto" w:sz="4" w:space="0"/>
            </w:tcBorders>
            <w:vAlign w:val="center"/>
          </w:tcPr>
          <w:p>
            <w:pPr>
              <w:spacing w:line="384" w:lineRule="auto"/>
              <w:jc w:val="center"/>
              <w:rPr>
                <w:rFonts w:hint="eastAsia" w:ascii="宋体" w:hAnsi="宋体" w:eastAsia="宋体" w:cs="宋体"/>
                <w:bCs/>
                <w:sz w:val="24"/>
                <w:szCs w:val="24"/>
              </w:rPr>
            </w:pPr>
          </w:p>
        </w:tc>
        <w:tc>
          <w:tcPr>
            <w:tcW w:w="1733" w:type="pct"/>
            <w:tcBorders>
              <w:left w:val="single" w:color="auto" w:sz="4" w:space="0"/>
              <w:right w:val="single" w:color="auto" w:sz="4" w:space="0"/>
            </w:tcBorders>
            <w:vAlign w:val="center"/>
          </w:tcPr>
          <w:p>
            <w:pPr>
              <w:spacing w:line="384" w:lineRule="auto"/>
              <w:jc w:val="center"/>
              <w:rPr>
                <w:rFonts w:hint="eastAsia" w:ascii="宋体" w:hAnsi="宋体" w:eastAsia="宋体" w:cs="宋体"/>
                <w:bCs/>
                <w:sz w:val="24"/>
                <w:szCs w:val="24"/>
              </w:rPr>
            </w:pPr>
          </w:p>
        </w:tc>
        <w:tc>
          <w:tcPr>
            <w:tcW w:w="1766" w:type="pct"/>
            <w:tcBorders>
              <w:left w:val="single" w:color="auto" w:sz="4" w:space="0"/>
            </w:tcBorders>
            <w:vAlign w:val="center"/>
          </w:tcPr>
          <w:p>
            <w:pPr>
              <w:spacing w:line="384" w:lineRule="auto"/>
              <w:jc w:val="center"/>
              <w:rPr>
                <w:rFonts w:hint="eastAsia" w:ascii="宋体" w:hAnsi="宋体" w:eastAsia="宋体" w:cs="宋体"/>
                <w:bCs/>
                <w:sz w:val="24"/>
                <w:szCs w:val="24"/>
              </w:rPr>
            </w:pPr>
          </w:p>
        </w:tc>
        <w:tc>
          <w:tcPr>
            <w:tcW w:w="650" w:type="pct"/>
            <w:tcBorders>
              <w:right w:val="single" w:color="auto" w:sz="4" w:space="0"/>
            </w:tcBorders>
            <w:vAlign w:val="center"/>
          </w:tcPr>
          <w:p>
            <w:pPr>
              <w:spacing w:line="384" w:lineRule="auto"/>
              <w:jc w:val="center"/>
              <w:rPr>
                <w:rFonts w:hint="eastAsia" w:ascii="宋体" w:hAnsi="宋体" w:eastAsia="宋体" w:cs="宋体"/>
                <w:bCs/>
                <w:sz w:val="24"/>
                <w:szCs w:val="24"/>
              </w:rPr>
            </w:pPr>
          </w:p>
        </w:tc>
        <w:tc>
          <w:tcPr>
            <w:tcW w:w="479" w:type="pct"/>
            <w:tcBorders>
              <w:left w:val="single" w:color="auto" w:sz="4" w:space="0"/>
            </w:tcBorders>
            <w:vAlign w:val="center"/>
          </w:tcPr>
          <w:p>
            <w:pPr>
              <w:spacing w:line="384" w:lineRule="auto"/>
              <w:jc w:val="center"/>
              <w:rPr>
                <w:rFonts w:hint="eastAsia" w:ascii="宋体" w:hAnsi="宋体" w:eastAsia="宋体" w:cs="宋体"/>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exact"/>
          <w:jc w:val="center"/>
        </w:trPr>
        <w:tc>
          <w:tcPr>
            <w:tcW w:w="368" w:type="pct"/>
            <w:tcBorders>
              <w:right w:val="single" w:color="auto" w:sz="4" w:space="0"/>
            </w:tcBorders>
            <w:vAlign w:val="center"/>
          </w:tcPr>
          <w:p>
            <w:pPr>
              <w:spacing w:line="384" w:lineRule="auto"/>
              <w:jc w:val="center"/>
              <w:rPr>
                <w:rFonts w:hint="eastAsia" w:ascii="宋体" w:hAnsi="宋体" w:eastAsia="宋体" w:cs="宋体"/>
                <w:bCs/>
                <w:sz w:val="24"/>
                <w:szCs w:val="24"/>
              </w:rPr>
            </w:pPr>
          </w:p>
        </w:tc>
        <w:tc>
          <w:tcPr>
            <w:tcW w:w="1733" w:type="pct"/>
            <w:tcBorders>
              <w:left w:val="single" w:color="auto" w:sz="4" w:space="0"/>
              <w:right w:val="single" w:color="auto" w:sz="4" w:space="0"/>
            </w:tcBorders>
            <w:vAlign w:val="center"/>
          </w:tcPr>
          <w:p>
            <w:pPr>
              <w:spacing w:line="384" w:lineRule="auto"/>
              <w:jc w:val="center"/>
              <w:rPr>
                <w:rFonts w:hint="eastAsia" w:ascii="宋体" w:hAnsi="宋体" w:eastAsia="宋体" w:cs="宋体"/>
                <w:bCs/>
                <w:sz w:val="24"/>
                <w:szCs w:val="24"/>
              </w:rPr>
            </w:pPr>
          </w:p>
        </w:tc>
        <w:tc>
          <w:tcPr>
            <w:tcW w:w="1766" w:type="pct"/>
            <w:tcBorders>
              <w:left w:val="single" w:color="auto" w:sz="4" w:space="0"/>
            </w:tcBorders>
            <w:vAlign w:val="center"/>
          </w:tcPr>
          <w:p>
            <w:pPr>
              <w:spacing w:line="384" w:lineRule="auto"/>
              <w:jc w:val="center"/>
              <w:rPr>
                <w:rFonts w:hint="eastAsia" w:ascii="宋体" w:hAnsi="宋体" w:eastAsia="宋体" w:cs="宋体"/>
                <w:bCs/>
                <w:sz w:val="24"/>
                <w:szCs w:val="24"/>
              </w:rPr>
            </w:pPr>
          </w:p>
        </w:tc>
        <w:tc>
          <w:tcPr>
            <w:tcW w:w="650" w:type="pct"/>
            <w:tcBorders>
              <w:right w:val="single" w:color="auto" w:sz="4" w:space="0"/>
            </w:tcBorders>
            <w:vAlign w:val="center"/>
          </w:tcPr>
          <w:p>
            <w:pPr>
              <w:spacing w:line="384" w:lineRule="auto"/>
              <w:jc w:val="center"/>
              <w:rPr>
                <w:rFonts w:hint="eastAsia" w:ascii="宋体" w:hAnsi="宋体" w:eastAsia="宋体" w:cs="宋体"/>
                <w:bCs/>
                <w:sz w:val="24"/>
                <w:szCs w:val="24"/>
              </w:rPr>
            </w:pPr>
          </w:p>
        </w:tc>
        <w:tc>
          <w:tcPr>
            <w:tcW w:w="479" w:type="pct"/>
            <w:tcBorders>
              <w:left w:val="single" w:color="auto" w:sz="4" w:space="0"/>
            </w:tcBorders>
            <w:vAlign w:val="center"/>
          </w:tcPr>
          <w:p>
            <w:pPr>
              <w:spacing w:line="384" w:lineRule="auto"/>
              <w:jc w:val="center"/>
              <w:rPr>
                <w:rFonts w:hint="eastAsia" w:ascii="宋体" w:hAnsi="宋体" w:eastAsia="宋体" w:cs="宋体"/>
                <w:bCs/>
                <w:sz w:val="24"/>
                <w:szCs w:val="24"/>
              </w:rPr>
            </w:pPr>
          </w:p>
        </w:tc>
      </w:tr>
    </w:tbl>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第三条 项目承包方式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☑包工、包料、包工期、包质量、包安全、包文明施工。综合单价包干、项目措施费包干。（单价包干要求附工程量报价/工程预算书）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□包工、包料、包质量、包工期、包安全、包文明施工、包设计、包调试、包验收的施工图纸，以总价包干形式。</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第四条</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合同价款</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4.1合同价款按以下</w:t>
      </w:r>
      <w:r>
        <w:rPr>
          <w:rFonts w:hint="eastAsia" w:ascii="宋体" w:hAnsi="宋体" w:eastAsia="宋体" w:cs="宋体"/>
          <w:sz w:val="24"/>
          <w:u w:val="single"/>
        </w:rPr>
        <w:t>（1）</w:t>
      </w:r>
      <w:r>
        <w:rPr>
          <w:rFonts w:hint="eastAsia" w:ascii="宋体" w:hAnsi="宋体" w:eastAsia="宋体" w:cs="宋体"/>
          <w:sz w:val="24"/>
        </w:rPr>
        <w:t>执行。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（1）合同暂定总价为：</w:t>
      </w:r>
      <w:r>
        <w:rPr>
          <w:rFonts w:hint="eastAsia" w:ascii="宋体" w:hAnsi="宋体" w:eastAsia="宋体" w:cs="宋体"/>
          <w:sz w:val="24"/>
          <w:u w:val="single"/>
        </w:rPr>
        <w:t>人民币…元（大写:）</w:t>
      </w:r>
      <w:r>
        <w:rPr>
          <w:rFonts w:hint="eastAsia" w:ascii="宋体" w:hAnsi="宋体" w:eastAsia="宋体" w:cs="宋体"/>
          <w:sz w:val="24"/>
        </w:rPr>
        <w:t>。经甲方或甲方委托有资质第三方机构审核后，审核价作为合同结算价。若合同结算价超合同暂定总价，双方另行签订补充协议。</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综合单价为：</w:t>
      </w:r>
      <w:r>
        <w:rPr>
          <w:rFonts w:hint="eastAsia" w:ascii="宋体" w:hAnsi="宋体" w:eastAsia="宋体" w:cs="宋体"/>
          <w:sz w:val="24"/>
          <w:u w:val="single"/>
        </w:rPr>
        <w:t>人民币…元/m3(大写：…)。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合同单价在合同有效期内为不变价。乙方已经充分考虑本合同履行期间的市场风险和国家政策性调整风险系数并已计入报价，因此合同单价在合同有效期内不因任何因素而作调整。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（2）合同以总价包干形式，合同暂定总价为：</w:t>
      </w:r>
      <w:r>
        <w:rPr>
          <w:rFonts w:hint="eastAsia" w:ascii="宋体" w:hAnsi="宋体" w:eastAsia="宋体" w:cs="宋体"/>
          <w:sz w:val="24"/>
          <w:u w:val="single"/>
        </w:rPr>
        <w:t>人民币…元（大写:…）</w:t>
      </w:r>
      <w:r>
        <w:rPr>
          <w:rFonts w:hint="eastAsia" w:ascii="宋体" w:hAnsi="宋体" w:eastAsia="宋体" w:cs="宋体"/>
          <w:sz w:val="24"/>
        </w:rPr>
        <w:t>。经甲方或甲方委托有资质第三方机构审核后，若结算审核价比合同暂定总价低，则以结算审核价作为合同结算价，否则以合同暂定总价为合同结算价。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lang w:val="zh-CN"/>
        </w:rPr>
        <w:t>4.2</w:t>
      </w:r>
      <w:r>
        <w:rPr>
          <w:rFonts w:hint="eastAsia" w:ascii="宋体" w:hAnsi="宋体" w:eastAsia="宋体" w:cs="宋体"/>
          <w:sz w:val="24"/>
        </w:rPr>
        <w:t>本合同约定的价格为含税价价格（税率</w:t>
      </w:r>
      <w:r>
        <w:rPr>
          <w:rFonts w:hint="eastAsia" w:ascii="宋体" w:hAnsi="宋体" w:eastAsia="宋体" w:cs="宋体"/>
          <w:sz w:val="24"/>
          <w:u w:val="single"/>
        </w:rPr>
        <w:t>9%</w:t>
      </w:r>
      <w:r>
        <w:rPr>
          <w:rFonts w:hint="eastAsia" w:ascii="宋体" w:hAnsi="宋体" w:eastAsia="宋体" w:cs="宋体"/>
          <w:sz w:val="24"/>
        </w:rPr>
        <w:t>），合同履行期间国家税率调整或乙方开票的实际税率与前述税率不一致的，不含税价不变，价税合计按实际税率相应调整，以开具发票时间为准。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4.3</w:t>
      </w:r>
      <w:r>
        <w:rPr>
          <w:rFonts w:hint="eastAsia" w:ascii="宋体" w:hAnsi="宋体" w:eastAsia="宋体" w:cs="宋体"/>
          <w:sz w:val="24"/>
          <w:lang w:val="zh-CN"/>
        </w:rPr>
        <w:t>因非乙方原因引起工程量报价清单中工程量发生增减，且单个子目工程量变化幅度在25%以内（含）时，按工程量报价清单中列明的子目单价结算。否则，按新增单价执行。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4.4合同中没有适用于变更工程项目的单价的，按新增单价执行。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新增单价计价原则：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2.项目计价材料、设备价格的控制：按以下顺序作为降序优先级依次采用工程开工报告中开工日期当月的下列价格：</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（1）《广州地区建设工程常用材料税前综合价格》（下称综合价格）。</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（2）《广州地区建设工程材料（设备）厂商价格信息》（下称厂商价格）下浮10-20%。</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（3）综合价格、厂商价格中缺项的，采用由北京瑞恒达建筑咨询有限公司提供服务的“慧讯网”中查到的相应材料、设备价格的工程价。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（4）通过市场询价双方协商确定。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3.按1、2组价后下浮5%计取。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第五条</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工期及要求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5.1开工日期暂定为：</w:t>
      </w:r>
      <w:r>
        <w:rPr>
          <w:rFonts w:hint="eastAsia" w:ascii="宋体" w:hAnsi="宋体" w:eastAsia="宋体" w:cs="宋体"/>
          <w:sz w:val="24"/>
          <w:u w:val="single"/>
        </w:rPr>
        <w:t>…年…月…日</w:t>
      </w:r>
      <w:r>
        <w:rPr>
          <w:rFonts w:hint="eastAsia" w:ascii="宋体" w:hAnsi="宋体" w:eastAsia="宋体" w:cs="宋体"/>
          <w:sz w:val="24"/>
        </w:rPr>
        <w:t>，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总日历天数</w:t>
      </w:r>
      <w:r>
        <w:rPr>
          <w:rFonts w:hint="eastAsia" w:ascii="宋体" w:hAnsi="宋体" w:eastAsia="宋体" w:cs="宋体"/>
          <w:sz w:val="24"/>
          <w:lang w:val="en-US" w:eastAsia="zh-CN"/>
        </w:rPr>
        <w:t>90</w:t>
      </w:r>
      <w:r>
        <w:rPr>
          <w:rFonts w:hint="eastAsia" w:ascii="宋体" w:hAnsi="宋体" w:eastAsia="宋体" w:cs="宋体"/>
          <w:sz w:val="24"/>
        </w:rPr>
        <w:t>天。乙方未能按合同工期竣工验收的，每逾期一天，甲方有权要求乙方按</w:t>
      </w:r>
      <w:r>
        <w:rPr>
          <w:rFonts w:hint="eastAsia" w:ascii="宋体" w:hAnsi="宋体" w:eastAsia="宋体" w:cs="宋体"/>
          <w:sz w:val="24"/>
          <w:u w:val="single"/>
        </w:rPr>
        <w:t>合同暂定总价的1%</w:t>
      </w:r>
      <w:r>
        <w:rPr>
          <w:rFonts w:hint="eastAsia" w:ascii="宋体" w:hAnsi="宋体" w:eastAsia="宋体" w:cs="宋体"/>
          <w:sz w:val="24"/>
          <w:u w:val="none"/>
        </w:rPr>
        <w:t>支付违约金</w:t>
      </w:r>
      <w:r>
        <w:rPr>
          <w:rFonts w:hint="eastAsia" w:ascii="宋体" w:hAnsi="宋体" w:eastAsia="宋体" w:cs="宋体"/>
          <w:sz w:val="24"/>
        </w:rPr>
        <w:t>，逾期达到</w:t>
      </w:r>
      <w:r>
        <w:rPr>
          <w:rFonts w:hint="eastAsia" w:ascii="宋体" w:hAnsi="宋体" w:eastAsia="宋体" w:cs="宋体"/>
          <w:sz w:val="24"/>
          <w:lang w:eastAsia="zh-CN"/>
        </w:rPr>
        <w:t>3</w:t>
      </w:r>
      <w:r>
        <w:rPr>
          <w:rFonts w:hint="eastAsia" w:ascii="宋体" w:hAnsi="宋体" w:eastAsia="宋体" w:cs="宋体"/>
          <w:sz w:val="24"/>
          <w:lang w:val="en-US" w:eastAsia="zh-CN"/>
        </w:rPr>
        <w:t>0</w:t>
      </w:r>
      <w:r>
        <w:rPr>
          <w:rFonts w:hint="eastAsia" w:ascii="宋体" w:hAnsi="宋体" w:eastAsia="宋体" w:cs="宋体"/>
          <w:sz w:val="24"/>
        </w:rPr>
        <w:t>天及以上的，甲方有权解除合同并要求乙方支付</w:t>
      </w:r>
      <w:r>
        <w:rPr>
          <w:rFonts w:hint="eastAsia" w:ascii="宋体" w:hAnsi="宋体" w:eastAsia="宋体" w:cs="宋体"/>
          <w:sz w:val="24"/>
          <w:u w:val="single"/>
        </w:rPr>
        <w:t>合同暂定总价的20%</w:t>
      </w:r>
      <w:r>
        <w:rPr>
          <w:rFonts w:hint="eastAsia" w:ascii="宋体" w:hAnsi="宋体" w:eastAsia="宋体" w:cs="宋体"/>
          <w:sz w:val="24"/>
          <w:u w:val="none"/>
        </w:rPr>
        <w:t>作为违约金</w:t>
      </w:r>
      <w:r>
        <w:rPr>
          <w:rFonts w:hint="eastAsia" w:ascii="宋体" w:hAnsi="宋体" w:eastAsia="宋体" w:cs="宋体"/>
          <w:sz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5.2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w:t>
      </w:r>
      <w:r>
        <w:rPr>
          <w:rFonts w:hint="eastAsia" w:ascii="宋体" w:hAnsi="宋体" w:eastAsia="宋体" w:cs="宋体"/>
          <w:sz w:val="24"/>
          <w:u w:val="single"/>
        </w:rPr>
        <w:t>合同暂定总价的5%/次</w:t>
      </w:r>
      <w:r>
        <w:rPr>
          <w:rFonts w:hint="eastAsia" w:ascii="宋体" w:hAnsi="宋体" w:eastAsia="宋体" w:cs="宋体"/>
          <w:sz w:val="24"/>
        </w:rPr>
        <w:t>作为违约金，超过三次（含三次）的，甲方有权解除合同，要求乙方支付</w:t>
      </w:r>
      <w:r>
        <w:rPr>
          <w:rFonts w:hint="eastAsia" w:ascii="宋体" w:hAnsi="宋体" w:eastAsia="宋体" w:cs="宋体"/>
          <w:sz w:val="24"/>
          <w:u w:val="single"/>
        </w:rPr>
        <w:t>合同暂定总价的20%</w:t>
      </w:r>
      <w:r>
        <w:rPr>
          <w:rFonts w:hint="eastAsia" w:ascii="宋体" w:hAnsi="宋体" w:eastAsia="宋体" w:cs="宋体"/>
          <w:sz w:val="24"/>
        </w:rPr>
        <w:t>作为违约金。由此造成的经济和法律责任，均由乙方负责。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5.3乙方应按合同及甲方提供的技术文件要求进行本项目实施和安装。乙方未经甲方同意，不得将本项目图纸泄露或转给第三人。除乙方存档需要的图纸外，乙方应于项目质量保修期满后日内将全部图纸退还给甲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5.4合同约定的项目，乙方不得转包、分包。否则，甲方有权单方面终止合同，并令其立即退场，由此而造成的经济损失由乙方负责赔偿。</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5.5乙方不履行合同义务、或履行合同义务不符合合同约定、或违反国家、省、市行业标准的，甲方有权要求乙方限期整改。乙方逾期未完成整改的，每项每超过1日支付违约金人民币</w:t>
      </w:r>
      <w:r>
        <w:rPr>
          <w:rFonts w:hint="eastAsia" w:ascii="宋体" w:hAnsi="宋体" w:eastAsia="宋体" w:cs="宋体"/>
          <w:sz w:val="24"/>
          <w:u w:val="single"/>
        </w:rPr>
        <w:t>1</w:t>
      </w:r>
      <w:r>
        <w:rPr>
          <w:rFonts w:hint="eastAsia" w:ascii="宋体" w:hAnsi="宋体" w:eastAsia="宋体" w:cs="宋体"/>
          <w:sz w:val="24"/>
          <w:u w:val="single"/>
          <w:lang w:val="en-US" w:eastAsia="zh-CN"/>
        </w:rPr>
        <w:t>千</w:t>
      </w:r>
      <w:r>
        <w:rPr>
          <w:rFonts w:hint="eastAsia" w:ascii="宋体" w:hAnsi="宋体" w:eastAsia="宋体" w:cs="宋体"/>
          <w:sz w:val="24"/>
          <w:u w:val="single"/>
        </w:rPr>
        <w:t>元</w:t>
      </w:r>
      <w:r>
        <w:rPr>
          <w:rFonts w:hint="eastAsia" w:ascii="宋体" w:hAnsi="宋体" w:eastAsia="宋体" w:cs="宋体"/>
          <w:sz w:val="24"/>
        </w:rPr>
        <w:t>，超过</w:t>
      </w:r>
      <w:r>
        <w:rPr>
          <w:rFonts w:hint="eastAsia" w:ascii="宋体" w:hAnsi="宋体" w:eastAsia="宋体" w:cs="宋体"/>
          <w:sz w:val="24"/>
          <w:u w:val="single"/>
          <w:lang w:eastAsia="zh-CN"/>
        </w:rPr>
        <w:t>3</w:t>
      </w:r>
      <w:r>
        <w:rPr>
          <w:rFonts w:hint="eastAsia" w:ascii="宋体" w:hAnsi="宋体" w:eastAsia="宋体" w:cs="宋体"/>
          <w:sz w:val="24"/>
          <w:u w:val="single"/>
          <w:lang w:val="en-US" w:eastAsia="zh-CN"/>
        </w:rPr>
        <w:t>0</w:t>
      </w:r>
      <w:r>
        <w:rPr>
          <w:rFonts w:hint="eastAsia" w:ascii="宋体" w:hAnsi="宋体" w:eastAsia="宋体" w:cs="宋体"/>
          <w:sz w:val="24"/>
        </w:rPr>
        <w:t>日，甲方有权解除合同并要求乙方支付</w:t>
      </w:r>
      <w:r>
        <w:rPr>
          <w:rFonts w:hint="eastAsia" w:ascii="宋体" w:hAnsi="宋体" w:eastAsia="宋体" w:cs="宋体"/>
          <w:sz w:val="24"/>
          <w:u w:val="single"/>
        </w:rPr>
        <w:t>合同暂定总价的20%</w:t>
      </w:r>
      <w:r>
        <w:rPr>
          <w:rFonts w:hint="eastAsia" w:ascii="宋体" w:hAnsi="宋体" w:eastAsia="宋体" w:cs="宋体"/>
          <w:sz w:val="24"/>
        </w:rPr>
        <w:t>作为违约金（如合同另行约定违约责任，从其约定）。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5.6乙方不得随意更换项目负责人及附件5中的相关人员，如确须更换，应提前征得甲方同意。如有违反，甲方有权解除合同并要求乙方支付</w:t>
      </w:r>
      <w:r>
        <w:rPr>
          <w:rFonts w:hint="eastAsia" w:ascii="宋体" w:hAnsi="宋体" w:eastAsia="宋体" w:cs="宋体"/>
          <w:sz w:val="24"/>
          <w:u w:val="single"/>
        </w:rPr>
        <w:t>5000元/人次</w:t>
      </w:r>
      <w:r>
        <w:rPr>
          <w:rFonts w:hint="eastAsia" w:ascii="宋体" w:hAnsi="宋体" w:eastAsia="宋体" w:cs="宋体"/>
          <w:sz w:val="24"/>
        </w:rPr>
        <w:t xml:space="preserve">作为违约金，以及赔偿由此造成的一切损失(包含质量安全事故、工期延误、增加投资等)。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5.7施工过程中，项目负责人应驻场管理，否则甲方有权要求乙方支付违约</w:t>
      </w:r>
      <w:r>
        <w:rPr>
          <w:rFonts w:hint="eastAsia" w:ascii="宋体" w:hAnsi="宋体" w:eastAsia="宋体" w:cs="宋体"/>
          <w:sz w:val="24"/>
          <w:u w:val="single"/>
        </w:rPr>
        <w:t>1000元/天</w:t>
      </w:r>
      <w:r>
        <w:rPr>
          <w:rFonts w:hint="eastAsia" w:ascii="宋体" w:hAnsi="宋体" w:eastAsia="宋体" w:cs="宋体"/>
          <w:sz w:val="24"/>
        </w:rPr>
        <w:t>，因此造成损失的，按实际发生额赔偿。</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sz w:val="24"/>
          <w:szCs w:val="24"/>
        </w:rPr>
      </w:pPr>
      <w:r>
        <w:rPr>
          <w:rFonts w:hint="eastAsia" w:ascii="宋体" w:hAnsi="宋体" w:eastAsia="宋体" w:cs="宋体"/>
          <w:sz w:val="24"/>
        </w:rPr>
        <w:t>5.8施工过程中，乙方应负责配备现场的应急物资。具体应急物资配备详见附件应急救援物资清单。（如需）</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第六条</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实施条件及管理要求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6.1甲方提供临时设施及材料实施场地，乙方确认在签订合同前已查看过甲方所提供的场地及周围的环境，掌握所有与项目实施有关或对项目实施有影响的情况，乙方进场后因场地因素所产生的后果均由乙方负责。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6.2施工用水用电采用以下</w:t>
      </w:r>
      <w:r>
        <w:rPr>
          <w:rFonts w:hint="eastAsia" w:ascii="宋体" w:hAnsi="宋体" w:eastAsia="宋体" w:cs="宋体"/>
          <w:sz w:val="24"/>
          <w:u w:val="single"/>
        </w:rPr>
        <w:t>（1）</w:t>
      </w:r>
      <w:r>
        <w:rPr>
          <w:rFonts w:hint="eastAsia" w:ascii="宋体" w:hAnsi="宋体" w:eastAsia="宋体" w:cs="宋体"/>
          <w:sz w:val="24"/>
        </w:rPr>
        <w:t>方式执行。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由甲方提供施工用水用电接口，水电费按合同综合单价水电含量计算，从甲方支付的工程款中直接扣回。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（2）由甲方提供施工用水用电接口，费用按（月/项目）结算，由乙方向甲方或甲方下辖分公司/子公司支付。水电费用按所属供电局、自来水公司收费标准，按实计算。</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（3）由乙方自行负责。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6.3施工时间安排：上午7：00-12：00，下午14：00-18：00，施工时间如需变动，以甲方的书面或口头通知为准。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6.4进场施工人员必须严格遵守污水处理厂一切规章制度。进入施工现场人员必须佩戴出入证，并自觉接受门岗检查。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6.5环境保护要求：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（1）做好施工噪声、废气、废水等控制；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（2）按照国家及广州市相关规定做好建筑垃圾的处理。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6.6按相关法律法规及甲方相关作业施工管理要求执行。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第七条 材料及设备供应</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本项目承包范围内所需的设备材料、成品、未成品、运输、保管、质量等责任均由乙方承担。甲方不提供材料。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7.1采购供应的材料、其名称、品种、型号、规格、质量等，均应符合国家、地方及行业有关规范及要求。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7.2所有材料必须具备合格证明，并保证产品的有效性。</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7.3由于乙方提供的伪劣、假冒等所有不合格材料而导致的损失、事故及一切后果，均由乙方负责并赔偿甲方所有损失，并负责更换所有已施工的不合格材料。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7.4乙方必须根据投标文件/询价响应文件（如有）上主要材料的明细（包括厂家、规格、品质等级等）提供材料。工程实施时，如发现材料不一致，甲方有权拒用，造成损失由乙方承担。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7.5 甲方有权对施工质量进行监督、检查或检验，也可自行委托第三方进行质量检验，甲方或第三方的检验结果作为最终的质量评定结果。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7.6 承包范围之内工程所用之设备，由乙方提供。</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第八条付款及履约担保</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8.1预付款的支付：</w:t>
      </w:r>
      <w:r>
        <w:rPr>
          <w:rFonts w:hint="eastAsia" w:ascii="宋体" w:hAnsi="宋体" w:eastAsia="宋体" w:cs="宋体"/>
          <w:sz w:val="24"/>
        </w:rPr>
        <w:sym w:font="Wingdings" w:char="00A8"/>
      </w:r>
      <w:r>
        <w:rPr>
          <w:rFonts w:hint="eastAsia" w:ascii="宋体" w:hAnsi="宋体" w:eastAsia="宋体" w:cs="宋体"/>
          <w:sz w:val="24"/>
        </w:rPr>
        <w:t>无；</w:t>
      </w:r>
      <w:r>
        <w:rPr>
          <w:rFonts w:hint="eastAsia" w:ascii="宋体" w:hAnsi="宋体" w:eastAsia="宋体" w:cs="宋体"/>
          <w:sz w:val="24"/>
        </w:rPr>
        <w:sym w:font="Wingdings" w:char="00FE"/>
      </w:r>
      <w:r>
        <w:rPr>
          <w:rFonts w:hint="eastAsia" w:ascii="宋体" w:hAnsi="宋体" w:eastAsia="宋体" w:cs="宋体"/>
          <w:sz w:val="24"/>
        </w:rPr>
        <w:t>有,合同签订后，乙方开具等额的增值税专用发票</w:t>
      </w:r>
      <w:r>
        <w:rPr>
          <w:rFonts w:hint="eastAsia" w:ascii="宋体" w:hAnsi="宋体" w:cs="宋体"/>
          <w:bCs/>
          <w:color w:val="000000" w:themeColor="text1"/>
          <w:sz w:val="24"/>
          <w:szCs w:val="24"/>
          <w:highlight w:val="none"/>
          <w:lang w:eastAsia="zh-CN"/>
          <w14:textFill>
            <w14:solidFill>
              <w14:schemeClr w14:val="tx1"/>
            </w14:solidFill>
          </w14:textFill>
        </w:rPr>
        <w:t>、</w:t>
      </w:r>
      <w:r>
        <w:rPr>
          <w:rFonts w:hint="eastAsia" w:ascii="宋体" w:hAnsi="宋体" w:cs="宋体"/>
          <w:bCs/>
          <w:color w:val="000000" w:themeColor="text1"/>
          <w:sz w:val="24"/>
          <w:szCs w:val="24"/>
          <w:highlight w:val="none"/>
          <w14:textFill>
            <w14:solidFill>
              <w14:schemeClr w14:val="tx1"/>
            </w14:solidFill>
          </w14:textFill>
        </w:rPr>
        <w:t>提交履约担保</w:t>
      </w:r>
      <w:r>
        <w:rPr>
          <w:rFonts w:hint="eastAsia" w:ascii="宋体" w:hAnsi="宋体" w:cs="宋体"/>
          <w:bCs/>
          <w:color w:val="000000" w:themeColor="text1"/>
          <w:sz w:val="24"/>
          <w:szCs w:val="24"/>
          <w:highlight w:val="none"/>
          <w:lang w:val="en-US" w:eastAsia="zh-CN"/>
          <w14:textFill>
            <w14:solidFill>
              <w14:schemeClr w14:val="tx1"/>
            </w14:solidFill>
          </w14:textFill>
        </w:rPr>
        <w:t>及对应预付款金额的预付款担保</w:t>
      </w:r>
      <w:r>
        <w:rPr>
          <w:rFonts w:hint="eastAsia" w:ascii="宋体" w:hAnsi="宋体" w:eastAsia="宋体" w:cs="宋体"/>
          <w:sz w:val="24"/>
        </w:rPr>
        <w:t>后</w:t>
      </w:r>
      <w:r>
        <w:rPr>
          <w:rFonts w:hint="eastAsia" w:ascii="宋体" w:hAnsi="宋体" w:eastAsia="宋体" w:cs="宋体"/>
          <w:sz w:val="24"/>
          <w:u w:val="single"/>
        </w:rPr>
        <w:t xml:space="preserve"> 10 </w:t>
      </w:r>
      <w:r>
        <w:rPr>
          <w:rFonts w:hint="eastAsia" w:ascii="宋体" w:hAnsi="宋体" w:eastAsia="宋体" w:cs="宋体"/>
          <w:sz w:val="24"/>
        </w:rPr>
        <w:t>个工作日内，甲方支付合同暂定总价的</w:t>
      </w:r>
      <w:r>
        <w:rPr>
          <w:rFonts w:hint="eastAsia" w:ascii="宋体" w:hAnsi="宋体" w:eastAsia="宋体" w:cs="宋体"/>
          <w:sz w:val="24"/>
          <w:u w:val="single"/>
        </w:rPr>
        <w:t>（不得超过30%）</w:t>
      </w:r>
      <w:r>
        <w:rPr>
          <w:rFonts w:hint="eastAsia" w:ascii="宋体" w:hAnsi="宋体" w:eastAsia="宋体" w:cs="宋体"/>
          <w:sz w:val="24"/>
        </w:rPr>
        <w:t>即</w:t>
      </w:r>
      <w:r>
        <w:rPr>
          <w:rFonts w:hint="eastAsia" w:ascii="宋体" w:hAnsi="宋体" w:eastAsia="宋体" w:cs="宋体"/>
          <w:sz w:val="24"/>
          <w:u w:val="single"/>
        </w:rPr>
        <w:t>…元，（大写：…）</w:t>
      </w:r>
      <w:r>
        <w:rPr>
          <w:rFonts w:hint="eastAsia" w:ascii="宋体" w:hAnsi="宋体" w:eastAsia="宋体" w:cs="宋体"/>
          <w:sz w:val="24"/>
        </w:rPr>
        <w:t>作为预付款。若合同解除或终止，乙方在</w:t>
      </w:r>
      <w:r>
        <w:rPr>
          <w:rFonts w:hint="eastAsia" w:ascii="宋体" w:hAnsi="宋体" w:eastAsia="宋体" w:cs="宋体"/>
          <w:sz w:val="24"/>
          <w:u w:val="single"/>
        </w:rPr>
        <w:t xml:space="preserve"> 5 </w:t>
      </w:r>
      <w:r>
        <w:rPr>
          <w:rFonts w:hint="eastAsia" w:ascii="宋体" w:hAnsi="宋体" w:eastAsia="宋体" w:cs="宋体"/>
          <w:sz w:val="24"/>
        </w:rPr>
        <w:t>个工作日内返还预付款（无息）。逾期未返还，每逾期一天，乙方应按合同暂定总价的</w:t>
      </w:r>
      <w:r>
        <w:rPr>
          <w:rFonts w:hint="eastAsia" w:ascii="宋体" w:hAnsi="宋体" w:eastAsia="宋体" w:cs="宋体"/>
          <w:sz w:val="24"/>
          <w:u w:val="single"/>
        </w:rPr>
        <w:t>万分之五/天</w:t>
      </w:r>
      <w:r>
        <w:rPr>
          <w:rFonts w:hint="eastAsia" w:ascii="宋体" w:hAnsi="宋体" w:eastAsia="宋体" w:cs="宋体"/>
          <w:sz w:val="24"/>
        </w:rPr>
        <w:t>支付违约金。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8.2</w:t>
      </w:r>
      <w:r>
        <w:rPr>
          <w:rFonts w:hint="eastAsia" w:ascii="宋体" w:hAnsi="宋体" w:eastAsia="宋体" w:cs="宋体"/>
          <w:sz w:val="24"/>
          <w:u w:val="single"/>
          <w:lang w:val="en-US" w:eastAsia="zh-CN"/>
        </w:rPr>
        <w:t>乙方完成设备到货且经甲方验收合格后，</w:t>
      </w:r>
      <w:r>
        <w:rPr>
          <w:rFonts w:hint="eastAsia" w:ascii="宋体" w:hAnsi="宋体" w:eastAsia="宋体" w:cs="宋体"/>
          <w:sz w:val="24"/>
          <w:u w:val="single"/>
        </w:rPr>
        <w:t>由乙方提交申请支付资料 15 个工作日内</w:t>
      </w:r>
      <w:r>
        <w:rPr>
          <w:rFonts w:hint="eastAsia" w:ascii="宋体" w:hAnsi="宋体" w:eastAsia="宋体" w:cs="宋体"/>
          <w:sz w:val="24"/>
          <w:u w:val="single"/>
          <w:lang w:eastAsia="zh-CN"/>
        </w:rPr>
        <w:t>，</w:t>
      </w:r>
      <w:r>
        <w:rPr>
          <w:rFonts w:hint="eastAsia" w:ascii="宋体" w:hAnsi="宋体" w:eastAsia="宋体" w:cs="宋体"/>
          <w:sz w:val="24"/>
          <w:u w:val="single"/>
        </w:rPr>
        <w:t>甲方支付至合同暂定总价的</w:t>
      </w:r>
      <w:r>
        <w:rPr>
          <w:rFonts w:hint="eastAsia" w:ascii="宋体" w:hAnsi="宋体" w:eastAsia="宋体" w:cs="宋体"/>
          <w:sz w:val="24"/>
          <w:u w:val="single"/>
          <w:lang w:val="en-US" w:eastAsia="zh-CN"/>
        </w:rPr>
        <w:t>6</w:t>
      </w:r>
      <w:r>
        <w:rPr>
          <w:rFonts w:hint="eastAsia" w:ascii="宋体" w:hAnsi="宋体" w:eastAsia="宋体" w:cs="宋体"/>
          <w:sz w:val="24"/>
          <w:u w:val="single"/>
        </w:rPr>
        <w:t>0％即^万元给乙方。项目验收合格后，由乙方提交申请支付资料 15 个工作日内，甲方支付至合同暂定总价的80％即^万元给乙方。</w:t>
      </w:r>
      <w:r>
        <w:rPr>
          <w:rFonts w:hint="eastAsia" w:ascii="宋体" w:hAnsi="宋体" w:eastAsia="宋体" w:cs="宋体"/>
          <w:sz w:val="24"/>
        </w:rPr>
        <w:t>（如需）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8.2.1</w:t>
      </w:r>
      <w:r>
        <w:rPr>
          <w:rFonts w:hint="eastAsia" w:ascii="宋体" w:hAnsi="宋体" w:eastAsia="宋体" w:cs="宋体"/>
          <w:sz w:val="24"/>
          <w:u w:val="single"/>
        </w:rPr>
        <w:t>项目验收合同后</w:t>
      </w:r>
      <w:r>
        <w:rPr>
          <w:rFonts w:hint="eastAsia" w:ascii="宋体" w:hAnsi="宋体" w:eastAsia="宋体" w:cs="宋体"/>
          <w:sz w:val="24"/>
        </w:rPr>
        <w:t>，经甲方或甲方委托有资质第三方机构审核后，由乙方提交申请支付资料</w:t>
      </w:r>
      <w:r>
        <w:rPr>
          <w:rFonts w:hint="eastAsia" w:ascii="宋体" w:hAnsi="宋体" w:eastAsia="宋体" w:cs="宋体"/>
          <w:sz w:val="24"/>
          <w:u w:val="single"/>
        </w:rPr>
        <w:t xml:space="preserve"> 15 </w:t>
      </w:r>
      <w:r>
        <w:rPr>
          <w:rFonts w:hint="eastAsia" w:ascii="宋体" w:hAnsi="宋体" w:eastAsia="宋体" w:cs="宋体"/>
          <w:sz w:val="24"/>
        </w:rPr>
        <w:t>个工作日内，甲方支付至合同结算价的95%。</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8.2.2质保期按合同第十条规定执行，质保期满后且乙方不存在违约情形，由乙方提交申请质保金退还资料</w:t>
      </w:r>
      <w:r>
        <w:rPr>
          <w:rFonts w:hint="eastAsia" w:ascii="宋体" w:hAnsi="宋体" w:eastAsia="宋体" w:cs="宋体"/>
          <w:sz w:val="24"/>
          <w:u w:val="single"/>
        </w:rPr>
        <w:t xml:space="preserve"> 15 </w:t>
      </w:r>
      <w:r>
        <w:rPr>
          <w:rFonts w:hint="eastAsia" w:ascii="宋体" w:hAnsi="宋体" w:eastAsia="宋体" w:cs="宋体"/>
          <w:sz w:val="24"/>
        </w:rPr>
        <w:t>个工作日内，甲方支付合同结算价的5％（质保金）给乙方（无息）。</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8.2.3本项目工程款的支付单位为</w:t>
      </w:r>
      <w:r>
        <w:rPr>
          <w:rFonts w:hint="eastAsia" w:ascii="宋体" w:hAnsi="宋体" w:eastAsia="宋体" w:cs="宋体"/>
          <w:sz w:val="24"/>
          <w:u w:val="single"/>
        </w:rPr>
        <w:t xml:space="preserve">： …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8.3乙方收款账户：</w:t>
      </w:r>
      <w:r>
        <w:rPr>
          <w:rFonts w:hint="eastAsia" w:ascii="宋体" w:hAnsi="宋体" w:eastAsia="宋体" w:cs="宋体"/>
          <w:sz w:val="24"/>
          <w:u w:val="single"/>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收款账号：</w:t>
      </w:r>
      <w:r>
        <w:rPr>
          <w:rFonts w:hint="eastAsia" w:ascii="宋体" w:hAnsi="宋体" w:eastAsia="宋体" w:cs="宋体"/>
          <w:sz w:val="24"/>
          <w:u w:val="single"/>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开户行：</w:t>
      </w:r>
      <w:r>
        <w:rPr>
          <w:rFonts w:hint="eastAsia" w:ascii="宋体" w:hAnsi="宋体" w:eastAsia="宋体" w:cs="宋体"/>
          <w:sz w:val="24"/>
          <w:u w:val="single"/>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8.4乙方在收款前需提交等额增值税专用发票给甲方。增值税专用发票信息：</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u w:val="single"/>
        </w:rPr>
      </w:pPr>
      <w:r>
        <w:rPr>
          <w:rFonts w:hint="eastAsia" w:ascii="宋体" w:hAnsi="宋体" w:eastAsia="宋体" w:cs="宋体"/>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8.5履约担保：</w:t>
      </w:r>
      <w:r>
        <w:rPr>
          <w:rFonts w:hint="eastAsia" w:ascii="宋体" w:hAnsi="宋体" w:eastAsia="宋体" w:cs="宋体"/>
          <w:sz w:val="24"/>
          <w:lang w:eastAsia="zh-CN"/>
        </w:rPr>
        <w:t>□</w:t>
      </w:r>
      <w:r>
        <w:rPr>
          <w:rFonts w:hint="eastAsia" w:ascii="宋体" w:hAnsi="宋体" w:eastAsia="宋体" w:cs="宋体"/>
          <w:sz w:val="24"/>
        </w:rPr>
        <w:t>无；</w:t>
      </w:r>
      <w:r>
        <w:rPr>
          <w:rFonts w:hint="eastAsia" w:ascii="宋体" w:hAnsi="宋体" w:eastAsia="宋体" w:cs="宋体"/>
          <w:sz w:val="24"/>
        </w:rPr>
        <w:sym w:font="Wingdings 2" w:char="0052"/>
      </w:r>
      <w:r>
        <w:rPr>
          <w:rFonts w:hint="eastAsia" w:ascii="宋体" w:hAnsi="宋体" w:eastAsia="宋体" w:cs="宋体"/>
          <w:sz w:val="24"/>
        </w:rPr>
        <w:t>有,本合同签订后10日内</w:t>
      </w:r>
      <w:r>
        <w:rPr>
          <w:rFonts w:hint="eastAsia" w:ascii="宋体" w:hAnsi="宋体" w:eastAsia="宋体" w:cs="宋体"/>
          <w:sz w:val="24"/>
          <w:u w:val="single"/>
        </w:rPr>
        <w:t>以合同暂定总价的10%作为履约保证金，</w:t>
      </w:r>
      <w:r>
        <w:rPr>
          <w:rFonts w:hint="eastAsia" w:ascii="宋体" w:hAnsi="宋体" w:eastAsia="宋体" w:cs="宋体"/>
          <w:sz w:val="24"/>
        </w:rPr>
        <w:t>金额为：…</w:t>
      </w:r>
      <w:r>
        <w:rPr>
          <w:rFonts w:hint="eastAsia" w:ascii="宋体" w:hAnsi="宋体" w:eastAsia="宋体" w:cs="宋体"/>
          <w:sz w:val="24"/>
          <w:u w:val="single"/>
        </w:rPr>
        <w:t>（大写人民币：…）</w:t>
      </w:r>
      <w:r>
        <w:rPr>
          <w:rFonts w:hint="eastAsia" w:ascii="宋体" w:hAnsi="宋体" w:eastAsia="宋体" w:cs="宋体"/>
          <w:sz w:val="24"/>
        </w:rPr>
        <w:t>，未按时提供的，甲方有权解除合同并要求乙方支付</w:t>
      </w:r>
      <w:r>
        <w:rPr>
          <w:rFonts w:hint="eastAsia" w:ascii="宋体" w:hAnsi="宋体" w:eastAsia="宋体" w:cs="宋体"/>
          <w:sz w:val="24"/>
          <w:u w:val="single"/>
        </w:rPr>
        <w:t>合同暂定总价20%</w:t>
      </w:r>
      <w:r>
        <w:rPr>
          <w:rFonts w:hint="eastAsia" w:ascii="宋体" w:hAnsi="宋体" w:eastAsia="宋体" w:cs="宋体"/>
          <w:sz w:val="24"/>
        </w:rPr>
        <w:t>作为违约金。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8.5.1履约担保按以下任一种形式提供：</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（1）符合甲方要求（详见附件7保函格式）的银行独立保函，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（2）现金转账至甲方以下指定账户：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户名：广州市净水有限公司</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账号：82010154900000342</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开户行：浦发银行广州分行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8.5.2履约担保的担保期限和返还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⑴履约银行保函（或现金履约保证金）的担保期限：从提供履约担保（或转账成功）之日起至合同履行完成。</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⑵履约银行保函在合同履行完成后，由乙方提出申请，甲方在28日内返还，不支付利息：</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⑶延长担保期限。乙方以履约银行保函形式提交履约保证金的，在银行保函到期前，乙方应提前</w:t>
      </w:r>
      <w:r>
        <w:rPr>
          <w:rFonts w:hint="eastAsia" w:ascii="宋体" w:hAnsi="宋体" w:eastAsia="宋体" w:cs="宋体"/>
          <w:sz w:val="24"/>
          <w:u w:val="single"/>
        </w:rPr>
        <w:t xml:space="preserve"> 7 </w:t>
      </w:r>
      <w:r>
        <w:rPr>
          <w:rFonts w:hint="eastAsia" w:ascii="宋体" w:hAnsi="宋体" w:eastAsia="宋体" w:cs="宋体"/>
          <w:sz w:val="24"/>
        </w:rPr>
        <w:t>日向甲方提交新的保函以替换即将到期的保函。如乙方未及时提交的，甲方有权直接要求担保银行支付其担保的全部金额并解除合同。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（4）现金履约保证金的退还：合同履行完成后，由乙方提出申请，甲方在</w:t>
      </w:r>
      <w:r>
        <w:rPr>
          <w:rFonts w:hint="eastAsia" w:ascii="宋体" w:hAnsi="宋体" w:eastAsia="宋体" w:cs="宋体"/>
          <w:sz w:val="24"/>
          <w:u w:val="single"/>
        </w:rPr>
        <w:t>28日</w:t>
      </w:r>
      <w:r>
        <w:rPr>
          <w:rFonts w:hint="eastAsia" w:ascii="宋体" w:hAnsi="宋体" w:eastAsia="宋体" w:cs="宋体"/>
          <w:sz w:val="24"/>
        </w:rPr>
        <w:t>内将剩余保证金（无息）返还。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8.5.3甲方按本合同规定提取履约担保金额后，乙方应在收到甲方通知后</w:t>
      </w:r>
      <w:r>
        <w:rPr>
          <w:rFonts w:hint="eastAsia" w:ascii="宋体" w:hAnsi="宋体" w:eastAsia="宋体" w:cs="宋体"/>
          <w:sz w:val="24"/>
          <w:u w:val="single"/>
        </w:rPr>
        <w:t xml:space="preserve">  7  </w:t>
      </w:r>
      <w:r>
        <w:rPr>
          <w:rFonts w:hint="eastAsia" w:ascii="宋体" w:hAnsi="宋体" w:eastAsia="宋体" w:cs="宋体"/>
          <w:sz w:val="24"/>
        </w:rPr>
        <w:t>日内补足数额，逾期未补足的，则甲方有权提取履约担保的全部余额并解除合同。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 xml:space="preserve">8.6付款方式： </w:t>
      </w:r>
      <w:r>
        <w:rPr>
          <w:rFonts w:hint="eastAsia" w:ascii="宋体" w:hAnsi="宋体" w:eastAsia="宋体" w:cs="宋体"/>
          <w:sz w:val="24"/>
        </w:rPr>
        <w:sym w:font="Wingdings" w:char="00FE"/>
      </w:r>
      <w:r>
        <w:rPr>
          <w:rFonts w:hint="eastAsia" w:ascii="宋体" w:hAnsi="宋体" w:eastAsia="宋体" w:cs="宋体"/>
          <w:sz w:val="24"/>
        </w:rPr>
        <w:t xml:space="preserve">网银支付；  </w:t>
      </w:r>
      <w:r>
        <w:rPr>
          <w:rFonts w:hint="eastAsia" w:ascii="宋体" w:hAnsi="宋体" w:eastAsia="宋体" w:cs="宋体"/>
          <w:sz w:val="24"/>
        </w:rPr>
        <w:sym w:font="Wingdings" w:char="00A8"/>
      </w:r>
      <w:r>
        <w:rPr>
          <w:rFonts w:hint="eastAsia" w:ascii="宋体" w:hAnsi="宋体" w:eastAsia="宋体" w:cs="宋体"/>
          <w:sz w:val="24"/>
        </w:rPr>
        <w:t xml:space="preserve">支票；   </w:t>
      </w:r>
      <w:r>
        <w:rPr>
          <w:rFonts w:hint="eastAsia" w:ascii="宋体" w:hAnsi="宋体" w:eastAsia="宋体" w:cs="宋体"/>
          <w:sz w:val="24"/>
        </w:rPr>
        <w:sym w:font="Wingdings" w:char="00A8"/>
      </w:r>
      <w:r>
        <w:rPr>
          <w:rFonts w:hint="eastAsia" w:ascii="宋体" w:hAnsi="宋体" w:eastAsia="宋体" w:cs="宋体"/>
          <w:sz w:val="24"/>
        </w:rPr>
        <w:t>其他：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（建议采用网银支付、支票两种形式中之一）。</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第九条</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竣工验收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9.1乙方应在工程完工后30天内将经甲方审核的完整竣工资料（含竣工图）和竣工验收报告各</w:t>
      </w:r>
      <w:r>
        <w:rPr>
          <w:rFonts w:hint="eastAsia" w:ascii="宋体" w:hAnsi="宋体" w:eastAsia="宋体" w:cs="宋体"/>
          <w:sz w:val="24"/>
          <w:u w:val="single"/>
        </w:rPr>
        <w:t>一式四份</w:t>
      </w:r>
      <w:r>
        <w:rPr>
          <w:rFonts w:hint="eastAsia" w:ascii="宋体" w:hAnsi="宋体" w:eastAsia="宋体" w:cs="宋体"/>
          <w:sz w:val="24"/>
        </w:rPr>
        <w:t>交甲方，不按时报送工程竣工资料的，每逾期一天，甲方要求乙方支付</w:t>
      </w:r>
      <w:r>
        <w:rPr>
          <w:rFonts w:hint="eastAsia" w:ascii="宋体" w:hAnsi="宋体" w:eastAsia="宋体" w:cs="宋体"/>
          <w:sz w:val="24"/>
          <w:u w:val="single"/>
        </w:rPr>
        <w:t>合同暂定总价万分之五/天</w:t>
      </w:r>
      <w:r>
        <w:rPr>
          <w:rFonts w:hint="eastAsia" w:ascii="宋体" w:hAnsi="宋体" w:eastAsia="宋体" w:cs="宋体"/>
          <w:sz w:val="24"/>
        </w:rPr>
        <w:t>，并在支付合同款时抵扣。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9.2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9.3工程竣工验收通过，乙方送交完整的竣工验收资料和竣工验收报告的日期为实际竣工日期。工程按甲方要求修改后通过竣工验收的，实际竣工日期为乙方修改后提请甲方验收的日期。</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9.4竣工档案的整理和移交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（a）竣工文件资料、竣工图档案（原件）各一式四份；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（b）与本款（a）项内容相同的电子版档案一式二份；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eastAsia="宋体" w:cs="宋体"/>
          <w:sz w:val="24"/>
          <w:u w:val="single"/>
        </w:rPr>
        <w:t>合同暂定总价万分之五/天</w:t>
      </w:r>
      <w:r>
        <w:rPr>
          <w:rFonts w:hint="eastAsia" w:ascii="宋体" w:hAnsi="宋体" w:eastAsia="宋体" w:cs="宋体"/>
          <w:sz w:val="24"/>
        </w:rPr>
        <w:t>违约金。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（3）电子版竣工图的编制，以甲方提供的电子版施工图为基础。乙方在移交竣工档案时，应一并移交甲方提供的电子版施工图。</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电子版施工图和电子版竣工图的知识产权归属甲方所有，非经甲方许可，乙方不得以任何方式复制、备份、转让和利用。否则，由此引起的任何纠纷和责任由乙方承担。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9.5本合同竣工验收结算单位为：</w:t>
      </w:r>
      <w:r>
        <w:rPr>
          <w:rFonts w:hint="eastAsia" w:ascii="宋体" w:hAnsi="宋体" w:eastAsia="宋体" w:cs="宋体"/>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szCs w:val="24"/>
        </w:rPr>
      </w:pPr>
      <w:bookmarkStart w:id="62" w:name="_Toc520190034"/>
      <w:bookmarkStart w:id="63" w:name="_Toc474245220"/>
      <w:bookmarkStart w:id="64" w:name="_Toc518992994"/>
      <w:r>
        <w:rPr>
          <w:rFonts w:hint="eastAsia" w:ascii="宋体" w:hAnsi="宋体" w:eastAsia="宋体" w:cs="宋体"/>
          <w:b/>
          <w:bCs/>
          <w:sz w:val="24"/>
          <w:szCs w:val="24"/>
          <w:lang w:val="en-US" w:eastAsia="zh-CN"/>
        </w:rPr>
        <w:t xml:space="preserve">第十条 </w:t>
      </w:r>
      <w:r>
        <w:rPr>
          <w:rFonts w:hint="eastAsia" w:ascii="宋体" w:hAnsi="宋体" w:eastAsia="宋体" w:cs="宋体"/>
          <w:b/>
          <w:bCs/>
          <w:sz w:val="24"/>
          <w:szCs w:val="24"/>
        </w:rPr>
        <w:t>质量保证</w:t>
      </w:r>
      <w:bookmarkEnd w:id="62"/>
      <w:bookmarkEnd w:id="63"/>
      <w:bookmarkEnd w:id="6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10.1乙方保证所承包的项目质量符合国家相关标准和规范。对产品质量依据原厂商标准及国家标准从严执行。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lang w:val="zh-CN"/>
        </w:rPr>
      </w:pPr>
      <w:r>
        <w:rPr>
          <w:rFonts w:hint="eastAsia" w:ascii="宋体" w:hAnsi="宋体" w:eastAsia="宋体" w:cs="宋体"/>
          <w:sz w:val="24"/>
        </w:rPr>
        <w:t>10.2 本项目质量保修期为</w:t>
      </w:r>
      <w:r>
        <w:rPr>
          <w:rFonts w:hint="eastAsia" w:ascii="宋体" w:hAnsi="宋体" w:eastAsia="宋体" w:cs="宋体"/>
          <w:sz w:val="24"/>
          <w:lang w:val="zh-CN"/>
        </w:rPr>
        <w:t>自验收合格之日起…年。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10.3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eastAsia="宋体" w:cs="宋体"/>
          <w:sz w:val="24"/>
          <w:u w:val="single"/>
        </w:rPr>
        <w:t>合同暂定总价的10%/次</w:t>
      </w:r>
      <w:r>
        <w:rPr>
          <w:rFonts w:hint="eastAsia" w:ascii="宋体" w:hAnsi="宋体" w:eastAsia="宋体" w:cs="宋体"/>
          <w:sz w:val="24"/>
        </w:rPr>
        <w:t>作为违约金。</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szCs w:val="24"/>
        </w:rPr>
      </w:pPr>
      <w:bookmarkStart w:id="65" w:name="_Toc306350467"/>
      <w:bookmarkStart w:id="66" w:name="_Toc474245226"/>
      <w:bookmarkStart w:id="67" w:name="_Toc183666531"/>
      <w:bookmarkStart w:id="68" w:name="_Toc19692"/>
      <w:bookmarkStart w:id="69" w:name="_Toc520190040"/>
      <w:bookmarkStart w:id="70" w:name="_Toc107447255"/>
      <w:bookmarkStart w:id="71" w:name="_Toc518993000"/>
      <w:bookmarkStart w:id="72" w:name="_Toc107446862"/>
      <w:r>
        <w:rPr>
          <w:rFonts w:hint="eastAsia" w:ascii="宋体" w:hAnsi="宋体" w:eastAsia="宋体" w:cs="宋体"/>
          <w:b/>
          <w:bCs/>
          <w:sz w:val="24"/>
          <w:szCs w:val="24"/>
        </w:rPr>
        <w:t>第十一条</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不可抗力</w:t>
      </w:r>
      <w:bookmarkEnd w:id="65"/>
      <w:bookmarkEnd w:id="66"/>
      <w:bookmarkEnd w:id="67"/>
      <w:bookmarkEnd w:id="68"/>
      <w:bookmarkEnd w:id="69"/>
      <w:bookmarkEnd w:id="70"/>
      <w:bookmarkEnd w:id="71"/>
      <w:bookmarkEnd w:id="72"/>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bookmarkStart w:id="73" w:name="_Toc306350468"/>
      <w:bookmarkStart w:id="74" w:name="_Toc12010"/>
      <w:bookmarkStart w:id="75" w:name="_Toc183666532"/>
      <w:r>
        <w:rPr>
          <w:rFonts w:hint="eastAsia" w:ascii="宋体" w:hAnsi="宋体" w:eastAsia="宋体" w:cs="宋体"/>
          <w:sz w:val="24"/>
        </w:rPr>
        <w:t>11.1 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⑴地震、火山爆发、滑坡、暴雨（橙色预警及以上）、台风（黄色预警及以上）、海啸、龙卷风、大面积流行病(如：非典型性肺炎等)或瘟疫；</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⑵战争行为、入侵、武装冲突或外敌行为、封锁、暴乱、恐怖行为或军事演习；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11.2 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11.3 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11.4 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bookmarkStart w:id="76" w:name="_Toc107447257"/>
      <w:bookmarkStart w:id="77" w:name="_Toc518993001"/>
      <w:bookmarkStart w:id="78" w:name="_Toc118172294"/>
      <w:bookmarkStart w:id="79" w:name="_Toc474245227"/>
      <w:bookmarkStart w:id="80" w:name="_Toc107446864"/>
      <w:bookmarkStart w:id="81" w:name="_Toc520190041"/>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十二条争议解决</w:t>
      </w:r>
      <w:bookmarkEnd w:id="73"/>
      <w:bookmarkEnd w:id="74"/>
      <w:bookmarkEnd w:id="75"/>
      <w:bookmarkEnd w:id="76"/>
      <w:bookmarkEnd w:id="77"/>
      <w:bookmarkEnd w:id="78"/>
      <w:bookmarkEnd w:id="79"/>
      <w:bookmarkEnd w:id="80"/>
      <w:bookmarkEnd w:id="8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bookmarkStart w:id="82" w:name="_Toc183666533"/>
      <w:bookmarkStart w:id="83" w:name="_Toc306350469"/>
      <w:r>
        <w:rPr>
          <w:rFonts w:hint="eastAsia" w:ascii="宋体" w:hAnsi="宋体" w:eastAsia="宋体" w:cs="宋体"/>
          <w:sz w:val="24"/>
        </w:rPr>
        <w:t>12.1 甲乙双方应通过友好协商，解决在执行本合同所发生的或与本合同有关的一切争议。如协商不能解决争议，任何一方均可依法向甲方所在地人民法院提起诉讼。</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12.2 在甲方同意的情况下，除有争端之外的合同其它部分在争端解决前应继续执行。</w:t>
      </w:r>
      <w:bookmarkEnd w:id="82"/>
      <w:bookmarkEnd w:id="83"/>
      <w:bookmarkStart w:id="84" w:name="_Toc520190043"/>
      <w:bookmarkStart w:id="85" w:name="_Toc518993003"/>
      <w:bookmarkStart w:id="86" w:name="_Toc47424522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第十三条</w:t>
      </w:r>
      <w:bookmarkStart w:id="87" w:name="_Toc107446871"/>
      <w:bookmarkStart w:id="88" w:name="_Toc107447264"/>
      <w:r>
        <w:rPr>
          <w:rFonts w:hint="eastAsia" w:ascii="宋体" w:hAnsi="宋体" w:eastAsia="宋体" w:cs="宋体"/>
          <w:b/>
          <w:bCs/>
          <w:sz w:val="24"/>
          <w:szCs w:val="24"/>
        </w:rPr>
        <w:t>合同生效及其他</w:t>
      </w:r>
      <w:bookmarkEnd w:id="84"/>
      <w:bookmarkEnd w:id="85"/>
      <w:bookmarkEnd w:id="86"/>
      <w:bookmarkEnd w:id="87"/>
      <w:bookmarkEnd w:id="8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13.1本合同经双方法定代表人或授权代表签字并加盖双方公章后生效.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13.2本合同正文一式份，其中：甲方份，乙方份。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13.3补充条款：…</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sz w:val="24"/>
        </w:rPr>
      </w:pPr>
      <w:r>
        <w:rPr>
          <w:rFonts w:hint="eastAsia" w:ascii="宋体" w:hAnsi="宋体" w:eastAsia="宋体" w:cs="宋体"/>
          <w:sz w:val="24"/>
        </w:rPr>
        <w:t>附件：1.中标通知书/发包通知书/成交通知书/委托函（如有）</w:t>
      </w:r>
    </w:p>
    <w:p>
      <w:pPr>
        <w:keepNext w:val="0"/>
        <w:keepLines w:val="0"/>
        <w:pageBreakBefore w:val="0"/>
        <w:widowControl w:val="0"/>
        <w:kinsoku/>
        <w:wordWrap/>
        <w:overflowPunct/>
        <w:topLinePunct w:val="0"/>
        <w:autoSpaceDE/>
        <w:autoSpaceDN/>
        <w:bidi w:val="0"/>
        <w:adjustRightInd/>
        <w:snapToGrid/>
        <w:spacing w:line="600" w:lineRule="exact"/>
        <w:ind w:firstLine="720" w:firstLineChars="300"/>
        <w:textAlignment w:val="auto"/>
        <w:rPr>
          <w:rFonts w:hint="eastAsia" w:ascii="宋体" w:hAnsi="宋体" w:eastAsia="宋体" w:cs="宋体"/>
          <w:sz w:val="24"/>
        </w:rPr>
      </w:pPr>
      <w:r>
        <w:rPr>
          <w:rFonts w:hint="eastAsia" w:ascii="宋体" w:hAnsi="宋体" w:eastAsia="宋体" w:cs="宋体"/>
          <w:sz w:val="24"/>
        </w:rPr>
        <w:t>2.廉洁协议</w:t>
      </w:r>
    </w:p>
    <w:p>
      <w:pPr>
        <w:keepNext w:val="0"/>
        <w:keepLines w:val="0"/>
        <w:pageBreakBefore w:val="0"/>
        <w:widowControl w:val="0"/>
        <w:kinsoku/>
        <w:wordWrap/>
        <w:overflowPunct/>
        <w:topLinePunct w:val="0"/>
        <w:autoSpaceDE/>
        <w:autoSpaceDN/>
        <w:bidi w:val="0"/>
        <w:adjustRightInd/>
        <w:snapToGrid/>
        <w:spacing w:line="600" w:lineRule="exact"/>
        <w:ind w:firstLine="720" w:firstLineChars="300"/>
        <w:textAlignment w:val="auto"/>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.营运场所施工安全协议书（具体以安全办通知为准）</w:t>
      </w:r>
    </w:p>
    <w:p>
      <w:pPr>
        <w:keepNext w:val="0"/>
        <w:keepLines w:val="0"/>
        <w:pageBreakBefore w:val="0"/>
        <w:widowControl w:val="0"/>
        <w:kinsoku/>
        <w:wordWrap/>
        <w:overflowPunct/>
        <w:topLinePunct w:val="0"/>
        <w:autoSpaceDE/>
        <w:autoSpaceDN/>
        <w:bidi w:val="0"/>
        <w:adjustRightInd/>
        <w:snapToGrid/>
        <w:spacing w:line="600" w:lineRule="exact"/>
        <w:ind w:firstLine="720" w:firstLineChars="300"/>
        <w:textAlignment w:val="auto"/>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.工程量清单/报价</w:t>
      </w:r>
    </w:p>
    <w:p>
      <w:pPr>
        <w:keepNext w:val="0"/>
        <w:keepLines w:val="0"/>
        <w:pageBreakBefore w:val="0"/>
        <w:widowControl w:val="0"/>
        <w:kinsoku/>
        <w:wordWrap/>
        <w:overflowPunct/>
        <w:topLinePunct w:val="0"/>
        <w:autoSpaceDE/>
        <w:autoSpaceDN/>
        <w:bidi w:val="0"/>
        <w:adjustRightInd/>
        <w:snapToGrid/>
        <w:spacing w:line="600" w:lineRule="exact"/>
        <w:ind w:firstLine="720" w:firstLineChars="300"/>
        <w:textAlignment w:val="auto"/>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 xml:space="preserve">.项目投入人员架构表 </w:t>
      </w:r>
    </w:p>
    <w:p>
      <w:pPr>
        <w:keepNext w:val="0"/>
        <w:keepLines w:val="0"/>
        <w:pageBreakBefore w:val="0"/>
        <w:widowControl w:val="0"/>
        <w:kinsoku/>
        <w:wordWrap/>
        <w:overflowPunct/>
        <w:topLinePunct w:val="0"/>
        <w:autoSpaceDE/>
        <w:autoSpaceDN/>
        <w:bidi w:val="0"/>
        <w:adjustRightInd/>
        <w:snapToGrid/>
        <w:spacing w:line="600" w:lineRule="exact"/>
        <w:ind w:left="718" w:leftChars="342" w:firstLine="0" w:firstLineChars="0"/>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6</w:t>
      </w:r>
      <w:r>
        <w:rPr>
          <w:rFonts w:hint="eastAsia" w:ascii="宋体" w:hAnsi="宋体" w:eastAsia="宋体" w:cs="宋体"/>
          <w:sz w:val="24"/>
        </w:rPr>
        <w:t>.防疫管理协议书</w:t>
      </w:r>
      <w:r>
        <w:rPr>
          <w:rFonts w:hint="eastAsia" w:ascii="宋体" w:hAnsi="宋体" w:eastAsia="宋体" w:cs="宋体"/>
          <w:sz w:val="24"/>
          <w:lang w:val="en-US" w:eastAsia="zh-CN"/>
        </w:rPr>
        <w:br w:type="textWrapping"/>
      </w:r>
      <w:r>
        <w:rPr>
          <w:rFonts w:hint="eastAsia" w:ascii="宋体" w:hAnsi="宋体" w:eastAsia="宋体" w:cs="宋体"/>
          <w:sz w:val="24"/>
          <w:lang w:val="en-US" w:eastAsia="zh-CN"/>
        </w:rPr>
        <w:t>7.履约保函</w:t>
      </w:r>
      <w:r>
        <w:rPr>
          <w:rFonts w:hint="eastAsia" w:ascii="宋体" w:hAnsi="宋体" w:eastAsia="宋体" w:cs="宋体"/>
          <w:sz w:val="24"/>
          <w:lang w:val="en-US" w:eastAsia="zh-CN"/>
        </w:rPr>
        <w:br w:type="textWrapping"/>
      </w:r>
      <w:r>
        <w:rPr>
          <w:rFonts w:hint="eastAsia" w:ascii="宋体" w:hAnsi="宋体" w:eastAsia="宋体" w:cs="宋体"/>
          <w:sz w:val="24"/>
          <w:lang w:val="en-US" w:eastAsia="zh-CN"/>
        </w:rPr>
        <w:t>8.预付款保函</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sz w:val="24"/>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sz w:val="24"/>
                <w:vertAlign w:val="baseline"/>
              </w:rPr>
            </w:pPr>
            <w:r>
              <w:rPr>
                <w:rFonts w:hint="eastAsia" w:ascii="宋体" w:hAnsi="宋体" w:eastAsia="宋体" w:cs="宋体"/>
                <w:sz w:val="24"/>
              </w:rPr>
              <w:t>甲方：广州市净水有限公司（盖章）</w:t>
            </w:r>
          </w:p>
        </w:tc>
        <w:tc>
          <w:tcPr>
            <w:tcW w:w="4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sz w:val="24"/>
                <w:vertAlign w:val="baseline"/>
              </w:rPr>
            </w:pPr>
            <w:r>
              <w:rPr>
                <w:rFonts w:hint="eastAsia" w:ascii="宋体" w:hAnsi="宋体" w:eastAsia="宋体" w:cs="宋体"/>
                <w:sz w:val="24"/>
              </w:rPr>
              <w:t>乙方：</w:t>
            </w:r>
            <w:r>
              <w:rPr>
                <w:rFonts w:hint="eastAsia" w:ascii="宋体" w:hAnsi="宋体" w:eastAsia="宋体" w:cs="宋体"/>
                <w:sz w:val="24"/>
                <w:lang w:val="en-US" w:eastAsia="zh-CN"/>
              </w:rPr>
              <w:t xml:space="preserve">                    </w:t>
            </w:r>
            <w:r>
              <w:rPr>
                <w:rFonts w:hint="eastAsia" w:ascii="宋体" w:hAnsi="宋体" w:eastAsia="宋体" w:cs="宋体"/>
                <w:sz w:val="24"/>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rPr>
            </w:pPr>
            <w:r>
              <w:rPr>
                <w:rFonts w:hint="eastAsia" w:ascii="宋体" w:hAnsi="宋体" w:eastAsia="宋体" w:cs="宋体"/>
                <w:sz w:val="24"/>
              </w:rPr>
              <w:t>法定代表或授权代理人：</w:t>
            </w:r>
          </w:p>
        </w:tc>
        <w:tc>
          <w:tcPr>
            <w:tcW w:w="4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sz w:val="24"/>
                <w:vertAlign w:val="baseline"/>
              </w:rPr>
            </w:pPr>
            <w:r>
              <w:rPr>
                <w:rFonts w:hint="eastAsia" w:ascii="宋体" w:hAnsi="宋体" w:eastAsia="宋体" w:cs="宋体"/>
                <w:sz w:val="24"/>
              </w:rPr>
              <w:t>法定代表或授权代理人：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地址：</w:t>
            </w:r>
          </w:p>
        </w:tc>
        <w:tc>
          <w:tcPr>
            <w:tcW w:w="4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sz w:val="24"/>
                <w:vertAlign w:val="baseline"/>
              </w:rPr>
            </w:pPr>
            <w:r>
              <w:rPr>
                <w:rFonts w:hint="eastAsia" w:ascii="宋体" w:hAnsi="宋体" w:eastAsia="宋体" w:cs="宋体"/>
                <w:sz w:val="24"/>
                <w:vertAlign w:val="baseline"/>
                <w:lang w:val="en-US" w:eastAsia="zh-CN"/>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sz w:val="24"/>
                <w:vertAlign w:val="baseline"/>
                <w:lang w:val="en-US" w:eastAsia="zh-CN"/>
              </w:rPr>
            </w:pPr>
            <w:r>
              <w:rPr>
                <w:rFonts w:hint="eastAsia" w:ascii="宋体" w:hAnsi="宋体" w:eastAsia="宋体" w:cs="宋体"/>
                <w:sz w:val="24"/>
                <w:vertAlign w:val="baseline"/>
                <w:lang w:val="en-US" w:eastAsia="zh-CN"/>
              </w:rPr>
              <w:t>经办人：</w:t>
            </w:r>
          </w:p>
        </w:tc>
        <w:tc>
          <w:tcPr>
            <w:tcW w:w="4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sz w:val="24"/>
                <w:vertAlign w:val="baseline"/>
              </w:rPr>
            </w:pPr>
            <w:r>
              <w:rPr>
                <w:rFonts w:hint="eastAsia" w:ascii="宋体" w:hAnsi="宋体" w:eastAsia="宋体" w:cs="宋体"/>
                <w:sz w:val="24"/>
                <w:vertAlign w:val="baseline"/>
                <w:lang w:val="en-US" w:eastAsia="zh-CN"/>
              </w:rPr>
              <w:t>经办人：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sz w:val="24"/>
                <w:vertAlign w:val="baseline"/>
              </w:rPr>
            </w:pPr>
            <w:r>
              <w:rPr>
                <w:rFonts w:hint="eastAsia" w:ascii="宋体" w:hAnsi="宋体" w:eastAsia="宋体" w:cs="宋体"/>
                <w:sz w:val="24"/>
              </w:rPr>
              <w:t>联系电话：</w:t>
            </w:r>
          </w:p>
        </w:tc>
        <w:tc>
          <w:tcPr>
            <w:tcW w:w="4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sz w:val="24"/>
                <w:vertAlign w:val="baseline"/>
              </w:rPr>
            </w:pPr>
            <w:r>
              <w:rPr>
                <w:rFonts w:hint="eastAsia" w:ascii="宋体" w:hAnsi="宋体" w:eastAsia="宋体" w:cs="宋体"/>
                <w:sz w:val="24"/>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sz w:val="24"/>
                <w:vertAlign w:val="baseline"/>
              </w:rPr>
            </w:pPr>
            <w:r>
              <w:rPr>
                <w:rFonts w:hint="eastAsia" w:ascii="宋体" w:hAnsi="宋体" w:eastAsia="宋体" w:cs="宋体"/>
                <w:sz w:val="24"/>
              </w:rPr>
              <w:t>传真：</w:t>
            </w:r>
          </w:p>
        </w:tc>
        <w:tc>
          <w:tcPr>
            <w:tcW w:w="4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sz w:val="24"/>
                <w:vertAlign w:val="baseline"/>
              </w:rPr>
            </w:pPr>
            <w:r>
              <w:rPr>
                <w:rFonts w:hint="eastAsia" w:ascii="宋体" w:hAnsi="宋体" w:eastAsia="宋体" w:cs="宋体"/>
                <w:sz w:val="24"/>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sz w:val="24"/>
                <w:vertAlign w:val="baseline"/>
              </w:rPr>
            </w:pPr>
            <w:r>
              <w:rPr>
                <w:rFonts w:hint="eastAsia" w:ascii="宋体" w:hAnsi="宋体" w:eastAsia="宋体" w:cs="宋体"/>
                <w:sz w:val="24"/>
              </w:rPr>
              <w:t>签署日期：</w:t>
            </w:r>
            <w:r>
              <w:rPr>
                <w:rFonts w:hint="eastAsia" w:ascii="宋体" w:hAnsi="宋体" w:eastAsia="宋体" w:cs="宋体"/>
                <w:sz w:val="24"/>
                <w:lang w:val="en-US" w:eastAsia="zh-CN"/>
              </w:rPr>
              <w:t xml:space="preserve">     </w:t>
            </w:r>
            <w:r>
              <w:rPr>
                <w:rFonts w:hint="eastAsia" w:ascii="宋体" w:hAnsi="宋体" w:eastAsia="宋体" w:cs="宋体"/>
                <w:sz w:val="24"/>
              </w:rPr>
              <w:t>年</w:t>
            </w:r>
            <w:r>
              <w:rPr>
                <w:rFonts w:hint="eastAsia" w:ascii="宋体" w:hAnsi="宋体" w:eastAsia="宋体" w:cs="宋体"/>
                <w:sz w:val="24"/>
                <w:lang w:val="en-US" w:eastAsia="zh-CN"/>
              </w:rPr>
              <w:t xml:space="preserve">   </w:t>
            </w:r>
            <w:r>
              <w:rPr>
                <w:rFonts w:hint="eastAsia" w:ascii="宋体" w:hAnsi="宋体" w:eastAsia="宋体" w:cs="宋体"/>
                <w:sz w:val="24"/>
              </w:rPr>
              <w:t>月</w:t>
            </w:r>
            <w:r>
              <w:rPr>
                <w:rFonts w:hint="eastAsia" w:ascii="宋体" w:hAnsi="宋体" w:eastAsia="宋体" w:cs="宋体"/>
                <w:sz w:val="24"/>
                <w:lang w:val="en-US" w:eastAsia="zh-CN"/>
              </w:rPr>
              <w:t xml:space="preserve">   </w:t>
            </w:r>
            <w:r>
              <w:rPr>
                <w:rFonts w:hint="eastAsia" w:ascii="宋体" w:hAnsi="宋体" w:eastAsia="宋体" w:cs="宋体"/>
                <w:sz w:val="24"/>
              </w:rPr>
              <w:t>日</w:t>
            </w:r>
          </w:p>
        </w:tc>
        <w:tc>
          <w:tcPr>
            <w:tcW w:w="49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sz w:val="24"/>
                <w:vertAlign w:val="baseline"/>
              </w:rPr>
            </w:pPr>
            <w:r>
              <w:rPr>
                <w:rFonts w:hint="eastAsia" w:ascii="宋体" w:hAnsi="宋体" w:eastAsia="宋体" w:cs="宋体"/>
                <w:sz w:val="24"/>
              </w:rPr>
              <w:t>签署日期：</w:t>
            </w:r>
            <w:r>
              <w:rPr>
                <w:rFonts w:hint="eastAsia" w:ascii="宋体" w:hAnsi="宋体" w:eastAsia="宋体" w:cs="宋体"/>
                <w:sz w:val="24"/>
                <w:lang w:val="en-US" w:eastAsia="zh-CN"/>
              </w:rPr>
              <w:t xml:space="preserve">     </w:t>
            </w:r>
            <w:r>
              <w:rPr>
                <w:rFonts w:hint="eastAsia" w:ascii="宋体" w:hAnsi="宋体" w:eastAsia="宋体" w:cs="宋体"/>
                <w:sz w:val="24"/>
              </w:rPr>
              <w:t>年</w:t>
            </w:r>
            <w:r>
              <w:rPr>
                <w:rFonts w:hint="eastAsia" w:ascii="宋体" w:hAnsi="宋体" w:eastAsia="宋体" w:cs="宋体"/>
                <w:sz w:val="24"/>
                <w:lang w:val="en-US" w:eastAsia="zh-CN"/>
              </w:rPr>
              <w:t xml:space="preserve">   </w:t>
            </w:r>
            <w:r>
              <w:rPr>
                <w:rFonts w:hint="eastAsia" w:ascii="宋体" w:hAnsi="宋体" w:eastAsia="宋体" w:cs="宋体"/>
                <w:sz w:val="24"/>
              </w:rPr>
              <w:t>月</w:t>
            </w:r>
            <w:r>
              <w:rPr>
                <w:rFonts w:hint="eastAsia" w:ascii="宋体" w:hAnsi="宋体" w:eastAsia="宋体" w:cs="宋体"/>
                <w:sz w:val="24"/>
                <w:lang w:val="en-US" w:eastAsia="zh-CN"/>
              </w:rPr>
              <w:t xml:space="preserve">   </w:t>
            </w:r>
            <w:r>
              <w:rPr>
                <w:rFonts w:hint="eastAsia" w:ascii="宋体" w:hAnsi="宋体" w:eastAsia="宋体" w:cs="宋体"/>
                <w:sz w:val="24"/>
              </w:rPr>
              <w:t>日</w:t>
            </w:r>
          </w:p>
        </w:tc>
      </w:tr>
    </w:tbl>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宋体" w:hAnsi="宋体" w:eastAsia="宋体" w:cs="宋体"/>
          <w:sz w:val="24"/>
        </w:rPr>
      </w:pPr>
    </w:p>
    <w:p>
      <w:pPr>
        <w:pStyle w:val="7"/>
      </w:pPr>
    </w:p>
    <w:p>
      <w:pPr>
        <w:rPr>
          <w:rFonts w:hint="eastAsia" w:ascii="宋体" w:hAnsi="宋体" w:cs="宋体"/>
          <w:b/>
          <w:bCs/>
          <w:szCs w:val="21"/>
        </w:rPr>
      </w:pPr>
      <w:r>
        <w:rPr>
          <w:rFonts w:hint="eastAsia" w:ascii="宋体" w:hAnsi="宋体" w:cs="宋体"/>
          <w:b/>
          <w:bCs/>
          <w:szCs w:val="21"/>
        </w:rPr>
        <w:br w:type="page"/>
      </w:r>
    </w:p>
    <w:p>
      <w:pPr>
        <w:spacing w:line="360" w:lineRule="auto"/>
        <w:outlineLvl w:val="2"/>
        <w:rPr>
          <w:rFonts w:hint="eastAsia" w:ascii="宋体" w:hAnsi="宋体" w:eastAsia="宋体" w:cs="宋体"/>
          <w:b/>
          <w:bCs/>
          <w:szCs w:val="21"/>
        </w:rPr>
      </w:pPr>
      <w:r>
        <w:rPr>
          <w:rFonts w:hint="eastAsia" w:ascii="宋体" w:hAnsi="宋体" w:eastAsia="宋体" w:cs="宋体"/>
          <w:b/>
          <w:bCs/>
          <w:szCs w:val="21"/>
        </w:rPr>
        <w:t>附件1</w:t>
      </w:r>
      <w:r>
        <w:rPr>
          <w:rFonts w:hint="eastAsia" w:ascii="宋体" w:hAnsi="宋体" w:eastAsia="宋体" w:cs="宋体"/>
          <w:b/>
          <w:bCs/>
          <w:szCs w:val="21"/>
          <w:lang w:eastAsia="zh-CN"/>
        </w:rPr>
        <w:t>：</w:t>
      </w:r>
      <w:r>
        <w:rPr>
          <w:rFonts w:hint="eastAsia" w:ascii="宋体" w:hAnsi="宋体" w:eastAsia="宋体" w:cs="宋体"/>
          <w:b/>
          <w:bCs/>
          <w:szCs w:val="21"/>
        </w:rPr>
        <w:t>中标通知书/发包通知书/委托函（如有）</w:t>
      </w:r>
    </w:p>
    <w:p>
      <w:pPr>
        <w:spacing w:line="360" w:lineRule="auto"/>
        <w:outlineLvl w:val="2"/>
        <w:rPr>
          <w:rFonts w:hint="eastAsia" w:ascii="宋体" w:hAnsi="宋体" w:eastAsia="宋体" w:cs="宋体"/>
          <w:b/>
          <w:bCs/>
          <w:szCs w:val="21"/>
        </w:rPr>
      </w:pPr>
      <w:bookmarkStart w:id="89" w:name="_Toc389815339"/>
      <w:bookmarkStart w:id="90" w:name="_Toc387080836"/>
      <w:bookmarkStart w:id="91" w:name="_Toc389815031"/>
      <w:r>
        <w:rPr>
          <w:rFonts w:hint="eastAsia" w:ascii="宋体" w:hAnsi="宋体" w:eastAsia="宋体" w:cs="宋体"/>
          <w:b/>
          <w:bCs/>
          <w:szCs w:val="21"/>
        </w:rPr>
        <w:t>附件2：廉洁协议</w:t>
      </w:r>
    </w:p>
    <w:p>
      <w:pPr>
        <w:spacing w:line="560" w:lineRule="exact"/>
        <w:jc w:val="center"/>
        <w:rPr>
          <w:rFonts w:hint="eastAsia" w:ascii="宋体" w:hAnsi="宋体" w:eastAsia="宋体" w:cs="宋体"/>
          <w:b/>
          <w:bCs w:val="0"/>
          <w:sz w:val="36"/>
          <w:szCs w:val="36"/>
          <w:u w:val="none"/>
        </w:rPr>
      </w:pPr>
      <w:r>
        <w:rPr>
          <w:rFonts w:hint="eastAsia" w:ascii="宋体" w:hAnsi="宋体" w:eastAsia="宋体" w:cs="宋体"/>
          <w:b/>
          <w:bCs w:val="0"/>
          <w:sz w:val="36"/>
          <w:szCs w:val="36"/>
          <w:u w:val="none"/>
        </w:rPr>
        <w:t>廉洁协议</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为促进双方诚信经营、廉洁从业，防范商业贿赂，保护国家、集体和当事人的合法权益，根据国家有关法律法规和广东省、广州市廉政建设的规定，广州市净水有限公司(以下称甲方)与(以下称乙方)，特此订立本协议共同遵照执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第一条 甲乙双方的权利和义务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（一）甲乙双方严格遵守国家关于市场准入、项目招标投标、市场经营活动等有关法律、法规相关政策及廉政建设的各项规定。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（二）严格执行       合同（以下简称：主合同），自觉履行合同约定的相关义务。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（三）在业务活动中坚持公开、公正、诚信、透明的原则，不得损害国家、集体利益。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（四）建立健全廉洁从业制度，开展廉洁教育，公布举报电话，监督并认真查处不廉洁及违法违纪行为。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（五）发现对方在业务活动中有不廉洁行为，应及时提醒对方纠正。情节严重的，应向其有关监督部门检举。</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第二条甲方的义务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（一）甲方及其工作人员不得索要或接受乙方的礼金、有价证券和贵重物品，不得在乙方报销任何应由甲方或个人支付的费用等。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（三）甲方及其工作人员不得要求或者接受乙方为其住房装修、婚丧嫁娶活动、配偶子女工作安排以及出国出境、旅游等提供方便等。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（四）甲方工作人员不得在乙方或与乙方有股权关联的企业兼职，不得向乙方介绍家属或者亲友从事与甲方业务有关的经济活动。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（六）甲方工作人员不得利用职务之便收受乙方以回扣、手续费、加班费、咨询费、劳务费、协调费、辛苦费等各种名义给予或赠送的钱物。</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（七）甲方工作人员不得接受乙方给予或赠送的干股或红利。</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(八）不得存在其他违反廉洁规定的行为。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第三条乙方的义务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（一）乙方不得以任何理由向甲方及其工作人员行贿或馈赠礼金、有价证券、贵重礼品。</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（二)乙方不得以任何名义为甲方及其工作人员报销应由甲方单位或个人支付的任何费用。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（三）乙方不得以任何理由安排甲方工作人员参加可能影响相关业务公开、公正、公平性的宴请及娱乐活动。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（四）乙方不得为甲方单位和个人购置或提供通讯工具和高档办公用品等物品，也不得为甲方提供与工作无关的房屋、汽车等。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（五）乙方不得擅自与甲方工作人员就主合同中的质量、数量、价格、工程量、验收等条款进行私下商谈或者达成默契。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（六）乙方不得以回扣、手续费、加班费、咨询费、劳务费、协调费、辛苦费等各种名义向甲方工作人员给予或赠送钱物。</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（七）乙方不得向甲方工作人员提供干股或红利。</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(八）不得存在其他违反廉洁规定的行为。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第四条违约责任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甲方举报投诉联系部门：广州市净水有限公司纪检室，联系电话： 020-38890265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二）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1、扣除主合同的全部履约保证金；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2、解除主合同；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3、追究乙方其他违约责任；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4、根据甲方的有关规章制度，在一定时间内暂停乙方参与甲方及下属单位所有项目的交易资格；</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5、根据甲方的有关规章制度，将乙方清退出甲方相关企业库；</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6、根据甲方上级单位、行政主管部门的意见、决定执行；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7、按规定向有关行政监督部门、乙方业务管理部门进行投诉、报告。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乙方无条件接受甲方的处理决定并承担给甲方造成的损失，全额返还通过不正当手段获取的非法所得，并承担相应的法律责任。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 xml:space="preserve">第五条 本协议执行情况，接受有管辖权的纪检、监察部门的监督，双方应予以配合检查调查。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第六条本协议作为（合同名称）+（合同编号）合同的附件，并具有同等的法律效力，本协议自双方签字盖章之日起生效，与主合同同时终止。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第七条本协议一式…份，甲方…份，乙方…份。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甲方（盖章）：                     乙方（盖章）：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签约代表：                         签约代表：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日期:    年  月  日</w:t>
      </w:r>
      <w:r>
        <w:rPr>
          <w:rFonts w:hint="eastAsia" w:ascii="宋体" w:hAnsi="宋体" w:eastAsia="宋体" w:cs="宋体"/>
          <w:sz w:val="24"/>
        </w:rPr>
        <w:tab/>
      </w:r>
      <w:r>
        <w:rPr>
          <w:rFonts w:hint="eastAsia" w:ascii="宋体" w:hAnsi="宋体" w:eastAsia="宋体" w:cs="宋体"/>
          <w:sz w:val="24"/>
          <w:lang w:val="en-US" w:eastAsia="zh-CN"/>
        </w:rPr>
        <w:t xml:space="preserve">               </w:t>
      </w:r>
      <w:r>
        <w:rPr>
          <w:rFonts w:hint="eastAsia" w:ascii="宋体" w:hAnsi="宋体" w:eastAsia="宋体" w:cs="宋体"/>
          <w:sz w:val="24"/>
        </w:rPr>
        <w:t>日期：  年  月  日</w:t>
      </w:r>
    </w:p>
    <w:p>
      <w:pPr>
        <w:rPr>
          <w:rFonts w:hint="eastAsia" w:ascii="宋体" w:hAnsi="宋体" w:cs="宋体"/>
          <w:b/>
          <w:szCs w:val="21"/>
        </w:rPr>
      </w:pPr>
    </w:p>
    <w:p>
      <w:pPr>
        <w:spacing w:line="360" w:lineRule="auto"/>
        <w:outlineLvl w:val="2"/>
        <w:rPr>
          <w:rFonts w:hint="eastAsia" w:ascii="宋体" w:hAnsi="宋体" w:eastAsia="宋体" w:cs="宋体"/>
          <w:b/>
          <w:bCs/>
          <w:szCs w:val="21"/>
        </w:rPr>
      </w:pPr>
      <w:r>
        <w:rPr>
          <w:rFonts w:hint="eastAsia" w:ascii="宋体" w:hAnsi="宋体" w:eastAsia="宋体" w:cs="宋体"/>
          <w:b/>
          <w:bCs/>
          <w:szCs w:val="21"/>
        </w:rPr>
        <w:t>附件</w:t>
      </w:r>
      <w:r>
        <w:rPr>
          <w:rFonts w:hint="eastAsia" w:ascii="宋体" w:hAnsi="宋体" w:eastAsia="宋体" w:cs="宋体"/>
          <w:b/>
          <w:bCs/>
          <w:szCs w:val="21"/>
          <w:lang w:val="en-US" w:eastAsia="zh-CN"/>
        </w:rPr>
        <w:t>3</w:t>
      </w:r>
      <w:r>
        <w:rPr>
          <w:rFonts w:hint="eastAsia" w:ascii="宋体" w:hAnsi="宋体" w:eastAsia="宋体" w:cs="宋体"/>
          <w:b/>
          <w:bCs/>
          <w:szCs w:val="21"/>
        </w:rPr>
        <w:t>：</w:t>
      </w:r>
      <w:bookmarkEnd w:id="89"/>
      <w:bookmarkEnd w:id="90"/>
      <w:bookmarkEnd w:id="91"/>
      <w:r>
        <w:rPr>
          <w:rFonts w:hint="eastAsia" w:ascii="宋体" w:hAnsi="宋体" w:eastAsia="宋体" w:cs="宋体"/>
          <w:b/>
          <w:bCs/>
          <w:szCs w:val="21"/>
        </w:rPr>
        <w:t>安全管理协议书</w:t>
      </w:r>
    </w:p>
    <w:p>
      <w:pPr>
        <w:spacing w:line="560" w:lineRule="exact"/>
        <w:jc w:val="center"/>
        <w:rPr>
          <w:rFonts w:hint="eastAsia" w:ascii="宋体" w:hAnsi="宋体" w:eastAsia="宋体" w:cs="宋体"/>
          <w:b/>
          <w:bCs w:val="0"/>
          <w:sz w:val="36"/>
          <w:szCs w:val="36"/>
          <w:u w:val="none"/>
        </w:rPr>
      </w:pPr>
      <w:r>
        <w:rPr>
          <w:rFonts w:hint="eastAsia" w:ascii="宋体" w:hAnsi="宋体" w:eastAsia="宋体" w:cs="宋体"/>
          <w:b/>
          <w:bCs w:val="0"/>
          <w:sz w:val="36"/>
          <w:szCs w:val="36"/>
          <w:u w:val="none"/>
        </w:rPr>
        <w:t>营运场所施工安全协议书</w:t>
      </w:r>
    </w:p>
    <w:p>
      <w:pPr>
        <w:spacing w:line="560" w:lineRule="exact"/>
        <w:rPr>
          <w:rFonts w:ascii="仿宋_GB2312" w:hAnsi="宋体" w:eastAsia="仿宋_GB2312"/>
          <w:sz w:val="24"/>
        </w:rPr>
      </w:pPr>
    </w:p>
    <w:p>
      <w:pPr>
        <w:keepNext w:val="0"/>
        <w:keepLines w:val="0"/>
        <w:pageBreakBefore w:val="0"/>
        <w:widowControl w:val="0"/>
        <w:kinsoku/>
        <w:wordWrap/>
        <w:overflowPunct/>
        <w:topLinePunct w:val="0"/>
        <w:autoSpaceDE/>
        <w:autoSpaceDN/>
        <w:bidi w:val="0"/>
        <w:spacing w:line="600" w:lineRule="exact"/>
        <w:textAlignment w:val="auto"/>
        <w:rPr>
          <w:rFonts w:ascii="宋体" w:hAnsi="宋体" w:cs="Arial"/>
          <w:kern w:val="0"/>
          <w:sz w:val="24"/>
          <w:szCs w:val="24"/>
        </w:rPr>
      </w:pPr>
      <w:bookmarkStart w:id="92" w:name="_Toc21391"/>
      <w:r>
        <w:rPr>
          <w:rFonts w:hint="eastAsia" w:ascii="宋体" w:hAnsi="宋体" w:cs="Arial"/>
          <w:kern w:val="0"/>
          <w:sz w:val="24"/>
          <w:szCs w:val="24"/>
        </w:rPr>
        <w:t>甲方：</w:t>
      </w:r>
      <w:r>
        <w:rPr>
          <w:rFonts w:hint="eastAsia"/>
          <w:sz w:val="24"/>
          <w:szCs w:val="24"/>
        </w:rPr>
        <w:t>广州市净水有限公司</w:t>
      </w:r>
    </w:p>
    <w:p>
      <w:pPr>
        <w:keepNext w:val="0"/>
        <w:keepLines w:val="0"/>
        <w:pageBreakBefore w:val="0"/>
        <w:widowControl w:val="0"/>
        <w:kinsoku/>
        <w:wordWrap/>
        <w:overflowPunct/>
        <w:topLinePunct w:val="0"/>
        <w:autoSpaceDE/>
        <w:autoSpaceDN/>
        <w:bidi w:val="0"/>
        <w:spacing w:line="600" w:lineRule="exact"/>
        <w:textAlignment w:val="auto"/>
        <w:rPr>
          <w:rFonts w:ascii="宋体" w:hAnsi="宋体" w:cs="Arial"/>
          <w:kern w:val="0"/>
          <w:sz w:val="24"/>
          <w:szCs w:val="24"/>
        </w:rPr>
      </w:pPr>
      <w:r>
        <w:rPr>
          <w:rFonts w:hint="eastAsia" w:ascii="宋体" w:hAnsi="宋体" w:cs="Arial"/>
          <w:kern w:val="0"/>
          <w:sz w:val="24"/>
          <w:szCs w:val="24"/>
        </w:rPr>
        <w:t xml:space="preserve">乙方： </w:t>
      </w: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Style w:val="29"/>
          <w:rFonts w:asciiTheme="minorEastAsia" w:hAnsiTheme="minorEastAsia"/>
          <w:b w:val="0"/>
          <w:sz w:val="24"/>
          <w:szCs w:val="24"/>
          <w:u w:val="single"/>
        </w:rPr>
      </w:pPr>
    </w:p>
    <w:bookmarkEnd w:id="92"/>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根据《中华人民共和国安全生产法》《中华人民共和国建筑法》《建设工程安全生产管理条例》《生产安全事故报告和调查处理条例》《中华人民共和国职业病防治法》《工作场所职业卫生管理规定》《用人单位职业健康监护监督管理办法》《广州市职业卫生监督管理规定》等法律法规, 经双方协商，签订本协议书，以明确各自的安全生产、职业卫生责任并共同遵守。</w:t>
      </w:r>
    </w:p>
    <w:p>
      <w:pPr>
        <w:keepNext w:val="0"/>
        <w:keepLines w:val="0"/>
        <w:pageBreakBefore w:val="0"/>
        <w:widowControl w:val="0"/>
        <w:kinsoku/>
        <w:wordWrap/>
        <w:overflowPunct/>
        <w:topLinePunct w:val="0"/>
        <w:autoSpaceDE/>
        <w:autoSpaceDN/>
        <w:bidi w:val="0"/>
        <w:adjustRightInd w:val="0"/>
        <w:snapToGrid w:val="0"/>
        <w:spacing w:line="600" w:lineRule="exact"/>
        <w:ind w:firstLine="482" w:firstLineChars="200"/>
        <w:jc w:val="left"/>
        <w:textAlignment w:val="auto"/>
        <w:rPr>
          <w:rFonts w:asciiTheme="minorEastAsia" w:hAnsiTheme="minorEastAsia"/>
          <w:b/>
          <w:sz w:val="24"/>
          <w:szCs w:val="24"/>
        </w:rPr>
      </w:pPr>
      <w:r>
        <w:rPr>
          <w:rFonts w:hint="eastAsia" w:asciiTheme="minorEastAsia" w:hAnsiTheme="minorEastAsia"/>
          <w:b/>
          <w:sz w:val="24"/>
          <w:szCs w:val="24"/>
        </w:rPr>
        <w:t>一、本协议与主合同的关系</w:t>
      </w:r>
    </w:p>
    <w:p>
      <w:pPr>
        <w:keepNext w:val="0"/>
        <w:keepLines w:val="0"/>
        <w:pageBreakBefore w:val="0"/>
        <w:widowControl w:val="0"/>
        <w:kinsoku/>
        <w:wordWrap/>
        <w:overflowPunct/>
        <w:topLinePunct w:val="0"/>
        <w:autoSpaceDE/>
        <w:autoSpaceDN/>
        <w:bidi w:val="0"/>
        <w:adjustRightInd w:val="0"/>
        <w:snapToGrid w:val="0"/>
        <w:spacing w:line="6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本协议作为</w:t>
      </w:r>
      <w:r>
        <w:rPr>
          <w:rFonts w:hint="eastAsia" w:asciiTheme="minorEastAsia" w:hAnsiTheme="minorEastAsia"/>
          <w:sz w:val="24"/>
          <w:szCs w:val="24"/>
          <w:u w:val="single"/>
        </w:rPr>
        <w:t xml:space="preserve">                          </w:t>
      </w:r>
      <w:r>
        <w:rPr>
          <w:rFonts w:hint="eastAsia" w:asciiTheme="minorEastAsia" w:hAnsiTheme="minorEastAsia"/>
          <w:sz w:val="24"/>
          <w:szCs w:val="24"/>
        </w:rPr>
        <w:t>的组成部分，与主合同具有同等法律效力。</w:t>
      </w:r>
    </w:p>
    <w:p>
      <w:pPr>
        <w:keepNext w:val="0"/>
        <w:keepLines w:val="0"/>
        <w:pageBreakBefore w:val="0"/>
        <w:widowControl w:val="0"/>
        <w:kinsoku/>
        <w:wordWrap/>
        <w:overflowPunct/>
        <w:topLinePunct w:val="0"/>
        <w:autoSpaceDE/>
        <w:autoSpaceDN/>
        <w:bidi w:val="0"/>
        <w:adjustRightInd w:val="0"/>
        <w:snapToGrid w:val="0"/>
        <w:spacing w:line="600" w:lineRule="exact"/>
        <w:ind w:firstLine="482" w:firstLineChars="200"/>
        <w:jc w:val="left"/>
        <w:textAlignment w:val="auto"/>
        <w:rPr>
          <w:rFonts w:asciiTheme="minorEastAsia" w:hAnsiTheme="minorEastAsia"/>
          <w:b/>
          <w:sz w:val="24"/>
          <w:szCs w:val="24"/>
        </w:rPr>
      </w:pPr>
      <w:r>
        <w:rPr>
          <w:rFonts w:asciiTheme="minorEastAsia" w:hAnsiTheme="minorEastAsia"/>
          <w:b/>
          <w:sz w:val="24"/>
          <w:szCs w:val="24"/>
        </w:rPr>
        <w:t>二、</w:t>
      </w:r>
      <w:r>
        <w:rPr>
          <w:rFonts w:hint="eastAsia" w:asciiTheme="minorEastAsia" w:hAnsiTheme="minorEastAsia"/>
          <w:b/>
          <w:sz w:val="24"/>
          <w:szCs w:val="24"/>
        </w:rPr>
        <w:t>甲方权责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（一）在甲方生产营运场所内施工的，告知乙方该场所已知存在的安全风险，并要求乙方在作业前应重新识别现场的安全风险并采取措施进行管控。</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（二）落实生产营运等相关配合措施，提供必要的施工条件。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（三）要求乙方遵守的甲方安全管理要求。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（四）有权对乙方安全措施投入、现场安全施工情况等进行安全监督检查，并提出整改。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（五）按照《广州市净水有限公司工程项目安全管理规范》等办法对乙方进行施工安全管理评价。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（六）对于乙方不服从甲方管理，违反安全生产管理规定等违约行为的，甲方有权对乙方采取以下一种或以上的方式处理：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1.按主合同相关条款进行经济扣罚；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根据《广州市水务局关于印发广州市水务工程施工和监理企业诚信评价管理办法的通知》（穗水建设〔2014〕10号）、《市净水公司关于印发施工和监理企业诚信评价工作实施办法的通知》（穗净水〔2015〕240号），进行诚信扣分（合同期内有新的文件印发的，按照最新的文件执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3.限制投保，或经其他单位承包后以分别方参与项目实施；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4.向上级进行反映，包括但不限于广东省市政行业协会、广州市市政公路协会等。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（七）乙方对存在问题拒不整改的，或存在弄虚作假情况的，视为违约，甲方有权按主合同相关条款对乙方进行违约金扣罚。如乙方拒不缴纳违约金的，甲方有权在履约保证金中扣除。</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sz w:val="24"/>
        </w:rPr>
      </w:pPr>
      <w:r>
        <w:rPr>
          <w:rFonts w:hint="eastAsia" w:ascii="宋体" w:hAnsi="宋体" w:eastAsia="宋体" w:cs="宋体"/>
          <w:b/>
          <w:bCs/>
          <w:sz w:val="24"/>
        </w:rPr>
        <w:t>三、乙方权责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（一）在施工前重新识别现场的安全风险并采取措施进行管控。大型机械设备进场，需提前对设备行走、运输路线进行勘查，确保行走、运输过程中不会造成各种设施的破坏或二次事故。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（二）严格执行国家、地方和行业主管部门关于施工的强制性标准、地方行政法规、管理要求。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依法为施工现场作业的人员办理意外伤害保险、购买安全生产责任保险。</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（三）乙方应在合同签订后    日内制定安全生产文明施工措施费投入使用计划，并提交甲方备案，保证施工安全措施投入。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（四）严格按照甲方制定的《广州市净水有限公司工程项目安全管理规范》要求，落实各项安全管理工作。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根据当前国家、行业或甲方近期安全管理的突出方面，或针对项目实际，有针对性地开展安全管理工作，接受甲方的安全管理评价。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配合甲方的安全监督检查，并立即对提出的问题隐患进行整改。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（五）落实人员实名制，在签订主合同前提供本项目全体人员已通过三级安全教育及职业健康体检的证明，确保全员没有职业病，禁止有职业禁忌证的人员从事禁忌证相关工作。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乙方该项目的管理人员、作业人员（包括分包人员）每年由乙方单位依法开展安全生产教育培训，并保存好相关培训证明备查。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施工过程中，项目管理人员、作业人员（包括分包人员）需进行调整的，必须书面向甲方请示，并获得甲方批准后方可执行变更。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（六）建立应急管理体系，编制应急预案和现场处置方案，并定期组织开展应急演练。施工现场，乙方应根据施工方案在施工现场配置应急救援物资，并做好应急救援物资的定期检查，确保完好、有效。</w:t>
      </w:r>
    </w:p>
    <w:p>
      <w:pPr>
        <w:keepNext w:val="0"/>
        <w:keepLines w:val="0"/>
        <w:pageBreakBefore w:val="0"/>
        <w:widowControl w:val="0"/>
        <w:kinsoku/>
        <w:wordWrap/>
        <w:overflowPunct/>
        <w:topLinePunct w:val="0"/>
        <w:autoSpaceDE/>
        <w:autoSpaceDN/>
        <w:bidi w:val="0"/>
        <w:adjustRightInd w:val="0"/>
        <w:snapToGrid w:val="0"/>
        <w:spacing w:line="6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（七）发生突发事件时，应立即报甲方，并同时积极主动地开展应急救援，采取有效措施将事故影响控制在最小范围内。</w:t>
      </w:r>
    </w:p>
    <w:p>
      <w:pPr>
        <w:keepNext w:val="0"/>
        <w:keepLines w:val="0"/>
        <w:pageBreakBefore w:val="0"/>
        <w:widowControl w:val="0"/>
        <w:kinsoku/>
        <w:wordWrap/>
        <w:overflowPunct/>
        <w:topLinePunct w:val="0"/>
        <w:autoSpaceDE/>
        <w:autoSpaceDN/>
        <w:bidi w:val="0"/>
        <w:adjustRightInd w:val="0"/>
        <w:snapToGrid w:val="0"/>
        <w:spacing w:line="6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（八）严格履行本协议，遵守甲方各项管理规定，服从管理。</w:t>
      </w:r>
    </w:p>
    <w:p>
      <w:pPr>
        <w:keepNext w:val="0"/>
        <w:keepLines w:val="0"/>
        <w:pageBreakBefore w:val="0"/>
        <w:widowControl w:val="0"/>
        <w:kinsoku/>
        <w:wordWrap/>
        <w:overflowPunct/>
        <w:topLinePunct w:val="0"/>
        <w:autoSpaceDE/>
        <w:autoSpaceDN/>
        <w:bidi w:val="0"/>
        <w:adjustRightInd w:val="0"/>
        <w:snapToGrid w:val="0"/>
        <w:spacing w:line="6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（九）对甲方的违章指挥，拒绝执行，但需书面明确指出甲方所违反的具体法律法规、标准规范等。</w:t>
      </w:r>
    </w:p>
    <w:p>
      <w:pPr>
        <w:keepNext w:val="0"/>
        <w:keepLines w:val="0"/>
        <w:pageBreakBefore w:val="0"/>
        <w:widowControl w:val="0"/>
        <w:kinsoku/>
        <w:wordWrap/>
        <w:overflowPunct/>
        <w:topLinePunct w:val="0"/>
        <w:autoSpaceDE/>
        <w:autoSpaceDN/>
        <w:bidi w:val="0"/>
        <w:adjustRightInd w:val="0"/>
        <w:snapToGrid w:val="0"/>
        <w:spacing w:line="6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（十）乙方委托的第三方运输单位或个人，违反本协议的，全部责任均由乙方承担。</w:t>
      </w:r>
    </w:p>
    <w:p>
      <w:pPr>
        <w:keepNext w:val="0"/>
        <w:keepLines w:val="0"/>
        <w:pageBreakBefore w:val="0"/>
        <w:widowControl w:val="0"/>
        <w:kinsoku/>
        <w:wordWrap/>
        <w:overflowPunct/>
        <w:topLinePunct w:val="0"/>
        <w:autoSpaceDE/>
        <w:autoSpaceDN/>
        <w:bidi w:val="0"/>
        <w:adjustRightInd w:val="0"/>
        <w:snapToGrid w:val="0"/>
        <w:spacing w:line="600" w:lineRule="exact"/>
        <w:ind w:firstLine="482" w:firstLineChars="200"/>
        <w:jc w:val="left"/>
        <w:textAlignment w:val="auto"/>
        <w:rPr>
          <w:rFonts w:asciiTheme="minorEastAsia" w:hAnsiTheme="minorEastAsia"/>
          <w:b/>
          <w:sz w:val="24"/>
          <w:szCs w:val="24"/>
        </w:rPr>
      </w:pPr>
      <w:r>
        <w:rPr>
          <w:rFonts w:hint="eastAsia" w:asciiTheme="minorEastAsia" w:hAnsiTheme="minorEastAsia"/>
          <w:b/>
          <w:sz w:val="24"/>
          <w:szCs w:val="24"/>
        </w:rPr>
        <w:t>四、事故责任</w:t>
      </w:r>
    </w:p>
    <w:p>
      <w:pPr>
        <w:keepNext w:val="0"/>
        <w:keepLines w:val="0"/>
        <w:pageBreakBefore w:val="0"/>
        <w:widowControl w:val="0"/>
        <w:kinsoku/>
        <w:wordWrap/>
        <w:overflowPunct/>
        <w:topLinePunct w:val="0"/>
        <w:autoSpaceDE/>
        <w:autoSpaceDN/>
        <w:bidi w:val="0"/>
        <w:adjustRightInd w:val="0"/>
        <w:snapToGrid w:val="0"/>
        <w:spacing w:line="6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（一）在乙方承包范围内，由于乙方责任发生生产安全事故时，造成的甲方、乙方或者第三方人身伤害事故，乙方负全部责任。</w:t>
      </w:r>
    </w:p>
    <w:p>
      <w:pPr>
        <w:keepNext w:val="0"/>
        <w:keepLines w:val="0"/>
        <w:pageBreakBefore w:val="0"/>
        <w:widowControl w:val="0"/>
        <w:kinsoku/>
        <w:wordWrap/>
        <w:overflowPunct/>
        <w:topLinePunct w:val="0"/>
        <w:autoSpaceDE/>
        <w:autoSpaceDN/>
        <w:bidi w:val="0"/>
        <w:adjustRightInd w:val="0"/>
        <w:snapToGrid w:val="0"/>
        <w:spacing w:line="6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（二）乙方人员违规进入甲方或第三方承包区域，造成事故的，乙方负全部事故责任；乙方人员遭受人身伤害的，乙方负全部责任。</w:t>
      </w:r>
    </w:p>
    <w:p>
      <w:pPr>
        <w:keepNext w:val="0"/>
        <w:keepLines w:val="0"/>
        <w:pageBreakBefore w:val="0"/>
        <w:widowControl w:val="0"/>
        <w:kinsoku/>
        <w:wordWrap/>
        <w:overflowPunct/>
        <w:topLinePunct w:val="0"/>
        <w:autoSpaceDE/>
        <w:autoSpaceDN/>
        <w:bidi w:val="0"/>
        <w:adjustRightInd w:val="0"/>
        <w:snapToGrid w:val="0"/>
        <w:spacing w:line="6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keepNext w:val="0"/>
        <w:keepLines w:val="0"/>
        <w:pageBreakBefore w:val="0"/>
        <w:widowControl w:val="0"/>
        <w:kinsoku/>
        <w:wordWrap/>
        <w:overflowPunct/>
        <w:topLinePunct w:val="0"/>
        <w:autoSpaceDE/>
        <w:autoSpaceDN/>
        <w:bidi w:val="0"/>
        <w:adjustRightInd w:val="0"/>
        <w:snapToGrid w:val="0"/>
        <w:spacing w:line="6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（四）乙方在甲方生产区域内发生生产安全事故后，必须在第一时间向甲方报告，迟报或者隐瞒不报生产安全事故，承担事故的全部责任。</w:t>
      </w:r>
    </w:p>
    <w:p>
      <w:pPr>
        <w:keepNext w:val="0"/>
        <w:keepLines w:val="0"/>
        <w:pageBreakBefore w:val="0"/>
        <w:widowControl w:val="0"/>
        <w:kinsoku/>
        <w:wordWrap/>
        <w:overflowPunct/>
        <w:topLinePunct w:val="0"/>
        <w:autoSpaceDE/>
        <w:autoSpaceDN/>
        <w:bidi w:val="0"/>
        <w:adjustRightInd w:val="0"/>
        <w:snapToGrid w:val="0"/>
        <w:spacing w:line="6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（五）乙方各类人员在甲方生产区域内发生人身伤害事故和其他事故，乙方应开展调查、处理、统计、上报并向甲方报告，配合甲方及有关部门开展事故调查。</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45"/>
        <w:keepNext w:val="0"/>
        <w:keepLines w:val="0"/>
        <w:pageBreakBefore w:val="0"/>
        <w:widowControl w:val="0"/>
        <w:kinsoku/>
        <w:wordWrap/>
        <w:overflowPunct/>
        <w:topLinePunct w:val="0"/>
        <w:autoSpaceDE/>
        <w:autoSpaceDN/>
        <w:bidi w:val="0"/>
        <w:spacing w:line="600" w:lineRule="exact"/>
        <w:ind w:firstLine="482" w:firstLineChars="200"/>
        <w:textAlignment w:val="auto"/>
        <w:rPr>
          <w:rFonts w:asciiTheme="minorEastAsia" w:hAnsiTheme="minorEastAsia"/>
          <w:sz w:val="24"/>
          <w:szCs w:val="24"/>
        </w:rPr>
      </w:pPr>
      <w:r>
        <w:rPr>
          <w:rFonts w:hint="eastAsia" w:asciiTheme="minorEastAsia" w:hAnsiTheme="minorEastAsia"/>
          <w:b/>
          <w:sz w:val="24"/>
          <w:szCs w:val="24"/>
        </w:rPr>
        <w:t>五、补充条款：</w:t>
      </w:r>
      <w:r>
        <w:rPr>
          <w:rFonts w:asciiTheme="minorEastAsia" w:hAnsiTheme="minorEastAsia"/>
          <w:sz w:val="24"/>
          <w:szCs w:val="24"/>
          <w:u w:val="single"/>
        </w:rPr>
        <w:t xml:space="preserve">                 </w:t>
      </w:r>
      <w:r>
        <w:rPr>
          <w:rFonts w:hint="eastAsia" w:asciiTheme="minorEastAsia" w:hAnsiTheme="minorEastAsia"/>
          <w:sz w:val="24"/>
          <w:szCs w:val="24"/>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482" w:firstLineChars="200"/>
        <w:jc w:val="left"/>
        <w:textAlignment w:val="auto"/>
        <w:rPr>
          <w:rFonts w:asciiTheme="minorEastAsia" w:hAnsiTheme="minorEastAsia"/>
          <w:b/>
          <w:sz w:val="24"/>
          <w:szCs w:val="24"/>
        </w:rPr>
      </w:pPr>
      <w:r>
        <w:rPr>
          <w:rFonts w:hint="eastAsia" w:asciiTheme="minorEastAsia" w:hAnsiTheme="minorEastAsia"/>
          <w:b/>
          <w:sz w:val="24"/>
          <w:szCs w:val="24"/>
        </w:rPr>
        <w:t>六、附则</w:t>
      </w:r>
    </w:p>
    <w:p>
      <w:pPr>
        <w:keepNext w:val="0"/>
        <w:keepLines w:val="0"/>
        <w:pageBreakBefore w:val="0"/>
        <w:widowControl w:val="0"/>
        <w:kinsoku/>
        <w:wordWrap/>
        <w:overflowPunct/>
        <w:topLinePunct w:val="0"/>
        <w:autoSpaceDE/>
        <w:autoSpaceDN/>
        <w:bidi w:val="0"/>
        <w:adjustRightInd w:val="0"/>
        <w:snapToGrid w:val="0"/>
        <w:spacing w:line="6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（一）本协议未尽事宜，依据有关法律、法规、规章处理。法律、法规、规章没有明确规定的，经双方协商处理解决。</w:t>
      </w:r>
    </w:p>
    <w:p>
      <w:pPr>
        <w:keepNext w:val="0"/>
        <w:keepLines w:val="0"/>
        <w:pageBreakBefore w:val="0"/>
        <w:widowControl w:val="0"/>
        <w:kinsoku/>
        <w:wordWrap/>
        <w:overflowPunct/>
        <w:topLinePunct w:val="0"/>
        <w:autoSpaceDE/>
        <w:autoSpaceDN/>
        <w:bidi w:val="0"/>
        <w:adjustRightInd w:val="0"/>
        <w:snapToGrid w:val="0"/>
        <w:spacing w:line="600" w:lineRule="exact"/>
        <w:ind w:firstLine="480" w:firstLineChars="200"/>
        <w:jc w:val="left"/>
        <w:textAlignment w:val="auto"/>
        <w:rPr>
          <w:rFonts w:ascii="仿宋_GB2312" w:eastAsia="仿宋_GB2312" w:hAnsiTheme="minorEastAsia"/>
          <w:sz w:val="24"/>
          <w:szCs w:val="24"/>
        </w:rPr>
      </w:pPr>
      <w:r>
        <w:rPr>
          <w:rFonts w:hint="eastAsia" w:asciiTheme="minorEastAsia" w:hAnsiTheme="minorEastAsia"/>
          <w:sz w:val="24"/>
          <w:szCs w:val="24"/>
        </w:rPr>
        <w:t>（二）本协议与主合同同时签订、同时终止、同时生效，具有相同的法律效力，自甲方、乙方双方签字、盖章生效，甲方、乙方双方执持数量与主合同一致。</w:t>
      </w:r>
    </w:p>
    <w:tbl>
      <w:tblPr>
        <w:tblStyle w:val="27"/>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79"/>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Pr>
          <w:p>
            <w:pPr>
              <w:adjustRightInd w:val="0"/>
              <w:snapToGrid w:val="0"/>
              <w:spacing w:line="560" w:lineRule="exact"/>
              <w:rPr>
                <w:rFonts w:asciiTheme="minorEastAsia" w:hAnsiTheme="minorEastAsia"/>
                <w:sz w:val="24"/>
              </w:rPr>
            </w:pPr>
            <w:r>
              <w:rPr>
                <w:rFonts w:hint="eastAsia" w:asciiTheme="minorEastAsia" w:hAnsiTheme="minorEastAsia"/>
                <w:sz w:val="24"/>
              </w:rPr>
              <w:t>甲方：</w:t>
            </w:r>
          </w:p>
          <w:p>
            <w:pPr>
              <w:adjustRightInd w:val="0"/>
              <w:snapToGrid w:val="0"/>
              <w:spacing w:line="560" w:lineRule="exact"/>
              <w:rPr>
                <w:rFonts w:asciiTheme="minorEastAsia" w:hAnsiTheme="minorEastAsia"/>
                <w:sz w:val="24"/>
              </w:rPr>
            </w:pPr>
            <w:r>
              <w:rPr>
                <w:rFonts w:hint="eastAsia" w:asciiTheme="minorEastAsia" w:hAnsiTheme="minorEastAsia"/>
                <w:sz w:val="24"/>
              </w:rPr>
              <w:t>签约代表：</w:t>
            </w:r>
          </w:p>
          <w:p>
            <w:pPr>
              <w:adjustRightInd w:val="0"/>
              <w:snapToGrid w:val="0"/>
              <w:spacing w:line="560" w:lineRule="exact"/>
              <w:rPr>
                <w:rFonts w:asciiTheme="minorEastAsia" w:hAnsiTheme="minorEastAsia"/>
                <w:sz w:val="24"/>
              </w:rPr>
            </w:pPr>
            <w:r>
              <w:rPr>
                <w:rFonts w:hint="eastAsia" w:asciiTheme="minorEastAsia" w:hAnsiTheme="minorEastAsia"/>
                <w:sz w:val="24"/>
              </w:rPr>
              <w:t>联系电话：</w:t>
            </w:r>
          </w:p>
          <w:p>
            <w:pPr>
              <w:adjustRightInd w:val="0"/>
              <w:snapToGrid w:val="0"/>
              <w:spacing w:line="560" w:lineRule="exact"/>
              <w:ind w:firstLine="240" w:firstLineChars="100"/>
              <w:jc w:val="right"/>
              <w:rPr>
                <w:rFonts w:asciiTheme="minorEastAsia" w:hAnsiTheme="minorEastAsia"/>
                <w:sz w:val="24"/>
              </w:rPr>
            </w:pPr>
            <w:r>
              <w:rPr>
                <w:rFonts w:hint="eastAsia" w:asciiTheme="minorEastAsia" w:hAnsiTheme="minorEastAsia"/>
                <w:sz w:val="24"/>
              </w:rPr>
              <w:t>年</w:t>
            </w:r>
            <w:r>
              <w:rPr>
                <w:rFonts w:asciiTheme="minorEastAsia" w:hAnsiTheme="minorEastAsia"/>
                <w:sz w:val="24"/>
              </w:rPr>
              <w:t xml:space="preserve">    </w:t>
            </w:r>
            <w:r>
              <w:rPr>
                <w:rFonts w:hint="eastAsia" w:asciiTheme="minorEastAsia" w:hAnsiTheme="minorEastAsia"/>
                <w:sz w:val="24"/>
              </w:rPr>
              <w:t>月</w:t>
            </w:r>
            <w:r>
              <w:rPr>
                <w:rFonts w:asciiTheme="minorEastAsia" w:hAnsiTheme="minorEastAsia"/>
                <w:sz w:val="24"/>
              </w:rPr>
              <w:t xml:space="preserve">    </w:t>
            </w:r>
            <w:r>
              <w:rPr>
                <w:rFonts w:hint="eastAsia" w:asciiTheme="minorEastAsia" w:hAnsiTheme="minorEastAsia"/>
                <w:sz w:val="24"/>
              </w:rPr>
              <w:t>日</w:t>
            </w:r>
          </w:p>
        </w:tc>
        <w:tc>
          <w:tcPr>
            <w:tcW w:w="2500" w:type="pct"/>
          </w:tcPr>
          <w:p>
            <w:pPr>
              <w:adjustRightInd w:val="0"/>
              <w:snapToGrid w:val="0"/>
              <w:spacing w:line="560" w:lineRule="exact"/>
              <w:rPr>
                <w:rFonts w:asciiTheme="minorEastAsia" w:hAnsiTheme="minorEastAsia"/>
                <w:sz w:val="24"/>
              </w:rPr>
            </w:pPr>
            <w:r>
              <w:rPr>
                <w:rFonts w:hint="eastAsia" w:asciiTheme="minorEastAsia" w:hAnsiTheme="minorEastAsia"/>
                <w:sz w:val="24"/>
              </w:rPr>
              <w:t>乙方：</w:t>
            </w:r>
          </w:p>
          <w:p>
            <w:pPr>
              <w:adjustRightInd w:val="0"/>
              <w:snapToGrid w:val="0"/>
              <w:spacing w:line="560" w:lineRule="exact"/>
              <w:rPr>
                <w:rFonts w:asciiTheme="minorEastAsia" w:hAnsiTheme="minorEastAsia"/>
                <w:sz w:val="24"/>
              </w:rPr>
            </w:pPr>
            <w:r>
              <w:rPr>
                <w:rFonts w:hint="eastAsia" w:asciiTheme="minorEastAsia" w:hAnsiTheme="minorEastAsia"/>
                <w:sz w:val="24"/>
              </w:rPr>
              <w:t>签约代表：</w:t>
            </w:r>
          </w:p>
          <w:p>
            <w:pPr>
              <w:adjustRightInd w:val="0"/>
              <w:snapToGrid w:val="0"/>
              <w:spacing w:line="560" w:lineRule="exact"/>
              <w:rPr>
                <w:rFonts w:asciiTheme="minorEastAsia" w:hAnsiTheme="minorEastAsia"/>
                <w:sz w:val="24"/>
              </w:rPr>
            </w:pPr>
            <w:r>
              <w:rPr>
                <w:rFonts w:hint="eastAsia" w:asciiTheme="minorEastAsia" w:hAnsiTheme="minorEastAsia"/>
                <w:sz w:val="24"/>
              </w:rPr>
              <w:t>联系电话：</w:t>
            </w:r>
          </w:p>
          <w:p>
            <w:pPr>
              <w:adjustRightInd w:val="0"/>
              <w:snapToGrid w:val="0"/>
              <w:spacing w:line="560" w:lineRule="exact"/>
              <w:jc w:val="right"/>
              <w:rPr>
                <w:rFonts w:asciiTheme="minorEastAsia" w:hAnsiTheme="minorEastAsia"/>
                <w:sz w:val="24"/>
              </w:rPr>
            </w:pPr>
            <w:r>
              <w:rPr>
                <w:rFonts w:hint="eastAsia" w:asciiTheme="minorEastAsia" w:hAnsiTheme="minorEastAsia"/>
                <w:sz w:val="24"/>
              </w:rPr>
              <w:t>年</w:t>
            </w:r>
            <w:r>
              <w:rPr>
                <w:rFonts w:asciiTheme="minorEastAsia" w:hAnsiTheme="minorEastAsia"/>
                <w:sz w:val="24"/>
              </w:rPr>
              <w:t xml:space="preserve">    </w:t>
            </w:r>
            <w:r>
              <w:rPr>
                <w:rFonts w:hint="eastAsia" w:asciiTheme="minorEastAsia" w:hAnsiTheme="minorEastAsia"/>
                <w:sz w:val="24"/>
              </w:rPr>
              <w:t>月</w:t>
            </w:r>
            <w:r>
              <w:rPr>
                <w:rFonts w:asciiTheme="minorEastAsia" w:hAnsiTheme="minorEastAsia"/>
                <w:sz w:val="24"/>
              </w:rPr>
              <w:t xml:space="preserve">    </w:t>
            </w:r>
            <w:r>
              <w:rPr>
                <w:rFonts w:hint="eastAsia" w:asciiTheme="minorEastAsia" w:hAnsiTheme="minorEastAsia"/>
                <w:sz w:val="24"/>
              </w:rPr>
              <w:t>日</w:t>
            </w:r>
          </w:p>
        </w:tc>
      </w:tr>
    </w:tbl>
    <w:p>
      <w:pPr>
        <w:spacing w:line="360" w:lineRule="auto"/>
        <w:rPr>
          <w:rFonts w:hint="eastAsia" w:ascii="宋体" w:hAnsi="宋体" w:cs="宋体"/>
          <w:b/>
          <w:bCs/>
          <w:szCs w:val="21"/>
        </w:rPr>
      </w:pPr>
    </w:p>
    <w:p>
      <w:pPr>
        <w:rPr>
          <w:rFonts w:hint="eastAsia" w:ascii="宋体" w:hAnsi="宋体" w:cs="宋体"/>
          <w:b/>
          <w:bCs/>
          <w:szCs w:val="21"/>
        </w:rPr>
      </w:pPr>
      <w:r>
        <w:rPr>
          <w:rFonts w:hint="eastAsia" w:ascii="宋体" w:hAnsi="宋体" w:cs="宋体"/>
          <w:b/>
          <w:bCs/>
          <w:szCs w:val="21"/>
        </w:rPr>
        <w:br w:type="page"/>
      </w:r>
    </w:p>
    <w:p>
      <w:pPr>
        <w:spacing w:line="360" w:lineRule="auto"/>
        <w:outlineLvl w:val="2"/>
        <w:rPr>
          <w:rFonts w:hint="default" w:ascii="宋体" w:hAnsi="宋体" w:eastAsia="宋体" w:cs="宋体"/>
          <w:b/>
          <w:bCs/>
          <w:szCs w:val="21"/>
          <w:lang w:val="en-US" w:eastAsia="zh-CN"/>
        </w:rPr>
      </w:pPr>
      <w:r>
        <w:rPr>
          <w:rFonts w:hint="eastAsia" w:ascii="宋体" w:hAnsi="宋体" w:eastAsia="宋体" w:cs="宋体"/>
          <w:b/>
          <w:bCs/>
          <w:szCs w:val="21"/>
        </w:rPr>
        <w:t>附件</w:t>
      </w:r>
      <w:r>
        <w:rPr>
          <w:rFonts w:hint="eastAsia" w:ascii="宋体" w:hAnsi="宋体" w:eastAsia="宋体" w:cs="宋体"/>
          <w:b/>
          <w:bCs/>
          <w:szCs w:val="21"/>
          <w:lang w:val="en-US" w:eastAsia="zh-CN"/>
        </w:rPr>
        <w:t>4</w:t>
      </w:r>
      <w:r>
        <w:rPr>
          <w:rFonts w:hint="eastAsia" w:ascii="宋体" w:hAnsi="宋体" w:eastAsia="宋体" w:cs="宋体"/>
          <w:b/>
          <w:bCs/>
          <w:szCs w:val="21"/>
        </w:rPr>
        <w:t>：</w:t>
      </w:r>
      <w:r>
        <w:rPr>
          <w:rFonts w:hint="eastAsia" w:ascii="宋体" w:hAnsi="宋体" w:eastAsia="宋体" w:cs="宋体"/>
          <w:b/>
          <w:bCs/>
          <w:szCs w:val="21"/>
          <w:lang w:val="en-US" w:eastAsia="zh-CN"/>
        </w:rPr>
        <w:t>采购清单</w:t>
      </w:r>
    </w:p>
    <w:tbl>
      <w:tblPr>
        <w:tblStyle w:val="27"/>
        <w:tblW w:w="10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6"/>
        <w:gridCol w:w="6341"/>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1" w:type="dxa"/>
            <w:vAlign w:val="center"/>
          </w:tcPr>
          <w:p>
            <w:pPr>
              <w:rPr>
                <w:rFonts w:hint="eastAsia"/>
                <w:b/>
                <w:bCs/>
                <w:vertAlign w:val="baseline"/>
                <w:lang w:val="en-US" w:eastAsia="zh-CN" w:bidi="ar"/>
              </w:rPr>
            </w:pPr>
            <w:r>
              <w:rPr>
                <w:rFonts w:hint="eastAsia"/>
                <w:b/>
                <w:bCs/>
                <w:vertAlign w:val="baseline"/>
                <w:lang w:val="en-US" w:eastAsia="zh-CN" w:bidi="ar"/>
              </w:rPr>
              <w:t xml:space="preserve">      名称</w:t>
            </w:r>
          </w:p>
        </w:tc>
        <w:tc>
          <w:tcPr>
            <w:tcW w:w="6328" w:type="dxa"/>
            <w:vAlign w:val="center"/>
          </w:tcPr>
          <w:p>
            <w:pPr>
              <w:ind w:firstLine="2319" w:firstLineChars="1100"/>
              <w:rPr>
                <w:rFonts w:hint="eastAsia"/>
                <w:b/>
                <w:bCs/>
                <w:vertAlign w:val="baseline"/>
                <w:lang w:val="en-US" w:eastAsia="zh-CN" w:bidi="ar"/>
              </w:rPr>
            </w:pPr>
            <w:r>
              <w:rPr>
                <w:rFonts w:hint="eastAsia"/>
                <w:b/>
                <w:bCs/>
                <w:vertAlign w:val="baseline"/>
                <w:lang w:val="en-US" w:eastAsia="zh-CN" w:bidi="ar"/>
              </w:rPr>
              <w:t>服务内容</w:t>
            </w:r>
          </w:p>
        </w:tc>
        <w:tc>
          <w:tcPr>
            <w:tcW w:w="1412" w:type="dxa"/>
            <w:vAlign w:val="center"/>
          </w:tcPr>
          <w:p>
            <w:pPr>
              <w:ind w:firstLine="422" w:firstLineChars="200"/>
              <w:rPr>
                <w:rFonts w:hint="eastAsia"/>
                <w:b/>
                <w:bCs/>
                <w:vertAlign w:val="baseline"/>
                <w:lang w:val="en-US" w:eastAsia="zh-CN" w:bidi="ar"/>
              </w:rPr>
            </w:pPr>
            <w:r>
              <w:rPr>
                <w:rFonts w:hint="eastAsia"/>
                <w:b/>
                <w:bCs/>
                <w:vertAlign w:val="baseli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251" w:type="dxa"/>
            <w:vAlign w:val="top"/>
          </w:tcPr>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全彩P1.5小间距LED显示屏</w:t>
            </w:r>
          </w:p>
        </w:tc>
        <w:tc>
          <w:tcPr>
            <w:tcW w:w="6328"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1.点间距≤1.56mm；</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2.屏体尺寸：宽度≥3.6米，高度≥2.025米；</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3.整屏分辨率宽≥2304点，高≥1296点；</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4.像素密度：≥409600点/平方；</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5.箱体结构：高精度压铸铝合金材质，一体成型(框架、背板、后盖)整体压铸成型，抗压抗拉；全金属自然散热结构，电源全贴合设计，散热快，稳定性好;无风扇、无孔、防尘、静音设计；</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6.驱动方式：恒流驱动；</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7.水平/垂直相对偏差：≤1%；</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8.屏幕峰值功耗：≤550W/㎡@600cd/m2(nits) ；</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9.白平衡亮度：≥1500cd/m2(nits)；</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10.视角：水平/垂直视角≥160°；</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11.灰度等级：支持通过配套控制软件调节灰度等级的设置选项，灰度等级15Bit~ 22Bit；</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12.色温：2000K－10000K可调；</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13.换帧频率：支持信号源50Hz、60Hz、96Hz、120Hz、144Hz、240Hz 帧频处理，支持3D显示应用；</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14.最高对比度：10000：1；</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15.色域≥120%NTSC；</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16.平整度：≤0.1mm；</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17.刷新频率：≥3840Hz；</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18.亮度均匀性：≥99%；</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19.像素失控率：≤1/1000000，无连续失控点；</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20.外壳防护等级：≥IP6X ；</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21.模块微调功能：支持6轴向精密微调，从单元模块上下、左右、前后，均可以对任何一个模块进行亚毫米级的精细微调</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22.支持单点(逐点)色度和亮度校正；支持5套亮度级校正系数，多层校正及存储;支持出厂校正及现场校正；</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23.平均无故障时间：显示模组的平均失效无故障MTBF≥100000小时，可用度≥0.9999999；</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24.模块表面处理：采用电喷技术，黑色哑光处理，可有效防止反光和静电，无面罩设计，反光率≤1.5%； 显示屏对比度高，屏幕表面采用无塑胶类结构件，屏体表面均匀，观看视角大，观看效果好，PCB及灯管散热良好；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25.亮度调整：具有随环境照度的变化而自动亮度调整的功能，支持手动、自动、程控、软件调节（0-100%无极可调）；</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26.支持色彩置换、色彩调节功能，可以对输入源的色彩进行调节，亮度、对比度、饱和度、色相等都可以调节；</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27.支持把视频源进行倍频，60Hz 的输入，120Hz的输出，解决LED屏拍摄时灰度丢失的问题</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28.数据存储：支持模块级亮度色度校正数据的存储及回读功能；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29.数据传输：支持模块级无线连接、支持模组无线连接；</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30.维护方式：支持整体前维护，模块、控制板、电源、系统卡等所有组件均能快速从前面进行维护；</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31.防护功能：具有完全防尘、防腐蚀、防静电、防电磁干扰、抗雷击、防虫、抗风保护等功能；具有电源过压、过流、断电保护、分布上电措施；具有实时监控温度、故障报警功能；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32.LED显示屏支持模组级DC供电方式(≤48Vdc),支持通讯级开关电源组合集中供电系统,支持N+1冗余备份和热拔插功能（提供首页具有CMA、CNAS和ilac-MRA标识的检测报告证明，并加盖LED显示屏制造厂商公章）</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33.安全特性：符合GB4943.1、IEC60950-1、IEC62368-1、EN60950-1、EN62368-1要求；</w:t>
            </w:r>
          </w:p>
        </w:tc>
        <w:tc>
          <w:tcPr>
            <w:tcW w:w="1412" w:type="dxa"/>
          </w:tcPr>
          <w:p>
            <w:pPr>
              <w:rPr>
                <w:rFonts w:hint="eastAsia" w:asciiTheme="minorHAnsi" w:hAnsiTheme="minorHAnsi" w:eastAsiaTheme="minorEastAsia" w:cstheme="minorBidi"/>
                <w:kern w:val="2"/>
                <w:sz w:val="21"/>
                <w:szCs w:val="22"/>
                <w:lang w:val="en-US" w:eastAsia="zh-CN" w:bidi="ar"/>
              </w:rPr>
            </w:pPr>
            <w:r>
              <w:rPr>
                <w:rFonts w:hint="eastAsia" w:asciiTheme="minorHAnsi" w:hAnsiTheme="minorHAnsi" w:eastAsiaTheme="minorEastAsia" w:cstheme="minorBidi"/>
                <w:kern w:val="2"/>
                <w:sz w:val="21"/>
                <w:szCs w:val="22"/>
                <w:lang w:val="en-US" w:eastAsia="zh-CN" w:bidi="ar"/>
              </w:rPr>
              <w:t>7.0875㎡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1"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安装结构支架及结构件</w:t>
            </w:r>
          </w:p>
        </w:tc>
        <w:tc>
          <w:tcPr>
            <w:tcW w:w="6328"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1.安装结构能满足LED高清显示屏的整体均匀平滑要求，采用环保型材，结构应便于安装和调试。</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2.采用国标材料制作，定制装置，拆装方便；具备间距调节装置，可实现精确调节，显示模组之间的缝隙均匀，显示效果清晰；钢结构框架，所有材料采用国家标准材料施工制作，防锈防氧化处理。</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3.LED显示屏选用环保型铝型材框架安装,其框架材料经过严格环保、无毒测试,符合国 家《GB/T26572-2011》标准限量要求。</w:t>
            </w:r>
          </w:p>
        </w:tc>
        <w:tc>
          <w:tcPr>
            <w:tcW w:w="1412" w:type="dxa"/>
          </w:tcPr>
          <w:p>
            <w:pPr>
              <w:rPr>
                <w:rFonts w:hint="default" w:asciiTheme="minorHAnsi" w:hAnsiTheme="minorHAnsi" w:eastAsiaTheme="minorEastAsia" w:cstheme="minorBidi"/>
                <w:kern w:val="2"/>
                <w:sz w:val="21"/>
                <w:szCs w:val="22"/>
                <w:lang w:val="en-US" w:eastAsia="zh-CN" w:bidi="ar"/>
              </w:rPr>
            </w:pPr>
          </w:p>
          <w:p>
            <w:pPr>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7.0875㎡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251"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控制器管理器</w:t>
            </w:r>
          </w:p>
        </w:tc>
        <w:tc>
          <w:tcPr>
            <w:tcW w:w="6328"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1.输入分辨率：最大1920*1200像素，支持分辨率任意设置；</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2.4个千兆网口输出，支持上下、左右及混合型任意拼接；</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3.双USB2.0高速通讯接口，用于电脑调试和卡间级联；</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4.支持亮度和色温调节；</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5.支持低亮高灰；</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6.支持HDCP；</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7.与屏体同品牌，提供CCC证书。</w:t>
            </w:r>
          </w:p>
        </w:tc>
        <w:tc>
          <w:tcPr>
            <w:tcW w:w="1412" w:type="dxa"/>
          </w:tcPr>
          <w:p>
            <w:pPr>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251"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智能配电防雷管理系统</w:t>
            </w:r>
          </w:p>
        </w:tc>
        <w:tc>
          <w:tcPr>
            <w:tcW w:w="6328"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1.配电功率20KW，含各种电器元件、自动空气开关、熔断器、接触器、电流表、电压表、铜排、防电磁浪涌等；</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2.额定输入电压：AC 380V；</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3.额定频率：50Hz；</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4.外壳防护等级：IP50；</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5.额定分散系数：0.7；</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6.环境温度：+10~+40℃；</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7.具备过流、短路、断路保护与报警功能；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8.内置PLC，PLC具备远程开关大屏的功能；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9.具有CQC，与屏体同品牌，提供CQC证书；</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10.LED显示屏厂商具有智能配电管理系统及PLC自动控制系统软件。</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LED显示屏管控平台</w:t>
            </w:r>
          </w:p>
        </w:tc>
        <w:tc>
          <w:tcPr>
            <w:tcW w:w="6328"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1.软件支持集成中控功能，实现对大屏幕的开关控制；</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2.软件支持故障检测功能，支持输入信号丢失检测，使用灰色标示；</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3.可在控制软件观看大屏回显，直接对UI中的可视化窗口进行操作；</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4.支持移动终端软件控制，不用外加中控直接实现场景调取等功能；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5.登录功能：具有单一客户端、多个客户端登录功能，支持默认布局登录；</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6.显示屏设置功能：支持添加、修改、删除LED显示屏；</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7.场景轮循功能：支持添加、修改、删除场景轮循功，支持场景循环分组功能；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8.视频流媒体平台数据管理功能：支持视频流媒体平台数据对接。</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软件支持Windows操作系统和麒麟操作系统：（1）海量图像演示和多媒体控制功能；（2）有图像细节优化处理功能；（3）智能除湿功能；（2）LED显示屏色彩校正软件；（3）显示屏伽马校正软件；（4）LED显示屏远距离视频监控系统软件；（5）屏体自带逐点校正及智能亮度调节软件。</w:t>
            </w:r>
          </w:p>
        </w:tc>
        <w:tc>
          <w:tcPr>
            <w:tcW w:w="1412"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1"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屏体四周包边</w:t>
            </w:r>
          </w:p>
        </w:tc>
        <w:tc>
          <w:tcPr>
            <w:tcW w:w="6328" w:type="dxa"/>
            <w:vAlign w:val="top"/>
          </w:tcPr>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1.屏体四周包边，要求配合场地装修风格，整体美观和谐。</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视频可视化综合管理设备</w:t>
            </w:r>
          </w:p>
        </w:tc>
        <w:tc>
          <w:tcPr>
            <w:tcW w:w="6328"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1.6U主箱体，共12个卡槽，1-3卡槽为混插卡槽，4-12卡槽为输入卡槽。输入：8路HDMI、2路4K-HDMI；输出：8路DVI；可视化预监回显、支持多组屏管理，支持多用户登入；</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机箱支持输入输出混插，机箱上卡槽为双向数据通道槽位，每个卡槽既可支持输入板卡，也可支持输出板卡；设备支持前面板液晶显示、操作功能，实现设备运行状态可视化，可显示设备型号、IP地址等基础信息，同时可通过升级的液晶前面板实现设备操作；</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3.设备最大单机背板信号处理带宽不小于1600Gbps；单路信号带宽不小于50Gbps；信号切换延迟&lt;6ms，切换无黑屏、蓝屏、闪烁情况。图像处理延迟时间&lt;6 ms;图像开窗响应速度≤7ms;场景调取响应速度&lt;7ms；</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4.设备支持Dual Link DVI、HDMI 1.4、HDBaseT、HDBaseT-4K、DisplayPort、DisplayPort 4K@60Hz、HDMI 2.0 4K@60Hz、VGA、YPbPr、DVI、IP H.264、IP H.265、CVBS、HDMI 1.3、SDI、光纤、4K 光纤信号输入与输出；同时具有音频切换功能，实现对多路输入输出的音视频同步切换；</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5.支持RealControl接口板，支持通过USB线缆与信号源计算机链接，传输USB信号，用于KVM控制；支持设置拼接屏的拼缝补偿，可精确至1像素 ，支持边缘融合带生成，最高可达1500像素；</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6.设备支持图像开窗、矩阵功能、窗口叠加、窗口漫游、窗口缩放、字符叠加、输出字符叠加、图像截取、大底图显示功能；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7.支持拼接墙，投影融合，LED大屏等多种显示终端，并共享输入信号源；支持分辨率实时全兼容，能通过控制软件实现不同屏组输出分辨率自定义显示,屏组数量无限制；支持4K60的 HDR,支持HDR12-bit采样格式,持对带有HDCP加密的视频信号进行采集编码,兼容HDCP1.4、HDCP2.2、HDCP2.3；</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支持窗口布局保存至设备，支持不少于128000个单屏场景且另外支持不少于12800个全局场景，支持调取预先存好的窗口布局，支持场景一键切换，支持场景布局可视化；设备支持OSD大鼠标操作，实现无需客户端可直接对大屏幕窗口进行操作，可使用鼠标直接对大屏显示画面进行多种图形标记，并支持用户自定义图形标记；</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支持不影响大屏信号显示的前提下，可以在软件上对信号源进行位置、大小、布局的调整，在确认无误后，直接推送上屏显示；板卡支持设置超低功耗模式,在板卡闲置时,可设置为超低功耗模式,将板卡功耗降低至0.6w以下，在使用时恢复为正常工作模式,进而实现系统的系统功耗动态管理；</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单台主机支持输入输出端口备份，任意端口故障会自动切换至备份端口。支持输入端口备张输入卡内的两个端口、不同输入卡的间两个端口可以实现对输入信号的备份,任意一路信号有问题，显示图像不受影响;支持输出端口备份,一张输出卡内的两个端口不同输出卡的间两个任意一端口的输出信号可以自动进行备份输出，任意一路信号中断,显示图像不受影响；</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设备具有滚动字幕OSD功能，支持文字，图片，时间内容显示，支持用户调整字幕的位置，大小，字体，颜色，背景色，样式、动作、方向；支持与多种时钟系统进行对接，在静态条幅上添加实时时钟，支持多种不同时间；</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12.PC客户端支持Windows、Linux、麒麟操作系统；</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13.可实现多用户登陆，多用户同时对处理器进行控制管理，多用户间的操作可实时同步显示；多用户之间支持分级分权限分区域管理,可细化至软件各项功能，板卡各接口，屏组各显示屏；</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支持浏览所有输入信号的实时预览画面，所有信预监时，无需额外功能板卡占用设备槽位；支持高清、流畅两种模式信号源预览。高清模式像素不少于42W,流畅模式帧率不少于30Hz;支持所有信号输音星开关控制、预监及预调节功能;同时支持对输入信号源叠加VU音频音柱显示,并可根据音频大小进行变化；</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背板图形化监控，图形化展示设备当前硬件配置，支持实时设备板卡状态识别；默认可以输出不少于7种测试颜色及网格图像,以对设备输出进行测试;或者指定输出默认图像,并可以设置无信号源时输出的图像;支持输出测试图形,支持输出256×256×256种单色图像和网格图像；</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可提供设备端口及底层协议，可以接受第三方软件或运维系统进行控制，实现第三方软件用户及本机用户多人同时网络在线管理，可提供各类检测、控制所需的接口协议，可配合第三方软件进行开发，也可对自带软件进行二次开发；支持系统数据备份恢复，可备份包括系统的配置、拼接模式、拼接场景等所有配置信息。数据可自动或手动进行备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17.支持在控制端显示整面拼接墙的显示图像,支持整面拼接屏的整体回显功能，显示内容与实际输出画面一致,可进行等比例回显或全屏输出,可外接HDMI/DVI接口显示器、IP网络解码器观看大屏回显，图像帧率可达4K@50帧/秒。客户端可直接对大屏幕窗口进行操作。便于对大屏内容进行实时监看与录制,进行分享、复盘与内容留档。支持大屏音频回显输出,音频与画面实时同步，可配合录播进行使用；</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18.产品具备3C、CE、FCC、CB认证。</w:t>
            </w:r>
          </w:p>
        </w:tc>
        <w:tc>
          <w:tcPr>
            <w:tcW w:w="1412"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24口全千兆网络交换机</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1.配置不低于以下要求：固定端口：28个千兆电口，4个1G SPF千兆光口；管理端口：1个Console口，1个Manage口；</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2.交换机性能：交换性能：336Gbps/3.36Tbps；包转发率：132Mpps/166Mpps；</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3.接入方式：支持胖瘦一体化，支持智能交换机和普通交换机两种工作模式，可以根据不同的组网需要，随时灵活的进行切换；</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4.交换机零配置上线方式：二层广播自动发现控制器平台；配置静态IP地址三层发现控制器平台；DHCP Option43方式发现控制器平台；DNS域名发现控制器平台；</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5.一键替换：支持通过控制器平台一键替换“按钮”即可完成故障设备替换；</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6.M-LAG：支持M-LAG技术，跨设备链路聚合（非堆叠技术实现），要求配对的设备有独立的控制平面；</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7.交换机状态显示：支持通过控制器平台查看交换机端口负载情况；</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8.网络管理：支持通过APP进行远程管理，并且可以修改交换机网络配置；支持通过网管平台跨广域网、NAT远程管理智能交换机；</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9.交换机画像管理：支持通过在控制器平台的Web页面对交换机进行可视化管理查看，包括交换机的端口状态及配置、vlan信息；支持通过控制器平台图形化操作对交换机端口状态的开启与关闭；</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运维：支持通过控制器平台查看交换机面板端口工作状态，通过端口颜色显示状态即可判断端口是否在线工作；支持通过控制器平台查看交换机处于工作端口最近5分钟、1小时、最近1天、最近1周发送与接收的流量趋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11.智能终端类型识别：支持终端类型库，基于指纹自动识别PC、路由器、监控终端设备等；支持基于终端类型自动识别结果，禁止非法终端(例如私接路由器)接入；</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12.第三方系统联动：支持与第三方系统上报接入终端信息，包含IP、MAC、用户名、APID/SWID、AP名/SW名；</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终端安全策略：支持将交换机的端口进行端口组划分，方便配置管理；支持终端的MAC与交换机端口变更检测；支持交换机端口终端类型变更后，通过APP、短信告警；可以自定义交换机端口接入终端类型，及MAC黑白名单；</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终端状态安全分析：支持查看终端在交换机端口离线次数、闲置时间、离线趋势；支持查看安全事件记录、私扩非法边缘设备记录、终端在端口漂移记录、静态IP异常记录等安全事件的记录统计；支持查看终端的的历史接入交换机端口，终端的活跃状态；</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15.交换机业务端口的防雷能力共模不低于9Kv、差模不低于6Kv；</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无线路由器AP</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1.支持802.11ax 协议，兼容802.11a/b/g/n/ac协议，支持2.4G和5G同时工作；</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2.支持2.4G 2*2条流及 5G 2*2条流；2.4G最大传输速率≥570Mbps，5G最大传输速率≥1200Mbps，整机最大传输速率≥1.7Gbps；</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3.千兆以太网口≥2个；</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4.内置智能天线；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5.支持802.3af标准的PoE供电和本地电源适配器供电两种方式，满负荷工作功耗≤14W；</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6.单射频接入人数≥500，整机最大接入人数≥1000；</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6.支持虚拟AP技术，单射频SSID数量≥16，整机≥32；</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7.支持Fat和Fit 两种工作模式，根据网络规划的需要，可以灵活地在Fat和Fit两种工作模式中切换，同时可以根据应用需求，选择工作模式；</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8.支持Wi-Fi报文进行侦听捕获并实时镜像到本地分析设备供网络管理员进行故障排查、优化分析；</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9.支持802.1x 认证、MAC 地址认证、PSK 认证、Portal认证等认证方式，支持面向访客的二维码审核认证方式；</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10.支持802.11h 动态频率选择(DFS)、信道自动扫描功能，自动规避干扰；</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11.支持无线带宽平均分配，让不同协商速率的终端占用相等的无线信道时间，防止低速终端拉低网络整体速率；</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12.通过基于特征和协议的射频优化，有效提升无线部署中高密度接入、流媒体传输等场景中的应用加速能力和质量保障效果；</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13.无线AP支持联动安全策略，通过安全策略可以实现对疑似感染病毒或已感染病毒的无线客户端进行识别、监控与隔离等多种方式的处理；</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14.支持将在内网进行ARP扫描、IP扫描、端口扫描达到阈值后的终端执行告警或自动拉入动态黑名单；</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15.支持Fit AP切换成网关模式（非Fat AP模式），支持PPPoE拨号、静态IP、DHCP三种上网方式；</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16.支持逃生模式，AP与控制器连接中断后，原有用户在线、新用户正常接入，业务不中断。</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控制室有线终端控制软件</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软件支持浏览所有输入信号的实时预览画面,所有信号预监时,无需额外功能板卡占用设备槽位;支持高清、流畅两种模式信号源预览。高清模式像素不少于48W,流畅模式帧率不少于30Hz;支持所有信号输入音量开关控制、预监及预调节功能,同时支持对输入信号源叠加VU音频音柱显示，并可根据音频大小进行变化。</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2.支持将端口设置为拼接端口或矩阵端口,当设置为矩阵端口时，可实现视频矩阵功能，支持矩阵切换,端口搜索、切换关系预览、矩阵信号预监当被设置为拼接端口时，支持大屏拼接功能。</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3.系统板卡支持设置超低功耗模式，在板卡闲置时，可设置为超低功耗模式,将板卡功耗降低至0.6w以下，在使用时恢复为正常工作模式,进而实现系统的系统功耗动态管理。</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4.系统默认可以输出不少于7种测试颜色及网格图像，以对设备输出进行测试;或者指定输出默认图像,并可以设置无信号源时输出的图像;支持输出测试图形,支持输出256×256×256种单色图像和网格图像；</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系统支持前面板触摸屏显示、操作功能，通过前面板触摸屏可实现对拼接屏屏组预案进行调取,对输入信号源进行可视化预监显示。实现设备运行状态可视化,可显示设备型号、IP地址等基础信息,同时可通过升级的液晶前面板实现设备操作。</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6.移动控制端支持Windows、i0S、Android操作系统;支持Windows、Linux, Mac、中标麒麟、银河麒麟等系统通过C/S、B/S软件进行控制;支持通过TCP/IP网口与RS232/422/485串口进行管理控制，开放控制协议，可同时响应不少于32条命令的同时切换。系统支持网络管理协议,配合指控系统保障平台，实现显控应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多用户同时登录,支持设置用户权限级别，各个操作用户可根据实际需求设置不用用户级别,划分不同用户权限,用户之间操作同步实时显示;支持对用户进行分组，支持多用户之间支持分级分权限管理,操作实时同步显示;支持对用户的权限进行分配管理和回收;</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8.系统支持板卡按屏组进行电源管理,可根据实际使用需求，对屏组板卡进行上电、待机管理;可通过设置，对屏组板卡进行定时开关上电管理;</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高端扬声器</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1.低频驱动器：不少于6.5英寸聚丙烯锥体，丁基橡胶环绕，阳极氧化铝音圈，高温音圈；</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2.高频驱动器：19毫米（0.75英寸）高阻尼处理丝绸圆顶，Kapton?音圈，液体冷却，宽色散波导；</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3.盲装背板可以快速方便地安装；</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4.功率：标称设置为8Ω时功率为50W，定压30W，15W，7.5W@70V或100V（仅限3.8W@70V）；</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5.频率范围（-10dB）62Hz-20kHz；</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6.频率响应（±3dB）96Hz-15kHz；</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7.灵敏度：91分贝；</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8.覆盖角度：110°锥形覆盖；</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9.指向性因子（Q）：7.8；</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10.指向性指数（DI）：8.2dB；</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11.额定最大声压级：108dB@1m（3.3ft）平均值，116dB峰值；</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12.名义阻抗8欧姆（直接/旁路8Ω设置）；</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13.交叉网络：12dB/oct（2阶）低通到LF驱动器，12dB/oct（2阶）高通到HF驱动器；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14.输入连接器：可拆卸锁定4针连接器，带螺钉端子；</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15.最大线径：12AWG（2.5mm2）。</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4只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高端扬声器功放</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1.立体声4Ω：2×700W；</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2.立体声8Ω：2×350W；</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3.信噪比：≥90dB；</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4.总谐波失真（THD）：＜0.1%；</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5.频率响应：20Hz-20kHz。</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16路控制带效果器调音台</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1.配置不少于16路；</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2.可开关幻象电源和PAD开关；</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3.单旋钮压缩器；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4.EQ和高通滤波器；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5.AUX/效果发送/编组；</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6.LED电平表；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7.多种输入/输出接口；</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8.金属机身；</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9.内部全局供电；</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10.支持机柜安装；</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11.高品质运算放大器。</w:t>
            </w:r>
          </w:p>
        </w:tc>
        <w:tc>
          <w:tcPr>
            <w:tcW w:w="1412"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2通道反馈抑制器</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1.56-bit高速DSP，24-bit AD和DA转换。分辨精度1Hz，工作频率20Hz-20KHz；</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2.2寸FTF彩屏，中英文菜单可选；</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3.每通道12个动态陷波器加8个静态陷波器，自动抑制啸叫；</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4.自动陷波配合移频使用，超强抑制声反馈；</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5.噪声门功能可以抑制系统微弱噪声干扰；</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6.输入压缩功能在消除反馈同时更可扩展人声动态；</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7.两通道48V幻象电源，可以独立控制通断；</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8.电源使用超低噪音环形变压器；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9.模拟输入：2CH-XLR和1/4"TRS(母)输入，电子平衡/不平衡；2路独立控制的48V幻象电源；</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10.输入阻抗：平衡 47Ω，不平衡 20KΩ；</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11.最大线路电平输入：+18dBu；</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12.模拟输出：2CH-XLR和1/4" TRS(母)输入，电子平衡/不平衡；</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13.输出阻抗：平衡&gt;120Ω，不平衡&gt;60Ω；</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14.最大输出电平：+20dBu；</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15.频率响应：20Hz-20KHz，±0. 3dB；</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16.信噪比：&gt;105dB(A)；</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17.动态范围：103dB；</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18.总谐波失真+噪声：0.005%，1KHz；20Hz-10KH，&lt;0.01%；10KHz-20KHz，&lt;0.025%。</w:t>
            </w:r>
          </w:p>
        </w:tc>
        <w:tc>
          <w:tcPr>
            <w:tcW w:w="1412"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电源时序器</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1.8路带空气开关电源时序器；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2.2.5平方三芯珠江品牌电缆线，带10A公牛牌国标插头；</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3.特有的网线端口，外接86底盒开关，无需频繁开机柜开关机；</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4.面板1路直通安全三角插，防止儿童误接触触电；</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5.8路通道输出，每路延时开启和关闭时间可自由设定（通道延时0~999S）；</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6.LCD电压动态显示，日期、时间、通道显示；</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7.每路10A大品牌继电器输出，订制纯铜标准万能接口插座，单路最大输出2KW,总输出4KW；</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8.自由设定过压、欠压保护，保证电源稳定输出；</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9.配置232中控端口，支持外部中央控制设备控制；</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10.可实现远程集中控制，每台设备自带设备编码ID检测和设置；</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11.支持多台设备级联，级联状态可自动检测及设置；</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12.全自动生产和测试技术，保证标准化生产和产品的一致性；</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13.面板LOCK锁定功能，防止人为误操作，轻触开机，长按3秒关机。</w:t>
            </w:r>
          </w:p>
        </w:tc>
        <w:tc>
          <w:tcPr>
            <w:tcW w:w="1412"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有线鹅颈话筒（含底座）</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1.元件：静电型电容式话筒；</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2.指向性：单一指向性；</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3.频率响应：70~16,000 Hz；</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4.开路灵敏度：-37 dB (14.1 mV) re 1V at 1 Pa；</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5.阻抗：100 ohms；</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6.最大输入声压级：134 dB SPL, 1 kHz at 1% T.H.D.；</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7.动态范围 (典型值)：106 dB, 1 kHz at Max SPL；</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8.信噪比：66 dB， 1 kHz at 1 Pa；</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9.幻像电源：9-52V DC， 2 mA typical；</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10.输出端子：内置三针XLRM卡农公头；</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11.标配：防风绵。</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4支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防静电活动地板</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1.防静电地板600X600mm；</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2.可调节支架系统；</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3.钢筋混凝土结构楼板；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4.具体要求详见深化图纸。</w:t>
            </w:r>
          </w:p>
        </w:tc>
        <w:tc>
          <w:tcPr>
            <w:tcW w:w="1412"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木饰面（LED电子大屏幕周边）</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1.面层：木饰面；</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2.基础：双层6.0mm厚水泥纤维板；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3.骨架：40X40X4mm热镀锌方钢竖向龙骨(间距600mm);40X40X4mm热镀锌角码用φ12mm膨胀螺栓与墙体固定。</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4.具体要求详见深化图纸。</w:t>
            </w:r>
          </w:p>
        </w:tc>
        <w:tc>
          <w:tcPr>
            <w:tcW w:w="1412"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不锈钢踢脚线</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1、材料：不锈钢踢脚</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2、规格：展开12+5+10+20mm</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3.具体要求详见深化图纸。</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天棚吊顶（办公室、机房）</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 xml:space="preserve">1.9厘夹板+9.5mm石膏板；        </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 xml:space="preserve">2.50系列次龙骨、50系列主龙骨；                     </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3.综合考虑、夹板打底、肋板、凹缝；</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 xml:space="preserve">4.具体要求详见深化图纸。                                                                                                                                                           </w:t>
            </w:r>
          </w:p>
        </w:tc>
        <w:tc>
          <w:tcPr>
            <w:tcW w:w="1412"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乳胶漆饰面（办公室、机房）</w:t>
            </w:r>
          </w:p>
        </w:tc>
        <w:tc>
          <w:tcPr>
            <w:tcW w:w="6328" w:type="dxa"/>
            <w:vAlign w:val="top"/>
          </w:tcPr>
          <w:p>
            <w:pPr>
              <w:keepNext w:val="0"/>
              <w:keepLines w:val="0"/>
              <w:widowControl/>
              <w:numPr>
                <w:ilvl w:val="-1"/>
                <w:numId w:val="0"/>
              </w:numPr>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cstheme="minorBidi"/>
                <w:b w:val="0"/>
                <w:bCs w:val="0"/>
                <w:kern w:val="2"/>
                <w:sz w:val="21"/>
                <w:szCs w:val="22"/>
                <w:lang w:val="en-US" w:eastAsia="zh-CN" w:bidi="ar"/>
              </w:rPr>
              <w:t>1.</w:t>
            </w:r>
            <w:r>
              <w:rPr>
                <w:rFonts w:hint="eastAsia" w:asciiTheme="minorHAnsi" w:hAnsiTheme="minorHAnsi" w:eastAsiaTheme="minorEastAsia" w:cstheme="minorBidi"/>
                <w:b w:val="0"/>
                <w:bCs w:val="0"/>
                <w:kern w:val="2"/>
                <w:sz w:val="21"/>
                <w:szCs w:val="22"/>
                <w:lang w:val="en-US" w:eastAsia="zh-CN" w:bidi="ar"/>
              </w:rPr>
              <w:t>喷乳胶漆一道；</w:t>
            </w:r>
          </w:p>
          <w:p>
            <w:pPr>
              <w:keepNext w:val="0"/>
              <w:keepLines w:val="0"/>
              <w:widowControl/>
              <w:numPr>
                <w:ilvl w:val="-1"/>
                <w:numId w:val="0"/>
              </w:numPr>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cstheme="minorBidi"/>
                <w:b w:val="0"/>
                <w:bCs w:val="0"/>
                <w:kern w:val="2"/>
                <w:sz w:val="21"/>
                <w:szCs w:val="22"/>
                <w:lang w:val="en-US" w:eastAsia="zh-CN" w:bidi="ar"/>
              </w:rPr>
              <w:t>2.</w:t>
            </w:r>
            <w:r>
              <w:rPr>
                <w:rFonts w:hint="eastAsia" w:asciiTheme="minorHAnsi" w:hAnsiTheme="minorHAnsi" w:eastAsiaTheme="minorEastAsia" w:cstheme="minorBidi"/>
                <w:b w:val="0"/>
                <w:bCs w:val="0"/>
                <w:kern w:val="2"/>
                <w:sz w:val="21"/>
                <w:szCs w:val="22"/>
                <w:lang w:val="en-US" w:eastAsia="zh-CN" w:bidi="ar"/>
              </w:rPr>
              <w:t xml:space="preserve">刷乳胶漆一道；                             </w:t>
            </w:r>
          </w:p>
          <w:p>
            <w:pPr>
              <w:keepNext w:val="0"/>
              <w:keepLines w:val="0"/>
              <w:widowControl/>
              <w:numPr>
                <w:ilvl w:val="-1"/>
                <w:numId w:val="0"/>
              </w:numPr>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cstheme="minorBidi"/>
                <w:b w:val="0"/>
                <w:bCs w:val="0"/>
                <w:kern w:val="2"/>
                <w:sz w:val="21"/>
                <w:szCs w:val="22"/>
                <w:lang w:val="en-US" w:eastAsia="zh-CN" w:bidi="ar"/>
              </w:rPr>
              <w:t>3.</w:t>
            </w:r>
            <w:r>
              <w:rPr>
                <w:rFonts w:hint="eastAsia" w:asciiTheme="minorHAnsi" w:hAnsiTheme="minorHAnsi" w:eastAsiaTheme="minorEastAsia" w:cstheme="minorBidi"/>
                <w:b w:val="0"/>
                <w:bCs w:val="0"/>
                <w:kern w:val="2"/>
                <w:sz w:val="21"/>
                <w:szCs w:val="22"/>
                <w:lang w:val="en-US" w:eastAsia="zh-CN" w:bidi="ar"/>
              </w:rPr>
              <w:t xml:space="preserve">刷抗碱底漆一道；                             </w:t>
            </w:r>
          </w:p>
          <w:p>
            <w:pPr>
              <w:keepNext w:val="0"/>
              <w:keepLines w:val="0"/>
              <w:widowControl/>
              <w:numPr>
                <w:ilvl w:val="-1"/>
                <w:numId w:val="0"/>
              </w:numPr>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4.腻子找平。</w:t>
            </w:r>
          </w:p>
        </w:tc>
        <w:tc>
          <w:tcPr>
            <w:tcW w:w="1412"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窗帘盒</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1.9厘夹板(防火防潮防蛀处理）+9.5mm石膏板；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2.50系列次龙骨、50系列主龙骨；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 xml:space="preserve">3.具体要求详见深化图纸。 </w:t>
            </w:r>
          </w:p>
        </w:tc>
        <w:tc>
          <w:tcPr>
            <w:tcW w:w="1412"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窗帘</w:t>
            </w:r>
          </w:p>
        </w:tc>
        <w:tc>
          <w:tcPr>
            <w:tcW w:w="6328" w:type="dxa"/>
            <w:vAlign w:val="top"/>
          </w:tcPr>
          <w:p>
            <w:pPr>
              <w:keepNext w:val="0"/>
              <w:keepLines w:val="0"/>
              <w:widowControl/>
              <w:suppressLineNumbers w:val="0"/>
              <w:ind w:left="0" w:leftChars="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1.具体要求详见深化图纸。</w:t>
            </w:r>
          </w:p>
        </w:tc>
        <w:tc>
          <w:tcPr>
            <w:tcW w:w="1412"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强电施工</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1.包含管线预埋及安装</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嵌入式成套配电箱</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1.施耐德空气开关</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砖、混凝土结构吊棚内暗配SC管</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1.镀锌线管DN20</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2251"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金属桥架</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1.200*100镀锌金属桥架</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2251"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电气配插座/照明线</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1.ZRBV-2.5MM2</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900m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1"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普通插座</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1.施耐德普通插座，含主材及安装</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1"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三极开关</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1.施耐德普通开关，含主材及安装</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1"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管内穿五类线信息线</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1.五类线信息线</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1"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电脑插座</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1.施耐德普通电脑插座，含主材及安装</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格力3P天花机</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1.品牌: Gree/格力</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2.型号:  KFR-50TW/(50520)NhCa-3</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3.功率: 3匹</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4.工作方式: 变频</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5.空调冷暖方式: 冷暖电辅</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格力2P天花机</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1.品牌: Gree/格力</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2.型号:  KFR-50TW/(50520)NhCa-3</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3.功率: 3匹</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4.工作方式: 变频</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5.空调冷暖方式: 冷暖电辅</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铜管</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1.上海飞轮去油加厚铜管，</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排水安装</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1.联塑PUV排水管</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2.局部水钻打孔</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方通灯led长条灯铝方通专用灯</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1.功率: 31W(含)</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2.光源类型: led灯</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3.灯身主材质: ABS+五金底盘</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1"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坐席操作台</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1.根据现场尺寸定制，含桌椅</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1"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原装修拆除措施</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1.原装修拆除措施</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63.2m2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办公卡位办公桌椅</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1.根据现场尺寸定制,长：1.4m,宽：0.7m的办公卡位桌子，含1个桌椅。</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4套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251"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机柜</w:t>
            </w:r>
          </w:p>
        </w:tc>
        <w:tc>
          <w:tcPr>
            <w:tcW w:w="6328"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1.类型机柜；</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2.容量42U；</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3.标准19"国际标准；</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4.前门：网状冷轧钢前门或侧通风钢化玻璃主体前门，弹式免匙锁；</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5.后门：冷轧钢网孔后门，钢质圆锁；</w:t>
            </w:r>
          </w:p>
        </w:tc>
        <w:tc>
          <w:tcPr>
            <w:tcW w:w="1412"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1个</w:t>
            </w:r>
          </w:p>
        </w:tc>
      </w:tr>
    </w:tbl>
    <w:p>
      <w:pPr>
        <w:pStyle w:val="34"/>
      </w:pPr>
    </w:p>
    <w:p>
      <w:pPr>
        <w:rPr>
          <w:rFonts w:hint="eastAsia" w:ascii="宋体" w:hAnsi="宋体" w:cs="宋体"/>
          <w:b/>
          <w:bCs/>
          <w:szCs w:val="21"/>
        </w:rPr>
      </w:pPr>
      <w:r>
        <w:rPr>
          <w:rFonts w:hint="eastAsia" w:ascii="宋体" w:hAnsi="宋体" w:cs="宋体"/>
          <w:b/>
          <w:bCs/>
          <w:szCs w:val="21"/>
        </w:rPr>
        <w:br w:type="page"/>
      </w:r>
    </w:p>
    <w:p>
      <w:pPr>
        <w:spacing w:line="360" w:lineRule="auto"/>
        <w:outlineLvl w:val="2"/>
        <w:rPr>
          <w:rFonts w:hint="eastAsia" w:ascii="宋体" w:hAnsi="宋体" w:eastAsia="宋体" w:cs="宋体"/>
          <w:b/>
          <w:bCs/>
          <w:szCs w:val="21"/>
        </w:rPr>
      </w:pPr>
      <w:r>
        <w:rPr>
          <w:rFonts w:hint="eastAsia" w:ascii="宋体" w:hAnsi="宋体" w:eastAsia="宋体" w:cs="宋体"/>
          <w:b/>
          <w:bCs/>
          <w:szCs w:val="21"/>
        </w:rPr>
        <w:t>附件</w:t>
      </w:r>
      <w:r>
        <w:rPr>
          <w:rFonts w:hint="eastAsia" w:ascii="宋体" w:hAnsi="宋体" w:eastAsia="宋体" w:cs="宋体"/>
          <w:b/>
          <w:bCs/>
          <w:szCs w:val="21"/>
          <w:lang w:val="en-US" w:eastAsia="zh-CN"/>
        </w:rPr>
        <w:t>5</w:t>
      </w:r>
      <w:r>
        <w:rPr>
          <w:rFonts w:hint="eastAsia" w:ascii="宋体" w:hAnsi="宋体" w:eastAsia="宋体" w:cs="宋体"/>
          <w:b/>
          <w:bCs/>
          <w:szCs w:val="21"/>
        </w:rPr>
        <w:t xml:space="preserve"> ：项目投入人员架构表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1"/>
        <w:gridCol w:w="1042"/>
        <w:gridCol w:w="887"/>
        <w:gridCol w:w="2459"/>
        <w:gridCol w:w="2670"/>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岗位</w:t>
            </w:r>
          </w:p>
        </w:tc>
        <w:tc>
          <w:tcPr>
            <w:tcW w:w="52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姓名</w:t>
            </w:r>
          </w:p>
        </w:tc>
        <w:tc>
          <w:tcPr>
            <w:tcW w:w="4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性别</w:t>
            </w:r>
          </w:p>
        </w:tc>
        <w:tc>
          <w:tcPr>
            <w:tcW w:w="12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身份证号</w:t>
            </w:r>
          </w:p>
        </w:tc>
        <w:tc>
          <w:tcPr>
            <w:tcW w:w="1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执业或职业资格证明</w:t>
            </w:r>
          </w:p>
        </w:tc>
        <w:tc>
          <w:tcPr>
            <w:tcW w:w="5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项目负责人</w:t>
            </w:r>
          </w:p>
        </w:tc>
        <w:tc>
          <w:tcPr>
            <w:tcW w:w="52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4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2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5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安全员</w:t>
            </w:r>
          </w:p>
        </w:tc>
        <w:tc>
          <w:tcPr>
            <w:tcW w:w="52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4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2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5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技术负责人</w:t>
            </w:r>
          </w:p>
        </w:tc>
        <w:tc>
          <w:tcPr>
            <w:tcW w:w="52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4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2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5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普工</w:t>
            </w:r>
          </w:p>
        </w:tc>
        <w:tc>
          <w:tcPr>
            <w:tcW w:w="52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4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2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5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普工</w:t>
            </w:r>
          </w:p>
        </w:tc>
        <w:tc>
          <w:tcPr>
            <w:tcW w:w="52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4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2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5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普工</w:t>
            </w:r>
          </w:p>
        </w:tc>
        <w:tc>
          <w:tcPr>
            <w:tcW w:w="52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4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2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5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2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普工</w:t>
            </w:r>
          </w:p>
        </w:tc>
        <w:tc>
          <w:tcPr>
            <w:tcW w:w="52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4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2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5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w:t>
            </w:r>
          </w:p>
        </w:tc>
        <w:tc>
          <w:tcPr>
            <w:tcW w:w="52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4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2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5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52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4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2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52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r>
    </w:tbl>
    <w:p>
      <w:pPr>
        <w:pStyle w:val="25"/>
        <w:ind w:firstLine="0"/>
        <w:rPr>
          <w:rFonts w:ascii="仿宋" w:hAnsi="仿宋" w:eastAsia="仿宋" w:cs="仿宋_GB2312"/>
          <w:sz w:val="28"/>
          <w:szCs w:val="28"/>
        </w:rPr>
      </w:pPr>
    </w:p>
    <w:p>
      <w:pPr>
        <w:pStyle w:val="25"/>
        <w:ind w:firstLine="0"/>
        <w:rPr>
          <w:rFonts w:ascii="仿宋" w:hAnsi="仿宋" w:eastAsia="仿宋" w:cs="仿宋_GB2312"/>
          <w:sz w:val="28"/>
          <w:szCs w:val="28"/>
        </w:rPr>
      </w:pPr>
    </w:p>
    <w:p>
      <w:pPr>
        <w:pStyle w:val="25"/>
        <w:ind w:firstLine="0"/>
        <w:rPr>
          <w:rFonts w:ascii="仿宋" w:hAnsi="仿宋" w:eastAsia="仿宋" w:cs="仿宋_GB2312"/>
          <w:sz w:val="28"/>
          <w:szCs w:val="28"/>
        </w:rPr>
      </w:pPr>
    </w:p>
    <w:p>
      <w:pPr>
        <w:pStyle w:val="25"/>
        <w:ind w:firstLine="0"/>
        <w:rPr>
          <w:rFonts w:ascii="仿宋" w:hAnsi="仿宋" w:eastAsia="仿宋" w:cs="仿宋_GB2312"/>
          <w:sz w:val="28"/>
          <w:szCs w:val="28"/>
        </w:rPr>
      </w:pPr>
    </w:p>
    <w:p>
      <w:pPr>
        <w:pStyle w:val="25"/>
        <w:ind w:firstLine="0"/>
        <w:rPr>
          <w:rFonts w:ascii="仿宋" w:hAnsi="仿宋" w:eastAsia="仿宋" w:cs="仿宋_GB2312"/>
          <w:sz w:val="28"/>
          <w:szCs w:val="28"/>
        </w:rPr>
      </w:pPr>
    </w:p>
    <w:p>
      <w:pPr>
        <w:pStyle w:val="25"/>
        <w:ind w:firstLine="0"/>
        <w:rPr>
          <w:rFonts w:ascii="仿宋" w:hAnsi="仿宋" w:eastAsia="仿宋" w:cs="仿宋_GB2312"/>
          <w:sz w:val="28"/>
          <w:szCs w:val="28"/>
        </w:rPr>
      </w:pPr>
    </w:p>
    <w:p>
      <w:pPr>
        <w:rPr>
          <w:rFonts w:hint="eastAsia" w:ascii="宋体" w:hAnsi="宋体" w:eastAsia="宋体" w:cs="宋体"/>
          <w:b/>
          <w:bCs/>
          <w:szCs w:val="21"/>
        </w:rPr>
      </w:pPr>
      <w:r>
        <w:rPr>
          <w:rFonts w:hint="eastAsia" w:ascii="宋体" w:hAnsi="宋体" w:eastAsia="宋体" w:cs="宋体"/>
          <w:b/>
          <w:bCs/>
          <w:szCs w:val="21"/>
        </w:rPr>
        <w:br w:type="page"/>
      </w:r>
    </w:p>
    <w:p>
      <w:pPr>
        <w:spacing w:line="360" w:lineRule="auto"/>
        <w:outlineLvl w:val="2"/>
        <w:rPr>
          <w:rFonts w:hint="eastAsia" w:ascii="宋体" w:hAnsi="宋体" w:eastAsia="宋体" w:cs="宋体"/>
          <w:b/>
          <w:bCs/>
          <w:szCs w:val="21"/>
        </w:rPr>
      </w:pPr>
      <w:r>
        <w:rPr>
          <w:rFonts w:hint="eastAsia" w:ascii="宋体" w:hAnsi="宋体" w:eastAsia="宋体" w:cs="宋体"/>
          <w:b/>
          <w:bCs/>
          <w:szCs w:val="21"/>
        </w:rPr>
        <w:t>附件</w:t>
      </w:r>
      <w:r>
        <w:rPr>
          <w:rFonts w:hint="eastAsia" w:ascii="宋体" w:hAnsi="宋体" w:eastAsia="宋体" w:cs="宋体"/>
          <w:b/>
          <w:bCs/>
          <w:szCs w:val="21"/>
          <w:lang w:val="en-US" w:eastAsia="zh-CN"/>
        </w:rPr>
        <w:t>6</w:t>
      </w:r>
      <w:r>
        <w:rPr>
          <w:rFonts w:hint="eastAsia" w:ascii="宋体" w:hAnsi="宋体" w:eastAsia="宋体" w:cs="宋体"/>
          <w:b/>
          <w:bCs/>
          <w:szCs w:val="21"/>
        </w:rPr>
        <w:t xml:space="preserve"> ：防疫管理协议书</w:t>
      </w:r>
    </w:p>
    <w:p>
      <w:pPr>
        <w:spacing w:line="440" w:lineRule="exact"/>
        <w:jc w:val="center"/>
        <w:rPr>
          <w:rFonts w:hint="eastAsia" w:ascii="宋体" w:hAnsi="宋体" w:eastAsia="宋体" w:cs="宋体"/>
          <w:b/>
          <w:bCs/>
          <w:sz w:val="28"/>
          <w:szCs w:val="28"/>
        </w:rPr>
      </w:pPr>
      <w:r>
        <w:rPr>
          <w:rFonts w:hint="eastAsia" w:ascii="宋体" w:hAnsi="宋体" w:eastAsia="宋体" w:cs="宋体"/>
          <w:b/>
          <w:bCs/>
          <w:sz w:val="28"/>
          <w:szCs w:val="28"/>
        </w:rPr>
        <w:t>防疫管理协议书</w:t>
      </w:r>
    </w:p>
    <w:p>
      <w:pPr>
        <w:spacing w:line="440" w:lineRule="exact"/>
        <w:rPr>
          <w:rFonts w:ascii="仿宋_GB2312" w:hAnsi="宋体" w:eastAsia="仿宋_GB2312"/>
          <w:sz w:val="24"/>
        </w:rPr>
      </w:pP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u w:val="single"/>
        </w:rPr>
      </w:pPr>
      <w:r>
        <w:rPr>
          <w:rFonts w:hint="eastAsia" w:ascii="宋体" w:hAnsi="宋体" w:cs="Arial"/>
          <w:kern w:val="0"/>
          <w:sz w:val="24"/>
          <w:szCs w:val="24"/>
        </w:rPr>
        <w:t>甲方：</w:t>
      </w:r>
      <w:r>
        <w:rPr>
          <w:rFonts w:hint="eastAsia" w:ascii="宋体" w:hAnsi="宋体" w:cs="Arial"/>
          <w:kern w:val="0"/>
          <w:sz w:val="24"/>
          <w:szCs w:val="24"/>
          <w:u w:val="single"/>
        </w:rPr>
        <w:t>广州市净水有限公司</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乙方：</w:t>
      </w:r>
      <w:r>
        <w:rPr>
          <w:rFonts w:hint="eastAsia" w:ascii="宋体" w:hAnsi="宋体" w:cs="Arial"/>
          <w:kern w:val="0"/>
          <w:sz w:val="24"/>
          <w:szCs w:val="24"/>
          <w:u w:val="single"/>
        </w:rPr>
        <w:t xml:space="preserve">  </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一、本协议与主协议的关系</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本协议作为   的组成部分，与主合同具有同等法律</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二、甲方的义务</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（一）与建设主管部门和属地疫情防控指挥部门形成联防联控机制，建立快速有效的处置工作流程。</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（二）对乙方防控工作的落实情况进行监督。</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三、乙方的义务</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（一）开展疫情防控宣传教育，提高乙方人员自我防护意识，最大限度减少人员暴露和感染的风险。</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（二）做好乙方人员防控工作管理，及时提交防疫资料，落实疫情防控备案，必要时需编制防控管理工作方案。</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（三）乙方人员须按照甲方各厂区进厂门岗防控要求进行疫苗接种及核酸检测，未满足相关要求的人员甲方有权限制进入厂区。</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（四）建立畅通的信息传输渠道和严格的信息上报机制，出现问题及时采取应急响应措施，迅速妥善处置项目施工场所普通发热病例、可疑病例和突发新冠肺炎疫情，并第一时间报送甲方。</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（五）各级政府、有关部门及甲方的其他防控要求。</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四、违约责任</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乙方需按照甲方服务要求执行，未达到疫情防控要求的，需按下列条款执行：</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（一）乙方人员及其密接亲属有重点区域、重点场所旅居史未报备的，每发现一人，从乙方当月服务费中扣500元；</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（二）乙方人员未按照甲方要求进行核酸检测的或有瞒报、虚报的，每发现一人，从乙方当月服务费中扣50元；</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（三）乙方项目维修施工人员拒不配合甲方疫情防控要求或不满足甲方防疫工作要求的，甲方有权要求乙方3天内更换服务人员。</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五、补充条款：         /       。</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六、附则</w:t>
      </w:r>
    </w:p>
    <w:p>
      <w:pPr>
        <w:keepNext w:val="0"/>
        <w:keepLines w:val="0"/>
        <w:pageBreakBefore w:val="0"/>
        <w:widowControl w:val="0"/>
        <w:kinsoku/>
        <w:wordWrap/>
        <w:overflowPunct/>
        <w:topLinePunct w:val="0"/>
        <w:autoSpaceDE/>
        <w:autoSpaceDN/>
        <w:bidi w:val="0"/>
        <w:spacing w:line="600" w:lineRule="exact"/>
        <w:ind w:firstLine="480" w:firstLineChars="200"/>
        <w:textAlignment w:val="auto"/>
        <w:rPr>
          <w:rFonts w:hint="eastAsia" w:ascii="宋体" w:hAnsi="宋体" w:cs="Arial"/>
          <w:kern w:val="0"/>
          <w:sz w:val="24"/>
          <w:szCs w:val="24"/>
        </w:rPr>
      </w:pPr>
      <w:r>
        <w:rPr>
          <w:rFonts w:hint="eastAsia" w:ascii="宋体" w:hAnsi="宋体" w:cs="Arial"/>
          <w:kern w:val="0"/>
          <w:sz w:val="24"/>
          <w:szCs w:val="24"/>
        </w:rPr>
        <w:t>本协议与合同同时签订、同时终止、同时生效，具有相同的法律效力。合同由甲乙双方签字、盖章生效，甲乙双方各  份。</w:t>
      </w:r>
    </w:p>
    <w:p>
      <w:pPr>
        <w:adjustRightInd w:val="0"/>
        <w:snapToGrid w:val="0"/>
        <w:spacing w:line="440" w:lineRule="exact"/>
        <w:rPr>
          <w:rFonts w:ascii="仿宋" w:hAnsi="仿宋" w:eastAsia="仿宋" w:cs="仿宋"/>
          <w:sz w:val="24"/>
        </w:rPr>
      </w:pPr>
    </w:p>
    <w:p>
      <w:pPr>
        <w:keepNext w:val="0"/>
        <w:keepLines w:val="0"/>
        <w:pageBreakBefore w:val="0"/>
        <w:widowControl w:val="0"/>
        <w:kinsoku/>
        <w:wordWrap/>
        <w:overflowPunct/>
        <w:topLinePunct w:val="0"/>
        <w:autoSpaceDE/>
        <w:autoSpaceDN/>
        <w:bidi w:val="0"/>
        <w:spacing w:line="600" w:lineRule="exact"/>
        <w:textAlignment w:val="auto"/>
        <w:rPr>
          <w:rFonts w:hint="eastAsia" w:ascii="宋体" w:hAnsi="宋体" w:cs="Arial"/>
          <w:kern w:val="0"/>
          <w:sz w:val="24"/>
          <w:szCs w:val="24"/>
        </w:rPr>
      </w:pPr>
      <w:r>
        <w:rPr>
          <w:rFonts w:hint="eastAsia" w:ascii="宋体" w:hAnsi="宋体" w:cs="Arial"/>
          <w:kern w:val="0"/>
          <w:sz w:val="24"/>
          <w:szCs w:val="24"/>
        </w:rPr>
        <w:t xml:space="preserve">甲方代表（章）：                 </w:t>
      </w:r>
      <w:r>
        <w:rPr>
          <w:rFonts w:hint="eastAsia" w:ascii="宋体" w:hAnsi="宋体" w:cs="Arial"/>
          <w:kern w:val="0"/>
          <w:sz w:val="24"/>
          <w:szCs w:val="24"/>
          <w:lang w:val="en-US" w:eastAsia="zh-CN"/>
        </w:rPr>
        <w:t xml:space="preserve"> </w:t>
      </w:r>
      <w:r>
        <w:rPr>
          <w:rFonts w:hint="eastAsia" w:ascii="宋体" w:hAnsi="宋体" w:cs="Arial"/>
          <w:kern w:val="0"/>
          <w:sz w:val="24"/>
          <w:szCs w:val="24"/>
        </w:rPr>
        <w:t xml:space="preserve">       乙方代表（章）：      </w:t>
      </w:r>
    </w:p>
    <w:p>
      <w:pPr>
        <w:keepNext w:val="0"/>
        <w:keepLines w:val="0"/>
        <w:pageBreakBefore w:val="0"/>
        <w:widowControl w:val="0"/>
        <w:kinsoku/>
        <w:wordWrap/>
        <w:overflowPunct/>
        <w:topLinePunct w:val="0"/>
        <w:autoSpaceDE/>
        <w:autoSpaceDN/>
        <w:bidi w:val="0"/>
        <w:spacing w:line="600" w:lineRule="exact"/>
        <w:ind w:firstLine="960" w:firstLineChars="400"/>
        <w:textAlignment w:val="auto"/>
        <w:rPr>
          <w:rFonts w:hint="eastAsia" w:ascii="宋体" w:hAnsi="宋体" w:cs="Arial"/>
          <w:kern w:val="0"/>
          <w:sz w:val="24"/>
          <w:szCs w:val="24"/>
        </w:rPr>
      </w:pPr>
      <w:r>
        <w:rPr>
          <w:rFonts w:hint="eastAsia" w:ascii="宋体" w:hAnsi="宋体" w:cs="Arial"/>
          <w:kern w:val="0"/>
          <w:sz w:val="24"/>
          <w:szCs w:val="24"/>
        </w:rPr>
        <w:t>年</w:t>
      </w:r>
      <w:r>
        <w:rPr>
          <w:rFonts w:hint="eastAsia" w:ascii="宋体" w:hAnsi="宋体" w:cs="Arial"/>
          <w:kern w:val="0"/>
          <w:sz w:val="24"/>
          <w:szCs w:val="24"/>
          <w:lang w:val="en-US" w:eastAsia="zh-CN"/>
        </w:rPr>
        <w:t xml:space="preserve">  </w:t>
      </w:r>
      <w:r>
        <w:rPr>
          <w:rFonts w:hint="eastAsia" w:ascii="宋体" w:hAnsi="宋体" w:cs="Arial"/>
          <w:kern w:val="0"/>
          <w:sz w:val="24"/>
          <w:szCs w:val="24"/>
        </w:rPr>
        <w:t xml:space="preserve"> 月 </w:t>
      </w:r>
      <w:r>
        <w:rPr>
          <w:rFonts w:hint="eastAsia" w:ascii="宋体" w:hAnsi="宋体" w:cs="Arial"/>
          <w:kern w:val="0"/>
          <w:sz w:val="24"/>
          <w:szCs w:val="24"/>
          <w:lang w:val="en-US" w:eastAsia="zh-CN"/>
        </w:rPr>
        <w:t xml:space="preserve"> </w:t>
      </w:r>
      <w:r>
        <w:rPr>
          <w:rFonts w:hint="eastAsia" w:ascii="宋体" w:hAnsi="宋体" w:cs="Arial"/>
          <w:kern w:val="0"/>
          <w:sz w:val="24"/>
          <w:szCs w:val="24"/>
        </w:rPr>
        <w:t xml:space="preserve"> 日                          </w:t>
      </w:r>
      <w:r>
        <w:rPr>
          <w:rFonts w:hint="eastAsia" w:ascii="宋体" w:hAnsi="宋体" w:cs="Arial"/>
          <w:kern w:val="0"/>
          <w:sz w:val="24"/>
          <w:szCs w:val="24"/>
          <w:lang w:val="en-US" w:eastAsia="zh-CN"/>
        </w:rPr>
        <w:t xml:space="preserve">  </w:t>
      </w:r>
      <w:r>
        <w:rPr>
          <w:rFonts w:hint="eastAsia" w:ascii="宋体" w:hAnsi="宋体" w:cs="Arial"/>
          <w:kern w:val="0"/>
          <w:sz w:val="24"/>
          <w:szCs w:val="24"/>
        </w:rPr>
        <w:t xml:space="preserve"> 年   月  　日</w:t>
      </w:r>
    </w:p>
    <w:p>
      <w:pPr>
        <w:pStyle w:val="2"/>
        <w:rPr>
          <w:rFonts w:hint="default" w:eastAsiaTheme="minorEastAsia"/>
          <w:lang w:val="en-US" w:eastAsia="zh-CN"/>
        </w:rPr>
      </w:pPr>
      <w:r>
        <w:rPr>
          <w:rFonts w:hint="eastAsia" w:ascii="宋体" w:hAnsi="宋体" w:cs="Arial"/>
          <w:kern w:val="0"/>
          <w:sz w:val="24"/>
          <w:szCs w:val="24"/>
          <w:lang w:val="en-US" w:eastAsia="zh-CN"/>
        </w:rPr>
        <w:t>附件7</w:t>
      </w:r>
    </w:p>
    <w:tbl>
      <w:tblPr>
        <w:tblStyle w:val="26"/>
        <w:tblpPr w:leftFromText="180" w:rightFromText="180" w:vertAnchor="text" w:horzAnchor="page" w:tblpX="1108" w:tblpY="900"/>
        <w:tblOverlap w:val="never"/>
        <w:tblW w:w="0" w:type="auto"/>
        <w:jc w:val="center"/>
        <w:tblLayout w:type="autofit"/>
        <w:tblCellMar>
          <w:top w:w="0" w:type="dxa"/>
          <w:left w:w="0" w:type="dxa"/>
          <w:bottom w:w="0" w:type="dxa"/>
          <w:right w:w="0" w:type="dxa"/>
        </w:tblCellMar>
      </w:tblPr>
      <w:tblGrid>
        <w:gridCol w:w="344"/>
        <w:gridCol w:w="918"/>
        <w:gridCol w:w="715"/>
        <w:gridCol w:w="2653"/>
        <w:gridCol w:w="1269"/>
        <w:gridCol w:w="1282"/>
        <w:gridCol w:w="1282"/>
        <w:gridCol w:w="1307"/>
      </w:tblGrid>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000000"/>
                <w:sz w:val="16"/>
                <w:szCs w:val="16"/>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扣合同金额的30%～50%；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扣合同金额的20%～30%；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扣合同金额的20%～30%;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扣合同金额的3%～5%；</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扣合同金额的3%～5%；</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扣合同金额的1%～2%；</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1.发生事故或事件隐瞒不报的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2.未在1小时内向业主单位上报事故的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3.拒绝、不配合事故事件调查的或事故事件调查提供虚假信息</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4.未按规定和程序组织事故调查和事故处理的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5.未及时处理导致事故扩大的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扣合同金额的30%～50%；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扣合同金额的20%～30%；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扣合同金额的10%～20%；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扣合同金额的5%～10%;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2.施工单位对施工人员的三级安全教育材料</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缺资料扣合同金额的5%或500；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缺资料扣合同金额的2%或2000；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缺资料扣合同金额的1%或4500；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缺资料扣合同金额的0.4%或8000；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4.施工方案，应满足合同要求，内容至少包括：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施工点介绍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施工内容（含作业流程、风险分析、施工工艺等）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施工设备和材料（必要时含构件测试手段等）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缺施工方案扣合同金额的6%或700；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缺施工方案扣合同金额的3%或3500；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缺施工方案扣合同金额的1.5%或5000；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缺施工方案扣合同金额的0.5%或1万；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5.应急预案，内容至少包括：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现场情况介绍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风险评估</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应急流程</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应急物资清单</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缺应急预案扣合同金额的6%或700；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缺应急预案扣合同金额的3%或3500；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缺应急预案扣合同金额的1.5%或5000；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缺应急预案扣合同金额的0.5%或1万；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安全责任人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施工负责人（可与安全责任人为同一个人）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设备、物资管理人员</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缺安全架构扣合同金额的10%或2000；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缺安全架构扣合同金额的5%或5000；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缺安全架构扣合同金额的2%或1万；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缺安全架构扣合同金额的1%或2万；</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7.施工人员花名册，人员应包含：</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施工负责人（需要施工管理人员资格证书）</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一般施工人员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可能需要进入厂区的其他人员（如监理人员、资料员等）</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缺花名册扣合同金额的5%或500；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缺特种作业人员或特种作业人员不满足合同要求，扣合同金额的5%或500；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缺花名册扣合同金额的2%或2000；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缺花名册扣合同金额的1%或4500；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缺花名册扣合同金额的0.4%或8000；</w:t>
            </w:r>
          </w:p>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1.施工现场未开展有效围蔽</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3.现场无危险源公示、告知及相应警示</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1.现场未按施工方案落实安全防范措施的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2.危险作业未经业主人员审批先行施工的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1.缺少书面交底、未留存书面资料或交底资料缺少交底人、被交底人及安全员签字的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1.违反9大危险作业相关作业规范的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2.现场存在违章作业、违章指挥等违反相关安全管理规定或制度的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1.未设置应急物资点，未统一存放应急物资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2.应急物资点无应急物资清单或无应急物资每日检查表</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扣合同金额的3%～5%；</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扣合同金额的1%～2%；</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扣合同金额的0.5%～1%；</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扣合同金额的0.3%～0.4%；</w:t>
            </w:r>
          </w:p>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sz w:val="13"/>
                <w:szCs w:val="13"/>
              </w:rPr>
            </w:pPr>
            <w:r>
              <w:rPr>
                <w:rFonts w:hint="eastAsia"/>
                <w:sz w:val="13"/>
                <w:szCs w:val="13"/>
              </w:rPr>
              <w:t>注：1、与安全管理相关的考评内容具体考评标准内容参照广州市净水有限公司标准《工程项目安全管理规范》（Q/GZJSA 1-2021）执行。</w:t>
            </w:r>
          </w:p>
          <w:p>
            <w:r>
              <w:rPr>
                <w:rFonts w:hint="eastAsia" w:ascii="仿宋_GB2312" w:hAnsi="仿宋_GB2312" w:eastAsia="仿宋_GB2312" w:cs="仿宋_GB2312"/>
                <w:color w:val="000000"/>
                <w:sz w:val="13"/>
                <w:szCs w:val="13"/>
              </w:rPr>
              <w:t>2.本处理标准出自《</w:t>
            </w:r>
            <w:r>
              <w:rPr>
                <w:rFonts w:hint="eastAsia" w:ascii="宋体" w:hAnsi="宋体" w:cs="宋体"/>
                <w:color w:val="000000"/>
                <w:sz w:val="13"/>
                <w:szCs w:val="13"/>
              </w:rPr>
              <w:t>广州净水公司工程项目承包单位质量安全考评细则（试行）</w:t>
            </w:r>
            <w:r>
              <w:rPr>
                <w:rFonts w:hint="eastAsia" w:ascii="仿宋_GB2312" w:hAnsi="仿宋_GB2312" w:eastAsia="仿宋_GB2312" w:cs="仿宋_GB2312"/>
                <w:color w:val="000000"/>
                <w:sz w:val="13"/>
                <w:szCs w:val="13"/>
              </w:rPr>
              <w:t>》。</w:t>
            </w:r>
          </w:p>
          <w:p>
            <w:pPr>
              <w:pStyle w:val="25"/>
              <w:ind w:firstLine="1126"/>
              <w:rPr>
                <w:rFonts w:hint="default" w:eastAsia="仿宋_GB2312"/>
                <w:lang w:val="en-US" w:eastAsia="zh-CN"/>
              </w:rPr>
            </w:pPr>
          </w:p>
        </w:tc>
      </w:tr>
    </w:tbl>
    <w:p>
      <w:pPr>
        <w:pStyle w:val="2"/>
        <w:rPr>
          <w:rFonts w:hint="default" w:eastAsiaTheme="minorEastAsia"/>
          <w:lang w:val="en-US" w:eastAsia="zh-CN"/>
        </w:rPr>
      </w:pPr>
      <w:r>
        <w:rPr>
          <w:rFonts w:hint="eastAsia" w:ascii="宋体" w:hAnsi="宋体" w:cs="Arial"/>
          <w:kern w:val="0"/>
          <w:sz w:val="24"/>
          <w:szCs w:val="24"/>
          <w:lang w:val="en-US" w:eastAsia="zh-CN"/>
        </w:rPr>
        <w:t>附件8</w:t>
      </w:r>
    </w:p>
    <w:p>
      <w:pPr>
        <w:pStyle w:val="25"/>
        <w:ind w:left="0" w:leftChars="0" w:firstLine="0" w:firstLineChars="0"/>
        <w:rPr>
          <w:rFonts w:ascii="宋体" w:hAnsi="宋体" w:cs="宋体"/>
          <w:b/>
          <w:bCs/>
          <w:color w:val="000000"/>
          <w:sz w:val="24"/>
          <w:szCs w:val="24"/>
        </w:rPr>
      </w:pPr>
    </w:p>
    <w:p>
      <w:pPr>
        <w:pStyle w:val="25"/>
        <w:ind w:left="0" w:leftChars="0" w:firstLine="0" w:firstLineChars="0"/>
        <w:rPr>
          <w:rFonts w:ascii="宋体" w:hAnsi="宋体" w:cs="宋体"/>
          <w:b/>
          <w:bCs/>
          <w:color w:val="000000"/>
          <w:sz w:val="24"/>
          <w:szCs w:val="24"/>
        </w:rPr>
      </w:pPr>
    </w:p>
    <w:tbl>
      <w:tblPr>
        <w:tblStyle w:val="26"/>
        <w:tblW w:w="9300" w:type="dxa"/>
        <w:jc w:val="center"/>
        <w:tblLayout w:type="autofit"/>
        <w:tblCellMar>
          <w:top w:w="0" w:type="dxa"/>
          <w:left w:w="0" w:type="dxa"/>
          <w:bottom w:w="0" w:type="dxa"/>
          <w:right w:w="0" w:type="dxa"/>
        </w:tblCellMar>
      </w:tblPr>
      <w:tblGrid>
        <w:gridCol w:w="331"/>
        <w:gridCol w:w="437"/>
        <w:gridCol w:w="476"/>
        <w:gridCol w:w="3837"/>
        <w:gridCol w:w="1049"/>
        <w:gridCol w:w="728"/>
        <w:gridCol w:w="728"/>
        <w:gridCol w:w="728"/>
        <w:gridCol w:w="728"/>
        <w:gridCol w:w="728"/>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hint="eastAsia" w:ascii="等线" w:hAnsi="等线" w:eastAsia="等线" w:cs="等线"/>
                <w:color w:val="000000"/>
                <w:sz w:val="16"/>
                <w:szCs w:val="16"/>
                <w:lang w:val="en-US" w:eastAsia="zh-CN"/>
              </w:rPr>
            </w:pPr>
            <w:r>
              <w:rPr>
                <w:rFonts w:hint="eastAsia" w:ascii="等线" w:hAnsi="等线" w:eastAsia="等线" w:cs="等线"/>
                <w:color w:val="000000"/>
                <w:kern w:val="0"/>
                <w:sz w:val="16"/>
                <w:szCs w:val="16"/>
                <w:lang w:bidi="ar"/>
              </w:rPr>
              <w:t>附件</w:t>
            </w:r>
            <w:r>
              <w:rPr>
                <w:rFonts w:hint="eastAsia" w:ascii="等线" w:hAnsi="等线" w:eastAsia="等线" w:cs="等线"/>
                <w:color w:val="000000"/>
                <w:kern w:val="0"/>
                <w:sz w:val="16"/>
                <w:szCs w:val="16"/>
                <w:lang w:val="en-US" w:eastAsia="zh-CN" w:bidi="ar"/>
              </w:rPr>
              <w:t>8</w:t>
            </w: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000000"/>
                <w:sz w:val="16"/>
                <w:szCs w:val="16"/>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000000"/>
                <w:sz w:val="16"/>
                <w:szCs w:val="16"/>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000000"/>
                <w:sz w:val="16"/>
                <w:szCs w:val="16"/>
              </w:rPr>
            </w:pPr>
            <w:r>
              <w:rPr>
                <w:rFonts w:hint="eastAsia" w:ascii="等线" w:hAnsi="等线" w:eastAsia="等线" w:cs="等线"/>
                <w:b/>
                <w:color w:val="000000"/>
                <w:kern w:val="0"/>
                <w:sz w:val="16"/>
                <w:szCs w:val="16"/>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1.发生事故或事件隐瞒不报的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2.未在1小时内向业主单位上报事故的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3.拒绝、不配合事故事件调查的或事故事件调查提供虚假信息</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4.未按规定和程序组织事故调查和事故处理的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5.未及时处理导致事故扩大的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2.施工单位对施工人员的三级安全教育材料</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缺资料扣3～5分/项；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4.施工方案，应满足合同要求，内容至少包括：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施工点介绍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施工内容（含作业流程、风险分析、施工工艺等）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施工设备和材料（必要时含构件测试手段等）</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缺施工方案扣4～8分/项；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5.应急预案，内容至少包括：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现场情况介绍</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风险评估</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应急流程</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应急物资清单</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缺应急预案扣4～8分/项；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安全责任人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施工负责人（可与安全责任人为同一个人）</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设备、物资管理人员</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缺安全架构扣5～10分/项；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7.施工人员花名册，人员应包含：</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施工负责人（需要施工管理人员资格证书）</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一般施工人员</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 xml:space="preserve">  可能需要进入厂区的其他人员（如监理人员、资料员等）</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缺花名册扣3～5分/项；</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缺特种作业人员或特种作业人员不满足合同要求扣3～5分/项；</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1.施工现场未开展有效围蔽</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3.现场无危险源公示、告知及相应警示</w:t>
            </w:r>
          </w:p>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1.现场未按施工方案落实安全防范措施的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2.危险作业未经业主人员审批先行施工的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1.缺少书面交底、未留存书面资料或交底资料缺少交底人、被交底人及安全员签字的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1.违反9大危险作业相关作业规范的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2.现场存在违章作业、违章指挥等违反相关安全管理规定或制度的</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1.未设置应急物资点，未统一存放应急物资</w:t>
            </w:r>
          </w:p>
          <w:p>
            <w:pPr>
              <w:widowControl/>
              <w:textAlignment w:val="center"/>
              <w:rPr>
                <w:rFonts w:hint="eastAsia" w:ascii="仿宋_GB2312" w:hAnsi="等线" w:eastAsia="仿宋_GB2312" w:cs="仿宋_GB2312"/>
                <w:color w:val="000000"/>
                <w:kern w:val="0"/>
                <w:sz w:val="16"/>
                <w:szCs w:val="16"/>
                <w:lang w:eastAsia="zh-CN" w:bidi="ar"/>
              </w:rPr>
            </w:pPr>
            <w:r>
              <w:rPr>
                <w:rFonts w:hint="eastAsia" w:ascii="仿宋_GB2312" w:hAnsi="等线" w:eastAsia="仿宋_GB2312" w:cs="仿宋_GB2312"/>
                <w:color w:val="000000"/>
                <w:kern w:val="0"/>
                <w:sz w:val="16"/>
                <w:szCs w:val="16"/>
                <w:lang w:bidi="ar"/>
              </w:rPr>
              <w:t>2.应急物资点无应急物资清单或无应急物资每日检查表</w:t>
            </w:r>
          </w:p>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rPr>
            </w:pPr>
            <w:r>
              <w:rPr>
                <w:rFonts w:hint="eastAsia" w:ascii="仿宋_GB2312" w:hAnsi="等线" w:eastAsia="仿宋_GB2312" w:cs="仿宋_GB2312"/>
                <w:color w:val="000000"/>
                <w:kern w:val="0"/>
                <w:sz w:val="16"/>
                <w:szCs w:val="16"/>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rPr>
            </w:pPr>
            <w:r>
              <w:rPr>
                <w:rFonts w:hint="eastAsia" w:ascii="等线" w:hAnsi="等线" w:eastAsia="等线" w:cs="等线"/>
                <w:color w:val="000000"/>
                <w:kern w:val="0"/>
                <w:sz w:val="16"/>
                <w:szCs w:val="16"/>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000000"/>
                <w:sz w:val="16"/>
                <w:szCs w:val="16"/>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sz w:val="13"/>
                <w:szCs w:val="13"/>
                <w:lang w:eastAsia="zh-CN"/>
              </w:rPr>
            </w:pPr>
            <w:r>
              <w:rPr>
                <w:rFonts w:hint="eastAsia"/>
                <w:sz w:val="13"/>
                <w:szCs w:val="13"/>
              </w:rPr>
              <w:t>注：1、综合考评满分100分，各考评项目扣分不设上限；</w:t>
            </w:r>
          </w:p>
          <w:p>
            <w:pPr>
              <w:widowControl/>
              <w:jc w:val="left"/>
              <w:textAlignment w:val="center"/>
              <w:rPr>
                <w:rFonts w:hint="eastAsia" w:eastAsia="宋体"/>
                <w:sz w:val="13"/>
                <w:szCs w:val="13"/>
                <w:lang w:eastAsia="zh-CN"/>
              </w:rPr>
            </w:pPr>
            <w:r>
              <w:rPr>
                <w:rFonts w:hint="eastAsia"/>
                <w:sz w:val="13"/>
                <w:szCs w:val="13"/>
              </w:rPr>
              <w:t xml:space="preserve">    2、监理单位考评只作为参考及履职依据，不计入考评，无监理单位不需填写；</w:t>
            </w:r>
          </w:p>
          <w:p>
            <w:pPr>
              <w:widowControl/>
              <w:jc w:val="left"/>
              <w:textAlignment w:val="center"/>
              <w:rPr>
                <w:rFonts w:hint="eastAsia" w:eastAsia="宋体"/>
                <w:sz w:val="13"/>
                <w:szCs w:val="13"/>
                <w:lang w:eastAsia="zh-CN"/>
              </w:rPr>
            </w:pPr>
            <w:r>
              <w:rPr>
                <w:rFonts w:hint="eastAsia"/>
                <w:sz w:val="13"/>
                <w:szCs w:val="13"/>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sz w:val="13"/>
                <w:szCs w:val="13"/>
                <w:lang w:eastAsia="zh-CN"/>
              </w:rPr>
            </w:pPr>
            <w:r>
              <w:rPr>
                <w:rFonts w:hint="eastAsia"/>
                <w:sz w:val="13"/>
                <w:szCs w:val="13"/>
              </w:rPr>
              <w:t xml:space="preserve">    4、各分公司考评填写相应的得（扣）分数值，如奖2分则填写“2”，扣2分则填写“-2”；</w:t>
            </w:r>
          </w:p>
          <w:p>
            <w:pPr>
              <w:widowControl/>
              <w:jc w:val="left"/>
              <w:textAlignment w:val="center"/>
              <w:rPr>
                <w:rFonts w:hint="eastAsia" w:eastAsia="宋体"/>
                <w:sz w:val="13"/>
                <w:szCs w:val="13"/>
                <w:lang w:eastAsia="zh-CN"/>
              </w:rPr>
            </w:pPr>
            <w:r>
              <w:rPr>
                <w:rFonts w:hint="eastAsia"/>
                <w:sz w:val="13"/>
                <w:szCs w:val="13"/>
              </w:rPr>
              <w:t xml:space="preserve">    5、单项“综合考评”=项目部考评+公司考评；综合考评总分=各单项“综合考评”+100</w:t>
            </w:r>
          </w:p>
          <w:p>
            <w:pPr>
              <w:widowControl/>
              <w:jc w:val="left"/>
              <w:textAlignment w:val="center"/>
              <w:rPr>
                <w:rFonts w:hint="eastAsia" w:eastAsia="宋体"/>
                <w:sz w:val="13"/>
                <w:szCs w:val="13"/>
                <w:lang w:eastAsia="zh-CN"/>
              </w:rPr>
            </w:pPr>
            <w:r>
              <w:rPr>
                <w:rFonts w:hint="eastAsia"/>
                <w:sz w:val="13"/>
                <w:szCs w:val="13"/>
              </w:rPr>
              <w:t xml:space="preserve">    6、最后得分=综合考评总分X类别系数；</w:t>
            </w:r>
          </w:p>
          <w:p>
            <w:pPr>
              <w:widowControl/>
              <w:jc w:val="left"/>
              <w:textAlignment w:val="center"/>
              <w:rPr>
                <w:sz w:val="13"/>
                <w:szCs w:val="13"/>
              </w:rPr>
            </w:pPr>
            <w:r>
              <w:rPr>
                <w:rFonts w:hint="eastAsia"/>
                <w:sz w:val="13"/>
                <w:szCs w:val="13"/>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000000"/>
                <w:sz w:val="13"/>
                <w:szCs w:val="13"/>
              </w:rPr>
            </w:pPr>
            <w:r>
              <w:rPr>
                <w:rFonts w:hint="eastAsia" w:ascii="仿宋_GB2312" w:hAnsi="仿宋_GB2312" w:eastAsia="仿宋_GB2312" w:cs="仿宋_GB2312"/>
                <w:color w:val="000000"/>
                <w:sz w:val="13"/>
                <w:szCs w:val="13"/>
              </w:rPr>
              <w:t>8、本处理标准出自《</w:t>
            </w:r>
            <w:r>
              <w:rPr>
                <w:rFonts w:hint="eastAsia" w:ascii="宋体" w:hAnsi="宋体" w:cs="宋体"/>
                <w:color w:val="000000"/>
                <w:sz w:val="13"/>
                <w:szCs w:val="13"/>
              </w:rPr>
              <w:t>广州净水公司工程项目承包单位质量安全考评细则（试行）</w:t>
            </w:r>
            <w:r>
              <w:rPr>
                <w:rFonts w:hint="eastAsia" w:ascii="仿宋_GB2312" w:hAnsi="仿宋_GB2312" w:eastAsia="仿宋_GB2312" w:cs="仿宋_GB2312"/>
                <w:color w:val="000000"/>
                <w:sz w:val="13"/>
                <w:szCs w:val="13"/>
              </w:rPr>
              <w:t>》。</w:t>
            </w:r>
          </w:p>
          <w:p>
            <w:pPr>
              <w:pStyle w:val="25"/>
              <w:ind w:firstLine="1126"/>
            </w:pPr>
          </w:p>
        </w:tc>
      </w:tr>
    </w:tbl>
    <w:p>
      <w:pPr>
        <w:spacing w:line="360" w:lineRule="auto"/>
        <w:outlineLvl w:val="2"/>
        <w:rPr>
          <w:rFonts w:hint="eastAsia" w:ascii="宋体" w:hAnsi="宋体" w:eastAsia="宋体" w:cs="宋体"/>
          <w:b/>
          <w:bCs/>
          <w:szCs w:val="21"/>
          <w:lang w:val="en-US" w:eastAsia="zh-CN"/>
        </w:rPr>
      </w:pPr>
      <w:r>
        <w:rPr>
          <w:rFonts w:hint="eastAsia" w:ascii="宋体" w:hAnsi="宋体" w:eastAsia="宋体" w:cs="宋体"/>
          <w:b/>
          <w:bCs/>
          <w:szCs w:val="21"/>
          <w:lang w:val="en-US" w:eastAsia="zh-CN"/>
        </w:rPr>
        <w:t>附件7：履约保函模板</w:t>
      </w:r>
    </w:p>
    <w:p>
      <w:pPr>
        <w:jc w:val="center"/>
        <w:rPr>
          <w:rFonts w:ascii="黑体" w:hAnsi="黑体" w:eastAsia="黑体"/>
          <w:b/>
          <w:sz w:val="28"/>
          <w:szCs w:val="28"/>
        </w:rPr>
      </w:pPr>
      <w:r>
        <w:rPr>
          <w:rFonts w:hint="eastAsia" w:ascii="黑体" w:hAnsi="黑体" w:eastAsia="黑体"/>
          <w:b/>
          <w:sz w:val="36"/>
          <w:szCs w:val="28"/>
        </w:rPr>
        <w:t>履约保函模板</w:t>
      </w: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（受益人）</w:t>
      </w:r>
      <w:r>
        <w:rPr>
          <w:rFonts w:ascii="仿宋" w:hAnsi="仿宋" w:eastAsia="仿宋"/>
          <w:sz w:val="28"/>
          <w:szCs w:val="28"/>
        </w:rPr>
        <w:br w:type="textWrapping"/>
      </w:r>
    </w:p>
    <w:p>
      <w:pPr>
        <w:ind w:firstLine="420"/>
        <w:rPr>
          <w:rFonts w:ascii="仿宋" w:hAnsi="仿宋" w:eastAsia="仿宋"/>
          <w:sz w:val="28"/>
          <w:szCs w:val="28"/>
        </w:rPr>
      </w:pPr>
      <w:r>
        <w:rPr>
          <w:rFonts w:hint="eastAsia" w:ascii="仿宋" w:hAnsi="仿宋" w:eastAsia="仿宋"/>
          <w:sz w:val="28"/>
          <w:szCs w:val="28"/>
        </w:rPr>
        <w:t>鉴于</w:t>
      </w:r>
      <w:r>
        <w:rPr>
          <w:rFonts w:hint="eastAsia" w:ascii="仿宋" w:hAnsi="仿宋" w:eastAsia="仿宋"/>
          <w:sz w:val="28"/>
          <w:szCs w:val="28"/>
          <w:u w:val="single"/>
        </w:rPr>
        <w:t xml:space="preserve">           </w:t>
      </w:r>
      <w:r>
        <w:rPr>
          <w:rFonts w:hint="eastAsia" w:ascii="仿宋" w:hAnsi="仿宋" w:eastAsia="仿宋"/>
          <w:sz w:val="28"/>
          <w:szCs w:val="28"/>
        </w:rPr>
        <w:t>（以下简称“委托人”）与贵方于</w:t>
      </w:r>
      <w:r>
        <w:rPr>
          <w:rFonts w:hint="eastAsia" w:ascii="仿宋" w:hAnsi="仿宋" w:eastAsia="仿宋"/>
          <w:sz w:val="28"/>
          <w:szCs w:val="28"/>
          <w:u w:val="single"/>
        </w:rPr>
        <w:t xml:space="preserve">   年  月  日</w:t>
      </w:r>
      <w:r>
        <w:rPr>
          <w:rFonts w:hint="eastAsia" w:ascii="仿宋" w:hAnsi="仿宋" w:eastAsia="仿宋"/>
          <w:sz w:val="28"/>
          <w:szCs w:val="28"/>
        </w:rPr>
        <w:t>签订了</w:t>
      </w:r>
      <w:r>
        <w:rPr>
          <w:rFonts w:hint="eastAsia" w:ascii="仿宋" w:hAnsi="仿宋" w:eastAsia="仿宋"/>
          <w:sz w:val="28"/>
          <w:szCs w:val="28"/>
          <w:u w:val="single"/>
        </w:rPr>
        <w:t xml:space="preserve">                     </w:t>
      </w:r>
      <w:r>
        <w:rPr>
          <w:rFonts w:hint="eastAsia" w:ascii="仿宋" w:hAnsi="仿宋" w:eastAsia="仿宋"/>
          <w:sz w:val="28"/>
          <w:szCs w:val="28"/>
        </w:rPr>
        <w:t>（以下简称“合同”），我行同意为委托人出具履约保函，作为委托人履行合同义务的担保，以使你方得到履约保函的保障。本保函为不可撤销，见索即付的独立保函。</w:t>
      </w:r>
    </w:p>
    <w:p>
      <w:pPr>
        <w:ind w:firstLine="420"/>
        <w:rPr>
          <w:rFonts w:ascii="仿宋" w:hAnsi="仿宋" w:eastAsia="仿宋"/>
          <w:sz w:val="28"/>
          <w:szCs w:val="28"/>
        </w:rPr>
      </w:pPr>
      <w:r>
        <w:rPr>
          <w:rFonts w:hint="eastAsia" w:ascii="仿宋" w:hAnsi="仿宋" w:eastAsia="仿宋"/>
          <w:sz w:val="28"/>
          <w:szCs w:val="28"/>
        </w:rPr>
        <w:t>一、我行保证在收到贵单位于保函有效期内送达的依本保函约定的索赔申请后，在个</w:t>
      </w:r>
      <w:r>
        <w:rPr>
          <w:rFonts w:hint="eastAsia" w:ascii="仿宋" w:hAnsi="仿宋" w:eastAsia="仿宋"/>
          <w:sz w:val="28"/>
          <w:szCs w:val="28"/>
          <w:u w:val="single"/>
        </w:rPr>
        <w:t xml:space="preserve">  </w:t>
      </w:r>
      <w:r>
        <w:rPr>
          <w:rFonts w:hint="eastAsia" w:ascii="仿宋" w:hAnsi="仿宋" w:eastAsia="仿宋"/>
          <w:sz w:val="28"/>
          <w:szCs w:val="28"/>
        </w:rPr>
        <w:t>工作日内无条件和不可改变地向贵单位支付最高金额不超过人民币元</w:t>
      </w:r>
      <w:r>
        <w:rPr>
          <w:rFonts w:hint="eastAsia" w:ascii="仿宋" w:hAnsi="仿宋" w:eastAsia="仿宋"/>
          <w:sz w:val="28"/>
          <w:szCs w:val="28"/>
          <w:u w:val="single"/>
        </w:rPr>
        <w:t xml:space="preserve">         </w:t>
      </w:r>
      <w:r>
        <w:rPr>
          <w:rFonts w:hint="eastAsia" w:ascii="仿宋" w:hAnsi="仿宋" w:eastAsia="仿宋"/>
          <w:sz w:val="28"/>
          <w:szCs w:val="28"/>
        </w:rPr>
        <w:t>（大写：</w:t>
      </w:r>
      <w:r>
        <w:rPr>
          <w:rFonts w:hint="eastAsia" w:ascii="仿宋" w:hAnsi="仿宋" w:eastAsia="仿宋"/>
          <w:sz w:val="28"/>
          <w:szCs w:val="28"/>
          <w:u w:val="single"/>
        </w:rPr>
        <w:t xml:space="preserve">            </w:t>
      </w:r>
      <w:r>
        <w:rPr>
          <w:rFonts w:hint="eastAsia" w:ascii="仿宋" w:hAnsi="仿宋" w:eastAsia="仿宋"/>
          <w:sz w:val="28"/>
          <w:szCs w:val="28"/>
        </w:rPr>
        <w:t xml:space="preserve"> ）的履约保证金，并放弃向你方提出任何异议和追索的权利。</w:t>
      </w:r>
    </w:p>
    <w:p>
      <w:pPr>
        <w:ind w:firstLine="420"/>
        <w:rPr>
          <w:rFonts w:ascii="仿宋" w:hAnsi="仿宋" w:eastAsia="仿宋"/>
          <w:sz w:val="28"/>
          <w:szCs w:val="28"/>
        </w:rPr>
      </w:pPr>
      <w:r>
        <w:rPr>
          <w:rFonts w:hint="eastAsia" w:ascii="仿宋" w:hAnsi="仿宋" w:eastAsia="仿宋"/>
          <w:sz w:val="28"/>
          <w:szCs w:val="28"/>
        </w:rPr>
        <w:t>二、贵单位的索赔申请应符合下述条件：</w:t>
      </w:r>
    </w:p>
    <w:p>
      <w:pPr>
        <w:ind w:firstLine="420"/>
        <w:rPr>
          <w:rFonts w:ascii="仿宋" w:hAnsi="仿宋" w:eastAsia="仿宋"/>
          <w:sz w:val="28"/>
          <w:szCs w:val="28"/>
        </w:rPr>
      </w:pPr>
      <w:r>
        <w:rPr>
          <w:rFonts w:hint="eastAsia" w:ascii="仿宋" w:hAnsi="仿宋" w:eastAsia="仿宋"/>
          <w:sz w:val="28"/>
          <w:szCs w:val="28"/>
        </w:rPr>
        <w:t>（一）贵单位法定代表人或其授权代表签字并加盖单位公章；</w:t>
      </w:r>
    </w:p>
    <w:p>
      <w:pPr>
        <w:ind w:firstLine="420"/>
        <w:rPr>
          <w:rFonts w:ascii="仿宋" w:hAnsi="仿宋" w:eastAsia="仿宋"/>
          <w:sz w:val="28"/>
          <w:szCs w:val="28"/>
        </w:rPr>
      </w:pPr>
      <w:r>
        <w:rPr>
          <w:rFonts w:hint="eastAsia" w:ascii="仿宋" w:hAnsi="仿宋" w:eastAsia="仿宋"/>
          <w:sz w:val="28"/>
          <w:szCs w:val="28"/>
        </w:rPr>
        <w:t>（二）在保函有效期内送达我行；</w:t>
      </w:r>
    </w:p>
    <w:p>
      <w:pPr>
        <w:ind w:firstLine="420"/>
        <w:rPr>
          <w:rFonts w:ascii="仿宋" w:hAnsi="仿宋" w:eastAsia="仿宋"/>
          <w:sz w:val="28"/>
          <w:szCs w:val="28"/>
        </w:rPr>
      </w:pPr>
      <w:r>
        <w:rPr>
          <w:rFonts w:hint="eastAsia" w:ascii="仿宋" w:hAnsi="仿宋" w:eastAsia="仿宋"/>
          <w:sz w:val="28"/>
          <w:szCs w:val="28"/>
        </w:rPr>
        <w:t>（三）明确的索赔金额（不得超过本保函第一条所列之限额）。</w:t>
      </w:r>
    </w:p>
    <w:p>
      <w:pPr>
        <w:ind w:firstLine="420"/>
        <w:rPr>
          <w:rFonts w:ascii="仿宋" w:hAnsi="仿宋" w:eastAsia="仿宋"/>
          <w:sz w:val="28"/>
          <w:szCs w:val="28"/>
        </w:rPr>
      </w:pPr>
      <w:r>
        <w:rPr>
          <w:rFonts w:hint="eastAsia" w:ascii="仿宋" w:hAnsi="仿宋" w:eastAsia="仿宋"/>
          <w:sz w:val="28"/>
          <w:szCs w:val="28"/>
        </w:rPr>
        <w:t>三、本保函自签发之日起生效，有效期至</w:t>
      </w:r>
      <w:r>
        <w:rPr>
          <w:rFonts w:hint="eastAsia" w:ascii="仿宋" w:hAnsi="仿宋" w:eastAsia="仿宋"/>
          <w:sz w:val="28"/>
          <w:szCs w:val="28"/>
          <w:u w:val="single"/>
        </w:rPr>
        <w:t xml:space="preserve">  年  月  日</w:t>
      </w:r>
      <w:r>
        <w:rPr>
          <w:rFonts w:hint="eastAsia" w:ascii="仿宋" w:hAnsi="仿宋" w:eastAsia="仿宋"/>
          <w:sz w:val="28"/>
          <w:szCs w:val="28"/>
        </w:rPr>
        <w:t>。本保函于下述任一事项发生之时立即失效，我行在本保函项下的保证义务即刻解除：</w:t>
      </w:r>
    </w:p>
    <w:p>
      <w:pPr>
        <w:ind w:firstLine="420"/>
        <w:rPr>
          <w:rFonts w:ascii="仿宋" w:hAnsi="仿宋" w:eastAsia="仿宋"/>
          <w:sz w:val="28"/>
          <w:szCs w:val="28"/>
        </w:rPr>
      </w:pPr>
      <w:r>
        <w:rPr>
          <w:rFonts w:hint="eastAsia" w:ascii="仿宋" w:hAnsi="仿宋" w:eastAsia="仿宋"/>
          <w:sz w:val="28"/>
          <w:szCs w:val="28"/>
        </w:rPr>
        <w:t>（一）本保函有效期限届满；</w:t>
      </w:r>
    </w:p>
    <w:p>
      <w:pPr>
        <w:ind w:firstLine="420"/>
        <w:rPr>
          <w:rFonts w:ascii="仿宋" w:hAnsi="仿宋" w:eastAsia="仿宋"/>
          <w:sz w:val="28"/>
          <w:szCs w:val="28"/>
        </w:rPr>
      </w:pPr>
      <w:r>
        <w:rPr>
          <w:rFonts w:hint="eastAsia" w:ascii="仿宋" w:hAnsi="仿宋" w:eastAsia="仿宋"/>
          <w:sz w:val="28"/>
          <w:szCs w:val="28"/>
        </w:rPr>
        <w:t>（二）我行保证的义务履行完毕。</w:t>
      </w:r>
    </w:p>
    <w:p>
      <w:pPr>
        <w:ind w:firstLine="420"/>
        <w:rPr>
          <w:rFonts w:ascii="仿宋" w:hAnsi="仿宋" w:eastAsia="仿宋"/>
          <w:sz w:val="28"/>
          <w:szCs w:val="28"/>
        </w:rPr>
      </w:pPr>
      <w:r>
        <w:rPr>
          <w:rFonts w:hint="eastAsia" w:ascii="仿宋" w:hAnsi="仿宋" w:eastAsia="仿宋"/>
          <w:sz w:val="28"/>
          <w:szCs w:val="28"/>
        </w:rPr>
        <w:t>四、我方受本保函制约的责任是延续的、独立的和无条件的，上述合同的任何修改、变更、解释、不可执行或委托人在合同项下对你方的任何抗辩都不能削弱或影响我行按本保函应承担的责任。</w:t>
      </w:r>
    </w:p>
    <w:p>
      <w:pPr>
        <w:ind w:firstLine="420"/>
        <w:rPr>
          <w:rFonts w:ascii="仿宋" w:hAnsi="仿宋" w:eastAsia="仿宋"/>
          <w:sz w:val="28"/>
          <w:szCs w:val="28"/>
        </w:rPr>
      </w:pPr>
      <w:r>
        <w:rPr>
          <w:rFonts w:hint="eastAsia" w:ascii="仿宋" w:hAnsi="仿宋" w:eastAsia="仿宋"/>
          <w:sz w:val="28"/>
          <w:szCs w:val="28"/>
        </w:rPr>
        <w:t>五、我行向你方支付索赔金额后，本保函担保金额即按贵方通知的索赔金额予以递减。</w:t>
      </w:r>
    </w:p>
    <w:p>
      <w:pPr>
        <w:ind w:firstLine="420"/>
        <w:rPr>
          <w:rFonts w:ascii="仿宋" w:hAnsi="仿宋" w:eastAsia="仿宋"/>
          <w:sz w:val="28"/>
          <w:szCs w:val="28"/>
        </w:rPr>
      </w:pPr>
      <w:r>
        <w:rPr>
          <w:rFonts w:hint="eastAsia" w:ascii="仿宋" w:hAnsi="仿宋" w:eastAsia="仿宋"/>
          <w:sz w:val="28"/>
          <w:szCs w:val="28"/>
        </w:rPr>
        <w:t>六、保函失效后请将保函退回我行注销，无论正本最终退回与否，不影响本保函依上述约定自动失效。</w:t>
      </w:r>
    </w:p>
    <w:p>
      <w:pPr>
        <w:pStyle w:val="34"/>
        <w:rPr>
          <w:rFonts w:hint="default"/>
          <w:lang w:val="en-US" w:eastAsia="zh-CN"/>
        </w:rPr>
      </w:pPr>
    </w:p>
    <w:p>
      <w:pPr>
        <w:pStyle w:val="34"/>
        <w:rPr>
          <w:rFonts w:hint="default"/>
          <w:lang w:val="en-US" w:eastAsia="zh-CN"/>
        </w:rPr>
      </w:pPr>
    </w:p>
    <w:p>
      <w:pPr>
        <w:pStyle w:val="34"/>
        <w:rPr>
          <w:rFonts w:hint="default"/>
          <w:lang w:val="en-US" w:eastAsia="zh-CN"/>
        </w:rPr>
      </w:pPr>
    </w:p>
    <w:p>
      <w:pPr>
        <w:pStyle w:val="34"/>
        <w:rPr>
          <w:rFonts w:hint="default"/>
          <w:lang w:val="en-US" w:eastAsia="zh-CN"/>
        </w:rPr>
      </w:pPr>
    </w:p>
    <w:p>
      <w:pPr>
        <w:pStyle w:val="34"/>
        <w:rPr>
          <w:rFonts w:hint="default"/>
          <w:lang w:val="en-US" w:eastAsia="zh-CN"/>
        </w:rPr>
      </w:pPr>
    </w:p>
    <w:p>
      <w:pPr>
        <w:pStyle w:val="34"/>
        <w:rPr>
          <w:rFonts w:hint="default"/>
          <w:lang w:val="en-US" w:eastAsia="zh-CN"/>
        </w:rPr>
      </w:pPr>
    </w:p>
    <w:p>
      <w:pPr>
        <w:pStyle w:val="34"/>
        <w:rPr>
          <w:rFonts w:hint="default"/>
          <w:lang w:val="en-US" w:eastAsia="zh-CN"/>
        </w:rPr>
      </w:pPr>
    </w:p>
    <w:p>
      <w:pPr>
        <w:pStyle w:val="34"/>
        <w:rPr>
          <w:rFonts w:hint="default"/>
          <w:lang w:val="en-US" w:eastAsia="zh-CN"/>
        </w:rPr>
      </w:pPr>
    </w:p>
    <w:p>
      <w:pPr>
        <w:pStyle w:val="34"/>
        <w:rPr>
          <w:rFonts w:hint="default"/>
          <w:lang w:val="en-US" w:eastAsia="zh-CN"/>
        </w:rPr>
      </w:pPr>
    </w:p>
    <w:p>
      <w:pPr>
        <w:pStyle w:val="34"/>
        <w:rPr>
          <w:rFonts w:hint="default"/>
          <w:lang w:val="en-US" w:eastAsia="zh-CN"/>
        </w:rPr>
      </w:pPr>
    </w:p>
    <w:p>
      <w:pPr>
        <w:pStyle w:val="34"/>
        <w:rPr>
          <w:rFonts w:hint="default"/>
          <w:lang w:val="en-US" w:eastAsia="zh-CN"/>
        </w:rPr>
      </w:pPr>
    </w:p>
    <w:p>
      <w:pPr>
        <w:pStyle w:val="34"/>
        <w:rPr>
          <w:rFonts w:hint="default"/>
          <w:lang w:val="en-US" w:eastAsia="zh-CN"/>
        </w:rPr>
      </w:pPr>
    </w:p>
    <w:p>
      <w:pPr>
        <w:pStyle w:val="34"/>
        <w:rPr>
          <w:rFonts w:hint="default"/>
          <w:lang w:val="en-US" w:eastAsia="zh-CN"/>
        </w:rPr>
      </w:pPr>
    </w:p>
    <w:p>
      <w:pPr>
        <w:pStyle w:val="34"/>
        <w:rPr>
          <w:rFonts w:hint="default"/>
          <w:lang w:val="en-US" w:eastAsia="zh-CN"/>
        </w:rPr>
      </w:pPr>
    </w:p>
    <w:p>
      <w:pPr>
        <w:pStyle w:val="34"/>
        <w:rPr>
          <w:rFonts w:hint="default"/>
          <w:lang w:val="en-US" w:eastAsia="zh-CN"/>
        </w:rPr>
      </w:pPr>
    </w:p>
    <w:p>
      <w:pPr>
        <w:pStyle w:val="34"/>
        <w:rPr>
          <w:rFonts w:hint="default"/>
          <w:lang w:val="en-US" w:eastAsia="zh-CN"/>
        </w:rPr>
      </w:pPr>
    </w:p>
    <w:p>
      <w:pPr>
        <w:pStyle w:val="34"/>
        <w:rPr>
          <w:rFonts w:hint="default"/>
          <w:lang w:val="en-US" w:eastAsia="zh-CN"/>
        </w:rPr>
      </w:pPr>
    </w:p>
    <w:p>
      <w:pPr>
        <w:spacing w:line="360" w:lineRule="auto"/>
        <w:outlineLvl w:val="2"/>
        <w:rPr>
          <w:rFonts w:hint="eastAsia" w:ascii="宋体" w:hAnsi="宋体" w:eastAsia="宋体" w:cs="宋体"/>
          <w:b/>
          <w:bCs/>
          <w:szCs w:val="21"/>
          <w:lang w:val="en-US" w:eastAsia="zh-CN"/>
        </w:rPr>
      </w:pPr>
      <w:r>
        <w:rPr>
          <w:rFonts w:hint="eastAsia" w:ascii="宋体" w:hAnsi="宋体" w:eastAsia="宋体" w:cs="宋体"/>
          <w:b/>
          <w:bCs/>
          <w:szCs w:val="21"/>
          <w:lang w:val="en-US" w:eastAsia="zh-CN"/>
        </w:rPr>
        <w:t>附件8：预付款保函模板</w:t>
      </w:r>
    </w:p>
    <w:p>
      <w:pPr>
        <w:jc w:val="center"/>
        <w:rPr>
          <w:rFonts w:hint="eastAsia" w:ascii="黑体" w:hAnsi="黑体" w:eastAsia="黑体"/>
          <w:sz w:val="36"/>
          <w:szCs w:val="36"/>
        </w:rPr>
      </w:pPr>
      <w:r>
        <w:rPr>
          <w:rFonts w:hint="eastAsia" w:ascii="黑体" w:hAnsi="黑体" w:eastAsia="黑体"/>
          <w:sz w:val="36"/>
          <w:szCs w:val="36"/>
        </w:rPr>
        <w:t>预付款保函模板</w:t>
      </w:r>
    </w:p>
    <w:p/>
    <w:p>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hint="eastAsia" w:ascii="仿宋" w:hAnsi="仿宋" w:eastAsia="仿宋"/>
          <w:sz w:val="28"/>
          <w:szCs w:val="28"/>
        </w:rPr>
        <w:t xml:space="preserve"> （受益人）</w:t>
      </w:r>
    </w:p>
    <w:p>
      <w:pPr>
        <w:rPr>
          <w:rFonts w:ascii="仿宋" w:hAnsi="仿宋" w:eastAsia="仿宋"/>
          <w:sz w:val="28"/>
          <w:szCs w:val="28"/>
        </w:rPr>
      </w:pPr>
    </w:p>
    <w:p>
      <w:pPr>
        <w:ind w:firstLine="280" w:firstLineChars="100"/>
        <w:rPr>
          <w:rFonts w:hint="eastAsia" w:ascii="仿宋" w:hAnsi="仿宋" w:eastAsia="仿宋"/>
          <w:sz w:val="28"/>
          <w:szCs w:val="28"/>
        </w:rPr>
      </w:pPr>
      <w:r>
        <w:rPr>
          <w:rFonts w:hint="eastAsia" w:ascii="仿宋" w:hAnsi="仿宋" w:eastAsia="仿宋"/>
          <w:sz w:val="28"/>
          <w:szCs w:val="28"/>
        </w:rPr>
        <w:t>鉴于</w:t>
      </w:r>
      <w:r>
        <w:rPr>
          <w:rFonts w:hint="eastAsia" w:ascii="仿宋" w:hAnsi="仿宋" w:eastAsia="仿宋"/>
          <w:sz w:val="28"/>
          <w:szCs w:val="28"/>
          <w:u w:val="single"/>
        </w:rPr>
        <w:t xml:space="preserve">           </w:t>
      </w:r>
      <w:r>
        <w:rPr>
          <w:rFonts w:hint="eastAsia" w:ascii="仿宋" w:hAnsi="仿宋" w:eastAsia="仿宋"/>
          <w:sz w:val="28"/>
          <w:szCs w:val="28"/>
        </w:rPr>
        <w:t>（以下简称“委托人”）与你方于</w:t>
      </w:r>
      <w:r>
        <w:rPr>
          <w:rFonts w:hint="eastAsia" w:ascii="仿宋" w:hAnsi="仿宋" w:eastAsia="仿宋"/>
          <w:sz w:val="28"/>
          <w:szCs w:val="28"/>
          <w:u w:val="single"/>
        </w:rPr>
        <w:t xml:space="preserve">   年  月  日</w:t>
      </w:r>
      <w:r>
        <w:rPr>
          <w:rFonts w:hint="eastAsia" w:ascii="仿宋" w:hAnsi="仿宋" w:eastAsia="仿宋"/>
          <w:sz w:val="28"/>
          <w:szCs w:val="28"/>
        </w:rPr>
        <w:t>签订了</w:t>
      </w:r>
      <w:r>
        <w:rPr>
          <w:rFonts w:hint="eastAsia" w:ascii="仿宋" w:hAnsi="仿宋" w:eastAsia="仿宋"/>
          <w:sz w:val="28"/>
          <w:szCs w:val="28"/>
          <w:u w:val="single"/>
        </w:rPr>
        <w:t xml:space="preserve">                </w:t>
      </w:r>
      <w:r>
        <w:rPr>
          <w:rFonts w:hint="eastAsia" w:ascii="仿宋" w:hAnsi="仿宋" w:eastAsia="仿宋"/>
          <w:sz w:val="28"/>
          <w:szCs w:val="28"/>
        </w:rPr>
        <w:t>（以下简称“合同”），你方将按上述基础交易合同约定向委托人支付预付款人民币</w:t>
      </w:r>
      <w:r>
        <w:rPr>
          <w:rFonts w:hint="eastAsia" w:ascii="仿宋" w:hAnsi="仿宋" w:eastAsia="仿宋"/>
          <w:sz w:val="28"/>
          <w:szCs w:val="28"/>
          <w:u w:val="single"/>
        </w:rPr>
        <w:t xml:space="preserve">       </w:t>
      </w:r>
      <w:r>
        <w:rPr>
          <w:rFonts w:hint="eastAsia" w:ascii="仿宋" w:hAnsi="仿宋" w:eastAsia="仿宋"/>
          <w:sz w:val="28"/>
          <w:szCs w:val="28"/>
        </w:rPr>
        <w:t>元（大写：</w:t>
      </w:r>
      <w:r>
        <w:rPr>
          <w:rFonts w:hint="eastAsia" w:ascii="仿宋" w:hAnsi="仿宋" w:eastAsia="仿宋"/>
          <w:sz w:val="28"/>
          <w:szCs w:val="28"/>
          <w:u w:val="single"/>
        </w:rPr>
        <w:t xml:space="preserve">         </w:t>
      </w:r>
      <w:r>
        <w:rPr>
          <w:rFonts w:hint="eastAsia" w:ascii="仿宋" w:hAnsi="仿宋" w:eastAsia="仿宋"/>
          <w:sz w:val="28"/>
          <w:szCs w:val="28"/>
        </w:rPr>
        <w:t>）。我行接受委托人的申请，特此开立以你方为受益人的最高金额为人民币</w:t>
      </w:r>
      <w:r>
        <w:rPr>
          <w:rFonts w:hint="eastAsia" w:ascii="仿宋" w:hAnsi="仿宋" w:eastAsia="仿宋"/>
          <w:sz w:val="28"/>
          <w:szCs w:val="28"/>
          <w:u w:val="single"/>
        </w:rPr>
        <w:t xml:space="preserve">        </w:t>
      </w:r>
      <w:r>
        <w:rPr>
          <w:rFonts w:hint="eastAsia" w:ascii="仿宋" w:hAnsi="仿宋" w:eastAsia="仿宋"/>
          <w:sz w:val="28"/>
          <w:szCs w:val="28"/>
        </w:rPr>
        <w:t>（大写：</w:t>
      </w:r>
      <w:r>
        <w:rPr>
          <w:rFonts w:hint="eastAsia" w:ascii="仿宋" w:hAnsi="仿宋" w:eastAsia="仿宋"/>
          <w:sz w:val="28"/>
          <w:szCs w:val="28"/>
          <w:u w:val="single"/>
        </w:rPr>
        <w:t xml:space="preserve">          </w:t>
      </w:r>
      <w:r>
        <w:rPr>
          <w:rFonts w:hint="eastAsia" w:ascii="仿宋" w:hAnsi="仿宋" w:eastAsia="仿宋"/>
          <w:sz w:val="28"/>
          <w:szCs w:val="28"/>
        </w:rPr>
        <w:t>）（以下称“保函金额”）的保函。</w:t>
      </w:r>
    </w:p>
    <w:p>
      <w:pPr>
        <w:ind w:firstLine="560" w:firstLineChars="200"/>
        <w:rPr>
          <w:rFonts w:hint="eastAsia" w:ascii="仿宋" w:hAnsi="仿宋" w:eastAsia="仿宋"/>
          <w:sz w:val="28"/>
          <w:szCs w:val="28"/>
        </w:rPr>
      </w:pPr>
      <w:r>
        <w:rPr>
          <w:rFonts w:hint="eastAsia" w:ascii="仿宋" w:hAnsi="仿宋" w:eastAsia="仿宋"/>
          <w:sz w:val="28"/>
          <w:szCs w:val="28"/>
        </w:rPr>
        <w:t>一、本保函为不可撤销、见索即付的独立保函。</w:t>
      </w:r>
    </w:p>
    <w:p>
      <w:pPr>
        <w:ind w:firstLine="560" w:firstLineChars="200"/>
        <w:rPr>
          <w:rFonts w:hint="eastAsia" w:ascii="仿宋" w:hAnsi="仿宋" w:eastAsia="仿宋"/>
          <w:sz w:val="28"/>
          <w:szCs w:val="28"/>
        </w:rPr>
      </w:pPr>
      <w:r>
        <w:rPr>
          <w:rFonts w:hint="eastAsia" w:ascii="仿宋" w:hAnsi="仿宋" w:eastAsia="仿宋"/>
          <w:sz w:val="28"/>
          <w:szCs w:val="28"/>
        </w:rPr>
        <w:t>二、在本保函的有效期内，如委托人违反上述基础交易合同约定的义务而未向你方退还预付款，我行将在收到你方提交的符合下述要求的索赔通知书后</w:t>
      </w:r>
      <w:r>
        <w:rPr>
          <w:rFonts w:hint="eastAsia" w:ascii="仿宋" w:hAnsi="仿宋" w:eastAsia="仿宋"/>
          <w:sz w:val="28"/>
          <w:szCs w:val="28"/>
          <w:u w:val="single"/>
        </w:rPr>
        <w:t xml:space="preserve">  </w:t>
      </w:r>
      <w:r>
        <w:rPr>
          <w:rFonts w:hint="eastAsia" w:ascii="仿宋" w:hAnsi="仿宋" w:eastAsia="仿宋"/>
          <w:sz w:val="28"/>
          <w:szCs w:val="28"/>
        </w:rPr>
        <w:t>日内，以上述保函金额为限向你方支付相应款项。</w:t>
      </w:r>
    </w:p>
    <w:p>
      <w:pPr>
        <w:ind w:firstLine="560" w:firstLineChars="200"/>
        <w:rPr>
          <w:rFonts w:hint="eastAsia" w:ascii="仿宋" w:hAnsi="仿宋" w:eastAsia="仿宋"/>
          <w:sz w:val="28"/>
          <w:szCs w:val="28"/>
        </w:rPr>
      </w:pPr>
      <w:r>
        <w:rPr>
          <w:rFonts w:hint="eastAsia" w:ascii="仿宋" w:hAnsi="仿宋" w:eastAsia="仿宋"/>
          <w:sz w:val="28"/>
          <w:szCs w:val="28"/>
        </w:rPr>
        <w:t>（一）索赔通知书须写明请求付款的金额，并声明该款项并未由委托人或其代理人直接或间接地支付给你方；</w:t>
      </w:r>
    </w:p>
    <w:p>
      <w:pPr>
        <w:ind w:firstLine="560" w:firstLineChars="200"/>
        <w:rPr>
          <w:rFonts w:hint="eastAsia" w:ascii="仿宋" w:hAnsi="仿宋" w:eastAsia="仿宋"/>
          <w:sz w:val="28"/>
          <w:szCs w:val="28"/>
        </w:rPr>
      </w:pPr>
      <w:r>
        <w:rPr>
          <w:rFonts w:hint="eastAsia" w:ascii="仿宋" w:hAnsi="仿宋" w:eastAsia="仿宋"/>
          <w:sz w:val="28"/>
          <w:szCs w:val="28"/>
        </w:rPr>
        <w:t>（二）索赔通知书应由你方法定代表人签字并加盖公章；</w:t>
      </w:r>
    </w:p>
    <w:p>
      <w:pPr>
        <w:ind w:firstLine="560" w:firstLineChars="200"/>
        <w:rPr>
          <w:rFonts w:hint="eastAsia" w:ascii="仿宋" w:hAnsi="仿宋" w:eastAsia="仿宋"/>
          <w:sz w:val="28"/>
          <w:szCs w:val="28"/>
        </w:rPr>
      </w:pPr>
      <w:r>
        <w:rPr>
          <w:rFonts w:hint="eastAsia" w:ascii="仿宋" w:hAnsi="仿宋" w:eastAsia="仿宋"/>
          <w:sz w:val="28"/>
          <w:szCs w:val="28"/>
        </w:rPr>
        <w:t>（三）索赔通知书必须于本保函有效期截止日前送达我行。</w:t>
      </w:r>
    </w:p>
    <w:p>
      <w:pPr>
        <w:ind w:firstLine="560" w:firstLineChars="200"/>
        <w:rPr>
          <w:rFonts w:hint="eastAsia" w:ascii="仿宋" w:hAnsi="仿宋" w:eastAsia="仿宋"/>
          <w:sz w:val="28"/>
          <w:szCs w:val="28"/>
        </w:rPr>
      </w:pPr>
      <w:r>
        <w:rPr>
          <w:rFonts w:hint="eastAsia" w:ascii="仿宋" w:hAnsi="仿宋" w:eastAsia="仿宋"/>
          <w:sz w:val="28"/>
          <w:szCs w:val="28"/>
        </w:rPr>
        <w:t>三、合同的任何修改、变更、解释或不可执行都不能削弱或免除我行按本保函应承担的义务。</w:t>
      </w:r>
    </w:p>
    <w:p>
      <w:pPr>
        <w:ind w:firstLine="560" w:firstLineChars="200"/>
        <w:rPr>
          <w:rFonts w:hint="eastAsia" w:ascii="仿宋" w:hAnsi="仿宋" w:eastAsia="仿宋"/>
          <w:sz w:val="28"/>
          <w:szCs w:val="28"/>
        </w:rPr>
      </w:pPr>
      <w:r>
        <w:rPr>
          <w:rFonts w:hint="eastAsia" w:ascii="仿宋" w:hAnsi="仿宋" w:eastAsia="仿宋"/>
          <w:sz w:val="28"/>
          <w:szCs w:val="28"/>
        </w:rPr>
        <w:t>本保函金额将随我行已向你方支付的金额而自动作相应递减。</w:t>
      </w:r>
    </w:p>
    <w:p>
      <w:pPr>
        <w:ind w:firstLine="560" w:firstLineChars="200"/>
        <w:rPr>
          <w:rFonts w:hint="eastAsia" w:ascii="仿宋" w:hAnsi="仿宋" w:eastAsia="仿宋"/>
          <w:sz w:val="28"/>
          <w:szCs w:val="28"/>
        </w:rPr>
      </w:pPr>
      <w:r>
        <w:rPr>
          <w:rFonts w:hint="eastAsia" w:ascii="仿宋" w:hAnsi="仿宋" w:eastAsia="仿宋"/>
          <w:sz w:val="28"/>
          <w:szCs w:val="28"/>
        </w:rPr>
        <w:t>四、本保函未经我行书面同意不得转让。</w:t>
      </w:r>
    </w:p>
    <w:p>
      <w:pPr>
        <w:adjustRightInd w:val="0"/>
        <w:snapToGrid w:val="0"/>
        <w:spacing w:before="156" w:beforeLines="50" w:after="156" w:afterLines="50" w:line="600" w:lineRule="exact"/>
        <w:jc w:val="both"/>
        <w:rPr>
          <w:rFonts w:ascii="方正小标宋简体" w:eastAsia="方正小标宋简体"/>
          <w:sz w:val="28"/>
          <w:szCs w:val="28"/>
        </w:rPr>
      </w:pPr>
      <w:r>
        <w:rPr>
          <w:rFonts w:hint="eastAsia" w:ascii="仿宋" w:hAnsi="仿宋" w:eastAsia="仿宋"/>
          <w:sz w:val="28"/>
          <w:szCs w:val="28"/>
        </w:rPr>
        <w:t>五、本保函自签发之日起生效，有效期至</w:t>
      </w:r>
      <w:r>
        <w:rPr>
          <w:rFonts w:hint="eastAsia" w:ascii="仿宋" w:hAnsi="仿宋" w:eastAsia="仿宋"/>
          <w:sz w:val="28"/>
          <w:szCs w:val="28"/>
          <w:u w:val="single"/>
        </w:rPr>
        <w:t xml:space="preserve">           </w:t>
      </w:r>
      <w:r>
        <w:rPr>
          <w:rFonts w:hint="eastAsia" w:ascii="仿宋" w:hAnsi="仿宋" w:eastAsia="仿宋"/>
          <w:sz w:val="28"/>
          <w:szCs w:val="28"/>
        </w:rPr>
        <w:t>止。在上述期限内若累计赔偿额达到前述保函金额，本保函提前失效。本保函到期后，无论保函原件是否退回我行，皆告失效。</w:t>
      </w:r>
    </w:p>
    <w:p>
      <w:pPr>
        <w:rPr>
          <w:rFonts w:ascii="方正小标宋简体" w:eastAsia="方正小标宋简体"/>
          <w:sz w:val="28"/>
          <w:szCs w:val="28"/>
        </w:rPr>
      </w:pPr>
      <w:r>
        <w:rPr>
          <w:rFonts w:ascii="方正小标宋简体" w:eastAsia="方正小标宋简体"/>
          <w:sz w:val="28"/>
          <w:szCs w:val="28"/>
        </w:rPr>
        <w:br w:type="page"/>
      </w:r>
    </w:p>
    <w:p>
      <w:pPr>
        <w:pStyle w:val="2"/>
      </w:pPr>
    </w:p>
    <w:p>
      <w:pPr>
        <w:pStyle w:val="25"/>
        <w:ind w:firstLine="0"/>
        <w:rPr>
          <w:rFonts w:ascii="仿宋_GB2312" w:eastAsia="仿宋_GB2312"/>
          <w:sz w:val="28"/>
          <w:szCs w:val="28"/>
        </w:rPr>
      </w:pPr>
    </w:p>
    <w:p>
      <w:pPr>
        <w:pStyle w:val="4"/>
      </w:pPr>
      <w:r>
        <mc:AlternateContent>
          <mc:Choice Requires="wps">
            <w:drawing>
              <wp:anchor distT="0" distB="0" distL="114300" distR="114300" simplePos="0" relativeHeight="251671552" behindDoc="0" locked="0" layoutInCell="1" allowOverlap="1">
                <wp:simplePos x="0" y="0"/>
                <wp:positionH relativeFrom="column">
                  <wp:posOffset>2601595</wp:posOffset>
                </wp:positionH>
                <wp:positionV relativeFrom="paragraph">
                  <wp:posOffset>270510</wp:posOffset>
                </wp:positionV>
                <wp:extent cx="958850" cy="0"/>
                <wp:effectExtent l="0" t="0" r="0" b="0"/>
                <wp:wrapNone/>
                <wp:docPr id="35"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204.85pt;margin-top:21.3pt;height:0pt;width:75.5pt;z-index:251671552;mso-width-relative:page;mso-height-relative:page;" filled="f" stroked="t" coordsize="21600,21600" o:gfxdata="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PsK611wAAAAkBAAAPAAAAAAAAAAEAIAAAACIAAABkcnMvZG93bnJldi54bWxQSwECFAAU&#10;AAAACACHTuJAWytlsPIBAADkAwAADgAAAAAAAAABACAAAAAmAQAAZHJzL2Uyb0RvYy54bWxQSwUG&#10;AAAAAAYABgBZAQAAi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2582545</wp:posOffset>
                </wp:positionH>
                <wp:positionV relativeFrom="paragraph">
                  <wp:posOffset>720090</wp:posOffset>
                </wp:positionV>
                <wp:extent cx="958850" cy="0"/>
                <wp:effectExtent l="0" t="0" r="0" b="0"/>
                <wp:wrapNone/>
                <wp:docPr id="34"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203.35pt;margin-top:56.7pt;height:0pt;width:75.5pt;z-index:251672576;mso-width-relative:page;mso-height-relative:page;" filled="f" stroked="t" coordsize="21600,21600" o:gfxdata="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8Jdy2AAAAAsBAAAPAAAAAAAAAAEAIAAAACIAAABkcnMvZG93bnJldi54bWxQSwEC&#10;FAAUAAAACACHTuJAJK4bMPQBAADkAwAADgAAAAAAAAABACAAAAAnAQAAZHJzL2Uyb0RvYy54bWxQ&#10;SwUGAAAAAAYABgBZAQAAjQUAAAAA&#10;">
                <v:fill on="f" focussize="0,0"/>
                <v:stroke color="#000000" joinstyle="round"/>
                <v:imagedata o:title=""/>
                <o:lock v:ext="edit" aspectratio="f"/>
              </v:shape>
            </w:pict>
          </mc:Fallback>
        </mc:AlternateContent>
      </w:r>
      <w:r>
        <w:rPr>
          <w:rFonts w:hint="eastAsia"/>
        </w:rPr>
        <w:t>第七章</w:t>
      </w:r>
    </w:p>
    <w:p>
      <w:pPr>
        <w:pStyle w:val="45"/>
      </w:pPr>
    </w:p>
    <w:p>
      <w:pPr>
        <w:pStyle w:val="5"/>
      </w:pPr>
      <w:r>
        <w:rPr>
          <w:rFonts w:hint="eastAsia"/>
        </w:rPr>
        <w:t>响应文件格式要求</w:t>
      </w: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u w:val="single"/>
        </w:rPr>
      </w:pPr>
      <w:r>
        <w:rPr>
          <w:rFonts w:hint="eastAsia" w:ascii="方正小标宋简体" w:eastAsia="方正小标宋简体"/>
          <w:sz w:val="44"/>
          <w:szCs w:val="44"/>
          <w:u w:val="single"/>
        </w:rPr>
        <w:t>（项目名称、标段/标包号）</w:t>
      </w:r>
    </w:p>
    <w:p>
      <w:pPr>
        <w:adjustRightInd w:val="0"/>
        <w:snapToGrid w:val="0"/>
        <w:spacing w:before="156" w:beforeLines="50" w:after="156" w:afterLines="50" w:line="600" w:lineRule="exact"/>
        <w:jc w:val="center"/>
        <w:rPr>
          <w:rFonts w:ascii="仿宋_GB2312" w:eastAsia="仿宋_GB2312"/>
          <w:sz w:val="30"/>
          <w:szCs w:val="30"/>
        </w:rPr>
      </w:pPr>
    </w:p>
    <w:p>
      <w:pPr>
        <w:adjustRightInd w:val="0"/>
        <w:snapToGrid w:val="0"/>
        <w:spacing w:before="156" w:beforeLines="50" w:after="156" w:afterLines="50" w:line="600" w:lineRule="exact"/>
        <w:jc w:val="center"/>
        <w:rPr>
          <w:rFonts w:hint="eastAsia" w:ascii="宋体" w:hAnsi="宋体" w:eastAsia="宋体" w:cs="宋体"/>
          <w:sz w:val="30"/>
          <w:szCs w:val="30"/>
        </w:rPr>
      </w:pPr>
      <w:r>
        <w:rPr>
          <w:rFonts w:hint="eastAsia" w:ascii="宋体" w:hAnsi="宋体" w:eastAsia="宋体" w:cs="宋体"/>
          <w:sz w:val="30"/>
          <w:szCs w:val="30"/>
        </w:rPr>
        <w:t>（项目编号：   ）</w:t>
      </w:r>
    </w:p>
    <w:p>
      <w:pPr>
        <w:adjustRightInd w:val="0"/>
        <w:snapToGrid w:val="0"/>
        <w:spacing w:before="156" w:beforeLines="50" w:after="156" w:afterLines="50" w:line="600" w:lineRule="exact"/>
        <w:jc w:val="center"/>
        <w:rPr>
          <w:rFonts w:hint="eastAsia" w:ascii="宋体" w:hAnsi="宋体" w:eastAsia="宋体" w:cs="宋体"/>
          <w:sz w:val="44"/>
          <w:szCs w:val="44"/>
        </w:rPr>
      </w:pPr>
    </w:p>
    <w:p>
      <w:pPr>
        <w:jc w:val="center"/>
        <w:rPr>
          <w:rFonts w:hint="eastAsia" w:ascii="宋体" w:hAnsi="宋体" w:eastAsia="宋体" w:cs="宋体"/>
          <w:sz w:val="48"/>
          <w:szCs w:val="48"/>
        </w:rPr>
      </w:pPr>
    </w:p>
    <w:p>
      <w:pPr>
        <w:adjustRightInd w:val="0"/>
        <w:snapToGrid w:val="0"/>
        <w:spacing w:line="600" w:lineRule="exact"/>
        <w:ind w:left="1" w:firstLine="709" w:firstLineChars="197"/>
        <w:jc w:val="center"/>
        <w:rPr>
          <w:rFonts w:hint="eastAsia" w:ascii="宋体" w:hAnsi="宋体" w:eastAsia="宋体" w:cs="宋体"/>
          <w:sz w:val="36"/>
          <w:szCs w:val="36"/>
        </w:rPr>
      </w:pPr>
      <w:r>
        <w:rPr>
          <w:rFonts w:hint="eastAsia" w:ascii="宋体" w:hAnsi="宋体" w:eastAsia="宋体" w:cs="宋体"/>
          <w:sz w:val="36"/>
          <w:szCs w:val="36"/>
        </w:rPr>
        <w:t>供应商：</w:t>
      </w:r>
      <w:r>
        <w:rPr>
          <w:rFonts w:hint="eastAsia" w:ascii="宋体" w:hAnsi="宋体" w:eastAsia="宋体" w:cs="宋体"/>
          <w:sz w:val="36"/>
          <w:szCs w:val="36"/>
          <w:u w:val="single"/>
        </w:rPr>
        <w:t xml:space="preserve">                 </w:t>
      </w:r>
      <w:r>
        <w:rPr>
          <w:rFonts w:hint="eastAsia" w:ascii="宋体" w:hAnsi="宋体" w:eastAsia="宋体" w:cs="宋体"/>
          <w:sz w:val="36"/>
          <w:szCs w:val="36"/>
        </w:rPr>
        <w:t>（单位公章）</w:t>
      </w:r>
    </w:p>
    <w:p>
      <w:pPr>
        <w:adjustRightInd w:val="0"/>
        <w:snapToGrid w:val="0"/>
        <w:spacing w:line="600" w:lineRule="exact"/>
        <w:ind w:left="1" w:right="560" w:firstLine="709" w:firstLineChars="197"/>
        <w:jc w:val="center"/>
        <w:rPr>
          <w:rFonts w:hint="eastAsia" w:ascii="宋体" w:hAnsi="宋体" w:eastAsia="宋体" w:cs="宋体"/>
          <w:sz w:val="36"/>
          <w:szCs w:val="36"/>
        </w:rPr>
      </w:pPr>
      <w:r>
        <w:rPr>
          <w:rFonts w:hint="eastAsia" w:ascii="宋体" w:hAnsi="宋体" w:eastAsia="宋体" w:cs="宋体"/>
          <w:sz w:val="36"/>
          <w:szCs w:val="36"/>
          <w:u w:val="single"/>
        </w:rPr>
        <w:t xml:space="preserve"> </w:t>
      </w:r>
      <w:r>
        <w:rPr>
          <w:rFonts w:hint="eastAsia" w:ascii="宋体" w:hAnsi="宋体" w:eastAsia="宋体" w:cs="宋体"/>
          <w:sz w:val="36"/>
          <w:szCs w:val="36"/>
          <w:u w:val="single"/>
          <w:lang w:val="en-US" w:eastAsia="zh-CN"/>
        </w:rPr>
        <w:t xml:space="preserve">  </w:t>
      </w:r>
      <w:r>
        <w:rPr>
          <w:rFonts w:hint="eastAsia" w:ascii="宋体" w:hAnsi="宋体" w:eastAsia="宋体" w:cs="宋体"/>
          <w:sz w:val="36"/>
          <w:szCs w:val="36"/>
          <w:u w:val="single"/>
        </w:rPr>
        <w:t xml:space="preserve">   </w:t>
      </w:r>
      <w:r>
        <w:rPr>
          <w:rFonts w:hint="eastAsia" w:ascii="宋体" w:hAnsi="宋体" w:eastAsia="宋体" w:cs="宋体"/>
          <w:sz w:val="36"/>
          <w:szCs w:val="36"/>
        </w:rPr>
        <w:t>年</w:t>
      </w:r>
      <w:r>
        <w:rPr>
          <w:rFonts w:hint="eastAsia" w:ascii="宋体" w:hAnsi="宋体" w:eastAsia="宋体" w:cs="宋体"/>
          <w:sz w:val="36"/>
          <w:szCs w:val="36"/>
          <w:u w:val="single"/>
        </w:rPr>
        <w:t xml:space="preserve">   </w:t>
      </w:r>
      <w:r>
        <w:rPr>
          <w:rFonts w:hint="eastAsia" w:ascii="宋体" w:hAnsi="宋体" w:eastAsia="宋体" w:cs="宋体"/>
          <w:sz w:val="36"/>
          <w:szCs w:val="36"/>
        </w:rPr>
        <w:t>月</w:t>
      </w:r>
      <w:r>
        <w:rPr>
          <w:rFonts w:hint="eastAsia" w:ascii="宋体" w:hAnsi="宋体" w:eastAsia="宋体" w:cs="宋体"/>
          <w:sz w:val="36"/>
          <w:szCs w:val="36"/>
          <w:u w:val="single"/>
        </w:rPr>
        <w:t xml:space="preserve">   </w:t>
      </w:r>
      <w:r>
        <w:rPr>
          <w:rFonts w:hint="eastAsia" w:ascii="宋体" w:hAnsi="宋体" w:eastAsia="宋体" w:cs="宋体"/>
          <w:sz w:val="36"/>
          <w:szCs w:val="36"/>
        </w:rPr>
        <w:t>日</w:t>
      </w:r>
    </w:p>
    <w:p>
      <w:pPr>
        <w:adjustRightInd w:val="0"/>
        <w:snapToGrid w:val="0"/>
        <w:spacing w:before="156" w:beforeLines="50" w:after="156" w:afterLines="50" w:line="600" w:lineRule="exact"/>
        <w:jc w:val="center"/>
        <w:rPr>
          <w:rFonts w:hint="eastAsia" w:ascii="宋体" w:hAnsi="宋体" w:eastAsia="宋体" w:cs="宋体"/>
          <w:sz w:val="44"/>
          <w:szCs w:val="44"/>
        </w:rPr>
      </w:pPr>
    </w:p>
    <w:p>
      <w:pPr>
        <w:adjustRightInd w:val="0"/>
        <w:snapToGrid w:val="0"/>
        <w:spacing w:before="156" w:beforeLines="50" w:after="156" w:afterLines="50" w:line="600" w:lineRule="exact"/>
        <w:rPr>
          <w:rFonts w:ascii="方正小标宋简体" w:eastAsia="方正小标宋简体"/>
          <w:sz w:val="30"/>
          <w:szCs w:val="30"/>
        </w:rPr>
      </w:pPr>
    </w:p>
    <w:p>
      <w:r>
        <w:br w:type="page"/>
      </w:r>
    </w:p>
    <w:p>
      <w:pPr>
        <w:adjustRightInd w:val="0"/>
        <w:snapToGrid w:val="0"/>
        <w:spacing w:before="156" w:beforeLines="50" w:after="156" w:afterLines="50" w:line="600" w:lineRule="exact"/>
        <w:jc w:val="center"/>
        <w:rPr>
          <w:rFonts w:hint="eastAsia" w:ascii="宋体" w:hAnsi="宋体" w:eastAsia="宋体" w:cs="宋体"/>
          <w:sz w:val="44"/>
          <w:szCs w:val="44"/>
        </w:rPr>
      </w:pPr>
    </w:p>
    <w:p>
      <w:pPr>
        <w:adjustRightInd w:val="0"/>
        <w:snapToGrid w:val="0"/>
        <w:spacing w:before="156" w:beforeLines="50" w:after="156" w:afterLines="50" w:line="600" w:lineRule="exact"/>
        <w:jc w:val="center"/>
        <w:rPr>
          <w:rFonts w:hint="eastAsia" w:ascii="宋体" w:hAnsi="宋体" w:eastAsia="宋体" w:cs="宋体"/>
          <w:b/>
          <w:bCs/>
          <w:sz w:val="44"/>
          <w:szCs w:val="44"/>
        </w:rPr>
      </w:pPr>
      <w:r>
        <w:rPr>
          <w:rFonts w:hint="eastAsia" w:ascii="宋体" w:hAnsi="宋体" w:eastAsia="宋体" w:cs="宋体"/>
          <w:b/>
          <w:bCs/>
          <w:sz w:val="44"/>
          <w:szCs w:val="44"/>
        </w:rPr>
        <w:t>目  录</w:t>
      </w:r>
    </w:p>
    <w:p>
      <w:pPr>
        <w:adjustRightInd w:val="0"/>
        <w:snapToGrid w:val="0"/>
        <w:spacing w:before="156" w:beforeLines="50" w:after="156" w:afterLines="50" w:line="600" w:lineRule="exact"/>
        <w:jc w:val="center"/>
        <w:rPr>
          <w:rFonts w:hint="eastAsia" w:ascii="宋体" w:hAnsi="宋体" w:eastAsia="宋体" w:cs="宋体"/>
          <w:sz w:val="44"/>
          <w:szCs w:val="44"/>
        </w:rPr>
      </w:pPr>
    </w:p>
    <w:p>
      <w:pPr>
        <w:spacing w:line="600" w:lineRule="exact"/>
        <w:rPr>
          <w:rFonts w:hint="eastAsia" w:ascii="宋体" w:hAnsi="宋体" w:eastAsia="宋体" w:cs="宋体"/>
          <w:sz w:val="28"/>
          <w:szCs w:val="28"/>
        </w:rPr>
      </w:pPr>
      <w:bookmarkStart w:id="93" w:name="_Toc88209952"/>
      <w:bookmarkStart w:id="94" w:name="_Toc87616389"/>
      <w:r>
        <w:rPr>
          <w:rFonts w:hint="eastAsia" w:ascii="宋体" w:hAnsi="宋体" w:eastAsia="宋体" w:cs="宋体"/>
          <w:sz w:val="28"/>
          <w:szCs w:val="28"/>
        </w:rPr>
        <w:t>1.响应函</w:t>
      </w:r>
      <w:bookmarkEnd w:id="93"/>
      <w:bookmarkEnd w:id="94"/>
    </w:p>
    <w:p>
      <w:pPr>
        <w:spacing w:line="600" w:lineRule="exact"/>
        <w:rPr>
          <w:rFonts w:hint="eastAsia" w:ascii="宋体" w:hAnsi="宋体" w:eastAsia="宋体" w:cs="宋体"/>
          <w:sz w:val="28"/>
          <w:szCs w:val="28"/>
        </w:rPr>
      </w:pPr>
      <w:bookmarkStart w:id="95" w:name="_Toc87616390"/>
      <w:bookmarkStart w:id="96" w:name="_Toc88209953"/>
      <w:r>
        <w:rPr>
          <w:rFonts w:hint="eastAsia" w:ascii="宋体" w:hAnsi="宋体" w:eastAsia="宋体" w:cs="宋体"/>
          <w:sz w:val="28"/>
          <w:szCs w:val="28"/>
        </w:rPr>
        <w:t>2.法定代表人证明或授权委托书</w:t>
      </w:r>
      <w:bookmarkEnd w:id="95"/>
      <w:bookmarkEnd w:id="96"/>
      <w:bookmarkStart w:id="97" w:name="_Toc88209956"/>
      <w:bookmarkStart w:id="98" w:name="_Toc87616393"/>
      <w:r>
        <w:rPr>
          <w:rFonts w:hint="eastAsia" w:ascii="宋体" w:hAnsi="宋体" w:eastAsia="宋体" w:cs="宋体"/>
          <w:sz w:val="28"/>
          <w:szCs w:val="28"/>
        </w:rPr>
        <w:cr/>
      </w:r>
      <w:r>
        <w:rPr>
          <w:rFonts w:hint="eastAsia" w:ascii="宋体" w:hAnsi="宋体" w:eastAsia="宋体" w:cs="宋体"/>
          <w:sz w:val="28"/>
          <w:szCs w:val="28"/>
        </w:rPr>
        <w:t>3.资格审查资料</w:t>
      </w:r>
      <w:r>
        <w:rPr>
          <w:rFonts w:hint="eastAsia" w:ascii="宋体" w:hAnsi="宋体" w:eastAsia="宋体" w:cs="宋体"/>
          <w:sz w:val="28"/>
          <w:szCs w:val="28"/>
        </w:rPr>
        <w:cr/>
      </w:r>
      <w:r>
        <w:rPr>
          <w:rFonts w:hint="eastAsia" w:ascii="宋体" w:hAnsi="宋体" w:eastAsia="宋体" w:cs="宋体"/>
          <w:sz w:val="28"/>
          <w:szCs w:val="28"/>
        </w:rPr>
        <w:t>4.拟投入本项目的项目负责人情况表</w:t>
      </w:r>
    </w:p>
    <w:p>
      <w:pPr>
        <w:spacing w:line="600" w:lineRule="exact"/>
        <w:rPr>
          <w:rFonts w:hint="eastAsia" w:ascii="宋体" w:hAnsi="宋体" w:eastAsia="宋体" w:cs="宋体"/>
          <w:sz w:val="28"/>
          <w:szCs w:val="28"/>
        </w:rPr>
      </w:pPr>
      <w:r>
        <w:rPr>
          <w:rFonts w:hint="eastAsia" w:ascii="宋体" w:hAnsi="宋体" w:eastAsia="宋体" w:cs="宋体"/>
          <w:sz w:val="28"/>
          <w:szCs w:val="28"/>
        </w:rPr>
        <w:t>5.报价表</w:t>
      </w:r>
      <w:r>
        <w:rPr>
          <w:rFonts w:hint="eastAsia" w:ascii="宋体" w:hAnsi="宋体" w:eastAsia="宋体" w:cs="宋体"/>
          <w:sz w:val="28"/>
          <w:szCs w:val="28"/>
        </w:rPr>
        <w:cr/>
      </w:r>
      <w:r>
        <w:rPr>
          <w:rFonts w:hint="eastAsia" w:ascii="宋体" w:hAnsi="宋体" w:eastAsia="宋体" w:cs="宋体"/>
          <w:sz w:val="28"/>
          <w:szCs w:val="28"/>
        </w:rPr>
        <w:t>6.其他资料</w:t>
      </w:r>
      <w:bookmarkEnd w:id="97"/>
      <w:bookmarkEnd w:id="98"/>
      <w:r>
        <w:rPr>
          <w:rFonts w:hint="eastAsia" w:ascii="宋体" w:hAnsi="宋体" w:eastAsia="宋体" w:cs="宋体"/>
          <w:sz w:val="28"/>
          <w:szCs w:val="28"/>
        </w:rPr>
        <w:cr/>
      </w:r>
    </w:p>
    <w:p>
      <w:pPr>
        <w:spacing w:line="600" w:lineRule="exact"/>
        <w:rPr>
          <w:rFonts w:hint="eastAsia" w:ascii="宋体" w:hAnsi="宋体" w:eastAsia="宋体" w:cs="宋体"/>
          <w:sz w:val="28"/>
          <w:szCs w:val="28"/>
        </w:rPr>
      </w:pPr>
    </w:p>
    <w:p>
      <w:pPr>
        <w:spacing w:line="600" w:lineRule="exact"/>
        <w:rPr>
          <w:rFonts w:hint="eastAsia" w:ascii="宋体" w:hAnsi="宋体" w:eastAsia="宋体" w:cs="宋体"/>
          <w:sz w:val="28"/>
          <w:szCs w:val="28"/>
        </w:rPr>
      </w:pPr>
    </w:p>
    <w:p>
      <w:pPr>
        <w:spacing w:line="600" w:lineRule="exact"/>
        <w:rPr>
          <w:rFonts w:hint="eastAsia" w:ascii="宋体" w:hAnsi="宋体" w:eastAsia="宋体" w:cs="宋体"/>
          <w:sz w:val="28"/>
          <w:szCs w:val="28"/>
        </w:rPr>
      </w:pPr>
    </w:p>
    <w:p>
      <w:pPr>
        <w:spacing w:line="600" w:lineRule="exact"/>
        <w:rPr>
          <w:rFonts w:hint="eastAsia" w:ascii="宋体" w:hAnsi="宋体" w:eastAsia="宋体" w:cs="宋体"/>
          <w:sz w:val="28"/>
          <w:szCs w:val="28"/>
        </w:rPr>
      </w:pPr>
    </w:p>
    <w:p>
      <w:pPr>
        <w:spacing w:line="600" w:lineRule="exact"/>
        <w:rPr>
          <w:rFonts w:hint="eastAsia" w:ascii="宋体" w:hAnsi="宋体" w:eastAsia="宋体" w:cs="宋体"/>
          <w:sz w:val="28"/>
          <w:szCs w:val="28"/>
        </w:rPr>
      </w:pPr>
    </w:p>
    <w:p>
      <w:pPr>
        <w:spacing w:line="600" w:lineRule="exact"/>
        <w:rPr>
          <w:rFonts w:hint="eastAsia" w:ascii="宋体" w:hAnsi="宋体" w:eastAsia="宋体" w:cs="宋体"/>
          <w:sz w:val="28"/>
          <w:szCs w:val="28"/>
        </w:rPr>
      </w:pPr>
    </w:p>
    <w:p>
      <w:pPr>
        <w:spacing w:line="600" w:lineRule="exact"/>
        <w:rPr>
          <w:rFonts w:hint="eastAsia" w:ascii="宋体" w:hAnsi="宋体" w:eastAsia="宋体" w:cs="宋体"/>
          <w:sz w:val="28"/>
          <w:szCs w:val="28"/>
        </w:rPr>
      </w:pPr>
    </w:p>
    <w:p>
      <w:pPr>
        <w:rPr>
          <w:rFonts w:hint="eastAsia" w:asciiTheme="minorEastAsia" w:hAnsiTheme="minorEastAsia" w:eastAsiaTheme="minorEastAsia"/>
          <w:sz w:val="28"/>
          <w:szCs w:val="28"/>
        </w:rPr>
      </w:pPr>
      <w:bookmarkStart w:id="99" w:name="_Toc88209957"/>
      <w:bookmarkStart w:id="100" w:name="_Toc6313"/>
      <w:bookmarkStart w:id="101" w:name="_Toc12665"/>
      <w:bookmarkStart w:id="102" w:name="_Toc87616394"/>
      <w:bookmarkStart w:id="103" w:name="_Toc28619645"/>
      <w:r>
        <w:rPr>
          <w:rFonts w:hint="eastAsia" w:asciiTheme="minorEastAsia" w:hAnsiTheme="minorEastAsia" w:eastAsiaTheme="minorEastAsia"/>
          <w:sz w:val="28"/>
          <w:szCs w:val="28"/>
        </w:rPr>
        <w:br w:type="page"/>
      </w:r>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rPr>
        <w:t>1.响应函</w:t>
      </w:r>
      <w:bookmarkEnd w:id="99"/>
      <w:bookmarkEnd w:id="100"/>
      <w:bookmarkEnd w:id="101"/>
      <w:bookmarkEnd w:id="102"/>
      <w:bookmarkEnd w:id="103"/>
    </w:p>
    <w:p>
      <w:pPr>
        <w:widowControl/>
        <w:adjustRightInd w:val="0"/>
        <w:snapToGrid w:val="0"/>
        <w:spacing w:before="156" w:beforeLines="50" w:after="156" w:afterLines="50" w:line="600" w:lineRule="exact"/>
        <w:jc w:val="center"/>
        <w:rPr>
          <w:rFonts w:hint="eastAsia" w:ascii="宋体" w:hAnsi="宋体" w:eastAsia="宋体" w:cs="宋体"/>
          <w:kern w:val="0"/>
          <w:sz w:val="44"/>
          <w:szCs w:val="44"/>
        </w:rPr>
      </w:pPr>
      <w:r>
        <w:rPr>
          <w:rFonts w:hint="eastAsia" w:ascii="宋体" w:hAnsi="宋体" w:eastAsia="宋体" w:cs="宋体"/>
          <w:kern w:val="0"/>
          <w:sz w:val="44"/>
          <w:szCs w:val="44"/>
        </w:rPr>
        <w:t>响应函</w:t>
      </w:r>
    </w:p>
    <w:p>
      <w:pPr>
        <w:keepNext w:val="0"/>
        <w:keepLines w:val="0"/>
        <w:pageBreakBefore w:val="0"/>
        <w:widowControl w:val="0"/>
        <w:kinsoku/>
        <w:wordWrap/>
        <w:overflowPunct/>
        <w:topLinePunct w:val="0"/>
        <w:autoSpaceDE/>
        <w:autoSpaceDN/>
        <w:bidi w:val="0"/>
        <w:spacing w:line="600" w:lineRule="exact"/>
        <w:textAlignment w:val="auto"/>
        <w:rPr>
          <w:rFonts w:hint="eastAsia" w:ascii="宋体" w:hAnsi="宋体" w:eastAsia="宋体" w:cs="宋体"/>
          <w:sz w:val="28"/>
          <w:szCs w:val="28"/>
          <w:u w:val="single"/>
        </w:rPr>
      </w:pPr>
      <w:r>
        <w:rPr>
          <w:rFonts w:hint="eastAsia" w:ascii="宋体" w:hAnsi="宋体" w:eastAsia="宋体" w:cs="宋体"/>
          <w:sz w:val="28"/>
          <w:szCs w:val="28"/>
          <w:u w:val="single"/>
        </w:rPr>
        <w:t>至（采购人名称）：</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1.我方已仔细研究了</w:t>
      </w:r>
      <w:r>
        <w:rPr>
          <w:rFonts w:hint="eastAsia" w:ascii="宋体" w:hAnsi="宋体" w:eastAsia="宋体" w:cs="宋体"/>
          <w:sz w:val="28"/>
          <w:szCs w:val="28"/>
          <w:u w:val="single"/>
        </w:rPr>
        <w:t xml:space="preserve">（项目名称、项目编号、标段/标包号）   </w:t>
      </w:r>
      <w:r>
        <w:rPr>
          <w:rFonts w:hint="eastAsia" w:ascii="宋体" w:hAnsi="宋体" w:eastAsia="宋体" w:cs="宋体"/>
          <w:sz w:val="28"/>
          <w:szCs w:val="28"/>
        </w:rPr>
        <w:t>采购文件的全部内容，愿意以含税价人民币（大写）</w:t>
      </w:r>
      <w:r>
        <w:rPr>
          <w:rFonts w:hint="eastAsia" w:ascii="宋体" w:hAnsi="宋体" w:eastAsia="宋体" w:cs="宋体"/>
          <w:sz w:val="28"/>
          <w:szCs w:val="28"/>
          <w:u w:val="single"/>
        </w:rPr>
        <w:t xml:space="preserve">                </w:t>
      </w:r>
      <w:r>
        <w:rPr>
          <w:rFonts w:hint="eastAsia" w:ascii="宋体" w:hAnsi="宋体" w:eastAsia="宋体" w:cs="宋体"/>
          <w:sz w:val="28"/>
          <w:szCs w:val="28"/>
        </w:rPr>
        <w:t>(¥</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）的报价（其中，不含税价为</w:t>
      </w:r>
      <w:r>
        <w:rPr>
          <w:rFonts w:hint="eastAsia" w:ascii="宋体" w:hAnsi="宋体" w:eastAsia="宋体" w:cs="宋体"/>
          <w:sz w:val="28"/>
          <w:szCs w:val="28"/>
          <w:u w:val="single"/>
        </w:rPr>
        <w:t xml:space="preserve">       </w:t>
      </w:r>
      <w:r>
        <w:rPr>
          <w:rFonts w:hint="eastAsia" w:ascii="宋体" w:hAnsi="宋体" w:eastAsia="宋体" w:cs="宋体"/>
          <w:sz w:val="28"/>
          <w:szCs w:val="28"/>
        </w:rPr>
        <w:t>；增值税为</w:t>
      </w:r>
      <w:r>
        <w:rPr>
          <w:rFonts w:hint="eastAsia" w:ascii="宋体" w:hAnsi="宋体" w:eastAsia="宋体" w:cs="宋体"/>
          <w:sz w:val="28"/>
          <w:szCs w:val="28"/>
          <w:u w:val="single"/>
        </w:rPr>
        <w:t xml:space="preserve">       </w:t>
      </w:r>
      <w:r>
        <w:rPr>
          <w:rFonts w:hint="eastAsia" w:ascii="宋体" w:hAnsi="宋体" w:eastAsia="宋体" w:cs="宋体"/>
          <w:sz w:val="28"/>
          <w:szCs w:val="28"/>
        </w:rPr>
        <w:t>）完成/提供本项目□工程 □货物□服务并按合同约定履行义务。</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2.我方响应文件包括下列内容：</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（1）响应函</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（2）法定代表人证明或授权委托书</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（3）资格审查资料</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（4）拟投入本项目的项目负责人情况表</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（5）报价表</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（6）其他资料</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响应文件的上述组成部分如有不一致的内容，以响应函为准。</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3.我</w:t>
      </w:r>
      <w:r>
        <w:rPr>
          <w:rFonts w:hint="eastAsia" w:ascii="宋体" w:hAnsi="宋体" w:eastAsia="宋体" w:cs="宋体"/>
          <w:sz w:val="28"/>
          <w:szCs w:val="28"/>
          <w:highlight w:val="none"/>
        </w:rPr>
        <w:t>方完全理解询价文件中所有要求均为实质性响应条款，如有任何一条负偏离或者不满足将导致询价无效。由于我方提供资料不实或与需求书中所有条款不符而造成的责任和后果由我方承担。</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4.我方承诺在采购文件有效期内不撤销响应文件。</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5.如我方成交，我方承诺：</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（1）在收到成交通知书后，在成交通知书规定的期限内与你方签订合同；</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（2）在签订合同时不向你方提出附加条件；</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（3）按照采购文件要求提交履约保证金；</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（4）在合同约定的期限内完成合同规定的全部义务。</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6.我方在此声明，所递交的响应文件及有关资料内容完整、真实和准确，且不存在采购公告中供应商不得存在的情形。</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7.</w:t>
      </w:r>
      <w:r>
        <w:rPr>
          <w:rFonts w:hint="eastAsia" w:ascii="宋体" w:hAnsi="宋体" w:eastAsia="宋体" w:cs="宋体"/>
          <w:sz w:val="28"/>
          <w:szCs w:val="28"/>
          <w:u w:val="single"/>
        </w:rPr>
        <w:t xml:space="preserve">       （其他补充说明）</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autoSpaceDN/>
        <w:bidi w:val="0"/>
        <w:adjustRightInd w:val="0"/>
        <w:snapToGrid w:val="0"/>
        <w:spacing w:line="600" w:lineRule="exact"/>
        <w:ind w:left="1" w:firstLine="551" w:firstLineChars="197"/>
        <w:jc w:val="left"/>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val="0"/>
        <w:snapToGrid w:val="0"/>
        <w:spacing w:line="600" w:lineRule="exact"/>
        <w:ind w:left="1" w:firstLine="551" w:firstLineChars="197"/>
        <w:jc w:val="left"/>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val="0"/>
        <w:snapToGrid w:val="0"/>
        <w:spacing w:line="600" w:lineRule="exact"/>
        <w:ind w:firstLine="2240" w:firstLineChars="800"/>
        <w:jc w:val="both"/>
        <w:textAlignment w:val="auto"/>
        <w:rPr>
          <w:rFonts w:hint="eastAsia" w:ascii="宋体" w:hAnsi="宋体" w:eastAsia="宋体" w:cs="宋体"/>
          <w:sz w:val="28"/>
          <w:szCs w:val="28"/>
        </w:rPr>
      </w:pPr>
      <w:r>
        <w:rPr>
          <w:rFonts w:hint="eastAsia" w:ascii="宋体" w:hAnsi="宋体" w:eastAsia="宋体" w:cs="宋体"/>
          <w:sz w:val="28"/>
          <w:szCs w:val="28"/>
        </w:rPr>
        <w:t>供应商：</w:t>
      </w:r>
      <w:r>
        <w:rPr>
          <w:rFonts w:hint="eastAsia" w:ascii="宋体" w:hAnsi="宋体" w:eastAsia="宋体" w:cs="宋体"/>
          <w:sz w:val="28"/>
          <w:szCs w:val="28"/>
          <w:u w:val="single"/>
        </w:rPr>
        <w:t xml:space="preserve">                 </w:t>
      </w:r>
      <w:r>
        <w:rPr>
          <w:rFonts w:hint="eastAsia" w:ascii="宋体" w:hAnsi="宋体" w:eastAsia="宋体" w:cs="宋体"/>
          <w:sz w:val="28"/>
          <w:szCs w:val="28"/>
        </w:rPr>
        <w:t>（单位公章）</w:t>
      </w:r>
    </w:p>
    <w:p>
      <w:pPr>
        <w:keepNext w:val="0"/>
        <w:keepLines w:val="0"/>
        <w:pageBreakBefore w:val="0"/>
        <w:widowControl w:val="0"/>
        <w:kinsoku/>
        <w:wordWrap/>
        <w:overflowPunct/>
        <w:topLinePunct w:val="0"/>
        <w:autoSpaceDE/>
        <w:autoSpaceDN/>
        <w:bidi w:val="0"/>
        <w:adjustRightInd w:val="0"/>
        <w:snapToGrid w:val="0"/>
        <w:spacing w:line="600" w:lineRule="exact"/>
        <w:ind w:firstLine="2240" w:firstLineChars="800"/>
        <w:jc w:val="both"/>
        <w:textAlignment w:val="auto"/>
        <w:rPr>
          <w:rFonts w:hint="eastAsia" w:ascii="宋体" w:hAnsi="宋体" w:eastAsia="宋体" w:cs="宋体"/>
          <w:sz w:val="28"/>
          <w:szCs w:val="28"/>
        </w:rPr>
      </w:pPr>
      <w:r>
        <w:rPr>
          <w:rFonts w:hint="eastAsia" w:ascii="宋体" w:hAnsi="宋体" w:eastAsia="宋体" w:cs="宋体"/>
          <w:sz w:val="28"/>
          <w:szCs w:val="28"/>
        </w:rPr>
        <w:t>法定代表人或委托代理人：</w:t>
      </w:r>
      <w:r>
        <w:rPr>
          <w:rFonts w:hint="eastAsia" w:ascii="宋体" w:hAnsi="宋体" w:eastAsia="宋体" w:cs="宋体"/>
          <w:sz w:val="28"/>
          <w:szCs w:val="28"/>
          <w:u w:val="single"/>
        </w:rPr>
        <w:t xml:space="preserve">                </w:t>
      </w:r>
      <w:r>
        <w:rPr>
          <w:rFonts w:hint="eastAsia" w:ascii="宋体" w:hAnsi="宋体" w:eastAsia="宋体" w:cs="宋体"/>
          <w:sz w:val="28"/>
          <w:szCs w:val="28"/>
        </w:rPr>
        <w:t>（签字或盖章）</w:t>
      </w:r>
    </w:p>
    <w:p>
      <w:pPr>
        <w:keepNext w:val="0"/>
        <w:keepLines w:val="0"/>
        <w:pageBreakBefore w:val="0"/>
        <w:widowControl w:val="0"/>
        <w:kinsoku/>
        <w:wordWrap/>
        <w:overflowPunct/>
        <w:topLinePunct w:val="0"/>
        <w:autoSpaceDE/>
        <w:autoSpaceDN/>
        <w:bidi w:val="0"/>
        <w:adjustRightInd w:val="0"/>
        <w:snapToGrid w:val="0"/>
        <w:spacing w:line="600" w:lineRule="exact"/>
        <w:ind w:firstLine="2240" w:firstLineChars="800"/>
        <w:jc w:val="left"/>
        <w:textAlignment w:val="auto"/>
        <w:rPr>
          <w:rFonts w:hint="eastAsia" w:ascii="宋体" w:hAnsi="宋体" w:eastAsia="宋体" w:cs="宋体"/>
          <w:sz w:val="28"/>
          <w:szCs w:val="28"/>
        </w:rPr>
      </w:pPr>
      <w:r>
        <w:rPr>
          <w:rFonts w:hint="eastAsia" w:ascii="宋体" w:hAnsi="宋体" w:eastAsia="宋体" w:cs="宋体"/>
          <w:sz w:val="28"/>
          <w:szCs w:val="28"/>
        </w:rPr>
        <w:t>地址：</w:t>
      </w:r>
      <w:r>
        <w:rPr>
          <w:rFonts w:hint="eastAsia" w:ascii="宋体" w:hAnsi="宋体" w:eastAsia="宋体" w:cs="宋体"/>
          <w:sz w:val="28"/>
          <w:szCs w:val="28"/>
          <w:u w:val="single"/>
        </w:rPr>
        <w:t xml:space="preserve">                              </w:t>
      </w:r>
    </w:p>
    <w:p>
      <w:pPr>
        <w:keepNext w:val="0"/>
        <w:keepLines w:val="0"/>
        <w:pageBreakBefore w:val="0"/>
        <w:widowControl w:val="0"/>
        <w:kinsoku/>
        <w:wordWrap/>
        <w:overflowPunct/>
        <w:topLinePunct w:val="0"/>
        <w:autoSpaceDE/>
        <w:autoSpaceDN/>
        <w:bidi w:val="0"/>
        <w:adjustRightInd w:val="0"/>
        <w:snapToGrid w:val="0"/>
        <w:spacing w:line="600" w:lineRule="exact"/>
        <w:ind w:firstLine="2240" w:firstLineChars="800"/>
        <w:jc w:val="left"/>
        <w:textAlignment w:val="auto"/>
        <w:rPr>
          <w:rFonts w:hint="eastAsia" w:ascii="宋体" w:hAnsi="宋体" w:eastAsia="宋体" w:cs="宋体"/>
          <w:sz w:val="28"/>
          <w:szCs w:val="28"/>
        </w:rPr>
      </w:pPr>
      <w:r>
        <w:rPr>
          <w:rFonts w:hint="eastAsia" w:ascii="宋体" w:hAnsi="宋体" w:eastAsia="宋体" w:cs="宋体"/>
          <w:sz w:val="28"/>
          <w:szCs w:val="28"/>
        </w:rPr>
        <w:t>电子邮箱：</w:t>
      </w:r>
      <w:r>
        <w:rPr>
          <w:rFonts w:hint="eastAsia" w:ascii="宋体" w:hAnsi="宋体" w:eastAsia="宋体" w:cs="宋体"/>
          <w:sz w:val="28"/>
          <w:szCs w:val="28"/>
          <w:u w:val="single"/>
        </w:rPr>
        <w:t xml:space="preserve">                          </w:t>
      </w:r>
    </w:p>
    <w:p>
      <w:pPr>
        <w:keepNext w:val="0"/>
        <w:keepLines w:val="0"/>
        <w:pageBreakBefore w:val="0"/>
        <w:widowControl w:val="0"/>
        <w:kinsoku/>
        <w:wordWrap/>
        <w:overflowPunct/>
        <w:topLinePunct w:val="0"/>
        <w:autoSpaceDE/>
        <w:autoSpaceDN/>
        <w:bidi w:val="0"/>
        <w:adjustRightInd w:val="0"/>
        <w:snapToGrid w:val="0"/>
        <w:spacing w:line="600" w:lineRule="exact"/>
        <w:ind w:firstLine="2240" w:firstLineChars="800"/>
        <w:jc w:val="left"/>
        <w:textAlignment w:val="auto"/>
        <w:rPr>
          <w:rFonts w:hint="eastAsia" w:ascii="宋体" w:hAnsi="宋体" w:eastAsia="宋体" w:cs="宋体"/>
          <w:sz w:val="28"/>
          <w:szCs w:val="28"/>
        </w:rPr>
      </w:pPr>
      <w:r>
        <w:rPr>
          <w:rFonts w:hint="eastAsia" w:ascii="宋体" w:hAnsi="宋体" w:eastAsia="宋体" w:cs="宋体"/>
          <w:sz w:val="28"/>
          <w:szCs w:val="28"/>
        </w:rPr>
        <w:t>电话：</w:t>
      </w:r>
      <w:r>
        <w:rPr>
          <w:rFonts w:hint="eastAsia" w:ascii="宋体" w:hAnsi="宋体" w:eastAsia="宋体" w:cs="宋体"/>
          <w:sz w:val="28"/>
          <w:szCs w:val="28"/>
          <w:u w:val="single"/>
        </w:rPr>
        <w:t xml:space="preserve">                              </w:t>
      </w:r>
    </w:p>
    <w:p>
      <w:pPr>
        <w:keepNext w:val="0"/>
        <w:keepLines w:val="0"/>
        <w:pageBreakBefore w:val="0"/>
        <w:widowControl w:val="0"/>
        <w:kinsoku/>
        <w:wordWrap/>
        <w:overflowPunct/>
        <w:topLinePunct w:val="0"/>
        <w:autoSpaceDE/>
        <w:autoSpaceDN/>
        <w:bidi w:val="0"/>
        <w:adjustRightInd w:val="0"/>
        <w:snapToGrid w:val="0"/>
        <w:spacing w:line="600" w:lineRule="exact"/>
        <w:ind w:firstLine="2240" w:firstLineChars="800"/>
        <w:jc w:val="left"/>
        <w:textAlignment w:val="auto"/>
        <w:rPr>
          <w:rFonts w:hint="eastAsia" w:ascii="宋体" w:hAnsi="宋体" w:eastAsia="宋体" w:cs="宋体"/>
          <w:sz w:val="28"/>
          <w:szCs w:val="28"/>
        </w:rPr>
      </w:pPr>
      <w:r>
        <w:rPr>
          <w:rFonts w:hint="eastAsia" w:ascii="宋体" w:hAnsi="宋体" w:eastAsia="宋体" w:cs="宋体"/>
          <w:sz w:val="28"/>
          <w:szCs w:val="28"/>
        </w:rPr>
        <w:t>传真：</w:t>
      </w:r>
      <w:r>
        <w:rPr>
          <w:rFonts w:hint="eastAsia" w:ascii="宋体" w:hAnsi="宋体" w:eastAsia="宋体" w:cs="宋体"/>
          <w:sz w:val="28"/>
          <w:szCs w:val="28"/>
          <w:u w:val="single"/>
        </w:rPr>
        <w:t xml:space="preserve">                              </w:t>
      </w:r>
    </w:p>
    <w:p>
      <w:pPr>
        <w:keepNext w:val="0"/>
        <w:keepLines w:val="0"/>
        <w:pageBreakBefore w:val="0"/>
        <w:widowControl w:val="0"/>
        <w:kinsoku/>
        <w:wordWrap/>
        <w:overflowPunct/>
        <w:topLinePunct w:val="0"/>
        <w:autoSpaceDE/>
        <w:autoSpaceDN/>
        <w:bidi w:val="0"/>
        <w:spacing w:line="600" w:lineRule="exact"/>
        <w:ind w:left="1" w:firstLine="551" w:firstLineChars="197"/>
        <w:jc w:val="center"/>
        <w:textAlignment w:val="auto"/>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pPr>
        <w:adjustRightInd w:val="0"/>
        <w:snapToGrid w:val="0"/>
        <w:spacing w:line="600" w:lineRule="exact"/>
        <w:ind w:left="1" w:firstLine="551" w:firstLineChars="197"/>
        <w:jc w:val="right"/>
        <w:rPr>
          <w:rFonts w:asciiTheme="minorEastAsia" w:hAnsiTheme="minorEastAsia"/>
          <w:sz w:val="28"/>
          <w:szCs w:val="28"/>
        </w:rPr>
      </w:pPr>
      <w:bookmarkStart w:id="104" w:name="_Toc87616395"/>
      <w:bookmarkStart w:id="105" w:name="_Toc29833"/>
      <w:bookmarkStart w:id="106" w:name="_Toc22527"/>
      <w:bookmarkStart w:id="107" w:name="_Toc88209958"/>
    </w:p>
    <w:p>
      <w:pPr>
        <w:rPr>
          <w:rFonts w:hint="eastAsia" w:asciiTheme="minorEastAsia" w:hAnsiTheme="minorEastAsia" w:eastAsiaTheme="minorEastAsia"/>
          <w:sz w:val="28"/>
          <w:szCs w:val="28"/>
        </w:rPr>
      </w:pPr>
      <w:r>
        <w:rPr>
          <w:rFonts w:hint="eastAsia" w:asciiTheme="minorEastAsia" w:hAnsiTheme="minorEastAsia" w:eastAsiaTheme="minorEastAsia"/>
          <w:sz w:val="28"/>
          <w:szCs w:val="28"/>
        </w:rPr>
        <w:br w:type="page"/>
      </w:r>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rPr>
        <w:t>2.法定代表人证明或授权委托书</w:t>
      </w:r>
      <w:bookmarkEnd w:id="104"/>
      <w:bookmarkEnd w:id="105"/>
      <w:bookmarkEnd w:id="106"/>
      <w:bookmarkEnd w:id="107"/>
    </w:p>
    <w:p>
      <w:pPr>
        <w:spacing w:line="360" w:lineRule="auto"/>
        <w:outlineLvl w:val="3"/>
        <w:rPr>
          <w:rFonts w:hint="eastAsia" w:ascii="宋体" w:hAnsi="宋体" w:eastAsia="宋体" w:cs="宋体"/>
          <w:sz w:val="28"/>
          <w:szCs w:val="28"/>
        </w:rPr>
      </w:pPr>
      <w:r>
        <w:rPr>
          <w:rFonts w:hint="eastAsia" w:ascii="宋体" w:hAnsi="宋体" w:eastAsia="宋体" w:cs="宋体"/>
          <w:sz w:val="28"/>
          <w:szCs w:val="28"/>
        </w:rPr>
        <w:t>2.1法定代表人证明格式</w:t>
      </w:r>
    </w:p>
    <w:p>
      <w:pPr>
        <w:widowControl/>
        <w:adjustRightInd w:val="0"/>
        <w:snapToGrid w:val="0"/>
        <w:spacing w:before="156" w:beforeLines="50" w:after="156" w:afterLines="50" w:line="600" w:lineRule="exact"/>
        <w:jc w:val="center"/>
        <w:rPr>
          <w:rFonts w:hint="eastAsia" w:ascii="宋体" w:hAnsi="宋体" w:eastAsia="宋体" w:cs="宋体"/>
          <w:kern w:val="0"/>
          <w:sz w:val="44"/>
          <w:szCs w:val="44"/>
        </w:rPr>
      </w:pPr>
      <w:r>
        <w:rPr>
          <w:rFonts w:hint="eastAsia" w:ascii="宋体" w:hAnsi="宋体" w:eastAsia="宋体" w:cs="宋体"/>
          <w:kern w:val="0"/>
          <w:sz w:val="44"/>
          <w:szCs w:val="44"/>
        </w:rPr>
        <w:t>法定代表人证明书</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u w:val="single"/>
        </w:rPr>
      </w:pPr>
      <w:r>
        <w:rPr>
          <w:rFonts w:hint="eastAsia" w:ascii="宋体" w:hAnsi="宋体" w:eastAsia="宋体" w:cs="宋体"/>
          <w:sz w:val="28"/>
          <w:szCs w:val="28"/>
        </w:rPr>
        <w:t>供应商名称：</w:t>
      </w:r>
      <w:r>
        <w:rPr>
          <w:rFonts w:hint="eastAsia" w:ascii="宋体" w:hAnsi="宋体" w:eastAsia="宋体" w:cs="宋体"/>
          <w:sz w:val="28"/>
          <w:szCs w:val="28"/>
          <w:u w:val="single"/>
        </w:rPr>
        <w:t xml:space="preserve">                          </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u w:val="single"/>
        </w:rPr>
      </w:pPr>
      <w:r>
        <w:rPr>
          <w:rFonts w:hint="eastAsia" w:ascii="宋体" w:hAnsi="宋体" w:eastAsia="宋体" w:cs="宋体"/>
          <w:sz w:val="28"/>
          <w:szCs w:val="28"/>
        </w:rPr>
        <w:t>单位性质：</w:t>
      </w:r>
      <w:r>
        <w:rPr>
          <w:rFonts w:hint="eastAsia" w:ascii="宋体" w:hAnsi="宋体" w:eastAsia="宋体" w:cs="宋体"/>
          <w:sz w:val="28"/>
          <w:szCs w:val="28"/>
          <w:u w:val="single"/>
        </w:rPr>
        <w:t xml:space="preserve">                            </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u w:val="single"/>
        </w:rPr>
      </w:pPr>
      <w:r>
        <w:rPr>
          <w:rFonts w:hint="eastAsia" w:ascii="宋体" w:hAnsi="宋体" w:eastAsia="宋体" w:cs="宋体"/>
          <w:sz w:val="28"/>
          <w:szCs w:val="28"/>
        </w:rPr>
        <w:t>地    址：</w:t>
      </w:r>
      <w:r>
        <w:rPr>
          <w:rFonts w:hint="eastAsia" w:ascii="宋体" w:hAnsi="宋体" w:eastAsia="宋体" w:cs="宋体"/>
          <w:sz w:val="28"/>
          <w:szCs w:val="28"/>
          <w:u w:val="single"/>
        </w:rPr>
        <w:t xml:space="preserve">                            </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成立时间：</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u w:val="single"/>
        </w:rPr>
      </w:pPr>
      <w:r>
        <w:rPr>
          <w:rFonts w:hint="eastAsia" w:ascii="宋体" w:hAnsi="宋体" w:eastAsia="宋体" w:cs="宋体"/>
          <w:sz w:val="28"/>
          <w:szCs w:val="28"/>
        </w:rPr>
        <w:t>经营期限：</w:t>
      </w:r>
      <w:r>
        <w:rPr>
          <w:rFonts w:hint="eastAsia" w:ascii="宋体" w:hAnsi="宋体" w:eastAsia="宋体" w:cs="宋体"/>
          <w:sz w:val="28"/>
          <w:szCs w:val="28"/>
          <w:u w:val="single"/>
        </w:rPr>
        <w:t xml:space="preserve">                            </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u w:val="single"/>
        </w:rPr>
      </w:pPr>
      <w:r>
        <w:rPr>
          <w:rFonts w:hint="eastAsia" w:ascii="宋体" w:hAnsi="宋体" w:eastAsia="宋体" w:cs="宋体"/>
          <w:sz w:val="28"/>
          <w:szCs w:val="28"/>
        </w:rPr>
        <w:t>姓名：</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性别：</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年龄：</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身份证号码：</w:t>
      </w:r>
      <w:r>
        <w:rPr>
          <w:rFonts w:hint="eastAsia" w:ascii="宋体" w:hAnsi="宋体" w:eastAsia="宋体" w:cs="宋体"/>
          <w:sz w:val="28"/>
          <w:szCs w:val="28"/>
          <w:u w:val="single"/>
        </w:rPr>
        <w:t xml:space="preserve">          </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职务：</w:t>
      </w:r>
      <w:r>
        <w:rPr>
          <w:rFonts w:hint="eastAsia" w:ascii="宋体" w:hAnsi="宋体" w:eastAsia="宋体" w:cs="宋体"/>
          <w:sz w:val="28"/>
          <w:szCs w:val="28"/>
          <w:u w:val="single"/>
        </w:rPr>
        <w:t xml:space="preserve">         </w:t>
      </w:r>
      <w:r>
        <w:rPr>
          <w:rFonts w:hint="eastAsia" w:ascii="宋体" w:hAnsi="宋体" w:eastAsia="宋体" w:cs="宋体"/>
          <w:sz w:val="28"/>
          <w:szCs w:val="28"/>
        </w:rPr>
        <w:t>系</w:t>
      </w:r>
      <w:r>
        <w:rPr>
          <w:rFonts w:hint="eastAsia" w:ascii="宋体" w:hAnsi="宋体" w:eastAsia="宋体" w:cs="宋体"/>
          <w:sz w:val="28"/>
          <w:szCs w:val="28"/>
          <w:u w:val="single"/>
        </w:rPr>
        <w:t xml:space="preserve">     </w:t>
      </w:r>
      <w:r>
        <w:rPr>
          <w:rFonts w:hint="eastAsia" w:ascii="宋体" w:hAnsi="宋体" w:eastAsia="宋体" w:cs="宋体"/>
          <w:sz w:val="28"/>
          <w:szCs w:val="28"/>
        </w:rPr>
        <w:t>(供应商名称)</w:t>
      </w:r>
      <w:r>
        <w:rPr>
          <w:rFonts w:hint="eastAsia" w:ascii="宋体" w:hAnsi="宋体" w:eastAsia="宋体" w:cs="宋体"/>
          <w:sz w:val="28"/>
          <w:szCs w:val="28"/>
          <w:u w:val="single"/>
        </w:rPr>
        <w:t xml:space="preserve">        </w:t>
      </w:r>
      <w:r>
        <w:rPr>
          <w:rFonts w:hint="eastAsia" w:ascii="宋体" w:hAnsi="宋体" w:eastAsia="宋体" w:cs="宋体"/>
          <w:sz w:val="28"/>
          <w:szCs w:val="28"/>
        </w:rPr>
        <w:t>的法定代表人。</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特此证明。</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附：法定代表人身份证(正反两面)复印件</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spacing w:line="600" w:lineRule="exact"/>
        <w:ind w:firstLine="4760" w:firstLineChars="1700"/>
        <w:textAlignment w:val="auto"/>
        <w:rPr>
          <w:rFonts w:hint="eastAsia" w:ascii="宋体" w:hAnsi="宋体" w:eastAsia="宋体" w:cs="宋体"/>
          <w:sz w:val="28"/>
          <w:szCs w:val="28"/>
          <w:u w:val="single"/>
        </w:rPr>
      </w:pPr>
      <w:r>
        <w:rPr>
          <w:rFonts w:hint="eastAsia" w:ascii="宋体" w:hAnsi="宋体" w:eastAsia="宋体" w:cs="宋体"/>
          <w:sz w:val="28"/>
          <w:szCs w:val="28"/>
        </w:rPr>
        <w:t>供应商：</w:t>
      </w:r>
      <w:r>
        <w:rPr>
          <w:rFonts w:hint="eastAsia" w:ascii="宋体" w:hAnsi="宋体" w:eastAsia="宋体" w:cs="宋体"/>
          <w:sz w:val="28"/>
          <w:szCs w:val="28"/>
          <w:u w:val="single"/>
        </w:rPr>
        <w:t xml:space="preserve">       (盖单位章)      </w:t>
      </w:r>
    </w:p>
    <w:p>
      <w:pPr>
        <w:keepNext w:val="0"/>
        <w:keepLines w:val="0"/>
        <w:pageBreakBefore w:val="0"/>
        <w:widowControl w:val="0"/>
        <w:kinsoku/>
        <w:wordWrap/>
        <w:overflowPunct/>
        <w:topLinePunct w:val="0"/>
        <w:autoSpaceDE/>
        <w:autoSpaceDN/>
        <w:bidi w:val="0"/>
        <w:spacing w:line="600" w:lineRule="exact"/>
        <w:ind w:firstLine="4760" w:firstLineChars="1700"/>
        <w:textAlignment w:val="auto"/>
        <w:rPr>
          <w:rFonts w:hint="eastAsia" w:ascii="宋体" w:hAnsi="宋体" w:eastAsia="宋体" w:cs="宋体"/>
          <w:sz w:val="28"/>
          <w:szCs w:val="28"/>
        </w:rPr>
      </w:pPr>
      <w:r>
        <w:rPr>
          <w:rFonts w:hint="eastAsia" w:ascii="宋体" w:hAnsi="宋体" w:eastAsia="宋体" w:cs="宋体"/>
          <w:sz w:val="28"/>
          <w:szCs w:val="28"/>
        </w:rPr>
        <w:t>日  期：</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9962" w:type="dxa"/>
            <w:vAlign w:val="center"/>
          </w:tcPr>
          <w:p>
            <w:pPr>
              <w:widowControl/>
              <w:adjustRightInd w:val="0"/>
              <w:snapToGrid w:val="0"/>
              <w:spacing w:line="600" w:lineRule="exact"/>
              <w:jc w:val="center"/>
              <w:rPr>
                <w:rFonts w:hint="eastAsia" w:ascii="宋体" w:hAnsi="宋体" w:eastAsia="宋体" w:cs="宋体"/>
                <w:color w:val="000000"/>
                <w:kern w:val="0"/>
                <w:sz w:val="28"/>
                <w:szCs w:val="28"/>
                <w:vertAlign w:val="baseline"/>
              </w:rPr>
            </w:pPr>
            <w:r>
              <w:rPr>
                <w:rFonts w:hint="eastAsia"/>
                <w:sz w:val="24"/>
              </w:rPr>
              <w:t>身份证复印件（含正反面）</w:t>
            </w:r>
          </w:p>
        </w:tc>
      </w:tr>
    </w:tbl>
    <w:p>
      <w:pPr>
        <w:widowControl/>
        <w:adjustRightInd w:val="0"/>
        <w:snapToGrid w:val="0"/>
        <w:spacing w:line="600" w:lineRule="exact"/>
        <w:jc w:val="left"/>
        <w:rPr>
          <w:rFonts w:hint="eastAsia" w:ascii="宋体" w:hAnsi="宋体" w:eastAsia="宋体" w:cs="宋体"/>
          <w:color w:val="000000"/>
          <w:kern w:val="0"/>
          <w:sz w:val="28"/>
          <w:szCs w:val="28"/>
        </w:rPr>
      </w:pPr>
      <w:r>
        <w:rPr>
          <w:rFonts w:hint="eastAsia" w:ascii="宋体" w:hAnsi="宋体" w:eastAsia="宋体" w:cs="宋体"/>
          <w:kern w:val="0"/>
          <w:szCs w:val="21"/>
        </w:rPr>
        <w:t>注：法定代表人证明书亦可采用工商行政管理局统一制订的格式。</w:t>
      </w:r>
    </w:p>
    <w:p>
      <w:pPr>
        <w:spacing w:line="360" w:lineRule="auto"/>
        <w:outlineLvl w:val="3"/>
        <w:rPr>
          <w:rFonts w:hint="eastAsia" w:ascii="宋体" w:hAnsi="宋体" w:eastAsia="宋体" w:cs="宋体"/>
          <w:sz w:val="28"/>
          <w:szCs w:val="28"/>
          <w:lang w:val="en-US" w:eastAsia="zh-CN"/>
        </w:rPr>
      </w:pPr>
      <w:r>
        <w:rPr>
          <w:rFonts w:hint="eastAsia" w:ascii="宋体" w:hAnsi="宋体" w:eastAsia="宋体" w:cs="宋体"/>
          <w:color w:val="000000"/>
          <w:kern w:val="0"/>
          <w:sz w:val="28"/>
          <w:szCs w:val="28"/>
        </w:rPr>
        <w:br w:type="page"/>
      </w:r>
      <w:r>
        <w:rPr>
          <w:rFonts w:hint="eastAsia" w:ascii="宋体" w:hAnsi="宋体" w:eastAsia="宋体" w:cs="宋体"/>
          <w:sz w:val="28"/>
          <w:szCs w:val="28"/>
          <w:lang w:val="en-US" w:eastAsia="zh-CN"/>
        </w:rPr>
        <w:t>2.2法人授权委托书</w:t>
      </w:r>
    </w:p>
    <w:p>
      <w:pPr>
        <w:widowControl/>
        <w:adjustRightInd w:val="0"/>
        <w:snapToGrid w:val="0"/>
        <w:spacing w:before="156" w:beforeLines="50" w:after="156" w:afterLines="50" w:line="600" w:lineRule="exact"/>
        <w:jc w:val="center"/>
        <w:rPr>
          <w:rFonts w:hint="eastAsia" w:ascii="宋体" w:hAnsi="宋体" w:eastAsia="宋体" w:cs="宋体"/>
          <w:kern w:val="0"/>
          <w:sz w:val="44"/>
          <w:szCs w:val="44"/>
        </w:rPr>
      </w:pPr>
      <w:r>
        <w:rPr>
          <w:rFonts w:hint="eastAsia" w:ascii="宋体" w:hAnsi="宋体" w:eastAsia="宋体" w:cs="宋体"/>
          <w:kern w:val="0"/>
          <w:sz w:val="44"/>
          <w:szCs w:val="44"/>
        </w:rPr>
        <w:t>法定代表人授权委托书</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本人</w:t>
      </w:r>
      <w:r>
        <w:rPr>
          <w:rFonts w:hint="eastAsia" w:ascii="宋体" w:hAnsi="宋体" w:eastAsia="宋体" w:cs="宋体"/>
          <w:sz w:val="28"/>
          <w:szCs w:val="28"/>
          <w:u w:val="single"/>
        </w:rPr>
        <w:t xml:space="preserve">   (姓名)    </w:t>
      </w:r>
      <w:r>
        <w:rPr>
          <w:rFonts w:hint="eastAsia" w:ascii="宋体" w:hAnsi="宋体" w:eastAsia="宋体" w:cs="宋体"/>
          <w:sz w:val="28"/>
          <w:szCs w:val="28"/>
        </w:rPr>
        <w:t>系</w:t>
      </w:r>
      <w:r>
        <w:rPr>
          <w:rFonts w:hint="eastAsia" w:ascii="宋体" w:hAnsi="宋体" w:eastAsia="宋体" w:cs="宋体"/>
          <w:sz w:val="28"/>
          <w:szCs w:val="28"/>
          <w:u w:val="single"/>
        </w:rPr>
        <w:t xml:space="preserve">        (供应商名称)          </w:t>
      </w:r>
      <w:r>
        <w:rPr>
          <w:rFonts w:hint="eastAsia" w:ascii="宋体" w:hAnsi="宋体" w:eastAsia="宋体" w:cs="宋体"/>
          <w:sz w:val="28"/>
          <w:szCs w:val="28"/>
        </w:rPr>
        <w:t>的法定代表人，现授权</w:t>
      </w:r>
      <w:r>
        <w:rPr>
          <w:rFonts w:hint="eastAsia" w:ascii="宋体" w:hAnsi="宋体" w:eastAsia="宋体" w:cs="宋体"/>
          <w:sz w:val="28"/>
          <w:szCs w:val="28"/>
          <w:u w:val="single"/>
        </w:rPr>
        <w:t xml:space="preserve">   (姓名)   </w:t>
      </w:r>
      <w:r>
        <w:rPr>
          <w:rFonts w:hint="eastAsia" w:ascii="宋体" w:hAnsi="宋体" w:eastAsia="宋体" w:cs="宋体"/>
          <w:sz w:val="28"/>
          <w:szCs w:val="28"/>
        </w:rPr>
        <w:t>为我方代理人。代理人根据授权，以我方名义签署、澄清、说明、提交、撤回、修改</w:t>
      </w:r>
      <w:r>
        <w:rPr>
          <w:rFonts w:hint="eastAsia" w:ascii="宋体" w:hAnsi="宋体" w:eastAsia="宋体" w:cs="宋体"/>
          <w:sz w:val="28"/>
          <w:szCs w:val="28"/>
          <w:u w:val="single"/>
        </w:rPr>
        <w:t xml:space="preserve"> （项目名称、项目编号、标段/标包号）  </w:t>
      </w:r>
      <w:r>
        <w:rPr>
          <w:rFonts w:hint="eastAsia" w:ascii="宋体" w:hAnsi="宋体" w:eastAsia="宋体" w:cs="宋体"/>
          <w:sz w:val="28"/>
          <w:szCs w:val="28"/>
        </w:rPr>
        <w:t>的响应文件、签订合同和处理有关事宜，其法律后果由我方承担。</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委托期限：</w:t>
      </w:r>
      <w:r>
        <w:rPr>
          <w:rFonts w:hint="eastAsia" w:ascii="宋体" w:hAnsi="宋体" w:eastAsia="宋体" w:cs="宋体"/>
          <w:sz w:val="28"/>
          <w:szCs w:val="28"/>
          <w:u w:val="single"/>
        </w:rPr>
        <w:t xml:space="preserve">                </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代理人无转委托权。</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附：1.委托代理人身份证(正反两面)复印件</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2.提供授权委托人在本单位近三个月社保记录（以加盖社会保险基金管理中心印章的《缴费历史明细表》或《社会保险参保人员证明》为准），否则为无效代理人，询价响应文件无效。</w:t>
      </w:r>
    </w:p>
    <w:p>
      <w:pPr>
        <w:keepNext w:val="0"/>
        <w:keepLines w:val="0"/>
        <w:pageBreakBefore w:val="0"/>
        <w:widowControl w:val="0"/>
        <w:kinsoku/>
        <w:wordWrap/>
        <w:overflowPunct/>
        <w:topLinePunct w:val="0"/>
        <w:autoSpaceDE/>
        <w:autoSpaceDN/>
        <w:bidi w:val="0"/>
        <w:spacing w:line="600" w:lineRule="exact"/>
        <w:ind w:firstLine="4760" w:firstLineChars="1700"/>
        <w:textAlignment w:val="auto"/>
        <w:rPr>
          <w:rFonts w:hint="eastAsia" w:ascii="宋体" w:hAnsi="宋体" w:eastAsia="宋体" w:cs="宋体"/>
          <w:sz w:val="28"/>
          <w:szCs w:val="28"/>
          <w:u w:val="single"/>
        </w:rPr>
      </w:pPr>
      <w:r>
        <w:rPr>
          <w:rFonts w:hint="eastAsia" w:ascii="宋体" w:hAnsi="宋体" w:eastAsia="宋体" w:cs="宋体"/>
          <w:sz w:val="28"/>
          <w:szCs w:val="28"/>
        </w:rPr>
        <w:t>供应商：</w:t>
      </w:r>
      <w:r>
        <w:rPr>
          <w:rFonts w:hint="eastAsia" w:ascii="宋体" w:hAnsi="宋体" w:eastAsia="宋体" w:cs="宋体"/>
          <w:sz w:val="28"/>
          <w:szCs w:val="28"/>
          <w:u w:val="single"/>
        </w:rPr>
        <w:t xml:space="preserve">      (单位公章)         </w:t>
      </w:r>
    </w:p>
    <w:p>
      <w:pPr>
        <w:keepNext w:val="0"/>
        <w:keepLines w:val="0"/>
        <w:pageBreakBefore w:val="0"/>
        <w:widowControl w:val="0"/>
        <w:kinsoku/>
        <w:wordWrap/>
        <w:overflowPunct/>
        <w:topLinePunct w:val="0"/>
        <w:autoSpaceDE/>
        <w:autoSpaceDN/>
        <w:bidi w:val="0"/>
        <w:spacing w:line="600" w:lineRule="exact"/>
        <w:ind w:firstLine="4760" w:firstLineChars="1700"/>
        <w:textAlignment w:val="auto"/>
        <w:rPr>
          <w:rFonts w:hint="eastAsia" w:ascii="宋体" w:hAnsi="宋体" w:eastAsia="宋体" w:cs="宋体"/>
          <w:sz w:val="28"/>
          <w:szCs w:val="28"/>
        </w:rPr>
      </w:pPr>
      <w:r>
        <w:rPr>
          <w:rFonts w:hint="eastAsia" w:ascii="宋体" w:hAnsi="宋体" w:eastAsia="宋体" w:cs="宋体"/>
          <w:sz w:val="28"/>
          <w:szCs w:val="28"/>
        </w:rPr>
        <w:t>法定代表人：</w:t>
      </w:r>
      <w:r>
        <w:rPr>
          <w:rFonts w:hint="eastAsia" w:ascii="宋体" w:hAnsi="宋体" w:eastAsia="宋体" w:cs="宋体"/>
          <w:sz w:val="28"/>
          <w:szCs w:val="28"/>
          <w:u w:val="single"/>
        </w:rPr>
        <w:t xml:space="preserve">       (签字)        </w:t>
      </w:r>
    </w:p>
    <w:p>
      <w:pPr>
        <w:keepNext w:val="0"/>
        <w:keepLines w:val="0"/>
        <w:pageBreakBefore w:val="0"/>
        <w:widowControl w:val="0"/>
        <w:kinsoku/>
        <w:wordWrap/>
        <w:overflowPunct/>
        <w:topLinePunct w:val="0"/>
        <w:autoSpaceDE/>
        <w:autoSpaceDN/>
        <w:bidi w:val="0"/>
        <w:spacing w:line="600" w:lineRule="exact"/>
        <w:ind w:firstLine="4760" w:firstLineChars="1700"/>
        <w:textAlignment w:val="auto"/>
        <w:rPr>
          <w:rFonts w:hint="eastAsia" w:ascii="宋体" w:hAnsi="宋体" w:eastAsia="宋体" w:cs="宋体"/>
          <w:sz w:val="28"/>
          <w:szCs w:val="28"/>
        </w:rPr>
      </w:pPr>
      <w:r>
        <w:rPr>
          <w:rFonts w:hint="eastAsia" w:ascii="宋体" w:hAnsi="宋体" w:eastAsia="宋体" w:cs="宋体"/>
          <w:sz w:val="28"/>
          <w:szCs w:val="28"/>
        </w:rPr>
        <w:t>委托代理人：</w:t>
      </w:r>
      <w:r>
        <w:rPr>
          <w:rFonts w:hint="eastAsia" w:ascii="宋体" w:hAnsi="宋体" w:eastAsia="宋体" w:cs="宋体"/>
          <w:sz w:val="28"/>
          <w:szCs w:val="28"/>
          <w:u w:val="single"/>
        </w:rPr>
        <w:t xml:space="preserve">       (签字)        </w:t>
      </w:r>
    </w:p>
    <w:p>
      <w:pPr>
        <w:keepNext w:val="0"/>
        <w:keepLines w:val="0"/>
        <w:pageBreakBefore w:val="0"/>
        <w:widowControl w:val="0"/>
        <w:kinsoku/>
        <w:wordWrap/>
        <w:overflowPunct/>
        <w:topLinePunct w:val="0"/>
        <w:autoSpaceDE/>
        <w:autoSpaceDN/>
        <w:bidi w:val="0"/>
        <w:spacing w:line="600" w:lineRule="exact"/>
        <w:ind w:firstLine="4760" w:firstLineChars="1700"/>
        <w:textAlignment w:val="auto"/>
        <w:rPr>
          <w:rFonts w:hint="eastAsia" w:ascii="宋体" w:hAnsi="宋体" w:eastAsia="宋体" w:cs="宋体"/>
          <w:sz w:val="28"/>
          <w:szCs w:val="28"/>
        </w:rPr>
      </w:pPr>
      <w:r>
        <w:rPr>
          <w:rFonts w:hint="eastAsia" w:ascii="宋体" w:hAnsi="宋体" w:eastAsia="宋体" w:cs="宋体"/>
          <w:sz w:val="28"/>
          <w:szCs w:val="28"/>
        </w:rPr>
        <w:t>日    期：</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autoSpaceDN/>
        <w:bidi w:val="0"/>
        <w:spacing w:line="600" w:lineRule="exact"/>
        <w:ind w:firstLine="4760" w:firstLineChars="1700"/>
        <w:textAlignment w:val="auto"/>
        <w:rPr>
          <w:rFonts w:hint="eastAsia" w:ascii="宋体" w:hAnsi="宋体" w:eastAsia="宋体" w:cs="宋体"/>
          <w:sz w:val="28"/>
          <w:szCs w:val="28"/>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0" w:hRule="atLeast"/>
        </w:trPr>
        <w:tc>
          <w:tcPr>
            <w:tcW w:w="9962" w:type="dxa"/>
            <w:vAlign w:val="center"/>
          </w:tcPr>
          <w:p>
            <w:pPr>
              <w:widowControl/>
              <w:adjustRightInd w:val="0"/>
              <w:snapToGrid w:val="0"/>
              <w:spacing w:line="600" w:lineRule="exact"/>
              <w:jc w:val="center"/>
              <w:rPr>
                <w:rFonts w:hint="eastAsia" w:ascii="宋体" w:hAnsi="宋体" w:eastAsia="宋体" w:cs="宋体"/>
                <w:color w:val="000000"/>
                <w:kern w:val="0"/>
                <w:sz w:val="28"/>
                <w:szCs w:val="28"/>
                <w:vertAlign w:val="baseline"/>
              </w:rPr>
            </w:pPr>
            <w:r>
              <w:rPr>
                <w:rFonts w:hint="eastAsia"/>
                <w:sz w:val="24"/>
              </w:rPr>
              <w:t>身份证复印件（含正反面）</w:t>
            </w:r>
          </w:p>
        </w:tc>
      </w:tr>
    </w:tbl>
    <w:p>
      <w:pPr>
        <w:widowControl/>
        <w:adjustRightInd w:val="0"/>
        <w:snapToGrid w:val="0"/>
        <w:spacing w:line="600" w:lineRule="exact"/>
        <w:jc w:val="left"/>
        <w:rPr>
          <w:rFonts w:hint="eastAsia" w:ascii="宋体" w:hAnsi="宋体" w:eastAsia="宋体" w:cs="宋体"/>
          <w:kern w:val="0"/>
          <w:szCs w:val="21"/>
        </w:rPr>
      </w:pPr>
      <w:r>
        <w:rPr>
          <w:rFonts w:hint="eastAsia" w:ascii="宋体" w:hAnsi="宋体" w:eastAsia="宋体" w:cs="宋体"/>
          <w:kern w:val="0"/>
          <w:szCs w:val="21"/>
        </w:rPr>
        <w:t>注：法人授权委托书亦可采用工商行政管理局统一制订的格式。</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vAlign w:val="center"/>
          </w:tcPr>
          <w:p>
            <w:pPr>
              <w:widowControl/>
              <w:adjustRightInd w:val="0"/>
              <w:snapToGrid w:val="0"/>
              <w:spacing w:line="600" w:lineRule="exact"/>
              <w:jc w:val="center"/>
              <w:rPr>
                <w:rFonts w:hint="eastAsia" w:ascii="宋体" w:hAnsi="宋体" w:eastAsia="宋体" w:cs="宋体"/>
                <w:sz w:val="24"/>
                <w:szCs w:val="24"/>
              </w:rPr>
            </w:pPr>
            <w:r>
              <w:rPr>
                <w:rFonts w:hint="eastAsia"/>
                <w:sz w:val="24"/>
              </w:rPr>
              <w:t>授权代理人在本单位近三个月社保记录，（以加盖社会保险基金管理中心印章的《缴费历史明细表》或《社会保险参保人员证明》为准，加盖单位公章</w:t>
            </w:r>
          </w:p>
        </w:tc>
      </w:tr>
    </w:tbl>
    <w:p>
      <w:pPr>
        <w:spacing w:line="440" w:lineRule="exact"/>
        <w:ind w:firstLine="859" w:firstLineChars="307"/>
        <w:rPr>
          <w:rFonts w:hint="eastAsia" w:ascii="宋体" w:hAnsi="宋体" w:eastAsia="宋体" w:cs="宋体"/>
          <w:sz w:val="28"/>
          <w:szCs w:val="28"/>
        </w:rPr>
      </w:pPr>
    </w:p>
    <w:p>
      <w:pPr>
        <w:rPr>
          <w:rFonts w:hint="eastAsia" w:ascii="宋体" w:hAnsi="宋体" w:eastAsia="宋体" w:cs="宋体"/>
          <w:sz w:val="28"/>
          <w:szCs w:val="28"/>
        </w:rPr>
      </w:pPr>
      <w:bookmarkStart w:id="108" w:name="_Toc88209963"/>
      <w:bookmarkStart w:id="109" w:name="_Toc19830"/>
      <w:bookmarkStart w:id="110" w:name="_Toc87616400"/>
      <w:bookmarkStart w:id="111" w:name="_Toc8086"/>
      <w:r>
        <w:rPr>
          <w:rFonts w:hint="eastAsia" w:ascii="宋体" w:hAnsi="宋体" w:eastAsia="宋体" w:cs="宋体"/>
          <w:sz w:val="28"/>
          <w:szCs w:val="28"/>
        </w:rPr>
        <w:br w:type="page"/>
      </w:r>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rPr>
        <w:t>3.资格审查资料</w:t>
      </w:r>
      <w:bookmarkEnd w:id="108"/>
      <w:bookmarkEnd w:id="109"/>
      <w:bookmarkEnd w:id="110"/>
      <w:bookmarkEnd w:id="111"/>
    </w:p>
    <w:p>
      <w:pPr>
        <w:spacing w:line="360" w:lineRule="auto"/>
        <w:outlineLvl w:val="3"/>
        <w:rPr>
          <w:rFonts w:hint="eastAsia" w:ascii="宋体" w:hAnsi="宋体" w:eastAsia="宋体" w:cs="宋体"/>
          <w:sz w:val="28"/>
          <w:szCs w:val="28"/>
        </w:rPr>
      </w:pPr>
      <w:r>
        <w:rPr>
          <w:rFonts w:hint="eastAsia" w:ascii="宋体" w:hAnsi="宋体" w:eastAsia="宋体" w:cs="宋体"/>
          <w:sz w:val="28"/>
          <w:szCs w:val="28"/>
        </w:rPr>
        <w:t>3.1供应商基本情况表</w:t>
      </w:r>
    </w:p>
    <w:tbl>
      <w:tblPr>
        <w:tblStyle w:val="27"/>
        <w:tblW w:w="4999"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34"/>
        <w:gridCol w:w="1217"/>
        <w:gridCol w:w="1038"/>
        <w:gridCol w:w="1096"/>
        <w:gridCol w:w="149"/>
        <w:gridCol w:w="305"/>
        <w:gridCol w:w="1233"/>
        <w:gridCol w:w="899"/>
        <w:gridCol w:w="492"/>
        <w:gridCol w:w="139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1" w:type="pct"/>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供应商名称</w:t>
            </w:r>
          </w:p>
        </w:tc>
        <w:tc>
          <w:tcPr>
            <w:tcW w:w="3928" w:type="pct"/>
            <w:gridSpan w:val="9"/>
          </w:tcPr>
          <w:p>
            <w:pPr>
              <w:adjustRightInd w:val="0"/>
              <w:snapToGrid w:val="0"/>
              <w:spacing w:line="600" w:lineRule="exac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1" w:type="pct"/>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注册地址</w:t>
            </w:r>
          </w:p>
        </w:tc>
        <w:tc>
          <w:tcPr>
            <w:tcW w:w="1682" w:type="pct"/>
            <w:gridSpan w:val="3"/>
          </w:tcPr>
          <w:p>
            <w:pPr>
              <w:adjustRightInd w:val="0"/>
              <w:snapToGrid w:val="0"/>
              <w:spacing w:line="600" w:lineRule="exact"/>
              <w:rPr>
                <w:rFonts w:hint="eastAsia" w:ascii="宋体" w:hAnsi="宋体" w:eastAsia="宋体" w:cs="宋体"/>
                <w:sz w:val="24"/>
                <w:szCs w:val="24"/>
              </w:rPr>
            </w:pPr>
          </w:p>
        </w:tc>
        <w:tc>
          <w:tcPr>
            <w:tcW w:w="847" w:type="pct"/>
            <w:gridSpan w:val="3"/>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邮政编码</w:t>
            </w:r>
          </w:p>
        </w:tc>
        <w:tc>
          <w:tcPr>
            <w:tcW w:w="1398" w:type="pct"/>
            <w:gridSpan w:val="3"/>
          </w:tcPr>
          <w:p>
            <w:pPr>
              <w:adjustRightInd w:val="0"/>
              <w:snapToGrid w:val="0"/>
              <w:spacing w:line="600" w:lineRule="exac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1" w:type="pct"/>
            <w:vMerge w:val="restart"/>
            <w:vAlign w:val="center"/>
          </w:tcPr>
          <w:p>
            <w:pPr>
              <w:adjustRightInd w:val="0"/>
              <w:snapToGrid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联系方式</w:t>
            </w:r>
          </w:p>
        </w:tc>
        <w:tc>
          <w:tcPr>
            <w:tcW w:w="611" w:type="pct"/>
            <w:vAlign w:val="center"/>
          </w:tcPr>
          <w:p>
            <w:pPr>
              <w:adjustRightInd w:val="0"/>
              <w:snapToGrid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联系人</w:t>
            </w:r>
          </w:p>
        </w:tc>
        <w:tc>
          <w:tcPr>
            <w:tcW w:w="1070" w:type="pct"/>
            <w:gridSpan w:val="2"/>
            <w:vAlign w:val="center"/>
          </w:tcPr>
          <w:p>
            <w:pPr>
              <w:adjustRightInd w:val="0"/>
              <w:snapToGrid w:val="0"/>
              <w:spacing w:line="600" w:lineRule="exact"/>
              <w:jc w:val="center"/>
              <w:rPr>
                <w:rFonts w:hint="eastAsia" w:ascii="宋体" w:hAnsi="宋体" w:eastAsia="宋体" w:cs="宋体"/>
                <w:sz w:val="24"/>
                <w:szCs w:val="24"/>
              </w:rPr>
            </w:pPr>
          </w:p>
        </w:tc>
        <w:tc>
          <w:tcPr>
            <w:tcW w:w="847" w:type="pct"/>
            <w:gridSpan w:val="3"/>
            <w:vAlign w:val="center"/>
          </w:tcPr>
          <w:p>
            <w:pPr>
              <w:adjustRightInd w:val="0"/>
              <w:snapToGrid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电话</w:t>
            </w:r>
          </w:p>
        </w:tc>
        <w:tc>
          <w:tcPr>
            <w:tcW w:w="1398" w:type="pct"/>
            <w:gridSpan w:val="3"/>
          </w:tcPr>
          <w:p>
            <w:pPr>
              <w:adjustRightInd w:val="0"/>
              <w:snapToGrid w:val="0"/>
              <w:spacing w:line="600" w:lineRule="exac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1" w:type="pct"/>
            <w:vMerge w:val="continue"/>
            <w:vAlign w:val="center"/>
          </w:tcPr>
          <w:p>
            <w:pPr>
              <w:adjustRightInd w:val="0"/>
              <w:snapToGrid w:val="0"/>
              <w:spacing w:line="600" w:lineRule="exact"/>
              <w:jc w:val="center"/>
              <w:rPr>
                <w:rFonts w:hint="eastAsia" w:ascii="宋体" w:hAnsi="宋体" w:eastAsia="宋体" w:cs="宋体"/>
                <w:sz w:val="24"/>
                <w:szCs w:val="24"/>
              </w:rPr>
            </w:pPr>
          </w:p>
        </w:tc>
        <w:tc>
          <w:tcPr>
            <w:tcW w:w="611" w:type="pct"/>
            <w:vAlign w:val="center"/>
          </w:tcPr>
          <w:p>
            <w:pPr>
              <w:adjustRightInd w:val="0"/>
              <w:snapToGrid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传真</w:t>
            </w:r>
          </w:p>
        </w:tc>
        <w:tc>
          <w:tcPr>
            <w:tcW w:w="1070" w:type="pct"/>
            <w:gridSpan w:val="2"/>
            <w:vAlign w:val="center"/>
          </w:tcPr>
          <w:p>
            <w:pPr>
              <w:adjustRightInd w:val="0"/>
              <w:snapToGrid w:val="0"/>
              <w:spacing w:line="600" w:lineRule="exact"/>
              <w:jc w:val="center"/>
              <w:rPr>
                <w:rFonts w:hint="eastAsia" w:ascii="宋体" w:hAnsi="宋体" w:eastAsia="宋体" w:cs="宋体"/>
                <w:sz w:val="24"/>
                <w:szCs w:val="24"/>
              </w:rPr>
            </w:pPr>
          </w:p>
        </w:tc>
        <w:tc>
          <w:tcPr>
            <w:tcW w:w="847" w:type="pct"/>
            <w:gridSpan w:val="3"/>
            <w:vAlign w:val="center"/>
          </w:tcPr>
          <w:p>
            <w:pPr>
              <w:adjustRightInd w:val="0"/>
              <w:snapToGrid w:val="0"/>
              <w:spacing w:line="600" w:lineRule="exact"/>
              <w:jc w:val="center"/>
              <w:rPr>
                <w:rFonts w:hint="eastAsia" w:ascii="宋体" w:hAnsi="宋体" w:eastAsia="宋体" w:cs="宋体"/>
                <w:sz w:val="24"/>
                <w:szCs w:val="24"/>
              </w:rPr>
            </w:pPr>
            <w:r>
              <w:rPr>
                <w:rFonts w:hint="eastAsia" w:ascii="宋体" w:hAnsi="宋体" w:eastAsia="宋体" w:cs="宋体"/>
                <w:sz w:val="24"/>
                <w:szCs w:val="24"/>
              </w:rPr>
              <w:t>网址</w:t>
            </w:r>
          </w:p>
        </w:tc>
        <w:tc>
          <w:tcPr>
            <w:tcW w:w="1398" w:type="pct"/>
            <w:gridSpan w:val="3"/>
          </w:tcPr>
          <w:p>
            <w:pPr>
              <w:adjustRightInd w:val="0"/>
              <w:snapToGrid w:val="0"/>
              <w:spacing w:line="600" w:lineRule="exac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1" w:type="pct"/>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组织结构</w:t>
            </w:r>
          </w:p>
        </w:tc>
        <w:tc>
          <w:tcPr>
            <w:tcW w:w="3928" w:type="pct"/>
            <w:gridSpan w:val="9"/>
          </w:tcPr>
          <w:p>
            <w:pPr>
              <w:adjustRightInd w:val="0"/>
              <w:snapToGrid w:val="0"/>
              <w:spacing w:line="600" w:lineRule="exac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1" w:type="pct"/>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法定代表人</w:t>
            </w:r>
          </w:p>
        </w:tc>
        <w:tc>
          <w:tcPr>
            <w:tcW w:w="611" w:type="pct"/>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姓名</w:t>
            </w:r>
          </w:p>
        </w:tc>
        <w:tc>
          <w:tcPr>
            <w:tcW w:w="521" w:type="pct"/>
          </w:tcPr>
          <w:p>
            <w:pPr>
              <w:adjustRightInd w:val="0"/>
              <w:snapToGrid w:val="0"/>
              <w:spacing w:line="600" w:lineRule="exact"/>
              <w:rPr>
                <w:rFonts w:hint="eastAsia" w:ascii="宋体" w:hAnsi="宋体" w:eastAsia="宋体" w:cs="宋体"/>
                <w:sz w:val="24"/>
                <w:szCs w:val="24"/>
              </w:rPr>
            </w:pPr>
          </w:p>
        </w:tc>
        <w:tc>
          <w:tcPr>
            <w:tcW w:w="778" w:type="pct"/>
            <w:gridSpan w:val="3"/>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技术职称</w:t>
            </w:r>
          </w:p>
        </w:tc>
        <w:tc>
          <w:tcPr>
            <w:tcW w:w="618" w:type="pct"/>
          </w:tcPr>
          <w:p>
            <w:pPr>
              <w:adjustRightInd w:val="0"/>
              <w:snapToGrid w:val="0"/>
              <w:spacing w:line="600" w:lineRule="exact"/>
              <w:rPr>
                <w:rFonts w:hint="eastAsia" w:ascii="宋体" w:hAnsi="宋体" w:eastAsia="宋体" w:cs="宋体"/>
                <w:sz w:val="24"/>
                <w:szCs w:val="24"/>
              </w:rPr>
            </w:pPr>
          </w:p>
        </w:tc>
        <w:tc>
          <w:tcPr>
            <w:tcW w:w="698" w:type="pct"/>
            <w:gridSpan w:val="2"/>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电话</w:t>
            </w:r>
          </w:p>
        </w:tc>
        <w:tc>
          <w:tcPr>
            <w:tcW w:w="699" w:type="pct"/>
          </w:tcPr>
          <w:p>
            <w:pPr>
              <w:adjustRightInd w:val="0"/>
              <w:snapToGrid w:val="0"/>
              <w:spacing w:line="600" w:lineRule="exac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1" w:type="pct"/>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技术负责人</w:t>
            </w:r>
          </w:p>
        </w:tc>
        <w:tc>
          <w:tcPr>
            <w:tcW w:w="611" w:type="pct"/>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姓名</w:t>
            </w:r>
          </w:p>
        </w:tc>
        <w:tc>
          <w:tcPr>
            <w:tcW w:w="521" w:type="pct"/>
          </w:tcPr>
          <w:p>
            <w:pPr>
              <w:adjustRightInd w:val="0"/>
              <w:snapToGrid w:val="0"/>
              <w:spacing w:line="600" w:lineRule="exact"/>
              <w:rPr>
                <w:rFonts w:hint="eastAsia" w:ascii="宋体" w:hAnsi="宋体" w:eastAsia="宋体" w:cs="宋体"/>
                <w:sz w:val="24"/>
                <w:szCs w:val="24"/>
              </w:rPr>
            </w:pPr>
          </w:p>
        </w:tc>
        <w:tc>
          <w:tcPr>
            <w:tcW w:w="778" w:type="pct"/>
            <w:gridSpan w:val="3"/>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技术职称</w:t>
            </w:r>
          </w:p>
        </w:tc>
        <w:tc>
          <w:tcPr>
            <w:tcW w:w="618" w:type="pct"/>
          </w:tcPr>
          <w:p>
            <w:pPr>
              <w:adjustRightInd w:val="0"/>
              <w:snapToGrid w:val="0"/>
              <w:spacing w:line="600" w:lineRule="exact"/>
              <w:rPr>
                <w:rFonts w:hint="eastAsia" w:ascii="宋体" w:hAnsi="宋体" w:eastAsia="宋体" w:cs="宋体"/>
                <w:sz w:val="24"/>
                <w:szCs w:val="24"/>
              </w:rPr>
            </w:pPr>
          </w:p>
        </w:tc>
        <w:tc>
          <w:tcPr>
            <w:tcW w:w="698" w:type="pct"/>
            <w:gridSpan w:val="2"/>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电话</w:t>
            </w:r>
          </w:p>
        </w:tc>
        <w:tc>
          <w:tcPr>
            <w:tcW w:w="699" w:type="pct"/>
          </w:tcPr>
          <w:p>
            <w:pPr>
              <w:adjustRightInd w:val="0"/>
              <w:snapToGrid w:val="0"/>
              <w:spacing w:line="600" w:lineRule="exac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1" w:type="pct"/>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成立时间</w:t>
            </w:r>
          </w:p>
        </w:tc>
        <w:tc>
          <w:tcPr>
            <w:tcW w:w="1132" w:type="pct"/>
            <w:gridSpan w:val="2"/>
          </w:tcPr>
          <w:p>
            <w:pPr>
              <w:adjustRightInd w:val="0"/>
              <w:snapToGrid w:val="0"/>
              <w:spacing w:line="600" w:lineRule="exact"/>
              <w:rPr>
                <w:rFonts w:hint="eastAsia" w:ascii="宋体" w:hAnsi="宋体" w:eastAsia="宋体" w:cs="宋体"/>
                <w:sz w:val="24"/>
                <w:szCs w:val="24"/>
              </w:rPr>
            </w:pPr>
          </w:p>
        </w:tc>
        <w:tc>
          <w:tcPr>
            <w:tcW w:w="2795" w:type="pct"/>
            <w:gridSpan w:val="7"/>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1" w:type="pct"/>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企业资质等级</w:t>
            </w:r>
          </w:p>
        </w:tc>
        <w:tc>
          <w:tcPr>
            <w:tcW w:w="1132" w:type="pct"/>
            <w:gridSpan w:val="2"/>
          </w:tcPr>
          <w:p>
            <w:pPr>
              <w:adjustRightInd w:val="0"/>
              <w:snapToGrid w:val="0"/>
              <w:spacing w:line="600" w:lineRule="exact"/>
              <w:rPr>
                <w:rFonts w:hint="eastAsia" w:ascii="宋体" w:hAnsi="宋体" w:eastAsia="宋体" w:cs="宋体"/>
                <w:sz w:val="24"/>
                <w:szCs w:val="24"/>
              </w:rPr>
            </w:pPr>
          </w:p>
        </w:tc>
        <w:tc>
          <w:tcPr>
            <w:tcW w:w="625" w:type="pct"/>
            <w:gridSpan w:val="2"/>
            <w:vMerge w:val="restart"/>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其中</w:t>
            </w:r>
          </w:p>
        </w:tc>
        <w:tc>
          <w:tcPr>
            <w:tcW w:w="1223" w:type="pct"/>
            <w:gridSpan w:val="3"/>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项目负责人</w:t>
            </w:r>
          </w:p>
        </w:tc>
        <w:tc>
          <w:tcPr>
            <w:tcW w:w="945" w:type="pct"/>
            <w:gridSpan w:val="2"/>
          </w:tcPr>
          <w:p>
            <w:pPr>
              <w:adjustRightInd w:val="0"/>
              <w:snapToGrid w:val="0"/>
              <w:spacing w:line="600" w:lineRule="exac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1" w:type="pct"/>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营业执照号</w:t>
            </w:r>
          </w:p>
        </w:tc>
        <w:tc>
          <w:tcPr>
            <w:tcW w:w="1132" w:type="pct"/>
            <w:gridSpan w:val="2"/>
          </w:tcPr>
          <w:p>
            <w:pPr>
              <w:adjustRightInd w:val="0"/>
              <w:snapToGrid w:val="0"/>
              <w:spacing w:line="600" w:lineRule="exact"/>
              <w:rPr>
                <w:rFonts w:hint="eastAsia" w:ascii="宋体" w:hAnsi="宋体" w:eastAsia="宋体" w:cs="宋体"/>
                <w:sz w:val="24"/>
                <w:szCs w:val="24"/>
              </w:rPr>
            </w:pPr>
          </w:p>
        </w:tc>
        <w:tc>
          <w:tcPr>
            <w:tcW w:w="625" w:type="pct"/>
            <w:gridSpan w:val="2"/>
            <w:vMerge w:val="continue"/>
          </w:tcPr>
          <w:p>
            <w:pPr>
              <w:adjustRightInd w:val="0"/>
              <w:snapToGrid w:val="0"/>
              <w:spacing w:line="600" w:lineRule="exact"/>
              <w:rPr>
                <w:rFonts w:hint="eastAsia" w:ascii="宋体" w:hAnsi="宋体" w:eastAsia="宋体" w:cs="宋体"/>
                <w:sz w:val="24"/>
                <w:szCs w:val="24"/>
              </w:rPr>
            </w:pPr>
          </w:p>
        </w:tc>
        <w:tc>
          <w:tcPr>
            <w:tcW w:w="1223" w:type="pct"/>
            <w:gridSpan w:val="3"/>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□高级职称人员</w:t>
            </w:r>
          </w:p>
        </w:tc>
        <w:tc>
          <w:tcPr>
            <w:tcW w:w="945" w:type="pct"/>
            <w:gridSpan w:val="2"/>
          </w:tcPr>
          <w:p>
            <w:pPr>
              <w:adjustRightInd w:val="0"/>
              <w:snapToGrid w:val="0"/>
              <w:spacing w:line="600" w:lineRule="exac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1" w:type="pct"/>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注册资金</w:t>
            </w:r>
          </w:p>
        </w:tc>
        <w:tc>
          <w:tcPr>
            <w:tcW w:w="1132" w:type="pct"/>
            <w:gridSpan w:val="2"/>
          </w:tcPr>
          <w:p>
            <w:pPr>
              <w:adjustRightInd w:val="0"/>
              <w:snapToGrid w:val="0"/>
              <w:spacing w:line="600" w:lineRule="exact"/>
              <w:rPr>
                <w:rFonts w:hint="eastAsia" w:ascii="宋体" w:hAnsi="宋体" w:eastAsia="宋体" w:cs="宋体"/>
                <w:sz w:val="24"/>
                <w:szCs w:val="24"/>
              </w:rPr>
            </w:pPr>
          </w:p>
        </w:tc>
        <w:tc>
          <w:tcPr>
            <w:tcW w:w="625" w:type="pct"/>
            <w:gridSpan w:val="2"/>
            <w:vMerge w:val="continue"/>
          </w:tcPr>
          <w:p>
            <w:pPr>
              <w:adjustRightInd w:val="0"/>
              <w:snapToGrid w:val="0"/>
              <w:spacing w:line="600" w:lineRule="exact"/>
              <w:rPr>
                <w:rFonts w:hint="eastAsia" w:ascii="宋体" w:hAnsi="宋体" w:eastAsia="宋体" w:cs="宋体"/>
                <w:sz w:val="24"/>
                <w:szCs w:val="24"/>
              </w:rPr>
            </w:pPr>
          </w:p>
        </w:tc>
        <w:tc>
          <w:tcPr>
            <w:tcW w:w="1223" w:type="pct"/>
            <w:gridSpan w:val="3"/>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□中级职称人员</w:t>
            </w:r>
          </w:p>
        </w:tc>
        <w:tc>
          <w:tcPr>
            <w:tcW w:w="945" w:type="pct"/>
            <w:gridSpan w:val="2"/>
          </w:tcPr>
          <w:p>
            <w:pPr>
              <w:adjustRightInd w:val="0"/>
              <w:snapToGrid w:val="0"/>
              <w:spacing w:line="600" w:lineRule="exac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1" w:type="pct"/>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开户银行</w:t>
            </w:r>
          </w:p>
        </w:tc>
        <w:tc>
          <w:tcPr>
            <w:tcW w:w="1132" w:type="pct"/>
            <w:gridSpan w:val="2"/>
          </w:tcPr>
          <w:p>
            <w:pPr>
              <w:adjustRightInd w:val="0"/>
              <w:snapToGrid w:val="0"/>
              <w:spacing w:line="600" w:lineRule="exact"/>
              <w:rPr>
                <w:rFonts w:hint="eastAsia" w:ascii="宋体" w:hAnsi="宋体" w:eastAsia="宋体" w:cs="宋体"/>
                <w:sz w:val="24"/>
                <w:szCs w:val="24"/>
              </w:rPr>
            </w:pPr>
          </w:p>
        </w:tc>
        <w:tc>
          <w:tcPr>
            <w:tcW w:w="625" w:type="pct"/>
            <w:gridSpan w:val="2"/>
            <w:vMerge w:val="continue"/>
          </w:tcPr>
          <w:p>
            <w:pPr>
              <w:adjustRightInd w:val="0"/>
              <w:snapToGrid w:val="0"/>
              <w:spacing w:line="600" w:lineRule="exact"/>
              <w:rPr>
                <w:rFonts w:hint="eastAsia" w:ascii="宋体" w:hAnsi="宋体" w:eastAsia="宋体" w:cs="宋体"/>
                <w:sz w:val="24"/>
                <w:szCs w:val="24"/>
              </w:rPr>
            </w:pPr>
          </w:p>
        </w:tc>
        <w:tc>
          <w:tcPr>
            <w:tcW w:w="1223" w:type="pct"/>
            <w:gridSpan w:val="3"/>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□初级职称人员</w:t>
            </w:r>
          </w:p>
        </w:tc>
        <w:tc>
          <w:tcPr>
            <w:tcW w:w="945" w:type="pct"/>
            <w:gridSpan w:val="2"/>
          </w:tcPr>
          <w:p>
            <w:pPr>
              <w:adjustRightInd w:val="0"/>
              <w:snapToGrid w:val="0"/>
              <w:spacing w:line="600" w:lineRule="exac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71" w:type="pct"/>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账户</w:t>
            </w:r>
          </w:p>
        </w:tc>
        <w:tc>
          <w:tcPr>
            <w:tcW w:w="1132" w:type="pct"/>
            <w:gridSpan w:val="2"/>
          </w:tcPr>
          <w:p>
            <w:pPr>
              <w:adjustRightInd w:val="0"/>
              <w:snapToGrid w:val="0"/>
              <w:spacing w:line="600" w:lineRule="exact"/>
              <w:rPr>
                <w:rFonts w:hint="eastAsia" w:ascii="宋体" w:hAnsi="宋体" w:eastAsia="宋体" w:cs="宋体"/>
                <w:sz w:val="24"/>
                <w:szCs w:val="24"/>
              </w:rPr>
            </w:pPr>
          </w:p>
        </w:tc>
        <w:tc>
          <w:tcPr>
            <w:tcW w:w="625" w:type="pct"/>
            <w:gridSpan w:val="2"/>
            <w:vMerge w:val="continue"/>
          </w:tcPr>
          <w:p>
            <w:pPr>
              <w:adjustRightInd w:val="0"/>
              <w:snapToGrid w:val="0"/>
              <w:spacing w:line="600" w:lineRule="exact"/>
              <w:rPr>
                <w:rFonts w:hint="eastAsia" w:ascii="宋体" w:hAnsi="宋体" w:eastAsia="宋体" w:cs="宋体"/>
                <w:sz w:val="24"/>
                <w:szCs w:val="24"/>
              </w:rPr>
            </w:pPr>
          </w:p>
        </w:tc>
        <w:tc>
          <w:tcPr>
            <w:tcW w:w="1223" w:type="pct"/>
            <w:gridSpan w:val="3"/>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□技工</w:t>
            </w:r>
          </w:p>
        </w:tc>
        <w:tc>
          <w:tcPr>
            <w:tcW w:w="945" w:type="pct"/>
            <w:gridSpan w:val="2"/>
          </w:tcPr>
          <w:p>
            <w:pPr>
              <w:adjustRightInd w:val="0"/>
              <w:snapToGrid w:val="0"/>
              <w:spacing w:line="600" w:lineRule="exac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071" w:type="pct"/>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经营范围</w:t>
            </w:r>
          </w:p>
        </w:tc>
        <w:tc>
          <w:tcPr>
            <w:tcW w:w="3928" w:type="pct"/>
            <w:gridSpan w:val="9"/>
          </w:tcPr>
          <w:p>
            <w:pPr>
              <w:adjustRightInd w:val="0"/>
              <w:snapToGrid w:val="0"/>
              <w:spacing w:line="600" w:lineRule="exac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071" w:type="pct"/>
          </w:tcPr>
          <w:p>
            <w:pPr>
              <w:adjustRightInd w:val="0"/>
              <w:snapToGrid w:val="0"/>
              <w:spacing w:line="600" w:lineRule="exact"/>
              <w:rPr>
                <w:rFonts w:hint="eastAsia" w:ascii="宋体" w:hAnsi="宋体" w:eastAsia="宋体" w:cs="宋体"/>
                <w:sz w:val="24"/>
                <w:szCs w:val="24"/>
              </w:rPr>
            </w:pPr>
            <w:r>
              <w:rPr>
                <w:rFonts w:hint="eastAsia" w:ascii="宋体" w:hAnsi="宋体" w:eastAsia="宋体" w:cs="宋体"/>
                <w:sz w:val="24"/>
                <w:szCs w:val="24"/>
              </w:rPr>
              <w:t>备注</w:t>
            </w:r>
          </w:p>
        </w:tc>
        <w:tc>
          <w:tcPr>
            <w:tcW w:w="3928" w:type="pct"/>
            <w:gridSpan w:val="9"/>
          </w:tcPr>
          <w:p>
            <w:pPr>
              <w:adjustRightInd w:val="0"/>
              <w:snapToGrid w:val="0"/>
              <w:spacing w:line="600" w:lineRule="exact"/>
              <w:rPr>
                <w:rFonts w:hint="eastAsia" w:ascii="宋体" w:hAnsi="宋体" w:eastAsia="宋体" w:cs="宋体"/>
                <w:sz w:val="24"/>
                <w:szCs w:val="24"/>
              </w:rPr>
            </w:pPr>
          </w:p>
        </w:tc>
      </w:tr>
    </w:tbl>
    <w:p>
      <w:pPr>
        <w:widowControl/>
        <w:adjustRightInd w:val="0"/>
        <w:snapToGrid w:val="0"/>
        <w:spacing w:line="600" w:lineRule="exact"/>
        <w:jc w:val="left"/>
        <w:rPr>
          <w:rFonts w:hint="eastAsia" w:ascii="宋体" w:hAnsi="宋体" w:eastAsia="宋体" w:cs="宋体"/>
          <w:kern w:val="0"/>
          <w:szCs w:val="21"/>
        </w:rPr>
      </w:pPr>
      <w:r>
        <w:rPr>
          <w:rFonts w:hint="eastAsia" w:ascii="宋体" w:hAnsi="宋体" w:eastAsia="宋体" w:cs="宋体"/>
          <w:kern w:val="0"/>
          <w:szCs w:val="21"/>
        </w:rPr>
        <w:t>注：供应商应按供应商须知的要求提供主体资格证明材料及相关资质证明材料。（相关证明文件附后）</w:t>
      </w:r>
    </w:p>
    <w:p>
      <w:pPr>
        <w:rPr>
          <w:rFonts w:hint="eastAsia" w:ascii="宋体" w:hAnsi="宋体" w:eastAsia="宋体" w:cs="宋体"/>
          <w:sz w:val="28"/>
          <w:szCs w:val="28"/>
        </w:rPr>
      </w:pPr>
      <w:bookmarkStart w:id="112" w:name="_Hlk59025866"/>
      <w:r>
        <w:rPr>
          <w:rFonts w:hint="eastAsia" w:ascii="宋体" w:hAnsi="宋体" w:eastAsia="宋体" w:cs="宋体"/>
          <w:sz w:val="28"/>
          <w:szCs w:val="28"/>
        </w:rPr>
        <w:br w:type="page"/>
      </w:r>
    </w:p>
    <w:p>
      <w:pPr>
        <w:spacing w:line="360" w:lineRule="auto"/>
        <w:outlineLvl w:val="3"/>
        <w:rPr>
          <w:rFonts w:hint="eastAsia" w:ascii="宋体" w:hAnsi="宋体" w:eastAsia="宋体" w:cs="宋体"/>
          <w:sz w:val="28"/>
          <w:szCs w:val="28"/>
        </w:rPr>
      </w:pPr>
      <w:r>
        <w:rPr>
          <w:rFonts w:hint="eastAsia" w:ascii="宋体" w:hAnsi="宋体" w:eastAsia="宋体" w:cs="宋体"/>
          <w:sz w:val="28"/>
          <w:szCs w:val="28"/>
        </w:rPr>
        <w:t>3.2不得存在情形承诺函</w:t>
      </w:r>
    </w:p>
    <w:bookmarkEnd w:id="112"/>
    <w:p>
      <w:pPr>
        <w:adjustRightInd w:val="0"/>
        <w:snapToGrid w:val="0"/>
        <w:spacing w:line="360" w:lineRule="auto"/>
        <w:rPr>
          <w:rFonts w:hint="eastAsia" w:ascii="宋体" w:hAnsi="宋体" w:eastAsia="宋体" w:cs="宋体"/>
          <w:sz w:val="24"/>
          <w:szCs w:val="24"/>
          <w:lang w:val="en-GB"/>
        </w:rPr>
      </w:pPr>
    </w:p>
    <w:p>
      <w:pPr>
        <w:adjustRightInd w:val="0"/>
        <w:snapToGrid w:val="0"/>
        <w:spacing w:line="360" w:lineRule="auto"/>
        <w:rPr>
          <w:rFonts w:hint="eastAsia" w:ascii="宋体" w:hAnsi="宋体" w:eastAsia="宋体" w:cs="宋体"/>
          <w:sz w:val="24"/>
          <w:szCs w:val="24"/>
          <w:lang w:val="en-GB"/>
        </w:rPr>
      </w:pPr>
      <w:r>
        <w:rPr>
          <w:rFonts w:hint="eastAsia" w:ascii="宋体" w:hAnsi="宋体" w:eastAsia="宋体" w:cs="宋体"/>
          <w:sz w:val="24"/>
          <w:szCs w:val="24"/>
          <w:lang w:val="en-GB"/>
        </w:rPr>
        <w:t>致：</w:t>
      </w:r>
      <w:r>
        <w:rPr>
          <w:rFonts w:hint="eastAsia" w:ascii="宋体" w:hAnsi="宋体" w:eastAsia="宋体" w:cs="宋体"/>
          <w:b/>
          <w:bCs/>
          <w:sz w:val="24"/>
          <w:szCs w:val="24"/>
          <w:shd w:val="clear" w:color="auto" w:fill="FFFFFF"/>
        </w:rPr>
        <w:t>广州市净水有限公司</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GB"/>
        </w:rPr>
        <w:t>我方郑重承诺，在参与</w:t>
      </w:r>
      <w:r>
        <w:rPr>
          <w:rFonts w:hint="eastAsia" w:ascii="宋体" w:hAnsi="宋体" w:eastAsia="宋体" w:cs="宋体"/>
          <w:sz w:val="28"/>
          <w:szCs w:val="28"/>
          <w:lang w:val="en-US" w:eastAsia="zh-CN"/>
        </w:rPr>
        <w:t>广州市净水有限公司</w:t>
      </w:r>
      <w:r>
        <w:rPr>
          <w:rFonts w:hint="eastAsia" w:ascii="宋体" w:hAnsi="宋体" w:eastAsia="宋体" w:cs="宋体"/>
          <w:sz w:val="28"/>
          <w:szCs w:val="28"/>
          <w:u w:val="none"/>
          <w:lang w:val="en-GB"/>
        </w:rPr>
        <w:t>竹料分公司2022年中控室升级改造项目</w:t>
      </w:r>
      <w:r>
        <w:rPr>
          <w:rFonts w:hint="eastAsia" w:ascii="宋体" w:hAnsi="宋体" w:eastAsia="宋体" w:cs="宋体"/>
          <w:sz w:val="28"/>
          <w:szCs w:val="28"/>
          <w:lang w:val="en-GB"/>
        </w:rPr>
        <w:t>（项目编号：）采购期间，未被</w:t>
      </w:r>
      <w:r>
        <w:rPr>
          <w:rFonts w:hint="eastAsia" w:ascii="宋体" w:hAnsi="宋体" w:eastAsia="宋体" w:cs="宋体"/>
          <w:sz w:val="28"/>
          <w:szCs w:val="28"/>
        </w:rPr>
        <w:t>列入下列情形之一：</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GB"/>
        </w:rPr>
      </w:pPr>
      <w:r>
        <w:rPr>
          <w:rFonts w:hint="eastAsia" w:ascii="宋体" w:hAnsi="宋体" w:eastAsia="宋体" w:cs="宋体"/>
          <w:sz w:val="28"/>
          <w:szCs w:val="28"/>
          <w:lang w:val="en-GB"/>
        </w:rPr>
        <w:t>（1）与本项目其他供应商的单位负责人为同一人。</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GB"/>
        </w:rPr>
      </w:pPr>
      <w:r>
        <w:rPr>
          <w:rFonts w:hint="eastAsia" w:ascii="宋体" w:hAnsi="宋体" w:eastAsia="宋体" w:cs="宋体"/>
          <w:sz w:val="28"/>
          <w:szCs w:val="28"/>
          <w:lang w:val="en-GB"/>
        </w:rPr>
        <w:t>（2）与本项目其他供应商存在控股关系。</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GB"/>
        </w:rPr>
      </w:pPr>
      <w:r>
        <w:rPr>
          <w:rFonts w:hint="eastAsia" w:ascii="宋体" w:hAnsi="宋体" w:eastAsia="宋体" w:cs="宋体"/>
          <w:sz w:val="28"/>
          <w:szCs w:val="28"/>
          <w:lang w:val="en-GB"/>
        </w:rPr>
        <w:t>（3）与本项目其他供应商存在管理关系。</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GB"/>
        </w:rPr>
      </w:pPr>
      <w:r>
        <w:rPr>
          <w:rFonts w:hint="eastAsia" w:ascii="宋体" w:hAnsi="宋体" w:eastAsia="宋体" w:cs="宋体"/>
          <w:sz w:val="28"/>
          <w:szCs w:val="28"/>
          <w:lang w:val="en-GB"/>
        </w:rPr>
        <w:t>（4）被本项目所在地省级以上行业主管部门依法暂停、取消投标或禁止参加采购活动且处于有效期内的。</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GB"/>
        </w:rPr>
      </w:pPr>
      <w:r>
        <w:rPr>
          <w:rFonts w:hint="eastAsia" w:ascii="宋体" w:hAnsi="宋体" w:eastAsia="宋体" w:cs="宋体"/>
          <w:sz w:val="28"/>
          <w:szCs w:val="28"/>
          <w:lang w:val="en-GB"/>
        </w:rPr>
        <w:t>（5）处于被责令停产停业、暂扣或者吊销执照、暂扣或者吊销许可证、吊销资质证书状态。</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GB"/>
        </w:rPr>
      </w:pPr>
      <w:r>
        <w:rPr>
          <w:rFonts w:hint="eastAsia" w:ascii="宋体" w:hAnsi="宋体" w:eastAsia="宋体" w:cs="宋体"/>
          <w:sz w:val="28"/>
          <w:szCs w:val="28"/>
          <w:lang w:val="en-GB"/>
        </w:rPr>
        <w:t>（6）进入清算程序，或被宣告破产，或其他丧失履约能力情形的。</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GB"/>
        </w:rPr>
      </w:pPr>
      <w:r>
        <w:rPr>
          <w:rFonts w:hint="eastAsia" w:ascii="宋体" w:hAnsi="宋体" w:eastAsia="宋体" w:cs="宋体"/>
          <w:sz w:val="28"/>
          <w:szCs w:val="28"/>
          <w:lang w:val="en-GB"/>
        </w:rPr>
        <w:t>（7）近三年内因发生质量或安全生产事故等受到行政处罚且在处罚期内的。</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GB"/>
        </w:rPr>
      </w:pPr>
      <w:r>
        <w:rPr>
          <w:rFonts w:hint="eastAsia" w:ascii="宋体" w:hAnsi="宋体" w:eastAsia="宋体" w:cs="宋体"/>
          <w:sz w:val="28"/>
          <w:szCs w:val="28"/>
          <w:lang w:val="en-GB"/>
        </w:rPr>
        <w:t>（8）被最高人民法院在“信用中国”网站（www.creditchina.gov.cn）或各级信用信息共享平台中列入失信被执行人名单。</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GB"/>
        </w:rPr>
      </w:pPr>
      <w:r>
        <w:rPr>
          <w:rFonts w:hint="eastAsia" w:ascii="宋体" w:hAnsi="宋体" w:eastAsia="宋体" w:cs="宋体"/>
          <w:sz w:val="28"/>
          <w:szCs w:val="28"/>
          <w:lang w:val="en-GB"/>
        </w:rPr>
        <w:t>（9）被“信用广州”网站纳入失信被执行人名单（失信黑名单）。</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GB"/>
        </w:rPr>
      </w:pPr>
      <w:r>
        <w:rPr>
          <w:rFonts w:hint="eastAsia" w:ascii="宋体" w:hAnsi="宋体" w:eastAsia="宋体" w:cs="宋体"/>
          <w:sz w:val="28"/>
          <w:szCs w:val="28"/>
          <w:lang w:val="en-GB"/>
        </w:rPr>
        <w:t>（10）被纳入本项目采购人（包括市水投集团及相关所属企业）书面限制参与采购活动且处于有效期内的。</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GB"/>
        </w:rPr>
      </w:pPr>
      <w:r>
        <w:rPr>
          <w:rFonts w:hint="eastAsia" w:ascii="宋体" w:hAnsi="宋体" w:eastAsia="宋体" w:cs="宋体"/>
          <w:sz w:val="28"/>
          <w:szCs w:val="28"/>
          <w:lang w:val="en-GB"/>
        </w:rPr>
        <w:t>（11）其他违法违纪行为，经审查认为不宜被邀请参加采购活动的。</w:t>
      </w:r>
    </w:p>
    <w:p>
      <w:pPr>
        <w:keepNext w:val="0"/>
        <w:keepLines w:val="0"/>
        <w:pageBreakBefore w:val="0"/>
        <w:widowControl w:val="0"/>
        <w:kinsoku/>
        <w:wordWrap/>
        <w:overflowPunct/>
        <w:topLinePunct w:val="0"/>
        <w:autoSpaceDE/>
        <w:autoSpaceDN/>
        <w:bidi w:val="0"/>
        <w:spacing w:line="600" w:lineRule="exact"/>
        <w:ind w:firstLine="4760" w:firstLineChars="1700"/>
        <w:textAlignment w:val="auto"/>
        <w:rPr>
          <w:rFonts w:hint="eastAsia" w:ascii="宋体" w:hAnsi="宋体" w:eastAsia="宋体" w:cs="宋体"/>
          <w:sz w:val="28"/>
          <w:szCs w:val="28"/>
          <w:u w:val="single"/>
        </w:rPr>
      </w:pPr>
      <w:r>
        <w:rPr>
          <w:rFonts w:hint="eastAsia" w:ascii="宋体" w:hAnsi="宋体" w:eastAsia="宋体" w:cs="宋体"/>
          <w:sz w:val="28"/>
          <w:szCs w:val="28"/>
        </w:rPr>
        <w:t>供应商：</w:t>
      </w:r>
      <w:r>
        <w:rPr>
          <w:rFonts w:hint="eastAsia" w:ascii="宋体" w:hAnsi="宋体" w:eastAsia="宋体" w:cs="宋体"/>
          <w:sz w:val="28"/>
          <w:szCs w:val="28"/>
          <w:u w:val="single"/>
        </w:rPr>
        <w:t xml:space="preserve">      (单位公章)         </w:t>
      </w:r>
    </w:p>
    <w:p>
      <w:pPr>
        <w:keepNext w:val="0"/>
        <w:keepLines w:val="0"/>
        <w:pageBreakBefore w:val="0"/>
        <w:widowControl w:val="0"/>
        <w:kinsoku/>
        <w:wordWrap/>
        <w:overflowPunct/>
        <w:topLinePunct w:val="0"/>
        <w:autoSpaceDE/>
        <w:autoSpaceDN/>
        <w:bidi w:val="0"/>
        <w:spacing w:line="600" w:lineRule="exact"/>
        <w:ind w:firstLine="4760" w:firstLineChars="1700"/>
        <w:textAlignment w:val="auto"/>
        <w:rPr>
          <w:rFonts w:hint="eastAsia" w:ascii="宋体" w:hAnsi="宋体" w:eastAsia="宋体" w:cs="宋体"/>
          <w:sz w:val="28"/>
          <w:szCs w:val="28"/>
        </w:rPr>
      </w:pPr>
      <w:r>
        <w:rPr>
          <w:rFonts w:hint="eastAsia" w:ascii="宋体" w:hAnsi="宋体" w:eastAsia="宋体" w:cs="宋体"/>
          <w:sz w:val="28"/>
          <w:szCs w:val="28"/>
        </w:rPr>
        <w:t>日    期：</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eastAsia" w:ascii="宋体" w:hAnsi="宋体" w:eastAsia="宋体" w:cs="宋体"/>
          <w:sz w:val="28"/>
          <w:szCs w:val="28"/>
          <w:lang w:val="en-GB"/>
        </w:rPr>
      </w:pPr>
      <w:r>
        <w:rPr>
          <w:rFonts w:hint="eastAsia" w:ascii="宋体" w:hAnsi="宋体" w:eastAsia="宋体" w:cs="宋体"/>
          <w:sz w:val="28"/>
          <w:szCs w:val="28"/>
          <w:lang w:val="en-GB"/>
        </w:rPr>
        <w:br w:type="page"/>
      </w:r>
    </w:p>
    <w:p>
      <w:pPr>
        <w:adjustRightInd w:val="0"/>
        <w:snapToGrid w:val="0"/>
        <w:spacing w:line="600" w:lineRule="exact"/>
        <w:jc w:val="left"/>
        <w:outlineLvl w:val="2"/>
        <w:rPr>
          <w:rFonts w:hint="eastAsia" w:ascii="宋体" w:hAnsi="宋体" w:eastAsia="宋体" w:cs="宋体"/>
          <w:b/>
          <w:sz w:val="32"/>
          <w:szCs w:val="32"/>
        </w:rPr>
      </w:pPr>
      <w:r>
        <w:rPr>
          <w:rFonts w:hint="eastAsia" w:ascii="宋体" w:hAnsi="宋体" w:eastAsia="宋体" w:cs="宋体"/>
          <w:b/>
          <w:sz w:val="32"/>
          <w:szCs w:val="32"/>
        </w:rPr>
        <w:t>4.拟投入本项目的项目负责人情况表</w:t>
      </w:r>
    </w:p>
    <w:p>
      <w:pPr>
        <w:pStyle w:val="25"/>
        <w:rPr>
          <w:rFonts w:hint="eastAsia" w:ascii="宋体" w:hAnsi="宋体" w:eastAsia="宋体" w:cs="宋体"/>
          <w:sz w:val="28"/>
          <w:szCs w:val="28"/>
        </w:rPr>
      </w:pPr>
    </w:p>
    <w:p>
      <w:pPr>
        <w:widowControl/>
        <w:adjustRightInd w:val="0"/>
        <w:snapToGrid w:val="0"/>
        <w:spacing w:before="156" w:beforeLines="50" w:after="156" w:afterLines="50" w:line="600" w:lineRule="exact"/>
        <w:jc w:val="center"/>
        <w:rPr>
          <w:rFonts w:hint="eastAsia" w:ascii="宋体" w:hAnsi="宋体" w:eastAsia="宋体" w:cs="宋体"/>
          <w:kern w:val="0"/>
          <w:sz w:val="44"/>
          <w:szCs w:val="44"/>
        </w:rPr>
      </w:pPr>
      <w:r>
        <w:rPr>
          <w:rFonts w:hint="eastAsia" w:ascii="宋体" w:hAnsi="宋体" w:eastAsia="宋体" w:cs="宋体"/>
          <w:kern w:val="0"/>
          <w:sz w:val="44"/>
          <w:szCs w:val="44"/>
        </w:rPr>
        <w:t>拟投入本项目的项目负责人情况表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350"/>
        <w:gridCol w:w="1231"/>
        <w:gridCol w:w="874"/>
        <w:gridCol w:w="829"/>
        <w:gridCol w:w="1277"/>
        <w:gridCol w:w="135"/>
        <w:gridCol w:w="1970"/>
        <w:gridCol w:w="353"/>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pct"/>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姓名</w:t>
            </w:r>
          </w:p>
        </w:tc>
        <w:tc>
          <w:tcPr>
            <w:tcW w:w="794" w:type="pct"/>
            <w:gridSpan w:val="2"/>
          </w:tcPr>
          <w:p>
            <w:pPr>
              <w:jc w:val="center"/>
              <w:rPr>
                <w:rFonts w:hint="eastAsia" w:ascii="宋体" w:hAnsi="宋体" w:eastAsia="宋体" w:cs="宋体"/>
                <w:b w:val="0"/>
                <w:bCs/>
                <w:sz w:val="28"/>
                <w:szCs w:val="28"/>
              </w:rPr>
            </w:pPr>
          </w:p>
        </w:tc>
        <w:tc>
          <w:tcPr>
            <w:tcW w:w="855" w:type="pct"/>
            <w:gridSpan w:val="2"/>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出生年月</w:t>
            </w:r>
          </w:p>
        </w:tc>
        <w:tc>
          <w:tcPr>
            <w:tcW w:w="709" w:type="pct"/>
            <w:gridSpan w:val="2"/>
          </w:tcPr>
          <w:p>
            <w:pPr>
              <w:jc w:val="center"/>
              <w:rPr>
                <w:rFonts w:hint="eastAsia" w:ascii="宋体" w:hAnsi="宋体" w:eastAsia="宋体" w:cs="宋体"/>
                <w:b w:val="0"/>
                <w:bCs/>
                <w:sz w:val="28"/>
                <w:szCs w:val="28"/>
              </w:rPr>
            </w:pPr>
          </w:p>
        </w:tc>
        <w:tc>
          <w:tcPr>
            <w:tcW w:w="1166" w:type="pct"/>
            <w:gridSpan w:val="2"/>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学历</w:t>
            </w:r>
          </w:p>
        </w:tc>
        <w:tc>
          <w:tcPr>
            <w:tcW w:w="593" w:type="pct"/>
          </w:tcPr>
          <w:p>
            <w:pPr>
              <w:jc w:val="center"/>
              <w:rPr>
                <w:rFonts w:hint="eastAsia" w:ascii="宋体" w:hAnsi="宋体" w:eastAsia="宋体" w:cs="宋体"/>
                <w:b w:val="0"/>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pct"/>
          </w:tcPr>
          <w:p>
            <w:pPr>
              <w:spacing w:line="360" w:lineRule="exact"/>
              <w:jc w:val="center"/>
              <w:rPr>
                <w:rFonts w:hint="eastAsia" w:ascii="宋体" w:hAnsi="宋体" w:eastAsia="宋体" w:cs="宋体"/>
                <w:b w:val="0"/>
                <w:bCs/>
                <w:sz w:val="28"/>
                <w:szCs w:val="28"/>
              </w:rPr>
            </w:pPr>
            <w:r>
              <w:rPr>
                <w:rFonts w:hint="eastAsia" w:ascii="宋体" w:hAnsi="宋体" w:eastAsia="宋体" w:cs="宋体"/>
                <w:b w:val="0"/>
                <w:bCs/>
                <w:sz w:val="28"/>
                <w:szCs w:val="28"/>
              </w:rPr>
              <w:t>职称</w:t>
            </w:r>
          </w:p>
        </w:tc>
        <w:tc>
          <w:tcPr>
            <w:tcW w:w="794" w:type="pct"/>
            <w:gridSpan w:val="2"/>
          </w:tcPr>
          <w:p>
            <w:pPr>
              <w:spacing w:line="360" w:lineRule="exact"/>
              <w:jc w:val="center"/>
              <w:rPr>
                <w:rFonts w:hint="eastAsia" w:ascii="宋体" w:hAnsi="宋体" w:eastAsia="宋体" w:cs="宋体"/>
                <w:b w:val="0"/>
                <w:bCs/>
                <w:sz w:val="28"/>
                <w:szCs w:val="28"/>
              </w:rPr>
            </w:pPr>
          </w:p>
        </w:tc>
        <w:tc>
          <w:tcPr>
            <w:tcW w:w="855" w:type="pct"/>
            <w:gridSpan w:val="2"/>
          </w:tcPr>
          <w:p>
            <w:pPr>
              <w:spacing w:line="360" w:lineRule="exact"/>
              <w:jc w:val="center"/>
              <w:rPr>
                <w:rFonts w:hint="eastAsia" w:ascii="宋体" w:hAnsi="宋体" w:eastAsia="宋体" w:cs="宋体"/>
                <w:b w:val="0"/>
                <w:bCs/>
                <w:sz w:val="28"/>
                <w:szCs w:val="28"/>
              </w:rPr>
            </w:pPr>
            <w:r>
              <w:rPr>
                <w:rFonts w:hint="eastAsia" w:ascii="宋体" w:hAnsi="宋体" w:eastAsia="宋体" w:cs="宋体"/>
                <w:b w:val="0"/>
                <w:bCs/>
                <w:sz w:val="28"/>
                <w:szCs w:val="28"/>
              </w:rPr>
              <w:t>职务</w:t>
            </w:r>
          </w:p>
        </w:tc>
        <w:tc>
          <w:tcPr>
            <w:tcW w:w="709" w:type="pct"/>
            <w:gridSpan w:val="2"/>
          </w:tcPr>
          <w:p>
            <w:pPr>
              <w:spacing w:line="360" w:lineRule="exact"/>
              <w:jc w:val="center"/>
              <w:rPr>
                <w:rFonts w:hint="eastAsia" w:ascii="宋体" w:hAnsi="宋体" w:eastAsia="宋体" w:cs="宋体"/>
                <w:b w:val="0"/>
                <w:bCs/>
                <w:sz w:val="28"/>
                <w:szCs w:val="28"/>
              </w:rPr>
            </w:pPr>
          </w:p>
        </w:tc>
        <w:tc>
          <w:tcPr>
            <w:tcW w:w="1166" w:type="pct"/>
            <w:gridSpan w:val="2"/>
          </w:tcPr>
          <w:p>
            <w:pPr>
              <w:spacing w:line="360" w:lineRule="exact"/>
              <w:jc w:val="center"/>
              <w:rPr>
                <w:rFonts w:hint="eastAsia" w:ascii="宋体" w:hAnsi="宋体" w:eastAsia="宋体" w:cs="宋体"/>
                <w:b w:val="0"/>
                <w:bCs/>
                <w:sz w:val="28"/>
                <w:szCs w:val="28"/>
              </w:rPr>
            </w:pPr>
            <w:r>
              <w:rPr>
                <w:rFonts w:hint="eastAsia" w:ascii="宋体" w:hAnsi="宋体" w:eastAsia="宋体" w:cs="宋体"/>
                <w:b w:val="0"/>
                <w:bCs/>
                <w:sz w:val="28"/>
                <w:szCs w:val="28"/>
              </w:rPr>
              <w:t>从事本工作时间</w:t>
            </w:r>
          </w:p>
        </w:tc>
        <w:tc>
          <w:tcPr>
            <w:tcW w:w="593" w:type="pct"/>
          </w:tcPr>
          <w:p>
            <w:pPr>
              <w:spacing w:line="360" w:lineRule="exact"/>
              <w:jc w:val="center"/>
              <w:rPr>
                <w:rFonts w:hint="eastAsia" w:ascii="宋体" w:hAnsi="宋体" w:eastAsia="宋体" w:cs="宋体"/>
                <w:b w:val="0"/>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881" w:type="pct"/>
          </w:tcPr>
          <w:p>
            <w:pPr>
              <w:spacing w:line="360" w:lineRule="exact"/>
              <w:jc w:val="center"/>
              <w:rPr>
                <w:rFonts w:hint="eastAsia" w:ascii="宋体" w:hAnsi="宋体" w:eastAsia="宋体" w:cs="宋体"/>
                <w:b w:val="0"/>
                <w:bCs/>
                <w:sz w:val="28"/>
                <w:szCs w:val="28"/>
              </w:rPr>
            </w:pPr>
            <w:r>
              <w:rPr>
                <w:rFonts w:hint="eastAsia" w:ascii="宋体" w:hAnsi="宋体" w:eastAsia="宋体" w:cs="宋体"/>
                <w:b w:val="0"/>
                <w:bCs/>
                <w:sz w:val="28"/>
                <w:szCs w:val="28"/>
              </w:rPr>
              <w:t>毕业院校</w:t>
            </w:r>
          </w:p>
        </w:tc>
        <w:tc>
          <w:tcPr>
            <w:tcW w:w="794" w:type="pct"/>
            <w:gridSpan w:val="2"/>
          </w:tcPr>
          <w:p>
            <w:pPr>
              <w:spacing w:line="360" w:lineRule="exact"/>
              <w:jc w:val="center"/>
              <w:rPr>
                <w:rFonts w:hint="eastAsia" w:ascii="宋体" w:hAnsi="宋体" w:eastAsia="宋体" w:cs="宋体"/>
                <w:b w:val="0"/>
                <w:bCs/>
                <w:sz w:val="28"/>
                <w:szCs w:val="28"/>
              </w:rPr>
            </w:pPr>
          </w:p>
        </w:tc>
        <w:tc>
          <w:tcPr>
            <w:tcW w:w="855" w:type="pct"/>
            <w:gridSpan w:val="2"/>
          </w:tcPr>
          <w:p>
            <w:pPr>
              <w:spacing w:line="360" w:lineRule="exact"/>
              <w:jc w:val="center"/>
              <w:rPr>
                <w:rFonts w:hint="eastAsia" w:ascii="宋体" w:hAnsi="宋体" w:eastAsia="宋体" w:cs="宋体"/>
                <w:b w:val="0"/>
                <w:bCs/>
                <w:sz w:val="28"/>
                <w:szCs w:val="28"/>
              </w:rPr>
            </w:pPr>
            <w:r>
              <w:rPr>
                <w:rFonts w:hint="eastAsia" w:ascii="宋体" w:hAnsi="宋体" w:eastAsia="宋体" w:cs="宋体"/>
                <w:b w:val="0"/>
                <w:bCs/>
                <w:sz w:val="28"/>
                <w:szCs w:val="28"/>
              </w:rPr>
              <w:t>毕业时间</w:t>
            </w:r>
          </w:p>
        </w:tc>
        <w:tc>
          <w:tcPr>
            <w:tcW w:w="709" w:type="pct"/>
            <w:gridSpan w:val="2"/>
          </w:tcPr>
          <w:p>
            <w:pPr>
              <w:spacing w:line="360" w:lineRule="exact"/>
              <w:jc w:val="center"/>
              <w:rPr>
                <w:rFonts w:hint="eastAsia" w:ascii="宋体" w:hAnsi="宋体" w:eastAsia="宋体" w:cs="宋体"/>
                <w:b w:val="0"/>
                <w:bCs/>
                <w:sz w:val="28"/>
                <w:szCs w:val="28"/>
              </w:rPr>
            </w:pPr>
          </w:p>
        </w:tc>
        <w:tc>
          <w:tcPr>
            <w:tcW w:w="1166" w:type="pct"/>
            <w:gridSpan w:val="2"/>
          </w:tcPr>
          <w:p>
            <w:pPr>
              <w:spacing w:line="360" w:lineRule="exact"/>
              <w:jc w:val="center"/>
              <w:rPr>
                <w:rFonts w:hint="eastAsia" w:ascii="宋体" w:hAnsi="宋体" w:eastAsia="宋体" w:cs="宋体"/>
                <w:b w:val="0"/>
                <w:bCs/>
                <w:sz w:val="28"/>
                <w:szCs w:val="28"/>
              </w:rPr>
            </w:pPr>
            <w:r>
              <w:rPr>
                <w:rFonts w:hint="eastAsia" w:ascii="宋体" w:hAnsi="宋体" w:eastAsia="宋体" w:cs="宋体"/>
                <w:b w:val="0"/>
                <w:bCs/>
                <w:sz w:val="28"/>
                <w:szCs w:val="28"/>
              </w:rPr>
              <w:t>专业</w:t>
            </w:r>
          </w:p>
        </w:tc>
        <w:tc>
          <w:tcPr>
            <w:tcW w:w="593" w:type="pct"/>
          </w:tcPr>
          <w:p>
            <w:pPr>
              <w:spacing w:line="360" w:lineRule="exact"/>
              <w:jc w:val="center"/>
              <w:rPr>
                <w:rFonts w:hint="eastAsia" w:ascii="宋体" w:hAnsi="宋体" w:eastAsia="宋体" w:cs="宋体"/>
                <w:b w:val="0"/>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pct"/>
            <w:gridSpan w:val="3"/>
          </w:tcPr>
          <w:p>
            <w:pPr>
              <w:spacing w:line="360" w:lineRule="exact"/>
              <w:jc w:val="center"/>
              <w:rPr>
                <w:rFonts w:hint="eastAsia" w:ascii="宋体" w:hAnsi="宋体" w:eastAsia="宋体" w:cs="宋体"/>
                <w:b w:val="0"/>
                <w:bCs/>
                <w:sz w:val="28"/>
                <w:szCs w:val="28"/>
              </w:rPr>
            </w:pPr>
            <w:r>
              <w:rPr>
                <w:rFonts w:hint="eastAsia" w:ascii="宋体" w:hAnsi="宋体" w:eastAsia="宋体" w:cs="宋体"/>
                <w:b w:val="0"/>
                <w:bCs/>
                <w:sz w:val="28"/>
                <w:szCs w:val="28"/>
              </w:rPr>
              <w:t>注册证书等级</w:t>
            </w:r>
          </w:p>
          <w:p>
            <w:pPr>
              <w:spacing w:line="360" w:lineRule="exact"/>
              <w:jc w:val="center"/>
              <w:rPr>
                <w:rFonts w:hint="eastAsia" w:ascii="宋体" w:hAnsi="宋体" w:eastAsia="宋体" w:cs="宋体"/>
                <w:b w:val="0"/>
                <w:bCs/>
                <w:sz w:val="28"/>
                <w:szCs w:val="28"/>
              </w:rPr>
            </w:pPr>
            <w:r>
              <w:rPr>
                <w:rFonts w:hint="eastAsia" w:ascii="宋体" w:hAnsi="宋体" w:eastAsia="宋体" w:cs="宋体"/>
                <w:b w:val="0"/>
                <w:bCs/>
                <w:sz w:val="28"/>
                <w:szCs w:val="28"/>
              </w:rPr>
              <w:t>和专业</w:t>
            </w:r>
          </w:p>
        </w:tc>
        <w:tc>
          <w:tcPr>
            <w:tcW w:w="1564" w:type="pct"/>
            <w:gridSpan w:val="4"/>
          </w:tcPr>
          <w:p>
            <w:pPr>
              <w:spacing w:line="360" w:lineRule="exact"/>
              <w:jc w:val="center"/>
              <w:rPr>
                <w:rFonts w:hint="eastAsia" w:ascii="宋体" w:hAnsi="宋体" w:eastAsia="宋体" w:cs="宋体"/>
                <w:b w:val="0"/>
                <w:bCs/>
                <w:sz w:val="28"/>
                <w:szCs w:val="28"/>
              </w:rPr>
            </w:pPr>
          </w:p>
        </w:tc>
        <w:tc>
          <w:tcPr>
            <w:tcW w:w="1166" w:type="pct"/>
            <w:gridSpan w:val="2"/>
          </w:tcPr>
          <w:p>
            <w:pPr>
              <w:spacing w:line="360" w:lineRule="exact"/>
              <w:jc w:val="center"/>
              <w:rPr>
                <w:rFonts w:hint="eastAsia" w:ascii="宋体" w:hAnsi="宋体" w:eastAsia="宋体" w:cs="宋体"/>
                <w:b w:val="0"/>
                <w:bCs/>
                <w:sz w:val="28"/>
                <w:szCs w:val="28"/>
              </w:rPr>
            </w:pPr>
            <w:r>
              <w:rPr>
                <w:rFonts w:hint="eastAsia" w:ascii="宋体" w:hAnsi="宋体" w:eastAsia="宋体" w:cs="宋体"/>
                <w:b w:val="0"/>
                <w:bCs/>
                <w:sz w:val="28"/>
                <w:szCs w:val="28"/>
              </w:rPr>
              <w:t>证书编号</w:t>
            </w:r>
          </w:p>
        </w:tc>
        <w:tc>
          <w:tcPr>
            <w:tcW w:w="593" w:type="pct"/>
          </w:tcPr>
          <w:p>
            <w:pPr>
              <w:spacing w:line="360" w:lineRule="exact"/>
              <w:jc w:val="center"/>
              <w:rPr>
                <w:rFonts w:hint="eastAsia" w:ascii="宋体" w:hAnsi="宋体" w:eastAsia="宋体" w:cs="宋体"/>
                <w:b w:val="0"/>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pct"/>
            <w:gridSpan w:val="3"/>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职称证专业</w:t>
            </w:r>
          </w:p>
        </w:tc>
        <w:tc>
          <w:tcPr>
            <w:tcW w:w="1564" w:type="pct"/>
            <w:gridSpan w:val="4"/>
          </w:tcPr>
          <w:p>
            <w:pPr>
              <w:jc w:val="center"/>
              <w:rPr>
                <w:rFonts w:hint="eastAsia" w:ascii="宋体" w:hAnsi="宋体" w:eastAsia="宋体" w:cs="宋体"/>
                <w:b w:val="0"/>
                <w:bCs/>
                <w:sz w:val="28"/>
                <w:szCs w:val="28"/>
              </w:rPr>
            </w:pPr>
          </w:p>
        </w:tc>
        <w:tc>
          <w:tcPr>
            <w:tcW w:w="1166" w:type="pct"/>
            <w:gridSpan w:val="2"/>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证书编号</w:t>
            </w:r>
          </w:p>
        </w:tc>
        <w:tc>
          <w:tcPr>
            <w:tcW w:w="593" w:type="pct"/>
          </w:tcPr>
          <w:p>
            <w:pPr>
              <w:jc w:val="center"/>
              <w:rPr>
                <w:rFonts w:hint="eastAsia" w:ascii="宋体" w:hAnsi="宋体" w:eastAsia="宋体" w:cs="宋体"/>
                <w:b w:val="0"/>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gridSpan w:val="2"/>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项目名称</w:t>
            </w:r>
          </w:p>
        </w:tc>
        <w:tc>
          <w:tcPr>
            <w:tcW w:w="1057" w:type="pct"/>
            <w:gridSpan w:val="2"/>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合同金额</w:t>
            </w:r>
          </w:p>
        </w:tc>
        <w:tc>
          <w:tcPr>
            <w:tcW w:w="1057" w:type="pct"/>
            <w:gridSpan w:val="2"/>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开、竣工时间</w:t>
            </w:r>
          </w:p>
        </w:tc>
        <w:tc>
          <w:tcPr>
            <w:tcW w:w="1057" w:type="pct"/>
            <w:gridSpan w:val="2"/>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担任职务</w:t>
            </w:r>
          </w:p>
        </w:tc>
        <w:tc>
          <w:tcPr>
            <w:tcW w:w="770" w:type="pct"/>
            <w:gridSpan w:val="2"/>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gridSpan w:val="2"/>
          </w:tcPr>
          <w:p>
            <w:pPr>
              <w:jc w:val="center"/>
              <w:rPr>
                <w:rFonts w:hint="eastAsia" w:ascii="宋体" w:hAnsi="宋体" w:eastAsia="宋体" w:cs="宋体"/>
                <w:b w:val="0"/>
                <w:bCs/>
                <w:sz w:val="28"/>
                <w:szCs w:val="28"/>
              </w:rPr>
            </w:pPr>
          </w:p>
        </w:tc>
        <w:tc>
          <w:tcPr>
            <w:tcW w:w="1057" w:type="pct"/>
            <w:gridSpan w:val="2"/>
          </w:tcPr>
          <w:p>
            <w:pPr>
              <w:jc w:val="center"/>
              <w:rPr>
                <w:rFonts w:hint="eastAsia" w:ascii="宋体" w:hAnsi="宋体" w:eastAsia="宋体" w:cs="宋体"/>
                <w:b w:val="0"/>
                <w:bCs/>
                <w:sz w:val="28"/>
                <w:szCs w:val="28"/>
              </w:rPr>
            </w:pPr>
          </w:p>
        </w:tc>
        <w:tc>
          <w:tcPr>
            <w:tcW w:w="1057" w:type="pct"/>
            <w:gridSpan w:val="2"/>
          </w:tcPr>
          <w:p>
            <w:pPr>
              <w:jc w:val="center"/>
              <w:rPr>
                <w:rFonts w:hint="eastAsia" w:ascii="宋体" w:hAnsi="宋体" w:eastAsia="宋体" w:cs="宋体"/>
                <w:b w:val="0"/>
                <w:bCs/>
                <w:sz w:val="28"/>
                <w:szCs w:val="28"/>
              </w:rPr>
            </w:pPr>
          </w:p>
        </w:tc>
        <w:tc>
          <w:tcPr>
            <w:tcW w:w="1057" w:type="pct"/>
            <w:gridSpan w:val="2"/>
          </w:tcPr>
          <w:p>
            <w:pPr>
              <w:jc w:val="center"/>
              <w:rPr>
                <w:rFonts w:hint="eastAsia" w:ascii="宋体" w:hAnsi="宋体" w:eastAsia="宋体" w:cs="宋体"/>
                <w:b w:val="0"/>
                <w:bCs/>
                <w:sz w:val="28"/>
                <w:szCs w:val="28"/>
              </w:rPr>
            </w:pPr>
          </w:p>
        </w:tc>
        <w:tc>
          <w:tcPr>
            <w:tcW w:w="770" w:type="pct"/>
            <w:gridSpan w:val="2"/>
          </w:tcPr>
          <w:p>
            <w:pPr>
              <w:jc w:val="center"/>
              <w:rPr>
                <w:rFonts w:hint="eastAsia" w:ascii="宋体" w:hAnsi="宋体" w:eastAsia="宋体" w:cs="宋体"/>
                <w:b w:val="0"/>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gridSpan w:val="2"/>
          </w:tcPr>
          <w:p>
            <w:pPr>
              <w:jc w:val="center"/>
              <w:rPr>
                <w:rFonts w:hint="eastAsia" w:ascii="宋体" w:hAnsi="宋体" w:eastAsia="宋体" w:cs="宋体"/>
                <w:b w:val="0"/>
                <w:bCs/>
                <w:sz w:val="28"/>
                <w:szCs w:val="28"/>
              </w:rPr>
            </w:pPr>
          </w:p>
        </w:tc>
        <w:tc>
          <w:tcPr>
            <w:tcW w:w="1057" w:type="pct"/>
            <w:gridSpan w:val="2"/>
          </w:tcPr>
          <w:p>
            <w:pPr>
              <w:jc w:val="center"/>
              <w:rPr>
                <w:rFonts w:hint="eastAsia" w:ascii="宋体" w:hAnsi="宋体" w:eastAsia="宋体" w:cs="宋体"/>
                <w:b w:val="0"/>
                <w:bCs/>
                <w:sz w:val="28"/>
                <w:szCs w:val="28"/>
              </w:rPr>
            </w:pPr>
          </w:p>
        </w:tc>
        <w:tc>
          <w:tcPr>
            <w:tcW w:w="1057" w:type="pct"/>
            <w:gridSpan w:val="2"/>
          </w:tcPr>
          <w:p>
            <w:pPr>
              <w:jc w:val="center"/>
              <w:rPr>
                <w:rFonts w:hint="eastAsia" w:ascii="宋体" w:hAnsi="宋体" w:eastAsia="宋体" w:cs="宋体"/>
                <w:b w:val="0"/>
                <w:bCs/>
                <w:sz w:val="28"/>
                <w:szCs w:val="28"/>
              </w:rPr>
            </w:pPr>
          </w:p>
        </w:tc>
        <w:tc>
          <w:tcPr>
            <w:tcW w:w="1057" w:type="pct"/>
            <w:gridSpan w:val="2"/>
          </w:tcPr>
          <w:p>
            <w:pPr>
              <w:jc w:val="center"/>
              <w:rPr>
                <w:rFonts w:hint="eastAsia" w:ascii="宋体" w:hAnsi="宋体" w:eastAsia="宋体" w:cs="宋体"/>
                <w:b w:val="0"/>
                <w:bCs/>
                <w:sz w:val="28"/>
                <w:szCs w:val="28"/>
              </w:rPr>
            </w:pPr>
          </w:p>
        </w:tc>
        <w:tc>
          <w:tcPr>
            <w:tcW w:w="770" w:type="pct"/>
            <w:gridSpan w:val="2"/>
          </w:tcPr>
          <w:p>
            <w:pPr>
              <w:jc w:val="center"/>
              <w:rPr>
                <w:rFonts w:hint="eastAsia" w:ascii="宋体" w:hAnsi="宋体" w:eastAsia="宋体" w:cs="宋体"/>
                <w:b w:val="0"/>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gridSpan w:val="2"/>
          </w:tcPr>
          <w:p>
            <w:pPr>
              <w:jc w:val="center"/>
              <w:rPr>
                <w:rFonts w:hint="eastAsia" w:ascii="宋体" w:hAnsi="宋体" w:eastAsia="宋体" w:cs="宋体"/>
                <w:b w:val="0"/>
                <w:bCs/>
                <w:sz w:val="28"/>
                <w:szCs w:val="28"/>
              </w:rPr>
            </w:pPr>
          </w:p>
        </w:tc>
        <w:tc>
          <w:tcPr>
            <w:tcW w:w="1057" w:type="pct"/>
            <w:gridSpan w:val="2"/>
          </w:tcPr>
          <w:p>
            <w:pPr>
              <w:jc w:val="center"/>
              <w:rPr>
                <w:rFonts w:hint="eastAsia" w:ascii="宋体" w:hAnsi="宋体" w:eastAsia="宋体" w:cs="宋体"/>
                <w:b w:val="0"/>
                <w:bCs/>
                <w:sz w:val="28"/>
                <w:szCs w:val="28"/>
              </w:rPr>
            </w:pPr>
          </w:p>
        </w:tc>
        <w:tc>
          <w:tcPr>
            <w:tcW w:w="1057" w:type="pct"/>
            <w:gridSpan w:val="2"/>
          </w:tcPr>
          <w:p>
            <w:pPr>
              <w:jc w:val="center"/>
              <w:rPr>
                <w:rFonts w:hint="eastAsia" w:ascii="宋体" w:hAnsi="宋体" w:eastAsia="宋体" w:cs="宋体"/>
                <w:b w:val="0"/>
                <w:bCs/>
                <w:sz w:val="28"/>
                <w:szCs w:val="28"/>
              </w:rPr>
            </w:pPr>
          </w:p>
        </w:tc>
        <w:tc>
          <w:tcPr>
            <w:tcW w:w="1057" w:type="pct"/>
            <w:gridSpan w:val="2"/>
          </w:tcPr>
          <w:p>
            <w:pPr>
              <w:jc w:val="center"/>
              <w:rPr>
                <w:rFonts w:hint="eastAsia" w:ascii="宋体" w:hAnsi="宋体" w:eastAsia="宋体" w:cs="宋体"/>
                <w:b w:val="0"/>
                <w:bCs/>
                <w:sz w:val="28"/>
                <w:szCs w:val="28"/>
              </w:rPr>
            </w:pPr>
          </w:p>
        </w:tc>
        <w:tc>
          <w:tcPr>
            <w:tcW w:w="770" w:type="pct"/>
            <w:gridSpan w:val="2"/>
          </w:tcPr>
          <w:p>
            <w:pPr>
              <w:jc w:val="center"/>
              <w:rPr>
                <w:rFonts w:hint="eastAsia" w:ascii="宋体" w:hAnsi="宋体" w:eastAsia="宋体" w:cs="宋体"/>
                <w:b w:val="0"/>
                <w:bCs/>
                <w:sz w:val="28"/>
                <w:szCs w:val="28"/>
              </w:rPr>
            </w:pPr>
          </w:p>
        </w:tc>
      </w:tr>
    </w:tbl>
    <w:p>
      <w:pPr>
        <w:pStyle w:val="25"/>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spacing w:line="600" w:lineRule="exact"/>
        <w:ind w:firstLine="0" w:firstLineChars="0"/>
        <w:textAlignment w:val="auto"/>
        <w:rPr>
          <w:rFonts w:hint="eastAsia" w:ascii="宋体" w:hAnsi="宋体" w:eastAsia="宋体" w:cs="宋体"/>
          <w:sz w:val="28"/>
          <w:szCs w:val="28"/>
          <w:u w:val="single"/>
        </w:rPr>
      </w:pPr>
      <w:r>
        <w:rPr>
          <w:rFonts w:hint="eastAsia" w:ascii="宋体" w:hAnsi="宋体" w:eastAsia="宋体" w:cs="宋体"/>
          <w:sz w:val="28"/>
          <w:szCs w:val="28"/>
        </w:rPr>
        <w:t>供应商：</w:t>
      </w:r>
      <w:r>
        <w:rPr>
          <w:rFonts w:hint="eastAsia" w:ascii="宋体" w:hAnsi="宋体" w:eastAsia="宋体" w:cs="宋体"/>
          <w:sz w:val="28"/>
          <w:szCs w:val="28"/>
          <w:u w:val="single"/>
        </w:rPr>
        <w:t xml:space="preserve">      (单位公章)         </w:t>
      </w:r>
    </w:p>
    <w:p>
      <w:pPr>
        <w:pStyle w:val="25"/>
        <w:rPr>
          <w:rFonts w:hint="eastAsia" w:ascii="宋体" w:hAnsi="宋体" w:eastAsia="宋体" w:cs="宋体"/>
          <w:sz w:val="28"/>
          <w:szCs w:val="28"/>
        </w:rPr>
      </w:pPr>
      <w:r>
        <w:rPr>
          <w:rFonts w:hint="eastAsia" w:ascii="宋体" w:hAnsi="宋体" w:eastAsia="宋体" w:cs="宋体"/>
          <w:sz w:val="28"/>
          <w:szCs w:val="28"/>
        </w:rPr>
        <w:t>日    期：</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pPr>
        <w:pStyle w:val="25"/>
        <w:ind w:firstLine="0"/>
        <w:rPr>
          <w:rFonts w:hint="eastAsia" w:ascii="宋体" w:hAnsi="宋体" w:eastAsia="宋体" w:cs="宋体"/>
          <w:sz w:val="28"/>
          <w:szCs w:val="28"/>
        </w:rPr>
      </w:pPr>
    </w:p>
    <w:p>
      <w:pPr>
        <w:pStyle w:val="25"/>
        <w:ind w:firstLine="0"/>
        <w:rPr>
          <w:rFonts w:hint="eastAsia" w:ascii="宋体" w:hAnsi="宋体" w:eastAsia="宋体" w:cs="宋体"/>
          <w:sz w:val="28"/>
          <w:szCs w:val="28"/>
        </w:rPr>
      </w:pPr>
    </w:p>
    <w:p>
      <w:pPr>
        <w:pStyle w:val="25"/>
        <w:ind w:firstLine="0"/>
        <w:rPr>
          <w:rFonts w:hint="eastAsia" w:ascii="宋体" w:hAnsi="宋体" w:eastAsia="宋体" w:cs="宋体"/>
          <w:sz w:val="28"/>
          <w:szCs w:val="28"/>
        </w:rPr>
      </w:pPr>
    </w:p>
    <w:p>
      <w:pPr>
        <w:pStyle w:val="25"/>
        <w:ind w:firstLine="0"/>
        <w:rPr>
          <w:rFonts w:hint="eastAsia" w:ascii="宋体" w:hAnsi="宋体" w:eastAsia="宋体" w:cs="宋体"/>
          <w:sz w:val="28"/>
          <w:szCs w:val="28"/>
        </w:rPr>
      </w:pPr>
    </w:p>
    <w:p>
      <w:pPr>
        <w:rPr>
          <w:rFonts w:ascii="仿宋_GB2312" w:eastAsia="仿宋_GB2312" w:hAnsiTheme="minorEastAsia"/>
          <w:sz w:val="28"/>
          <w:szCs w:val="28"/>
        </w:rPr>
      </w:pPr>
      <w:r>
        <w:rPr>
          <w:rFonts w:ascii="仿宋_GB2312" w:eastAsia="仿宋_GB2312" w:hAnsiTheme="minorEastAsia"/>
          <w:sz w:val="28"/>
          <w:szCs w:val="28"/>
        </w:rPr>
        <w:br w:type="page"/>
      </w:r>
    </w:p>
    <w:p>
      <w:pPr>
        <w:adjustRightInd w:val="0"/>
        <w:snapToGrid w:val="0"/>
        <w:spacing w:line="600" w:lineRule="exact"/>
        <w:jc w:val="left"/>
        <w:outlineLvl w:val="2"/>
        <w:rPr>
          <w:rFonts w:hint="eastAsia" w:ascii="宋体" w:hAnsi="宋体" w:eastAsia="宋体" w:cs="宋体"/>
          <w:b/>
          <w:sz w:val="32"/>
          <w:szCs w:val="32"/>
          <w:highlight w:val="none"/>
        </w:rPr>
      </w:pPr>
      <w:r>
        <w:rPr>
          <w:rFonts w:hint="eastAsia" w:ascii="宋体" w:hAnsi="宋体" w:eastAsia="宋体" w:cs="宋体"/>
          <w:b/>
          <w:sz w:val="32"/>
          <w:szCs w:val="32"/>
          <w:highlight w:val="none"/>
          <w:lang w:val="en-US" w:eastAsia="zh-CN"/>
        </w:rPr>
        <w:t>5</w:t>
      </w:r>
      <w:r>
        <w:rPr>
          <w:rFonts w:hint="eastAsia" w:ascii="宋体" w:hAnsi="宋体" w:eastAsia="宋体" w:cs="宋体"/>
          <w:b/>
          <w:sz w:val="32"/>
          <w:szCs w:val="32"/>
          <w:highlight w:val="none"/>
        </w:rPr>
        <w:t>.报价表（补充）</w:t>
      </w:r>
    </w:p>
    <w:tbl>
      <w:tblPr>
        <w:tblStyle w:val="27"/>
        <w:tblW w:w="9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6232"/>
        <w:gridCol w:w="1014"/>
        <w:gridCol w:w="808"/>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dxa"/>
            <w:vAlign w:val="center"/>
          </w:tcPr>
          <w:p>
            <w:pPr>
              <w:jc w:val="center"/>
              <w:rPr>
                <w:rFonts w:hint="eastAsia"/>
                <w:b/>
                <w:bCs/>
                <w:vertAlign w:val="baseline"/>
                <w:lang w:val="en-US" w:eastAsia="zh-CN" w:bidi="ar"/>
              </w:rPr>
            </w:pPr>
            <w:r>
              <w:rPr>
                <w:rFonts w:hint="eastAsia"/>
                <w:b/>
                <w:bCs/>
                <w:vertAlign w:val="baseline"/>
                <w:lang w:val="en-US" w:eastAsia="zh-CN" w:bidi="ar"/>
              </w:rPr>
              <w:t>名称</w:t>
            </w:r>
          </w:p>
        </w:tc>
        <w:tc>
          <w:tcPr>
            <w:tcW w:w="6232" w:type="dxa"/>
            <w:vAlign w:val="center"/>
          </w:tcPr>
          <w:p>
            <w:pPr>
              <w:ind w:firstLine="2319" w:firstLineChars="1100"/>
              <w:rPr>
                <w:rFonts w:hint="eastAsia"/>
                <w:b/>
                <w:bCs/>
                <w:vertAlign w:val="baseline"/>
                <w:lang w:val="en-US" w:eastAsia="zh-CN" w:bidi="ar"/>
              </w:rPr>
            </w:pPr>
            <w:r>
              <w:rPr>
                <w:rFonts w:hint="eastAsia"/>
                <w:b/>
                <w:bCs/>
                <w:vertAlign w:val="baseline"/>
                <w:lang w:val="en-US" w:eastAsia="zh-CN" w:bidi="ar"/>
              </w:rPr>
              <w:t>服务内容</w:t>
            </w:r>
          </w:p>
        </w:tc>
        <w:tc>
          <w:tcPr>
            <w:tcW w:w="1014" w:type="dxa"/>
            <w:vAlign w:val="center"/>
          </w:tcPr>
          <w:p>
            <w:pPr>
              <w:ind w:firstLine="0" w:firstLineChars="0"/>
              <w:rPr>
                <w:rFonts w:hint="eastAsia"/>
                <w:b/>
                <w:bCs/>
                <w:vertAlign w:val="baseline"/>
                <w:lang w:val="en-US" w:eastAsia="zh-CN" w:bidi="ar"/>
              </w:rPr>
            </w:pPr>
            <w:r>
              <w:rPr>
                <w:rFonts w:hint="eastAsia"/>
                <w:b/>
                <w:bCs/>
                <w:vertAlign w:val="baseline"/>
                <w:lang w:val="en-US" w:eastAsia="zh-CN" w:bidi="ar"/>
              </w:rPr>
              <w:t>数量</w:t>
            </w:r>
          </w:p>
        </w:tc>
        <w:tc>
          <w:tcPr>
            <w:tcW w:w="808" w:type="dxa"/>
            <w:vAlign w:val="center"/>
          </w:tcPr>
          <w:p>
            <w:pPr>
              <w:ind w:firstLine="0" w:firstLineChars="0"/>
              <w:rPr>
                <w:rFonts w:hint="default"/>
                <w:b/>
                <w:bCs/>
                <w:vertAlign w:val="baseline"/>
                <w:lang w:val="en-US" w:eastAsia="zh-CN" w:bidi="ar"/>
              </w:rPr>
            </w:pPr>
            <w:r>
              <w:rPr>
                <w:rFonts w:hint="eastAsia"/>
                <w:b/>
                <w:bCs/>
                <w:vertAlign w:val="baseline"/>
                <w:lang w:val="en-US" w:eastAsia="zh-CN" w:bidi="ar"/>
              </w:rPr>
              <w:t>单价</w:t>
            </w:r>
          </w:p>
        </w:tc>
        <w:tc>
          <w:tcPr>
            <w:tcW w:w="808" w:type="dxa"/>
            <w:vAlign w:val="center"/>
          </w:tcPr>
          <w:p>
            <w:pPr>
              <w:ind w:firstLine="0" w:firstLineChars="0"/>
              <w:rPr>
                <w:rFonts w:hint="default"/>
                <w:b/>
                <w:bCs/>
                <w:vertAlign w:val="baseline"/>
                <w:lang w:val="en-US" w:eastAsia="zh-CN" w:bidi="ar"/>
              </w:rPr>
            </w:pPr>
            <w:r>
              <w:rPr>
                <w:rFonts w:hint="eastAsia"/>
                <w:b/>
                <w:bCs/>
                <w:vertAlign w:val="baseline"/>
                <w:lang w:val="en-US" w:eastAsia="zh-CN" w:bidi="ar"/>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098" w:type="dxa"/>
            <w:vAlign w:val="top"/>
          </w:tcPr>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全彩P1.5小间距LED显示屏</w:t>
            </w:r>
          </w:p>
        </w:tc>
        <w:tc>
          <w:tcPr>
            <w:tcW w:w="6232"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1.点间距≤1.56mm；</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2.屏体尺寸：宽度≥3.6米，高度≥2.025米；</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3.整屏分辨率宽≥2304点，高≥1296点；</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4.像素密度：≥409600点/平方；</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5.箱体结构：高精度压铸铝合金材质，一体成型(框架、背板、后盖)整体压铸成型，抗压抗拉；全金属自然散热结构，电源全贴合设计，散热快，稳定性好;无风扇、无孔、防尘、静音设计；</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6.驱动方式：恒流驱动；</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7.水平/垂直相对偏差：≤1%；</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8.屏幕峰值功耗：≤550W/㎡@600cd/m2(nits) ；</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9.白平衡亮度：≥1500cd/m2(nits)；</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10.视角：水平/垂直视角≥160°；</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11.灰度等级：支持通过配套控制软件调节灰度等级的设置选项，灰度等级15Bit~ 22Bit；</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12.色温：2000K－10000K可调；</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13.换帧频率：支持信号源50Hz、60Hz、96Hz、120Hz、144Hz、240Hz 帧频处理，支持3D显示应用；</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14.最高对比度：10000：1；</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15.色域≥120%NTSC；</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16.平整度：≤0.1mm；</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17.刷新频率：≥3840Hz；</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18.亮度均匀性：≥99%；</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19.像素失控率：≤1/1000000，无连续失控点；</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20.外壳防护等级：≥IP6X ；</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21.模块微调功能：支持6轴向精密微调，从单元模块上下、左右、前后，均可以对任何一个模块进行亚毫米级的精细微调</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22.支持单点(逐点)色度和亮度校正；支持5套亮度级校正系数，多层校正及存储;支持出厂校正及现场校正；</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23.平均无故障时间：显示模组的平均失效无故障MTBF≥100000小时，可用度≥0.9999999；</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24.模块表面处理：采用电喷技术，黑色哑光处理，可有效防止反光和静电，无面罩设计，反光率≤1.5%； 显示屏对比度高，屏幕表面采用无塑胶类结构件，屏体表面均匀，观看视角大，观看效果好，PCB及灯管散热良好；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25.亮度调整：具有随环境照度的变化而自动亮度调整的功能，支持手动、自动、程控、软件调节（0-100%无极可调）；</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26.支持色彩置换、色彩调节功能，可以对输入源的色彩进行调节，亮度、对比度、饱和度、色相等都可以调节；</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27.支持把视频源进行倍频，60Hz 的输入，120Hz的输出，解决LED屏拍摄时灰度丢失的问题</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28.数据存储：支持模块级亮度色度校正数据的存储及回读功能；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29.数据传输：支持模块级无线连接、支持模组无线连接；</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30.维护方式：支持整体前维护，模块、控制板、电源、系统卡等所有组件均能快速从前面进行维护；</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31.防护功能：具有完全防尘、防腐蚀、防静电、防电磁干扰、抗雷击、防虫、抗风保护等功能；具有电源过压、过流、断电保护、分布上电措施；具有实时监控温度、故障报警功能；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32.LED显示屏支持模组级DC供电方式(≤48Vdc),支持通讯级开关电源组合集中供电系统,支持N+1冗余备份和热拔插功能（提供首页具有CMA、CNAS和ilac-MRA标识的检测报告证明，并加盖LED显示屏制造厂商公章）</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33.安全特性：符合GB4943.1、IEC60950-1、IEC62368-1、EN60950-1、EN62368-1要求；</w:t>
            </w:r>
          </w:p>
        </w:tc>
        <w:tc>
          <w:tcPr>
            <w:tcW w:w="1014" w:type="dxa"/>
          </w:tcPr>
          <w:p>
            <w:pPr>
              <w:rPr>
                <w:rFonts w:hint="eastAsia" w:asciiTheme="minorHAnsi" w:hAnsiTheme="minorHAnsi" w:eastAsiaTheme="minorEastAsia" w:cstheme="minorBidi"/>
                <w:kern w:val="2"/>
                <w:sz w:val="21"/>
                <w:szCs w:val="22"/>
                <w:lang w:val="en-US" w:eastAsia="zh-CN" w:bidi="ar"/>
              </w:rPr>
            </w:pPr>
          </w:p>
          <w:p>
            <w:pPr>
              <w:rPr>
                <w:rFonts w:hint="eastAsia" w:asciiTheme="minorHAnsi" w:hAnsiTheme="minorHAnsi" w:eastAsiaTheme="minorEastAsia" w:cstheme="minorBidi"/>
                <w:kern w:val="2"/>
                <w:sz w:val="21"/>
                <w:szCs w:val="22"/>
                <w:lang w:val="en-US" w:eastAsia="zh-CN" w:bidi="ar"/>
              </w:rPr>
            </w:pPr>
            <w:r>
              <w:rPr>
                <w:rFonts w:hint="eastAsia" w:asciiTheme="minorHAnsi" w:hAnsiTheme="minorHAnsi" w:eastAsiaTheme="minorEastAsia" w:cstheme="minorBidi"/>
                <w:kern w:val="2"/>
                <w:sz w:val="21"/>
                <w:szCs w:val="22"/>
                <w:lang w:val="en-US" w:eastAsia="zh-CN" w:bidi="ar"/>
              </w:rPr>
              <w:t>7.0875㎡</w:t>
            </w:r>
          </w:p>
        </w:tc>
        <w:tc>
          <w:tcPr>
            <w:tcW w:w="808" w:type="dxa"/>
          </w:tcPr>
          <w:p>
            <w:pPr>
              <w:rPr>
                <w:rFonts w:hint="eastAsia" w:asciiTheme="minorHAnsi" w:hAnsiTheme="minorHAnsi" w:eastAsiaTheme="minorEastAsia" w:cstheme="minorBidi"/>
                <w:kern w:val="2"/>
                <w:sz w:val="21"/>
                <w:szCs w:val="22"/>
                <w:lang w:val="en-US" w:eastAsia="zh-CN" w:bidi="ar"/>
              </w:rPr>
            </w:pPr>
          </w:p>
        </w:tc>
        <w:tc>
          <w:tcPr>
            <w:tcW w:w="808" w:type="dxa"/>
          </w:tcPr>
          <w:p>
            <w:pPr>
              <w:rPr>
                <w:rFonts w:hint="eastAsia"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安装结构支架及结构件</w:t>
            </w:r>
          </w:p>
        </w:tc>
        <w:tc>
          <w:tcPr>
            <w:tcW w:w="6232"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1.安装结构能满足LED高清显示屏的整体均匀平滑要求，采用环保型材，结构应便于安装和调试。</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2.采用国标材料制作，定制装置，拆装方便；具备间距调节装置，可实现精确调节，显示模组之间的缝隙均匀，显示效果清晰；钢结构框架，所有材料采用国家标准材料施工制作，防锈防氧化处理。</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3.LED显示屏选用环保型铝型材框架安装,其框架材料经过严格环保、无毒测试,符合国 家《GB/T26572-2011》标准限量要求。</w:t>
            </w:r>
          </w:p>
        </w:tc>
        <w:tc>
          <w:tcPr>
            <w:tcW w:w="1014" w:type="dxa"/>
          </w:tcPr>
          <w:p>
            <w:pPr>
              <w:rPr>
                <w:rFonts w:hint="default" w:asciiTheme="minorHAnsi" w:hAnsiTheme="minorHAnsi" w:eastAsiaTheme="minorEastAsia" w:cstheme="minorBidi"/>
                <w:kern w:val="2"/>
                <w:sz w:val="21"/>
                <w:szCs w:val="22"/>
                <w:lang w:val="en-US" w:eastAsia="zh-CN" w:bidi="ar"/>
              </w:rPr>
            </w:pPr>
          </w:p>
          <w:p>
            <w:pPr>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7.0875㎡</w:t>
            </w:r>
          </w:p>
        </w:tc>
        <w:tc>
          <w:tcPr>
            <w:tcW w:w="808" w:type="dxa"/>
          </w:tcPr>
          <w:p>
            <w:pPr>
              <w:rPr>
                <w:rFonts w:hint="default" w:asciiTheme="minorHAnsi" w:hAnsiTheme="minorHAnsi" w:eastAsiaTheme="minorEastAsia" w:cstheme="minorBidi"/>
                <w:kern w:val="2"/>
                <w:sz w:val="21"/>
                <w:szCs w:val="22"/>
                <w:lang w:val="en-US" w:eastAsia="zh-CN" w:bidi="ar"/>
              </w:rPr>
            </w:pPr>
          </w:p>
        </w:tc>
        <w:tc>
          <w:tcPr>
            <w:tcW w:w="808" w:type="dxa"/>
          </w:tcPr>
          <w:p>
            <w:pPr>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098"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控制器管理器</w:t>
            </w:r>
          </w:p>
        </w:tc>
        <w:tc>
          <w:tcPr>
            <w:tcW w:w="6232"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1.输入分辨率：最大1920*1200像素，支持分辨率任意设置；</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2.4个千兆网口输出，支持上下、左右及混合型任意拼接；</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3.双USB2.0高速通讯接口，用于电脑调试和卡间级联；</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4.支持亮度和色温调节；</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5.支持低亮高灰；</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6.支持HDCP；</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7.与屏体同品牌，提供CCC证书。</w:t>
            </w:r>
          </w:p>
        </w:tc>
        <w:tc>
          <w:tcPr>
            <w:tcW w:w="1014" w:type="dxa"/>
          </w:tcPr>
          <w:p>
            <w:pPr>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2台</w:t>
            </w:r>
          </w:p>
        </w:tc>
        <w:tc>
          <w:tcPr>
            <w:tcW w:w="808" w:type="dxa"/>
          </w:tcPr>
          <w:p>
            <w:pPr>
              <w:rPr>
                <w:rFonts w:hint="default" w:asciiTheme="minorHAnsi" w:hAnsiTheme="minorHAnsi" w:eastAsiaTheme="minorEastAsia" w:cstheme="minorBidi"/>
                <w:kern w:val="2"/>
                <w:sz w:val="21"/>
                <w:szCs w:val="22"/>
                <w:lang w:val="en-US" w:eastAsia="zh-CN" w:bidi="ar"/>
              </w:rPr>
            </w:pPr>
          </w:p>
        </w:tc>
        <w:tc>
          <w:tcPr>
            <w:tcW w:w="808" w:type="dxa"/>
          </w:tcPr>
          <w:p>
            <w:pPr>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8"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智能配电防雷管理系统</w:t>
            </w:r>
          </w:p>
        </w:tc>
        <w:tc>
          <w:tcPr>
            <w:tcW w:w="6232"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1.配电功率20KW，含各种电器元件、自动空气开关、熔断器、接触器、电流表、电压表、铜排、防电磁浪涌等；</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2.额定输入电压：AC 380V；</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3.额定频率：50Hz；</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4.外壳防护等级：IP50；</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5.额定分散系数：0.7；</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6.环境温度：+10~+40℃；</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7.具备过流、短路、断路保护与报警功能；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8.内置PLC，PLC具备远程开关大屏的功能；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9.具有CQC，与屏体同品牌，提供CQC证书；</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10.LED显示屏厂商具有智能配电管理系统及PLC自动控制系统软件。</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LED显示屏管控平台</w:t>
            </w:r>
          </w:p>
        </w:tc>
        <w:tc>
          <w:tcPr>
            <w:tcW w:w="6232"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1.软件支持集成中控功能，实现对大屏幕的开关控制；</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2.软件支持故障检测功能，支持输入信号丢失检测，使用灰色标示；</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3.可在控制软件观看大屏回显，直接对UI中的可视化窗口进行操作；</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4.支持移动终端软件控制，不用外加中控直接实现场景调取等功能；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5.登录功能：具有单一客户端、多个客户端登录功能，支持默认布局登录；</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6.显示屏设置功能：支持添加、修改、删除LED显示屏；</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7.场景轮循功能：支持添加、修改、删除场景轮循功，支持场景循环分组功能；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8.视频流媒体平台数据管理功能：支持视频流媒体平台数据对接。</w:t>
            </w:r>
          </w:p>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软件支持Windows操作系统和麒麟操作系统：（1）海量图像演示和多媒体控制功能；（2）有图像细节优化处理功能；（3）智能除湿功能；（2）LED显示屏色彩校正软件；（3）显示屏伽马校正软件；（4）LED显示屏远距离视频监控系统软件；（5）屏体自带逐点校正及智能亮度调节软件。</w:t>
            </w:r>
          </w:p>
        </w:tc>
        <w:tc>
          <w:tcPr>
            <w:tcW w:w="1014"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1套</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屏体四周包边</w:t>
            </w:r>
          </w:p>
        </w:tc>
        <w:tc>
          <w:tcPr>
            <w:tcW w:w="6232" w:type="dxa"/>
            <w:vAlign w:val="top"/>
          </w:tcPr>
          <w:p>
            <w:pPr>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1.屏体四周包边，要求配合场地装修风格，整体美观和谐。</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12m</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top"/>
          </w:tcPr>
          <w:p>
            <w:pPr>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视频可视化综合管理设备</w:t>
            </w:r>
          </w:p>
        </w:tc>
        <w:tc>
          <w:tcPr>
            <w:tcW w:w="6232" w:type="dxa"/>
            <w:vAlign w:val="top"/>
          </w:tcPr>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1.6U主箱体，共12个卡槽，1-3卡槽为混插卡槽，4-12卡槽为输入卡槽。输入：8路HDMI、2路4K-HDMI；输出：8路DVI；可视化预监回显、支持多组屏管理，支持多用户登入；</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机箱支持输入输出混插，机箱上卡槽为双向数据通道槽位，每个卡槽既可支持输入板卡，也可支持输出板卡；设备支持前面板液晶显示、操作功能，实现设备运行状态可视化，可显示设备型号、IP地址等基础信息，同时可通过升级的液晶前面板实现设备操作；</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3.设备最大单机背板信号处理带宽不小于1600Gbps；单路信号带宽不小于50Gbps；信号切换延迟&lt;6ms，切换无黑屏、蓝屏、闪烁情况。图像处理延迟时间&lt;6 ms;图像开窗响应速度≤7ms;场景调取响应速度&lt;7ms；</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4.设备支持Dual Link DVI、HDMI 1.4、HDBaseT、HDBaseT-4K、DisplayPort、DisplayPort 4K@60Hz、HDMI 2.0 4K@60Hz、VGA、YPbPr、DVI、IP H.264、IP H.265、CVBS、HDMI 1.3、SDI、光纤、4K 光纤信号输入与输出；同时具有音频切换功能，实现对多路输入输出的音视频同步切换；</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5.支持RealControl接口板，支持通过USB线缆与信号源计算机链接，传输USB信号，用于KVM控制；支持设置拼接屏的拼缝补偿，可精确至1像素 ，支持边缘融合带生成，最高可达1500像素；</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6.设备支持图像开窗、矩阵功能、窗口叠加、窗口漫游、窗口缩放、字符叠加、输出字符叠加、图像截取、大底图显示功能；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7.支持拼接墙，投影融合，LED大屏等多种显示终端，并共享输入信号源；支持分辨率实时全兼容，能通过控制软件实现不同屏组输出分辨率自定义显示,屏组数量无限制；支持4K60的 HDR,支持HDR12-bit采样格式,持对带有HDCP加密的视频信号进行采集编码,兼容HDCP1.4、HDCP2.2、HDCP2.3；</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支持窗口布局保存至设备，支持不少于128000个单屏场景且另外支持不少于12800个全局场景，支持调取预先存好的窗口布局，支持场景一键切换，支持场景布局可视化；设备支持OSD大鼠标操作，实现无需客户端可直接对大屏幕窗口进行操作，可使用鼠标直接对大屏显示画面进行多种图形标记，并支持用户自定义图形标记；</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支持不影响大屏信号显示的前提下，可以在软件上对信号源进行位置、大小、布局的调整，在确认无误后，直接推送上屏显示；板卡支持设置超低功耗模式,在板卡闲置时,可设置为超低功耗模式,将板卡功耗降低至0.6w以下，在使用时恢复为正常工作模式,进而实现系统的系统功耗动态管理；</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单台主机支持输入输出端口备份，任意端口故障会自动切换至备份端口。支持输入端口备张输入卡内的两个端口、不同输入卡的间两个端口可以实现对输入信号的备份,任意一路信号有问题，显示图像不受影响;支持输出端口备份,一张输出卡内的两个端口不同输出卡的间两个任意一端口的输出信号可以自动进行备份输出，任意一路信号中断,显示图像不受影响；</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设备具有滚动字幕OSD功能，支持文字，图片，时间内容显示，支持用户调整字幕的位置，大小，字体，颜色，背景色，样式、动作、方向；支持与多种时钟系统进行对接，在静态条幅上添加实时时钟，支持多种不同时间；</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12.PC客户端支持Windows、Linux、麒麟操作系统；</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13.可实现多用户登陆，多用户同时对处理器进行控制管理，多用户间的操作可实时同步显示；多用户之间支持分级分权限分区域管理,可细化至软件各项功能，板卡各接口，屏组各显示屏；</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支持浏览所有输入信号的实时预览画面，所有信预监时，无需额外功能板卡占用设备槽位；支持高清、流畅两种模式信号源预览。高清模式像素不少于42W,流畅模式帧率不少于30Hz;支持所有信号输音星开关控制、预监及预调节功能;同时支持对输入信号源叠加VU音频音柱显示,并可根据音频大小进行变化；</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背板图形化监控，图形化展示设备当前硬件配置，支持实时设备板卡状态识别；默认可以输出不少于7种测试颜色及网格图像,以对设备输出进行测试;或者指定输出默认图像,并可以设置无信号源时输出的图像;支持输出测试图形,支持输出256×256×256种单色图像和网格图像；</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可提供设备端口及底层协议，可以接受第三方软件或运维系统进行控制，实现第三方软件用户及本机用户多人同时网络在线管理，可提供各类检测、控制所需的接口协议，可配合第三方软件进行开发，也可对自带软件进行二次开发；支持系统数据备份恢复，可备份包括系统的配置、拼接模式、拼接场景等所有配置信息。数据可自动或手动进行备份；</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17.支持在控制端显示整面拼接墙的显示图像,支持整面拼接屏的整体回显功能，显示内容与实际输出画面一致,可进行等比例回显或全屏输出,可外接HDMI/DVI接口显示器、IP网络解码器观看大屏回显，图像帧率可达4K@50帧/秒。客户端可直接对大屏幕窗口进行操作。便于对大屏内容进行实时监看与录制,进行分享、复盘与内容留档。支持大屏音频回显输出,音频与画面实时同步，可配合录播进行使用；</w:t>
            </w:r>
          </w:p>
          <w:p>
            <w:pPr>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18.产品具备3C、CE、FCC、CB认证。</w:t>
            </w:r>
          </w:p>
        </w:tc>
        <w:tc>
          <w:tcPr>
            <w:tcW w:w="1014"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1套</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24口全千兆网络交换机</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1.配置不低于以下要求：固定端口：28个千兆电口，4个1G SPF千兆光口；管理端口：1个Console口，1个Manage口；</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2.交换机性能：交换性能：336Gbps/3.36Tbps；包转发率：132Mpps/166Mpps；</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3.接入方式：支持胖瘦一体化，支持智能交换机和普通交换机两种工作模式，可以根据不同的组网需要，随时灵活的进行切换；</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4.交换机零配置上线方式：二层广播自动发现控制器平台；配置静态IP地址三层发现控制器平台；DHCP Option43方式发现控制器平台；DNS域名发现控制器平台；</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5.一键替换：支持通过控制器平台一键替换“按钮”即可完成故障设备替换；</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6.M-LAG：支持M-LAG技术，跨设备链路聚合（非堆叠技术实现），要求配对的设备有独立的控制平面；</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7.交换机状态显示：支持通过控制器平台查看交换机端口负载情况；</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8.网络管理：支持通过APP进行远程管理，并且可以修改交换机网络配置；支持通过网管平台跨广域网、NAT远程管理智能交换机；</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9.交换机画像管理：支持通过在控制器平台的Web页面对交换机进行可视化管理查看，包括交换机的端口状态及配置、vlan信息；支持通过控制器平台图形化操作对交换机端口状态的开启与关闭；</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运维：支持通过控制器平台查看交换机面板端口工作状态，通过端口颜色显示状态即可判断端口是否在线工作；支持通过控制器平台查看交换机处于工作端口最近5分钟、1小时、最近1天、最近1周发送与接收的流量趋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11.智能终端类型识别：支持终端类型库，基于指纹自动识别PC、路由器、监控终端设备等；支持基于终端类型自动识别结果，禁止非法终端(例如私接路由器)接入；</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12.第三方系统联动：支持与第三方系统上报接入终端信息，包含IP、MAC、用户名、APID/SWID、AP名/SW名；</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终端安全策略：支持将交换机的端口进行端口组划分，方便配置管理；支持终端的MAC与交换机端口变更检测；支持交换机端口终端类型变更后，通过APP、短信告警；可以自定义交换机端口接入终端类型，及MAC黑白名单；</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终端状态安全分析：支持查看终端在交换机端口离线次数、闲置时间、离线趋势；支持查看安全事件记录、私扩非法边缘设备记录、终端在端口漂移记录、静态IP异常记录等安全事件的记录统计；支持查看终端的的历史接入交换机端口，终端的活跃状态；</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15.交换机业务端口的防雷能力共模不低于9Kv、差模不低于6Kv；</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无线路由器AP</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1.支持802.11ax 协议，兼容802.11a/b/g/n/ac协议，支持2.4G和5G同时工作；</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2.支持2.4G 2*2条流及 5G 2*2条流；2.4G最大传输速率≥570Mbps，5G最大传输速率≥1200Mbps，整机最大传输速率≥1.7Gbps；</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3.千兆以太网口≥2个；</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4.内置智能天线；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5.支持802.3af标准的PoE供电和本地电源适配器供电两种方式，满负荷工作功耗≤14W；</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6.单射频接入人数≥500，整机最大接入人数≥1000；</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6.支持虚拟AP技术，单射频SSID数量≥16，整机≥32；</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7.支持Fat和Fit 两种工作模式，根据网络规划的需要，可以灵活地在Fat和Fit两种工作模式中切换，同时可以根据应用需求，选择工作模式；</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8.支持Wi-Fi报文进行侦听捕获并实时镜像到本地分析设备供网络管理员进行故障排查、优化分析；</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9.支持802.1x 认证、MAC 地址认证、PSK 认证、Portal认证等认证方式，支持面向访客的二维码审核认证方式；</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10.支持802.11h 动态频率选择(DFS)、信道自动扫描功能，自动规避干扰；</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11.支持无线带宽平均分配，让不同协商速率的终端占用相等的无线信道时间，防止低速终端拉低网络整体速率；</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12.通过基于特征和协议的射频优化，有效提升无线部署中高密度接入、流媒体传输等场景中的应用加速能力和质量保障效果；</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13.无线AP支持联动安全策略，通过安全策略可以实现对疑似感染病毒或已感染病毒的无线客户端进行识别、监控与隔离等多种方式的处理；</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14.支持将在内网进行ARP扫描、IP扫描、端口扫描达到阈值后的终端执行告警或自动拉入动态黑名单；</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15.支持Fit AP切换成网关模式（非Fat AP模式），支持PPPoE拨号、静态IP、DHCP三种上网方式；</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16.支持逃生模式，AP与控制器连接中断后，原有用户在线、新用户正常接入，业务不中断。</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1个</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控制室有线终端控制软件</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软件支持浏览所有输入信号的实时预览画面,所有信号预监时,无需额外功能板卡占用设备槽位;支持高清、流畅两种模式信号源预览。高清模式像素不少于48W,流畅模式帧率不少于30Hz;支持所有信号输入音量开关控制、预监及预调节功能,同时支持对输入信号源叠加VU音频音柱显示，并可根据音频大小进行变化。</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2.支持将端口设置为拼接端口或矩阵端口,当设置为矩阵端口时，可实现视频矩阵功能，支持矩阵切换,端口搜索、切换关系预览、矩阵信号预监当被设置为拼接端口时，支持大屏拼接功能。</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3.系统板卡支持设置超低功耗模式，在板卡闲置时，可设置为超低功耗模式,将板卡功耗降低至0.6w以下，在使用时恢复为正常工作模式,进而实现系统的系统功耗动态管理。</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4.系统默认可以输出不少于7种测试颜色及网格图像，以对设备输出进行测试;或者指定输出默认图像,并可以设置无信号源时输出的图像;支持输出测试图形,支持输出256×256×256种单色图像和网格图像；</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系统支持前面板触摸屏显示、操作功能，通过前面板触摸屏可实现对拼接屏屏组预案进行调取,对输入信号源进行可视化预监显示。实现设备运行状态可视化,可显示设备型号、IP地址等基础信息,同时可通过升级的液晶前面板实现设备操作。</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6.移动控制端支持Windows、i0S、Android操作系统;支持Windows、Linux, Mac、中标麒麟、银河麒麟等系统通过C/S、B/S软件进行控制;支持通过TCP/IP网口与RS232/422/485串口进行管理控制，开放控制协议，可同时响应不少于32条命令的同时切换。系统支持网络管理协议,配合指控系统保障平台，实现显控应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多用户同时登录,支持设置用户权限级别，各个操作用户可根据实际需求设置不用用户级别,划分不同用户权限,用户之间操作同步实时显示;支持对用户进行分组，支持多用户之间支持分级分权限管理,操作实时同步显示;支持对用户的权限进行分配管理和回收;</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8.系统支持板卡按屏组进行电源管理,可根据实际使用需求，对屏组板卡进行上电、待机管理;可通过设置，对屏组板卡进行定时开关上电管理;</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1套</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高端扬声器</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1.低频驱动器：不少于6.5英寸聚丙烯锥体，丁基橡胶环绕，阳极氧化铝音圈，高温音圈；</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2.高频驱动器：19毫米（0.75英寸）高阻尼处理丝绸圆顶，Kapton?音圈，液体冷却，宽色散波导；</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3.盲装背板可以快速方便地安装；</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4.功率：标称设置为8Ω时功率为50W，定压30W，15W，7.5W@70V或100V（仅限3.8W@70V）；</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5.频率范围（-10dB）62Hz-20kHz；</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6.频率响应（±3dB）96Hz-15kHz；</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7.灵敏度：91分贝；</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8.覆盖角度：110°锥形覆盖；</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9.指向性因子（Q）：7.8；</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10.指向性指数（DI）：8.2dB；</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11.额定最大声压级：108dB@1m（3.3ft）平均值，116dB峰值；</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12.名义阻抗8欧姆（直接/旁路8Ω设置）；</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13.交叉网络：12dB/oct（2阶）低通到LF驱动器，12dB/oct（2阶）高通到HF驱动器；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14.输入连接器：可拆卸锁定4针连接器，带螺钉端子；</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15.最大线径：12AWG（2.5mm2）。</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4只</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高端扬声器功放</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1.立体声4Ω：2×700W；</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2.立体声8Ω：2×350W；</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3.信噪比：≥90dB；</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4.总谐波失真（THD）：＜0.1%；</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5.频率响应：20Hz-20kHz。</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16路控制带效果器调音台</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1.配置不少于16路；</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2.可开关幻象电源和PAD开关；</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3.单旋钮压缩器；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4.EQ和高通滤波器；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5.AUX/效果发送/编组；</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6.LED电平表；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7.多种输入/输出接口；</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8.金属机身；</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9.内部全局供电；</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10.支持机柜安装；</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11.高品质运算放大器。</w:t>
            </w:r>
          </w:p>
        </w:tc>
        <w:tc>
          <w:tcPr>
            <w:tcW w:w="1014"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2通道反馈抑制器</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1.56-bit高速DSP，24-bit AD和DA转换。分辨精度1Hz，工作频率20Hz-20KHz；</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2.2寸FTF彩屏，中英文菜单可选；</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3.每通道12个动态陷波器加8个静态陷波器，自动抑制啸叫；</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4.自动陷波配合移频使用，超强抑制声反馈；</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5.噪声门功能可以抑制系统微弱噪声干扰；</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6.输入压缩功能在消除反馈同时更可扩展人声动态；</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7.两通道48V幻象电源，可以独立控制通断；</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8.电源使用超低噪音环形变压器；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9.模拟输入：2CH-XLR和1/4"TRS(母)输入，电子平衡/不平衡；2路独立控制的48V幻象电源；</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10.输入阻抗：平衡 47Ω，不平衡 20KΩ；</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11.最大线路电平输入：+18dBu；</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12.模拟输出：2CH-XLR和1/4" TRS(母)输入，电子平衡/不平衡；</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13.输出阻抗：平衡&gt;120Ω，不平衡&gt;60Ω；</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14.最大输出电平：+20dBu；</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15.频率响应：20Hz-20KHz，±0. 3dB；</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16.信噪比：&gt;105dB(A)；</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17.动态范围：103dB；</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18.总谐波失真+噪声：0.005%，1KHz；20Hz-10KH，&lt;0.01%；10KHz-20KHz，&lt;0.025%。</w:t>
            </w:r>
          </w:p>
        </w:tc>
        <w:tc>
          <w:tcPr>
            <w:tcW w:w="1014"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电源时序器</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1.8路带空气开关电源时序器；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2.2.5平方三芯珠江品牌电缆线，带10A公牛牌国标插头；</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3.特有的网线端口，外接86底盒开关，无需频繁开机柜开关机；</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4.面板1路直通安全三角插，防止儿童误接触触电；</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5.8路通道输出，每路延时开启和关闭时间可自由设定（通道延时0~999S）；</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6.LCD电压动态显示，日期、时间、通道显示；</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7.每路10A大品牌继电器输出，订制纯铜标准万能接口插座，单路最大输出2KW,总输出4KW；</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8.自由设定过压、欠压保护，保证电源稳定输出；</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9.配置232中控端口，支持外部中央控制设备控制；</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10.可实现远程集中控制，每台设备自带设备编码ID检测和设置；</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11.支持多台设备级联，级联状态可自动检测及设置；</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12.全自动生产和测试技术，保证标准化生产和产品的一致性；</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13.面板LOCK锁定功能，防止人为误操作，轻触开机，长按3秒关机。</w:t>
            </w:r>
          </w:p>
        </w:tc>
        <w:tc>
          <w:tcPr>
            <w:tcW w:w="1014"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有线鹅颈话筒（含底座）</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1.元件：静电型电容式话筒；</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2.指向性：单一指向性；</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3.频率响应：70~16,000 Hz；</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4.开路灵敏度：-37 dB (14.1 mV) re 1V at 1 Pa；</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5.阻抗：100 ohms；</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6.最大输入声压级：134 dB SPL, 1 kHz at 1% T.H.D.；</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7.动态范围 (典型值)：106 dB, 1 kHz at Max SPL；</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8.信噪比：66 dB， 1 kHz at 1 Pa；</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9.幻像电源：9-52V DC， 2 mA typical；</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10.输出端子：内置三针XLRM卡农公头；</w:t>
            </w:r>
          </w:p>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11.标配：防风绵。</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4支</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防静电活动地板</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1.防静电地板600X600mm；</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2.可调节支架系统；</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3.钢筋混凝土结构楼板；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4.具体要求详见深化图纸。</w:t>
            </w:r>
          </w:p>
        </w:tc>
        <w:tc>
          <w:tcPr>
            <w:tcW w:w="1014"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63㎡</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木饰面（LED电子大屏幕周边）</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1.面层：木饰面；</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2.基础：双层6.0mm厚水泥纤维板；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3.骨架：40X40X4mm热镀锌方钢竖向龙骨(间距600mm);40X40X4mm热镀锌角码用φ12mm膨胀螺栓与墙体固定。</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4.具体要求详见深化图纸。</w:t>
            </w:r>
          </w:p>
        </w:tc>
        <w:tc>
          <w:tcPr>
            <w:tcW w:w="1014"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15㎡</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不锈钢踢脚线</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1、材料：不锈钢踢脚</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2、规格：展开12+5+10+20mm</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3.具体要求详见深化图纸。</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30m</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天棚吊顶（办公室、机房）</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 xml:space="preserve">1.9厘夹板+9.5mm石膏板；        </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 xml:space="preserve">2.50系列次龙骨、50系列主龙骨；                     </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3.综合考虑、夹板打底、肋板、凹缝；</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 xml:space="preserve">4.具体要求详见深化图纸。                                                                                                                                                           </w:t>
            </w:r>
          </w:p>
        </w:tc>
        <w:tc>
          <w:tcPr>
            <w:tcW w:w="1014"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20㎡</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乳胶漆饰面（办公室、机房）</w:t>
            </w:r>
          </w:p>
        </w:tc>
        <w:tc>
          <w:tcPr>
            <w:tcW w:w="6232" w:type="dxa"/>
            <w:vAlign w:val="top"/>
          </w:tcPr>
          <w:p>
            <w:pPr>
              <w:keepNext w:val="0"/>
              <w:keepLines w:val="0"/>
              <w:widowControl/>
              <w:numPr>
                <w:ilvl w:val="-1"/>
                <w:numId w:val="0"/>
              </w:numPr>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cstheme="minorBidi"/>
                <w:b w:val="0"/>
                <w:bCs w:val="0"/>
                <w:kern w:val="2"/>
                <w:sz w:val="21"/>
                <w:szCs w:val="22"/>
                <w:lang w:val="en-US" w:eastAsia="zh-CN" w:bidi="ar"/>
              </w:rPr>
              <w:t>1.</w:t>
            </w:r>
            <w:r>
              <w:rPr>
                <w:rFonts w:hint="eastAsia" w:asciiTheme="minorHAnsi" w:hAnsiTheme="minorHAnsi" w:eastAsiaTheme="minorEastAsia" w:cstheme="minorBidi"/>
                <w:b w:val="0"/>
                <w:bCs w:val="0"/>
                <w:kern w:val="2"/>
                <w:sz w:val="21"/>
                <w:szCs w:val="22"/>
                <w:lang w:val="en-US" w:eastAsia="zh-CN" w:bidi="ar"/>
              </w:rPr>
              <w:t>喷乳胶漆一道；</w:t>
            </w:r>
          </w:p>
          <w:p>
            <w:pPr>
              <w:keepNext w:val="0"/>
              <w:keepLines w:val="0"/>
              <w:widowControl/>
              <w:numPr>
                <w:ilvl w:val="-1"/>
                <w:numId w:val="0"/>
              </w:numPr>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cstheme="minorBidi"/>
                <w:b w:val="0"/>
                <w:bCs w:val="0"/>
                <w:kern w:val="2"/>
                <w:sz w:val="21"/>
                <w:szCs w:val="22"/>
                <w:lang w:val="en-US" w:eastAsia="zh-CN" w:bidi="ar"/>
              </w:rPr>
              <w:t>2.</w:t>
            </w:r>
            <w:r>
              <w:rPr>
                <w:rFonts w:hint="eastAsia" w:asciiTheme="minorHAnsi" w:hAnsiTheme="minorHAnsi" w:eastAsiaTheme="minorEastAsia" w:cstheme="minorBidi"/>
                <w:b w:val="0"/>
                <w:bCs w:val="0"/>
                <w:kern w:val="2"/>
                <w:sz w:val="21"/>
                <w:szCs w:val="22"/>
                <w:lang w:val="en-US" w:eastAsia="zh-CN" w:bidi="ar"/>
              </w:rPr>
              <w:t xml:space="preserve">刷乳胶漆一道；                             </w:t>
            </w:r>
          </w:p>
          <w:p>
            <w:pPr>
              <w:keepNext w:val="0"/>
              <w:keepLines w:val="0"/>
              <w:widowControl/>
              <w:numPr>
                <w:ilvl w:val="-1"/>
                <w:numId w:val="0"/>
              </w:numPr>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cstheme="minorBidi"/>
                <w:b w:val="0"/>
                <w:bCs w:val="0"/>
                <w:kern w:val="2"/>
                <w:sz w:val="21"/>
                <w:szCs w:val="22"/>
                <w:lang w:val="en-US" w:eastAsia="zh-CN" w:bidi="ar"/>
              </w:rPr>
              <w:t>3.</w:t>
            </w:r>
            <w:r>
              <w:rPr>
                <w:rFonts w:hint="eastAsia" w:asciiTheme="minorHAnsi" w:hAnsiTheme="minorHAnsi" w:eastAsiaTheme="minorEastAsia" w:cstheme="minorBidi"/>
                <w:b w:val="0"/>
                <w:bCs w:val="0"/>
                <w:kern w:val="2"/>
                <w:sz w:val="21"/>
                <w:szCs w:val="22"/>
                <w:lang w:val="en-US" w:eastAsia="zh-CN" w:bidi="ar"/>
              </w:rPr>
              <w:t xml:space="preserve">刷抗碱底漆一道；                             </w:t>
            </w:r>
          </w:p>
          <w:p>
            <w:pPr>
              <w:keepNext w:val="0"/>
              <w:keepLines w:val="0"/>
              <w:widowControl/>
              <w:numPr>
                <w:ilvl w:val="-1"/>
                <w:numId w:val="0"/>
              </w:numPr>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4.腻子找平。</w:t>
            </w:r>
          </w:p>
        </w:tc>
        <w:tc>
          <w:tcPr>
            <w:tcW w:w="1014"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20㎡</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窗帘盒</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1.9厘夹板(防火防潮防蛀处理）+9.5mm石膏板；</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2.50系列次龙骨、50系列主龙骨；</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 xml:space="preserve">3.具体要求详见深化图纸。 </w:t>
            </w:r>
          </w:p>
        </w:tc>
        <w:tc>
          <w:tcPr>
            <w:tcW w:w="1014"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8㎡</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窗帘</w:t>
            </w:r>
          </w:p>
        </w:tc>
        <w:tc>
          <w:tcPr>
            <w:tcW w:w="6232" w:type="dxa"/>
            <w:vAlign w:val="top"/>
          </w:tcPr>
          <w:p>
            <w:pPr>
              <w:keepNext w:val="0"/>
              <w:keepLines w:val="0"/>
              <w:widowControl/>
              <w:suppressLineNumbers w:val="0"/>
              <w:ind w:left="0" w:leftChars="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1.具体要求详见深化图纸。</w:t>
            </w:r>
          </w:p>
        </w:tc>
        <w:tc>
          <w:tcPr>
            <w:tcW w:w="1014"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14m</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强电施工</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1.包含管线预埋及安装</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16m</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嵌入式成套配电箱</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1.施耐德空气开关</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砖、混凝土结构吊棚内暗配SC管</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1.镀锌线管DN20</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120m</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098" w:type="dxa"/>
            <w:vAlign w:val="center"/>
          </w:tcPr>
          <w:p>
            <w:pPr>
              <w:keepNext w:val="0"/>
              <w:keepLines w:val="0"/>
              <w:widowControl/>
              <w:suppressLineNumbers w:val="0"/>
              <w:jc w:val="left"/>
              <w:rPr>
                <w:rFonts w:hint="default" w:asciiTheme="minorHAnsi" w:hAnsiTheme="minorHAnsi" w:eastAsiaTheme="minorEastAsia" w:cstheme="minorBidi"/>
                <w:b w:val="0"/>
                <w:kern w:val="2"/>
                <w:sz w:val="21"/>
                <w:szCs w:val="22"/>
                <w:lang w:val="en-US" w:eastAsia="zh-CN" w:bidi="ar"/>
              </w:rPr>
            </w:pPr>
            <w:r>
              <w:rPr>
                <w:rFonts w:hint="default" w:asciiTheme="minorHAnsi" w:hAnsiTheme="minorHAnsi" w:eastAsiaTheme="minorEastAsia" w:cstheme="minorBidi"/>
                <w:b w:val="0"/>
                <w:kern w:val="2"/>
                <w:sz w:val="21"/>
                <w:szCs w:val="22"/>
                <w:lang w:val="en-US" w:eastAsia="zh-CN" w:bidi="ar"/>
              </w:rPr>
              <w:t>金属桥架</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1.200*100镀锌金属桥架</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20m</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098"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电气配插座/照明线</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1.ZRBV-2.5MM2</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900m</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普通插座</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1.施耐德普通插座，含主材及安装</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20个</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三极开关</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1.施耐德普通开关，含主材及安装</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3个</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管内穿五类线信息线</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1.五类线信息线</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150m</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电脑插座</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1.施耐德普通电脑插座，含主材及安装</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6个</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格力3P天花机</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1.品牌: Gree/格力</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2.型号:  KFR-50TW/(50520)NhCa-3</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3.功率: 3匹</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4.工作方式: 变频</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5.空调冷暖方式: 冷暖电辅</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格力2P天花机</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1.品牌: Gree/格力</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2.型号:  KFR-50TW/(50520)NhCa-3</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3.功率: 3匹</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4.工作方式: 变频</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5.空调冷暖方式: 冷暖电辅</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1台</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铜管</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1.上海飞轮去油加厚铜管，</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60m</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排水安装</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1.联塑PUV排水管</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2.局部水钻打孔</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60m</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方通灯led长条灯铝方通专用灯</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1.功率: 31W(含)</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2.光源类型: led灯</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3.灯身主材质: ABS+五金底盘</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12套</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坐席操作台</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1.根据现场尺寸定制，含桌椅</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1套</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8"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原装修拆除措施</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1.原装修拆除措施</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63.2m2</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办公卡位办公桌椅</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1.根据现场尺寸定制,长：1.4m,宽：0.7m的办公卡位桌子，含1个桌椅。</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4套</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98" w:type="dxa"/>
            <w:vAlign w:val="center"/>
          </w:tcPr>
          <w:p>
            <w:pPr>
              <w:keepNext w:val="0"/>
              <w:keepLines w:val="0"/>
              <w:widowControl/>
              <w:suppressLineNumbers w:val="0"/>
              <w:jc w:val="left"/>
              <w:rPr>
                <w:rFonts w:hint="eastAsia" w:asciiTheme="minorHAnsi" w:hAnsiTheme="minorHAnsi" w:eastAsiaTheme="minorEastAsia" w:cstheme="minorBidi"/>
                <w:b w:val="0"/>
                <w:kern w:val="2"/>
                <w:sz w:val="21"/>
                <w:szCs w:val="22"/>
                <w:lang w:val="en-US" w:eastAsia="zh-CN" w:bidi="ar"/>
              </w:rPr>
            </w:pPr>
            <w:r>
              <w:rPr>
                <w:rFonts w:hint="eastAsia" w:asciiTheme="minorHAnsi" w:hAnsiTheme="minorHAnsi" w:eastAsiaTheme="minorEastAsia" w:cstheme="minorBidi"/>
                <w:b w:val="0"/>
                <w:kern w:val="2"/>
                <w:sz w:val="21"/>
                <w:szCs w:val="22"/>
                <w:lang w:val="en-US" w:eastAsia="zh-CN" w:bidi="ar"/>
              </w:rPr>
              <w:t>机柜</w:t>
            </w:r>
          </w:p>
        </w:tc>
        <w:tc>
          <w:tcPr>
            <w:tcW w:w="6232" w:type="dxa"/>
            <w:vAlign w:val="top"/>
          </w:tcPr>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1.类型机柜；</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2.容量42U；</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3.标准19"国际标准；</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4.前门：网状冷轧钢前门或侧通风钢化玻璃主体前门，弹式免匙锁；</w:t>
            </w:r>
          </w:p>
          <w:p>
            <w:pPr>
              <w:keepNext w:val="0"/>
              <w:keepLines w:val="0"/>
              <w:widowControl/>
              <w:suppressLineNumbers w:val="0"/>
              <w:jc w:val="left"/>
              <w:rPr>
                <w:rFonts w:hint="eastAsia" w:asciiTheme="minorHAnsi" w:hAnsiTheme="minorHAnsi" w:eastAsiaTheme="minorEastAsia" w:cstheme="minorBidi"/>
                <w:b w:val="0"/>
                <w:bCs w:val="0"/>
                <w:kern w:val="2"/>
                <w:sz w:val="21"/>
                <w:szCs w:val="22"/>
                <w:lang w:val="en-US" w:eastAsia="zh-CN" w:bidi="ar"/>
              </w:rPr>
            </w:pPr>
            <w:r>
              <w:rPr>
                <w:rFonts w:hint="eastAsia" w:asciiTheme="minorHAnsi" w:hAnsiTheme="minorHAnsi" w:eastAsiaTheme="minorEastAsia" w:cstheme="minorBidi"/>
                <w:b w:val="0"/>
                <w:bCs w:val="0"/>
                <w:kern w:val="2"/>
                <w:sz w:val="21"/>
                <w:szCs w:val="22"/>
                <w:lang w:val="en-US" w:eastAsia="zh-CN" w:bidi="ar"/>
              </w:rPr>
              <w:t>5.后门：冷轧钢网孔后门，钢质圆锁；</w:t>
            </w:r>
          </w:p>
        </w:tc>
        <w:tc>
          <w:tcPr>
            <w:tcW w:w="1014" w:type="dxa"/>
          </w:tcPr>
          <w:p>
            <w:pPr>
              <w:keepNext w:val="0"/>
              <w:keepLines w:val="0"/>
              <w:widowControl/>
              <w:suppressLineNumbers w:val="0"/>
              <w:jc w:val="left"/>
              <w:rPr>
                <w:rFonts w:hint="eastAsia" w:asciiTheme="minorHAnsi" w:hAnsiTheme="minorHAnsi" w:eastAsiaTheme="minorEastAsia" w:cstheme="minorBidi"/>
                <w:kern w:val="2"/>
                <w:sz w:val="21"/>
                <w:szCs w:val="22"/>
                <w:lang w:val="en-US" w:eastAsia="zh-CN" w:bidi="ar"/>
              </w:rPr>
            </w:pPr>
            <w:r>
              <w:rPr>
                <w:rFonts w:hint="default" w:asciiTheme="minorHAnsi" w:hAnsiTheme="minorHAnsi" w:eastAsiaTheme="minorEastAsia" w:cstheme="minorBidi"/>
                <w:kern w:val="2"/>
                <w:sz w:val="21"/>
                <w:szCs w:val="22"/>
                <w:lang w:val="en-US" w:eastAsia="zh-CN" w:bidi="ar"/>
              </w:rPr>
              <w:t>1个</w:t>
            </w: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c>
          <w:tcPr>
            <w:tcW w:w="808" w:type="dxa"/>
          </w:tcPr>
          <w:p>
            <w:pPr>
              <w:keepNext w:val="0"/>
              <w:keepLines w:val="0"/>
              <w:widowControl/>
              <w:suppressLineNumbers w:val="0"/>
              <w:jc w:val="left"/>
              <w:rPr>
                <w:rFonts w:hint="default" w:asciiTheme="minorHAnsi" w:hAnsiTheme="minorHAnsi" w:eastAsiaTheme="minorEastAsia" w:cstheme="minorBidi"/>
                <w:kern w:val="2"/>
                <w:sz w:val="21"/>
                <w:szCs w:val="22"/>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960" w:type="dxa"/>
            <w:gridSpan w:val="5"/>
            <w:vAlign w:val="center"/>
          </w:tcPr>
          <w:p>
            <w:pPr>
              <w:keepNext w:val="0"/>
              <w:keepLines w:val="0"/>
              <w:widowControl/>
              <w:suppressLineNumbers w:val="0"/>
              <w:jc w:val="center"/>
              <w:rPr>
                <w:rFonts w:hint="default" w:asciiTheme="minorHAnsi" w:hAnsiTheme="minorHAnsi" w:eastAsiaTheme="minorEastAsia" w:cstheme="minorBidi"/>
                <w:kern w:val="2"/>
                <w:sz w:val="21"/>
                <w:szCs w:val="22"/>
                <w:lang w:val="en-US" w:eastAsia="zh-CN" w:bidi="ar"/>
              </w:rPr>
            </w:pPr>
            <w:r>
              <w:rPr>
                <w:rFonts w:hint="eastAsia" w:cstheme="minorBidi"/>
                <w:kern w:val="2"/>
                <w:sz w:val="21"/>
                <w:szCs w:val="22"/>
                <w:lang w:val="en-US" w:eastAsia="zh-CN" w:bidi="ar"/>
              </w:rPr>
              <w:t>合计：  元（含税  %）</w:t>
            </w:r>
          </w:p>
        </w:tc>
      </w:tr>
    </w:tbl>
    <w:p>
      <w:pPr>
        <w:jc w:val="both"/>
        <w:rPr>
          <w:rFonts w:ascii="宋体" w:hAnsi="宋体"/>
          <w:b/>
          <w:bCs/>
          <w:color w:val="000000"/>
          <w:sz w:val="40"/>
          <w:szCs w:val="40"/>
        </w:rPr>
      </w:pPr>
    </w:p>
    <w:p>
      <w:pPr>
        <w:keepNext w:val="0"/>
        <w:keepLines w:val="0"/>
        <w:pageBreakBefore w:val="0"/>
        <w:widowControl w:val="0"/>
        <w:kinsoku/>
        <w:wordWrap/>
        <w:overflowPunct/>
        <w:topLinePunct w:val="0"/>
        <w:autoSpaceDE/>
        <w:autoSpaceDN/>
        <w:bidi w:val="0"/>
        <w:spacing w:line="600" w:lineRule="exact"/>
        <w:ind w:firstLine="3360" w:firstLineChars="1200"/>
        <w:textAlignment w:val="auto"/>
        <w:rPr>
          <w:rFonts w:hint="eastAsia" w:ascii="宋体" w:hAnsi="宋体" w:eastAsia="宋体" w:cs="宋体"/>
          <w:sz w:val="28"/>
          <w:szCs w:val="28"/>
          <w:u w:val="single"/>
        </w:rPr>
      </w:pPr>
      <w:r>
        <w:rPr>
          <w:rFonts w:hint="eastAsia" w:ascii="宋体" w:hAnsi="宋体" w:eastAsia="宋体" w:cs="宋体"/>
          <w:sz w:val="28"/>
          <w:szCs w:val="28"/>
        </w:rPr>
        <w:t>报价单位代表（签名或盖私章）：</w:t>
      </w:r>
      <w:r>
        <w:rPr>
          <w:rFonts w:hint="eastAsia" w:ascii="宋体" w:hAnsi="宋体" w:eastAsia="宋体" w:cs="宋体"/>
          <w:sz w:val="28"/>
          <w:szCs w:val="28"/>
          <w:u w:val="single"/>
        </w:rPr>
        <w:t xml:space="preserve">               </w:t>
      </w:r>
    </w:p>
    <w:p>
      <w:pPr>
        <w:keepNext w:val="0"/>
        <w:keepLines w:val="0"/>
        <w:pageBreakBefore w:val="0"/>
        <w:widowControl w:val="0"/>
        <w:kinsoku/>
        <w:wordWrap/>
        <w:overflowPunct/>
        <w:topLinePunct w:val="0"/>
        <w:autoSpaceDE/>
        <w:autoSpaceDN/>
        <w:bidi w:val="0"/>
        <w:spacing w:line="600" w:lineRule="exact"/>
        <w:ind w:firstLine="3360" w:firstLineChars="1200"/>
        <w:textAlignment w:val="auto"/>
        <w:rPr>
          <w:rFonts w:hint="eastAsia" w:ascii="宋体" w:hAnsi="宋体" w:eastAsia="宋体" w:cs="宋体"/>
          <w:sz w:val="28"/>
          <w:szCs w:val="28"/>
          <w:u w:val="single"/>
        </w:rPr>
      </w:pPr>
      <w:r>
        <w:rPr>
          <w:rFonts w:hint="eastAsia" w:ascii="宋体" w:hAnsi="宋体" w:eastAsia="宋体" w:cs="宋体"/>
          <w:sz w:val="28"/>
          <w:szCs w:val="28"/>
        </w:rPr>
        <w:t>报价单位名称（盖单位公章）：</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p>
    <w:p>
      <w:pPr>
        <w:keepNext w:val="0"/>
        <w:keepLines w:val="0"/>
        <w:pageBreakBefore w:val="0"/>
        <w:widowControl w:val="0"/>
        <w:kinsoku/>
        <w:wordWrap/>
        <w:overflowPunct/>
        <w:topLinePunct w:val="0"/>
        <w:autoSpaceDE/>
        <w:autoSpaceDN/>
        <w:bidi w:val="0"/>
        <w:spacing w:line="600" w:lineRule="exact"/>
        <w:ind w:firstLine="4760" w:firstLineChars="1700"/>
        <w:textAlignment w:val="auto"/>
        <w:rPr>
          <w:rFonts w:hint="eastAsia" w:ascii="宋体" w:hAnsi="宋体" w:eastAsia="宋体" w:cs="宋体"/>
          <w:sz w:val="28"/>
          <w:szCs w:val="28"/>
        </w:rPr>
      </w:pPr>
      <w:r>
        <w:rPr>
          <w:rFonts w:hint="eastAsia" w:ascii="宋体" w:hAnsi="宋体" w:eastAsia="宋体" w:cs="宋体"/>
          <w:sz w:val="28"/>
          <w:szCs w:val="28"/>
        </w:rPr>
        <w:t>日    期：</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pPr>
        <w:rPr>
          <w:rFonts w:hint="eastAsia" w:ascii="宋体" w:hAnsi="宋体" w:eastAsia="宋体" w:cs="宋体"/>
          <w:b/>
          <w:sz w:val="32"/>
          <w:szCs w:val="32"/>
          <w:lang w:val="en-US" w:eastAsia="zh-CN"/>
        </w:rPr>
      </w:pPr>
      <w:bookmarkStart w:id="113" w:name="_Toc16386"/>
      <w:bookmarkStart w:id="114" w:name="_Toc6058"/>
      <w:bookmarkStart w:id="115" w:name="_Toc88209965"/>
      <w:bookmarkStart w:id="116" w:name="_Toc87616402"/>
    </w:p>
    <w:p>
      <w:pPr>
        <w:adjustRightInd w:val="0"/>
        <w:snapToGrid w:val="0"/>
        <w:spacing w:line="600" w:lineRule="exact"/>
        <w:jc w:val="left"/>
        <w:outlineLvl w:val="2"/>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6.其他资料</w:t>
      </w:r>
      <w:bookmarkEnd w:id="113"/>
      <w:bookmarkEnd w:id="114"/>
      <w:bookmarkEnd w:id="115"/>
      <w:bookmarkEnd w:id="116"/>
    </w:p>
    <w:p/>
    <w:sectPr>
      <w:footerReference r:id="rId7" w:type="first"/>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19BCAC8-01EB-4564-B2EF-BB94F919C6C8}"/>
  </w:font>
  <w:font w:name="Arial">
    <w:panose1 w:val="020B0604020202020204"/>
    <w:charset w:val="01"/>
    <w:family w:val="swiss"/>
    <w:pitch w:val="default"/>
    <w:sig w:usb0="E0002EFF" w:usb1="C000785B" w:usb2="00000009" w:usb3="00000000" w:csb0="400001FF" w:csb1="FFFF0000"/>
    <w:embedRegular r:id="rId2" w:fontKey="{CFEAD2BC-721F-436E-8EC0-3E123C5C71D5}"/>
  </w:font>
  <w:font w:name="黑体">
    <w:panose1 w:val="02010609060101010101"/>
    <w:charset w:val="86"/>
    <w:family w:val="auto"/>
    <w:pitch w:val="default"/>
    <w:sig w:usb0="800002BF" w:usb1="38CF7CFA" w:usb2="00000016" w:usb3="00000000" w:csb0="00040001" w:csb1="00000000"/>
    <w:embedRegular r:id="rId3" w:fontKey="{D8EC0F91-54A8-4AD7-976E-B8D67A39140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866B9E7-9B49-4DED-8A5A-71E2EEF6B935}"/>
  </w:font>
  <w:font w:name="方正小标宋简体">
    <w:panose1 w:val="03000509000000000000"/>
    <w:charset w:val="86"/>
    <w:family w:val="script"/>
    <w:pitch w:val="default"/>
    <w:sig w:usb0="00000001" w:usb1="080E0000" w:usb2="00000000" w:usb3="00000000" w:csb0="00040000" w:csb1="00000000"/>
    <w:embedRegular r:id="rId5" w:fontKey="{461D11C8-9E85-4A21-AEB4-BF0B82A47C93}"/>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6" w:fontKey="{6CA2C34D-2B30-4154-9E7A-8A1DF8131837}"/>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embedRegular r:id="rId7" w:fontKey="{9288F292-224B-420F-8DB6-63D22BCBF515}"/>
  </w:font>
  <w:font w:name="仿宋_GB2312">
    <w:panose1 w:val="02010609030101010101"/>
    <w:charset w:val="86"/>
    <w:family w:val="modern"/>
    <w:pitch w:val="default"/>
    <w:sig w:usb0="00000001" w:usb1="080E0000" w:usb2="00000000" w:usb3="00000000" w:csb0="00040000" w:csb1="00000000"/>
    <w:embedRegular r:id="rId8" w:fontKey="{55DFEEE0-8FA4-457C-80AE-1E93BA6234DA}"/>
  </w:font>
  <w:font w:name="Wingdings 2">
    <w:panose1 w:val="05020102010507070707"/>
    <w:charset w:val="02"/>
    <w:family w:val="roman"/>
    <w:pitch w:val="default"/>
    <w:sig w:usb0="00000000" w:usb1="00000000" w:usb2="00000000" w:usb3="00000000" w:csb0="80000000" w:csb1="00000000"/>
    <w:embedRegular r:id="rId9" w:fontKey="{BCE5ED60-5A3B-4785-9E2D-AA4AF44BAA59}"/>
  </w:font>
  <w:font w:name="仿宋">
    <w:panose1 w:val="02010609060101010101"/>
    <w:charset w:val="86"/>
    <w:family w:val="auto"/>
    <w:pitch w:val="default"/>
    <w:sig w:usb0="800002BF" w:usb1="38CF7CFA" w:usb2="00000016" w:usb3="00000000" w:csb0="00040001" w:csb1="00000000"/>
    <w:embedRegular r:id="rId10" w:fontKey="{697DDF61-59F1-4093-9A02-F78B93F399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sdtPr>
    <w:sdtContent>
      <w:p>
        <w:pPr>
          <w:pStyle w:val="19"/>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1312" behindDoc="0" locked="0" layoutInCell="1" allowOverlap="1">
              <wp:simplePos x="0" y="0"/>
              <wp:positionH relativeFrom="margin">
                <wp:posOffset>3007360</wp:posOffset>
              </wp:positionH>
              <wp:positionV relativeFrom="paragraph">
                <wp:posOffset>-95250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left:236.8pt;margin-top:-7.5pt;height:144pt;width:144pt;mso-position-horizontal-relative:margin;mso-wrap-style:none;z-index:251661312;mso-width-relative:page;mso-height-relative:page;" filled="f" stroked="f" coordsize="21600,21600" o:gfxdata="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kQ8yTXAAAACwEAAA8AAAAAAAAAAQAgAAAAIgAAAGRycy9kb3ducmV2Lnht&#10;bFBLAQIUABQAAAAIAIdO4kA56lpjwQEAAI0DAAAOAAAAAAAAAAEAIAAAACYBAABkcnMvZTJvRG9j&#10;LnhtbFBLBQYAAAAABgAGAFkBAABZBQAAAAA=&#10;">
              <v:fill on="f" focussize="0,0"/>
              <v:stroke on="f"/>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aQNE8EBAACN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Z&#10;5ekD1Jh1HzAvDe/8gEsz+wGdmfWgos1f5EMwjuKer+LKIRGRH61X63WFIYGx+YL47OF5iJDeS29J&#10;NhoacXpFVH76CGlMnVNyNefvtDFlgsb940DM7GG597HHbKVhP0yE9r49I58eB99Qh3tOifngUNe8&#10;I7MRZ2M/GbkGhNtjwsKln4w6Qk3FcEqF0bRReQ0e30vWw1+0/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qaQNE8EBAACNAwAADgAAAAAAAAABACAAAAAeAQAAZHJzL2Uyb0RvYy54bWxQSwUG&#10;AAAAAAYABgBZAQAAUQUAAAAA&#10;">
              <v:fill on="f" focussize="0,0"/>
              <v:stroke on="f"/>
              <v:imagedata o:title=""/>
              <o:lock v:ext="edit" aspectratio="f"/>
              <v:textbox inset="0mm,0mm,0mm,0mm" style="mso-fit-shape-to-text:t;">
                <w:txbxContent>
                  <w:p>
                    <w:pPr>
                      <w:pStyle w:val="19"/>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0772E"/>
    <w:multiLevelType w:val="multilevel"/>
    <w:tmpl w:val="85F0772E"/>
    <w:lvl w:ilvl="0" w:tentative="0">
      <w:start w:val="1"/>
      <w:numFmt w:val="decimal"/>
      <w:pStyle w:val="3"/>
      <w:lvlText w:val="%1."/>
      <w:lvlJc w:val="left"/>
      <w:pPr>
        <w:ind w:left="420" w:hanging="420"/>
      </w:pPr>
      <w:rPr>
        <w:rFonts w:hint="default"/>
        <w:sz w:val="44"/>
        <w:szCs w:val="44"/>
      </w:rPr>
    </w:lvl>
    <w:lvl w:ilvl="1" w:tentative="0">
      <w:start w:val="1"/>
      <w:numFmt w:val="decimal"/>
      <w:suff w:val="space"/>
      <w:lvlText w:val="%1.%2"/>
      <w:lvlJc w:val="left"/>
      <w:pPr>
        <w:ind w:left="567" w:hanging="567"/>
      </w:pPr>
      <w:rPr>
        <w:rFonts w:hint="eastAsia"/>
      </w:rPr>
    </w:lvl>
    <w:lvl w:ilvl="2" w:tentative="0">
      <w:start w:val="1"/>
      <w:numFmt w:val="decimal"/>
      <w:suff w:val="space"/>
      <w:lvlText w:val="%1.%2.%3"/>
      <w:lvlJc w:val="left"/>
      <w:pPr>
        <w:ind w:left="567"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suff w:val="space"/>
      <w:lvlText w:val="%1.%2.%3.%4"/>
      <w:lvlJc w:val="left"/>
      <w:pPr>
        <w:ind w:left="425" w:hanging="425"/>
      </w:pPr>
      <w:rPr>
        <w:rFonts w:hint="default" w:ascii="Times New Roman" w:hAnsi="Times New Roman"/>
        <w:b w:val="0"/>
        <w:i w:val="0"/>
        <w:sz w:val="28"/>
        <w:szCs w:val="28"/>
      </w:rPr>
    </w:lvl>
    <w:lvl w:ilvl="4" w:tentative="0">
      <w:start w:val="1"/>
      <w:numFmt w:val="decimal"/>
      <w:suff w:val="space"/>
      <w:lvlText w:val="%1.%2.%3.%4.%5"/>
      <w:lvlJc w:val="left"/>
      <w:pPr>
        <w:ind w:left="425" w:hanging="425"/>
      </w:pPr>
      <w:rPr>
        <w:rFonts w:hint="default" w:ascii="Times New Roman" w:hAnsi="Times New Roman"/>
        <w:sz w:val="28"/>
        <w:szCs w:val="28"/>
      </w:rPr>
    </w:lvl>
    <w:lvl w:ilvl="5" w:tentative="0">
      <w:start w:val="1"/>
      <w:numFmt w:val="decimal"/>
      <w:suff w:val="space"/>
      <w:lvlText w:val="%1.%2.%3.%4.%5.%6"/>
      <w:lvlJc w:val="left"/>
      <w:pPr>
        <w:ind w:left="2145"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8E0A5AE0"/>
    <w:multiLevelType w:val="singleLevel"/>
    <w:tmpl w:val="8E0A5AE0"/>
    <w:lvl w:ilvl="0" w:tentative="0">
      <w:start w:val="1"/>
      <w:numFmt w:val="decimalEnclosedCircleChinese"/>
      <w:suff w:val="nothing"/>
      <w:lvlText w:val="%1　"/>
      <w:lvlJc w:val="left"/>
      <w:pPr>
        <w:ind w:left="0" w:firstLine="400"/>
      </w:pPr>
      <w:rPr>
        <w:rFonts w:hint="eastAsia"/>
      </w:rPr>
    </w:lvl>
  </w:abstractNum>
  <w:abstractNum w:abstractNumId="2">
    <w:nsid w:val="99E15D6F"/>
    <w:multiLevelType w:val="singleLevel"/>
    <w:tmpl w:val="99E15D6F"/>
    <w:lvl w:ilvl="0" w:tentative="0">
      <w:start w:val="1"/>
      <w:numFmt w:val="decimalEnclosedCircleChinese"/>
      <w:suff w:val="nothing"/>
      <w:lvlText w:val="%1　"/>
      <w:lvlJc w:val="left"/>
      <w:pPr>
        <w:ind w:left="0" w:firstLine="400"/>
      </w:pPr>
      <w:rPr>
        <w:rFonts w:hint="eastAsia"/>
      </w:rPr>
    </w:lvl>
  </w:abstractNum>
  <w:abstractNum w:abstractNumId="3">
    <w:nsid w:val="CC9CF724"/>
    <w:multiLevelType w:val="singleLevel"/>
    <w:tmpl w:val="CC9CF724"/>
    <w:lvl w:ilvl="0" w:tentative="0">
      <w:start w:val="1"/>
      <w:numFmt w:val="chineseCounting"/>
      <w:suff w:val="space"/>
      <w:lvlText w:val="第%1章"/>
      <w:lvlJc w:val="left"/>
      <w:rPr>
        <w:rFonts w:hint="eastAsia"/>
      </w:rPr>
    </w:lvl>
  </w:abstractNum>
  <w:abstractNum w:abstractNumId="4">
    <w:nsid w:val="6D25D39D"/>
    <w:multiLevelType w:val="singleLevel"/>
    <w:tmpl w:val="6D25D39D"/>
    <w:lvl w:ilvl="0" w:tentative="0">
      <w:start w:val="1"/>
      <w:numFmt w:val="decimalEnclosedCircleChinese"/>
      <w:suff w:val="nothing"/>
      <w:lvlText w:val="%1　"/>
      <w:lvlJc w:val="left"/>
      <w:pPr>
        <w:ind w:left="0" w:firstLine="400"/>
      </w:pPr>
      <w:rPr>
        <w:rFonts w:hint="eastAsia"/>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xOWI5ZjY1NzIwMzQ1MWE0MjhiNDMxMDc2MWY2NDkifQ=="/>
  </w:docVars>
  <w:rsids>
    <w:rsidRoot w:val="005D618A"/>
    <w:rsid w:val="000B6457"/>
    <w:rsid w:val="000F1FA5"/>
    <w:rsid w:val="00164F97"/>
    <w:rsid w:val="002D3BCB"/>
    <w:rsid w:val="003D60BA"/>
    <w:rsid w:val="00411689"/>
    <w:rsid w:val="0043599B"/>
    <w:rsid w:val="004A4476"/>
    <w:rsid w:val="0052231C"/>
    <w:rsid w:val="005652BA"/>
    <w:rsid w:val="005D618A"/>
    <w:rsid w:val="00626242"/>
    <w:rsid w:val="00651B9C"/>
    <w:rsid w:val="006D4CE6"/>
    <w:rsid w:val="00873AC3"/>
    <w:rsid w:val="008C6A6E"/>
    <w:rsid w:val="008F5EB5"/>
    <w:rsid w:val="00911ECD"/>
    <w:rsid w:val="00A042E0"/>
    <w:rsid w:val="00B26BB1"/>
    <w:rsid w:val="00B26E21"/>
    <w:rsid w:val="00C72F2D"/>
    <w:rsid w:val="00CA0C44"/>
    <w:rsid w:val="00E22B26"/>
    <w:rsid w:val="00F77137"/>
    <w:rsid w:val="00F83B64"/>
    <w:rsid w:val="00FB71B9"/>
    <w:rsid w:val="011B4CF0"/>
    <w:rsid w:val="012D7AAC"/>
    <w:rsid w:val="012E5DC9"/>
    <w:rsid w:val="01536F6B"/>
    <w:rsid w:val="01590DF9"/>
    <w:rsid w:val="02090C75"/>
    <w:rsid w:val="02A23A3C"/>
    <w:rsid w:val="02B86948"/>
    <w:rsid w:val="02FA6225"/>
    <w:rsid w:val="03691CF5"/>
    <w:rsid w:val="03AC1B29"/>
    <w:rsid w:val="03AC246A"/>
    <w:rsid w:val="03B23056"/>
    <w:rsid w:val="03DC3EBA"/>
    <w:rsid w:val="03F527F3"/>
    <w:rsid w:val="03F9794D"/>
    <w:rsid w:val="046A2461"/>
    <w:rsid w:val="06144D2E"/>
    <w:rsid w:val="062F2420"/>
    <w:rsid w:val="064063D4"/>
    <w:rsid w:val="065A53BA"/>
    <w:rsid w:val="0685597A"/>
    <w:rsid w:val="06C64829"/>
    <w:rsid w:val="077D16D2"/>
    <w:rsid w:val="08675FC8"/>
    <w:rsid w:val="088E1F3F"/>
    <w:rsid w:val="08F46FC3"/>
    <w:rsid w:val="09B713FD"/>
    <w:rsid w:val="09EF6ACC"/>
    <w:rsid w:val="0A2C57DA"/>
    <w:rsid w:val="0A315056"/>
    <w:rsid w:val="0AFB45AD"/>
    <w:rsid w:val="0B351E9B"/>
    <w:rsid w:val="0B4C50D3"/>
    <w:rsid w:val="0B806B92"/>
    <w:rsid w:val="0B827E94"/>
    <w:rsid w:val="0BD070E1"/>
    <w:rsid w:val="0C247926"/>
    <w:rsid w:val="0C323AC5"/>
    <w:rsid w:val="0CFD0CF5"/>
    <w:rsid w:val="0D1B5CF4"/>
    <w:rsid w:val="0D302A9E"/>
    <w:rsid w:val="0D794204"/>
    <w:rsid w:val="0E2125D1"/>
    <w:rsid w:val="0E214211"/>
    <w:rsid w:val="0E5F2769"/>
    <w:rsid w:val="0EFF0A15"/>
    <w:rsid w:val="0F4D75A3"/>
    <w:rsid w:val="0F506225"/>
    <w:rsid w:val="0F510E72"/>
    <w:rsid w:val="0F5B2DCA"/>
    <w:rsid w:val="0FED051E"/>
    <w:rsid w:val="0FEE4C29"/>
    <w:rsid w:val="10046082"/>
    <w:rsid w:val="106802DE"/>
    <w:rsid w:val="10765325"/>
    <w:rsid w:val="10E949AF"/>
    <w:rsid w:val="112B101A"/>
    <w:rsid w:val="118C4C51"/>
    <w:rsid w:val="119B53FC"/>
    <w:rsid w:val="11AE0BD5"/>
    <w:rsid w:val="11E518A7"/>
    <w:rsid w:val="12424CDC"/>
    <w:rsid w:val="129A2738"/>
    <w:rsid w:val="12B56BF1"/>
    <w:rsid w:val="12CB1A89"/>
    <w:rsid w:val="131840FB"/>
    <w:rsid w:val="133D4C77"/>
    <w:rsid w:val="13467417"/>
    <w:rsid w:val="136E76CF"/>
    <w:rsid w:val="13B10183"/>
    <w:rsid w:val="14B10AE1"/>
    <w:rsid w:val="15BC6B3C"/>
    <w:rsid w:val="15E30517"/>
    <w:rsid w:val="16260BF5"/>
    <w:rsid w:val="16571CD0"/>
    <w:rsid w:val="1694429A"/>
    <w:rsid w:val="1695170C"/>
    <w:rsid w:val="169B58BB"/>
    <w:rsid w:val="17635326"/>
    <w:rsid w:val="17E525A4"/>
    <w:rsid w:val="18236EFD"/>
    <w:rsid w:val="184941D9"/>
    <w:rsid w:val="188F5A8A"/>
    <w:rsid w:val="189D5B1F"/>
    <w:rsid w:val="18A34CD0"/>
    <w:rsid w:val="197D0C1B"/>
    <w:rsid w:val="19B64DBC"/>
    <w:rsid w:val="1A14399F"/>
    <w:rsid w:val="1A373ACF"/>
    <w:rsid w:val="1A895341"/>
    <w:rsid w:val="1B0D071F"/>
    <w:rsid w:val="1B4568CE"/>
    <w:rsid w:val="1B4C0C41"/>
    <w:rsid w:val="1B9015B7"/>
    <w:rsid w:val="1BC70FFF"/>
    <w:rsid w:val="1C146065"/>
    <w:rsid w:val="1C872CE0"/>
    <w:rsid w:val="1D2D0C9B"/>
    <w:rsid w:val="1D3D7931"/>
    <w:rsid w:val="1D4B6F3E"/>
    <w:rsid w:val="1D5A79EE"/>
    <w:rsid w:val="1E0E2CD0"/>
    <w:rsid w:val="1E831280"/>
    <w:rsid w:val="1EBC4704"/>
    <w:rsid w:val="1F172EB5"/>
    <w:rsid w:val="1F94592D"/>
    <w:rsid w:val="1FB860DE"/>
    <w:rsid w:val="203C5A02"/>
    <w:rsid w:val="209D4C94"/>
    <w:rsid w:val="20C6383A"/>
    <w:rsid w:val="20E84705"/>
    <w:rsid w:val="218400BA"/>
    <w:rsid w:val="21AB1E2F"/>
    <w:rsid w:val="21D40498"/>
    <w:rsid w:val="225752A3"/>
    <w:rsid w:val="22767047"/>
    <w:rsid w:val="23362516"/>
    <w:rsid w:val="23660D3E"/>
    <w:rsid w:val="23A05588"/>
    <w:rsid w:val="23D82F6C"/>
    <w:rsid w:val="25431AEB"/>
    <w:rsid w:val="25650D8D"/>
    <w:rsid w:val="25844C8F"/>
    <w:rsid w:val="25BF43FD"/>
    <w:rsid w:val="25F86BCD"/>
    <w:rsid w:val="2605748B"/>
    <w:rsid w:val="261105FB"/>
    <w:rsid w:val="269E416A"/>
    <w:rsid w:val="26B02FC7"/>
    <w:rsid w:val="26C67313"/>
    <w:rsid w:val="26E05DB0"/>
    <w:rsid w:val="272100D3"/>
    <w:rsid w:val="272C72FC"/>
    <w:rsid w:val="27923EBF"/>
    <w:rsid w:val="27EB149D"/>
    <w:rsid w:val="27FD3E52"/>
    <w:rsid w:val="28E11370"/>
    <w:rsid w:val="29404C43"/>
    <w:rsid w:val="294A756A"/>
    <w:rsid w:val="29D5322D"/>
    <w:rsid w:val="2A025DD9"/>
    <w:rsid w:val="2A7C2231"/>
    <w:rsid w:val="2A8F679F"/>
    <w:rsid w:val="2ABB753D"/>
    <w:rsid w:val="2B0231B6"/>
    <w:rsid w:val="2B1574B4"/>
    <w:rsid w:val="2B4D2ED9"/>
    <w:rsid w:val="2B7A49FA"/>
    <w:rsid w:val="2B8578C2"/>
    <w:rsid w:val="2C3749E7"/>
    <w:rsid w:val="2C615D26"/>
    <w:rsid w:val="2C6F2C63"/>
    <w:rsid w:val="2CB679ED"/>
    <w:rsid w:val="2CEB0097"/>
    <w:rsid w:val="2D173C07"/>
    <w:rsid w:val="2D424A86"/>
    <w:rsid w:val="2DDA3C73"/>
    <w:rsid w:val="2E6A25C9"/>
    <w:rsid w:val="2E7B52DB"/>
    <w:rsid w:val="2EC7093F"/>
    <w:rsid w:val="2F324CFE"/>
    <w:rsid w:val="2FBA09F1"/>
    <w:rsid w:val="2FCD7958"/>
    <w:rsid w:val="2FEF2ACF"/>
    <w:rsid w:val="30540211"/>
    <w:rsid w:val="305C5857"/>
    <w:rsid w:val="310A56C0"/>
    <w:rsid w:val="3126266B"/>
    <w:rsid w:val="312D7741"/>
    <w:rsid w:val="316F137F"/>
    <w:rsid w:val="316F6D3A"/>
    <w:rsid w:val="3198371B"/>
    <w:rsid w:val="31DF525F"/>
    <w:rsid w:val="31EF7018"/>
    <w:rsid w:val="32324C2E"/>
    <w:rsid w:val="327171DF"/>
    <w:rsid w:val="341E3434"/>
    <w:rsid w:val="34C9730D"/>
    <w:rsid w:val="353F533B"/>
    <w:rsid w:val="35A252CE"/>
    <w:rsid w:val="360B7EBA"/>
    <w:rsid w:val="362E59C8"/>
    <w:rsid w:val="36946D0E"/>
    <w:rsid w:val="36963023"/>
    <w:rsid w:val="369C32FD"/>
    <w:rsid w:val="37666E72"/>
    <w:rsid w:val="38155281"/>
    <w:rsid w:val="38167A04"/>
    <w:rsid w:val="38EA5AEE"/>
    <w:rsid w:val="3922642F"/>
    <w:rsid w:val="394B167A"/>
    <w:rsid w:val="39903CA0"/>
    <w:rsid w:val="399C7D5A"/>
    <w:rsid w:val="39B45610"/>
    <w:rsid w:val="39BD50A9"/>
    <w:rsid w:val="39D76BC3"/>
    <w:rsid w:val="39F74EC3"/>
    <w:rsid w:val="3A4E4336"/>
    <w:rsid w:val="3A525115"/>
    <w:rsid w:val="3A6007FE"/>
    <w:rsid w:val="3AB14335"/>
    <w:rsid w:val="3B7C2CE4"/>
    <w:rsid w:val="3BC47524"/>
    <w:rsid w:val="3C0B5355"/>
    <w:rsid w:val="3C433B29"/>
    <w:rsid w:val="3C550170"/>
    <w:rsid w:val="3C935564"/>
    <w:rsid w:val="3CD4176B"/>
    <w:rsid w:val="3D080173"/>
    <w:rsid w:val="3D1F44D9"/>
    <w:rsid w:val="3D5C38CD"/>
    <w:rsid w:val="3DA80295"/>
    <w:rsid w:val="3DA95D90"/>
    <w:rsid w:val="3E5070F1"/>
    <w:rsid w:val="3E6163E7"/>
    <w:rsid w:val="3EED6576"/>
    <w:rsid w:val="3F6C3589"/>
    <w:rsid w:val="3F850180"/>
    <w:rsid w:val="3F9004D6"/>
    <w:rsid w:val="3F983A0C"/>
    <w:rsid w:val="3FB516AA"/>
    <w:rsid w:val="400E4D5E"/>
    <w:rsid w:val="40245BFB"/>
    <w:rsid w:val="40432CD3"/>
    <w:rsid w:val="409C2E14"/>
    <w:rsid w:val="40E1138C"/>
    <w:rsid w:val="413814BA"/>
    <w:rsid w:val="414B1D27"/>
    <w:rsid w:val="41872511"/>
    <w:rsid w:val="42466655"/>
    <w:rsid w:val="424B7EFB"/>
    <w:rsid w:val="42694B47"/>
    <w:rsid w:val="42C82F57"/>
    <w:rsid w:val="43C76AF7"/>
    <w:rsid w:val="43F100D4"/>
    <w:rsid w:val="441B1CE9"/>
    <w:rsid w:val="443217B4"/>
    <w:rsid w:val="446828F0"/>
    <w:rsid w:val="44A1335C"/>
    <w:rsid w:val="452B56A8"/>
    <w:rsid w:val="45AB7EB2"/>
    <w:rsid w:val="45C13B4D"/>
    <w:rsid w:val="46054BCA"/>
    <w:rsid w:val="462754B6"/>
    <w:rsid w:val="464C6AFC"/>
    <w:rsid w:val="468B0091"/>
    <w:rsid w:val="46A107C3"/>
    <w:rsid w:val="46B15CE2"/>
    <w:rsid w:val="46B24489"/>
    <w:rsid w:val="46BE113D"/>
    <w:rsid w:val="46E44B13"/>
    <w:rsid w:val="46E56AF6"/>
    <w:rsid w:val="4703508A"/>
    <w:rsid w:val="475023F8"/>
    <w:rsid w:val="479D361E"/>
    <w:rsid w:val="47B74789"/>
    <w:rsid w:val="480F2B9D"/>
    <w:rsid w:val="48282920"/>
    <w:rsid w:val="485321E0"/>
    <w:rsid w:val="48546AD3"/>
    <w:rsid w:val="48574836"/>
    <w:rsid w:val="489418A3"/>
    <w:rsid w:val="48CA4868"/>
    <w:rsid w:val="48F005D3"/>
    <w:rsid w:val="498F4AF1"/>
    <w:rsid w:val="49C05787"/>
    <w:rsid w:val="49CF518D"/>
    <w:rsid w:val="4ADA1F63"/>
    <w:rsid w:val="4AE23D89"/>
    <w:rsid w:val="4AEC2FDE"/>
    <w:rsid w:val="4B2038D0"/>
    <w:rsid w:val="4B296E7D"/>
    <w:rsid w:val="4B3942AA"/>
    <w:rsid w:val="4B5C043F"/>
    <w:rsid w:val="4B877F28"/>
    <w:rsid w:val="4CC60794"/>
    <w:rsid w:val="4D2E044D"/>
    <w:rsid w:val="4D364554"/>
    <w:rsid w:val="4D916BA6"/>
    <w:rsid w:val="4DC44169"/>
    <w:rsid w:val="4E460417"/>
    <w:rsid w:val="4EC3292D"/>
    <w:rsid w:val="4EF0709E"/>
    <w:rsid w:val="4F2706FC"/>
    <w:rsid w:val="4F4546D1"/>
    <w:rsid w:val="5011784D"/>
    <w:rsid w:val="50590023"/>
    <w:rsid w:val="513C043B"/>
    <w:rsid w:val="513C6A7B"/>
    <w:rsid w:val="523D3563"/>
    <w:rsid w:val="52E87329"/>
    <w:rsid w:val="5333545B"/>
    <w:rsid w:val="53F41436"/>
    <w:rsid w:val="5450213C"/>
    <w:rsid w:val="5483348F"/>
    <w:rsid w:val="54CC122C"/>
    <w:rsid w:val="54D24048"/>
    <w:rsid w:val="54D64CD5"/>
    <w:rsid w:val="55887D69"/>
    <w:rsid w:val="561A0928"/>
    <w:rsid w:val="562C62C6"/>
    <w:rsid w:val="56423872"/>
    <w:rsid w:val="56B279F0"/>
    <w:rsid w:val="56EA525D"/>
    <w:rsid w:val="571213CB"/>
    <w:rsid w:val="579D710E"/>
    <w:rsid w:val="581A29EB"/>
    <w:rsid w:val="581F22F6"/>
    <w:rsid w:val="58246AB4"/>
    <w:rsid w:val="586E1E17"/>
    <w:rsid w:val="58862C35"/>
    <w:rsid w:val="58B02697"/>
    <w:rsid w:val="58C14957"/>
    <w:rsid w:val="590263DC"/>
    <w:rsid w:val="5A3E7B99"/>
    <w:rsid w:val="5AE83A50"/>
    <w:rsid w:val="5B626423"/>
    <w:rsid w:val="5BAB2917"/>
    <w:rsid w:val="5BBF6B42"/>
    <w:rsid w:val="5BFC33FA"/>
    <w:rsid w:val="5C3107A4"/>
    <w:rsid w:val="5C3B1B93"/>
    <w:rsid w:val="5C66348F"/>
    <w:rsid w:val="5C9220DF"/>
    <w:rsid w:val="5D4A15F3"/>
    <w:rsid w:val="5D69542A"/>
    <w:rsid w:val="5E0930EF"/>
    <w:rsid w:val="5E3D4D53"/>
    <w:rsid w:val="5E4717E6"/>
    <w:rsid w:val="5E55774C"/>
    <w:rsid w:val="60104DDC"/>
    <w:rsid w:val="605C0804"/>
    <w:rsid w:val="60754C7B"/>
    <w:rsid w:val="61841BCA"/>
    <w:rsid w:val="6189617B"/>
    <w:rsid w:val="61B52BB6"/>
    <w:rsid w:val="61B749C2"/>
    <w:rsid w:val="61D513C0"/>
    <w:rsid w:val="62280D20"/>
    <w:rsid w:val="62CA2457"/>
    <w:rsid w:val="638240A1"/>
    <w:rsid w:val="63A5257B"/>
    <w:rsid w:val="63BD3DCC"/>
    <w:rsid w:val="63C61741"/>
    <w:rsid w:val="64442F36"/>
    <w:rsid w:val="64560967"/>
    <w:rsid w:val="656B1D10"/>
    <w:rsid w:val="65997DFF"/>
    <w:rsid w:val="65FC5961"/>
    <w:rsid w:val="66022B28"/>
    <w:rsid w:val="662F1AB4"/>
    <w:rsid w:val="66581E87"/>
    <w:rsid w:val="6691393F"/>
    <w:rsid w:val="66FA11D5"/>
    <w:rsid w:val="673409D9"/>
    <w:rsid w:val="674302C7"/>
    <w:rsid w:val="67B740BA"/>
    <w:rsid w:val="680A5986"/>
    <w:rsid w:val="680D5F4B"/>
    <w:rsid w:val="68113F51"/>
    <w:rsid w:val="6876127E"/>
    <w:rsid w:val="68E94770"/>
    <w:rsid w:val="68F949C9"/>
    <w:rsid w:val="69591B2B"/>
    <w:rsid w:val="695A4290"/>
    <w:rsid w:val="69C75E1E"/>
    <w:rsid w:val="69F81737"/>
    <w:rsid w:val="6A334932"/>
    <w:rsid w:val="6A3353FF"/>
    <w:rsid w:val="6A5D63E6"/>
    <w:rsid w:val="6A5F24D1"/>
    <w:rsid w:val="6AE347EB"/>
    <w:rsid w:val="6B434AF0"/>
    <w:rsid w:val="6B57675A"/>
    <w:rsid w:val="6BDD7B4D"/>
    <w:rsid w:val="6BFA291A"/>
    <w:rsid w:val="6C942CA2"/>
    <w:rsid w:val="6E2E4FBE"/>
    <w:rsid w:val="6EAB17B2"/>
    <w:rsid w:val="6EBC0B3A"/>
    <w:rsid w:val="6ED83305"/>
    <w:rsid w:val="6EF51C7D"/>
    <w:rsid w:val="6F752F80"/>
    <w:rsid w:val="6F8363E5"/>
    <w:rsid w:val="6FC746F5"/>
    <w:rsid w:val="6FF52598"/>
    <w:rsid w:val="70317AC6"/>
    <w:rsid w:val="70863262"/>
    <w:rsid w:val="70A76ED3"/>
    <w:rsid w:val="71860B17"/>
    <w:rsid w:val="71C54038"/>
    <w:rsid w:val="720A7AF8"/>
    <w:rsid w:val="72346E4B"/>
    <w:rsid w:val="723B27CC"/>
    <w:rsid w:val="72687227"/>
    <w:rsid w:val="72A03FD9"/>
    <w:rsid w:val="72B96427"/>
    <w:rsid w:val="73406CFF"/>
    <w:rsid w:val="7383028C"/>
    <w:rsid w:val="73A25E44"/>
    <w:rsid w:val="74090E2A"/>
    <w:rsid w:val="741F68CF"/>
    <w:rsid w:val="74410607"/>
    <w:rsid w:val="747D01A7"/>
    <w:rsid w:val="75010B4F"/>
    <w:rsid w:val="75252DF3"/>
    <w:rsid w:val="75621536"/>
    <w:rsid w:val="75BF3154"/>
    <w:rsid w:val="760D484F"/>
    <w:rsid w:val="76115521"/>
    <w:rsid w:val="764A07CF"/>
    <w:rsid w:val="764F6B3D"/>
    <w:rsid w:val="76CC6C50"/>
    <w:rsid w:val="76CD2B7B"/>
    <w:rsid w:val="76D80645"/>
    <w:rsid w:val="76DE6CD8"/>
    <w:rsid w:val="76E03371"/>
    <w:rsid w:val="76FD12D2"/>
    <w:rsid w:val="780E5898"/>
    <w:rsid w:val="782642CC"/>
    <w:rsid w:val="7894095E"/>
    <w:rsid w:val="79000679"/>
    <w:rsid w:val="7931336F"/>
    <w:rsid w:val="79376689"/>
    <w:rsid w:val="795B57FD"/>
    <w:rsid w:val="796F6B81"/>
    <w:rsid w:val="79A416F0"/>
    <w:rsid w:val="79AE5E02"/>
    <w:rsid w:val="79B03EB6"/>
    <w:rsid w:val="7A504F8D"/>
    <w:rsid w:val="7A7F4688"/>
    <w:rsid w:val="7ABC034E"/>
    <w:rsid w:val="7AF37579"/>
    <w:rsid w:val="7AF87F64"/>
    <w:rsid w:val="7B1C0C84"/>
    <w:rsid w:val="7B5A62DF"/>
    <w:rsid w:val="7B6F0700"/>
    <w:rsid w:val="7B7A04A8"/>
    <w:rsid w:val="7C0C3F6D"/>
    <w:rsid w:val="7C22163C"/>
    <w:rsid w:val="7C595075"/>
    <w:rsid w:val="7C6B07B2"/>
    <w:rsid w:val="7D124E8E"/>
    <w:rsid w:val="7D133243"/>
    <w:rsid w:val="7D58799A"/>
    <w:rsid w:val="7DE7786F"/>
    <w:rsid w:val="7E394207"/>
    <w:rsid w:val="7E4007A2"/>
    <w:rsid w:val="7E747B3F"/>
    <w:rsid w:val="7E791CAD"/>
    <w:rsid w:val="7EA50DFB"/>
    <w:rsid w:val="7EC86878"/>
    <w:rsid w:val="7F067522"/>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qFormat="1" w:uiPriority="99"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9"/>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40"/>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4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3">
    <w:name w:val="heading 4"/>
    <w:basedOn w:val="1"/>
    <w:next w:val="1"/>
    <w:semiHidden/>
    <w:unhideWhenUsed/>
    <w:qFormat/>
    <w:uiPriority w:val="0"/>
    <w:pPr>
      <w:keepNext/>
      <w:keepLines/>
      <w:numPr>
        <w:ilvl w:val="0"/>
        <w:numId w:val="1"/>
      </w:numPr>
      <w:spacing w:before="100" w:beforeLines="100" w:after="100" w:afterLines="100"/>
      <w:textAlignment w:val="baseline"/>
      <w:outlineLvl w:val="3"/>
    </w:pPr>
    <w:rPr>
      <w:rFonts w:ascii="黑体" w:hAnsi="黑体" w:eastAsia="黑体" w:cs="黑体"/>
      <w:b/>
      <w:bCs/>
      <w:sz w:val="30"/>
      <w:szCs w:val="28"/>
      <w:lang w:val="en-GB"/>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lock Text"/>
    <w:basedOn w:val="1"/>
    <w:next w:val="3"/>
    <w:unhideWhenUsed/>
    <w:qFormat/>
    <w:uiPriority w:val="99"/>
    <w:pPr>
      <w:spacing w:after="120"/>
    </w:pPr>
    <w:rPr>
      <w:rFonts w:ascii="Times New Roman" w:hAnsi="Times New Roman"/>
    </w:r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qFormat/>
    <w:uiPriority w:val="99"/>
    <w:pPr>
      <w:jc w:val="left"/>
    </w:pPr>
  </w:style>
  <w:style w:type="paragraph" w:styleId="9">
    <w:name w:val="Body Text 3"/>
    <w:basedOn w:val="1"/>
    <w:link w:val="49"/>
    <w:unhideWhenUsed/>
    <w:qFormat/>
    <w:uiPriority w:val="99"/>
    <w:pPr>
      <w:spacing w:after="120"/>
    </w:pPr>
    <w:rPr>
      <w:sz w:val="16"/>
      <w:szCs w:val="16"/>
    </w:rPr>
  </w:style>
  <w:style w:type="paragraph" w:styleId="10">
    <w:name w:val="Body Text"/>
    <w:basedOn w:val="1"/>
    <w:next w:val="11"/>
    <w:qFormat/>
    <w:uiPriority w:val="99"/>
    <w:pPr>
      <w:spacing w:after="120"/>
    </w:pPr>
  </w:style>
  <w:style w:type="paragraph" w:styleId="11">
    <w:name w:val="Body Text 2"/>
    <w:basedOn w:val="1"/>
    <w:qFormat/>
    <w:uiPriority w:val="0"/>
    <w:pPr>
      <w:spacing w:after="120" w:line="480" w:lineRule="auto"/>
    </w:pPr>
  </w:style>
  <w:style w:type="paragraph" w:styleId="12">
    <w:name w:val="Body Text Indent"/>
    <w:basedOn w:val="1"/>
    <w:qFormat/>
    <w:uiPriority w:val="0"/>
    <w:pPr>
      <w:adjustRightInd w:val="0"/>
      <w:snapToGrid w:val="0"/>
      <w:spacing w:line="360" w:lineRule="exact"/>
      <w:ind w:firstLine="630"/>
      <w:textAlignment w:val="baseline"/>
    </w:pPr>
    <w:rPr>
      <w:rFonts w:ascii="宋体" w:hAnsi="宋体" w:cs="Times New Roman"/>
      <w:kern w:val="0"/>
      <w:sz w:val="24"/>
      <w:szCs w:val="20"/>
    </w:rPr>
  </w:style>
  <w:style w:type="paragraph" w:styleId="13">
    <w:name w:val="toc 3"/>
    <w:basedOn w:val="1"/>
    <w:next w:val="1"/>
    <w:unhideWhenUsed/>
    <w:qFormat/>
    <w:uiPriority w:val="39"/>
    <w:pPr>
      <w:widowControl/>
      <w:spacing w:after="100" w:line="276" w:lineRule="auto"/>
      <w:ind w:left="440"/>
      <w:jc w:val="left"/>
    </w:pPr>
    <w:rPr>
      <w:kern w:val="0"/>
      <w:sz w:val="22"/>
    </w:rPr>
  </w:style>
  <w:style w:type="paragraph" w:styleId="14">
    <w:name w:val="Plain Text"/>
    <w:basedOn w:val="1"/>
    <w:next w:val="15"/>
    <w:qFormat/>
    <w:uiPriority w:val="0"/>
    <w:rPr>
      <w:rFonts w:ascii="宋体" w:hAnsi="Courier New"/>
      <w:szCs w:val="21"/>
    </w:rPr>
  </w:style>
  <w:style w:type="paragraph" w:customStyle="1" w:styleId="15">
    <w:name w:val="Default"/>
    <w:next w:val="16"/>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6">
    <w:name w:val="List"/>
    <w:basedOn w:val="1"/>
    <w:next w:val="1"/>
    <w:qFormat/>
    <w:uiPriority w:val="0"/>
    <w:pPr>
      <w:snapToGrid w:val="0"/>
    </w:pPr>
    <w:rPr>
      <w:szCs w:val="24"/>
    </w:rPr>
  </w:style>
  <w:style w:type="paragraph" w:styleId="17">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8">
    <w:name w:val="Balloon Text"/>
    <w:basedOn w:val="1"/>
    <w:link w:val="44"/>
    <w:semiHidden/>
    <w:unhideWhenUsed/>
    <w:qFormat/>
    <w:uiPriority w:val="99"/>
    <w:rPr>
      <w:sz w:val="18"/>
      <w:szCs w:val="18"/>
    </w:rPr>
  </w:style>
  <w:style w:type="paragraph" w:styleId="19">
    <w:name w:val="footer"/>
    <w:basedOn w:val="1"/>
    <w:link w:val="38"/>
    <w:unhideWhenUsed/>
    <w:qFormat/>
    <w:uiPriority w:val="99"/>
    <w:pPr>
      <w:tabs>
        <w:tab w:val="center" w:pos="4153"/>
        <w:tab w:val="right" w:pos="8306"/>
      </w:tabs>
      <w:snapToGrid w:val="0"/>
      <w:jc w:val="left"/>
    </w:pPr>
    <w:rPr>
      <w:sz w:val="18"/>
      <w:szCs w:val="18"/>
    </w:rPr>
  </w:style>
  <w:style w:type="paragraph" w:styleId="20">
    <w:name w:val="header"/>
    <w:basedOn w:val="1"/>
    <w:link w:val="3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widowControl/>
      <w:spacing w:after="100" w:line="276" w:lineRule="auto"/>
      <w:jc w:val="left"/>
    </w:pPr>
    <w:rPr>
      <w:kern w:val="0"/>
      <w:sz w:val="22"/>
    </w:rPr>
  </w:style>
  <w:style w:type="paragraph" w:styleId="22">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3">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4">
    <w:name w:val="Body Text First Indent"/>
    <w:basedOn w:val="10"/>
    <w:unhideWhenUsed/>
    <w:qFormat/>
    <w:uiPriority w:val="99"/>
    <w:pPr>
      <w:ind w:firstLine="420"/>
    </w:pPr>
  </w:style>
  <w:style w:type="paragraph" w:styleId="25">
    <w:name w:val="Body Text First Indent 2"/>
    <w:basedOn w:val="12"/>
    <w:qFormat/>
    <w:uiPriority w:val="0"/>
    <w:pPr>
      <w:spacing w:line="360" w:lineRule="auto"/>
      <w:ind w:firstLine="420"/>
    </w:pPr>
    <w:rPr>
      <w:rFonts w:eastAsia="等线"/>
      <w:color w:val="000000"/>
      <w:szCs w:val="24"/>
    </w:rPr>
  </w:style>
  <w:style w:type="table" w:styleId="27">
    <w:name w:val="Table Grid"/>
    <w:basedOn w:val="2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9">
    <w:name w:val="Strong"/>
    <w:basedOn w:val="28"/>
    <w:qFormat/>
    <w:uiPriority w:val="22"/>
    <w:rPr>
      <w:b/>
      <w:bCs/>
    </w:rPr>
  </w:style>
  <w:style w:type="character" w:styleId="30">
    <w:name w:val="page number"/>
    <w:basedOn w:val="28"/>
    <w:qFormat/>
    <w:uiPriority w:val="0"/>
  </w:style>
  <w:style w:type="character" w:styleId="31">
    <w:name w:val="Hyperlink"/>
    <w:basedOn w:val="28"/>
    <w:unhideWhenUsed/>
    <w:qFormat/>
    <w:uiPriority w:val="99"/>
    <w:rPr>
      <w:color w:val="0000FF" w:themeColor="hyperlink"/>
      <w:u w:val="single"/>
      <w14:textFill>
        <w14:solidFill>
          <w14:schemeClr w14:val="hlink"/>
        </w14:solidFill>
      </w14:textFill>
    </w:rPr>
  </w:style>
  <w:style w:type="character" w:styleId="32">
    <w:name w:val="annotation reference"/>
    <w:basedOn w:val="28"/>
    <w:semiHidden/>
    <w:unhideWhenUsed/>
    <w:qFormat/>
    <w:uiPriority w:val="99"/>
    <w:rPr>
      <w:sz w:val="21"/>
      <w:szCs w:val="21"/>
    </w:rPr>
  </w:style>
  <w:style w:type="paragraph" w:customStyle="1" w:styleId="33">
    <w:name w:val="正文-段落"/>
    <w:qFormat/>
    <w:uiPriority w:val="0"/>
    <w:pPr>
      <w:spacing w:line="360" w:lineRule="auto"/>
      <w:ind w:firstLine="200" w:firstLineChars="200"/>
    </w:pPr>
    <w:rPr>
      <w:rFonts w:ascii="Calibri" w:hAnsi="Calibri" w:eastAsia="宋体" w:cs="宋体"/>
      <w:sz w:val="24"/>
      <w:szCs w:val="24"/>
      <w:lang w:val="en-GB" w:eastAsia="zh-CN" w:bidi="ar-SA"/>
    </w:rPr>
  </w:style>
  <w:style w:type="paragraph" w:customStyle="1" w:styleId="34">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35">
    <w:name w:val="BodyText"/>
    <w:basedOn w:val="1"/>
    <w:next w:val="36"/>
    <w:qFormat/>
    <w:uiPriority w:val="0"/>
    <w:pPr>
      <w:textAlignment w:val="baseline"/>
    </w:pPr>
    <w:rPr>
      <w:rFonts w:ascii="Times New Roman" w:hAnsi="Times New Roman" w:eastAsia="宋体"/>
      <w:sz w:val="28"/>
    </w:rPr>
  </w:style>
  <w:style w:type="paragraph" w:customStyle="1" w:styleId="36">
    <w:name w:val="BodyText2"/>
    <w:basedOn w:val="1"/>
    <w:qFormat/>
    <w:uiPriority w:val="0"/>
    <w:pPr>
      <w:spacing w:after="120" w:line="480" w:lineRule="auto"/>
      <w:textAlignment w:val="baseline"/>
    </w:pPr>
  </w:style>
  <w:style w:type="character" w:customStyle="1" w:styleId="37">
    <w:name w:val="页眉 字符"/>
    <w:basedOn w:val="28"/>
    <w:link w:val="20"/>
    <w:semiHidden/>
    <w:qFormat/>
    <w:uiPriority w:val="99"/>
    <w:rPr>
      <w:sz w:val="18"/>
      <w:szCs w:val="18"/>
    </w:rPr>
  </w:style>
  <w:style w:type="character" w:customStyle="1" w:styleId="38">
    <w:name w:val="页脚 字符"/>
    <w:basedOn w:val="28"/>
    <w:link w:val="19"/>
    <w:qFormat/>
    <w:uiPriority w:val="99"/>
    <w:rPr>
      <w:sz w:val="18"/>
      <w:szCs w:val="18"/>
    </w:rPr>
  </w:style>
  <w:style w:type="character" w:customStyle="1" w:styleId="39">
    <w:name w:val="标题 1 字符"/>
    <w:basedOn w:val="28"/>
    <w:link w:val="4"/>
    <w:qFormat/>
    <w:uiPriority w:val="9"/>
    <w:rPr>
      <w:rFonts w:eastAsia="方正小标宋简体"/>
      <w:bCs/>
      <w:kern w:val="44"/>
      <w:sz w:val="44"/>
      <w:szCs w:val="44"/>
    </w:rPr>
  </w:style>
  <w:style w:type="character" w:customStyle="1" w:styleId="40">
    <w:name w:val="标题 2 字符"/>
    <w:basedOn w:val="28"/>
    <w:link w:val="5"/>
    <w:qFormat/>
    <w:uiPriority w:val="9"/>
    <w:rPr>
      <w:rFonts w:eastAsia="方正小标宋简体" w:asciiTheme="majorHAnsi" w:hAnsiTheme="majorHAnsi" w:cstheme="majorBidi"/>
      <w:bCs/>
      <w:sz w:val="36"/>
      <w:szCs w:val="32"/>
    </w:rPr>
  </w:style>
  <w:style w:type="character" w:customStyle="1" w:styleId="41">
    <w:name w:val="标题 3 字符"/>
    <w:basedOn w:val="28"/>
    <w:link w:val="6"/>
    <w:qFormat/>
    <w:uiPriority w:val="9"/>
    <w:rPr>
      <w:rFonts w:ascii="Calibri" w:hAnsi="Calibri" w:eastAsia="宋体" w:cs="Times New Roman"/>
      <w:b/>
      <w:bCs/>
      <w:sz w:val="32"/>
      <w:szCs w:val="32"/>
    </w:rPr>
  </w:style>
  <w:style w:type="paragraph" w:styleId="42">
    <w:name w:val="List Paragraph"/>
    <w:basedOn w:val="1"/>
    <w:link w:val="50"/>
    <w:qFormat/>
    <w:uiPriority w:val="34"/>
    <w:pPr>
      <w:ind w:firstLine="420" w:firstLineChars="200"/>
    </w:pPr>
  </w:style>
  <w:style w:type="paragraph" w:customStyle="1" w:styleId="43">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4">
    <w:name w:val="批注框文本 字符"/>
    <w:basedOn w:val="28"/>
    <w:link w:val="18"/>
    <w:semiHidden/>
    <w:qFormat/>
    <w:uiPriority w:val="99"/>
    <w:rPr>
      <w:sz w:val="18"/>
      <w:szCs w:val="18"/>
    </w:rPr>
  </w:style>
  <w:style w:type="paragraph" w:styleId="45">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
    <w:name w:val="CM97"/>
    <w:basedOn w:val="15"/>
    <w:next w:val="15"/>
    <w:qFormat/>
    <w:uiPriority w:val="0"/>
    <w:pPr>
      <w:spacing w:after="373"/>
    </w:pPr>
    <w:rPr>
      <w:color w:val="auto"/>
    </w:rPr>
  </w:style>
  <w:style w:type="paragraph" w:customStyle="1" w:styleId="47">
    <w:name w:val="CM91"/>
    <w:basedOn w:val="15"/>
    <w:next w:val="15"/>
    <w:qFormat/>
    <w:uiPriority w:val="0"/>
    <w:pPr>
      <w:spacing w:after="160"/>
    </w:pPr>
    <w:rPr>
      <w:color w:val="auto"/>
    </w:rPr>
  </w:style>
  <w:style w:type="character" w:customStyle="1" w:styleId="48">
    <w:name w:val="正文文本 3 Char"/>
    <w:qFormat/>
    <w:uiPriority w:val="99"/>
    <w:rPr>
      <w:sz w:val="16"/>
      <w:szCs w:val="16"/>
    </w:rPr>
  </w:style>
  <w:style w:type="character" w:customStyle="1" w:styleId="49">
    <w:name w:val="正文文本 3 字符"/>
    <w:basedOn w:val="28"/>
    <w:link w:val="9"/>
    <w:semiHidden/>
    <w:qFormat/>
    <w:uiPriority w:val="99"/>
    <w:rPr>
      <w:sz w:val="16"/>
      <w:szCs w:val="16"/>
    </w:rPr>
  </w:style>
  <w:style w:type="character" w:customStyle="1" w:styleId="50">
    <w:name w:val="列表段落 字符"/>
    <w:link w:val="42"/>
    <w:qFormat/>
    <w:uiPriority w:val="34"/>
  </w:style>
  <w:style w:type="paragraph" w:customStyle="1" w:styleId="51">
    <w:name w:val="1"/>
    <w:basedOn w:val="1"/>
    <w:next w:val="14"/>
    <w:qFormat/>
    <w:uiPriority w:val="99"/>
    <w:rPr>
      <w:rFonts w:ascii="宋体" w:hAnsi="Courier New"/>
    </w:rPr>
  </w:style>
  <w:style w:type="paragraph" w:customStyle="1" w:styleId="52">
    <w:name w:val="WPSOffice手动目录 1"/>
    <w:qFormat/>
    <w:uiPriority w:val="0"/>
    <w:rPr>
      <w:rFonts w:asciiTheme="minorHAnsi" w:hAnsiTheme="minorHAnsi" w:eastAsiaTheme="minorEastAsia" w:cstheme="minorBidi"/>
      <w:lang w:val="en-US" w:eastAsia="zh-CN" w:bidi="ar-SA"/>
    </w:rPr>
  </w:style>
  <w:style w:type="paragraph" w:customStyle="1" w:styleId="53">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54">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55">
    <w:name w:val="font41"/>
    <w:basedOn w:val="28"/>
    <w:qFormat/>
    <w:uiPriority w:val="0"/>
    <w:rPr>
      <w:rFonts w:ascii="Arial" w:hAnsi="Arial" w:cs="Arial"/>
      <w:color w:val="000000"/>
      <w:sz w:val="28"/>
      <w:szCs w:val="28"/>
      <w:u w:val="none"/>
    </w:rPr>
  </w:style>
  <w:style w:type="character" w:customStyle="1" w:styleId="56">
    <w:name w:val="font61"/>
    <w:basedOn w:val="28"/>
    <w:qFormat/>
    <w:uiPriority w:val="0"/>
    <w:rPr>
      <w:rFonts w:hint="eastAsia" w:ascii="宋体" w:hAnsi="宋体" w:eastAsia="宋体" w:cs="宋体"/>
      <w:color w:val="000000"/>
      <w:sz w:val="28"/>
      <w:szCs w:val="28"/>
      <w:u w:val="none"/>
    </w:rPr>
  </w:style>
  <w:style w:type="paragraph" w:customStyle="1" w:styleId="57">
    <w:name w:val="样式 正文文字 + 首行缩进:  2 字符2"/>
    <w:basedOn w:val="1"/>
    <w:qFormat/>
    <w:uiPriority w:val="0"/>
    <w:pPr>
      <w:spacing w:line="480" w:lineRule="atLeast"/>
      <w:ind w:firstLine="560" w:firstLineChars="200"/>
    </w:pPr>
    <w:rPr>
      <w:rFonts w:cs="宋体"/>
      <w:szCs w:val="20"/>
    </w:rPr>
  </w:style>
  <w:style w:type="paragraph" w:customStyle="1" w:styleId="58">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59">
    <w:name w:val="_Style 4"/>
    <w:basedOn w:val="4"/>
    <w:next w:val="1"/>
    <w:qFormat/>
    <w:uiPriority w:val="0"/>
    <w:pPr>
      <w:keepNext w:val="0"/>
      <w:keepLines w:val="0"/>
      <w:spacing w:before="0" w:after="0" w:line="576" w:lineRule="auto"/>
      <w:jc w:val="left"/>
      <w:outlineLvl w:val="9"/>
    </w:pPr>
    <w:rPr>
      <w:rFonts w:ascii="Calibri" w:hAnsi="Calibri" w:eastAsia="黑体"/>
      <w:bCs w:val="0"/>
      <w:kern w:val="0"/>
      <w:lang w:eastAsia="en-US"/>
    </w:rPr>
  </w:style>
  <w:style w:type="paragraph" w:customStyle="1" w:styleId="60">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61">
    <w:name w:val="正"/>
    <w:basedOn w:val="33"/>
    <w:qFormat/>
    <w:uiPriority w:val="0"/>
    <w:pPr>
      <w:ind w:firstLine="560"/>
      <w:jc w:val="both"/>
    </w:pPr>
    <w:rPr>
      <w:sz w:val="28"/>
      <w:szCs w:val="28"/>
    </w:rPr>
  </w:style>
  <w:style w:type="paragraph" w:customStyle="1" w:styleId="62">
    <w:name w:val="样式 宋体 小四 黑色 行距: 1.5 倍行距1"/>
    <w:basedOn w:val="1"/>
    <w:qFormat/>
    <w:uiPriority w:val="0"/>
    <w:pPr>
      <w:spacing w:line="360" w:lineRule="auto"/>
      <w:ind w:firstLine="480" w:firstLineChars="200"/>
    </w:pPr>
    <w:rPr>
      <w:rFonts w:ascii="宋体" w:hAnsi="宋体" w:eastAsia="宋体" w:cs="宋体"/>
      <w:color w:val="000000"/>
      <w:kern w:val="0"/>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129</Pages>
  <Words>78016</Words>
  <Characters>88601</Characters>
  <Lines>389</Lines>
  <Paragraphs>109</Paragraphs>
  <TotalTime>2</TotalTime>
  <ScaleCrop>false</ScaleCrop>
  <LinksUpToDate>false</LinksUpToDate>
  <CharactersWithSpaces>92032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2022-09-02T02:47:00Z</dcterms:created>
  <dc:creator>陈义春</dc:creator>
  <cp:lastModifiedBy>刘琳</cp:lastModifiedBy>
  <dcterms:modified xsi:type="dcterms:W3CDTF">2022-11-29T06:53:52Z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88560242571649118299A88A53BC6D8A</vt:lpwstr>
  </property>
</Properties>
</file>