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560" w:lineRule="exact"/>
        <w:jc w:val="center"/>
        <w:rPr>
          <w:rFonts w:ascii="方正小标宋简体" w:eastAsia="方正小标宋简体"/>
          <w:sz w:val="52"/>
          <w:szCs w:val="52"/>
        </w:rPr>
      </w:pPr>
      <w:r>
        <w:rPr>
          <w:rFonts w:hint="eastAsia" w:ascii="方正小标宋简体" w:eastAsia="方正小标宋简体"/>
          <w:sz w:val="52"/>
          <w:szCs w:val="52"/>
        </w:rPr>
        <w:t>广州市净水有限公司</w:t>
      </w:r>
    </w:p>
    <w:p>
      <w:pPr>
        <w:pStyle w:val="3"/>
        <w:widowControl/>
        <w:spacing w:after="157" w:line="560" w:lineRule="exact"/>
        <w:jc w:val="center"/>
        <w:rPr>
          <w:rFonts w:hint="eastAsia" w:ascii="方正小标宋简体" w:eastAsia="方正小标宋简体"/>
          <w:sz w:val="52"/>
          <w:szCs w:val="52"/>
        </w:rPr>
      </w:pPr>
      <w:r>
        <w:rPr>
          <w:rFonts w:hint="eastAsia" w:ascii="方正小标宋简体" w:eastAsia="方正小标宋简体" w:hAnsiTheme="minorHAnsi" w:cstheme="minorBidi"/>
          <w:b w:val="0"/>
          <w:bCs w:val="0"/>
          <w:i w:val="0"/>
          <w:iCs w:val="0"/>
          <w:color w:val="000000"/>
          <w:spacing w:val="0"/>
          <w:w w:val="100"/>
          <w:kern w:val="2"/>
          <w:sz w:val="52"/>
          <w:szCs w:val="52"/>
          <w:vertAlign w:val="baseline"/>
          <w:lang w:val="en-US" w:eastAsia="zh-CN"/>
        </w:rPr>
        <w:t>2023年度网络信息设备运维</w:t>
      </w:r>
      <w:r>
        <w:rPr>
          <w:rFonts w:hint="eastAsia" w:ascii="方正小标宋简体" w:eastAsia="方正小标宋简体"/>
          <w:sz w:val="52"/>
          <w:szCs w:val="52"/>
        </w:rPr>
        <w:t>项目</w:t>
      </w:r>
    </w:p>
    <w:p>
      <w:pPr>
        <w:pStyle w:val="3"/>
        <w:widowControl/>
        <w:spacing w:after="157" w:line="560" w:lineRule="exact"/>
        <w:jc w:val="center"/>
        <w:rPr>
          <w:rFonts w:hint="eastAsia" w:ascii="方正小标宋简体" w:eastAsia="方正小标宋简体"/>
          <w:sz w:val="52"/>
          <w:szCs w:val="52"/>
        </w:rPr>
      </w:pPr>
    </w:p>
    <w:p>
      <w:pPr>
        <w:jc w:val="center"/>
        <w:rPr>
          <w:rFonts w:ascii="仿宋_GB2312" w:eastAsia="仿宋_GB2312"/>
          <w:sz w:val="32"/>
          <w:szCs w:val="3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sectPr>
          <w:headerReference r:id="rId3" w:type="even"/>
          <w:footerReference r:id="rId4" w:type="even"/>
          <w:pgSz w:w="11907" w:h="16840"/>
          <w:pgMar w:top="1701" w:right="1701" w:bottom="1701" w:left="1701" w:header="851" w:footer="992" w:gutter="0"/>
          <w:pgNumType w:fmt="decimal"/>
          <w:cols w:space="0" w:num="1"/>
          <w:docGrid w:type="linesAndChars" w:linePitch="381" w:charSpace="0"/>
        </w:sectPr>
      </w:pPr>
    </w:p>
    <w:p>
      <w:pPr>
        <w:pStyle w:val="25"/>
      </w:pPr>
    </w:p>
    <w:p>
      <w:pPr>
        <w:pStyle w:val="40"/>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采购公告（采购邀请书）</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p>
    <w:p>
      <w:pPr>
        <w:pStyle w:val="25"/>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18145"/>
      <w:bookmarkStart w:id="1" w:name="_Toc26148"/>
    </w:p>
    <w:p/>
    <w:p>
      <w:pPr>
        <w:pStyle w:val="3"/>
      </w:pPr>
      <w:bookmarkStart w:id="2" w:name="_Toc17696"/>
      <w:bookmarkStart w:id="3" w:name="_Toc1711"/>
    </w:p>
    <w:p/>
    <w:p>
      <w:pPr>
        <w:pStyle w:val="25"/>
        <w:rPr>
          <w:color w:val="auto"/>
        </w:rPr>
      </w:pPr>
    </w:p>
    <w:p>
      <w:pPr>
        <w:pStyle w:val="25"/>
        <w:rPr>
          <w:color w:val="auto"/>
        </w:rPr>
      </w:pPr>
    </w:p>
    <w:p>
      <w:pPr>
        <w:pStyle w:val="25"/>
        <w:rPr>
          <w:color w:val="auto"/>
        </w:rPr>
      </w:pPr>
    </w:p>
    <w:p>
      <w:pPr>
        <w:pStyle w:val="25"/>
        <w:rPr>
          <w:color w:val="auto"/>
        </w:rPr>
      </w:pPr>
    </w:p>
    <w:p>
      <w:pPr>
        <w:pStyle w:val="3"/>
      </w:pPr>
      <w:bookmarkStart w:id="4" w:name="_Toc4275"/>
      <w:bookmarkStart w:id="5" w:name="_Toc31938"/>
      <w:bookmarkStart w:id="6" w:name="_Toc17801"/>
      <w:bookmarkStart w:id="7" w:name="_Toc7519"/>
      <w:bookmarkStart w:id="8" w:name="_Toc19609"/>
      <w:bookmarkStart w:id="9" w:name="_Toc1669"/>
      <w:bookmarkStart w:id="10" w:name="_Toc11322"/>
    </w:p>
    <w:p>
      <w:pPr>
        <w:pStyle w:val="3"/>
        <w:jc w:val="both"/>
      </w:pPr>
    </w:p>
    <w:p>
      <w:pPr>
        <w:pStyle w:val="3"/>
      </w:pPr>
      <w:r>
        <mc:AlternateContent>
          <mc:Choice Requires="wps">
            <w:drawing>
              <wp:anchor distT="0" distB="0" distL="114300" distR="114300" simplePos="0" relativeHeight="251671552" behindDoc="0" locked="0" layoutInCell="1" allowOverlap="1">
                <wp:simplePos x="0" y="0"/>
                <wp:positionH relativeFrom="column">
                  <wp:posOffset>2399665</wp:posOffset>
                </wp:positionH>
                <wp:positionV relativeFrom="paragraph">
                  <wp:posOffset>102235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8.95pt;margin-top:8.05pt;height:0pt;width:75.5pt;z-index:251671552;mso-width-relative:page;mso-height-relative:page;" filled="f" stroked="t" coordsize="21600,21600" o:gfxdata="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KTyI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2386965</wp:posOffset>
                </wp:positionH>
                <wp:positionV relativeFrom="paragraph">
                  <wp:posOffset>485775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7.95pt;margin-top:38.25pt;height:0pt;width:75.5pt;z-index:251672576;mso-width-relative:page;mso-height-relative:page;" filled="f" stroked="t" coordsize="21600,21600" o:gfxdata="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8mnoN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
        <w:rPr>
          <w:rFonts w:hint="eastAsia"/>
        </w:rPr>
      </w:pPr>
    </w:p>
    <w:p>
      <w:pPr>
        <w:pStyle w:val="3"/>
      </w:pPr>
      <w:r>
        <w:rPr>
          <w:rFonts w:hint="eastAsia"/>
          <w:lang w:val="en-US" w:eastAsia="zh-CN"/>
        </w:rPr>
        <w:t xml:space="preserve">    </w:t>
      </w: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5"/>
        <w:rPr>
          <w:rFonts w:ascii="方正小标宋简体" w:eastAsia="方正小标宋简体"/>
          <w:color w:val="auto"/>
          <w:sz w:val="44"/>
          <w:szCs w:val="44"/>
        </w:rPr>
      </w:pPr>
    </w:p>
    <w:p>
      <w:pPr>
        <w:pStyle w:val="25"/>
        <w:rPr>
          <w:rFonts w:ascii="方正小标宋简体" w:eastAsia="方正小标宋简体"/>
          <w:color w:val="auto"/>
          <w:sz w:val="44"/>
          <w:szCs w:val="44"/>
        </w:rPr>
      </w:pPr>
    </w:p>
    <w:p>
      <w:pPr>
        <w:pStyle w:val="25"/>
        <w:rPr>
          <w:rFonts w:ascii="方正小标宋简体" w:eastAsia="方正小标宋简体"/>
          <w:color w:val="auto"/>
          <w:sz w:val="44"/>
          <w:szCs w:val="44"/>
        </w:rPr>
      </w:pPr>
    </w:p>
    <w:p>
      <w:pPr>
        <w:pStyle w:val="25"/>
        <w:rPr>
          <w:rFonts w:ascii="方正小标宋简体" w:eastAsia="方正小标宋简体"/>
          <w:color w:val="auto"/>
          <w:sz w:val="44"/>
          <w:szCs w:val="44"/>
        </w:rPr>
      </w:pPr>
    </w:p>
    <w:p>
      <w:pPr>
        <w:pStyle w:val="25"/>
        <w:rPr>
          <w:rFonts w:ascii="方正小标宋简体" w:eastAsia="方正小标宋简体"/>
          <w:color w:val="auto"/>
          <w:sz w:val="44"/>
          <w:szCs w:val="4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2023年度网络信息设备运维</w:t>
      </w:r>
      <w:r>
        <w:rPr>
          <w:rFonts w:hint="eastAsia" w:ascii="仿宋_GB2312" w:eastAsia="仿宋_GB2312"/>
          <w:sz w:val="28"/>
          <w:szCs w:val="28"/>
          <w:u w:val="single"/>
        </w:rPr>
        <w:t>项目</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2023年度网络信息设备运维</w:t>
      </w:r>
      <w:r>
        <w:rPr>
          <w:rFonts w:hint="eastAsia" w:ascii="仿宋_GB2312" w:eastAsia="仿宋_GB2312"/>
          <w:sz w:val="28"/>
          <w:szCs w:val="28"/>
          <w:u w:val="single"/>
        </w:rPr>
        <w:t>项目</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XJ-20221124-1</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 xml:space="preserve"> ￥698104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lang w:val="en-US" w:eastAsia="zh-CN"/>
        </w:rPr>
        <w:t>广州市净水有限公司中心机房及所属各单位网络接入设备、视频会议设备等的维护服务，具体详见第五章采购需求。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自合同签订之日起1年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 xml:space="preserve">广州市净水有限公司及所属单位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rPr>
        <w:sym w:font="Wingdings 2" w:char="0052"/>
      </w:r>
      <w:r>
        <w:rPr>
          <w:rFonts w:hint="eastAsia" w:ascii="仿宋_GB2312" w:eastAsia="仿宋_GB2312"/>
          <w:sz w:val="28"/>
          <w:szCs w:val="28"/>
        </w:rPr>
        <w:t>（2）供应商应当具备</w:t>
      </w:r>
      <w:r>
        <w:rPr>
          <w:rFonts w:hint="default" w:ascii="仿宋_GB2312" w:eastAsia="仿宋_GB2312"/>
          <w:sz w:val="28"/>
          <w:szCs w:val="28"/>
          <w:u w:val="none"/>
          <w:lang w:val="en-US"/>
        </w:rPr>
        <w:t>信息</w:t>
      </w:r>
      <w:r>
        <w:rPr>
          <w:rFonts w:hint="eastAsia" w:ascii="仿宋_GB2312" w:eastAsia="仿宋_GB2312"/>
          <w:sz w:val="28"/>
          <w:szCs w:val="28"/>
          <w:u w:val="none"/>
          <w:lang w:val="en-US" w:eastAsia="zh-CN"/>
        </w:rPr>
        <w:t>技术</w:t>
      </w:r>
      <w:r>
        <w:rPr>
          <w:rFonts w:hint="default" w:ascii="仿宋_GB2312" w:eastAsia="仿宋_GB2312"/>
          <w:sz w:val="28"/>
          <w:szCs w:val="28"/>
          <w:u w:val="none"/>
          <w:lang w:val="en-US"/>
        </w:rPr>
        <w:t>服务</w:t>
      </w:r>
      <w:r>
        <w:rPr>
          <w:rFonts w:hint="eastAsia" w:ascii="仿宋_GB2312" w:eastAsia="仿宋_GB2312"/>
          <w:sz w:val="28"/>
          <w:szCs w:val="28"/>
          <w:u w:val="none"/>
          <w:lang w:val="en-US" w:eastAsia="zh-CN"/>
        </w:rPr>
        <w:t>管理体系认证和</w:t>
      </w:r>
      <w:r>
        <w:rPr>
          <w:rFonts w:hint="default" w:ascii="仿宋_GB2312" w:eastAsia="仿宋_GB2312"/>
          <w:sz w:val="28"/>
          <w:szCs w:val="28"/>
          <w:u w:val="none"/>
          <w:lang w:val="en-US"/>
        </w:rPr>
        <w:t>信息安全管理体系认证</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single"/>
        </w:rPr>
        <w:t>20</w:t>
      </w:r>
      <w:r>
        <w:rPr>
          <w:rFonts w:hint="eastAsia" w:ascii="仿宋_GB2312" w:eastAsia="仿宋_GB2312"/>
          <w:sz w:val="28"/>
          <w:szCs w:val="28"/>
          <w:u w:val="single"/>
          <w:lang w:val="en-US" w:eastAsia="zh-CN"/>
        </w:rPr>
        <w:t>19</w:t>
      </w:r>
      <w:r>
        <w:rPr>
          <w:rFonts w:hint="eastAsia" w:ascii="仿宋_GB2312" w:eastAsia="仿宋_GB2312"/>
          <w:sz w:val="28"/>
          <w:szCs w:val="28"/>
        </w:rPr>
        <w:t>年1月1日至今，供应商最少具有一项</w:t>
      </w:r>
      <w:r>
        <w:rPr>
          <w:rFonts w:hint="eastAsia" w:ascii="仿宋_GB2312" w:eastAsia="仿宋_GB2312"/>
          <w:sz w:val="28"/>
          <w:szCs w:val="28"/>
          <w:u w:val="none"/>
          <w:lang w:val="en-US" w:eastAsia="zh-CN"/>
        </w:rPr>
        <w:t>类似网络</w:t>
      </w:r>
      <w:r>
        <w:rPr>
          <w:rFonts w:hint="eastAsia" w:ascii="仿宋_GB2312" w:eastAsia="仿宋_GB2312"/>
          <w:sz w:val="28"/>
          <w:szCs w:val="28"/>
          <w:u w:val="none"/>
        </w:rPr>
        <w:t>信息</w:t>
      </w:r>
      <w:r>
        <w:rPr>
          <w:rFonts w:hint="eastAsia" w:ascii="仿宋_GB2312" w:eastAsia="仿宋_GB2312"/>
          <w:sz w:val="28"/>
          <w:szCs w:val="28"/>
          <w:u w:val="none"/>
          <w:lang w:val="en-US" w:eastAsia="zh-CN"/>
        </w:rPr>
        <w:t>设备运维服务</w:t>
      </w:r>
      <w:r>
        <w:rPr>
          <w:rFonts w:hint="eastAsia" w:ascii="仿宋_GB2312" w:eastAsia="仿宋_GB2312"/>
          <w:sz w:val="28"/>
          <w:szCs w:val="28"/>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（4）项目负责人</w:t>
      </w:r>
      <w:r>
        <w:rPr>
          <w:rFonts w:hint="eastAsia" w:ascii="仿宋_GB2312" w:eastAsia="仿宋_GB2312"/>
          <w:sz w:val="28"/>
          <w:szCs w:val="28"/>
          <w:lang w:val="en-US" w:eastAsia="zh-CN"/>
        </w:rPr>
        <w:t>及驻场人员须提供在本单位近三个月社保记录，（以加盖社会保险基金管理中心印章的《缴费历史明细表》或《社会保险参保人员证明》为准，加盖单位公章</w:t>
      </w:r>
      <w:r>
        <w:rPr>
          <w:rFonts w:hint="eastAsia" w:ascii="仿宋_GB2312" w:eastAsia="仿宋_GB2312"/>
          <w:sz w:val="28"/>
          <w:szCs w:val="28"/>
        </w:rPr>
        <w:t>。</w:t>
      </w:r>
    </w:p>
    <w:p>
      <w:pPr>
        <w:pStyle w:val="25"/>
        <w:spacing w:line="600" w:lineRule="exact"/>
        <w:ind w:firstLine="0"/>
        <w:jc w:val="left"/>
        <w:rPr>
          <w:rFonts w:hint="eastAsia" w:ascii="仿宋_GB2312" w:eastAsia="仿宋_GB2312"/>
          <w:color w:val="auto"/>
          <w:sz w:val="28"/>
          <w:szCs w:val="28"/>
          <w:u w:val="non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）其他要求：</w:t>
      </w:r>
      <w:r>
        <w:rPr>
          <w:rFonts w:hint="eastAsia" w:ascii="仿宋_GB2312" w:eastAsia="仿宋_GB2312"/>
          <w:color w:val="auto"/>
          <w:sz w:val="28"/>
          <w:szCs w:val="28"/>
          <w:lang w:val="en-US" w:eastAsia="zh-CN"/>
        </w:rPr>
        <w:t>提供响应承诺书，</w:t>
      </w:r>
      <w:r>
        <w:rPr>
          <w:rFonts w:hint="eastAsia" w:ascii="仿宋_GB2312" w:eastAsia="仿宋_GB2312"/>
          <w:color w:val="auto"/>
          <w:sz w:val="28"/>
          <w:szCs w:val="28"/>
          <w:u w:val="none"/>
        </w:rPr>
        <w:t>报价单位</w:t>
      </w:r>
      <w:r>
        <w:rPr>
          <w:rFonts w:hint="eastAsia" w:ascii="仿宋_GB2312" w:eastAsia="仿宋_GB2312"/>
          <w:color w:val="auto"/>
          <w:sz w:val="28"/>
          <w:szCs w:val="28"/>
          <w:lang w:val="en-US" w:eastAsia="zh-CN"/>
        </w:rPr>
        <w:t>承诺中选后于</w:t>
      </w:r>
      <w:r>
        <w:rPr>
          <w:rFonts w:hint="eastAsia" w:ascii="仿宋_GB2312" w:eastAsia="仿宋_GB2312"/>
          <w:color w:val="auto"/>
          <w:sz w:val="28"/>
          <w:szCs w:val="28"/>
          <w:u w:val="none"/>
        </w:rPr>
        <w:t>5天内，提供项目所涉</w:t>
      </w:r>
      <w:r>
        <w:rPr>
          <w:rFonts w:hint="eastAsia" w:ascii="仿宋_GB2312" w:eastAsia="仿宋_GB2312"/>
          <w:sz w:val="28"/>
          <w:szCs w:val="28"/>
          <w:u w:val="none"/>
        </w:rPr>
        <w:t>及无纸化会议系统维保设备的原厂（广州市保伦电子有限公司：简称I</w:t>
      </w:r>
      <w:r>
        <w:rPr>
          <w:rFonts w:ascii="仿宋_GB2312" w:eastAsia="仿宋_GB2312"/>
          <w:sz w:val="28"/>
          <w:szCs w:val="28"/>
          <w:u w:val="none"/>
        </w:rPr>
        <w:t>TC</w:t>
      </w:r>
      <w:r>
        <w:rPr>
          <w:rFonts w:hint="eastAsia" w:ascii="仿宋_GB2312" w:eastAsia="仿宋_GB2312"/>
          <w:sz w:val="28"/>
          <w:szCs w:val="28"/>
          <w:u w:val="none"/>
        </w:rPr>
        <w:t>）售后服务</w:t>
      </w:r>
      <w:r>
        <w:rPr>
          <w:rFonts w:ascii="仿宋_GB2312" w:eastAsia="仿宋_GB2312"/>
          <w:sz w:val="28"/>
          <w:szCs w:val="28"/>
          <w:u w:val="none"/>
        </w:rPr>
        <w:t>承诺函</w:t>
      </w:r>
      <w:r>
        <w:rPr>
          <w:rFonts w:hint="eastAsia" w:ascii="仿宋_GB2312" w:eastAsia="仿宋_GB2312"/>
          <w:color w:val="auto"/>
          <w:sz w:val="28"/>
          <w:szCs w:val="28"/>
          <w:u w:val="none"/>
        </w:rPr>
        <w:t>（加盖原厂公章）；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non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jc w:val="left"/>
        <w:rPr>
          <w:rFonts w:asciiTheme="minorEastAsia" w:hAnsiTheme="minorEastAsia"/>
          <w:b/>
          <w:sz w:val="32"/>
          <w:szCs w:val="32"/>
        </w:rPr>
      </w:pPr>
      <w:r>
        <w:rPr>
          <w:rFonts w:hint="eastAsia" w:ascii="仿宋_GB2312" w:eastAsia="仿宋_GB2312"/>
          <w:sz w:val="28"/>
          <w:szCs w:val="28"/>
        </w:rPr>
        <w:t xml:space="preserve">□组织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30</w:t>
      </w:r>
      <w:bookmarkStart w:id="158" w:name="_GoBack"/>
      <w:bookmarkEnd w:id="158"/>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10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38890841</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pStyle w:val="25"/>
        <w:ind w:firstLine="0"/>
        <w:rPr>
          <w:rFonts w:ascii="仿宋_GB2312" w:eastAsia="仿宋_GB2312" w:hAnsiTheme="majorEastAsia"/>
          <w:color w:val="auto"/>
          <w:sz w:val="28"/>
          <w:szCs w:val="28"/>
        </w:rPr>
      </w:pPr>
    </w:p>
    <w:p>
      <w:pPr>
        <w:pStyle w:val="3"/>
        <w:rPr>
          <w:rFonts w:hint="eastAsia"/>
          <w:lang w:val="en-US" w:eastAsia="zh-CN"/>
        </w:rPr>
      </w:pPr>
      <w:bookmarkStart w:id="13" w:name="_Toc16705"/>
      <w:bookmarkStart w:id="14" w:name="_Toc16557"/>
      <w:bookmarkStart w:id="15" w:name="_Toc32588"/>
      <w:bookmarkStart w:id="16" w:name="_Toc10891"/>
      <w:bookmarkStart w:id="17" w:name="_Toc2324"/>
      <w:bookmarkStart w:id="18" w:name="_Toc19295"/>
      <w:bookmarkStart w:id="19" w:name="_Toc25603"/>
      <w:bookmarkStart w:id="20" w:name="_Toc2331"/>
      <w:bookmarkStart w:id="21" w:name="_Toc7340"/>
      <w:bookmarkStart w:id="22" w:name="_Toc23749"/>
      <w:bookmarkStart w:id="23" w:name="_Toc9448"/>
      <w:r>
        <w:rPr>
          <w:rFonts w:hint="eastAsia"/>
          <w:lang w:val="en-US" w:eastAsia="zh-CN"/>
        </w:rPr>
        <w:t xml:space="preserve"> </w:t>
      </w:r>
    </w:p>
    <w:p>
      <w:pPr>
        <w:pStyle w:val="3"/>
      </w:pPr>
      <w:r>
        <w:rPr>
          <w:sz w:val="44"/>
        </w:rPr>
        <mc:AlternateContent>
          <mc:Choice Requires="wps">
            <w:drawing>
              <wp:anchor distT="0" distB="0" distL="114300" distR="114300" simplePos="0" relativeHeight="251676672" behindDoc="0" locked="0" layoutInCell="1" allowOverlap="1">
                <wp:simplePos x="0" y="0"/>
                <wp:positionH relativeFrom="column">
                  <wp:posOffset>2177415</wp:posOffset>
                </wp:positionH>
                <wp:positionV relativeFrom="paragraph">
                  <wp:posOffset>512445</wp:posOffset>
                </wp:positionV>
                <wp:extent cx="1356360" cy="0"/>
                <wp:effectExtent l="0" t="0" r="0" b="0"/>
                <wp:wrapNone/>
                <wp:docPr id="18" name="直接连接符 18"/>
                <wp:cNvGraphicFramePr/>
                <a:graphic xmlns:a="http://schemas.openxmlformats.org/drawingml/2006/main">
                  <a:graphicData uri="http://schemas.microsoft.com/office/word/2010/wordprocessingShape">
                    <wps:wsp>
                      <wps:cNvCnPr/>
                      <wps:spPr>
                        <a:xfrm>
                          <a:off x="3139440" y="2629535"/>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1.45pt;margin-top:40.35pt;height:0pt;width:106.8pt;z-index:251676672;mso-width-relative:page;mso-height-relative:page;" filled="f" stroked="t" coordsize="21600,21600" o:gfxdata="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uVCe1wAAAAkBAAAPAAAAAAAAAAEAIAAAACIAAABkcnMvZG93&#10;bnJldi54bWxQSwECFAAUAAAACACHTuJA2RYwEgECAADhAwAADgAAAAAAAAABACAAAAAmAQAAZHJz&#10;L2Uyb0RvYy54bWxQSwUGAAAAAAYABgBZAQAAmQUAAAAA&#10;">
                <v:fill on="f" focussize="0,0"/>
                <v:stroke color="#000000 [3200]" joinstyle="round"/>
                <v:imagedata o:title=""/>
                <o:lock v:ext="edit" aspectratio="f"/>
              </v:lin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2217420</wp:posOffset>
                </wp:positionH>
                <wp:positionV relativeFrom="paragraph">
                  <wp:posOffset>48895</wp:posOffset>
                </wp:positionV>
                <wp:extent cx="1235710" cy="5715"/>
                <wp:effectExtent l="0" t="4445" r="8890" b="8890"/>
                <wp:wrapNone/>
                <wp:docPr id="13" name="直接连接符 13"/>
                <wp:cNvGraphicFramePr/>
                <a:graphic xmlns:a="http://schemas.openxmlformats.org/drawingml/2006/main">
                  <a:graphicData uri="http://schemas.microsoft.com/office/word/2010/wordprocessingShape">
                    <wps:wsp>
                      <wps:cNvCnPr/>
                      <wps:spPr>
                        <a:xfrm flipV="1">
                          <a:off x="3179445" y="1929130"/>
                          <a:ext cx="1235710"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6pt;margin-top:3.85pt;height:0.45pt;width:97.3pt;z-index:251675648;mso-width-relative:page;mso-height-relative:page;" filled="f" stroked="t" coordsize="21600,21600" o:gfxdata="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VmPPrXAAAABwEAAA8AAAAAAAAAAQAgAAAAIgAAAGRy&#10;cy9kb3ducmV2LnhtbFBLAQIUABQAAAAIAIdO4kB5hYciBgIAAO4DAAAOAAAAAAAAAAEAIAAAACYB&#10;AABkcnMvZTJvRG9jLnhtbFBLBQYAAAAABgAGAFkBAACeBQAAAAA=&#10;">
                <v:fill on="f" focussize="0,0"/>
                <v:stroke color="#000000 [3200]" joinstyle="round"/>
                <v:imagedata o:title=""/>
                <o:lock v:ext="edit" aspectratio="f"/>
              </v:lin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pPr>
    </w:p>
    <w:p>
      <w:pPr>
        <w:pStyle w:val="4"/>
      </w:pPr>
      <w:bookmarkStart w:id="24" w:name="_Toc2339"/>
      <w:bookmarkStart w:id="25" w:name="_Toc3416"/>
      <w:r>
        <w:rPr>
          <w:rFonts w:hint="eastAsia"/>
          <w:lang w:val="en-US" w:eastAsia="zh-CN"/>
        </w:rPr>
        <w:t xml:space="preserve">  </w:t>
      </w:r>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rPr>
          <w:rFonts w:asciiTheme="minorEastAsia" w:hAnsiTheme="minorEastAsia"/>
          <w:b/>
          <w:color w:val="auto"/>
          <w:sz w:val="32"/>
          <w:szCs w:val="32"/>
        </w:rPr>
      </w:pPr>
    </w:p>
    <w:p>
      <w:pPr>
        <w:pStyle w:val="25"/>
        <w:ind w:firstLine="0"/>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5"/>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12"/>
      </w:pPr>
    </w:p>
    <w:p>
      <w:pPr>
        <w:pStyle w:val="12"/>
        <w:rPr>
          <w:rFonts w:asciiTheme="majorEastAsia" w:hAnsiTheme="majorEastAsia" w:eastAsiaTheme="majorEastAsia"/>
          <w:b/>
          <w:sz w:val="28"/>
          <w:szCs w:val="28"/>
        </w:rPr>
      </w:pPr>
    </w:p>
    <w:p>
      <w:pPr>
        <w:pStyle w:val="12"/>
        <w:rPr>
          <w:rFonts w:asciiTheme="majorEastAsia" w:hAnsiTheme="majorEastAsia" w:eastAsiaTheme="majorEastAsia"/>
          <w:b/>
          <w:sz w:val="28"/>
          <w:szCs w:val="28"/>
        </w:rPr>
      </w:pPr>
    </w:p>
    <w:p>
      <w:pPr>
        <w:pStyle w:val="1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2"/>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5"/>
      </w:pPr>
    </w:p>
    <w:p>
      <w:pPr>
        <w:pStyle w:val="25"/>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pStyle w:val="25"/>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5"/>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Theme="minorHAnsi" w:hAnsiTheme="minorHAnsi" w:cstheme="minorBidi"/>
          <w:kern w:val="44"/>
          <w:sz w:val="44"/>
          <w:szCs w:val="44"/>
        </w:rPr>
      </w:pPr>
      <w:bookmarkStart w:id="26" w:name="_Toc2867"/>
      <w:bookmarkStart w:id="27" w:name="_Toc21455"/>
    </w:p>
    <w:p>
      <w:pPr>
        <w:pStyle w:val="4"/>
        <w:rPr>
          <w:rFonts w:hint="eastAsia"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2341245</wp:posOffset>
                </wp:positionH>
                <wp:positionV relativeFrom="paragraph">
                  <wp:posOffset>511175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35pt;margin-top:40.25pt;height:0pt;width:75.5pt;z-index:251662336;mso-width-relative:page;mso-height-relative:page;" filled="f" stroked="t" coordsize="21600,21600" o:gfxdata="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5Erfr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p>
    <w:p>
      <w:pPr>
        <w:pStyle w:val="4"/>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579755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5.65pt;height:0pt;width:75.5pt;z-index:251661312;mso-width-relative:page;mso-height-relative:page;" filled="f" stroked="t" coordsize="21600,21600" o:gfxdata="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DVvUd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42"/>
      </w:pPr>
    </w:p>
    <w:p>
      <w:pPr>
        <w:pStyle w:val="4"/>
      </w:pPr>
      <w:bookmarkStart w:id="28" w:name="_Toc88209934"/>
      <w:bookmarkStart w:id="29" w:name="_Toc87616371"/>
      <w:bookmarkStart w:id="30" w:name="_Toc7040"/>
      <w:bookmarkStart w:id="31" w:name="_Toc7303"/>
      <w:r>
        <w:rPr>
          <w:rFonts w:hint="eastAsia"/>
          <w:lang w:val="en-US" w:eastAsia="zh-CN"/>
        </w:rPr>
        <w:t xml:space="preserve"> </w:t>
      </w:r>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rPr>
          <w:rFonts w:ascii="方正小标宋简体" w:eastAsia="方正小标宋简体"/>
          <w:color w:val="auto"/>
          <w:sz w:val="44"/>
          <w:szCs w:val="44"/>
        </w:rPr>
      </w:pPr>
    </w:p>
    <w:p>
      <w:pPr>
        <w:pStyle w:val="25"/>
        <w:ind w:firstLine="0"/>
        <w:rPr>
          <w:rFonts w:ascii="方正小标宋简体" w:eastAsia="方正小标宋简体"/>
          <w:color w:val="auto"/>
          <w:sz w:val="44"/>
          <w:szCs w:val="44"/>
        </w:rPr>
      </w:pPr>
    </w:p>
    <w:p>
      <w:pPr>
        <w:rPr>
          <w:rFonts w:hint="eastAsia"/>
        </w:rPr>
      </w:pPr>
      <w:bookmarkStart w:id="32" w:name="_Toc3789"/>
      <w:bookmarkStart w:id="33" w:name="_Toc24895"/>
      <w:r>
        <w:rPr>
          <w:rFonts w:hint="eastAsia"/>
        </w:rPr>
        <w:br w:type="page"/>
      </w:r>
    </w:p>
    <w:p>
      <w:pPr>
        <w:pStyle w:val="4"/>
      </w:pPr>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0" w:firstLineChars="0"/>
        <w:jc w:val="left"/>
        <w:rPr>
          <w:rFonts w:ascii="仿宋_GB2312" w:eastAsia="仿宋_GB2312"/>
          <w:sz w:val="28"/>
          <w:szCs w:val="28"/>
        </w:rPr>
      </w:pPr>
    </w:p>
    <w:p>
      <w:pPr>
        <w:adjustRightInd/>
        <w:snapToGrid/>
        <w:spacing w:line="240" w:lineRule="auto"/>
        <w:ind w:firstLine="0" w:firstLineChars="0"/>
        <w:jc w:val="left"/>
        <w:rPr>
          <w:rFonts w:ascii="仿宋_GB2312" w:eastAsia="仿宋_GB2312"/>
          <w:sz w:val="28"/>
          <w:szCs w:val="28"/>
        </w:rPr>
      </w:pPr>
      <w:r>
        <w:rPr>
          <w:rFonts w:ascii="仿宋_GB2312" w:eastAsia="仿宋_GB2312"/>
          <w:sz w:val="28"/>
          <w:szCs w:val="28"/>
        </w:rPr>
        <w:br w:type="page"/>
      </w:r>
    </w:p>
    <w:p>
      <w:pPr>
        <w:pStyle w:val="2"/>
      </w:pPr>
    </w:p>
    <w:p>
      <w:pPr>
        <w:pStyle w:val="3"/>
      </w:pPr>
      <w:bookmarkStart w:id="34" w:name="_Toc7118"/>
      <w:bookmarkStart w:id="35" w:name="_Toc4952"/>
      <w:bookmarkStart w:id="36" w:name="_Toc3156"/>
      <w:bookmarkStart w:id="37" w:name="_Toc23581"/>
      <w:bookmarkStart w:id="38" w:name="_Toc10930"/>
      <w:bookmarkStart w:id="39" w:name="_Toc19050"/>
      <w:bookmarkStart w:id="40" w:name="_Toc20594"/>
      <w:bookmarkStart w:id="41" w:name="_Toc7437"/>
      <w:bookmarkStart w:id="42" w:name="_Toc19759"/>
      <w:bookmarkStart w:id="43" w:name="_Toc14870"/>
      <w:bookmarkStart w:id="44" w:name="_Toc14552"/>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42"/>
      </w:pPr>
    </w:p>
    <w:p>
      <w:pPr>
        <w:pStyle w:val="3"/>
      </w:pPr>
      <w:bookmarkStart w:id="45" w:name="_Toc87616378"/>
      <w:bookmarkStart w:id="46" w:name="_Toc30530"/>
      <w:bookmarkStart w:id="47" w:name="_Toc13898"/>
      <w:bookmarkStart w:id="48" w:name="_Toc88209941"/>
      <w:bookmarkStart w:id="49" w:name="_Toc32607"/>
      <w:bookmarkStart w:id="50" w:name="_Toc7831"/>
      <w:bookmarkStart w:id="51" w:name="_Toc29345"/>
      <w:bookmarkStart w:id="52" w:name="_Toc21079"/>
      <w:bookmarkStart w:id="53" w:name="_Toc21840"/>
      <w:bookmarkStart w:id="54" w:name="_Toc29484"/>
      <w:bookmarkStart w:id="55" w:name="_Toc12177"/>
      <w:bookmarkStart w:id="56" w:name="_Toc6308"/>
      <w:bookmarkStart w:id="57" w:name="_Toc22212"/>
      <w:r>
        <w:rPr>
          <w:rFonts w:hint="eastAsia"/>
          <w:lang w:val="en-US" w:eastAsia="zh-CN"/>
        </w:rPr>
        <w:t xml:space="preserve"> </w:t>
      </w:r>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5"/>
        <w:ind w:firstLine="0"/>
        <w:rPr>
          <w:rFonts w:ascii="方正小标宋简体" w:eastAsia="方正小标宋简体"/>
          <w:color w:val="auto"/>
          <w:sz w:val="44"/>
          <w:szCs w:val="44"/>
        </w:rPr>
      </w:pPr>
    </w:p>
    <w:p>
      <w:pPr>
        <w:rPr>
          <w:rFonts w:hint="eastAsia"/>
        </w:rPr>
      </w:pPr>
      <w:bookmarkStart w:id="58" w:name="_Toc23033"/>
      <w:bookmarkStart w:id="59" w:name="_Toc26826"/>
      <w:r>
        <w:rPr>
          <w:rFonts w:hint="eastAsia"/>
        </w:rPr>
        <w:br w:type="page"/>
      </w:r>
    </w:p>
    <w:p>
      <w:pPr>
        <w:pStyle w:val="4"/>
      </w:pPr>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pStyle w:val="25"/>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snapToGrid/>
        <w:spacing w:line="240" w:lineRule="auto"/>
        <w:jc w:val="left"/>
        <w:rPr>
          <w:rFonts w:ascii="仿宋_GB2312" w:eastAsia="仿宋_GB2312" w:hAnsiTheme="minorEastAsia"/>
          <w:color w:val="auto"/>
          <w:szCs w:val="21"/>
        </w:rPr>
      </w:pPr>
      <w:r>
        <w:rPr>
          <w:rFonts w:ascii="仿宋_GB2312" w:eastAsia="仿宋_GB2312" w:hAnsiTheme="minorEastAsia"/>
          <w:szCs w:val="21"/>
        </w:rPr>
        <w:br w:type="page"/>
      </w:r>
    </w:p>
    <w:p>
      <w:pPr>
        <w:pStyle w:val="3"/>
        <w:rPr>
          <w:rFonts w:hint="eastAsia"/>
          <w:lang w:val="en-US" w:eastAsia="zh-CN"/>
        </w:rPr>
      </w:pPr>
      <w:bookmarkStart w:id="60" w:name="_Toc88209947"/>
    </w:p>
    <w:p>
      <w:pPr>
        <w:pStyle w:val="3"/>
        <w:rPr>
          <w:rFonts w:hint="eastAsia"/>
          <w:lang w:val="en-US" w:eastAsia="zh-CN"/>
        </w:rPr>
      </w:pPr>
    </w:p>
    <w:p>
      <w:pPr>
        <w:pStyle w:val="3"/>
      </w:pPr>
      <w:r>
        <mc:AlternateContent>
          <mc:Choice Requires="wps">
            <w:drawing>
              <wp:anchor distT="0" distB="0" distL="114300" distR="114300" simplePos="0" relativeHeight="251674624" behindDoc="0" locked="0" layoutInCell="1" allowOverlap="1">
                <wp:simplePos x="0" y="0"/>
                <wp:positionH relativeFrom="column">
                  <wp:posOffset>2357755</wp:posOffset>
                </wp:positionH>
                <wp:positionV relativeFrom="paragraph">
                  <wp:posOffset>502920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65pt;margin-top:39.6pt;height:0pt;width:75.5pt;z-index:251674624;mso-width-relative:page;mso-height-relative:page;" filled="f" stroked="t" coordsize="21600,21600" o:gfxdata="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38QG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4"/>
        <w:rPr>
          <w:szCs w:val="44"/>
        </w:rPr>
      </w:pPr>
      <w:r>
        <w:rPr>
          <w:rFonts w:hint="eastAsia"/>
          <w:szCs w:val="44"/>
        </w:rPr>
        <w:t>采购需求</w:t>
      </w:r>
    </w:p>
    <w:p>
      <w:pPr>
        <w:pStyle w:val="4"/>
        <w:rPr>
          <w:szCs w:val="44"/>
        </w:rPr>
      </w:pPr>
    </w:p>
    <w:p>
      <w:pPr>
        <w:rPr>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pStyle w:val="25"/>
        <w:rPr>
          <w:color w:val="auto"/>
          <w:szCs w:val="44"/>
        </w:rPr>
      </w:pPr>
    </w:p>
    <w:p>
      <w:pPr>
        <w:rPr>
          <w:color w:val="auto"/>
          <w:szCs w:val="44"/>
        </w:rPr>
      </w:pPr>
      <w:r>
        <w:rPr>
          <w:color w:val="auto"/>
          <w:szCs w:val="44"/>
        </w:rPr>
        <w:br w:type="page"/>
      </w:r>
    </w:p>
    <w:bookmarkEnd w:id="60"/>
    <w:p>
      <w:pPr>
        <w:pStyle w:val="4"/>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一、项目需求：</w:t>
      </w:r>
    </w:p>
    <w:p>
      <w:pPr>
        <w:pStyle w:val="58"/>
        <w:ind w:firstLine="560" w:firstLineChars="200"/>
        <w:rPr>
          <w:rFonts w:ascii="仿宋_GB2312" w:eastAsia="仿宋_GB2312"/>
          <w:sz w:val="28"/>
          <w:szCs w:val="28"/>
        </w:rPr>
      </w:pPr>
      <w:r>
        <w:rPr>
          <w:rFonts w:hint="eastAsia" w:ascii="仿宋_GB2312" w:eastAsia="仿宋_GB2312"/>
          <w:sz w:val="28"/>
          <w:szCs w:val="28"/>
        </w:rPr>
        <w:t>目前我公司数据中心机房为整个公司以及1</w:t>
      </w:r>
      <w:r>
        <w:rPr>
          <w:rFonts w:hint="eastAsia" w:ascii="仿宋_GB2312" w:eastAsia="仿宋_GB2312"/>
          <w:sz w:val="28"/>
          <w:szCs w:val="28"/>
          <w:lang w:val="en-US" w:eastAsia="zh-CN"/>
        </w:rPr>
        <w:t>3</w:t>
      </w:r>
      <w:r>
        <w:rPr>
          <w:rFonts w:hint="eastAsia" w:ascii="仿宋_GB2312" w:eastAsia="仿宋_GB2312"/>
          <w:sz w:val="28"/>
          <w:szCs w:val="28"/>
        </w:rPr>
        <w:t>个分公司互联网总出口以及公司各信息业务系统的硬件支撑，网络及服务器的稳定性运行影响着公司所有员工的工作效率，所以高效的运维体制及故障响应速度尤为重要。为了高效维持我公司网络及服务器、信息系统硬件运维能力，依据相关安全管理规范有效地完善运维服务体系，加强对服务器，网络设备等信息化硬件设施进行定期健康性能检查、对异常情况进行排查处理、错误修正、合理的小修小改，对于硬件突发事故进行快速有效抢修，保障公司内网络系统的7×24小时持续、可靠地运行。</w:t>
      </w:r>
    </w:p>
    <w:p>
      <w:pPr>
        <w:pStyle w:val="4"/>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二、服务内容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要求</w:t>
      </w:r>
    </w:p>
    <w:p>
      <w:pPr>
        <w:pStyle w:val="5"/>
        <w:ind w:firstLine="602"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（一）设备档案整理</w:t>
      </w:r>
    </w:p>
    <w:p>
      <w:pPr>
        <w:ind w:firstLine="560" w:firstLineChars="200"/>
        <w:rPr>
          <w:rFonts w:ascii="仿宋_GB2312" w:eastAsia="仿宋_GB2312"/>
          <w:sz w:val="28"/>
          <w:szCs w:val="28"/>
        </w:rPr>
      </w:pPr>
      <w:r>
        <w:rPr>
          <w:rFonts w:hint="eastAsia" w:ascii="仿宋_GB2312" w:eastAsia="仿宋_GB2312"/>
          <w:sz w:val="28"/>
          <w:szCs w:val="28"/>
        </w:rPr>
        <w:t>合同签订后的每季度，需完成以下内容，以最终文档为准。</w:t>
      </w:r>
    </w:p>
    <w:p>
      <w:pPr>
        <w:pStyle w:val="39"/>
        <w:numPr>
          <w:ilvl w:val="-1"/>
          <w:numId w:val="0"/>
        </w:numPr>
        <w:ind w:left="0" w:leftChars="0"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更新确保网络设备</w:t>
      </w:r>
      <w:r>
        <w:rPr>
          <w:rFonts w:ascii="仿宋_GB2312" w:eastAsia="仿宋_GB2312"/>
          <w:sz w:val="28"/>
          <w:szCs w:val="28"/>
        </w:rPr>
        <w:t>以及线缆上的标签</w:t>
      </w:r>
      <w:r>
        <w:rPr>
          <w:rFonts w:hint="eastAsia" w:ascii="仿宋_GB2312" w:eastAsia="仿宋_GB2312"/>
          <w:sz w:val="28"/>
          <w:szCs w:val="28"/>
        </w:rPr>
        <w:t>正确</w:t>
      </w:r>
      <w:r>
        <w:rPr>
          <w:rFonts w:ascii="仿宋_GB2312" w:eastAsia="仿宋_GB2312"/>
          <w:sz w:val="28"/>
          <w:szCs w:val="28"/>
        </w:rPr>
        <w:t>，</w:t>
      </w:r>
      <w:r>
        <w:rPr>
          <w:rFonts w:hint="eastAsia" w:ascii="仿宋_GB2312" w:eastAsia="仿宋_GB2312"/>
          <w:sz w:val="28"/>
          <w:szCs w:val="28"/>
        </w:rPr>
        <w:t>并整理</w:t>
      </w:r>
      <w:r>
        <w:rPr>
          <w:rFonts w:ascii="仿宋_GB2312" w:eastAsia="仿宋_GB2312"/>
          <w:sz w:val="28"/>
          <w:szCs w:val="28"/>
        </w:rPr>
        <w:t>公司本部的网络拓扑图</w:t>
      </w:r>
      <w:r>
        <w:rPr>
          <w:rFonts w:hint="eastAsia" w:ascii="仿宋_GB2312" w:eastAsia="仿宋_GB2312"/>
          <w:sz w:val="28"/>
          <w:szCs w:val="28"/>
        </w:rPr>
        <w:t>、</w:t>
      </w:r>
      <w:r>
        <w:rPr>
          <w:rFonts w:ascii="仿宋_GB2312" w:eastAsia="仿宋_GB2312"/>
          <w:sz w:val="28"/>
          <w:szCs w:val="28"/>
        </w:rPr>
        <w:t>机柜图。</w:t>
      </w:r>
    </w:p>
    <w:p>
      <w:pPr>
        <w:pStyle w:val="39"/>
        <w:numPr>
          <w:ilvl w:val="-1"/>
          <w:numId w:val="0"/>
        </w:numPr>
        <w:ind w:left="0" w:leftChars="0"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核对更新网络</w:t>
      </w:r>
      <w:r>
        <w:rPr>
          <w:rFonts w:ascii="仿宋_GB2312" w:eastAsia="仿宋_GB2312"/>
          <w:sz w:val="28"/>
          <w:szCs w:val="28"/>
        </w:rPr>
        <w:t>及服务器</w:t>
      </w:r>
      <w:r>
        <w:rPr>
          <w:rFonts w:hint="eastAsia" w:ascii="仿宋_GB2312" w:eastAsia="仿宋_GB2312"/>
          <w:sz w:val="28"/>
          <w:szCs w:val="28"/>
        </w:rPr>
        <w:t>设备档案，包括详细硬件配置（包含主板、网卡、声卡、显卡、CPU、内存等的具体型号）</w:t>
      </w:r>
    </w:p>
    <w:p>
      <w:pPr>
        <w:pStyle w:val="5"/>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（二）日常工作</w:t>
      </w:r>
    </w:p>
    <w:p>
      <w:pPr>
        <w:pStyle w:val="6"/>
        <w:rPr>
          <w:rFonts w:hint="eastAsia" w:ascii="仿宋_GB2312" w:hAnsi="仿宋_GB2312" w:eastAsia="仿宋_GB2312" w:cs="仿宋_GB2312"/>
        </w:rPr>
      </w:pPr>
      <w:r>
        <w:rPr>
          <w:rFonts w:hint="eastAsia" w:ascii="仿宋_GB2312" w:hAnsi="仿宋_GB2312" w:eastAsia="仿宋_GB2312" w:cs="仿宋_GB2312"/>
        </w:rPr>
        <w:t>1.巡查、检修</w:t>
      </w:r>
    </w:p>
    <w:p>
      <w:pPr>
        <w:pStyle w:val="39"/>
        <w:numPr>
          <w:ilvl w:val="-1"/>
          <w:numId w:val="0"/>
        </w:numPr>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对公司机房每旬进行一次巡检，巡检包括机房环境、综合布线情况、环境，检查是否有故障或故障隐患；对机房内环境、布线不符合规范的地方进行清理保洁，填写巡检报告，并在巡检结束后2个工作日内提交巡检过程资料、巡检报告。</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对通过公司总部上网的所属单位每</w:t>
      </w:r>
      <w:r>
        <w:rPr>
          <w:rFonts w:hint="eastAsia" w:ascii="仿宋_GB2312" w:eastAsia="仿宋_GB2312"/>
          <w:sz w:val="28"/>
          <w:szCs w:val="28"/>
          <w:lang w:val="en-US" w:eastAsia="zh-CN"/>
        </w:rPr>
        <w:t>季度</w:t>
      </w:r>
      <w:r>
        <w:rPr>
          <w:rFonts w:hint="eastAsia" w:ascii="仿宋_GB2312" w:eastAsia="仿宋_GB2312"/>
          <w:sz w:val="28"/>
          <w:szCs w:val="28"/>
        </w:rPr>
        <w:t>进行一次巡检，包括所属单位机房环境、综合布线情况、服务器、网络设备、和所有其他网络相关设备的使用情况（包括流量，存储空间、内存使用率、cpu使用率、IP分配）等，并根据检查的设备情况给出维护、维修或升级意见，填写巡检报告，更新各单位网络设备配置档案。并在巡检结束后5个工作日内提交巡检报告及巡检过程资料。</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负责网络运行日志、网络监控记录的日常维护、报警信息分析和处理工作，提出优化建议及方案。</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协助公司本部内综合布线（包括电话线和网线）的维护和故障维修。</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协助机房改造、设备搬迁、网络改造、线路迁移等工作。</w:t>
      </w:r>
    </w:p>
    <w:p>
      <w:pPr>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提供规范的网络及服务器维护体系，包括人员、技术、流程和文档、事故维护的标准化管理。</w:t>
      </w:r>
    </w:p>
    <w:p>
      <w:pPr>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7</w:t>
      </w:r>
      <w:r>
        <w:rPr>
          <w:rFonts w:hint="eastAsia" w:ascii="仿宋_GB2312" w:eastAsia="仿宋_GB2312"/>
          <w:sz w:val="28"/>
          <w:szCs w:val="28"/>
          <w:lang w:eastAsia="zh-CN"/>
        </w:rPr>
        <w:t>）</w:t>
      </w:r>
      <w:r>
        <w:rPr>
          <w:rFonts w:hint="eastAsia" w:ascii="仿宋_GB2312" w:eastAsia="仿宋_GB2312"/>
          <w:sz w:val="28"/>
          <w:szCs w:val="28"/>
        </w:rPr>
        <w:t>定期开展视频会议系统主会场、无纸化会议系统检查工作，每</w:t>
      </w:r>
      <w:r>
        <w:rPr>
          <w:rFonts w:hint="eastAsia" w:ascii="仿宋_GB2312" w:eastAsia="仿宋_GB2312"/>
          <w:sz w:val="28"/>
          <w:szCs w:val="28"/>
          <w:lang w:val="en-US" w:eastAsia="zh-CN"/>
        </w:rPr>
        <w:t>季度</w:t>
      </w:r>
      <w:r>
        <w:rPr>
          <w:rFonts w:hint="eastAsia" w:ascii="仿宋_GB2312" w:eastAsia="仿宋_GB2312"/>
          <w:sz w:val="28"/>
          <w:szCs w:val="28"/>
        </w:rPr>
        <w:t>开展一次检查，并出具检查报告。</w:t>
      </w:r>
    </w:p>
    <w:p>
      <w:pPr>
        <w:pStyle w:val="59"/>
        <w:spacing w:line="360" w:lineRule="auto"/>
        <w:ind w:firstLine="560" w:firstLineChars="200"/>
        <w:rPr>
          <w:rFonts w:ascii="仿宋_GB2312" w:eastAsia="仿宋_GB2312"/>
          <w:color w:val="FF000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8</w:t>
      </w:r>
      <w:r>
        <w:rPr>
          <w:rFonts w:hint="eastAsia" w:ascii="仿宋_GB2312" w:eastAsia="仿宋_GB2312"/>
          <w:sz w:val="28"/>
          <w:szCs w:val="28"/>
          <w:lang w:eastAsia="zh-CN"/>
        </w:rPr>
        <w:t>）</w:t>
      </w:r>
      <w:r>
        <w:rPr>
          <w:rFonts w:hint="eastAsia" w:ascii="仿宋_GB2312" w:eastAsia="仿宋_GB2312"/>
          <w:sz w:val="28"/>
          <w:szCs w:val="28"/>
        </w:rPr>
        <w:t>更新、完善视频会议系统、无纸化会议系统相关操作手册。</w:t>
      </w:r>
    </w:p>
    <w:p>
      <w:pPr>
        <w:pStyle w:val="6"/>
        <w:rPr>
          <w:rFonts w:hint="eastAsia" w:ascii="仿宋_GB2312" w:hAnsi="仿宋_GB2312" w:eastAsia="仿宋_GB2312" w:cs="仿宋_GB2312"/>
        </w:rPr>
      </w:pPr>
      <w:r>
        <w:rPr>
          <w:rFonts w:hint="eastAsia" w:ascii="仿宋_GB2312" w:hAnsi="仿宋_GB2312" w:eastAsia="仿宋_GB2312" w:cs="仿宋_GB2312"/>
        </w:rPr>
        <w:t>2.技术支持</w:t>
      </w:r>
    </w:p>
    <w:p>
      <w:pPr>
        <w:pStyle w:val="59"/>
        <w:spacing w:line="360" w:lineRule="auto"/>
        <w:ind w:firstLine="0" w:firstLineChars="0"/>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val="en-US" w:eastAsia="zh-CN"/>
        </w:rPr>
        <w:t>优化建议</w:t>
      </w:r>
    </w:p>
    <w:p>
      <w:pPr>
        <w:pStyle w:val="59"/>
        <w:spacing w:line="360" w:lineRule="auto"/>
        <w:ind w:firstLine="542"/>
        <w:rPr>
          <w:rFonts w:hint="eastAsia" w:ascii="仿宋_GB2312" w:eastAsia="仿宋_GB2312"/>
          <w:sz w:val="28"/>
          <w:szCs w:val="28"/>
        </w:rPr>
      </w:pPr>
      <w:r>
        <w:rPr>
          <w:rFonts w:hint="eastAsia" w:ascii="仿宋_GB2312" w:eastAsia="仿宋_GB2312"/>
          <w:sz w:val="28"/>
          <w:szCs w:val="28"/>
        </w:rPr>
        <w:t>对净水公司的信息化项目提供技术支持（包括网络、应用系统、服务器等），并根据净水公司现有信息化情况（包括网络、应用系统、服务器等）提出优化建议。</w:t>
      </w:r>
    </w:p>
    <w:p>
      <w:pPr>
        <w:pStyle w:val="59"/>
        <w:spacing w:line="360" w:lineRule="auto"/>
        <w:ind w:firstLine="0" w:firstLineChars="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）软件维护升级</w:t>
      </w:r>
    </w:p>
    <w:p>
      <w:pPr>
        <w:ind w:firstLine="480" w:firstLineChars="200"/>
        <w:rPr>
          <w:rFonts w:ascii="仿宋_GB2312" w:eastAsia="仿宋_GB2312"/>
          <w:sz w:val="28"/>
          <w:szCs w:val="28"/>
        </w:rPr>
      </w:pPr>
      <w:r>
        <w:rPr>
          <w:rFonts w:hint="default" w:ascii="Calibri" w:hAnsi="Calibri" w:eastAsia="仿宋_GB2312" w:cs="Calibri"/>
          <w:sz w:val="24"/>
          <w:szCs w:val="24"/>
        </w:rPr>
        <w:t>①</w:t>
      </w:r>
      <w:r>
        <w:rPr>
          <w:rFonts w:hint="eastAsia" w:ascii="仿宋_GB2312" w:eastAsia="仿宋_GB2312"/>
          <w:sz w:val="28"/>
          <w:szCs w:val="28"/>
        </w:rPr>
        <w:t>视频会议系统软件维护升级</w:t>
      </w:r>
    </w:p>
    <w:p>
      <w:pPr>
        <w:ind w:firstLine="560" w:firstLineChars="200"/>
        <w:rPr>
          <w:rFonts w:ascii="仿宋_GB2312" w:eastAsia="仿宋_GB2312"/>
          <w:sz w:val="28"/>
          <w:szCs w:val="28"/>
        </w:rPr>
      </w:pPr>
      <w:r>
        <w:rPr>
          <w:rFonts w:hint="eastAsia" w:ascii="仿宋_GB2312" w:eastAsia="仿宋_GB2312"/>
          <w:sz w:val="28"/>
          <w:szCs w:val="28"/>
        </w:rPr>
        <w:t>对LED大屏幕控制软件、会议系统音频传输内嵌软件、会议主席控制内嵌软件、会议代表控制内嵌软件、视频会议MCU嵌入软件、视频会议终端嵌入软件</w:t>
      </w:r>
      <w:r>
        <w:rPr>
          <w:rFonts w:hint="eastAsia" w:ascii="微软雅黑" w:hAnsi="微软雅黑" w:eastAsia="微软雅黑" w:cs="微软雅黑"/>
          <w:sz w:val="28"/>
          <w:szCs w:val="28"/>
        </w:rPr>
        <w:t>﹑</w:t>
      </w:r>
      <w:r>
        <w:rPr>
          <w:rFonts w:hint="eastAsia" w:ascii="仿宋_GB2312" w:hAnsi="仿宋_GB2312" w:eastAsia="仿宋_GB2312" w:cs="仿宋_GB2312"/>
          <w:sz w:val="28"/>
          <w:szCs w:val="28"/>
        </w:rPr>
        <w:t>视频会议专用摄像头内嵌软件、无缝混插矩阵切换内嵌软件、话筒呼叫控制嵌入软件等软件进行维护升级，保障视频会议系</w:t>
      </w:r>
      <w:r>
        <w:rPr>
          <w:rFonts w:hint="eastAsia" w:ascii="仿宋_GB2312" w:eastAsia="仿宋_GB2312"/>
          <w:sz w:val="28"/>
          <w:szCs w:val="28"/>
        </w:rPr>
        <w:t>统运行稳定。</w:t>
      </w:r>
    </w:p>
    <w:p>
      <w:pPr>
        <w:ind w:firstLine="480" w:firstLineChars="200"/>
        <w:rPr>
          <w:rFonts w:ascii="仿宋_GB2312" w:eastAsia="仿宋_GB2312"/>
          <w:sz w:val="28"/>
          <w:szCs w:val="28"/>
        </w:rPr>
      </w:pPr>
      <w:r>
        <w:rPr>
          <w:rFonts w:hint="default" w:ascii="Calibri" w:hAnsi="Calibri" w:eastAsia="仿宋_GB2312" w:cs="Calibri"/>
          <w:sz w:val="24"/>
          <w:szCs w:val="24"/>
        </w:rPr>
        <w:t>②</w:t>
      </w:r>
      <w:r>
        <w:rPr>
          <w:rFonts w:hint="eastAsia" w:ascii="仿宋_GB2312" w:eastAsia="仿宋_GB2312"/>
          <w:sz w:val="28"/>
          <w:szCs w:val="28"/>
        </w:rPr>
        <w:t>无纸化会议系统软件维护升级</w:t>
      </w:r>
    </w:p>
    <w:p>
      <w:pPr>
        <w:ind w:firstLine="560" w:firstLineChars="200"/>
        <w:rPr>
          <w:rFonts w:hint="eastAsia" w:ascii="仿宋_GB2312" w:eastAsia="仿宋_GB2312"/>
          <w:sz w:val="28"/>
          <w:szCs w:val="28"/>
        </w:rPr>
      </w:pPr>
      <w:r>
        <w:rPr>
          <w:rFonts w:hint="eastAsia" w:ascii="仿宋_GB2312" w:eastAsia="仿宋_GB2312"/>
          <w:sz w:val="28"/>
          <w:szCs w:val="28"/>
        </w:rPr>
        <w:t>对无纸化会议服务端管理软件、大屏同步终端嵌入软件、无纸化会议客户端软件、分布式拼接显示系统终端嵌入式软件、分布式综合管理平台嵌入软件、分布式拼接显示系统管理软件、分布式拼接显示系统终端嵌入式软件进行维护升级，保障无纸化会议系统运行稳定。</w:t>
      </w:r>
    </w:p>
    <w:p>
      <w:pPr>
        <w:pStyle w:val="2"/>
        <w:numPr>
          <w:ilvl w:val="0"/>
          <w:numId w:val="4"/>
        </w:numPr>
        <w:rPr>
          <w:rFonts w:hint="eastAsia" w:ascii="仿宋_GB2312"/>
          <w:sz w:val="28"/>
          <w:szCs w:val="28"/>
          <w:lang w:val="en-US" w:eastAsia="zh-CN"/>
        </w:rPr>
      </w:pPr>
      <w:r>
        <w:rPr>
          <w:rFonts w:hint="eastAsia" w:ascii="仿宋_GB2312"/>
          <w:sz w:val="28"/>
          <w:szCs w:val="28"/>
          <w:lang w:val="en-US" w:eastAsia="zh-CN"/>
        </w:rPr>
        <w:t>驻场服务</w:t>
      </w:r>
    </w:p>
    <w:p>
      <w:pPr>
        <w:pStyle w:val="2"/>
        <w:numPr>
          <w:ilvl w:val="-1"/>
          <w:numId w:val="0"/>
        </w:numPr>
        <w:ind w:firstLine="560" w:firstLineChars="200"/>
        <w:rPr>
          <w:rFonts w:hint="default" w:ascii="仿宋_GB2312"/>
          <w:sz w:val="28"/>
          <w:szCs w:val="28"/>
          <w:lang w:val="en-US" w:eastAsia="zh-CN"/>
        </w:rPr>
      </w:pPr>
      <w:r>
        <w:rPr>
          <w:rFonts w:hint="eastAsia" w:ascii="仿宋_GB2312"/>
          <w:sz w:val="28"/>
          <w:szCs w:val="28"/>
          <w:lang w:val="en-US" w:eastAsia="zh-CN"/>
        </w:rPr>
        <w:t>提供专业人员驻场服务，及时解决广州市净水有限公司出现的网络系统或视频会议、无纸化系统的问题。</w:t>
      </w:r>
    </w:p>
    <w:p>
      <w:pPr>
        <w:pStyle w:val="6"/>
        <w:rPr>
          <w:rFonts w:hint="eastAsia" w:ascii="仿宋_GB2312" w:hAnsi="仿宋_GB2312" w:eastAsia="仿宋_GB2312" w:cs="仿宋_GB2312"/>
        </w:rPr>
      </w:pPr>
      <w:r>
        <w:rPr>
          <w:rFonts w:hint="eastAsia" w:ascii="仿宋_GB2312" w:hAnsi="仿宋_GB2312" w:eastAsia="仿宋_GB2312" w:cs="仿宋_GB2312"/>
        </w:rPr>
        <w:t>3.培训</w:t>
      </w:r>
    </w:p>
    <w:p>
      <w:pPr>
        <w:pStyle w:val="59"/>
        <w:spacing w:line="360" w:lineRule="auto"/>
        <w:ind w:firstLine="560"/>
        <w:rPr>
          <w:rFonts w:ascii="仿宋_GB2312" w:eastAsia="仿宋_GB2312"/>
          <w:sz w:val="28"/>
          <w:szCs w:val="28"/>
        </w:rPr>
      </w:pPr>
      <w:r>
        <w:rPr>
          <w:rFonts w:hint="eastAsia" w:ascii="仿宋_GB2312" w:eastAsia="仿宋_GB2312"/>
          <w:sz w:val="28"/>
          <w:szCs w:val="28"/>
        </w:rPr>
        <w:t>乙</w:t>
      </w:r>
      <w:r>
        <w:rPr>
          <w:rFonts w:ascii="仿宋_GB2312" w:eastAsia="仿宋_GB2312"/>
          <w:sz w:val="28"/>
          <w:szCs w:val="28"/>
        </w:rPr>
        <w:t>方负责对</w:t>
      </w:r>
      <w:r>
        <w:rPr>
          <w:rFonts w:hint="eastAsia" w:ascii="仿宋_GB2312" w:eastAsia="仿宋_GB2312"/>
          <w:sz w:val="28"/>
          <w:szCs w:val="28"/>
          <w:lang w:val="en-US" w:eastAsia="zh-CN"/>
        </w:rPr>
        <w:t>网络管理人员开展</w:t>
      </w:r>
      <w:r>
        <w:rPr>
          <w:rFonts w:hint="eastAsia" w:ascii="仿宋_GB2312" w:eastAsia="仿宋_GB2312"/>
          <w:sz w:val="28"/>
          <w:szCs w:val="28"/>
        </w:rPr>
        <w:t>网络设备软硬件、服务器软硬件、数据库及其他信息化相关知识</w:t>
      </w:r>
      <w:r>
        <w:rPr>
          <w:rFonts w:hint="eastAsia" w:ascii="仿宋_GB2312" w:eastAsia="仿宋_GB2312"/>
          <w:sz w:val="28"/>
          <w:szCs w:val="28"/>
          <w:lang w:val="en-US" w:eastAsia="zh-CN"/>
        </w:rPr>
        <w:t>培训，以及</w:t>
      </w:r>
      <w:r>
        <w:rPr>
          <w:rFonts w:hint="eastAsia" w:ascii="仿宋_GB2312" w:eastAsia="仿宋_GB2312"/>
          <w:sz w:val="28"/>
          <w:szCs w:val="28"/>
        </w:rPr>
        <w:t>视频会议系统、无纸化会议系统用户、技术人员开展</w:t>
      </w:r>
      <w:r>
        <w:rPr>
          <w:rFonts w:hint="eastAsia" w:ascii="仿宋_GB2312" w:eastAsia="仿宋_GB2312"/>
          <w:sz w:val="28"/>
          <w:szCs w:val="28"/>
          <w:lang w:val="en-US" w:eastAsia="zh-CN"/>
        </w:rPr>
        <w:t>视频会议相关</w:t>
      </w:r>
      <w:r>
        <w:rPr>
          <w:rFonts w:hint="eastAsia" w:ascii="仿宋_GB2312" w:eastAsia="仿宋_GB2312"/>
          <w:sz w:val="28"/>
          <w:szCs w:val="28"/>
        </w:rPr>
        <w:t>培训，培训次数不少于两次。</w:t>
      </w:r>
    </w:p>
    <w:p>
      <w:pPr>
        <w:pStyle w:val="5"/>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（三）突发事件处理</w:t>
      </w:r>
    </w:p>
    <w:p>
      <w:pPr>
        <w:pStyle w:val="59"/>
        <w:spacing w:line="360" w:lineRule="auto"/>
        <w:ind w:firstLine="542"/>
        <w:rPr>
          <w:rFonts w:ascii="仿宋_GB2312" w:eastAsia="仿宋_GB2312"/>
          <w:sz w:val="28"/>
          <w:szCs w:val="28"/>
        </w:rPr>
      </w:pPr>
      <w:r>
        <w:rPr>
          <w:rFonts w:hint="eastAsia" w:ascii="仿宋_GB2312" w:eastAsia="仿宋_GB2312"/>
          <w:sz w:val="28"/>
          <w:szCs w:val="28"/>
        </w:rPr>
        <w:t>对净水公司（包括下属单位）范围内网络中断、网络阻塞、网络被攻击或服务器软硬件故障、应用系统故障等突发事件进行处理，要求</w:t>
      </w:r>
      <w:r>
        <w:rPr>
          <w:rFonts w:ascii="仿宋_GB2312" w:eastAsia="仿宋_GB2312"/>
          <w:sz w:val="28"/>
          <w:szCs w:val="28"/>
        </w:rPr>
        <w:t>30</w:t>
      </w:r>
      <w:r>
        <w:rPr>
          <w:rFonts w:hint="eastAsia" w:ascii="仿宋_GB2312" w:eastAsia="仿宋_GB2312"/>
          <w:sz w:val="28"/>
          <w:szCs w:val="28"/>
        </w:rPr>
        <w:t>分钟以内响应事件，4小时内恢复正常。在事故处理完</w:t>
      </w:r>
      <w:r>
        <w:rPr>
          <w:rFonts w:ascii="仿宋_GB2312" w:eastAsia="仿宋_GB2312"/>
          <w:sz w:val="28"/>
          <w:szCs w:val="28"/>
        </w:rPr>
        <w:t>3</w:t>
      </w:r>
      <w:r>
        <w:rPr>
          <w:rFonts w:hint="eastAsia" w:ascii="仿宋_GB2312" w:eastAsia="仿宋_GB2312"/>
          <w:sz w:val="28"/>
          <w:szCs w:val="28"/>
        </w:rPr>
        <w:t>个工作日内提交事件处理报告（报告</w:t>
      </w:r>
      <w:r>
        <w:rPr>
          <w:rFonts w:ascii="仿宋_GB2312" w:eastAsia="仿宋_GB2312"/>
          <w:sz w:val="28"/>
          <w:szCs w:val="28"/>
        </w:rPr>
        <w:t>须含事件起因、处理过程</w:t>
      </w:r>
      <w:r>
        <w:rPr>
          <w:rFonts w:hint="eastAsia" w:ascii="仿宋_GB2312" w:eastAsia="仿宋_GB2312"/>
          <w:sz w:val="28"/>
          <w:szCs w:val="28"/>
        </w:rPr>
        <w:t>等）。</w:t>
      </w:r>
    </w:p>
    <w:p>
      <w:pPr>
        <w:ind w:firstLine="560" w:firstLineChars="200"/>
        <w:jc w:val="left"/>
        <w:rPr>
          <w:rFonts w:ascii="仿宋_GB2312" w:eastAsia="仿宋_GB2312"/>
          <w:sz w:val="28"/>
          <w:szCs w:val="28"/>
        </w:rPr>
      </w:pPr>
      <w:r>
        <w:rPr>
          <w:rFonts w:hint="eastAsia" w:ascii="仿宋_GB2312" w:eastAsia="仿宋_GB2312"/>
          <w:sz w:val="28"/>
          <w:szCs w:val="28"/>
        </w:rPr>
        <w:t>公司机房、配线间及</w:t>
      </w:r>
      <w:r>
        <w:rPr>
          <w:rFonts w:hint="eastAsia" w:ascii="仿宋_GB2312" w:eastAsia="仿宋_GB2312"/>
          <w:sz w:val="28"/>
          <w:szCs w:val="28"/>
          <w:lang w:val="en-US" w:eastAsia="zh-CN"/>
        </w:rPr>
        <w:t>视频</w:t>
      </w:r>
      <w:r>
        <w:rPr>
          <w:rFonts w:hint="eastAsia" w:ascii="仿宋_GB2312" w:eastAsia="仿宋_GB2312"/>
          <w:sz w:val="28"/>
          <w:szCs w:val="28"/>
        </w:rPr>
        <w:t>会议室内、公司所属各单位的网络设备、空调</w:t>
      </w:r>
      <w:r>
        <w:rPr>
          <w:rFonts w:hint="eastAsia" w:ascii="仿宋_GB2312" w:eastAsia="仿宋_GB2312"/>
          <w:color w:val="auto"/>
          <w:sz w:val="28"/>
          <w:szCs w:val="28"/>
        </w:rPr>
        <w:t>、大屏</w:t>
      </w:r>
      <w:r>
        <w:rPr>
          <w:rFonts w:hint="eastAsia" w:ascii="仿宋_GB2312" w:eastAsia="仿宋_GB2312"/>
          <w:sz w:val="28"/>
          <w:szCs w:val="28"/>
        </w:rPr>
        <w:t>、服务器、</w:t>
      </w:r>
      <w:r>
        <w:rPr>
          <w:rFonts w:hint="eastAsia" w:ascii="仿宋_GB2312" w:eastAsia="仿宋_GB2312"/>
          <w:sz w:val="28"/>
          <w:szCs w:val="28"/>
          <w:lang w:val="en-US" w:eastAsia="zh-CN"/>
        </w:rPr>
        <w:t>视频会议及无纸化系统</w:t>
      </w:r>
      <w:r>
        <w:rPr>
          <w:rFonts w:hint="eastAsia" w:ascii="仿宋_GB2312" w:eastAsia="仿宋_GB2312"/>
          <w:sz w:val="28"/>
          <w:szCs w:val="28"/>
        </w:rPr>
        <w:t>等软硬件故障需进行修理，无法修理则予以更换，设备</w:t>
      </w:r>
      <w:r>
        <w:rPr>
          <w:rFonts w:ascii="仿宋_GB2312" w:eastAsia="仿宋_GB2312"/>
          <w:sz w:val="28"/>
          <w:szCs w:val="28"/>
        </w:rPr>
        <w:t>包括但</w:t>
      </w:r>
      <w:r>
        <w:rPr>
          <w:rFonts w:hint="eastAsia" w:ascii="仿宋_GB2312" w:eastAsia="仿宋_GB2312"/>
          <w:sz w:val="28"/>
          <w:szCs w:val="28"/>
        </w:rPr>
        <w:t>不限于以下设备</w:t>
      </w:r>
      <w:r>
        <w:rPr>
          <w:rFonts w:ascii="仿宋_GB2312" w:eastAsia="仿宋_GB2312"/>
          <w:sz w:val="28"/>
          <w:szCs w:val="28"/>
        </w:rPr>
        <w:t>清单</w:t>
      </w:r>
      <w:r>
        <w:rPr>
          <w:rFonts w:hint="eastAsia" w:ascii="仿宋_GB2312" w:eastAsia="仿宋_GB2312"/>
          <w:sz w:val="28"/>
          <w:szCs w:val="28"/>
        </w:rPr>
        <w:t>。当涉及更换配件或设备时，被替换下来的配件或设备除</w:t>
      </w:r>
      <w:r>
        <w:rPr>
          <w:rFonts w:ascii="仿宋_GB2312" w:eastAsia="仿宋_GB2312"/>
          <w:sz w:val="28"/>
          <w:szCs w:val="28"/>
        </w:rPr>
        <w:t>存储设备外</w:t>
      </w:r>
      <w:r>
        <w:rPr>
          <w:rFonts w:hint="eastAsia" w:ascii="仿宋_GB2312" w:eastAsia="仿宋_GB2312"/>
          <w:sz w:val="28"/>
          <w:szCs w:val="28"/>
        </w:rPr>
        <w:t>属于乙方财产，替换件及</w:t>
      </w:r>
      <w:r>
        <w:rPr>
          <w:rFonts w:ascii="仿宋_GB2312" w:eastAsia="仿宋_GB2312"/>
          <w:sz w:val="28"/>
          <w:szCs w:val="28"/>
        </w:rPr>
        <w:t>存储设备</w:t>
      </w:r>
      <w:r>
        <w:rPr>
          <w:rFonts w:hint="eastAsia" w:ascii="仿宋_GB2312" w:eastAsia="仿宋_GB2312"/>
          <w:sz w:val="28"/>
          <w:szCs w:val="28"/>
        </w:rPr>
        <w:t>属于甲方财产。乙方必须保证替换件为原厂产品，且与被替换产品属于同一品牌相同或更高产品。替换件可以不是全新产品，但应确保处于良好的、</w:t>
      </w:r>
      <w:r>
        <w:rPr>
          <w:rFonts w:ascii="仿宋_GB2312" w:eastAsia="仿宋_GB2312"/>
          <w:sz w:val="28"/>
          <w:szCs w:val="28"/>
        </w:rPr>
        <w:t>正常的</w:t>
      </w:r>
      <w:r>
        <w:rPr>
          <w:rFonts w:hint="eastAsia" w:ascii="仿宋_GB2312" w:eastAsia="仿宋_GB2312"/>
          <w:sz w:val="28"/>
          <w:szCs w:val="28"/>
        </w:rPr>
        <w:t>工作状态，并且在功能、性能上不得低于被替换下来的配件或设备。替换件承接被替换下来的配件或设备的原有保修服务地位。</w:t>
      </w:r>
    </w:p>
    <w:p>
      <w:pPr>
        <w:ind w:firstLine="560" w:firstLineChars="200"/>
        <w:jc w:val="left"/>
        <w:rPr>
          <w:rFonts w:hint="eastAsia" w:ascii="仿宋_GB2312" w:eastAsia="仿宋_GB2312"/>
          <w:sz w:val="28"/>
          <w:szCs w:val="28"/>
        </w:rPr>
      </w:pPr>
      <w:r>
        <w:rPr>
          <w:rFonts w:hint="eastAsia" w:ascii="仿宋_GB2312" w:eastAsia="仿宋_GB2312"/>
          <w:sz w:val="28"/>
          <w:szCs w:val="28"/>
        </w:rPr>
        <w:t>设备清单：</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视频会议及无纸化设备维护清单</w:t>
      </w:r>
    </w:p>
    <w:tbl>
      <w:tblPr>
        <w:tblStyle w:val="26"/>
        <w:tblW w:w="8931" w:type="dxa"/>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6"/>
        <w:gridCol w:w="1581"/>
        <w:gridCol w:w="1080"/>
        <w:gridCol w:w="1401"/>
        <w:gridCol w:w="750"/>
        <w:gridCol w:w="615"/>
        <w:gridCol w:w="1080"/>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内容</w:t>
            </w:r>
          </w:p>
        </w:tc>
        <w:tc>
          <w:tcPr>
            <w:tcW w:w="158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设备或材料名称</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品牌</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型号</w:t>
            </w:r>
          </w:p>
        </w:tc>
        <w:tc>
          <w:tcPr>
            <w:tcW w:w="7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61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服务期</w:t>
            </w:r>
          </w:p>
        </w:tc>
        <w:tc>
          <w:tcPr>
            <w:tcW w:w="91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0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主会场视频会议系统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TS-16P-4</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tcBorders>
              <w:top w:val="nil"/>
              <w:left w:val="nil"/>
              <w:bottom w:val="nil"/>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抑制器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TS-224</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电源时序器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TS-820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会议系统主机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会议主席单元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会议代表单元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XM-0202A</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VCS8000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TV-620HC</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视频转换器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NT90HDB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视频切换器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TS-9104UHM</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摄像跟踪主机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TS-0699</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系统软件及升级维护</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0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主会场LED大屏</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小间距全彩LED显示屏</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TV-PH166-YM</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5.76</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m²</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发送卡</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TV-81OS4</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接收卡</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TV-81RI5</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多画面拼接处理器</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TV-8910P</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屏体包边装饰</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m²</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0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无纸化会议系统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无纸化会议系统主机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道天勤</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DTY-913</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大屏同步终端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道天勤</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DTY-833</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平板电脑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MatePad Pro</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平板专用笔套装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M-Pencil</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无线控制器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WX2510H-PWR</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企业无线路由器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WA5530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分布式综合管理平台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AY-713A</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分布式采集盒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AY-711HK</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分布式输出盒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AY-712AK</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系统软件及升级维护</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5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分会场视频会议系统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大坦沙、沥滘、石井、石井净、西朗、龙归、大沙地、竹料、京溪、从化10个分会场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TV-612USB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无线话筒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T-521UZ</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有源音箱</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T-250H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6"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新建分会场会议系统</w:t>
            </w:r>
          </w:p>
        </w:tc>
        <w:tc>
          <w:tcPr>
            <w:tcW w:w="158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1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猎德（备用主会场）、水质中心、大观、健康城、江高5个分会场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TV-612USB</w:t>
            </w:r>
          </w:p>
        </w:tc>
        <w:tc>
          <w:tcPr>
            <w:tcW w:w="750"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无线话筒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T-521UH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有源音箱</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T-250H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会议系统主机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会议主席单元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会议代表单元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XM-0202A</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HDMI矩阵切换器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Unnlink</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matrix 8x8</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06" w:type="dxa"/>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新建分会场会议系统</w:t>
            </w:r>
          </w:p>
        </w:tc>
        <w:tc>
          <w:tcPr>
            <w:tcW w:w="1581"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高清视频终端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BOX-600-1080P30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沥滘、石井净、大沙地备用中心视频会议系统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备用中心视频会议系统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无缝高清矩阵切换器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TS-9408UHM</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嵌入式控制面板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TS-9400K</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HDMI无缝高清输入卡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TS-9404HI</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HDMI无缝高清输出卡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TS-9404HO</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数字会议主机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TS-W100HY</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无线会议话筒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TS-W102AH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无线话筒充电箱</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TS-W180H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话筒信号发射器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TS-W111HY</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抑制器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TS-224HY</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音频处理器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HP840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电源时序器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H820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网络中控主机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HM9100N</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安卓平板电脑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M6</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无线路由器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WS5200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06" w:type="dxa"/>
            <w:vMerge w:val="restart"/>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控制器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HM9101</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918" w:type="dxa"/>
            <w:vMerge w:val="restart"/>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编程软件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TS-9100N配带</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TV-620HW</w:t>
            </w:r>
            <w:r>
              <w:rPr>
                <w:rStyle w:val="60"/>
                <w:lang w:val="en-US" w:eastAsia="zh-CN" w:bidi="ar"/>
              </w:rPr>
              <w:t>M</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视频会议终端媒体软件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TP-LINK</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TL-SF1009PE</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超高清KVM发送器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TS-9506KUTH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超高清KVM接收器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TS-9506KURH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vMerge w:val="continue"/>
            <w:tcBorders>
              <w:top w:val="nil"/>
              <w:left w:val="single" w:color="auto" w:sz="4" w:space="0"/>
              <w:bottom w:val="single" w:color="auto"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single" w:color="auto"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公司数据中心及分公司出口网络设备维护清单</w:t>
      </w:r>
    </w:p>
    <w:tbl>
      <w:tblPr>
        <w:tblStyle w:val="26"/>
        <w:tblW w:w="9930" w:type="dxa"/>
        <w:tblInd w:w="-10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224"/>
        <w:gridCol w:w="1185"/>
        <w:gridCol w:w="825"/>
        <w:gridCol w:w="750"/>
        <w:gridCol w:w="261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22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1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地点</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26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5800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服务器区域防火墙和专线接入区域防火墙，维保费用按6个月算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12200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公司互联网出口防火墙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12200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公司互联网出口防火墙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5400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所属分公司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分公司防火墙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山石网科</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C2100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所属分公司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分公司防火墙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BYE</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ups配电柜及附属的RS485通讯设备</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数据中心配电系统与UPS系统</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BYE</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市电配电柜及附属的RS485通讯设备</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EAST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UPS电池及附属的RS485通讯设备</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6509(ws-x6848-ge-tx,ws-x6848-sfp,vs-sup2t-10G,双电源)</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核心交换机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3560x-48t-s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客服</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2960s</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二楼配线间4台  四楼配线间4台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2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机房环境监控系统（包括服务器和信号采集设备、线路）</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套</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3560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服务器区汇聚交换机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2960x</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3650-24-4x1G</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1台服务器区扩展  1台二级单位接入区  1台备用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2960-plus-si-poe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二楼配线间1台  四楼配线间1台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深信服</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AC3300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上网行为管理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深信服</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AC3300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上网行为管理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A10</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1030S</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网络负载均衡</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3850X6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虚拟化平台物理服务器esxi01和02</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NETAPP</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NAJ-1501  F2650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FAS2650虚拟化磁盘阵列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1814-20A 磁盘阵列  DS5020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ThinkSystem SR860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ThinkSystem DM7000H</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storwize v3700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服务器SR658</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2498-b24光纤交换机</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16端口授权</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2498-b24光纤交换机</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虚拟化平台光纤交换机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2498-b24光纤交换机</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8端口授权</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7947-I01服务器</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药剂数据服务器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7143-uv4服务器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虚拟化平台物理服务器esxi03</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3650-M5</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3650-M5</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启明</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sa2100日志审计</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启明</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fa3000se-r流控</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无线控制器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AIR-CAP1702I-H-K9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各楼层无线接入点</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AIR-CAP2702I-C-K9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各楼层无线接入点</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施耐德</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数据中心机房制冷系统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机房精密空调2台,机房新风机1台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硬件系统</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3号会议室大屏系统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包括9台电视机、投屏拼接主机、线路、投屏软件、控制平板等</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启天M6900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工资系统服务器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x3650 M3</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硬件系统</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3号会议室会议电脑系统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包括联想一体机电脑7台以及其升降台、控制台4台电脑以及其视频分线器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硬件系统</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3号会议室制冷系统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风管式格力空调、风管式新风机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x3650 M4</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大坦沙分公司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设备在大坦沙厂（对应所需服务清单中八、下属分所及厂区视频及自控数据服务器（6台）维护的其中一台）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x3650 M3</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沥滘分公司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设备在沥滘厂（对应所需服务清单中八、下属分所及厂区视频及自控数据服务器（6台）维护的其中一台）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x3650 M3</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管网数据共享服务器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X3850 X5</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猎德分公司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设备在猎德厂（对应所需服务清单中八、下属分所及厂区视频及自控数据服务器（6台）维护的其中一台）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bl>
    <w:p>
      <w:pPr>
        <w:pStyle w:val="5"/>
        <w:ind w:firstLine="602"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（四）工作报告</w:t>
      </w:r>
    </w:p>
    <w:p>
      <w:pPr>
        <w:pStyle w:val="61"/>
        <w:spacing w:line="360" w:lineRule="auto"/>
        <w:ind w:left="0" w:firstLine="560" w:firstLineChars="200"/>
        <w:rPr>
          <w:rFonts w:ascii="仿宋_GB2312" w:eastAsia="仿宋_GB2312"/>
          <w:sz w:val="28"/>
          <w:szCs w:val="28"/>
        </w:rPr>
      </w:pPr>
      <w:r>
        <w:rPr>
          <w:rFonts w:hint="eastAsia" w:ascii="仿宋_GB2312" w:eastAsia="仿宋_GB2312"/>
          <w:sz w:val="28"/>
          <w:szCs w:val="28"/>
        </w:rPr>
        <w:t>除上述具体要求中的报告外，乙方需提供以下报告：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3402"/>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w:t>
            </w:r>
          </w:p>
        </w:tc>
        <w:tc>
          <w:tcPr>
            <w:tcW w:w="3402"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报告方式</w:t>
            </w:r>
          </w:p>
        </w:tc>
        <w:tc>
          <w:tcPr>
            <w:tcW w:w="1893"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故障处理报告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事件发生时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巡检报告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每旬/季度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网络设备及服务器硬件配置档案</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年度服务报告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纸质档（盖章）及纸质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网络优化方案</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净水公司详细网络拓扑及机柜图</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下属单位网络设备配置档案</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年度培训报告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bl>
    <w:p>
      <w:pPr>
        <w:pStyle w:val="25"/>
      </w:pPr>
    </w:p>
    <w:p>
      <w:pPr>
        <w:pStyle w:val="4"/>
        <w:jc w:val="left"/>
        <w:rPr>
          <w:rFonts w:ascii="仿宋_GB2312" w:hAnsi="仿宋_GB2312" w:eastAsia="仿宋_GB2312" w:cs="仿宋_GB2312"/>
          <w:color w:val="000000" w:themeColor="text1"/>
          <w:lang w:val="e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w:t>
      </w:r>
      <w:r>
        <w:rPr>
          <w:rFonts w:hint="eastAsia" w:ascii="仿宋_GB2312" w:hAnsi="仿宋_GB2312" w:eastAsia="仿宋_GB2312" w:cs="仿宋_GB2312"/>
          <w:color w:val="000000" w:themeColor="text1"/>
          <w:lang w:val="en"/>
          <w14:textFill>
            <w14:solidFill>
              <w14:schemeClr w14:val="tx1"/>
            </w14:solidFill>
          </w14:textFill>
        </w:rPr>
        <w:t>商务</w:t>
      </w:r>
      <w:r>
        <w:rPr>
          <w:rFonts w:hint="eastAsia" w:ascii="仿宋_GB2312" w:hAnsi="仿宋_GB2312" w:eastAsia="仿宋_GB2312" w:cs="仿宋_GB2312"/>
          <w:color w:val="000000" w:themeColor="text1"/>
          <w14:textFill>
            <w14:solidFill>
              <w14:schemeClr w14:val="tx1"/>
            </w14:solidFill>
          </w14:textFill>
        </w:rPr>
        <w:t>要求</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1.服务起止时间：自签订合同之日起一年</w:t>
      </w:r>
    </w:p>
    <w:p>
      <w:pPr>
        <w:pStyle w:val="39"/>
        <w:autoSpaceDE w:val="0"/>
        <w:autoSpaceDN w:val="0"/>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2.总包及分包规定：本项目不接受分包。</w:t>
      </w:r>
    </w:p>
    <w:p>
      <w:pPr>
        <w:pStyle w:val="14"/>
        <w:spacing w:line="360" w:lineRule="auto"/>
        <w:ind w:left="1"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3.付款方式：采用支票、网银支付两种形式。</w:t>
      </w:r>
    </w:p>
    <w:p>
      <w:pPr>
        <w:tabs>
          <w:tab w:val="center" w:pos="5156"/>
        </w:tabs>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4.承包方式：总价包干。</w:t>
      </w:r>
    </w:p>
    <w:p>
      <w:pPr>
        <w:autoSpaceDE w:val="0"/>
        <w:autoSpaceDN w:val="0"/>
        <w:ind w:lef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5.项目结算：</w:t>
      </w:r>
      <w:r>
        <w:rPr>
          <w:rFonts w:hint="eastAsia" w:ascii="仿宋_GB2312" w:eastAsia="仿宋_GB2312"/>
          <w:sz w:val="28"/>
          <w:szCs w:val="28"/>
        </w:rPr>
        <w:t>项目竣工验收合格后，经甲方或甲方委托有资质第三方机构审核后，若结算审核价比合同暂定总价低，则以结算审核价作为合同结算价，否则以合同暂定总价为合同结算价。</w:t>
      </w:r>
    </w:p>
    <w:p>
      <w:pPr>
        <w:pStyle w:val="25"/>
        <w:ind w:firstLine="560" w:firstLineChars="200"/>
        <w:rPr>
          <w:rFonts w:hint="default" w:eastAsia="仿宋_GB2312"/>
          <w:lang w:val="en-US"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ascii="仿宋_GB2312" w:hAnsi="仿宋_GB2312" w:eastAsia="仿宋_GB2312" w:cs="仿宋_GB2312"/>
          <w:color w:val="000000"/>
          <w:sz w:val="28"/>
          <w:szCs w:val="28"/>
          <w:u w:val="single"/>
          <w:lang w:val="zh-CN"/>
        </w:rPr>
        <w:t>项目</w:t>
      </w:r>
      <w:r>
        <w:rPr>
          <w:rFonts w:hint="eastAsia" w:ascii="仿宋_GB2312" w:hAnsi="仿宋_GB2312" w:eastAsia="仿宋_GB2312" w:cs="仿宋_GB2312"/>
          <w:color w:val="000000"/>
          <w:sz w:val="28"/>
          <w:szCs w:val="28"/>
          <w:u w:val="single"/>
        </w:rPr>
        <w:t>负责人</w:t>
      </w:r>
      <w:r>
        <w:rPr>
          <w:rFonts w:ascii="仿宋_GB2312" w:hAnsi="仿宋_GB2312" w:eastAsia="仿宋_GB2312" w:cs="仿宋_GB2312"/>
          <w:color w:val="000000"/>
          <w:sz w:val="28"/>
          <w:szCs w:val="28"/>
          <w:u w:val="single"/>
          <w:lang w:val="zh-CN"/>
        </w:rPr>
        <w:t>须具备</w:t>
      </w:r>
      <w:r>
        <w:rPr>
          <w:rFonts w:hint="eastAsia" w:ascii="仿宋_GB2312" w:hAnsi="仿宋_GB2312" w:eastAsia="仿宋_GB2312" w:cs="仿宋_GB2312"/>
          <w:color w:val="000000"/>
          <w:sz w:val="28"/>
          <w:szCs w:val="28"/>
          <w:u w:val="single"/>
          <w:lang w:val="en-US" w:eastAsia="zh-CN"/>
        </w:rPr>
        <w:t>思科认证网络工程师（CCIE）</w:t>
      </w:r>
      <w:r>
        <w:rPr>
          <w:rFonts w:ascii="仿宋_GB2312" w:hAnsi="仿宋_GB2312" w:eastAsia="仿宋_GB2312" w:cs="仿宋_GB2312"/>
          <w:color w:val="000000"/>
          <w:sz w:val="28"/>
          <w:szCs w:val="28"/>
          <w:u w:val="single"/>
          <w:lang w:val="zh-CN"/>
        </w:rPr>
        <w:t>或者</w:t>
      </w:r>
      <w:r>
        <w:rPr>
          <w:rFonts w:hint="eastAsia" w:ascii="仿宋_GB2312" w:hAnsi="仿宋_GB2312" w:eastAsia="仿宋_GB2312" w:cs="仿宋_GB2312"/>
          <w:color w:val="000000"/>
          <w:sz w:val="28"/>
          <w:szCs w:val="28"/>
          <w:u w:val="single"/>
          <w:lang w:val="en-US" w:eastAsia="zh-CN"/>
        </w:rPr>
        <w:t>华为认证网络工程师(HCIE)</w:t>
      </w:r>
      <w:r>
        <w:rPr>
          <w:rFonts w:hint="eastAsia" w:ascii="仿宋_GB2312" w:hAnsi="仿宋_GB2312" w:eastAsia="仿宋_GB2312" w:cs="仿宋_GB2312"/>
          <w:color w:val="000000"/>
          <w:sz w:val="28"/>
          <w:szCs w:val="28"/>
          <w:u w:val="single"/>
          <w:lang w:val="zh-CN"/>
        </w:rPr>
        <w:t>；驻场</w:t>
      </w:r>
      <w:r>
        <w:rPr>
          <w:rFonts w:ascii="仿宋_GB2312" w:hAnsi="仿宋_GB2312" w:eastAsia="仿宋_GB2312" w:cs="仿宋_GB2312"/>
          <w:color w:val="000000"/>
          <w:sz w:val="28"/>
          <w:szCs w:val="28"/>
          <w:u w:val="single"/>
          <w:lang w:val="zh-CN"/>
        </w:rPr>
        <w:t>服务人员须具备</w:t>
      </w:r>
      <w:r>
        <w:rPr>
          <w:rFonts w:hint="eastAsia" w:ascii="仿宋_GB2312" w:hAnsi="仿宋_GB2312" w:eastAsia="仿宋_GB2312" w:cs="仿宋_GB2312"/>
          <w:color w:val="000000"/>
          <w:sz w:val="28"/>
          <w:szCs w:val="28"/>
          <w:u w:val="single"/>
          <w:lang w:val="en-US" w:eastAsia="zh-CN"/>
        </w:rPr>
        <w:t>思科认证网络工程师（CCNA）</w:t>
      </w:r>
      <w:r>
        <w:rPr>
          <w:rFonts w:ascii="仿宋_GB2312" w:hAnsi="仿宋_GB2312" w:eastAsia="仿宋_GB2312" w:cs="仿宋_GB2312"/>
          <w:color w:val="000000"/>
          <w:sz w:val="28"/>
          <w:szCs w:val="28"/>
          <w:u w:val="single"/>
          <w:lang w:val="zh-CN"/>
        </w:rPr>
        <w:t>或者</w:t>
      </w:r>
      <w:r>
        <w:rPr>
          <w:rFonts w:hint="eastAsia" w:ascii="仿宋_GB2312" w:hAnsi="仿宋_GB2312" w:eastAsia="仿宋_GB2312" w:cs="仿宋_GB2312"/>
          <w:color w:val="000000"/>
          <w:sz w:val="28"/>
          <w:szCs w:val="28"/>
          <w:u w:val="single"/>
          <w:lang w:val="en-US" w:eastAsia="zh-CN"/>
        </w:rPr>
        <w:t>华为认证网络工程师(HCIA)或更高认证</w:t>
      </w:r>
      <w:r>
        <w:rPr>
          <w:rFonts w:hint="eastAsia" w:ascii="仿宋_GB2312" w:hAnsi="仿宋_GB2312" w:eastAsia="仿宋_GB2312" w:cs="仿宋_GB2312"/>
          <w:color w:val="000000"/>
          <w:sz w:val="28"/>
          <w:szCs w:val="28"/>
          <w:u w:val="single"/>
          <w:lang w:val="zh-CN"/>
        </w:rPr>
        <w:t>。</w:t>
      </w:r>
    </w:p>
    <w:p>
      <w:pPr>
        <w:adjustRightInd w:val="0"/>
        <w:snapToGrid w:val="0"/>
        <w:spacing w:line="600" w:lineRule="exact"/>
        <w:ind w:firstLine="560" w:firstLineChars="200"/>
        <w:jc w:val="left"/>
        <w:rPr>
          <w:rFonts w:ascii="仿宋" w:hAnsi="仿宋" w:eastAsia="仿宋" w:cs="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备件要求：</w:t>
      </w:r>
      <w:r>
        <w:rPr>
          <w:rFonts w:hint="eastAsia" w:ascii="仿宋" w:hAnsi="仿宋" w:eastAsia="仿宋" w:cs="仿宋_GB2312"/>
          <w:sz w:val="28"/>
          <w:szCs w:val="28"/>
        </w:rPr>
        <w:t>要求中标人在签订合同后5天内将关键设备备件运送到询价人指定的位置停放至少3</w:t>
      </w:r>
      <w:r>
        <w:rPr>
          <w:rFonts w:ascii="仿宋" w:hAnsi="仿宋" w:eastAsia="仿宋" w:cs="仿宋_GB2312"/>
          <w:sz w:val="28"/>
          <w:szCs w:val="28"/>
        </w:rPr>
        <w:t>0</w:t>
      </w:r>
      <w:r>
        <w:rPr>
          <w:rFonts w:hint="eastAsia" w:ascii="仿宋" w:hAnsi="仿宋" w:eastAsia="仿宋" w:cs="仿宋_GB2312"/>
          <w:sz w:val="28"/>
          <w:szCs w:val="28"/>
        </w:rPr>
        <w:t>个工作日，以供询价人查验关键设备备件的有效性、可用性、完整性，所有备件规格、型号、配件数量、操作系统必须和当前在网设备保持一致。关键设备清单如下：</w:t>
      </w:r>
    </w:p>
    <w:tbl>
      <w:tblPr>
        <w:tblStyle w:val="26"/>
        <w:tblW w:w="8963" w:type="dxa"/>
        <w:tblInd w:w="299" w:type="dxa"/>
        <w:tblLayout w:type="fixed"/>
        <w:tblCellMar>
          <w:top w:w="0" w:type="dxa"/>
          <w:left w:w="0" w:type="dxa"/>
          <w:bottom w:w="0" w:type="dxa"/>
          <w:right w:w="0" w:type="dxa"/>
        </w:tblCellMar>
      </w:tblPr>
      <w:tblGrid>
        <w:gridCol w:w="1130"/>
        <w:gridCol w:w="3756"/>
        <w:gridCol w:w="883"/>
        <w:gridCol w:w="3194"/>
      </w:tblGrid>
      <w:tr>
        <w:tblPrEx>
          <w:tblCellMar>
            <w:top w:w="0" w:type="dxa"/>
            <w:left w:w="0" w:type="dxa"/>
            <w:bottom w:w="0" w:type="dxa"/>
            <w:right w:w="0" w:type="dxa"/>
          </w:tblCellMar>
        </w:tblPrEx>
        <w:trPr>
          <w:trHeight w:val="27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color w:val="000000"/>
                <w:sz w:val="22"/>
              </w:rPr>
            </w:pPr>
            <w:r>
              <w:rPr>
                <w:rFonts w:hint="eastAsia" w:ascii="仿宋" w:hAnsi="仿宋" w:eastAsia="仿宋" w:cs="宋体"/>
                <w:b/>
                <w:color w:val="000000"/>
                <w:kern w:val="0"/>
                <w:sz w:val="22"/>
                <w:lang w:bidi="ar"/>
              </w:rPr>
              <w:t>品牌</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color w:val="000000"/>
                <w:sz w:val="22"/>
              </w:rPr>
            </w:pPr>
            <w:r>
              <w:rPr>
                <w:rFonts w:hint="eastAsia" w:ascii="仿宋" w:hAnsi="仿宋" w:eastAsia="仿宋" w:cs="宋体"/>
                <w:b/>
                <w:color w:val="000000"/>
                <w:kern w:val="0"/>
                <w:sz w:val="22"/>
                <w:lang w:bidi="ar"/>
              </w:rPr>
              <w:t>型号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color w:val="000000"/>
                <w:sz w:val="22"/>
              </w:rPr>
            </w:pPr>
            <w:r>
              <w:rPr>
                <w:rFonts w:hint="eastAsia" w:ascii="仿宋" w:hAnsi="仿宋" w:eastAsia="仿宋" w:cs="宋体"/>
                <w:b/>
                <w:color w:val="000000"/>
                <w:kern w:val="0"/>
                <w:sz w:val="22"/>
                <w:lang w:bidi="ar"/>
              </w:rPr>
              <w:t>数量</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b/>
                <w:color w:val="000000"/>
                <w:sz w:val="22"/>
              </w:rPr>
            </w:pPr>
            <w:r>
              <w:rPr>
                <w:rFonts w:hint="eastAsia" w:ascii="仿宋" w:hAnsi="仿宋" w:eastAsia="仿宋" w:cs="宋体"/>
                <w:b/>
                <w:color w:val="000000"/>
                <w:kern w:val="0"/>
                <w:sz w:val="22"/>
                <w:lang w:bidi="ar"/>
              </w:rPr>
              <w:t>备注</w:t>
            </w:r>
          </w:p>
        </w:tc>
      </w:tr>
      <w:tr>
        <w:tblPrEx>
          <w:tblCellMar>
            <w:top w:w="0" w:type="dxa"/>
            <w:left w:w="0" w:type="dxa"/>
            <w:bottom w:w="0" w:type="dxa"/>
            <w:right w:w="0" w:type="dxa"/>
          </w:tblCellMar>
        </w:tblPrEx>
        <w:trPr>
          <w:trHeight w:val="108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SG 5800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服务器区域防火墙和专线接入区域防火墙</w:t>
            </w:r>
          </w:p>
        </w:tc>
      </w:tr>
      <w:tr>
        <w:tblPrEx>
          <w:tblCellMar>
            <w:top w:w="0" w:type="dxa"/>
            <w:left w:w="0" w:type="dxa"/>
            <w:bottom w:w="0" w:type="dxa"/>
            <w:right w:w="0" w:type="dxa"/>
          </w:tblCellMar>
        </w:tblPrEx>
        <w:trPr>
          <w:trHeight w:val="54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Checkpoint</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SG 12200 NGTP</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公司互联网出口防火墙</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Cisco</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6509(ws-x6848-ge-tx,ws-x6848-sfp,vs-sup2t-10G,双电源)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ascii="仿宋" w:hAnsi="仿宋" w:eastAsia="仿宋" w:cs="宋体"/>
                <w:color w:val="000000"/>
                <w:kern w:val="0"/>
                <w:sz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核心交换机</w:t>
            </w:r>
          </w:p>
        </w:tc>
      </w:tr>
      <w:tr>
        <w:tblPrEx>
          <w:tblCellMar>
            <w:top w:w="0" w:type="dxa"/>
            <w:left w:w="0" w:type="dxa"/>
            <w:bottom w:w="0" w:type="dxa"/>
            <w:right w:w="0"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000000"/>
                <w:kern w:val="0"/>
                <w:sz w:val="22"/>
                <w:lang w:bidi="ar"/>
              </w:rPr>
            </w:pPr>
            <w:r>
              <w:rPr>
                <w:rFonts w:hint="eastAsia" w:ascii="仿宋" w:hAnsi="仿宋" w:eastAsia="仿宋" w:cs="仿宋_GB2312"/>
                <w:color w:val="000000"/>
                <w:kern w:val="0"/>
                <w:sz w:val="22"/>
                <w:szCs w:val="22"/>
                <w:lang w:bidi="ar"/>
              </w:rPr>
              <w:t>I</w:t>
            </w:r>
            <w:r>
              <w:rPr>
                <w:rFonts w:ascii="仿宋" w:hAnsi="仿宋" w:eastAsia="仿宋" w:cs="仿宋_GB2312"/>
                <w:color w:val="000000"/>
                <w:kern w:val="0"/>
                <w:sz w:val="22"/>
                <w:szCs w:val="22"/>
                <w:lang w:bidi="ar"/>
              </w:rPr>
              <w:t>TC</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000000"/>
                <w:kern w:val="0"/>
                <w:sz w:val="22"/>
                <w:lang w:bidi="ar"/>
              </w:rPr>
            </w:pPr>
            <w:r>
              <w:rPr>
                <w:rFonts w:hint="eastAsia" w:ascii="仿宋" w:hAnsi="仿宋" w:eastAsia="仿宋" w:cs="仿宋_GB2312"/>
                <w:color w:val="000000"/>
                <w:kern w:val="0"/>
                <w:sz w:val="22"/>
                <w:szCs w:val="22"/>
                <w:lang w:bidi="ar"/>
              </w:rPr>
              <w:t>TS-W100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kern w:val="0"/>
                <w:sz w:val="22"/>
                <w:lang w:bidi="ar"/>
              </w:rPr>
            </w:pPr>
            <w:r>
              <w:rPr>
                <w:rFonts w:ascii="仿宋" w:hAnsi="仿宋" w:eastAsia="仿宋" w:cs="仿宋_GB2312"/>
                <w:color w:val="000000"/>
                <w:kern w:val="0"/>
                <w:sz w:val="22"/>
                <w:szCs w:val="22"/>
                <w:lang w:bidi="ar"/>
              </w:rPr>
              <w:t>1</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000000"/>
                <w:kern w:val="0"/>
                <w:sz w:val="22"/>
                <w:lang w:bidi="ar"/>
              </w:rPr>
            </w:pPr>
            <w:r>
              <w:rPr>
                <w:rFonts w:hint="eastAsia" w:ascii="仿宋" w:hAnsi="仿宋" w:eastAsia="仿宋" w:cs="仿宋_GB2312"/>
                <w:color w:val="000000"/>
                <w:kern w:val="0"/>
                <w:sz w:val="22"/>
                <w:szCs w:val="22"/>
                <w:lang w:bidi="ar"/>
              </w:rPr>
              <w:t>会议系统主机</w:t>
            </w:r>
          </w:p>
        </w:tc>
      </w:tr>
      <w:tr>
        <w:tblPrEx>
          <w:tblCellMar>
            <w:top w:w="0" w:type="dxa"/>
            <w:left w:w="0" w:type="dxa"/>
            <w:bottom w:w="0" w:type="dxa"/>
            <w:right w:w="0" w:type="dxa"/>
          </w:tblCellMar>
        </w:tblPrEx>
        <w:trPr>
          <w:trHeight w:val="841" w:hRule="atLeast"/>
        </w:trPr>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2"/>
                <w:sz w:val="24"/>
                <w:szCs w:val="22"/>
                <w:lang w:val="en-US" w:eastAsia="zh-CN" w:bidi="ar-SA"/>
              </w:rPr>
            </w:pPr>
            <w:r>
              <w:rPr>
                <w:rFonts w:hint="eastAsia" w:ascii="仿宋_GB2312" w:hAnsi="宋体" w:eastAsia="仿宋_GB2312" w:cs="宋体"/>
                <w:color w:val="000000"/>
                <w:kern w:val="0"/>
                <w:sz w:val="24"/>
                <w:szCs w:val="20"/>
              </w:rPr>
              <w:t>ITC</w:t>
            </w:r>
          </w:p>
        </w:tc>
        <w:tc>
          <w:tcPr>
            <w:tcW w:w="3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2"/>
                <w:sz w:val="24"/>
                <w:szCs w:val="22"/>
                <w:lang w:val="en-US" w:eastAsia="zh-CN" w:bidi="ar-SA"/>
              </w:rPr>
            </w:pPr>
            <w:r>
              <w:rPr>
                <w:rFonts w:hint="eastAsia" w:ascii="仿宋_GB2312" w:hAnsi="宋体" w:eastAsia="仿宋_GB2312" w:cs="宋体"/>
                <w:color w:val="000000"/>
                <w:kern w:val="0"/>
                <w:sz w:val="24"/>
                <w:szCs w:val="20"/>
                <w:lang w:val="en-US" w:eastAsia="zh-CN"/>
              </w:rPr>
              <w:t xml:space="preserve"> </w:t>
            </w:r>
            <w:r>
              <w:rPr>
                <w:rFonts w:hint="eastAsia" w:ascii="仿宋_GB2312" w:hAnsi="宋体" w:eastAsia="仿宋_GB2312" w:cs="宋体"/>
                <w:color w:val="000000"/>
                <w:kern w:val="0"/>
                <w:sz w:val="24"/>
                <w:szCs w:val="20"/>
              </w:rPr>
              <w:t>TV-PH166-YM</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宋体"/>
                <w:color w:val="000000"/>
                <w:kern w:val="2"/>
                <w:sz w:val="24"/>
                <w:szCs w:val="22"/>
                <w:lang w:val="en-US" w:eastAsia="zh-CN" w:bidi="ar-SA"/>
              </w:rPr>
            </w:pPr>
            <w:r>
              <w:rPr>
                <w:rFonts w:hint="eastAsia" w:ascii="仿宋_GB2312" w:hAnsi="宋体" w:eastAsia="仿宋_GB2312" w:cs="宋体"/>
                <w:color w:val="000000"/>
                <w:kern w:val="0"/>
                <w:sz w:val="24"/>
                <w:szCs w:val="20"/>
                <w:lang w:val="en-US" w:eastAsia="zh-CN"/>
              </w:rPr>
              <w:t>4</w:t>
            </w:r>
          </w:p>
        </w:tc>
        <w:tc>
          <w:tcPr>
            <w:tcW w:w="3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spacing w:line="840" w:lineRule="auto"/>
              <w:jc w:val="center"/>
              <w:textAlignment w:val="center"/>
              <w:rPr>
                <w:rFonts w:hint="eastAsia" w:ascii="仿宋_GB2312" w:hAnsi="宋体" w:eastAsia="仿宋_GB2312" w:cs="宋体"/>
                <w:color w:val="000000"/>
                <w:kern w:val="2"/>
                <w:sz w:val="24"/>
                <w:szCs w:val="22"/>
                <w:lang w:val="en-US" w:eastAsia="zh-CN" w:bidi="ar-SA"/>
              </w:rPr>
            </w:pPr>
            <w:r>
              <w:rPr>
                <w:rFonts w:hint="eastAsia" w:ascii="仿宋_GB2312" w:hAnsi="宋体" w:eastAsia="仿宋_GB2312" w:cs="宋体"/>
                <w:color w:val="000000"/>
                <w:kern w:val="0"/>
                <w:sz w:val="24"/>
                <w:szCs w:val="20"/>
              </w:rPr>
              <w:t>小间距全彩LED显示屏模块</w:t>
            </w:r>
          </w:p>
        </w:tc>
      </w:tr>
    </w:tbl>
    <w:p>
      <w:pPr>
        <w:pStyle w:val="25"/>
        <w:ind w:firstLine="0"/>
        <w:rPr>
          <w:color w:val="auto"/>
        </w:rPr>
      </w:pPr>
    </w:p>
    <w:p>
      <w:pPr>
        <w:pStyle w:val="25"/>
        <w:rPr>
          <w:color w:val="auto"/>
        </w:rPr>
      </w:pPr>
    </w:p>
    <w:p>
      <w:pPr>
        <w:pStyle w:val="25"/>
        <w:rPr>
          <w:color w:val="auto"/>
        </w:rPr>
      </w:pPr>
    </w:p>
    <w:p>
      <w:pPr>
        <w:pStyle w:val="25"/>
        <w:rPr>
          <w:color w:val="auto"/>
        </w:rPr>
      </w:pPr>
    </w:p>
    <w:p>
      <w:pPr>
        <w:rPr>
          <w:color w:val="auto"/>
        </w:rPr>
      </w:pPr>
      <w:r>
        <w:rPr>
          <w:color w:val="auto"/>
        </w:rPr>
        <w:br w:type="page"/>
      </w:r>
    </w:p>
    <w:p>
      <w:pPr>
        <w:pStyle w:val="25"/>
        <w:rPr>
          <w:color w:val="auto"/>
        </w:rPr>
      </w:pPr>
    </w:p>
    <w:p>
      <w:pPr>
        <w:pStyle w:val="3"/>
        <w:rPr>
          <w:rFonts w:hint="eastAsia"/>
        </w:rPr>
      </w:pPr>
      <w:bookmarkStart w:id="61" w:name="_Toc15570"/>
      <w:bookmarkStart w:id="62" w:name="_Toc1284"/>
      <w:bookmarkStart w:id="63" w:name="_Toc25925"/>
      <w:bookmarkStart w:id="64" w:name="_Toc12135"/>
      <w:bookmarkStart w:id="65" w:name="_Toc23330"/>
      <w:bookmarkStart w:id="66" w:name="_Toc29835"/>
      <w:bookmarkStart w:id="67" w:name="_Toc1496"/>
      <w:bookmarkStart w:id="68" w:name="_Toc4680"/>
      <w:bookmarkStart w:id="69" w:name="_Toc23353"/>
      <w:bookmarkStart w:id="70" w:name="_Toc537"/>
      <w:bookmarkStart w:id="71" w:name="_Toc18538"/>
    </w:p>
    <w:p>
      <w:pPr>
        <w:rPr>
          <w:rFonts w:hint="eastAsia"/>
        </w:rPr>
      </w:pPr>
    </w:p>
    <w:p>
      <w:pPr>
        <w:pStyle w:val="3"/>
      </w:pPr>
      <w: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42"/>
      </w:pPr>
    </w:p>
    <w:p>
      <w:pPr>
        <w:pStyle w:val="42"/>
      </w:pPr>
    </w:p>
    <w:p>
      <w:pPr>
        <w:pStyle w:val="42"/>
      </w:pPr>
    </w:p>
    <w:p>
      <w:pPr>
        <w:pStyle w:val="42"/>
      </w:pPr>
    </w:p>
    <w:p>
      <w:pPr>
        <w:pStyle w:val="42"/>
      </w:pPr>
    </w:p>
    <w:p>
      <w:pPr>
        <w:pStyle w:val="3"/>
      </w:pPr>
      <w:bookmarkStart w:id="72" w:name="_Toc323"/>
      <w:bookmarkStart w:id="73" w:name="_Toc12721"/>
      <w:bookmarkStart w:id="74" w:name="_Toc19088"/>
      <w:bookmarkStart w:id="75" w:name="_Toc1375"/>
      <w:bookmarkStart w:id="76" w:name="_Toc12980"/>
      <w:bookmarkStart w:id="77" w:name="_Toc87616386"/>
      <w:bookmarkStart w:id="78" w:name="_Toc22797"/>
      <w:bookmarkStart w:id="79" w:name="_Toc19686"/>
      <w:bookmarkStart w:id="80" w:name="_Toc12968"/>
      <w:bookmarkStart w:id="81" w:name="_Toc13309"/>
      <w:bookmarkStart w:id="82" w:name="_Toc8183"/>
      <w:bookmarkStart w:id="83" w:name="_Toc22501"/>
      <w:bookmarkStart w:id="84" w:name="_Toc88209949"/>
      <w:r>
        <w:rPr>
          <w:rFonts w:hint="eastAsia"/>
          <w:lang w:val="en-US" w:eastAsia="zh-CN"/>
        </w:rPr>
        <w:t xml:space="preserve">  </w:t>
      </w:r>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5"/>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5"/>
        <w:rPr>
          <w:rFonts w:ascii="方正小标宋简体" w:eastAsia="方正小标宋简体"/>
          <w:sz w:val="44"/>
          <w:szCs w:val="44"/>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52"/>
          <w:szCs w:val="52"/>
          <w:highlight w:val="none"/>
          <w14:textFill>
            <w14:solidFill>
              <w14:schemeClr w14:val="tx1"/>
            </w14:solidFill>
          </w14:textFill>
        </w:rPr>
      </w:pPr>
      <w:r>
        <w:rPr>
          <w:rFonts w:hint="eastAsia" w:ascii="宋体" w:hAnsi="宋体" w:cs="宋体"/>
          <w:b/>
          <w:bCs/>
          <w:color w:val="000000" w:themeColor="text1"/>
          <w:sz w:val="48"/>
          <w:szCs w:val="48"/>
          <w:highlight w:val="none"/>
          <w:u w:val="single"/>
          <w:lang w:val="en-US" w:eastAsia="zh-CN"/>
          <w14:textFill>
            <w14:solidFill>
              <w14:schemeClr w14:val="tx1"/>
            </w14:solidFill>
          </w14:textFill>
        </w:rPr>
        <w:t>2023</w:t>
      </w:r>
      <w:r>
        <w:rPr>
          <w:rFonts w:hint="eastAsia" w:ascii="宋体" w:hAnsi="宋体" w:cs="宋体"/>
          <w:b/>
          <w:bCs/>
          <w:color w:val="000000" w:themeColor="text1"/>
          <w:sz w:val="48"/>
          <w:szCs w:val="48"/>
          <w:highlight w:val="none"/>
          <w14:textFill>
            <w14:solidFill>
              <w14:schemeClr w14:val="tx1"/>
            </w14:solidFill>
          </w14:textFill>
        </w:rPr>
        <w:t>年度信息化运维服务合同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r>
        <w:rPr>
          <w:rFonts w:ascii="仿宋_GB2312" w:eastAsia="仿宋_GB2312"/>
          <w:bCs/>
          <w:color w:val="000000" w:themeColor="text1"/>
          <w:sz w:val="28"/>
          <w:szCs w:val="28"/>
          <w:highlight w:val="none"/>
          <w14:textFill>
            <w14:solidFill>
              <w14:schemeClr w14:val="tx1"/>
            </w14:solidFill>
          </w14:textFill>
        </w:rPr>
        <w:br w:type="page"/>
      </w:r>
    </w:p>
    <w:p>
      <w:pPr>
        <w:spacing w:before="93" w:beforeLines="30" w:line="500" w:lineRule="exact"/>
        <w:ind w:left="0" w:leftChars="0" w:firstLine="720" w:firstLineChars="3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广州市净水有限公司</w:t>
      </w:r>
      <w:r>
        <w:rPr>
          <w:rFonts w:hint="eastAsia" w:ascii="宋体" w:hAnsi="宋体" w:eastAsia="宋体" w:cs="宋体"/>
          <w:color w:val="000000" w:themeColor="text1"/>
          <w:sz w:val="24"/>
          <w:highlight w:val="none"/>
          <w14:textFill>
            <w14:solidFill>
              <w14:schemeClr w14:val="tx1"/>
            </w14:solidFill>
          </w14:textFill>
        </w:rPr>
        <w:t>（以下简称“甲方”）与</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（以下简称“乙方”）依照</w:t>
      </w:r>
      <w:r>
        <w:rPr>
          <w:rFonts w:hint="eastAsia" w:ascii="宋体" w:hAnsi="宋体" w:eastAsia="宋体" w:cs="Arial"/>
          <w:color w:val="000000" w:themeColor="text1"/>
          <w:sz w:val="24"/>
          <w:highlight w:val="none"/>
          <w:shd w:val="clear" w:color="auto" w:fill="FFFFFF"/>
          <w14:textFill>
            <w14:solidFill>
              <w14:schemeClr w14:val="tx1"/>
            </w14:solidFill>
          </w14:textFill>
        </w:rPr>
        <w:t>《中华人民共和国网络安全法》及相关</w:t>
      </w:r>
      <w:r>
        <w:rPr>
          <w:rFonts w:hint="eastAsia" w:ascii="宋体" w:hAnsi="宋体" w:eastAsia="宋体" w:cs="宋体"/>
          <w:color w:val="000000" w:themeColor="text1"/>
          <w:sz w:val="24"/>
          <w:highlight w:val="none"/>
          <w14:textFill>
            <w14:solidFill>
              <w14:schemeClr w14:val="tx1"/>
            </w14:solidFill>
          </w14:textFill>
        </w:rPr>
        <w:t>法律法规，就</w:t>
      </w:r>
      <w:r>
        <w:rPr>
          <w:rFonts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一、组成合同的文件及优先顺序</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本合同书；</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⑶</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⑷</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招标文件</w:t>
      </w:r>
      <w:r>
        <w:rPr>
          <w:rFonts w:ascii="宋体" w:hAnsi="宋体" w:eastAsia="宋体" w:cs="宋体"/>
          <w:bCs/>
          <w:color w:val="000000" w:themeColor="text1"/>
          <w:sz w:val="24"/>
          <w:highlight w:val="none"/>
          <w14:textFill>
            <w14:solidFill>
              <w14:schemeClr w14:val="tx1"/>
            </w14:solidFill>
          </w14:textFill>
        </w:rPr>
        <w:t>/询价文件；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⑸</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投标文件</w:t>
      </w:r>
      <w:r>
        <w:rPr>
          <w:rFonts w:ascii="宋体" w:hAnsi="宋体" w:eastAsia="宋体" w:cs="宋体"/>
          <w:bCs/>
          <w:color w:val="000000" w:themeColor="text1"/>
          <w:sz w:val="24"/>
          <w:highlight w:val="none"/>
          <w14:textFill>
            <w14:solidFill>
              <w14:schemeClr w14:val="tx1"/>
            </w14:solidFill>
          </w14:textFill>
        </w:rPr>
        <w:t>/响应文件；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⑹</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标准、规范及有关技术性文件；</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⑺</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技术需求</w:t>
      </w:r>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w:t>
      </w:r>
      <w:r>
        <w:rPr>
          <w:rFonts w:ascii="宋体" w:hAnsi="宋体" w:eastAsia="宋体" w:cs="宋体"/>
          <w:bCs/>
          <w:color w:val="000000" w:themeColor="text1"/>
          <w:sz w:val="24"/>
          <w:highlight w:val="none"/>
          <w14:textFill>
            <w14:solidFill>
              <w14:schemeClr w14:val="tx1"/>
            </w14:solidFill>
          </w14:textFill>
        </w:rPr>
        <w:t xml:space="preserve">8） </w:t>
      </w:r>
      <w:r>
        <w:rPr>
          <w:rFonts w:hint="eastAsia" w:ascii="宋体" w:hAnsi="宋体" w:eastAsia="宋体" w:cs="宋体"/>
          <w:bCs/>
          <w:color w:val="000000" w:themeColor="text1"/>
          <w:sz w:val="24"/>
          <w:highlight w:val="none"/>
          <w14:textFill>
            <w14:solidFill>
              <w14:schemeClr w14:val="tx1"/>
            </w14:solidFill>
          </w14:textFill>
        </w:rPr>
        <w:t>本合同其他附件；</w:t>
      </w:r>
    </w:p>
    <w:p>
      <w:pPr>
        <w:spacing w:line="500" w:lineRule="exact"/>
        <w:ind w:firstLine="482"/>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维护概况及内容</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2.1服务地点：</w:t>
      </w:r>
      <w:r>
        <w:rPr>
          <w:rFonts w:hint="eastAsia" w:ascii="宋体" w:hAnsi="宋体" w:eastAsia="宋体" w:cs="宋体"/>
          <w:color w:val="000000" w:themeColor="text1"/>
          <w:sz w:val="24"/>
          <w:highlight w:val="none"/>
          <w:u w:val="single"/>
          <w:lang w:val="en-US" w:eastAsia="zh-CN"/>
          <w14:textFill>
            <w14:solidFill>
              <w14:schemeClr w14:val="tx1"/>
            </w14:solidFill>
          </w14:textFill>
        </w:rPr>
        <w:t>广州市净水有限公司</w:t>
      </w:r>
      <w:r>
        <w:rPr>
          <w:rFonts w:ascii="宋体" w:hAnsi="宋体" w:eastAsia="宋体" w:cs="宋体"/>
          <w:color w:val="000000" w:themeColor="text1"/>
          <w:sz w:val="24"/>
          <w:highlight w:val="none"/>
          <w:u w:val="single"/>
          <w14:textFill>
            <w14:solidFill>
              <w14:schemeClr w14:val="tx1"/>
            </w14:solidFill>
          </w14:textFill>
        </w:rPr>
        <w:t>。</w:t>
      </w:r>
    </w:p>
    <w:p>
      <w:pPr>
        <w:spacing w:line="500" w:lineRule="exact"/>
        <w:ind w:firstLine="480" w:firstLineChars="200"/>
        <w:rPr>
          <w:rFonts w:hint="eastAsia" w:ascii="宋体" w:hAnsi="宋体" w:cs="宋体" w:eastAsiaTheme="minorEastAsia"/>
          <w:color w:val="000000" w:themeColor="text1"/>
          <w:sz w:val="24"/>
          <w:highlight w:val="none"/>
          <w:u w:val="singl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2.2服务内容：</w:t>
      </w:r>
      <w:r>
        <w:rPr>
          <w:rFonts w:hint="eastAsia" w:ascii="宋体" w:hAnsi="宋体" w:eastAsia="宋体" w:cs="宋体"/>
          <w:color w:val="000000" w:themeColor="text1"/>
          <w:sz w:val="24"/>
          <w:highlight w:val="none"/>
          <w:u w:val="single"/>
          <w:lang w:val="en-US" w:eastAsia="zh-CN"/>
          <w14:textFill>
            <w14:solidFill>
              <w14:schemeClr w14:val="tx1"/>
            </w14:solidFill>
          </w14:textFill>
        </w:rPr>
        <w:t>网络系统、</w:t>
      </w:r>
      <w:r>
        <w:rPr>
          <w:rFonts w:hint="eastAsia" w:ascii="宋体" w:hAnsi="宋体" w:cs="宋体"/>
          <w:color w:val="000000" w:themeColor="text1"/>
          <w:sz w:val="24"/>
          <w:u w:val="single"/>
          <w14:textFill>
            <w14:solidFill>
              <w14:schemeClr w14:val="tx1"/>
            </w14:solidFill>
          </w14:textFill>
        </w:rPr>
        <w:t>无纸化、视频会议系统</w:t>
      </w:r>
      <w:r>
        <w:rPr>
          <w:rFonts w:hint="eastAsia" w:ascii="宋体" w:hAnsi="宋体" w:cs="宋体"/>
          <w:color w:val="000000" w:themeColor="text1"/>
          <w:sz w:val="24"/>
          <w:u w:val="single"/>
          <w:lang w:val="en-US" w:eastAsia="zh-CN"/>
          <w14:textFill>
            <w14:solidFill>
              <w14:schemeClr w14:val="tx1"/>
            </w14:solidFill>
          </w14:textFill>
        </w:rPr>
        <w:t>软硬件</w:t>
      </w:r>
      <w:r>
        <w:rPr>
          <w:rFonts w:hint="eastAsia" w:ascii="宋体" w:hAnsi="宋体" w:cs="宋体"/>
          <w:color w:val="000000" w:themeColor="text1"/>
          <w:sz w:val="24"/>
          <w:u w:val="single"/>
          <w14:textFill>
            <w14:solidFill>
              <w14:schemeClr w14:val="tx1"/>
            </w14:solidFill>
          </w14:textFill>
        </w:rPr>
        <w:t>维保</w:t>
      </w:r>
      <w:r>
        <w:rPr>
          <w:rFonts w:hint="eastAsia" w:ascii="宋体" w:hAnsi="宋体" w:cs="宋体"/>
          <w:color w:val="000000" w:themeColor="text1"/>
          <w:sz w:val="24"/>
          <w:u w:val="single"/>
          <w:lang w:val="en-US" w:eastAsia="zh-CN"/>
          <w14:textFill>
            <w14:solidFill>
              <w14:schemeClr w14:val="tx1"/>
            </w14:solidFill>
          </w14:textFill>
        </w:rPr>
        <w:t>工作</w:t>
      </w:r>
      <w:r>
        <w:rPr>
          <w:rFonts w:hint="eastAsia" w:ascii="宋体" w:hAnsi="宋体" w:cs="宋体"/>
          <w:color w:val="000000" w:themeColor="text1"/>
          <w:sz w:val="24"/>
          <w:u w:val="single"/>
          <w14:textFill>
            <w14:solidFill>
              <w14:schemeClr w14:val="tx1"/>
            </w14:solidFill>
          </w14:textFill>
        </w:rPr>
        <w:t>，具体服务内容见附件</w:t>
      </w:r>
      <w:r>
        <w:rPr>
          <w:rFonts w:hint="eastAsia" w:ascii="宋体" w:hAnsi="宋体" w:cs="宋体"/>
          <w:color w:val="000000" w:themeColor="text1"/>
          <w:sz w:val="24"/>
          <w:u w:val="single"/>
          <w:lang w:val="en-US" w:eastAsia="zh-CN"/>
          <w14:textFill>
            <w14:solidFill>
              <w14:schemeClr w14:val="tx1"/>
            </w14:solidFill>
          </w14:textFill>
        </w:rPr>
        <w:t>5</w:t>
      </w:r>
    </w:p>
    <w:p>
      <w:pPr>
        <w:spacing w:line="500" w:lineRule="exact"/>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2.3维护目标：</w:t>
      </w:r>
      <w:r>
        <w:rPr>
          <w:rFonts w:hint="eastAsia" w:ascii="宋体" w:hAnsi="宋体" w:cs="宋体"/>
          <w:color w:val="000000" w:themeColor="text1"/>
          <w:sz w:val="24"/>
          <w:u w:val="single"/>
          <w14:textFill>
            <w14:solidFill>
              <w14:schemeClr w14:val="tx1"/>
            </w14:solidFill>
          </w14:textFill>
        </w:rPr>
        <w:t>保障</w:t>
      </w:r>
      <w:r>
        <w:rPr>
          <w:rFonts w:hint="eastAsia" w:ascii="宋体" w:hAnsi="宋体" w:cs="宋体"/>
          <w:color w:val="000000" w:themeColor="text1"/>
          <w:sz w:val="24"/>
          <w:u w:val="single"/>
          <w:lang w:val="en-US" w:eastAsia="zh-CN"/>
          <w14:textFill>
            <w14:solidFill>
              <w14:schemeClr w14:val="tx1"/>
            </w14:solidFill>
          </w14:textFill>
        </w:rPr>
        <w:t>广州市净水有限公司本部及所属各单位网络系统、</w:t>
      </w:r>
      <w:r>
        <w:rPr>
          <w:rFonts w:hint="eastAsia" w:ascii="宋体" w:hAnsi="宋体" w:cs="宋体"/>
          <w:color w:val="000000" w:themeColor="text1"/>
          <w:sz w:val="24"/>
          <w:u w:val="single"/>
          <w14:textFill>
            <w14:solidFill>
              <w14:schemeClr w14:val="tx1"/>
            </w14:solidFill>
          </w14:textFill>
        </w:rPr>
        <w:t>无纸化会议系统、视频会议系统稳定运行</w:t>
      </w:r>
      <w:r>
        <w:rPr>
          <w:rFonts w:ascii="宋体" w:hAnsi="宋体" w:cs="宋体"/>
          <w:color w:val="000000" w:themeColor="text1"/>
          <w:sz w:val="24"/>
          <w:u w:val="single"/>
          <w14:textFill>
            <w14:solidFill>
              <w14:schemeClr w14:val="tx1"/>
            </w14:solidFill>
          </w14:textFill>
        </w:rPr>
        <w:t>。</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乙方须向甲方提供以下资料：</w:t>
      </w:r>
    </w:p>
    <w:p>
      <w:pPr>
        <w:spacing w:line="500" w:lineRule="exact"/>
        <w:ind w:firstLine="560"/>
        <w:rPr>
          <w:rFonts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合同签订后3日内提供服务计划书，包括不限于：运维服务计划、技术服务人员名单、国家工作日驻场服务人员名单、7×24小时联系电话、备品备件情况等。</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三、</w:t>
      </w:r>
      <w:r>
        <w:rPr>
          <w:rFonts w:hint="eastAsia" w:ascii="宋体" w:hAnsi="宋体" w:eastAsia="宋体"/>
          <w:b/>
          <w:color w:val="000000" w:themeColor="text1"/>
          <w:sz w:val="24"/>
          <w:highlight w:val="none"/>
          <w14:textFill>
            <w14:solidFill>
              <w14:schemeClr w14:val="tx1"/>
            </w14:solidFill>
          </w14:textFill>
        </w:rPr>
        <w:t>服务期限：</w:t>
      </w:r>
      <w:r>
        <w:rPr>
          <w:rFonts w:hint="eastAsia" w:ascii="宋体" w:hAnsi="宋体" w:eastAsia="宋体"/>
          <w:b/>
          <w:color w:val="000000" w:themeColor="text1"/>
          <w:sz w:val="24"/>
          <w:highlight w:val="none"/>
          <w:u w:val="single"/>
          <w14:textFill>
            <w14:solidFill>
              <w14:schemeClr w14:val="tx1"/>
            </w14:solidFill>
          </w14:textFill>
        </w:rPr>
        <w:t>X年X月X日至X年X月X日止。</w:t>
      </w:r>
    </w:p>
    <w:p>
      <w:pPr>
        <w:spacing w:line="500" w:lineRule="exact"/>
        <w:ind w:firstLine="602" w:firstLineChars="250"/>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四、合同价及支付方式</w:t>
      </w:r>
    </w:p>
    <w:p>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4.1合同暂定总价为：</w:t>
      </w:r>
      <w:r>
        <w:rPr>
          <w:rFonts w:hint="eastAsia" w:ascii="宋体" w:hAnsi="宋体" w:eastAsia="宋体" w:cs="宋体"/>
          <w:b/>
          <w:color w:val="000000" w:themeColor="text1"/>
          <w:sz w:val="24"/>
          <w:highlight w:val="none"/>
          <w:u w:val="single"/>
          <w14:textFill>
            <w14:solidFill>
              <w14:schemeClr w14:val="tx1"/>
            </w14:solidFill>
          </w14:textFill>
        </w:rPr>
        <w:t>人民币</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highlight w:val="non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）。经甲方或甲方委托有资质第三方机构审核后，</w:t>
      </w:r>
      <w:r>
        <w:rPr>
          <w:rFonts w:hint="eastAsia" w:ascii="宋体" w:hAnsi="宋体" w:cs="宋体"/>
          <w:color w:val="000000" w:themeColor="text1"/>
          <w:sz w:val="24"/>
          <w:highlight w:val="none"/>
          <w14:textFill>
            <w14:solidFill>
              <w14:schemeClr w14:val="tx1"/>
            </w14:solidFill>
          </w14:textFill>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w:t>
      </w:r>
      <w:r>
        <w:rPr>
          <w:rFonts w:hint="eastAsia" w:ascii="宋体" w:hAnsi="宋体" w:eastAsia="宋体" w:cs="宋体"/>
          <w:color w:val="000000" w:themeColor="text1"/>
          <w:kern w:val="0"/>
          <w:sz w:val="24"/>
          <w:highlight w:val="none"/>
          <w14:textFill>
            <w14:solidFill>
              <w14:schemeClr w14:val="tx1"/>
            </w14:solidFill>
          </w14:textFill>
        </w:rPr>
        <w:t>本合同约定的价格为含税价价格</w:t>
      </w:r>
      <w:r>
        <w:rPr>
          <w:rFonts w:hint="eastAsia" w:ascii="宋体" w:hAnsi="宋体" w:eastAsia="宋体" w:cs="宋体"/>
          <w:color w:val="000000" w:themeColor="text1"/>
          <w:sz w:val="24"/>
          <w:highlight w:val="none"/>
          <w14:textFill>
            <w14:solidFill>
              <w14:schemeClr w14:val="tx1"/>
            </w14:solidFill>
          </w14:textFill>
        </w:rPr>
        <w:t>（税率</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14:textFill>
            <w14:solidFill>
              <w14:schemeClr w14:val="tx1"/>
            </w14:solidFill>
          </w14:textFill>
        </w:rPr>
      </w:pPr>
      <w:r>
        <w:rPr>
          <w:rFonts w:hint="eastAsia" w:ascii="宋体" w:hAnsi="宋体" w:eastAsia="宋体"/>
          <w:b/>
          <w:bCs w:val="0"/>
          <w:color w:val="000000" w:themeColor="text1"/>
          <w:spacing w:val="2"/>
          <w:kern w:val="36"/>
          <w:position w:val="2"/>
          <w:sz w:val="24"/>
          <w:highlight w:val="none"/>
          <w14:textFill>
            <w14:solidFill>
              <w14:schemeClr w14:val="tx1"/>
            </w14:solidFill>
          </w14:textFill>
        </w:rPr>
        <w:t>五、付款及履约担保：</w:t>
      </w:r>
    </w:p>
    <w:p>
      <w:pPr>
        <w:spacing w:line="500" w:lineRule="exact"/>
        <w:ind w:firstLine="488" w:firstLineChars="200"/>
        <w:rPr>
          <w:rFonts w:hint="eastAsia" w:ascii="宋体" w:hAnsi="宋体" w:eastAsia="宋体" w:cs="宋体"/>
          <w:bCs/>
          <w:color w:val="000000" w:themeColor="text1"/>
          <w:sz w:val="24"/>
          <w:highlight w:val="none"/>
          <w14:textFill>
            <w14:solidFill>
              <w14:schemeClr w14:val="tx1"/>
            </w14:solidFill>
          </w14:textFill>
        </w:rPr>
      </w:pPr>
      <w:r>
        <w:rPr>
          <w:rFonts w:ascii="宋体" w:hAnsi="宋体" w:eastAsia="宋体"/>
          <w:bCs/>
          <w:color w:val="000000" w:themeColor="text1"/>
          <w:spacing w:val="2"/>
          <w:kern w:val="36"/>
          <w:position w:val="2"/>
          <w:sz w:val="24"/>
          <w:highlight w:val="none"/>
          <w14:textFill>
            <w14:solidFill>
              <w14:schemeClr w14:val="tx1"/>
            </w14:solidFill>
          </w14:textFill>
        </w:rPr>
        <w:t>5.1</w:t>
      </w:r>
      <w:r>
        <w:rPr>
          <w:rFonts w:hint="eastAsia" w:ascii="宋体" w:hAnsi="宋体" w:eastAsia="宋体" w:cs="宋体"/>
          <w:bCs/>
          <w:color w:val="000000" w:themeColor="text1"/>
          <w:sz w:val="24"/>
          <w:highlight w:val="none"/>
          <w14:textFill>
            <w14:solidFill>
              <w14:schemeClr w14:val="tx1"/>
            </w14:solidFill>
          </w14:textFill>
        </w:rPr>
        <w:t>预付款的支付：</w:t>
      </w:r>
      <w:r>
        <w:rPr>
          <w:rFonts w:ascii="宋体" w:hAnsi="宋体" w:eastAsia="宋体" w:cs="宋体"/>
          <w:bCs/>
          <w:color w:val="000000" w:themeColor="text1"/>
          <w:sz w:val="24"/>
          <w:highlight w:val="none"/>
          <w14:textFill>
            <w14:solidFill>
              <w14:schemeClr w14:val="tx1"/>
            </w14:solidFill>
          </w14:textFill>
        </w:rPr>
        <w:sym w:font="Wingdings" w:char="00FE"/>
      </w:r>
      <w:r>
        <w:rPr>
          <w:rFonts w:hint="eastAsia" w:ascii="宋体" w:hAnsi="宋体" w:eastAsia="宋体" w:cs="宋体"/>
          <w:bCs/>
          <w:color w:val="000000" w:themeColor="text1"/>
          <w:sz w:val="24"/>
          <w:highlight w:val="none"/>
          <w14:textFill>
            <w14:solidFill>
              <w14:schemeClr w14:val="tx1"/>
            </w14:solidFill>
          </w14:textFill>
        </w:rPr>
        <w:t>无；</w:t>
      </w:r>
      <w:r>
        <w:rPr>
          <w:rFonts w:ascii="宋体" w:hAnsi="宋体" w:eastAsia="宋体" w:cs="宋体"/>
          <w:bCs/>
          <w:color w:val="000000" w:themeColor="text1"/>
          <w:sz w:val="24"/>
          <w:highlight w:val="none"/>
          <w14:textFill>
            <w14:solidFill>
              <w14:schemeClr w14:val="tx1"/>
            </w14:solidFill>
          </w14:textFill>
        </w:rPr>
        <w:t xml:space="preserve">     </w:t>
      </w:r>
      <w:r>
        <w:rPr>
          <w:rFonts w:ascii="宋体" w:hAnsi="宋体" w:eastAsia="宋体" w:cs="宋体"/>
          <w:bCs/>
          <w:color w:val="000000" w:themeColor="text1"/>
          <w:sz w:val="24"/>
          <w:highlight w:val="none"/>
          <w14:textFill>
            <w14:solidFill>
              <w14:schemeClr w14:val="tx1"/>
            </w14:solidFill>
          </w14:textFill>
        </w:rPr>
        <w:sym w:font="Wingdings" w:char="F0A8"/>
      </w:r>
      <w:r>
        <w:rPr>
          <w:rFonts w:hint="eastAsia" w:ascii="宋体" w:hAnsi="宋体" w:eastAsia="宋体" w:cs="宋体"/>
          <w:bCs/>
          <w:color w:val="000000" w:themeColor="text1"/>
          <w:sz w:val="24"/>
          <w:highlight w:val="none"/>
          <w14:textFill>
            <w14:solidFill>
              <w14:schemeClr w14:val="tx1"/>
            </w14:solidFill>
          </w14:textFill>
        </w:rPr>
        <w:t>有，</w:t>
      </w:r>
      <w:r>
        <w:rPr>
          <w:rFonts w:hint="eastAsia" w:ascii="宋体" w:hAnsi="宋体" w:cs="宋体"/>
          <w:bCs/>
          <w:color w:val="000000" w:themeColor="text1"/>
          <w:sz w:val="24"/>
          <w:highlight w:val="none"/>
          <w14:textFill>
            <w14:solidFill>
              <w14:schemeClr w14:val="tx1"/>
            </w14:solidFill>
          </w14:textFill>
        </w:rPr>
        <w:t>合同签订后乙方开具等额的增值税专用发票及提交履约担保担保（如有）</w:t>
      </w:r>
      <w:r>
        <w:rPr>
          <w:rFonts w:hint="eastAsia" w:ascii="宋体" w:hAnsi="宋体" w:eastAsia="宋体" w:cs="宋体"/>
          <w:bCs/>
          <w:color w:val="000000" w:themeColor="text1"/>
          <w:sz w:val="24"/>
          <w:highlight w:val="none"/>
          <w14:textFill>
            <w14:solidFill>
              <w14:schemeClr w14:val="tx1"/>
            </w14:solidFill>
          </w14:textFill>
        </w:rPr>
        <w:t>，由乙方提交</w:t>
      </w:r>
      <w:r>
        <w:rPr>
          <w:rFonts w:hint="eastAsia" w:ascii="宋体" w:hAnsi="宋体" w:eastAsia="宋体" w:cs="宋体"/>
          <w:bCs/>
          <w:color w:val="000000" w:themeColor="text1"/>
          <w:sz w:val="24"/>
          <w:highlight w:val="none"/>
          <w:u w:val="single"/>
          <w14:textFill>
            <w14:solidFill>
              <w14:schemeClr w14:val="tx1"/>
            </w14:solidFill>
          </w14:textFill>
        </w:rPr>
        <w:t>申请支付资料</w:t>
      </w:r>
      <w:r>
        <w:rPr>
          <w:rFonts w:hint="eastAsia" w:ascii="宋体" w:hAnsi="宋体" w:eastAsia="宋体" w:cs="宋体"/>
          <w:bCs/>
          <w:color w:val="000000" w:themeColor="text1"/>
          <w:sz w:val="24"/>
          <w:highlight w:val="none"/>
          <w14:textFill>
            <w14:solidFill>
              <w14:schemeClr w14:val="tx1"/>
            </w14:solidFill>
          </w14:textFill>
        </w:rPr>
        <w:t>及开具等额的增值税专用发票后</w:t>
      </w:r>
      <w:r>
        <w:rPr>
          <w:rFonts w:ascii="宋体" w:hAnsi="宋体" w:eastAsia="宋体" w:cs="宋体"/>
          <w:bCs/>
          <w:color w:val="000000" w:themeColor="text1"/>
          <w:sz w:val="24"/>
          <w:highlight w:val="none"/>
          <w:u w:val="single"/>
          <w14:textFill>
            <w14:solidFill>
              <w14:schemeClr w14:val="tx1"/>
            </w14:solidFill>
          </w14:textFill>
        </w:rPr>
        <w:t>15</w:t>
      </w:r>
      <w:r>
        <w:rPr>
          <w:rFonts w:hint="eastAsia" w:ascii="宋体" w:hAnsi="宋体" w:eastAsia="宋体" w:cs="宋体"/>
          <w:bCs/>
          <w:color w:val="000000" w:themeColor="text1"/>
          <w:sz w:val="24"/>
          <w:highlight w:val="none"/>
          <w:u w:val="single"/>
          <w14:textFill>
            <w14:solidFill>
              <w14:schemeClr w14:val="tx1"/>
            </w14:solidFill>
          </w14:textFill>
        </w:rPr>
        <w:t>个</w:t>
      </w:r>
      <w:r>
        <w:rPr>
          <w:rFonts w:hint="eastAsia" w:ascii="宋体" w:hAnsi="宋体" w:eastAsia="宋体" w:cs="宋体"/>
          <w:bCs/>
          <w:color w:val="000000" w:themeColor="text1"/>
          <w:sz w:val="24"/>
          <w:highlight w:val="none"/>
          <w14:textFill>
            <w14:solidFill>
              <w14:schemeClr w14:val="tx1"/>
            </w14:solidFill>
          </w14:textFill>
        </w:rPr>
        <w:t>工作日内，甲方支付合同</w:t>
      </w:r>
      <w:r>
        <w:rPr>
          <w:rFonts w:hint="eastAsia" w:ascii="宋体" w:hAnsi="宋体" w:eastAsia="宋体" w:cs="宋体"/>
          <w:color w:val="000000" w:themeColor="text1"/>
          <w:sz w:val="24"/>
          <w:highlight w:val="none"/>
          <w14:textFill>
            <w14:solidFill>
              <w14:schemeClr w14:val="tx1"/>
            </w14:solidFill>
          </w14:textFill>
        </w:rPr>
        <w:t>暂定总价</w:t>
      </w:r>
      <w:r>
        <w:rPr>
          <w:rFonts w:hint="eastAsia" w:ascii="宋体" w:hAnsi="宋体" w:eastAsia="宋体" w:cs="宋体"/>
          <w:bCs/>
          <w:color w:val="000000" w:themeColor="text1"/>
          <w:sz w:val="24"/>
          <w:highlight w:val="none"/>
          <w14:textFill>
            <w14:solidFill>
              <w14:schemeClr w14:val="tx1"/>
            </w14:solidFill>
          </w14:textFill>
        </w:rPr>
        <w:t>的</w:t>
      </w:r>
      <w:r>
        <w:rPr>
          <w:rFonts w:ascii="宋体" w:hAnsi="宋体" w:eastAsia="宋体" w:cs="宋体"/>
          <w:bCs/>
          <w:color w:val="000000" w:themeColor="text1"/>
          <w:sz w:val="24"/>
          <w:highlight w:val="none"/>
          <w:u w:val="single"/>
          <w14:textFill>
            <w14:solidFill>
              <w14:schemeClr w14:val="tx1"/>
            </w14:solidFill>
          </w14:textFill>
        </w:rPr>
        <w:t xml:space="preserve">  （不得超过30%）  </w:t>
      </w:r>
      <w:r>
        <w:rPr>
          <w:rFonts w:hint="eastAsia" w:ascii="宋体" w:hAnsi="宋体" w:eastAsia="宋体" w:cs="宋体"/>
          <w:color w:val="000000" w:themeColor="text1"/>
          <w:sz w:val="24"/>
          <w:highlight w:val="none"/>
          <w14:textFill>
            <w14:solidFill>
              <w14:schemeClr w14:val="tx1"/>
            </w14:solidFill>
          </w14:textFill>
        </w:rPr>
        <w:t>即</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w:t>
      </w:r>
    </w:p>
    <w:p>
      <w:pPr>
        <w:pStyle w:val="2"/>
        <w:spacing w:line="500" w:lineRule="exact"/>
        <w:ind w:firstLine="480" w:firstLineChars="200"/>
        <w:rPr>
          <w:rFonts w:hint="eastAsia" w:hAnsi="宋体" w:eastAsia="宋体"/>
          <w:color w:val="000000" w:themeColor="text1"/>
          <w:kern w:val="2"/>
          <w:highlight w:val="none"/>
          <w:lang w:val="en-US" w:eastAsia="zh-CN"/>
          <w14:textFill>
            <w14:solidFill>
              <w14:schemeClr w14:val="tx1"/>
            </w14:solidFill>
          </w14:textFill>
        </w:rPr>
      </w:pPr>
      <w:r>
        <w:rPr>
          <w:rFonts w:hint="eastAsia" w:hAnsi="宋体" w:eastAsia="宋体" w:cs="宋体"/>
          <w:bCs w:val="0"/>
          <w:color w:val="000000" w:themeColor="text1"/>
          <w:kern w:val="2"/>
          <w:sz w:val="24"/>
          <w:highlight w:val="none"/>
          <w:lang w:val="en-US" w:eastAsia="zh-CN"/>
          <w14:textFill>
            <w14:solidFill>
              <w14:schemeClr w14:val="tx1"/>
            </w14:solidFill>
          </w14:textFill>
        </w:rPr>
        <w:t>5.2</w:t>
      </w:r>
      <w:r>
        <w:rPr>
          <w:rFonts w:hint="eastAsia" w:hAnsi="宋体" w:eastAsia="宋体" w:cs="宋体"/>
          <w:color w:val="000000" w:themeColor="text1"/>
          <w:kern w:val="2"/>
          <w:sz w:val="24"/>
          <w:szCs w:val="24"/>
          <w:highlight w:val="none"/>
          <w:u w:val="single"/>
          <w14:textFill>
            <w14:solidFill>
              <w14:schemeClr w14:val="tx1"/>
            </w14:solidFill>
          </w14:textFill>
        </w:rPr>
        <w:t>乙方</w:t>
      </w:r>
      <w:r>
        <w:rPr>
          <w:rFonts w:hint="eastAsia" w:hAnsi="宋体" w:eastAsia="宋体" w:cs="宋体"/>
          <w:color w:val="000000" w:themeColor="text1"/>
          <w:kern w:val="2"/>
          <w:sz w:val="24"/>
          <w:szCs w:val="24"/>
          <w:highlight w:val="none"/>
          <w:u w:val="single"/>
          <w:lang w:val="en-US" w:eastAsia="zh-CN"/>
          <w14:textFill>
            <w14:solidFill>
              <w14:schemeClr w14:val="tx1"/>
            </w14:solidFill>
          </w14:textFill>
        </w:rPr>
        <w:t>驻场人员到场并</w:t>
      </w:r>
      <w:r>
        <w:rPr>
          <w:rFonts w:hint="eastAsia" w:hAnsi="宋体" w:eastAsia="宋体" w:cs="宋体"/>
          <w:color w:val="000000" w:themeColor="text1"/>
          <w:kern w:val="2"/>
          <w:sz w:val="24"/>
          <w:szCs w:val="24"/>
          <w:highlight w:val="none"/>
          <w:u w:val="single"/>
          <w14:textFill>
            <w14:solidFill>
              <w14:schemeClr w14:val="tx1"/>
            </w14:solidFill>
          </w14:textFill>
        </w:rPr>
        <w:t>提供关键设备备件由甲方人员验证有效性、可用性、完整性</w:t>
      </w:r>
      <w:r>
        <w:rPr>
          <w:rFonts w:hint="eastAsia" w:hAnsi="宋体" w:eastAsia="宋体" w:cs="宋体"/>
          <w:color w:val="000000" w:themeColor="text1"/>
          <w:kern w:val="2"/>
          <w:sz w:val="24"/>
          <w:szCs w:val="24"/>
          <w:highlight w:val="none"/>
          <w:u w:val="none"/>
          <w14:textFill>
            <w14:solidFill>
              <w14:schemeClr w14:val="tx1"/>
            </w14:solidFill>
          </w14:textFill>
        </w:rPr>
        <w:t>，同时乙方提交服务计划书并经甲方审核通过后</w:t>
      </w:r>
      <w:r>
        <w:rPr>
          <w:rFonts w:hint="eastAsia" w:hAnsi="宋体" w:eastAsia="宋体" w:cs="宋体"/>
          <w:color w:val="000000" w:themeColor="text1"/>
          <w:kern w:val="2"/>
          <w:sz w:val="24"/>
          <w:szCs w:val="24"/>
          <w:highlight w:val="none"/>
          <w14:textFill>
            <w14:solidFill>
              <w14:schemeClr w14:val="tx1"/>
            </w14:solidFill>
          </w14:textFill>
        </w:rPr>
        <w:t>，乙方提交等额发票后</w:t>
      </w:r>
      <w:r>
        <w:rPr>
          <w:rFonts w:hint="eastAsia" w:hAnsi="宋体" w:eastAsia="宋体" w:cs="宋体"/>
          <w:color w:val="000000" w:themeColor="text1"/>
          <w:kern w:val="2"/>
          <w:sz w:val="24"/>
          <w:szCs w:val="24"/>
          <w:highlight w:val="none"/>
          <w:u w:val="single"/>
          <w14:textFill>
            <w14:solidFill>
              <w14:schemeClr w14:val="tx1"/>
            </w14:solidFill>
          </w14:textFill>
        </w:rPr>
        <w:t xml:space="preserve">15 </w:t>
      </w:r>
      <w:r>
        <w:rPr>
          <w:rFonts w:hint="eastAsia" w:hAnsi="宋体" w:eastAsia="宋体" w:cs="宋体"/>
          <w:color w:val="000000" w:themeColor="text1"/>
          <w:kern w:val="2"/>
          <w:sz w:val="24"/>
          <w:szCs w:val="24"/>
          <w:highlight w:val="none"/>
          <w14:textFill>
            <w14:solidFill>
              <w14:schemeClr w14:val="tx1"/>
            </w14:solidFill>
          </w14:textFill>
        </w:rPr>
        <w:t>个工作日内，甲方支付至合同暂定总价的</w:t>
      </w:r>
      <w:r>
        <w:rPr>
          <w:rFonts w:hint="eastAsia" w:hAnsi="宋体" w:eastAsia="宋体" w:cs="宋体"/>
          <w:color w:val="000000" w:themeColor="text1"/>
          <w:kern w:val="2"/>
          <w:sz w:val="24"/>
          <w:szCs w:val="24"/>
          <w:highlight w:val="none"/>
          <w:u w:val="single"/>
          <w14:textFill>
            <w14:solidFill>
              <w14:schemeClr w14:val="tx1"/>
            </w14:solidFill>
          </w14:textFill>
        </w:rPr>
        <w:t>30％</w:t>
      </w:r>
      <w:r>
        <w:rPr>
          <w:rFonts w:hint="eastAsia" w:hAnsi="宋体" w:eastAsia="宋体" w:cs="宋体"/>
          <w:color w:val="000000" w:themeColor="text1"/>
          <w:kern w:val="2"/>
          <w:sz w:val="24"/>
          <w:szCs w:val="24"/>
          <w:highlight w:val="none"/>
          <w:u w:val="single"/>
          <w:lang w:eastAsia="zh-CN"/>
          <w14:textFill>
            <w14:solidFill>
              <w14:schemeClr w14:val="tx1"/>
            </w14:solidFill>
          </w14:textFill>
        </w:rPr>
        <w:t>，</w:t>
      </w:r>
      <w:r>
        <w:rPr>
          <w:rFonts w:hint="eastAsia" w:hAnsi="宋体" w:eastAsia="宋体" w:cs="宋体"/>
          <w:color w:val="000000" w:themeColor="text1"/>
          <w:kern w:val="2"/>
          <w:sz w:val="24"/>
          <w:szCs w:val="24"/>
          <w:highlight w:val="none"/>
          <w14:textFill>
            <w14:solidFill>
              <w14:schemeClr w14:val="tx1"/>
            </w14:solidFill>
          </w14:textFill>
        </w:rPr>
        <w:t>即￥</w:t>
      </w:r>
      <w:r>
        <w:rPr>
          <w:rFonts w:hint="eastAsia" w:hAnsi="宋体" w:eastAsia="宋体" w:cs="宋体"/>
          <w:color w:val="000000" w:themeColor="text1"/>
          <w:kern w:val="2"/>
          <w:sz w:val="24"/>
          <w:szCs w:val="24"/>
          <w:highlight w:val="none"/>
          <w:u w:val="none"/>
          <w14:textFill>
            <w14:solidFill>
              <w14:schemeClr w14:val="tx1"/>
            </w14:solidFill>
          </w14:textFill>
        </w:rPr>
        <w:t xml:space="preserve"> … 万元</w:t>
      </w:r>
      <w:r>
        <w:rPr>
          <w:rFonts w:hint="eastAsia" w:hAnsi="宋体" w:eastAsia="宋体" w:cs="宋体"/>
          <w:color w:val="000000" w:themeColor="text1"/>
          <w:kern w:val="2"/>
          <w:sz w:val="24"/>
          <w:szCs w:val="24"/>
          <w:highlight w:val="none"/>
          <w14:textFill>
            <w14:solidFill>
              <w14:schemeClr w14:val="tx1"/>
            </w14:solidFill>
          </w14:textFill>
        </w:rPr>
        <w:t>。</w:t>
      </w:r>
    </w:p>
    <w:p>
      <w:pPr>
        <w:pStyle w:val="14"/>
        <w:spacing w:line="500" w:lineRule="exact"/>
        <w:ind w:firstLine="480" w:firstLineChars="200"/>
        <w:outlineLvl w:val="1"/>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w:t>
      </w:r>
      <w:r>
        <w:rPr>
          <w:rFonts w:hint="eastAsia"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项目服务至</w:t>
      </w:r>
      <w:r>
        <w:rPr>
          <w:rFonts w:hint="eastAsia" w:hAnsi="宋体" w:eastAsia="宋体" w:cs="宋体"/>
          <w:color w:val="000000" w:themeColor="text1"/>
          <w:sz w:val="24"/>
          <w:szCs w:val="24"/>
          <w:highlight w:val="none"/>
          <w:u w:val="single"/>
          <w:lang w:val="en-US" w:eastAsia="zh-CN"/>
          <w14:textFill>
            <w14:solidFill>
              <w14:schemeClr w14:val="tx1"/>
            </w14:solidFill>
          </w14:textFill>
        </w:rPr>
        <w:t>服务期限70%，即</w:t>
      </w:r>
      <w:r>
        <w:rPr>
          <w:rFonts w:ascii="宋体" w:hAnsi="宋体" w:cs="宋体"/>
          <w:color w:val="000000" w:themeColor="text1"/>
          <w:sz w:val="24"/>
          <w:u w:val="single"/>
          <w14:textFill>
            <w14:solidFill>
              <w14:schemeClr w14:val="tx1"/>
            </w14:solidFill>
          </w14:textFill>
        </w:rPr>
        <w:t xml:space="preserve">2022 年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，乙方提交阶段性总结报告经甲方审核通过后，乙方提交</w:t>
      </w:r>
      <w:r>
        <w:rPr>
          <w:rFonts w:hint="eastAsia" w:ascii="宋体" w:hAnsi="宋体" w:eastAsia="宋体" w:cs="宋体"/>
          <w:color w:val="000000" w:themeColor="text1"/>
          <w:sz w:val="24"/>
          <w:szCs w:val="24"/>
          <w:highlight w:val="none"/>
          <w:u w:val="single"/>
          <w14:textFill>
            <w14:solidFill>
              <w14:schemeClr w14:val="tx1"/>
            </w14:solidFill>
          </w14:textFill>
        </w:rPr>
        <w:t>申请支付资料</w:t>
      </w:r>
      <w:r>
        <w:rPr>
          <w:rFonts w:hint="eastAsia" w:ascii="宋体" w:hAnsi="宋体" w:eastAsia="宋体" w:cs="宋体"/>
          <w:color w:val="000000" w:themeColor="text1"/>
          <w:sz w:val="24"/>
          <w:szCs w:val="24"/>
          <w:highlight w:val="none"/>
          <w14:textFill>
            <w14:solidFill>
              <w14:schemeClr w14:val="tx1"/>
            </w14:solidFill>
          </w14:textFill>
        </w:rPr>
        <w:t>及等额发票后</w:t>
      </w:r>
      <w:r>
        <w:rPr>
          <w:rFonts w:ascii="宋体" w:hAnsi="宋体" w:eastAsia="宋体" w:cs="宋体"/>
          <w:color w:val="000000" w:themeColor="text1"/>
          <w:sz w:val="24"/>
          <w:szCs w:val="24"/>
          <w:highlight w:val="none"/>
          <w:u w:val="single"/>
          <w14:textFill>
            <w14:solidFill>
              <w14:schemeClr w14:val="tx1"/>
            </w14:solidFill>
          </w14:textFill>
        </w:rPr>
        <w:t xml:space="preserve">15 </w:t>
      </w:r>
      <w:r>
        <w:rPr>
          <w:rFonts w:hint="eastAsia" w:ascii="宋体" w:hAnsi="宋体" w:eastAsia="宋体" w:cs="宋体"/>
          <w:color w:val="000000" w:themeColor="text1"/>
          <w:sz w:val="24"/>
          <w:szCs w:val="24"/>
          <w:highlight w:val="none"/>
          <w14:textFill>
            <w14:solidFill>
              <w14:schemeClr w14:val="tx1"/>
            </w14:solidFill>
          </w14:textFill>
        </w:rPr>
        <w:t>个工作日内，甲方支付至合同暂定总价的</w:t>
      </w:r>
      <w:r>
        <w:rPr>
          <w:rFonts w:hint="eastAsia" w:hAnsi="宋体" w:eastAsia="宋体" w:cs="宋体"/>
          <w:color w:val="000000" w:themeColor="text1"/>
          <w:sz w:val="24"/>
          <w:szCs w:val="24"/>
          <w:highlight w:val="none"/>
          <w:u w:val="single"/>
          <w:lang w:val="en-US" w:eastAsia="zh-CN"/>
          <w14:textFill>
            <w14:solidFill>
              <w14:schemeClr w14:val="tx1"/>
            </w14:solidFill>
          </w14:textFill>
        </w:rPr>
        <w:t>70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即￥</w:t>
      </w:r>
      <w:r>
        <w:rPr>
          <w:rFonts w:hint="eastAsia"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spacing w:line="500" w:lineRule="exact"/>
        <w:ind w:firstLine="480" w:firstLineChars="200"/>
        <w:outlineLvl w:val="1"/>
        <w:rPr>
          <w:rFonts w:hint="eastAsia" w:ascii="宋体" w:hAnsi="宋体" w:cs="宋体"/>
          <w:color w:val="000000" w:themeColor="text1"/>
          <w:sz w:val="24"/>
          <w:highlight w:val="none"/>
          <w:u w:val="single"/>
          <w:lang w:eastAsia="zh-CN"/>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合同履约完毕</w:t>
      </w:r>
      <w:r>
        <w:rPr>
          <w:rFonts w:hint="eastAsia" w:ascii="宋体" w:hAnsi="宋体" w:eastAsia="宋体" w:cs="宋体"/>
          <w:color w:val="000000" w:themeColor="text1"/>
          <w:sz w:val="24"/>
          <w:highlight w:val="none"/>
          <w14:textFill>
            <w14:solidFill>
              <w14:schemeClr w14:val="tx1"/>
            </w14:solidFill>
          </w14:textFill>
        </w:rPr>
        <w:t>并经甲方验收合格后</w:t>
      </w:r>
      <w:r>
        <w:rPr>
          <w:rFonts w:ascii="宋体" w:hAnsi="宋体" w:eastAsia="宋体" w:cs="宋体"/>
          <w:color w:val="000000" w:themeColor="text1"/>
          <w:sz w:val="24"/>
          <w:highlight w:val="none"/>
          <w14:textFill>
            <w14:solidFill>
              <w14:schemeClr w14:val="tx1"/>
            </w14:solidFill>
          </w14:textFill>
        </w:rPr>
        <w:t>5日内</w:t>
      </w:r>
      <w:r>
        <w:rPr>
          <w:rFonts w:hint="eastAsia" w:ascii="宋体" w:hAnsi="宋体" w:eastAsia="宋体" w:cs="宋体"/>
          <w:color w:val="000000" w:themeColor="text1"/>
          <w:sz w:val="24"/>
          <w:highlight w:val="none"/>
          <w14:textFill>
            <w14:solidFill>
              <w14:schemeClr w14:val="tx1"/>
            </w14:solidFill>
          </w14:textFill>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14:textFill>
            <w14:solidFill>
              <w14:schemeClr w14:val="tx1"/>
            </w14:solidFill>
          </w14:textFill>
        </w:rPr>
        <w:t xml:space="preserve"> 15 </w:t>
      </w:r>
      <w:r>
        <w:rPr>
          <w:rFonts w:hint="eastAsia" w:ascii="宋体" w:hAnsi="宋体" w:eastAsia="宋体" w:cs="宋体"/>
          <w:color w:val="000000" w:themeColor="text1"/>
          <w:sz w:val="24"/>
          <w:highlight w:val="none"/>
          <w14:textFill>
            <w14:solidFill>
              <w14:schemeClr w14:val="tx1"/>
            </w14:solidFill>
          </w14:textFill>
        </w:rPr>
        <w:t>个工作日内，甲方支付至合同结算价的</w:t>
      </w:r>
      <w:r>
        <w:rPr>
          <w:rFonts w:hint="eastAsia" w:ascii="宋体" w:hAnsi="宋体" w:cs="宋体"/>
          <w:color w:val="000000" w:themeColor="text1"/>
          <w:sz w:val="24"/>
          <w:highlight w:val="none"/>
          <w:u w:val="single"/>
          <w:lang w:val="en-US" w:eastAsia="zh-CN"/>
          <w14:textFill>
            <w14:solidFill>
              <w14:schemeClr w14:val="tx1"/>
            </w14:solidFill>
          </w14:textFill>
        </w:rPr>
        <w:t>100%。</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5.5</w:t>
      </w:r>
      <w:r>
        <w:rPr>
          <w:rFonts w:hint="eastAsia" w:ascii="宋体" w:hAnsi="宋体" w:cs="宋体"/>
          <w:color w:val="000000" w:themeColor="text1"/>
          <w:sz w:val="24"/>
          <w:szCs w:val="24"/>
          <w:highlight w:val="none"/>
          <w14:textFill>
            <w14:solidFill>
              <w14:schemeClr w14:val="tx1"/>
            </w14:solidFill>
          </w14:textFill>
        </w:rPr>
        <w:t>按合同约定完成</w:t>
      </w:r>
      <w:r>
        <w:rPr>
          <w:rFonts w:hint="eastAsia" w:ascii="宋体" w:hAnsi="宋体" w:cs="宋体"/>
          <w:color w:val="000000" w:themeColor="text1"/>
          <w:sz w:val="24"/>
          <w:szCs w:val="24"/>
          <w:highlight w:val="none"/>
          <w:u w:val="none"/>
          <w14:textFill>
            <w14:solidFill>
              <w14:schemeClr w14:val="tx1"/>
            </w14:solidFill>
          </w14:textFill>
        </w:rPr>
        <w:t>质量保修期</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non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本条款适用</w:t>
      </w:r>
      <w:r>
        <w:rPr>
          <w:rFonts w:hint="eastAsia" w:ascii="宋体" w:hAnsi="宋体" w:eastAsia="宋体" w:cs="宋体"/>
          <w:color w:val="000000" w:themeColor="text1"/>
          <w:sz w:val="24"/>
          <w:highlight w:val="none"/>
          <w14:textFill>
            <w14:solidFill>
              <w14:schemeClr w14:val="tx1"/>
            </w14:solidFill>
          </w14:textFill>
        </w:rPr>
        <w:t>设置质保期</w:t>
      </w:r>
      <w:r>
        <w:rPr>
          <w:rFonts w:hint="eastAsia" w:ascii="宋体" w:hAnsi="宋体" w:cs="宋体"/>
          <w:color w:val="000000" w:themeColor="text1"/>
          <w:sz w:val="24"/>
          <w:highlight w:val="none"/>
          <w:lang w:val="en-US" w:eastAsia="zh-CN"/>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留存质保金</w:t>
      </w: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cs="宋体"/>
          <w:color w:val="000000" w:themeColor="text1"/>
          <w:sz w:val="24"/>
          <w:szCs w:val="24"/>
          <w:highlight w:val="none"/>
          <w:lang w:eastAsia="zh-CN"/>
          <w14:textFill>
            <w14:solidFill>
              <w14:schemeClr w14:val="tx1"/>
            </w14:solidFill>
          </w14:textFill>
        </w:rPr>
        <w:t>）。</w:t>
      </w:r>
    </w:p>
    <w:p>
      <w:pPr>
        <w:spacing w:line="50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提供</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3"/>
        <w:spacing w:before="156" w:beforeAutospacing="0" w:after="156" w:afterAutospacing="0" w:line="50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9</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3"/>
        <w:spacing w:before="156" w:beforeAutospacing="0" w:after="156" w:afterAutospacing="0" w:line="50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50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3"/>
        <w:spacing w:before="156" w:beforeAutospacing="0" w:after="156" w:afterAutospacing="0" w:line="50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5.11</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六、双方责任</w:t>
      </w:r>
    </w:p>
    <w:p>
      <w:pPr>
        <w:pStyle w:val="54"/>
        <w:spacing w:line="500" w:lineRule="exact"/>
        <w:ind w:firstLineChars="0"/>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 xml:space="preserve"> 6.1</w:t>
      </w:r>
      <w:r>
        <w:rPr>
          <w:rFonts w:hint="eastAsia" w:ascii="宋体" w:hAnsi="宋体" w:eastAsia="宋体"/>
          <w:color w:val="000000" w:themeColor="text1"/>
          <w:sz w:val="24"/>
          <w:szCs w:val="24"/>
          <w:highlight w:val="none"/>
          <w14:textFill>
            <w14:solidFill>
              <w14:schemeClr w14:val="tx1"/>
            </w14:solidFill>
          </w14:textFill>
        </w:rPr>
        <w:t>乙方不得传播公司内部网络、服务器、应用系统等有关的资料。</w:t>
      </w:r>
    </w:p>
    <w:p>
      <w:pPr>
        <w:spacing w:line="500" w:lineRule="exact"/>
        <w:ind w:left="542"/>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6.4</w:t>
      </w:r>
      <w:r>
        <w:rPr>
          <w:rFonts w:hint="eastAsia" w:ascii="宋体" w:hAnsi="宋体" w:eastAsia="宋体"/>
          <w:color w:val="000000" w:themeColor="text1"/>
          <w:sz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6.5</w:t>
      </w:r>
      <w:r>
        <w:rPr>
          <w:rFonts w:hint="eastAsia" w:ascii="宋体" w:hAnsi="宋体" w:eastAsia="宋体"/>
          <w:color w:val="000000" w:themeColor="text1"/>
          <w:sz w:val="24"/>
          <w:highlight w:val="none"/>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rPr>
        <w:t>乙方应派人提供驻场服务，且驻场人员不得少于</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名。</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6.9甲方发现故障时及时通知乙方，乙方在收到通知</w:t>
      </w:r>
      <w:r>
        <w:rPr>
          <w:rFonts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0.5 </w:t>
      </w:r>
      <w:r>
        <w:rPr>
          <w:rFonts w:ascii="宋体" w:hAnsi="宋体" w:eastAsia="宋体"/>
          <w:color w:val="000000" w:themeColor="text1"/>
          <w:sz w:val="24"/>
          <w:highlight w:val="none"/>
          <w14:textFill>
            <w14:solidFill>
              <w14:schemeClr w14:val="tx1"/>
            </w14:solidFill>
          </w14:textFill>
        </w:rPr>
        <w:t xml:space="preserve"> 小时内提供维护，并排除故障。</w:t>
      </w:r>
      <w:r>
        <w:rPr>
          <w:rFonts w:hint="eastAsia" w:ascii="宋体" w:hAnsi="宋体" w:eastAsia="宋体"/>
          <w:color w:val="000000" w:themeColor="text1"/>
          <w:sz w:val="24"/>
          <w:highlight w:val="none"/>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6.10甲方保证所涉及的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处于良好运行环境。</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6.11甲方对本合同所保修的</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6.12乙方负责对甲方涉及</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管理技术人员进行</w:t>
      </w:r>
      <w:r>
        <w:rPr>
          <w:rFonts w:hint="eastAsia" w:ascii="宋体" w:hAnsi="宋体" w:eastAsia="宋体"/>
          <w:color w:val="000000" w:themeColor="text1"/>
          <w:sz w:val="24"/>
          <w:highlight w:val="none"/>
          <w:u w:val="single"/>
          <w14:textFill>
            <w14:solidFill>
              <w14:schemeClr w14:val="tx1"/>
            </w14:solidFill>
          </w14:textFill>
        </w:rPr>
        <w:t>系统或设备</w:t>
      </w:r>
      <w:r>
        <w:rPr>
          <w:rFonts w:hint="eastAsia" w:ascii="宋体" w:hAnsi="宋体" w:eastAsia="宋体"/>
          <w:color w:val="000000" w:themeColor="text1"/>
          <w:sz w:val="24"/>
          <w:highlight w:val="none"/>
          <w14:textFill>
            <w14:solidFill>
              <w14:schemeClr w14:val="tx1"/>
            </w14:solidFill>
          </w14:textFill>
        </w:rPr>
        <w:t>使用方法的专项培训。</w:t>
      </w:r>
    </w:p>
    <w:p>
      <w:pPr>
        <w:spacing w:line="500" w:lineRule="exact"/>
        <w:ind w:firstLine="562"/>
        <w:outlineLvl w:val="0"/>
        <w:rPr>
          <w:rFonts w:ascii="宋体" w:hAnsi="宋体" w:eastAsia="宋体"/>
          <w:b/>
          <w:color w:val="000000" w:themeColor="text1"/>
          <w:sz w:val="24"/>
          <w:highlight w:val="none"/>
          <w14:textFill>
            <w14:solidFill>
              <w14:schemeClr w14:val="tx1"/>
            </w14:solidFill>
          </w14:textFill>
        </w:rPr>
      </w:pPr>
      <w:r>
        <w:rPr>
          <w:rFonts w:hint="eastAsia" w:ascii="宋体" w:hAnsi="宋体" w:eastAsia="宋体"/>
          <w:b/>
          <w:color w:val="000000" w:themeColor="text1"/>
          <w:sz w:val="24"/>
          <w:highlight w:val="none"/>
          <w14:textFill>
            <w14:solidFill>
              <w14:schemeClr w14:val="tx1"/>
            </w14:solidFill>
          </w14:textFill>
        </w:rPr>
        <w:t>七、违约责任</w:t>
      </w:r>
    </w:p>
    <w:p>
      <w:pPr>
        <w:spacing w:line="500" w:lineRule="exact"/>
        <w:ind w:firstLine="56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7.1</w:t>
      </w:r>
      <w:r>
        <w:rPr>
          <w:rFonts w:hint="eastAsia" w:ascii="宋体" w:hAnsi="宋体" w:eastAsia="宋体" w:cs="宋体"/>
          <w:bCs/>
          <w:color w:val="000000" w:themeColor="text1"/>
          <w:sz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14:textFill>
            <w14:solidFill>
              <w14:schemeClr w14:val="tx1"/>
            </w14:solidFill>
          </w14:textFill>
        </w:rPr>
        <w:t>1日支付违约金人民币</w:t>
      </w:r>
      <w:r>
        <w:rPr>
          <w:rFonts w:ascii="宋体" w:hAnsi="宋体" w:eastAsia="宋体" w:cs="宋体"/>
          <w:bCs/>
          <w:color w:val="000000" w:themeColor="text1"/>
          <w:sz w:val="24"/>
          <w:highlight w:val="none"/>
          <w:u w:val="single"/>
          <w14:textFill>
            <w14:solidFill>
              <w14:schemeClr w14:val="tx1"/>
            </w14:solidFill>
          </w14:textFill>
        </w:rPr>
        <w:t>1万元</w:t>
      </w:r>
      <w:r>
        <w:rPr>
          <w:rFonts w:hint="eastAsia" w:ascii="宋体" w:hAnsi="宋体" w:eastAsia="宋体" w:cs="宋体"/>
          <w:bCs/>
          <w:color w:val="000000" w:themeColor="text1"/>
          <w:sz w:val="24"/>
          <w:highlight w:val="none"/>
          <w14:textFill>
            <w14:solidFill>
              <w14:schemeClr w14:val="tx1"/>
            </w14:solidFill>
          </w14:textFill>
        </w:rPr>
        <w:t>，超过</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日，甲方有权解除合同并要求乙方支付</w:t>
      </w:r>
      <w:r>
        <w:rPr>
          <w:rFonts w:hint="eastAsia" w:ascii="宋体" w:hAnsi="宋体" w:eastAsia="宋体" w:cs="宋体"/>
          <w:bCs/>
          <w:color w:val="000000" w:themeColor="text1"/>
          <w:sz w:val="24"/>
          <w:highlight w:val="none"/>
          <w:u w:val="single"/>
          <w14:textFill>
            <w14:solidFill>
              <w14:schemeClr w14:val="tx1"/>
            </w14:solidFill>
          </w14:textFill>
        </w:rPr>
        <w:t>合同暂定总价的</w:t>
      </w:r>
      <w:r>
        <w:rPr>
          <w:rFonts w:ascii="宋体" w:hAnsi="宋体" w:eastAsia="宋体" w:cs="宋体"/>
          <w:bCs/>
          <w:color w:val="000000" w:themeColor="text1"/>
          <w:sz w:val="24"/>
          <w:highlight w:val="none"/>
          <w:u w:val="single"/>
          <w14:textFill>
            <w14:solidFill>
              <w14:schemeClr w14:val="tx1"/>
            </w14:solidFill>
          </w14:textFill>
        </w:rPr>
        <w:t>20%</w:t>
      </w:r>
      <w:r>
        <w:rPr>
          <w:rFonts w:hint="eastAsia" w:ascii="宋体" w:hAnsi="宋体" w:eastAsia="宋体" w:cs="宋体"/>
          <w:bCs/>
          <w:color w:val="000000" w:themeColor="text1"/>
          <w:sz w:val="24"/>
          <w:highlight w:val="none"/>
          <w14:textFill>
            <w14:solidFill>
              <w14:schemeClr w14:val="tx1"/>
            </w14:solidFill>
          </w14:textFill>
        </w:rPr>
        <w:t>作为违约金，由此造成的责任及损失由乙方承担。</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如合同另行约定违约责任，从其约定</w:t>
      </w:r>
      <w:r>
        <w:rPr>
          <w:rFonts w:hint="eastAsia" w:ascii="宋体" w:hAnsi="宋体" w:eastAsia="宋体"/>
          <w:bCs/>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7.3乙方未能及时处理故障，每延误故障处理1日，甲方有权要求乙方支付</w:t>
      </w:r>
      <w:r>
        <w:rPr>
          <w:rFonts w:hint="eastAsia" w:ascii="宋体" w:hAnsi="宋体" w:eastAsia="宋体"/>
          <w:color w:val="000000" w:themeColor="text1"/>
          <w:sz w:val="24"/>
          <w:highlight w:val="none"/>
          <w:u w:val="single"/>
          <w14:textFill>
            <w14:solidFill>
              <w14:schemeClr w14:val="tx1"/>
            </w14:solidFill>
          </w14:textFill>
        </w:rPr>
        <w:t xml:space="preserve">合同暂定总价的 </w:t>
      </w:r>
      <w:r>
        <w:rPr>
          <w:rFonts w:ascii="宋体" w:hAnsi="宋体" w:eastAsia="宋体" w:cs="Arial Unicode MS"/>
          <w:color w:val="000000" w:themeColor="text1"/>
          <w:sz w:val="24"/>
          <w:highlight w:val="none"/>
          <w:u w:val="single"/>
          <w14:textFill>
            <w14:solidFill>
              <w14:schemeClr w14:val="tx1"/>
            </w14:solidFill>
          </w14:textFill>
        </w:rPr>
        <w:t xml:space="preserve">10 </w:t>
      </w:r>
      <w:r>
        <w:rPr>
          <w:rFonts w:hint="eastAsia" w:ascii="宋体" w:hAnsi="宋体" w:eastAsia="宋体"/>
          <w:color w:val="000000" w:themeColor="text1"/>
          <w:sz w:val="24"/>
          <w:highlight w:val="none"/>
          <w:u w:val="single"/>
          <w14:textFill>
            <w14:solidFill>
              <w14:schemeClr w14:val="tx1"/>
            </w14:solidFill>
          </w14:textFill>
        </w:rPr>
        <w:t>‰</w:t>
      </w:r>
      <w:r>
        <w:rPr>
          <w:rFonts w:ascii="宋体" w:hAnsi="宋体" w:eastAsia="宋体"/>
          <w:color w:val="000000" w:themeColor="text1"/>
          <w:sz w:val="24"/>
          <w:highlight w:val="none"/>
          <w:u w:val="single"/>
          <w14:textFill>
            <w14:solidFill>
              <w14:schemeClr w14:val="tx1"/>
            </w14:solidFill>
          </w14:textFill>
        </w:rPr>
        <w:t>/日</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7.4乙方无正当理由终止合同，双方按实际工作量结算后，乙方向甲方支付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topLinePunct w:val="0"/>
        <w:spacing w:line="500" w:lineRule="exact"/>
        <w:ind w:firstLine="56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7.5甲方无正当理由终止合同，双方按实际工作量结算后，甲方向乙方支付</w:t>
      </w:r>
      <w:r>
        <w:rPr>
          <w:rFonts w:hint="eastAsia" w:ascii="宋体" w:hAnsi="宋体" w:eastAsia="宋体"/>
          <w:color w:val="000000" w:themeColor="text1"/>
          <w:sz w:val="24"/>
          <w:highlight w:val="none"/>
          <w:u w:val="single"/>
          <w14:textFill>
            <w14:solidFill>
              <w14:schemeClr w14:val="tx1"/>
            </w14:solidFill>
          </w14:textFill>
        </w:rPr>
        <w:t>合同暂定总价的10%</w:t>
      </w:r>
      <w:r>
        <w:rPr>
          <w:rFonts w:hint="eastAsia" w:ascii="宋体" w:hAnsi="宋体" w:eastAsia="宋体"/>
          <w:color w:val="000000" w:themeColor="text1"/>
          <w:sz w:val="24"/>
          <w:highlight w:val="none"/>
          <w14:textFill>
            <w14:solidFill>
              <w14:schemeClr w14:val="tx1"/>
            </w14:solidFill>
          </w14:textFill>
        </w:rPr>
        <w:t>作为违约金。</w:t>
      </w:r>
    </w:p>
    <w:p>
      <w:pPr>
        <w:spacing w:line="500" w:lineRule="exact"/>
        <w:ind w:firstLine="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7.6</w:t>
      </w:r>
      <w:r>
        <w:rPr>
          <w:rFonts w:hint="eastAsia" w:ascii="宋体" w:hAnsi="宋体" w:eastAsia="宋体"/>
          <w:color w:val="000000" w:themeColor="text1"/>
          <w:sz w:val="24"/>
          <w:highlight w:val="none"/>
          <w14:textFill>
            <w14:solidFill>
              <w14:schemeClr w14:val="tx1"/>
            </w14:solidFill>
          </w14:textFill>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000000" w:themeColor="text1"/>
          <w:sz w:val="24"/>
          <w:highlight w:val="none"/>
          <w14:textFill>
            <w14:solidFill>
              <w14:schemeClr w14:val="tx1"/>
            </w14:solidFill>
          </w14:textFill>
        </w:rPr>
      </w:pPr>
      <w:bookmarkStart w:id="85" w:name="_Toc107447255"/>
      <w:bookmarkStart w:id="86" w:name="_Toc107446862"/>
      <w:bookmarkStart w:id="87" w:name="_Toc474245226"/>
      <w:bookmarkStart w:id="88" w:name="_Toc518993000"/>
      <w:bookmarkStart w:id="89" w:name="_Toc19692"/>
      <w:bookmarkStart w:id="90" w:name="_Toc306350467"/>
      <w:bookmarkStart w:id="91" w:name="_Toc183666531"/>
      <w:bookmarkStart w:id="92" w:name="_Toc520190040"/>
      <w:r>
        <w:rPr>
          <w:rFonts w:hint="eastAsia" w:ascii="宋体" w:hAnsi="宋体" w:eastAsia="宋体" w:cs="宋体"/>
          <w:b/>
          <w:bCs/>
          <w:color w:val="000000" w:themeColor="text1"/>
          <w:sz w:val="24"/>
          <w:highlight w:val="none"/>
          <w14:textFill>
            <w14:solidFill>
              <w14:schemeClr w14:val="tx1"/>
            </w14:solidFill>
          </w14:textFill>
        </w:rPr>
        <w:t>八、不可抗力</w:t>
      </w:r>
      <w:bookmarkEnd w:id="85"/>
      <w:bookmarkEnd w:id="86"/>
      <w:bookmarkEnd w:id="87"/>
      <w:bookmarkEnd w:id="88"/>
      <w:bookmarkEnd w:id="89"/>
      <w:bookmarkEnd w:id="90"/>
      <w:bookmarkEnd w:id="91"/>
      <w:bookmarkEnd w:id="92"/>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bookmarkStart w:id="93" w:name="_Toc306350468"/>
      <w:bookmarkStart w:id="94" w:name="_Toc12010"/>
      <w:bookmarkStart w:id="95" w:name="_Toc183666532"/>
      <w:r>
        <w:rPr>
          <w:rFonts w:ascii="宋体" w:hAnsi="宋体" w:eastAsia="宋体" w:cs="宋体"/>
          <w:bCs/>
          <w:color w:val="000000" w:themeColor="text1"/>
          <w:sz w:val="24"/>
          <w:highlight w:val="none"/>
          <w14:textFill>
            <w14:solidFill>
              <w14:schemeClr w14:val="tx1"/>
            </w14:solidFill>
          </w14:textFill>
        </w:rPr>
        <w:t xml:space="preserve">8.1 </w:t>
      </w:r>
      <w:r>
        <w:rPr>
          <w:rFonts w:hint="eastAsia" w:ascii="宋体" w:hAnsi="宋体" w:eastAsia="宋体" w:cs="宋体"/>
          <w:bCs/>
          <w:color w:val="000000" w:themeColor="text1"/>
          <w:sz w:val="24"/>
          <w:highlight w:val="none"/>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⑴</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⑵</w:t>
      </w:r>
      <w:r>
        <w:rPr>
          <w:rFonts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8.2 </w:t>
      </w:r>
      <w:r>
        <w:rPr>
          <w:rFonts w:hint="eastAsia" w:ascii="宋体" w:hAnsi="宋体" w:eastAsia="宋体" w:cs="宋体"/>
          <w:bCs/>
          <w:color w:val="000000" w:themeColor="text1"/>
          <w:sz w:val="24"/>
          <w:highlight w:val="none"/>
          <w14:textFill>
            <w14:solidFill>
              <w14:schemeClr w14:val="tx1"/>
            </w14:solidFill>
          </w14:textFill>
        </w:rPr>
        <w:t>声称受到不可抗力影响的一方，应在发生不可抗力或知道发生不可抗力之后</w:t>
      </w:r>
      <w:r>
        <w:rPr>
          <w:rFonts w:ascii="宋体" w:hAnsi="宋体" w:eastAsia="宋体" w:cs="宋体"/>
          <w:bCs/>
          <w:color w:val="000000" w:themeColor="text1"/>
          <w:sz w:val="24"/>
          <w:highlight w:val="none"/>
          <w14:textFill>
            <w14:solidFill>
              <w14:schemeClr w14:val="tx1"/>
            </w14:solidFill>
          </w14:textFill>
        </w:rPr>
        <w:t>5日内书面通知另一方，详细描述不可抗力的发生情况和对该方履行在本合同项</w:t>
      </w:r>
      <w:r>
        <w:rPr>
          <w:rFonts w:hint="eastAsia" w:ascii="宋体" w:hAnsi="宋体" w:eastAsia="宋体" w:cs="宋体"/>
          <w:bCs/>
          <w:color w:val="000000" w:themeColor="text1"/>
          <w:sz w:val="24"/>
          <w:highlight w:val="none"/>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8.4 </w:t>
      </w:r>
      <w:r>
        <w:rPr>
          <w:rFonts w:hint="eastAsia" w:ascii="宋体" w:hAnsi="宋体" w:eastAsia="宋体" w:cs="宋体"/>
          <w:bCs/>
          <w:color w:val="000000" w:themeColor="text1"/>
          <w:sz w:val="24"/>
          <w:highlight w:val="none"/>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6" w:name="_Toc118172294"/>
      <w:bookmarkStart w:id="97" w:name="_Toc520190041"/>
      <w:bookmarkStart w:id="98" w:name="_Toc518993001"/>
      <w:bookmarkStart w:id="99" w:name="_Toc474245227"/>
      <w:bookmarkStart w:id="100" w:name="_Toc107446864"/>
      <w:bookmarkStart w:id="101" w:name="_Toc107447257"/>
    </w:p>
    <w:p>
      <w:pPr>
        <w:spacing w:before="156" w:beforeLines="50" w:after="156" w:afterLines="50"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w:t>
      </w:r>
      <w:r>
        <w:rPr>
          <w:rFonts w:ascii="宋体" w:hAnsi="宋体" w:eastAsia="宋体" w:cs="宋体"/>
          <w:b/>
          <w:bCs/>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争议解决</w:t>
      </w:r>
      <w:bookmarkEnd w:id="93"/>
      <w:bookmarkEnd w:id="94"/>
      <w:bookmarkEnd w:id="95"/>
      <w:bookmarkEnd w:id="96"/>
      <w:bookmarkEnd w:id="97"/>
      <w:bookmarkEnd w:id="98"/>
      <w:bookmarkEnd w:id="99"/>
      <w:bookmarkEnd w:id="100"/>
      <w:bookmarkEnd w:id="101"/>
    </w:p>
    <w:p>
      <w:pPr>
        <w:spacing w:line="500" w:lineRule="exact"/>
        <w:ind w:firstLine="482"/>
        <w:rPr>
          <w:rFonts w:ascii="宋体" w:hAnsi="宋体" w:eastAsia="宋体" w:cs="宋体"/>
          <w:bCs/>
          <w:color w:val="000000" w:themeColor="text1"/>
          <w:sz w:val="24"/>
          <w:highlight w:val="none"/>
          <w14:textFill>
            <w14:solidFill>
              <w14:schemeClr w14:val="tx1"/>
            </w14:solidFill>
          </w14:textFill>
        </w:rPr>
      </w:pPr>
      <w:bookmarkStart w:id="102" w:name="_Toc183666533"/>
      <w:bookmarkStart w:id="103" w:name="_Toc306350469"/>
      <w:r>
        <w:rPr>
          <w:rFonts w:ascii="宋体" w:hAnsi="宋体" w:eastAsia="宋体" w:cs="宋体"/>
          <w:bCs/>
          <w:color w:val="000000" w:themeColor="text1"/>
          <w:sz w:val="24"/>
          <w:highlight w:val="none"/>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 xml:space="preserve">9.2 </w:t>
      </w:r>
      <w:r>
        <w:rPr>
          <w:rFonts w:hint="eastAsia" w:ascii="宋体" w:hAnsi="宋体" w:eastAsia="宋体" w:cs="宋体"/>
          <w:color w:val="000000" w:themeColor="text1"/>
          <w:sz w:val="24"/>
          <w:highlight w:val="none"/>
          <w14:textFill>
            <w14:solidFill>
              <w14:schemeClr w14:val="tx1"/>
            </w14:solidFill>
          </w14:textFill>
        </w:rPr>
        <w:t>在甲方同意的情况下，除有争端之外的合同其它部分在争端解决前应继续执行。</w:t>
      </w:r>
      <w:bookmarkEnd w:id="102"/>
      <w:bookmarkEnd w:id="103"/>
      <w:bookmarkStart w:id="104" w:name="_Toc518993003"/>
      <w:bookmarkStart w:id="105" w:name="_Toc474245229"/>
      <w:bookmarkStart w:id="106" w:name="_Toc520190043"/>
    </w:p>
    <w:p>
      <w:pPr>
        <w:spacing w:line="500" w:lineRule="exact"/>
        <w:ind w:firstLine="482"/>
        <w:jc w:val="left"/>
        <w:rPr>
          <w:rFonts w:ascii="宋体" w:hAnsi="宋体" w:eastAsia="宋体" w:cs="宋体"/>
          <w:b/>
          <w:bCs/>
          <w:color w:val="000000" w:themeColor="text1"/>
          <w:sz w:val="24"/>
          <w:highlight w:val="none"/>
          <w14:textFill>
            <w14:solidFill>
              <w14:schemeClr w14:val="tx1"/>
            </w14:solidFill>
          </w14:textFill>
        </w:rPr>
      </w:pPr>
      <w:bookmarkStart w:id="107" w:name="_Toc107447264"/>
      <w:bookmarkStart w:id="108" w:name="_Toc107446871"/>
      <w:r>
        <w:rPr>
          <w:rFonts w:hint="eastAsia" w:ascii="宋体" w:hAnsi="宋体" w:eastAsia="宋体" w:cs="宋体"/>
          <w:b/>
          <w:bCs/>
          <w:color w:val="000000" w:themeColor="text1"/>
          <w:sz w:val="24"/>
          <w:highlight w:val="none"/>
          <w14:textFill>
            <w14:solidFill>
              <w14:schemeClr w14:val="tx1"/>
            </w14:solidFill>
          </w14:textFill>
        </w:rPr>
        <w:t>十、合同生效及其他</w:t>
      </w:r>
      <w:bookmarkEnd w:id="104"/>
      <w:bookmarkEnd w:id="105"/>
      <w:bookmarkEnd w:id="106"/>
      <w:bookmarkEnd w:id="107"/>
      <w:bookmarkEnd w:id="108"/>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10.2本合同正文一式</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 份，其中：甲方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份，乙方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份。</w:t>
      </w:r>
    </w:p>
    <w:p>
      <w:pPr>
        <w:spacing w:line="500" w:lineRule="exact"/>
        <w:ind w:firstLine="48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10.3</w:t>
      </w:r>
      <w:r>
        <w:rPr>
          <w:rFonts w:hint="eastAsia" w:ascii="宋体" w:hAnsi="宋体" w:cs="宋体"/>
          <w:color w:val="000000" w:themeColor="text1"/>
          <w:sz w:val="24"/>
          <w:highlight w:val="none"/>
          <w:lang w:val="en-US" w:eastAsia="zh-CN"/>
          <w14:textFill>
            <w14:solidFill>
              <w14:schemeClr w14:val="tx1"/>
            </w14:solidFill>
          </w14:textFill>
        </w:rPr>
        <w:t>补</w:t>
      </w:r>
      <w:r>
        <w:rPr>
          <w:rFonts w:ascii="宋体" w:hAnsi="宋体" w:eastAsia="宋体" w:cs="宋体"/>
          <w:color w:val="000000" w:themeColor="text1"/>
          <w:sz w:val="24"/>
          <w:highlight w:val="none"/>
          <w14:textFill>
            <w14:solidFill>
              <w14:schemeClr w14:val="tx1"/>
            </w14:solidFill>
          </w14:textFill>
        </w:rPr>
        <w:t>充条款</w:t>
      </w:r>
      <w:r>
        <w:rPr>
          <w:rFonts w:hint="eastAsia" w:ascii="宋体" w:hAnsi="宋体" w:eastAsia="宋体" w:cs="宋体"/>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u w:val="single"/>
          <w14:textFill>
            <w14:solidFill>
              <w14:schemeClr w14:val="tx1"/>
            </w14:solidFill>
          </w14:textFill>
        </w:rPr>
        <w:t xml:space="preserve"> </w:t>
      </w:r>
    </w:p>
    <w:p>
      <w:pPr>
        <w:pStyle w:val="25"/>
        <w:ind w:firstLine="0"/>
        <w:rPr>
          <w:rFonts w:ascii="宋体" w:hAnsi="宋体" w:eastAsia="宋体" w:cs="宋体"/>
          <w:color w:val="000000" w:themeColor="text1"/>
          <w:sz w:val="24"/>
          <w:highlight w:val="none"/>
          <w:u w:val="single"/>
          <w14:textFill>
            <w14:solidFill>
              <w14:schemeClr w14:val="tx1"/>
            </w14:solidFill>
          </w14:textFill>
        </w:rPr>
      </w:pPr>
    </w:p>
    <w:p>
      <w:pPr>
        <w:spacing w:line="500" w:lineRule="exact"/>
        <w:ind w:firstLine="56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 廉洁协议</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 保密协议</w:t>
      </w:r>
    </w:p>
    <w:p>
      <w:pPr>
        <w:spacing w:line="500" w:lineRule="exact"/>
        <w:ind w:firstLine="1320" w:firstLineChars="550"/>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4. </w:t>
      </w:r>
      <w:r>
        <w:rPr>
          <w:rFonts w:hint="eastAsia" w:ascii="宋体" w:hAnsi="宋体" w:eastAsia="宋体"/>
          <w:color w:val="000000" w:themeColor="text1"/>
          <w:sz w:val="24"/>
          <w:highlight w:val="none"/>
          <w14:textFill>
            <w14:solidFill>
              <w14:schemeClr w14:val="tx1"/>
            </w14:solidFill>
          </w14:textFill>
        </w:rPr>
        <w:t>安全管理协议书</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 xml:space="preserve">5. </w:t>
      </w:r>
      <w:r>
        <w:rPr>
          <w:rFonts w:hint="eastAsia" w:ascii="宋体" w:hAnsi="宋体" w:eastAsia="宋体"/>
          <w:color w:val="000000" w:themeColor="text1"/>
          <w:sz w:val="24"/>
          <w:highlight w:val="none"/>
          <w14:textFill>
            <w14:solidFill>
              <w14:schemeClr w14:val="tx1"/>
            </w14:solidFill>
          </w14:textFill>
        </w:rPr>
        <w:t>服务内容</w:t>
      </w:r>
    </w:p>
    <w:p>
      <w:pPr>
        <w:spacing w:line="500" w:lineRule="exact"/>
        <w:ind w:firstLine="1320" w:firstLineChars="55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6.项目投入人员架构表</w:t>
      </w:r>
    </w:p>
    <w:p>
      <w:pPr>
        <w:spacing w:line="500" w:lineRule="exact"/>
        <w:ind w:firstLine="1320" w:firstLineChars="550"/>
        <w:rPr>
          <w:rFonts w:ascii="宋体" w:hAnsi="宋体" w:eastAsia="宋体"/>
          <w:color w:val="000000" w:themeColor="text1"/>
          <w:sz w:val="24"/>
          <w:highlight w:val="none"/>
          <w14:textFill>
            <w14:solidFill>
              <w14:schemeClr w14:val="tx1"/>
            </w14:solidFill>
          </w14:textFill>
        </w:rPr>
      </w:pP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甲方：广州市净水有限公司（盖章）</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乙方：（盖章）</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法定代表人或</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授权代理人：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授权代理人：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地址：</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经办人：</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经办人：</w:t>
      </w:r>
    </w:p>
    <w:p>
      <w:pPr>
        <w:spacing w:line="500" w:lineRule="exac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联系电话：</w:t>
      </w:r>
    </w:p>
    <w:p>
      <w:pPr>
        <w:spacing w:line="500" w:lineRule="exact"/>
        <w:ind w:left="6360" w:hanging="6360" w:hangingChars="265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p>
    <w:p>
      <w:pPr>
        <w:widowControl w:val="0"/>
        <w:spacing w:line="480" w:lineRule="exact"/>
        <w:ind w:left="5565" w:hanging="6360" w:hangingChars="2650"/>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ascii="宋体" w:hAnsi="宋体" w:eastAsia="宋体" w:cs="宋体"/>
          <w:color w:val="000000" w:themeColor="text1"/>
          <w:sz w:val="24"/>
          <w:highlight w:val="none"/>
          <w14:textFill>
            <w14:solidFill>
              <w14:schemeClr w14:val="tx1"/>
            </w14:solidFill>
          </w14:textFill>
        </w:rPr>
        <w:t xml:space="preserve">    年    月    日         签署日期：    年    月    日  </w:t>
      </w:r>
    </w:p>
    <w:p>
      <w:pPr>
        <w:widowControl/>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widowControl/>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pStyle w:val="25"/>
        <w:rPr>
          <w:rFonts w:ascii="宋体" w:hAnsi="宋体" w:cs="宋体"/>
          <w:color w:val="000000" w:themeColor="text1"/>
          <w:szCs w:val="21"/>
          <w:highlight w:val="none"/>
          <w14:textFill>
            <w14:solidFill>
              <w14:schemeClr w14:val="tx1"/>
            </w14:solidFill>
          </w14:textFill>
        </w:rPr>
      </w:pPr>
    </w:p>
    <w:p>
      <w:pPr>
        <w:spacing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9"/>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9"/>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9"/>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09" w:name="_Toc21391"/>
      <w:r>
        <w:rPr>
          <w:rFonts w:hint="eastAsia" w:ascii="宋体" w:hAnsi="宋体" w:cs="宋体"/>
          <w:color w:val="000000" w:themeColor="text1"/>
          <w:szCs w:val="21"/>
          <w:highlight w:val="none"/>
          <w14:textFill>
            <w14:solidFill>
              <w14:schemeClr w14:val="tx1"/>
            </w14:solidFill>
          </w14:textFill>
        </w:rPr>
        <w:t xml:space="preserve">: </w:t>
      </w:r>
    </w:p>
    <w:bookmarkEnd w:id="109"/>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42"/>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240" w:lineRule="auto"/>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pStyle w:val="25"/>
        <w:rPr>
          <w:rFonts w:hint="eastAsia" w:ascii="宋体" w:hAnsi="宋体" w:eastAsia="宋体" w:cs="宋体"/>
          <w:szCs w:val="21"/>
          <w:lang w:val="en-US" w:eastAsia="zh-CN"/>
        </w:rPr>
      </w:pPr>
      <w:r>
        <w:rPr>
          <w:rFonts w:hint="eastAsia" w:ascii="宋体" w:hAnsi="宋体" w:eastAsia="宋体" w:cs="宋体"/>
          <w:szCs w:val="21"/>
          <w:lang w:val="en-US" w:eastAsia="zh-CN"/>
        </w:rPr>
        <w:t>附件5：</w:t>
      </w:r>
    </w:p>
    <w:p>
      <w:pPr>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采购需求书</w:t>
      </w:r>
    </w:p>
    <w:p>
      <w:pPr>
        <w:pStyle w:val="4"/>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一、项目需求：</w:t>
      </w:r>
    </w:p>
    <w:p>
      <w:pPr>
        <w:pStyle w:val="58"/>
        <w:ind w:firstLine="560" w:firstLineChars="200"/>
        <w:rPr>
          <w:rFonts w:ascii="仿宋_GB2312" w:eastAsia="仿宋_GB2312"/>
          <w:sz w:val="28"/>
          <w:szCs w:val="28"/>
        </w:rPr>
      </w:pPr>
      <w:r>
        <w:rPr>
          <w:rFonts w:hint="eastAsia" w:ascii="仿宋_GB2312" w:eastAsia="仿宋_GB2312"/>
          <w:sz w:val="28"/>
          <w:szCs w:val="28"/>
        </w:rPr>
        <w:t>目前我公司数据中心机房为整个公司以及1</w:t>
      </w:r>
      <w:r>
        <w:rPr>
          <w:rFonts w:hint="eastAsia" w:ascii="仿宋_GB2312" w:eastAsia="仿宋_GB2312"/>
          <w:sz w:val="28"/>
          <w:szCs w:val="28"/>
          <w:lang w:val="en-US" w:eastAsia="zh-CN"/>
        </w:rPr>
        <w:t>3</w:t>
      </w:r>
      <w:r>
        <w:rPr>
          <w:rFonts w:hint="eastAsia" w:ascii="仿宋_GB2312" w:eastAsia="仿宋_GB2312"/>
          <w:sz w:val="28"/>
          <w:szCs w:val="28"/>
        </w:rPr>
        <w:t>个分公司互联网总出口以及公司各信息业务系统的硬件支撑，网络及服务器的稳定性运行影响着公司所有员工的工作效率，所以高效的运维体制及故障响应速度尤为重要。为了高效维持我公司网络及服务器、信息系统硬件运维能力，依据相关安全管理规范有效地完善运维服务体系，加强对服务器，网络设备等信息化硬件设施进行定期健康性能检查、对异常情况进行排查处理、错误修正、合理的小修小改，对于硬件突发事故进行快速有效抢修，保障公司内网络系统的7×24小时持续、可靠地运行。</w:t>
      </w:r>
    </w:p>
    <w:p>
      <w:pPr>
        <w:pStyle w:val="4"/>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二、服务内容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要求</w:t>
      </w:r>
    </w:p>
    <w:p>
      <w:pPr>
        <w:pStyle w:val="5"/>
        <w:ind w:firstLine="602"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（一）设备档案整理</w:t>
      </w:r>
    </w:p>
    <w:p>
      <w:pPr>
        <w:ind w:firstLine="560" w:firstLineChars="200"/>
        <w:rPr>
          <w:rFonts w:ascii="仿宋_GB2312" w:eastAsia="仿宋_GB2312"/>
          <w:sz w:val="28"/>
          <w:szCs w:val="28"/>
        </w:rPr>
      </w:pPr>
      <w:r>
        <w:rPr>
          <w:rFonts w:hint="eastAsia" w:ascii="仿宋_GB2312" w:eastAsia="仿宋_GB2312"/>
          <w:sz w:val="28"/>
          <w:szCs w:val="28"/>
        </w:rPr>
        <w:t>合同签订后的每季度，需完成以下内容，以最终文档为准。</w:t>
      </w:r>
    </w:p>
    <w:p>
      <w:pPr>
        <w:pStyle w:val="39"/>
        <w:numPr>
          <w:ilvl w:val="-1"/>
          <w:numId w:val="0"/>
        </w:numPr>
        <w:ind w:left="0" w:leftChars="0" w:firstLine="560" w:firstLineChars="200"/>
        <w:rPr>
          <w:rFonts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更新确保网络设备</w:t>
      </w:r>
      <w:r>
        <w:rPr>
          <w:rFonts w:ascii="仿宋_GB2312" w:eastAsia="仿宋_GB2312"/>
          <w:sz w:val="28"/>
          <w:szCs w:val="28"/>
        </w:rPr>
        <w:t>以及线缆上的标签</w:t>
      </w:r>
      <w:r>
        <w:rPr>
          <w:rFonts w:hint="eastAsia" w:ascii="仿宋_GB2312" w:eastAsia="仿宋_GB2312"/>
          <w:sz w:val="28"/>
          <w:szCs w:val="28"/>
        </w:rPr>
        <w:t>正确</w:t>
      </w:r>
      <w:r>
        <w:rPr>
          <w:rFonts w:ascii="仿宋_GB2312" w:eastAsia="仿宋_GB2312"/>
          <w:sz w:val="28"/>
          <w:szCs w:val="28"/>
        </w:rPr>
        <w:t>，</w:t>
      </w:r>
      <w:r>
        <w:rPr>
          <w:rFonts w:hint="eastAsia" w:ascii="仿宋_GB2312" w:eastAsia="仿宋_GB2312"/>
          <w:sz w:val="28"/>
          <w:szCs w:val="28"/>
        </w:rPr>
        <w:t>并整理</w:t>
      </w:r>
      <w:r>
        <w:rPr>
          <w:rFonts w:ascii="仿宋_GB2312" w:eastAsia="仿宋_GB2312"/>
          <w:sz w:val="28"/>
          <w:szCs w:val="28"/>
        </w:rPr>
        <w:t>公司本部的网络拓扑图</w:t>
      </w:r>
      <w:r>
        <w:rPr>
          <w:rFonts w:hint="eastAsia" w:ascii="仿宋_GB2312" w:eastAsia="仿宋_GB2312"/>
          <w:sz w:val="28"/>
          <w:szCs w:val="28"/>
        </w:rPr>
        <w:t>、</w:t>
      </w:r>
      <w:r>
        <w:rPr>
          <w:rFonts w:ascii="仿宋_GB2312" w:eastAsia="仿宋_GB2312"/>
          <w:sz w:val="28"/>
          <w:szCs w:val="28"/>
        </w:rPr>
        <w:t>机柜图。</w:t>
      </w:r>
    </w:p>
    <w:p>
      <w:pPr>
        <w:pStyle w:val="39"/>
        <w:numPr>
          <w:ilvl w:val="-1"/>
          <w:numId w:val="0"/>
        </w:numPr>
        <w:ind w:left="0" w:leftChars="0"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核对更新网络</w:t>
      </w:r>
      <w:r>
        <w:rPr>
          <w:rFonts w:ascii="仿宋_GB2312" w:eastAsia="仿宋_GB2312"/>
          <w:sz w:val="28"/>
          <w:szCs w:val="28"/>
        </w:rPr>
        <w:t>及服务器</w:t>
      </w:r>
      <w:r>
        <w:rPr>
          <w:rFonts w:hint="eastAsia" w:ascii="仿宋_GB2312" w:eastAsia="仿宋_GB2312"/>
          <w:sz w:val="28"/>
          <w:szCs w:val="28"/>
        </w:rPr>
        <w:t>设备档案，包括详细硬件配置（包含主板、网卡、声卡、显卡、CPU、内存等的具体型号）</w:t>
      </w:r>
    </w:p>
    <w:p>
      <w:pPr>
        <w:pStyle w:val="5"/>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（二）日常工作</w:t>
      </w:r>
    </w:p>
    <w:p>
      <w:pPr>
        <w:pStyle w:val="6"/>
        <w:rPr>
          <w:rFonts w:hint="eastAsia" w:ascii="仿宋_GB2312" w:hAnsi="仿宋_GB2312" w:eastAsia="仿宋_GB2312" w:cs="仿宋_GB2312"/>
        </w:rPr>
      </w:pPr>
      <w:r>
        <w:rPr>
          <w:rFonts w:hint="eastAsia" w:ascii="仿宋_GB2312" w:hAnsi="仿宋_GB2312" w:eastAsia="仿宋_GB2312" w:cs="仿宋_GB2312"/>
        </w:rPr>
        <w:t>1.巡查、检修</w:t>
      </w:r>
    </w:p>
    <w:p>
      <w:pPr>
        <w:pStyle w:val="39"/>
        <w:numPr>
          <w:ilvl w:val="-1"/>
          <w:numId w:val="0"/>
        </w:numPr>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rPr>
        <w:t>对公司机房每旬进行一次巡检，巡检包括机房环境、综合布线情况、环境，检查是否有故障或故障隐患；对机房内环境、布线不符合规范的地方进行清理保洁，填写巡检报告，并在巡检结束后2个工作日内提交巡检过程资料、巡检报告。</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对通过公司总部上网的所属单位每半年进行一次巡检，包括所属单位机房环境、综合布线情况、服务器、网络设备、和所有其他网络相关设备的使用情况（包括流量，存储空间、内存使用率、cpu使用率、IP分配）等，并根据检查的设备情况给出维护、维修或升级意见，填写巡检报告，更新各单位网络设备配置档案。并在巡检结束后5个工作日内提交巡检报告及巡检过程资料。</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rPr>
        <w:t>负责网络运行日志、网络监控记录的日常维护、报警信息分析和处理工作，提出优化建议及方案。</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rPr>
        <w:t>协助公司本部内综合布线（包括电话线和网线）的维护和故障维修。</w:t>
      </w:r>
    </w:p>
    <w:p>
      <w:pPr>
        <w:pStyle w:val="59"/>
        <w:numPr>
          <w:ilvl w:val="-1"/>
          <w:numId w:val="0"/>
        </w:numPr>
        <w:spacing w:line="360" w:lineRule="auto"/>
        <w:ind w:left="0" w:leftChars="0"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协助机房改造、设备搬迁、网络改造、线路迁移等工作。</w:t>
      </w:r>
    </w:p>
    <w:p>
      <w:pPr>
        <w:ind w:firstLine="560" w:firstLineChars="20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6</w:t>
      </w:r>
      <w:r>
        <w:rPr>
          <w:rFonts w:hint="eastAsia" w:ascii="仿宋_GB2312" w:eastAsia="仿宋_GB2312"/>
          <w:sz w:val="28"/>
          <w:szCs w:val="28"/>
          <w:lang w:eastAsia="zh-CN"/>
        </w:rPr>
        <w:t>）</w:t>
      </w:r>
      <w:r>
        <w:rPr>
          <w:rFonts w:hint="eastAsia" w:ascii="仿宋_GB2312" w:eastAsia="仿宋_GB2312"/>
          <w:sz w:val="28"/>
          <w:szCs w:val="28"/>
        </w:rPr>
        <w:t>提供规范的网络及服务器维护体系，包括人员、技术、流程和文档、事故维护的标准化管理。</w:t>
      </w:r>
    </w:p>
    <w:p>
      <w:pPr>
        <w:ind w:firstLine="560" w:firstLineChars="200"/>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7</w:t>
      </w:r>
      <w:r>
        <w:rPr>
          <w:rFonts w:hint="eastAsia" w:ascii="仿宋_GB2312" w:eastAsia="仿宋_GB2312"/>
          <w:sz w:val="28"/>
          <w:szCs w:val="28"/>
          <w:lang w:eastAsia="zh-CN"/>
        </w:rPr>
        <w:t>）</w:t>
      </w:r>
      <w:r>
        <w:rPr>
          <w:rFonts w:hint="eastAsia" w:ascii="仿宋_GB2312" w:eastAsia="仿宋_GB2312"/>
          <w:sz w:val="28"/>
          <w:szCs w:val="28"/>
        </w:rPr>
        <w:t>定期开展视频会议系统主会场、无纸化会议系统检查工作，每月开展一次检查，并出具检查报告。</w:t>
      </w:r>
    </w:p>
    <w:p>
      <w:pPr>
        <w:pStyle w:val="59"/>
        <w:spacing w:line="360" w:lineRule="auto"/>
        <w:ind w:firstLine="560" w:firstLineChars="200"/>
        <w:rPr>
          <w:rFonts w:ascii="仿宋_GB2312" w:eastAsia="仿宋_GB2312"/>
          <w:color w:val="FF0000"/>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8</w:t>
      </w:r>
      <w:r>
        <w:rPr>
          <w:rFonts w:hint="eastAsia" w:ascii="仿宋_GB2312" w:eastAsia="仿宋_GB2312"/>
          <w:sz w:val="28"/>
          <w:szCs w:val="28"/>
          <w:lang w:eastAsia="zh-CN"/>
        </w:rPr>
        <w:t>）</w:t>
      </w:r>
      <w:r>
        <w:rPr>
          <w:rFonts w:hint="eastAsia" w:ascii="仿宋_GB2312" w:eastAsia="仿宋_GB2312"/>
          <w:sz w:val="28"/>
          <w:szCs w:val="28"/>
        </w:rPr>
        <w:t>更新、完善视频会议系统、无纸化会议系统相关操作手册。</w:t>
      </w:r>
    </w:p>
    <w:p>
      <w:pPr>
        <w:pStyle w:val="6"/>
        <w:rPr>
          <w:rFonts w:hint="eastAsia" w:ascii="仿宋_GB2312" w:hAnsi="仿宋_GB2312" w:eastAsia="仿宋_GB2312" w:cs="仿宋_GB2312"/>
        </w:rPr>
      </w:pPr>
      <w:r>
        <w:rPr>
          <w:rFonts w:hint="eastAsia" w:ascii="仿宋_GB2312" w:hAnsi="仿宋_GB2312" w:eastAsia="仿宋_GB2312" w:cs="仿宋_GB2312"/>
        </w:rPr>
        <w:t>2.技术支持</w:t>
      </w:r>
    </w:p>
    <w:p>
      <w:pPr>
        <w:pStyle w:val="59"/>
        <w:spacing w:line="360" w:lineRule="auto"/>
        <w:ind w:firstLine="0" w:firstLineChars="0"/>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val="en-US" w:eastAsia="zh-CN"/>
        </w:rPr>
        <w:t>优化建议</w:t>
      </w:r>
    </w:p>
    <w:p>
      <w:pPr>
        <w:pStyle w:val="59"/>
        <w:spacing w:line="360" w:lineRule="auto"/>
        <w:ind w:firstLine="542"/>
        <w:rPr>
          <w:rFonts w:hint="eastAsia" w:ascii="仿宋_GB2312" w:eastAsia="仿宋_GB2312"/>
          <w:sz w:val="28"/>
          <w:szCs w:val="28"/>
        </w:rPr>
      </w:pPr>
      <w:r>
        <w:rPr>
          <w:rFonts w:hint="eastAsia" w:ascii="仿宋_GB2312" w:eastAsia="仿宋_GB2312"/>
          <w:sz w:val="28"/>
          <w:szCs w:val="28"/>
        </w:rPr>
        <w:t>对净水公司的信息化项目提供技术支持（包括网络、应用系统、服务器等），并根据净水公司现有信息化情况（包括网络、应用系统、服务器等）提出优化建议。</w:t>
      </w:r>
    </w:p>
    <w:p>
      <w:pPr>
        <w:pStyle w:val="59"/>
        <w:spacing w:line="360" w:lineRule="auto"/>
        <w:ind w:firstLine="0" w:firstLineChars="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）软件维护升级</w:t>
      </w:r>
    </w:p>
    <w:p>
      <w:pPr>
        <w:ind w:firstLine="480" w:firstLineChars="200"/>
        <w:rPr>
          <w:rFonts w:ascii="仿宋_GB2312" w:eastAsia="仿宋_GB2312"/>
          <w:sz w:val="28"/>
          <w:szCs w:val="28"/>
        </w:rPr>
      </w:pPr>
      <w:r>
        <w:rPr>
          <w:rFonts w:hint="default" w:ascii="Calibri" w:hAnsi="Calibri" w:eastAsia="仿宋_GB2312" w:cs="Calibri"/>
          <w:sz w:val="24"/>
          <w:szCs w:val="24"/>
        </w:rPr>
        <w:t>①</w:t>
      </w:r>
      <w:r>
        <w:rPr>
          <w:rFonts w:hint="eastAsia" w:ascii="仿宋_GB2312" w:eastAsia="仿宋_GB2312"/>
          <w:sz w:val="28"/>
          <w:szCs w:val="28"/>
        </w:rPr>
        <w:t>视频会议系统软件维护升级</w:t>
      </w:r>
    </w:p>
    <w:p>
      <w:pPr>
        <w:ind w:firstLine="560" w:firstLineChars="200"/>
        <w:rPr>
          <w:rFonts w:ascii="仿宋_GB2312" w:eastAsia="仿宋_GB2312"/>
          <w:sz w:val="28"/>
          <w:szCs w:val="28"/>
        </w:rPr>
      </w:pPr>
      <w:r>
        <w:rPr>
          <w:rFonts w:hint="eastAsia" w:ascii="仿宋_GB2312" w:eastAsia="仿宋_GB2312"/>
          <w:sz w:val="28"/>
          <w:szCs w:val="28"/>
        </w:rPr>
        <w:t>对LED大屏幕控制软件、会议系统音频传输内嵌软件、会议主席控制内嵌软件、会议代表控制内嵌软件、视频会议MCU嵌入软件、视频会议终端嵌入软件</w:t>
      </w:r>
      <w:r>
        <w:rPr>
          <w:rFonts w:hint="eastAsia" w:ascii="微软雅黑" w:hAnsi="微软雅黑" w:eastAsia="微软雅黑" w:cs="微软雅黑"/>
          <w:sz w:val="28"/>
          <w:szCs w:val="28"/>
        </w:rPr>
        <w:t>﹑</w:t>
      </w:r>
      <w:r>
        <w:rPr>
          <w:rFonts w:hint="eastAsia" w:ascii="仿宋_GB2312" w:hAnsi="仿宋_GB2312" w:eastAsia="仿宋_GB2312" w:cs="仿宋_GB2312"/>
          <w:sz w:val="28"/>
          <w:szCs w:val="28"/>
        </w:rPr>
        <w:t>视频会议专用摄像头内嵌软件、无缝混插矩阵切换内嵌软件、话筒呼叫控制嵌入软件等软件进行维护升级，保障视频会议系</w:t>
      </w:r>
      <w:r>
        <w:rPr>
          <w:rFonts w:hint="eastAsia" w:ascii="仿宋_GB2312" w:eastAsia="仿宋_GB2312"/>
          <w:sz w:val="28"/>
          <w:szCs w:val="28"/>
        </w:rPr>
        <w:t>统运行稳定。</w:t>
      </w:r>
    </w:p>
    <w:p>
      <w:pPr>
        <w:ind w:firstLine="480" w:firstLineChars="200"/>
        <w:rPr>
          <w:rFonts w:ascii="仿宋_GB2312" w:eastAsia="仿宋_GB2312"/>
          <w:sz w:val="28"/>
          <w:szCs w:val="28"/>
        </w:rPr>
      </w:pPr>
      <w:r>
        <w:rPr>
          <w:rFonts w:hint="default" w:ascii="Calibri" w:hAnsi="Calibri" w:eastAsia="仿宋_GB2312" w:cs="Calibri"/>
          <w:sz w:val="24"/>
          <w:szCs w:val="24"/>
        </w:rPr>
        <w:t>②</w:t>
      </w:r>
      <w:r>
        <w:rPr>
          <w:rFonts w:hint="eastAsia" w:ascii="仿宋_GB2312" w:eastAsia="仿宋_GB2312"/>
          <w:sz w:val="28"/>
          <w:szCs w:val="28"/>
        </w:rPr>
        <w:t>无纸化会议系统软件维护升级</w:t>
      </w:r>
    </w:p>
    <w:p>
      <w:pPr>
        <w:ind w:firstLine="560" w:firstLineChars="200"/>
        <w:rPr>
          <w:rFonts w:hint="eastAsia" w:ascii="仿宋_GB2312" w:eastAsia="仿宋_GB2312"/>
          <w:sz w:val="28"/>
          <w:szCs w:val="28"/>
        </w:rPr>
      </w:pPr>
      <w:r>
        <w:rPr>
          <w:rFonts w:hint="eastAsia" w:ascii="仿宋_GB2312" w:eastAsia="仿宋_GB2312"/>
          <w:sz w:val="28"/>
          <w:szCs w:val="28"/>
        </w:rPr>
        <w:t>对无纸化会议服务端管理软件、大屏同步终端嵌入软件、无纸化会议客户端软件、分布式拼接显示系统终端嵌入式软件、分布式综合管理平台嵌入软件、分布式拼接显示系统管理软件、分布式拼接显示系统终端嵌入式软件进行维护升级，保障无纸化会议系统运行稳定。</w:t>
      </w:r>
    </w:p>
    <w:p>
      <w:pPr>
        <w:pStyle w:val="6"/>
        <w:rPr>
          <w:rFonts w:hint="eastAsia" w:ascii="仿宋_GB2312" w:hAnsi="仿宋_GB2312" w:eastAsia="仿宋_GB2312" w:cs="仿宋_GB2312"/>
        </w:rPr>
      </w:pPr>
      <w:r>
        <w:rPr>
          <w:rFonts w:hint="eastAsia" w:ascii="仿宋_GB2312" w:hAnsi="仿宋_GB2312" w:eastAsia="仿宋_GB2312" w:cs="仿宋_GB2312"/>
        </w:rPr>
        <w:t>3.培训</w:t>
      </w:r>
    </w:p>
    <w:p>
      <w:pPr>
        <w:pStyle w:val="59"/>
        <w:spacing w:line="360" w:lineRule="auto"/>
        <w:ind w:firstLine="560"/>
        <w:rPr>
          <w:rFonts w:ascii="仿宋_GB2312" w:eastAsia="仿宋_GB2312"/>
          <w:sz w:val="28"/>
          <w:szCs w:val="28"/>
        </w:rPr>
      </w:pPr>
      <w:r>
        <w:rPr>
          <w:rFonts w:hint="eastAsia" w:ascii="仿宋_GB2312" w:eastAsia="仿宋_GB2312"/>
          <w:sz w:val="28"/>
          <w:szCs w:val="28"/>
        </w:rPr>
        <w:t>乙</w:t>
      </w:r>
      <w:r>
        <w:rPr>
          <w:rFonts w:ascii="仿宋_GB2312" w:eastAsia="仿宋_GB2312"/>
          <w:sz w:val="28"/>
          <w:szCs w:val="28"/>
        </w:rPr>
        <w:t>方负责对</w:t>
      </w:r>
      <w:r>
        <w:rPr>
          <w:rFonts w:hint="eastAsia" w:ascii="仿宋_GB2312" w:eastAsia="仿宋_GB2312"/>
          <w:sz w:val="28"/>
          <w:szCs w:val="28"/>
          <w:lang w:val="en-US" w:eastAsia="zh-CN"/>
        </w:rPr>
        <w:t>网络管理人员开展</w:t>
      </w:r>
      <w:r>
        <w:rPr>
          <w:rFonts w:hint="eastAsia" w:ascii="仿宋_GB2312" w:eastAsia="仿宋_GB2312"/>
          <w:sz w:val="28"/>
          <w:szCs w:val="28"/>
        </w:rPr>
        <w:t>网络设备软硬件、服务器软硬件、数据库及其他信息化相关知识</w:t>
      </w:r>
      <w:r>
        <w:rPr>
          <w:rFonts w:hint="eastAsia" w:ascii="仿宋_GB2312" w:eastAsia="仿宋_GB2312"/>
          <w:sz w:val="28"/>
          <w:szCs w:val="28"/>
          <w:lang w:val="en-US" w:eastAsia="zh-CN"/>
        </w:rPr>
        <w:t>培训，以及</w:t>
      </w:r>
      <w:r>
        <w:rPr>
          <w:rFonts w:hint="eastAsia" w:ascii="仿宋_GB2312" w:eastAsia="仿宋_GB2312"/>
          <w:sz w:val="28"/>
          <w:szCs w:val="28"/>
        </w:rPr>
        <w:t>视频会议系统、无纸化会议系统用户、技术人员开展</w:t>
      </w:r>
      <w:r>
        <w:rPr>
          <w:rFonts w:hint="eastAsia" w:ascii="仿宋_GB2312" w:eastAsia="仿宋_GB2312"/>
          <w:sz w:val="28"/>
          <w:szCs w:val="28"/>
          <w:lang w:val="en-US" w:eastAsia="zh-CN"/>
        </w:rPr>
        <w:t>视频会议相关</w:t>
      </w:r>
      <w:r>
        <w:rPr>
          <w:rFonts w:hint="eastAsia" w:ascii="仿宋_GB2312" w:eastAsia="仿宋_GB2312"/>
          <w:sz w:val="28"/>
          <w:szCs w:val="28"/>
        </w:rPr>
        <w:t>培训，培训次数不少于两次。</w:t>
      </w:r>
    </w:p>
    <w:p>
      <w:pPr>
        <w:pStyle w:val="5"/>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（三）突发事件处理</w:t>
      </w:r>
    </w:p>
    <w:p>
      <w:pPr>
        <w:pStyle w:val="59"/>
        <w:spacing w:line="360" w:lineRule="auto"/>
        <w:ind w:firstLine="542"/>
        <w:rPr>
          <w:rFonts w:ascii="仿宋_GB2312" w:eastAsia="仿宋_GB2312"/>
          <w:sz w:val="28"/>
          <w:szCs w:val="28"/>
        </w:rPr>
      </w:pPr>
      <w:r>
        <w:rPr>
          <w:rFonts w:hint="eastAsia" w:ascii="仿宋_GB2312" w:eastAsia="仿宋_GB2312"/>
          <w:sz w:val="28"/>
          <w:szCs w:val="28"/>
        </w:rPr>
        <w:t>对净水公司（包括下属单位）范围内网络中断、网络阻塞、网络被攻击或服务器软硬件故障、应用系统故障等突发事件进行处理，要求</w:t>
      </w:r>
      <w:r>
        <w:rPr>
          <w:rFonts w:ascii="仿宋_GB2312" w:eastAsia="仿宋_GB2312"/>
          <w:sz w:val="28"/>
          <w:szCs w:val="28"/>
        </w:rPr>
        <w:t>30</w:t>
      </w:r>
      <w:r>
        <w:rPr>
          <w:rFonts w:hint="eastAsia" w:ascii="仿宋_GB2312" w:eastAsia="仿宋_GB2312"/>
          <w:sz w:val="28"/>
          <w:szCs w:val="28"/>
        </w:rPr>
        <w:t>分钟以内响应事件，4小时内恢复正常。在事故处理完</w:t>
      </w:r>
      <w:r>
        <w:rPr>
          <w:rFonts w:ascii="仿宋_GB2312" w:eastAsia="仿宋_GB2312"/>
          <w:sz w:val="28"/>
          <w:szCs w:val="28"/>
        </w:rPr>
        <w:t>3</w:t>
      </w:r>
      <w:r>
        <w:rPr>
          <w:rFonts w:hint="eastAsia" w:ascii="仿宋_GB2312" w:eastAsia="仿宋_GB2312"/>
          <w:sz w:val="28"/>
          <w:szCs w:val="28"/>
        </w:rPr>
        <w:t>个工作日内提交事件处理报告（报告</w:t>
      </w:r>
      <w:r>
        <w:rPr>
          <w:rFonts w:ascii="仿宋_GB2312" w:eastAsia="仿宋_GB2312"/>
          <w:sz w:val="28"/>
          <w:szCs w:val="28"/>
        </w:rPr>
        <w:t>须含事件起因、处理过程</w:t>
      </w:r>
      <w:r>
        <w:rPr>
          <w:rFonts w:hint="eastAsia" w:ascii="仿宋_GB2312" w:eastAsia="仿宋_GB2312"/>
          <w:sz w:val="28"/>
          <w:szCs w:val="28"/>
        </w:rPr>
        <w:t>等）。</w:t>
      </w:r>
    </w:p>
    <w:p>
      <w:pPr>
        <w:ind w:firstLine="560" w:firstLineChars="200"/>
        <w:jc w:val="left"/>
        <w:rPr>
          <w:rFonts w:ascii="仿宋_GB2312" w:eastAsia="仿宋_GB2312"/>
          <w:sz w:val="28"/>
          <w:szCs w:val="28"/>
        </w:rPr>
      </w:pPr>
      <w:r>
        <w:rPr>
          <w:rFonts w:hint="eastAsia" w:ascii="仿宋_GB2312" w:eastAsia="仿宋_GB2312"/>
          <w:sz w:val="28"/>
          <w:szCs w:val="28"/>
        </w:rPr>
        <w:t>公司机房、配线间及</w:t>
      </w:r>
      <w:r>
        <w:rPr>
          <w:rFonts w:hint="eastAsia" w:ascii="仿宋_GB2312" w:eastAsia="仿宋_GB2312"/>
          <w:sz w:val="28"/>
          <w:szCs w:val="28"/>
          <w:lang w:val="en-US" w:eastAsia="zh-CN"/>
        </w:rPr>
        <w:t>视频</w:t>
      </w:r>
      <w:r>
        <w:rPr>
          <w:rFonts w:hint="eastAsia" w:ascii="仿宋_GB2312" w:eastAsia="仿宋_GB2312"/>
          <w:sz w:val="28"/>
          <w:szCs w:val="28"/>
        </w:rPr>
        <w:t>会议室内、公司所属各单位的网络设备、空调</w:t>
      </w:r>
      <w:r>
        <w:rPr>
          <w:rFonts w:hint="eastAsia" w:ascii="仿宋_GB2312" w:eastAsia="仿宋_GB2312"/>
          <w:color w:val="auto"/>
          <w:sz w:val="28"/>
          <w:szCs w:val="28"/>
        </w:rPr>
        <w:t>、大屏</w:t>
      </w:r>
      <w:r>
        <w:rPr>
          <w:rFonts w:hint="eastAsia" w:ascii="仿宋_GB2312" w:eastAsia="仿宋_GB2312"/>
          <w:sz w:val="28"/>
          <w:szCs w:val="28"/>
        </w:rPr>
        <w:t>、服务器、</w:t>
      </w:r>
      <w:r>
        <w:rPr>
          <w:rFonts w:hint="eastAsia" w:ascii="仿宋_GB2312" w:eastAsia="仿宋_GB2312"/>
          <w:sz w:val="28"/>
          <w:szCs w:val="28"/>
          <w:lang w:val="en-US" w:eastAsia="zh-CN"/>
        </w:rPr>
        <w:t>视频会议及无纸化系统</w:t>
      </w:r>
      <w:r>
        <w:rPr>
          <w:rFonts w:hint="eastAsia" w:ascii="仿宋_GB2312" w:eastAsia="仿宋_GB2312"/>
          <w:sz w:val="28"/>
          <w:szCs w:val="28"/>
        </w:rPr>
        <w:t>等软硬件故障需进行修理，无法修理则予以更换，设备</w:t>
      </w:r>
      <w:r>
        <w:rPr>
          <w:rFonts w:ascii="仿宋_GB2312" w:eastAsia="仿宋_GB2312"/>
          <w:sz w:val="28"/>
          <w:szCs w:val="28"/>
        </w:rPr>
        <w:t>包括但</w:t>
      </w:r>
      <w:r>
        <w:rPr>
          <w:rFonts w:hint="eastAsia" w:ascii="仿宋_GB2312" w:eastAsia="仿宋_GB2312"/>
          <w:sz w:val="28"/>
          <w:szCs w:val="28"/>
        </w:rPr>
        <w:t>不限于以下设备</w:t>
      </w:r>
      <w:r>
        <w:rPr>
          <w:rFonts w:ascii="仿宋_GB2312" w:eastAsia="仿宋_GB2312"/>
          <w:sz w:val="28"/>
          <w:szCs w:val="28"/>
        </w:rPr>
        <w:t>清单</w:t>
      </w:r>
      <w:r>
        <w:rPr>
          <w:rFonts w:hint="eastAsia" w:ascii="仿宋_GB2312" w:eastAsia="仿宋_GB2312"/>
          <w:sz w:val="28"/>
          <w:szCs w:val="28"/>
        </w:rPr>
        <w:t>。当涉及更换配件或设备时，被替换下来的配件或设备除</w:t>
      </w:r>
      <w:r>
        <w:rPr>
          <w:rFonts w:ascii="仿宋_GB2312" w:eastAsia="仿宋_GB2312"/>
          <w:sz w:val="28"/>
          <w:szCs w:val="28"/>
        </w:rPr>
        <w:t>存储设备外</w:t>
      </w:r>
      <w:r>
        <w:rPr>
          <w:rFonts w:hint="eastAsia" w:ascii="仿宋_GB2312" w:eastAsia="仿宋_GB2312"/>
          <w:sz w:val="28"/>
          <w:szCs w:val="28"/>
        </w:rPr>
        <w:t>属于乙方财产，替换件及</w:t>
      </w:r>
      <w:r>
        <w:rPr>
          <w:rFonts w:ascii="仿宋_GB2312" w:eastAsia="仿宋_GB2312"/>
          <w:sz w:val="28"/>
          <w:szCs w:val="28"/>
        </w:rPr>
        <w:t>存储设备</w:t>
      </w:r>
      <w:r>
        <w:rPr>
          <w:rFonts w:hint="eastAsia" w:ascii="仿宋_GB2312" w:eastAsia="仿宋_GB2312"/>
          <w:sz w:val="28"/>
          <w:szCs w:val="28"/>
        </w:rPr>
        <w:t>属于甲方财产。乙方必须保证替换件为原厂产品，且与被替换产品属于同一品牌相同或更高产品。替换件可以不是全新产品，但应确保处于良好的、</w:t>
      </w:r>
      <w:r>
        <w:rPr>
          <w:rFonts w:ascii="仿宋_GB2312" w:eastAsia="仿宋_GB2312"/>
          <w:sz w:val="28"/>
          <w:szCs w:val="28"/>
        </w:rPr>
        <w:t>正常的</w:t>
      </w:r>
      <w:r>
        <w:rPr>
          <w:rFonts w:hint="eastAsia" w:ascii="仿宋_GB2312" w:eastAsia="仿宋_GB2312"/>
          <w:sz w:val="28"/>
          <w:szCs w:val="28"/>
        </w:rPr>
        <w:t>工作状态，并且在功能、性能上不得低于被替换下来的配件或设备。替换件承接被替换下来的配件或设备的原有保修服务地位。</w:t>
      </w:r>
    </w:p>
    <w:p>
      <w:pPr>
        <w:ind w:firstLine="560" w:firstLineChars="200"/>
        <w:jc w:val="left"/>
        <w:rPr>
          <w:rFonts w:hint="eastAsia" w:ascii="仿宋_GB2312" w:eastAsia="仿宋_GB2312"/>
          <w:sz w:val="28"/>
          <w:szCs w:val="28"/>
        </w:rPr>
      </w:pPr>
      <w:r>
        <w:rPr>
          <w:rFonts w:hint="eastAsia" w:ascii="仿宋_GB2312" w:eastAsia="仿宋_GB2312"/>
          <w:sz w:val="28"/>
          <w:szCs w:val="28"/>
        </w:rPr>
        <w:t>设备清单：</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视频会议及无纸化设备维护清单</w:t>
      </w:r>
    </w:p>
    <w:tbl>
      <w:tblPr>
        <w:tblStyle w:val="26"/>
        <w:tblW w:w="8931" w:type="dxa"/>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6"/>
        <w:gridCol w:w="1581"/>
        <w:gridCol w:w="1080"/>
        <w:gridCol w:w="1401"/>
        <w:gridCol w:w="750"/>
        <w:gridCol w:w="615"/>
        <w:gridCol w:w="1080"/>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内容</w:t>
            </w:r>
          </w:p>
        </w:tc>
        <w:tc>
          <w:tcPr>
            <w:tcW w:w="158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设备或材料名称</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品牌</w:t>
            </w:r>
          </w:p>
        </w:tc>
        <w:tc>
          <w:tcPr>
            <w:tcW w:w="140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型号</w:t>
            </w:r>
          </w:p>
        </w:tc>
        <w:tc>
          <w:tcPr>
            <w:tcW w:w="7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c>
          <w:tcPr>
            <w:tcW w:w="61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服务期</w:t>
            </w:r>
          </w:p>
        </w:tc>
        <w:tc>
          <w:tcPr>
            <w:tcW w:w="91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0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主会场视频会议系统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TS-16P-4</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tcBorders>
              <w:top w:val="nil"/>
              <w:left w:val="nil"/>
              <w:bottom w:val="nil"/>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抑制器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TS-224</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电源时序器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TS-820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会议系统主机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会议主席单元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会议代表单元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XM-0202A</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VCS8000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TV-620HC</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视频转换器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NT90HDB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视频切换器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TS-9104UHM</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摄像跟踪主机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TS-0699</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系统软件及升级维护</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0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主会场LED大屏</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小间距全彩LED显示屏</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TV-PH166-YM</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5.76</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m²</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发送卡</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TV-81OS4</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接收卡</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TV-81RI5</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多画面拼接处理器</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TV-8910P</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屏体包边装饰</w:t>
            </w:r>
          </w:p>
        </w:tc>
        <w:tc>
          <w:tcPr>
            <w:tcW w:w="1080" w:type="dxa"/>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定制</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m²</w:t>
            </w:r>
          </w:p>
        </w:tc>
        <w:tc>
          <w:tcPr>
            <w:tcW w:w="1080"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918" w:type="dxa"/>
            <w:tcBorders>
              <w:top w:val="nil"/>
              <w:left w:val="nil"/>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06"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无纸化会议系统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无纸化会议系统主机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道天勤</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DTY-913</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大屏同步终端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道天勤</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DTY-833</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平板电脑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MatePad Pro</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平板专用笔套装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M-Pencil</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无线控制器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WX2510H-PWR</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企业无线路由器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H3C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WA5530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分布式综合管理平台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AY-713A</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分布式采集盒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AY-711HK</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分布式输出盒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AY-712AK</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系统软件及升级维护</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5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分会场视频会议系统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大坦沙、沥滘、石井、石井净、西朗、龙归、大沙地、竹料、京溪、从化10个分会场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TV-612USB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无线话筒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T-521UZ</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有源音箱</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T-250H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6"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新建分会场会议系统</w:t>
            </w:r>
          </w:p>
        </w:tc>
        <w:tc>
          <w:tcPr>
            <w:tcW w:w="158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1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猎德（备用主会场）、水质中心、大观、健康城、江高5个分会场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TV-612USB</w:t>
            </w:r>
          </w:p>
        </w:tc>
        <w:tc>
          <w:tcPr>
            <w:tcW w:w="750"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无线话筒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T-521UH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有源音箱</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T-250H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会议系统主机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会议主席单元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会议代表单元</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XM-0202A</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HDMI矩阵切换器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Unnlink</w:t>
            </w:r>
          </w:p>
        </w:tc>
        <w:tc>
          <w:tcPr>
            <w:tcW w:w="140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matrix 8x8</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506" w:type="dxa"/>
            <w:tcBorders>
              <w:top w:val="single" w:color="auto" w:sz="4"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新建分会场会议系统</w:t>
            </w:r>
          </w:p>
        </w:tc>
        <w:tc>
          <w:tcPr>
            <w:tcW w:w="1581"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高清视频终端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BOX-600-1080P30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c>
          <w:tcPr>
            <w:tcW w:w="918"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沥滘、石井净、大沙地备用中心视频会议系统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备用中心视频会议系统</w:t>
            </w: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NT90MB</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无缝高清矩阵切换器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TS-9408UHM</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嵌入式控制面板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TS-9400K</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HDMI无缝高清输入卡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TS-9404HI</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HDMI无缝高清输出卡</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TS-9404HO</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数字会议主机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TS-W100HY</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无线会议话筒</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TS-W102AH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无线话筒充电箱</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TS-W180H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话筒信号发射器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TS-W111HY</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抑制器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TS-224HY</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音频处理器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HP840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电源时序器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H820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网络中控主机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HM9100N</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安卓平板电脑</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M6</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tcBorders>
              <w:top w:val="nil"/>
              <w:left w:val="single" w:color="000000" w:sz="8" w:space="0"/>
              <w:bottom w:val="nil"/>
              <w:right w:val="single" w:color="000000" w:sz="8" w:space="0"/>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无线路由器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华为</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WS5200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506" w:type="dxa"/>
            <w:vMerge w:val="restart"/>
            <w:tcBorders>
              <w:top w:val="nil"/>
              <w:left w:val="single" w:color="000000" w:sz="8" w:space="0"/>
              <w:bottom w:val="nil"/>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控制器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TS-</w:t>
            </w:r>
            <w:r>
              <w:rPr>
                <w:rStyle w:val="60"/>
                <w:rFonts w:hint="eastAsia" w:ascii="仿宋_GB2312" w:hAnsi="仿宋_GB2312" w:eastAsia="仿宋_GB2312" w:cs="仿宋_GB2312"/>
                <w:sz w:val="24"/>
                <w:szCs w:val="24"/>
                <w:lang w:val="en-US" w:eastAsia="zh-CN" w:bidi="ar"/>
              </w:rPr>
              <w:t>HM9101</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80" w:type="dxa"/>
            <w:vMerge w:val="restart"/>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918" w:type="dxa"/>
            <w:vMerge w:val="restart"/>
            <w:tcBorders>
              <w:top w:val="nil"/>
              <w:left w:val="nil"/>
              <w:bottom w:val="nil"/>
              <w:right w:val="single" w:color="000000" w:sz="8"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编程软件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TS-9100N配带</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TV-620HW</w:t>
            </w:r>
            <w:r>
              <w:rPr>
                <w:rStyle w:val="60"/>
                <w:lang w:val="en-US" w:eastAsia="zh-CN" w:bidi="ar"/>
              </w:rPr>
              <w:t>M</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视频会议终端媒体软件</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V2.0</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TP-LINK</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TL-SF1009PE</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超高清KVM发送器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TS-9506KUTH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06"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超高清KVM接收器</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ITC</w:t>
            </w:r>
          </w:p>
        </w:tc>
        <w:tc>
          <w:tcPr>
            <w:tcW w:w="140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TS-9506KURH</w:t>
            </w: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06"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1"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辅材及其他</w:t>
            </w: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5" w:type="dxa"/>
            <w:tcBorders>
              <w:top w:val="nil"/>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vMerge w:val="continue"/>
            <w:tcBorders>
              <w:top w:val="nil"/>
              <w:left w:val="single" w:color="auto" w:sz="4" w:space="0"/>
              <w:bottom w:val="single" w:color="auto"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918" w:type="dxa"/>
            <w:vMerge w:val="continue"/>
            <w:tcBorders>
              <w:top w:val="nil"/>
              <w:left w:val="nil"/>
              <w:bottom w:val="single" w:color="auto" w:sz="4"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r>
    </w:tbl>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公司数据中心及分公司出口网络设备维护清单</w:t>
      </w:r>
    </w:p>
    <w:tbl>
      <w:tblPr>
        <w:tblStyle w:val="26"/>
        <w:tblW w:w="9930" w:type="dxa"/>
        <w:tblInd w:w="-10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224"/>
        <w:gridCol w:w="1185"/>
        <w:gridCol w:w="825"/>
        <w:gridCol w:w="750"/>
        <w:gridCol w:w="261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22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1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地点</w:t>
            </w:r>
          </w:p>
        </w:tc>
        <w:tc>
          <w:tcPr>
            <w:tcW w:w="8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26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c>
          <w:tcPr>
            <w:tcW w:w="1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5800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服务器区域防火墙和专线接入区域防火墙，维保费用按6个月算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12200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公司互联网出口防火墙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12200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公司互联网出口防火墙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Checkpoint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SG 5400 NGTP</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所属分公司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分公司防火墙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山石网科</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C2100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所属分公司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分公司防火墙</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BYE</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ups配电柜及附属的RS485通讯设备</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数据中心配电系统与UPS系统</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BYE</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市电配电柜及附属的RS485通讯设备</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EAST</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UPS电池及附属的RS485通讯设备</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6509(ws-x6848-ge-tx,ws-x6848-sfp,vs-sup2t-10G,双电源)</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核心交换机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3560x-48t-s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客服</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2960s</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二楼配线间4台  四楼配线间4台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机房环境监控系统（包括服务器和信号采集设备、线路）</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套</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3560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服务器区汇聚交换机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2960x</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3650-24-4x1G</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1台服务器区扩展  1台二级单位接入区  1台备用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2960-plus-si-poe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二楼配线间1台  四楼配线间1台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深信服</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AC3300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上网行为管理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深信服</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AC3300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FF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lang w:val="en-US" w:eastAsia="zh-CN"/>
              </w:rPr>
              <w:t>上网行为管理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A10</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1030S</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网络负载均衡</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3850X6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虚拟化平台物理服务器esxi01和02</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NETAPP</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NAJ-1501  F2650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FAS2650虚拟化磁盘阵列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1814-20A 磁盘阵列  DS5020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ThinkSystem SR860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ThinkSystem DM7000H</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storwize v3700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虚拟化平台磁盘阵列</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服务器SR658</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2498-b24光纤交换机</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16端口授权</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2498-b24光纤交换机</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虚拟化平台光纤交换机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2498-b24光纤交换机</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8端口授权</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7947-I01服务器</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药剂数据服务器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7143-uv4服务器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虚拟化平台物理服务器esxi03</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3650-M5</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3650-M5</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启明</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sa2100日志审计</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vMerge w:val="restar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启明</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fa3000se-r流控</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无线控制器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AIR-CAP1702I-H-K9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各楼层无线接入点</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CISCO</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AIR-CAP2702I-C-K9   </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各楼层无线接入点</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施耐德</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数据中心机房制冷系统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机房精密空调2台,机房新风机1台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硬件系统</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3号会议室大屏系统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包括9台电视机、投屏拼接主机、线路、投屏软件、控制平板等</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联想</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启天M6900</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工资系统服务器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x3650 M3</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硬件系统</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3号会议室会议电脑系统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包括联想一体机电脑7台以及其升降台、控制台4台电脑以及其视频分线器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硬件系统</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3号会议室制冷系统</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风管式格力空调、风管式新风机</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x3650 M4</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大坦沙分公司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设备在大坦沙厂（对应所需服务清单中八、下属分所及厂区视频及自控数据服务器（6台）维护的其中一台）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x3650 M3</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沥滘分公司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设备在沥滘厂（对应所需服务清单中八、下属分所及厂区视频及自控数据服务器（6台）维护的其中一台）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x3650 M3</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公司本部</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管网数据共享服务器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1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IBM</w:t>
            </w:r>
          </w:p>
        </w:tc>
        <w:tc>
          <w:tcPr>
            <w:tcW w:w="2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X3850 X5</w:t>
            </w:r>
          </w:p>
        </w:tc>
        <w:tc>
          <w:tcPr>
            <w:tcW w:w="11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猎德分公司</w:t>
            </w:r>
          </w:p>
        </w:tc>
        <w:tc>
          <w:tcPr>
            <w:tcW w:w="8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7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26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设备在猎德厂（对应所需服务清单中八、下属分所及厂区视频及自控数据服务器（6台）维护的其中一台）</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1年</w:t>
            </w:r>
          </w:p>
        </w:tc>
      </w:tr>
    </w:tbl>
    <w:p>
      <w:pPr>
        <w:pStyle w:val="5"/>
        <w:ind w:firstLine="602"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（四）工作报告</w:t>
      </w:r>
    </w:p>
    <w:p>
      <w:pPr>
        <w:pStyle w:val="61"/>
        <w:spacing w:line="360" w:lineRule="auto"/>
        <w:ind w:left="0" w:firstLine="560" w:firstLineChars="200"/>
        <w:rPr>
          <w:rFonts w:ascii="仿宋_GB2312" w:eastAsia="仿宋_GB2312"/>
          <w:sz w:val="28"/>
          <w:szCs w:val="28"/>
        </w:rPr>
      </w:pPr>
      <w:r>
        <w:rPr>
          <w:rFonts w:hint="eastAsia" w:ascii="仿宋_GB2312" w:eastAsia="仿宋_GB2312"/>
          <w:sz w:val="28"/>
          <w:szCs w:val="28"/>
        </w:rPr>
        <w:t>除上述具体要求中的报告外，乙方需提供以下报告：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3402"/>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w:t>
            </w:r>
          </w:p>
        </w:tc>
        <w:tc>
          <w:tcPr>
            <w:tcW w:w="3402"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报告方式</w:t>
            </w:r>
          </w:p>
        </w:tc>
        <w:tc>
          <w:tcPr>
            <w:tcW w:w="1893" w:type="dxa"/>
            <w:shd w:val="clear" w:color="auto" w:fill="D9D9D9"/>
          </w:tcPr>
          <w:p>
            <w:pPr>
              <w:pStyle w:val="61"/>
              <w:spacing w:line="360" w:lineRule="auto"/>
              <w:ind w:firstLine="0" w:firstLineChars="0"/>
              <w:jc w:val="center"/>
              <w:rPr>
                <w:rFonts w:ascii="仿宋_GB2312" w:eastAsia="仿宋_GB2312"/>
                <w:sz w:val="24"/>
                <w:szCs w:val="24"/>
              </w:rPr>
            </w:pPr>
            <w:r>
              <w:rPr>
                <w:rFonts w:hint="eastAsia" w:ascii="仿宋_GB2312" w:eastAsia="仿宋_GB2312"/>
                <w:sz w:val="24"/>
                <w:szCs w:val="24"/>
              </w:rPr>
              <w:t>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故障处理报告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事件发生时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巡检报告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每旬/季度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网络设备及服务器硬件配置档案</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年度服务报告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纸质档（盖章）及纸质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网络优化方案</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净水公司详细网络拓扑及机柜图</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下属单位网络设备配置档案</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年度培训报告</w:t>
            </w:r>
          </w:p>
        </w:tc>
        <w:tc>
          <w:tcPr>
            <w:tcW w:w="3402"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电子文档（邮件）及纸质</w:t>
            </w:r>
          </w:p>
        </w:tc>
        <w:tc>
          <w:tcPr>
            <w:tcW w:w="1893" w:type="dxa"/>
          </w:tcPr>
          <w:p>
            <w:pPr>
              <w:pStyle w:val="61"/>
              <w:spacing w:line="360" w:lineRule="auto"/>
              <w:ind w:firstLine="0" w:firstLineChars="0"/>
              <w:rPr>
                <w:rFonts w:ascii="仿宋_GB2312" w:eastAsia="仿宋_GB2312"/>
                <w:sz w:val="24"/>
                <w:szCs w:val="24"/>
              </w:rPr>
            </w:pPr>
            <w:r>
              <w:rPr>
                <w:rFonts w:hint="eastAsia" w:ascii="仿宋_GB2312" w:eastAsia="仿宋_GB2312"/>
                <w:sz w:val="24"/>
                <w:szCs w:val="24"/>
              </w:rPr>
              <w:t>每年</w:t>
            </w: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20" w:lineRule="exact"/>
        <w:rPr>
          <w:rFonts w:asciiTheme="minorEastAsia" w:hAnsiTheme="minorEastAsia" w:cstheme="minorEastAsia"/>
          <w:sz w:val="24"/>
        </w:rPr>
      </w:pPr>
      <w:r>
        <w:rPr>
          <w:rFonts w:hint="eastAsia" w:asciiTheme="minorEastAsia" w:hAnsiTheme="minorEastAsia" w:cstheme="minorEastAsia"/>
          <w:szCs w:val="21"/>
        </w:rPr>
        <w:t>附件</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   (项目投入人员架构表)</w:t>
      </w:r>
    </w:p>
    <w:p>
      <w:pPr>
        <w:widowControl/>
        <w:jc w:val="left"/>
        <w:rPr>
          <w:rFonts w:ascii="宋体" w:hAnsi="宋体" w:cs="宋体"/>
          <w:color w:val="FF0000"/>
          <w:szCs w:val="21"/>
        </w:rPr>
      </w:pPr>
    </w:p>
    <w:p>
      <w:pPr>
        <w:spacing w:line="360" w:lineRule="auto"/>
        <w:jc w:val="center"/>
        <w:outlineLvl w:val="3"/>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项目投入人员架构表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outlineLvl w:val="3"/>
        <w:rPr>
          <w:rFonts w:hint="eastAsia" w:ascii="宋体" w:hAnsi="宋体" w:cs="宋体"/>
          <w:szCs w:val="21"/>
        </w:rPr>
      </w:pPr>
    </w:p>
    <w:p>
      <w:pPr>
        <w:rPr>
          <w:rFonts w:hint="eastAsia" w:ascii="宋体" w:hAnsi="宋体" w:eastAsia="宋体" w:cs="宋体"/>
          <w:szCs w:val="21"/>
          <w:lang w:val="en-US" w:eastAsia="zh-CN"/>
        </w:rPr>
      </w:pPr>
      <w:r>
        <w:rPr>
          <w:rFonts w:hint="eastAsia" w:ascii="宋体" w:hAnsi="宋体" w:cs="宋体"/>
          <w:szCs w:val="21"/>
        </w:rPr>
        <w:br w:type="page"/>
      </w:r>
    </w:p>
    <w:p>
      <w:pPr>
        <w:pStyle w:val="25"/>
        <w:ind w:firstLine="0"/>
        <w:rPr>
          <w:rFonts w:ascii="仿宋_GB2312" w:eastAsia="仿宋_GB2312"/>
          <w:color w:val="auto"/>
          <w:sz w:val="28"/>
          <w:szCs w:val="28"/>
        </w:rPr>
      </w:pPr>
    </w:p>
    <w:p>
      <w:pPr>
        <w:pStyle w:val="3"/>
      </w:pPr>
      <w:bookmarkStart w:id="110" w:name="_Toc23515"/>
      <w:bookmarkStart w:id="111" w:name="_Toc3723"/>
      <w:bookmarkStart w:id="112" w:name="_Toc1563"/>
      <w:bookmarkStart w:id="113" w:name="_Toc12169"/>
      <w:bookmarkStart w:id="114" w:name="_Toc6230"/>
      <w:bookmarkStart w:id="115" w:name="_Toc16552"/>
      <w:bookmarkStart w:id="116" w:name="_Toc8147"/>
      <w:bookmarkStart w:id="117" w:name="_Toc30824"/>
      <w:bookmarkStart w:id="118" w:name="_Toc28358"/>
      <w:bookmarkStart w:id="119" w:name="_Toc21847"/>
      <w:bookmarkStart w:id="120" w:name="_Toc5129"/>
      <w:r>
        <mc:AlternateContent>
          <mc:Choice Requires="wps">
            <w:drawing>
              <wp:anchor distT="0" distB="0" distL="114300" distR="114300" simplePos="0" relativeHeight="25166848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848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745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10"/>
      <w:bookmarkEnd w:id="111"/>
      <w:bookmarkEnd w:id="112"/>
      <w:bookmarkEnd w:id="113"/>
      <w:bookmarkEnd w:id="114"/>
      <w:bookmarkEnd w:id="115"/>
      <w:bookmarkEnd w:id="116"/>
      <w:bookmarkEnd w:id="117"/>
      <w:bookmarkEnd w:id="118"/>
      <w:bookmarkEnd w:id="119"/>
      <w:bookmarkEnd w:id="120"/>
    </w:p>
    <w:p>
      <w:pPr>
        <w:pStyle w:val="42"/>
      </w:pPr>
    </w:p>
    <w:p>
      <w:pPr>
        <w:pStyle w:val="3"/>
      </w:pPr>
      <w:bookmarkStart w:id="121" w:name="_Toc24815"/>
      <w:bookmarkStart w:id="122" w:name="_Toc22764"/>
      <w:bookmarkStart w:id="123" w:name="_Toc88209951"/>
      <w:bookmarkStart w:id="124" w:name="_Toc12769"/>
      <w:bookmarkStart w:id="125" w:name="_Toc21675"/>
      <w:bookmarkStart w:id="126" w:name="_Toc87616388"/>
      <w:bookmarkStart w:id="127" w:name="_Toc30157"/>
      <w:bookmarkStart w:id="128" w:name="_Toc17119"/>
      <w:bookmarkStart w:id="129" w:name="_Toc10840"/>
      <w:bookmarkStart w:id="130" w:name="_Toc12610"/>
      <w:bookmarkStart w:id="131" w:name="_Toc24490"/>
      <w:bookmarkStart w:id="132" w:name="_Toc31564"/>
      <w:bookmarkStart w:id="133" w:name="_Toc5342"/>
      <w:r>
        <w:rPr>
          <w:rFonts w:hint="eastAsia"/>
        </w:rPr>
        <w:t>响应文件格式要求</w:t>
      </w:r>
      <w:bookmarkEnd w:id="121"/>
      <w:bookmarkEnd w:id="122"/>
      <w:bookmarkEnd w:id="123"/>
      <w:bookmarkEnd w:id="124"/>
      <w:bookmarkEnd w:id="125"/>
      <w:bookmarkEnd w:id="126"/>
      <w:bookmarkEnd w:id="127"/>
      <w:bookmarkEnd w:id="128"/>
      <w:bookmarkEnd w:id="129"/>
      <w:bookmarkEnd w:id="130"/>
      <w:bookmarkEnd w:id="131"/>
      <w:bookmarkEnd w:id="132"/>
      <w:bookmarkEnd w:id="133"/>
    </w:p>
    <w:p>
      <w:pPr>
        <w:pStyle w:val="12"/>
        <w:ind w:firstLine="0"/>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pStyle w:val="2"/>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before="0" w:beforeLines="-2147483648" w:after="0" w:afterLines="-2147483648"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spacing w:line="600" w:lineRule="exact"/>
        <w:rPr>
          <w:rFonts w:ascii="仿宋_GB2312" w:eastAsia="仿宋_GB2312"/>
          <w:sz w:val="28"/>
          <w:szCs w:val="28"/>
        </w:rPr>
      </w:pPr>
      <w:bookmarkStart w:id="134" w:name="_Toc88209952"/>
      <w:bookmarkStart w:id="135" w:name="_Toc87616389"/>
      <w:r>
        <w:rPr>
          <w:rFonts w:hint="eastAsia" w:ascii="仿宋_GB2312" w:eastAsia="仿宋_GB2312"/>
          <w:sz w:val="28"/>
          <w:szCs w:val="28"/>
        </w:rPr>
        <w:t>1.响应函</w:t>
      </w:r>
      <w:bookmarkEnd w:id="134"/>
      <w:bookmarkEnd w:id="135"/>
    </w:p>
    <w:p>
      <w:pPr>
        <w:spacing w:line="600" w:lineRule="exact"/>
        <w:rPr>
          <w:rFonts w:hint="eastAsia" w:ascii="仿宋_GB2312" w:eastAsia="仿宋_GB2312"/>
          <w:sz w:val="28"/>
          <w:szCs w:val="28"/>
        </w:rPr>
      </w:pPr>
      <w:bookmarkStart w:id="136" w:name="_Toc87616390"/>
      <w:bookmarkStart w:id="137" w:name="_Toc88209953"/>
      <w:r>
        <w:rPr>
          <w:rFonts w:hint="eastAsia" w:ascii="仿宋_GB2312" w:eastAsia="仿宋_GB2312"/>
          <w:sz w:val="28"/>
          <w:szCs w:val="28"/>
        </w:rPr>
        <w:t>2.法定代表人证明或授权委托书</w:t>
      </w:r>
      <w:bookmarkEnd w:id="136"/>
      <w:bookmarkEnd w:id="137"/>
      <w:bookmarkStart w:id="138" w:name="_Toc88209956"/>
      <w:bookmarkStart w:id="139"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hint="eastAsia" w:ascii="仿宋_GB2312" w:eastAsia="仿宋_GB2312" w:hAnsiTheme="minorHAnsi" w:cstheme="minorBidi"/>
          <w:b w:val="0"/>
          <w:bCs w:val="0"/>
          <w:sz w:val="28"/>
          <w:szCs w:val="28"/>
        </w:rPr>
      </w:pPr>
      <w:r>
        <w:rPr>
          <w:rFonts w:hint="eastAsia" w:ascii="仿宋_GB2312" w:eastAsia="仿宋_GB2312" w:hAnsiTheme="minorHAnsi" w:cstheme="minorBidi"/>
          <w:b w:val="0"/>
          <w:bCs w:val="0"/>
          <w:sz w:val="28"/>
          <w:szCs w:val="28"/>
        </w:rPr>
        <w:t>5.报价表</w:t>
      </w:r>
      <w:r>
        <w:rPr>
          <w:rFonts w:hint="eastAsia" w:ascii="仿宋_GB2312" w:eastAsia="仿宋_GB2312" w:hAnsiTheme="minorHAnsi" w:cstheme="minorBidi"/>
          <w:b w:val="0"/>
          <w:bCs w:val="0"/>
          <w:sz w:val="28"/>
          <w:szCs w:val="28"/>
        </w:rPr>
        <w:cr/>
      </w:r>
      <w:r>
        <w:rPr>
          <w:rFonts w:hint="eastAsia" w:ascii="仿宋_GB2312" w:eastAsia="仿宋_GB2312" w:hAnsiTheme="minorHAnsi" w:cstheme="minorBidi"/>
          <w:b w:val="0"/>
          <w:bCs w:val="0"/>
          <w:sz w:val="28"/>
          <w:szCs w:val="28"/>
        </w:rPr>
        <w:t>6.其他资料</w:t>
      </w:r>
      <w:bookmarkEnd w:id="138"/>
      <w:bookmarkEnd w:id="139"/>
    </w:p>
    <w:p>
      <w:pPr>
        <w:pStyle w:val="5"/>
        <w:rPr>
          <w:rFonts w:hint="eastAsia" w:ascii="仿宋_GB2312" w:eastAsia="仿宋_GB2312" w:hAnsiTheme="minorHAnsi" w:cstheme="minorBidi"/>
          <w:b w:val="0"/>
          <w:bCs w:val="0"/>
          <w:sz w:val="28"/>
          <w:szCs w:val="28"/>
        </w:rPr>
      </w:pPr>
    </w:p>
    <w:p>
      <w:pPr>
        <w:pStyle w:val="5"/>
        <w:rPr>
          <w:rFonts w:hint="eastAsia" w:ascii="仿宋_GB2312" w:eastAsia="仿宋_GB2312" w:hAnsiTheme="minorHAnsi" w:cstheme="minorBidi"/>
          <w:b w:val="0"/>
          <w:bCs w:val="0"/>
          <w:sz w:val="28"/>
          <w:szCs w:val="28"/>
        </w:rPr>
      </w:pPr>
    </w:p>
    <w:p>
      <w:pPr>
        <w:rPr>
          <w:rFonts w:hint="eastAsia" w:ascii="仿宋_GB2312" w:eastAsia="仿宋_GB2312" w:hAnsiTheme="minorHAnsi" w:cstheme="minorBidi"/>
          <w:b w:val="0"/>
          <w:bCs w:val="0"/>
          <w:sz w:val="28"/>
          <w:szCs w:val="28"/>
        </w:rPr>
      </w:pPr>
    </w:p>
    <w:p>
      <w:pPr>
        <w:pStyle w:val="25"/>
        <w:rPr>
          <w:rFonts w:hint="eastAsia" w:ascii="仿宋_GB2312" w:eastAsia="仿宋_GB2312" w:hAnsiTheme="minorHAnsi" w:cstheme="minorBidi"/>
          <w:b w:val="0"/>
          <w:bCs w:val="0"/>
          <w:sz w:val="28"/>
          <w:szCs w:val="28"/>
        </w:rPr>
      </w:pPr>
    </w:p>
    <w:p>
      <w:pPr>
        <w:pStyle w:val="25"/>
        <w:rPr>
          <w:rFonts w:hint="eastAsia" w:ascii="仿宋_GB2312" w:eastAsia="仿宋_GB2312" w:hAnsiTheme="minorHAnsi" w:cstheme="minorBidi"/>
          <w:b w:val="0"/>
          <w:bCs w:val="0"/>
          <w:sz w:val="28"/>
          <w:szCs w:val="28"/>
        </w:rPr>
      </w:pPr>
    </w:p>
    <w:p>
      <w:pPr>
        <w:pStyle w:val="25"/>
        <w:ind w:firstLine="0"/>
        <w:rPr>
          <w:rFonts w:hint="eastAsia" w:ascii="仿宋_GB2312" w:eastAsia="仿宋_GB2312" w:hAnsiTheme="minorHAnsi" w:cstheme="minorBidi"/>
          <w:b w:val="0"/>
          <w:bCs w:val="0"/>
          <w:sz w:val="28"/>
          <w:szCs w:val="28"/>
        </w:rPr>
      </w:pPr>
    </w:p>
    <w:p>
      <w:pPr>
        <w:pStyle w:val="5"/>
        <w:rPr>
          <w:rFonts w:hint="eastAsia" w:ascii="仿宋_GB2312" w:eastAsia="仿宋_GB2312" w:hAnsiTheme="minorHAnsi" w:cstheme="minorBidi"/>
          <w:b w:val="0"/>
          <w:bCs w:val="0"/>
          <w:sz w:val="28"/>
          <w:szCs w:val="28"/>
        </w:rPr>
      </w:pPr>
    </w:p>
    <w:p>
      <w:pPr>
        <w:rPr>
          <w:rFonts w:hint="eastAsia" w:ascii="仿宋_GB2312" w:eastAsia="仿宋_GB2312" w:hAnsiTheme="minorHAnsi" w:cstheme="minorBidi"/>
          <w:b w:val="0"/>
          <w:bCs w:val="0"/>
          <w:sz w:val="28"/>
          <w:szCs w:val="28"/>
        </w:rPr>
      </w:pPr>
    </w:p>
    <w:p>
      <w:pPr>
        <w:pStyle w:val="2"/>
        <w:rPr>
          <w:rFonts w:hint="eastAsia" w:ascii="仿宋_GB2312" w:eastAsia="仿宋_GB2312" w:hAnsiTheme="minorHAnsi" w:cstheme="minorBidi"/>
          <w:b w:val="0"/>
          <w:bCs w:val="0"/>
          <w:sz w:val="28"/>
          <w:szCs w:val="28"/>
        </w:rPr>
      </w:pPr>
    </w:p>
    <w:p>
      <w:pPr>
        <w:pStyle w:val="2"/>
        <w:rPr>
          <w:rFonts w:hint="eastAsia" w:ascii="仿宋_GB2312" w:eastAsia="仿宋_GB2312" w:hAnsiTheme="minorHAnsi" w:cstheme="minorBidi"/>
          <w:b w:val="0"/>
          <w:bCs w:val="0"/>
          <w:sz w:val="28"/>
          <w:szCs w:val="28"/>
        </w:rPr>
      </w:pPr>
    </w:p>
    <w:p>
      <w:pPr>
        <w:rPr>
          <w:rFonts w:hint="eastAsia"/>
        </w:rPr>
      </w:pPr>
    </w:p>
    <w:p>
      <w:pPr>
        <w:pStyle w:val="5"/>
        <w:rPr>
          <w:rFonts w:hint="eastAsia" w:ascii="仿宋_GB2312" w:eastAsia="仿宋_GB2312" w:hAnsiTheme="minorHAnsi" w:cstheme="minorBidi"/>
          <w:b w:val="0"/>
          <w:bCs w:val="0"/>
          <w:sz w:val="28"/>
          <w:szCs w:val="28"/>
        </w:rPr>
      </w:pPr>
      <w:bookmarkStart w:id="140" w:name="_Toc87616394"/>
      <w:bookmarkStart w:id="141" w:name="_Toc6313"/>
      <w:bookmarkStart w:id="142" w:name="_Toc88209957"/>
      <w:bookmarkStart w:id="143" w:name="_Toc12665"/>
      <w:bookmarkStart w:id="144" w:name="_Toc28619645"/>
      <w:r>
        <w:rPr>
          <w:rFonts w:hint="eastAsia" w:ascii="仿宋_GB2312" w:eastAsia="仿宋_GB2312" w:hAnsiTheme="minorHAnsi" w:cstheme="minorBidi"/>
          <w:b w:val="0"/>
          <w:bCs w:val="0"/>
          <w:sz w:val="28"/>
          <w:szCs w:val="28"/>
        </w:rPr>
        <w:t>1.响应函</w:t>
      </w:r>
      <w:bookmarkEnd w:id="140"/>
      <w:bookmarkEnd w:id="141"/>
      <w:bookmarkEnd w:id="142"/>
      <w:bookmarkEnd w:id="143"/>
      <w:bookmarkEnd w:id="144"/>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sym w:font="Wingdings 2" w:char="00A3"/>
      </w:r>
      <w:r>
        <w:rPr>
          <w:rFonts w:hint="eastAsia" w:ascii="仿宋_GB2312" w:hAnsi="黑体" w:eastAsia="仿宋_GB2312"/>
          <w:sz w:val="28"/>
          <w:szCs w:val="28"/>
        </w:rPr>
        <w:t>货物</w:t>
      </w:r>
      <w:r>
        <w:rPr>
          <w:rFonts w:hint="eastAsia" w:ascii="仿宋_GB2312" w:eastAsia="仿宋_GB2312" w:hAnsiTheme="minorEastAsia"/>
          <w:sz w:val="28"/>
          <w:szCs w:val="28"/>
        </w:rPr>
        <w:sym w:font="Wingdings 2" w:char="0052"/>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12"/>
      </w:pPr>
    </w:p>
    <w:p>
      <w:pPr>
        <w:pStyle w:val="12"/>
      </w:pPr>
    </w:p>
    <w:p>
      <w:pPr>
        <w:pStyle w:val="12"/>
      </w:pPr>
    </w:p>
    <w:p>
      <w:pPr>
        <w:pStyle w:val="12"/>
      </w:pPr>
    </w:p>
    <w:p>
      <w:pPr>
        <w:pStyle w:val="5"/>
        <w:rPr>
          <w:rFonts w:asciiTheme="minorEastAsia" w:hAnsiTheme="minorEastAsia" w:eastAsiaTheme="minorEastAsia"/>
          <w:sz w:val="28"/>
          <w:szCs w:val="28"/>
        </w:rPr>
      </w:pPr>
      <w:bookmarkStart w:id="145" w:name="_Toc22527"/>
      <w:bookmarkStart w:id="146" w:name="_Toc88209958"/>
      <w:bookmarkStart w:id="147" w:name="_Toc29833"/>
      <w:bookmarkStart w:id="148" w:name="_Toc87616395"/>
      <w:r>
        <w:rPr>
          <w:rFonts w:hint="eastAsia" w:asciiTheme="minorEastAsia" w:hAnsiTheme="minorEastAsia" w:eastAsiaTheme="minorEastAsia"/>
          <w:sz w:val="28"/>
          <w:szCs w:val="28"/>
        </w:rPr>
        <w:t>2.法定代表人证明或授权委托书</w:t>
      </w:r>
      <w:bookmarkEnd w:id="145"/>
      <w:bookmarkEnd w:id="146"/>
      <w:bookmarkEnd w:id="147"/>
      <w:bookmarkEnd w:id="148"/>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5"/>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3"/>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rPr>
      </w:pPr>
    </w:p>
    <w:p>
      <w:pPr>
        <w:pStyle w:val="15"/>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42"/>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5"/>
        <w:rPr>
          <w:rFonts w:ascii="仿宋_GB2312" w:eastAsia="仿宋_GB2312"/>
          <w:color w:val="auto"/>
          <w:sz w:val="30"/>
          <w:szCs w:val="30"/>
        </w:rPr>
      </w:pPr>
    </w:p>
    <w:p>
      <w:pPr>
        <w:pStyle w:val="25"/>
        <w:rPr>
          <w:rFonts w:ascii="仿宋_GB2312" w:eastAsia="仿宋_GB2312"/>
          <w:color w:val="auto"/>
          <w:sz w:val="30"/>
          <w:szCs w:val="30"/>
        </w:rPr>
      </w:pPr>
    </w:p>
    <w:p>
      <w:pPr>
        <w:pStyle w:val="25"/>
        <w:rPr>
          <w:rFonts w:ascii="仿宋_GB2312" w:eastAsia="仿宋_GB2312"/>
          <w:color w:val="auto"/>
          <w:sz w:val="30"/>
          <w:szCs w:val="30"/>
        </w:rPr>
      </w:pPr>
    </w:p>
    <w:p>
      <w:pPr>
        <w:pStyle w:val="25"/>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5"/>
        <w:rPr>
          <w:color w:val="auto"/>
        </w:rPr>
      </w:pPr>
    </w:p>
    <w:p>
      <w:pPr>
        <w:pStyle w:val="25"/>
        <w:rPr>
          <w:color w:val="auto"/>
        </w:rPr>
      </w:pPr>
    </w:p>
    <w:p>
      <w:pPr>
        <w:pStyle w:val="25"/>
        <w:rPr>
          <w:color w:val="auto"/>
        </w:rPr>
      </w:pPr>
    </w:p>
    <w:p>
      <w:pPr>
        <w:pStyle w:val="25"/>
        <w:rPr>
          <w:color w:val="auto"/>
        </w:rPr>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9" w:name="_Toc8086"/>
      <w:bookmarkStart w:id="150" w:name="_Toc88209963"/>
      <w:bookmarkStart w:id="151" w:name="_Toc19830"/>
      <w:bookmarkStart w:id="152"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9"/>
      <w:bookmarkEnd w:id="150"/>
      <w:bookmarkEnd w:id="151"/>
      <w:bookmarkEnd w:id="152"/>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53"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3"/>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left="479" w:leftChars="228"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GB"/>
        </w:rPr>
        <w:t>我方郑重承诺，在参与广州市净水有限公司</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GB"/>
        </w:rPr>
        <w:t>项目</w:t>
      </w:r>
      <w:r>
        <w:rPr>
          <w:rFonts w:hint="eastAsia" w:ascii="仿宋_GB2312" w:hAnsi="仿宋_GB2312" w:eastAsia="仿宋_GB2312" w:cs="仿宋_GB2312"/>
          <w:sz w:val="28"/>
          <w:szCs w:val="28"/>
          <w:u w:val="single"/>
          <w:lang w:val="en-GB"/>
        </w:rPr>
        <w:t>（项目编号： ******）</w:t>
      </w:r>
      <w:r>
        <w:rPr>
          <w:rFonts w:hint="eastAsia" w:ascii="仿宋_GB2312" w:hAnsi="仿宋_GB2312" w:eastAsia="仿宋_GB2312" w:cs="仿宋_GB2312"/>
          <w:sz w:val="28"/>
          <w:szCs w:val="28"/>
          <w:lang w:val="en-GB"/>
        </w:rPr>
        <w:t>采购期间，未被</w:t>
      </w:r>
      <w:r>
        <w:rPr>
          <w:rFonts w:hint="eastAsia" w:ascii="仿宋_GB2312" w:hAnsi="仿宋_GB2312" w:eastAsia="仿宋_GB2312" w:cs="仿宋_GB2312"/>
          <w:sz w:val="28"/>
          <w:szCs w:val="28"/>
        </w:rPr>
        <w:t>列入下列情形之一：</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（1）与本项目其他供应商的单位负责人为同一人。</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（2）与本项目其他供应商存在控股或管理关系。</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（3）被本项目所在地省级以上行业主管部门依法暂停、取消投标或禁止参加采购活动且处于有效期内的。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（4）处于被责令停产停业、暂扣或者吊销执照、暂扣或者吊销许可证、吊销资质证书状态。</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（5）进入清算程序，或被宣告破产，或其他丧失履约能力情形的。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（6）近三年内因发生质量或安全生产事故等受到行政处罚且在处罚期内的。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（7）被最高人民法院在“信用中国”网站（www.creditchina.gov.cn）或各级信用信息共享平台中列入失信被执行人名单。</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（8）被“全国企业信用信息公示系统”（网址：http://www.gsxt.gov.cn/）</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列入经营异常名录和严重违法企业名单。</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（9）被“信用广州”网站纳入失信被执行人名单（失信黑名单）。</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（10）被纳入本项目采购人（包括市水投集团及相关所属企业）书面限制参与采购活动且处于有效期内的。</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（11）其他违法违纪行为，经审查认为不宜被邀请参加采购活动的。</w:t>
      </w:r>
    </w:p>
    <w:p>
      <w:pPr>
        <w:adjustRightInd w:val="0"/>
        <w:snapToGrid w:val="0"/>
        <w:spacing w:line="360" w:lineRule="auto"/>
        <w:rPr>
          <w:rFonts w:hint="eastAsia"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5"/>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5"/>
        <w:rPr>
          <w:rFonts w:ascii="仿宋_GB2312" w:eastAsia="仿宋_GB2312" w:hAnsiTheme="minorEastAsia"/>
          <w:color w:val="auto"/>
          <w:sz w:val="28"/>
          <w:szCs w:val="28"/>
        </w:rPr>
      </w:pPr>
    </w:p>
    <w:p>
      <w:pPr>
        <w:pStyle w:val="25"/>
        <w:rPr>
          <w:rFonts w:ascii="仿宋_GB2312" w:eastAsia="仿宋_GB2312" w:hAnsiTheme="minorEastAsia"/>
          <w:color w:val="auto"/>
          <w:sz w:val="28"/>
          <w:szCs w:val="28"/>
        </w:rPr>
      </w:pPr>
    </w:p>
    <w:p>
      <w:pPr>
        <w:adjustRightInd w:val="0"/>
        <w:snapToGrid w:val="0"/>
        <w:spacing w:line="600" w:lineRule="exact"/>
        <w:ind w:firstLine="570"/>
        <w:rPr>
          <w:rFonts w:ascii="仿宋_GB2312" w:eastAsia="仿宋_GB2312" w:hAnsiTheme="minorEastAsia"/>
          <w:sz w:val="28"/>
          <w:szCs w:val="28"/>
        </w:rPr>
      </w:pPr>
    </w:p>
    <w:p>
      <w:pPr>
        <w:pStyle w:val="5"/>
        <w:rPr>
          <w:rFonts w:asciiTheme="majorEastAsia" w:hAnsiTheme="majorEastAsia" w:eastAsiaTheme="majorEastAsia"/>
          <w:sz w:val="28"/>
          <w:szCs w:val="28"/>
        </w:rPr>
      </w:pPr>
      <w:bookmarkStart w:id="154" w:name="_Toc6058"/>
      <w:bookmarkStart w:id="155" w:name="_Toc88209965"/>
      <w:bookmarkStart w:id="156" w:name="_Toc87616402"/>
      <w:bookmarkStart w:id="157" w:name="_Toc16386"/>
      <w:r>
        <w:rPr>
          <w:rFonts w:hint="eastAsia" w:eastAsiaTheme="majorEastAsia"/>
          <w:lang w:val="en-US" w:eastAsia="zh-CN"/>
        </w:rPr>
        <w:t>5</w:t>
      </w:r>
      <w:r>
        <w:rPr>
          <w:rFonts w:hint="eastAsia" w:asciiTheme="majorEastAsia" w:hAnsiTheme="majorEastAsia" w:eastAsiaTheme="majorEastAsia"/>
          <w:sz w:val="28"/>
          <w:szCs w:val="28"/>
        </w:rPr>
        <w:t>.其他资料</w:t>
      </w:r>
      <w:bookmarkEnd w:id="154"/>
      <w:bookmarkEnd w:id="155"/>
      <w:bookmarkEnd w:id="156"/>
      <w:bookmarkEnd w:id="157"/>
    </w:p>
    <w:p>
      <w:pPr>
        <w:adjustRightInd w:val="0"/>
        <w:snapToGrid w:val="0"/>
        <w:spacing w:line="600" w:lineRule="exact"/>
        <w:ind w:firstLine="560" w:firstLineChars="200"/>
        <w:rPr>
          <w:rFonts w:hint="eastAsia" w:ascii="仿宋_GB2312" w:eastAsia="仿宋_GB2312" w:hAnsiTheme="minorEastAsia"/>
          <w:sz w:val="28"/>
          <w:szCs w:val="28"/>
          <w:lang w:eastAsia="zh-CN"/>
        </w:rPr>
      </w:pPr>
      <w:r>
        <w:rPr>
          <w:rFonts w:hint="eastAsia" w:ascii="仿宋_GB2312" w:hAnsi="仿宋_GB2312" w:eastAsia="仿宋_GB2312" w:cs="仿宋_GB2312"/>
          <w:color w:val="000000"/>
          <w:sz w:val="28"/>
          <w:szCs w:val="28"/>
          <w:u w:val="none"/>
          <w:lang w:val="zh-CN"/>
        </w:rPr>
        <w:t>（</w:t>
      </w: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lang w:val="zh-CN"/>
        </w:rPr>
        <w:t>）</w:t>
      </w:r>
      <w:r>
        <w:rPr>
          <w:rFonts w:hint="eastAsia" w:ascii="仿宋_GB2312" w:eastAsia="仿宋_GB2312"/>
          <w:sz w:val="28"/>
          <w:szCs w:val="28"/>
        </w:rPr>
        <w:t>项目负责人</w:t>
      </w:r>
      <w:r>
        <w:rPr>
          <w:rFonts w:hint="eastAsia" w:ascii="仿宋_GB2312" w:eastAsia="仿宋_GB2312"/>
          <w:sz w:val="28"/>
          <w:szCs w:val="28"/>
          <w:lang w:val="en-US" w:eastAsia="zh-CN"/>
        </w:rPr>
        <w:t>及驻场人员须</w:t>
      </w:r>
      <w:r>
        <w:rPr>
          <w:rFonts w:ascii="仿宋_GB2312" w:hAnsi="仿宋_GB2312" w:eastAsia="仿宋_GB2312" w:cs="仿宋_GB2312"/>
          <w:color w:val="000000"/>
          <w:sz w:val="28"/>
          <w:szCs w:val="28"/>
          <w:u w:val="none"/>
          <w:lang w:val="zh-CN"/>
        </w:rPr>
        <w:t>提供</w:t>
      </w:r>
      <w:r>
        <w:rPr>
          <w:rFonts w:hint="eastAsia" w:ascii="仿宋_GB2312" w:hAnsi="仿宋_GB2312" w:eastAsia="仿宋_GB2312" w:cs="仿宋_GB2312"/>
          <w:color w:val="000000"/>
          <w:sz w:val="28"/>
          <w:szCs w:val="28"/>
          <w:u w:val="none"/>
          <w:lang w:val="zh-CN"/>
        </w:rPr>
        <w:t>在本单位近三个月社保记录，（以加盖社会保险基金管理中心印章的《缴费历史明细表》或《社会保险参保人员证明》为准，加盖单位公章</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p>
    <w:p>
      <w:pPr>
        <w:pStyle w:val="25"/>
        <w:ind w:firstLine="560" w:firstLineChars="200"/>
        <w:rPr>
          <w:rFonts w:hint="eastAsia" w:ascii="仿宋_GB2312" w:hAnsi="仿宋_GB2312" w:eastAsia="仿宋_GB2312" w:cs="仿宋_GB2312"/>
          <w:color w:val="000000"/>
          <w:sz w:val="28"/>
          <w:szCs w:val="28"/>
          <w:u w:val="none"/>
          <w:lang w:val="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ascii="仿宋_GB2312" w:hAnsi="仿宋_GB2312" w:eastAsia="仿宋_GB2312" w:cs="仿宋_GB2312"/>
          <w:color w:val="000000"/>
          <w:sz w:val="28"/>
          <w:szCs w:val="28"/>
          <w:u w:val="none"/>
          <w:lang w:val="zh-CN"/>
        </w:rPr>
        <w:t>项目</w:t>
      </w:r>
      <w:r>
        <w:rPr>
          <w:rFonts w:hint="eastAsia" w:ascii="仿宋_GB2312" w:hAnsi="仿宋_GB2312" w:eastAsia="仿宋_GB2312" w:cs="仿宋_GB2312"/>
          <w:color w:val="000000"/>
          <w:sz w:val="28"/>
          <w:szCs w:val="28"/>
          <w:u w:val="none"/>
        </w:rPr>
        <w:t>负责人</w:t>
      </w:r>
      <w:r>
        <w:rPr>
          <w:rFonts w:ascii="仿宋_GB2312" w:hAnsi="仿宋_GB2312" w:eastAsia="仿宋_GB2312" w:cs="仿宋_GB2312"/>
          <w:color w:val="000000"/>
          <w:sz w:val="28"/>
          <w:szCs w:val="28"/>
          <w:u w:val="none"/>
          <w:lang w:val="zh-CN"/>
        </w:rPr>
        <w:t>须具备</w:t>
      </w:r>
      <w:r>
        <w:rPr>
          <w:rFonts w:hint="eastAsia" w:ascii="仿宋_GB2312" w:hAnsi="仿宋_GB2312" w:eastAsia="仿宋_GB2312" w:cs="仿宋_GB2312"/>
          <w:color w:val="000000"/>
          <w:sz w:val="28"/>
          <w:szCs w:val="28"/>
          <w:u w:val="none"/>
          <w:lang w:val="en-US" w:eastAsia="zh-CN"/>
        </w:rPr>
        <w:t>思科认证网络工程师（CCIE）</w:t>
      </w:r>
      <w:r>
        <w:rPr>
          <w:rFonts w:ascii="仿宋_GB2312" w:hAnsi="仿宋_GB2312" w:eastAsia="仿宋_GB2312" w:cs="仿宋_GB2312"/>
          <w:color w:val="000000"/>
          <w:sz w:val="28"/>
          <w:szCs w:val="28"/>
          <w:u w:val="none"/>
          <w:lang w:val="zh-CN"/>
        </w:rPr>
        <w:t>或者</w:t>
      </w:r>
      <w:r>
        <w:rPr>
          <w:rFonts w:hint="eastAsia" w:ascii="仿宋_GB2312" w:hAnsi="仿宋_GB2312" w:eastAsia="仿宋_GB2312" w:cs="仿宋_GB2312"/>
          <w:color w:val="000000"/>
          <w:sz w:val="28"/>
          <w:szCs w:val="28"/>
          <w:u w:val="none"/>
          <w:lang w:val="en-US" w:eastAsia="zh-CN"/>
        </w:rPr>
        <w:t>华为认证网络工程师(HCIE)</w:t>
      </w:r>
      <w:r>
        <w:rPr>
          <w:rFonts w:hint="eastAsia" w:ascii="仿宋_GB2312" w:hAnsi="仿宋_GB2312" w:eastAsia="仿宋_GB2312" w:cs="仿宋_GB2312"/>
          <w:color w:val="000000"/>
          <w:sz w:val="28"/>
          <w:szCs w:val="28"/>
          <w:u w:val="none"/>
          <w:lang w:val="zh-CN"/>
        </w:rPr>
        <w:t>；驻场</w:t>
      </w:r>
      <w:r>
        <w:rPr>
          <w:rFonts w:ascii="仿宋_GB2312" w:hAnsi="仿宋_GB2312" w:eastAsia="仿宋_GB2312" w:cs="仿宋_GB2312"/>
          <w:color w:val="000000"/>
          <w:sz w:val="28"/>
          <w:szCs w:val="28"/>
          <w:u w:val="none"/>
          <w:lang w:val="zh-CN"/>
        </w:rPr>
        <w:t>服务人员须具备</w:t>
      </w:r>
      <w:r>
        <w:rPr>
          <w:rFonts w:hint="eastAsia" w:ascii="仿宋_GB2312" w:hAnsi="仿宋_GB2312" w:eastAsia="仿宋_GB2312" w:cs="仿宋_GB2312"/>
          <w:color w:val="000000"/>
          <w:sz w:val="28"/>
          <w:szCs w:val="28"/>
          <w:u w:val="none"/>
          <w:lang w:val="en-US" w:eastAsia="zh-CN"/>
        </w:rPr>
        <w:t>思科认证网络工程师（CCNA）</w:t>
      </w:r>
      <w:r>
        <w:rPr>
          <w:rFonts w:ascii="仿宋_GB2312" w:hAnsi="仿宋_GB2312" w:eastAsia="仿宋_GB2312" w:cs="仿宋_GB2312"/>
          <w:color w:val="000000"/>
          <w:sz w:val="28"/>
          <w:szCs w:val="28"/>
          <w:u w:val="none"/>
          <w:lang w:val="zh-CN"/>
        </w:rPr>
        <w:t>或者</w:t>
      </w:r>
      <w:r>
        <w:rPr>
          <w:rFonts w:hint="eastAsia" w:ascii="仿宋_GB2312" w:hAnsi="仿宋_GB2312" w:eastAsia="仿宋_GB2312" w:cs="仿宋_GB2312"/>
          <w:color w:val="000000"/>
          <w:sz w:val="28"/>
          <w:szCs w:val="28"/>
          <w:u w:val="none"/>
          <w:lang w:val="en-US" w:eastAsia="zh-CN"/>
        </w:rPr>
        <w:t>华为认证网络工程师(HCIA)或更高认证</w:t>
      </w:r>
      <w:r>
        <w:rPr>
          <w:rFonts w:hint="eastAsia" w:ascii="仿宋_GB2312" w:hAnsi="仿宋_GB2312" w:eastAsia="仿宋_GB2312" w:cs="仿宋_GB2312"/>
          <w:color w:val="000000"/>
          <w:sz w:val="28"/>
          <w:szCs w:val="28"/>
          <w:u w:val="none"/>
          <w:lang w:val="zh-CN"/>
        </w:rPr>
        <w:t>。</w:t>
      </w:r>
    </w:p>
    <w:p>
      <w:pPr>
        <w:pStyle w:val="25"/>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none"/>
          <w:lang w:val="en-US" w:eastAsia="zh-CN"/>
        </w:rPr>
        <w:t>（3）</w:t>
      </w:r>
      <w:r>
        <w:rPr>
          <w:rFonts w:hint="eastAsia" w:ascii="仿宋_GB2312" w:eastAsia="仿宋_GB2312"/>
          <w:color w:val="auto"/>
          <w:sz w:val="28"/>
          <w:szCs w:val="28"/>
          <w:lang w:val="en-US" w:eastAsia="zh-CN"/>
        </w:rPr>
        <w:t>提供响应承诺书。</w:t>
      </w:r>
    </w:p>
    <w:p>
      <w:pPr>
        <w:pStyle w:val="25"/>
        <w:numPr>
          <w:ilvl w:val="-1"/>
          <w:numId w:val="0"/>
        </w:numPr>
        <w:ind w:firstLine="0" w:firstLineChars="0"/>
        <w:rPr>
          <w:rFonts w:hint="eastAsia" w:ascii="仿宋" w:hAnsi="仿宋" w:eastAsia="仿宋"/>
        </w:rPr>
      </w:pPr>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abstractNum w:abstractNumId="3">
    <w:nsid w:val="7CD89373"/>
    <w:multiLevelType w:val="singleLevel"/>
    <w:tmpl w:val="7CD89373"/>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5D618A"/>
    <w:rsid w:val="00313399"/>
    <w:rsid w:val="003532B4"/>
    <w:rsid w:val="003A2BFA"/>
    <w:rsid w:val="003B70DD"/>
    <w:rsid w:val="003D60BA"/>
    <w:rsid w:val="003F1C7C"/>
    <w:rsid w:val="00411689"/>
    <w:rsid w:val="005D3508"/>
    <w:rsid w:val="005D618A"/>
    <w:rsid w:val="006132FF"/>
    <w:rsid w:val="00645C0D"/>
    <w:rsid w:val="008C278A"/>
    <w:rsid w:val="008C6FDB"/>
    <w:rsid w:val="00911ECD"/>
    <w:rsid w:val="00A042E0"/>
    <w:rsid w:val="00B0575D"/>
    <w:rsid w:val="00B26BB1"/>
    <w:rsid w:val="00B26E21"/>
    <w:rsid w:val="00E75DAF"/>
    <w:rsid w:val="00F81BED"/>
    <w:rsid w:val="00F83B64"/>
    <w:rsid w:val="01204C7B"/>
    <w:rsid w:val="013E3461"/>
    <w:rsid w:val="01582AFF"/>
    <w:rsid w:val="01A048D7"/>
    <w:rsid w:val="02090C75"/>
    <w:rsid w:val="02621332"/>
    <w:rsid w:val="027C3EFF"/>
    <w:rsid w:val="02A23A3C"/>
    <w:rsid w:val="035D130A"/>
    <w:rsid w:val="039110A9"/>
    <w:rsid w:val="03AC246A"/>
    <w:rsid w:val="03B23056"/>
    <w:rsid w:val="03DC3EBA"/>
    <w:rsid w:val="03F9794D"/>
    <w:rsid w:val="046A2461"/>
    <w:rsid w:val="049D26F0"/>
    <w:rsid w:val="04D17A49"/>
    <w:rsid w:val="051C2970"/>
    <w:rsid w:val="055C2183"/>
    <w:rsid w:val="060C3611"/>
    <w:rsid w:val="06101C37"/>
    <w:rsid w:val="0645506A"/>
    <w:rsid w:val="06864F4E"/>
    <w:rsid w:val="06AB6E7F"/>
    <w:rsid w:val="06C64829"/>
    <w:rsid w:val="077D16D2"/>
    <w:rsid w:val="07CA524F"/>
    <w:rsid w:val="082A69F3"/>
    <w:rsid w:val="08675FC8"/>
    <w:rsid w:val="089D1FAA"/>
    <w:rsid w:val="09B713FD"/>
    <w:rsid w:val="09EF6ACC"/>
    <w:rsid w:val="0A186229"/>
    <w:rsid w:val="0A315056"/>
    <w:rsid w:val="0AA213B4"/>
    <w:rsid w:val="0AA54B4B"/>
    <w:rsid w:val="0AA92452"/>
    <w:rsid w:val="0AF61C7E"/>
    <w:rsid w:val="0AFB45AD"/>
    <w:rsid w:val="0B351E9B"/>
    <w:rsid w:val="0B4C50D3"/>
    <w:rsid w:val="0B806B92"/>
    <w:rsid w:val="0B827E94"/>
    <w:rsid w:val="0B842F76"/>
    <w:rsid w:val="0BD070E1"/>
    <w:rsid w:val="0C247926"/>
    <w:rsid w:val="0D794204"/>
    <w:rsid w:val="0E2125D1"/>
    <w:rsid w:val="0E214211"/>
    <w:rsid w:val="0E3C7FDF"/>
    <w:rsid w:val="0E5F2769"/>
    <w:rsid w:val="0F4D75A3"/>
    <w:rsid w:val="0F5B2DCA"/>
    <w:rsid w:val="0F9A2F87"/>
    <w:rsid w:val="0FED051E"/>
    <w:rsid w:val="0FEE4C29"/>
    <w:rsid w:val="10031608"/>
    <w:rsid w:val="10046082"/>
    <w:rsid w:val="102A7512"/>
    <w:rsid w:val="111703D2"/>
    <w:rsid w:val="112B101A"/>
    <w:rsid w:val="11481B03"/>
    <w:rsid w:val="11570D79"/>
    <w:rsid w:val="119B53FC"/>
    <w:rsid w:val="11D018AD"/>
    <w:rsid w:val="12424CDC"/>
    <w:rsid w:val="129A2738"/>
    <w:rsid w:val="12B56BF1"/>
    <w:rsid w:val="12CB1A89"/>
    <w:rsid w:val="131840FB"/>
    <w:rsid w:val="13467417"/>
    <w:rsid w:val="136E76CF"/>
    <w:rsid w:val="145F08C6"/>
    <w:rsid w:val="148D0AFA"/>
    <w:rsid w:val="15776308"/>
    <w:rsid w:val="15BC6B3C"/>
    <w:rsid w:val="164D40B0"/>
    <w:rsid w:val="166B2594"/>
    <w:rsid w:val="167A10B0"/>
    <w:rsid w:val="1694429A"/>
    <w:rsid w:val="17635326"/>
    <w:rsid w:val="18236EFD"/>
    <w:rsid w:val="189D5B1F"/>
    <w:rsid w:val="18A34CD0"/>
    <w:rsid w:val="19A53EA8"/>
    <w:rsid w:val="19B64DBC"/>
    <w:rsid w:val="1A373ACF"/>
    <w:rsid w:val="1A7444DE"/>
    <w:rsid w:val="1A895341"/>
    <w:rsid w:val="1B0D071F"/>
    <w:rsid w:val="1B4568CE"/>
    <w:rsid w:val="1B9015B7"/>
    <w:rsid w:val="1BF54245"/>
    <w:rsid w:val="1D0E6976"/>
    <w:rsid w:val="1D5A79EE"/>
    <w:rsid w:val="1E0E2CD0"/>
    <w:rsid w:val="1E755784"/>
    <w:rsid w:val="1E831280"/>
    <w:rsid w:val="1EBC4704"/>
    <w:rsid w:val="1F172EB5"/>
    <w:rsid w:val="1F94592D"/>
    <w:rsid w:val="1FA30D7E"/>
    <w:rsid w:val="1FB860DE"/>
    <w:rsid w:val="203C5A02"/>
    <w:rsid w:val="209D4C94"/>
    <w:rsid w:val="20E84705"/>
    <w:rsid w:val="2166706F"/>
    <w:rsid w:val="218400BA"/>
    <w:rsid w:val="21AB1E2F"/>
    <w:rsid w:val="21D40498"/>
    <w:rsid w:val="22767047"/>
    <w:rsid w:val="22A61919"/>
    <w:rsid w:val="23A05588"/>
    <w:rsid w:val="23E710DF"/>
    <w:rsid w:val="23F6689A"/>
    <w:rsid w:val="240476A1"/>
    <w:rsid w:val="25431AEB"/>
    <w:rsid w:val="25BF43FD"/>
    <w:rsid w:val="25F86BCD"/>
    <w:rsid w:val="2605748B"/>
    <w:rsid w:val="26365714"/>
    <w:rsid w:val="269E416A"/>
    <w:rsid w:val="272100D3"/>
    <w:rsid w:val="272C72FC"/>
    <w:rsid w:val="275131CB"/>
    <w:rsid w:val="27EB149D"/>
    <w:rsid w:val="27FD3E52"/>
    <w:rsid w:val="28535BE9"/>
    <w:rsid w:val="28E11370"/>
    <w:rsid w:val="294A756A"/>
    <w:rsid w:val="29781BF8"/>
    <w:rsid w:val="29B23A7E"/>
    <w:rsid w:val="29C33ED0"/>
    <w:rsid w:val="29D5322D"/>
    <w:rsid w:val="2A025DD9"/>
    <w:rsid w:val="2A2619CB"/>
    <w:rsid w:val="2A7C2231"/>
    <w:rsid w:val="2ABB753D"/>
    <w:rsid w:val="2B7A49FA"/>
    <w:rsid w:val="2C135D75"/>
    <w:rsid w:val="2C424B60"/>
    <w:rsid w:val="2C615D26"/>
    <w:rsid w:val="2CB679ED"/>
    <w:rsid w:val="2D173C07"/>
    <w:rsid w:val="2D424A86"/>
    <w:rsid w:val="2E7B52DB"/>
    <w:rsid w:val="2F324CFE"/>
    <w:rsid w:val="2FB97E5C"/>
    <w:rsid w:val="2FBA09F1"/>
    <w:rsid w:val="2FD21AEF"/>
    <w:rsid w:val="2FEF2ACF"/>
    <w:rsid w:val="30540211"/>
    <w:rsid w:val="31112A0D"/>
    <w:rsid w:val="311F4B20"/>
    <w:rsid w:val="312D7741"/>
    <w:rsid w:val="316F137F"/>
    <w:rsid w:val="31DF525F"/>
    <w:rsid w:val="31EC162B"/>
    <w:rsid w:val="32324C2E"/>
    <w:rsid w:val="327171DF"/>
    <w:rsid w:val="33763D62"/>
    <w:rsid w:val="337B00C1"/>
    <w:rsid w:val="33F24C76"/>
    <w:rsid w:val="341E3434"/>
    <w:rsid w:val="347904EA"/>
    <w:rsid w:val="349A5E62"/>
    <w:rsid w:val="34BB4442"/>
    <w:rsid w:val="35533FC0"/>
    <w:rsid w:val="35AC1C74"/>
    <w:rsid w:val="360B7EBA"/>
    <w:rsid w:val="369C32FD"/>
    <w:rsid w:val="37666E72"/>
    <w:rsid w:val="38081EA3"/>
    <w:rsid w:val="380A3360"/>
    <w:rsid w:val="38167A04"/>
    <w:rsid w:val="394B167A"/>
    <w:rsid w:val="39DA2868"/>
    <w:rsid w:val="3A375265"/>
    <w:rsid w:val="3A43706A"/>
    <w:rsid w:val="3A4E4336"/>
    <w:rsid w:val="3A6007FE"/>
    <w:rsid w:val="3AF93D6C"/>
    <w:rsid w:val="3B7C2CE4"/>
    <w:rsid w:val="3B8C3C27"/>
    <w:rsid w:val="3BAF716B"/>
    <w:rsid w:val="3C0B5355"/>
    <w:rsid w:val="3CD4176B"/>
    <w:rsid w:val="3D02223C"/>
    <w:rsid w:val="3D1F44D9"/>
    <w:rsid w:val="3D5C38CD"/>
    <w:rsid w:val="3E5070F1"/>
    <w:rsid w:val="3EBC3CE5"/>
    <w:rsid w:val="3EC058A1"/>
    <w:rsid w:val="3F6C3589"/>
    <w:rsid w:val="3F850180"/>
    <w:rsid w:val="3F9004D6"/>
    <w:rsid w:val="400E4D5E"/>
    <w:rsid w:val="4031039F"/>
    <w:rsid w:val="40E1138C"/>
    <w:rsid w:val="413814BA"/>
    <w:rsid w:val="41872511"/>
    <w:rsid w:val="424236D9"/>
    <w:rsid w:val="42466655"/>
    <w:rsid w:val="42C82F57"/>
    <w:rsid w:val="42EC12E5"/>
    <w:rsid w:val="435707E5"/>
    <w:rsid w:val="43673D90"/>
    <w:rsid w:val="43BB09D8"/>
    <w:rsid w:val="43C76AF7"/>
    <w:rsid w:val="44131C9D"/>
    <w:rsid w:val="446828F0"/>
    <w:rsid w:val="45093E85"/>
    <w:rsid w:val="455B571C"/>
    <w:rsid w:val="45BA5C48"/>
    <w:rsid w:val="45C13B4D"/>
    <w:rsid w:val="46054BCA"/>
    <w:rsid w:val="464C6AFC"/>
    <w:rsid w:val="468B0091"/>
    <w:rsid w:val="46A107C3"/>
    <w:rsid w:val="46B15CE2"/>
    <w:rsid w:val="46BE113D"/>
    <w:rsid w:val="46E44B13"/>
    <w:rsid w:val="4703508A"/>
    <w:rsid w:val="475023F8"/>
    <w:rsid w:val="479D361E"/>
    <w:rsid w:val="47B74789"/>
    <w:rsid w:val="47E50863"/>
    <w:rsid w:val="480F2B9D"/>
    <w:rsid w:val="48282920"/>
    <w:rsid w:val="485321E0"/>
    <w:rsid w:val="48546AD3"/>
    <w:rsid w:val="48CA4868"/>
    <w:rsid w:val="48F005D3"/>
    <w:rsid w:val="49547ADD"/>
    <w:rsid w:val="49732351"/>
    <w:rsid w:val="498F4AF1"/>
    <w:rsid w:val="49C05787"/>
    <w:rsid w:val="49CF518D"/>
    <w:rsid w:val="4A262109"/>
    <w:rsid w:val="4ABD120A"/>
    <w:rsid w:val="4ADA1F63"/>
    <w:rsid w:val="4AE23D89"/>
    <w:rsid w:val="4B2038D0"/>
    <w:rsid w:val="4B296E7D"/>
    <w:rsid w:val="4B79394E"/>
    <w:rsid w:val="4B877F28"/>
    <w:rsid w:val="4D40373A"/>
    <w:rsid w:val="4D916BA6"/>
    <w:rsid w:val="4DC44169"/>
    <w:rsid w:val="4DE24E21"/>
    <w:rsid w:val="4DF536C2"/>
    <w:rsid w:val="4E1B19A3"/>
    <w:rsid w:val="4EC27A44"/>
    <w:rsid w:val="4ED86741"/>
    <w:rsid w:val="4EF0709E"/>
    <w:rsid w:val="4F0469A4"/>
    <w:rsid w:val="4F4A0D53"/>
    <w:rsid w:val="513C6A7B"/>
    <w:rsid w:val="532D486F"/>
    <w:rsid w:val="5333545B"/>
    <w:rsid w:val="538D0E89"/>
    <w:rsid w:val="5412284C"/>
    <w:rsid w:val="5450213C"/>
    <w:rsid w:val="548F7771"/>
    <w:rsid w:val="54D24048"/>
    <w:rsid w:val="54D64CD5"/>
    <w:rsid w:val="5526697E"/>
    <w:rsid w:val="55386177"/>
    <w:rsid w:val="55887D69"/>
    <w:rsid w:val="55C73889"/>
    <w:rsid w:val="561A0928"/>
    <w:rsid w:val="56423872"/>
    <w:rsid w:val="56B279F0"/>
    <w:rsid w:val="57376EC9"/>
    <w:rsid w:val="579D710E"/>
    <w:rsid w:val="581F22F6"/>
    <w:rsid w:val="583918F7"/>
    <w:rsid w:val="586E1E17"/>
    <w:rsid w:val="58862C35"/>
    <w:rsid w:val="58C14957"/>
    <w:rsid w:val="58CC23D2"/>
    <w:rsid w:val="59EF5F1A"/>
    <w:rsid w:val="5AE83A50"/>
    <w:rsid w:val="5B0922EB"/>
    <w:rsid w:val="5B353193"/>
    <w:rsid w:val="5BAB2917"/>
    <w:rsid w:val="5BFC33FA"/>
    <w:rsid w:val="5C3107A4"/>
    <w:rsid w:val="5C3B1B93"/>
    <w:rsid w:val="5C9220DF"/>
    <w:rsid w:val="5D4A15F3"/>
    <w:rsid w:val="5D69542A"/>
    <w:rsid w:val="5D783B72"/>
    <w:rsid w:val="5E0930EF"/>
    <w:rsid w:val="5E3D4D53"/>
    <w:rsid w:val="5E4717E6"/>
    <w:rsid w:val="5E55774C"/>
    <w:rsid w:val="5ECC63A2"/>
    <w:rsid w:val="5ED57D2E"/>
    <w:rsid w:val="5FB32692"/>
    <w:rsid w:val="60045F96"/>
    <w:rsid w:val="60104DDC"/>
    <w:rsid w:val="605C0804"/>
    <w:rsid w:val="60671748"/>
    <w:rsid w:val="6189617B"/>
    <w:rsid w:val="61B52BB6"/>
    <w:rsid w:val="61B749C2"/>
    <w:rsid w:val="62280D20"/>
    <w:rsid w:val="62CA2457"/>
    <w:rsid w:val="638240A1"/>
    <w:rsid w:val="63833423"/>
    <w:rsid w:val="63A5257B"/>
    <w:rsid w:val="63BD3DCC"/>
    <w:rsid w:val="63C61741"/>
    <w:rsid w:val="63F221D3"/>
    <w:rsid w:val="640F230E"/>
    <w:rsid w:val="643760BD"/>
    <w:rsid w:val="64560967"/>
    <w:rsid w:val="6462230A"/>
    <w:rsid w:val="656B1D10"/>
    <w:rsid w:val="65B841F9"/>
    <w:rsid w:val="66022B28"/>
    <w:rsid w:val="664A38E2"/>
    <w:rsid w:val="66581E87"/>
    <w:rsid w:val="66E53A79"/>
    <w:rsid w:val="66FA11D5"/>
    <w:rsid w:val="674302C7"/>
    <w:rsid w:val="680A5986"/>
    <w:rsid w:val="680D5F4B"/>
    <w:rsid w:val="68113F51"/>
    <w:rsid w:val="68E94770"/>
    <w:rsid w:val="68F949C9"/>
    <w:rsid w:val="693629EC"/>
    <w:rsid w:val="695A4290"/>
    <w:rsid w:val="6A17578B"/>
    <w:rsid w:val="6A334932"/>
    <w:rsid w:val="6A3353FF"/>
    <w:rsid w:val="6A5D63E6"/>
    <w:rsid w:val="6A5F24D1"/>
    <w:rsid w:val="6AE347EB"/>
    <w:rsid w:val="6B3E0F58"/>
    <w:rsid w:val="6B434AF0"/>
    <w:rsid w:val="6B57675A"/>
    <w:rsid w:val="6B8535A8"/>
    <w:rsid w:val="6BDD7B4D"/>
    <w:rsid w:val="6C3247BB"/>
    <w:rsid w:val="6E7D517F"/>
    <w:rsid w:val="6EBC0B3A"/>
    <w:rsid w:val="6EF51C7D"/>
    <w:rsid w:val="6F8363E5"/>
    <w:rsid w:val="6FAC3CC5"/>
    <w:rsid w:val="6FC746F5"/>
    <w:rsid w:val="702665D8"/>
    <w:rsid w:val="70317AC6"/>
    <w:rsid w:val="704B26F7"/>
    <w:rsid w:val="70863262"/>
    <w:rsid w:val="70A76ED3"/>
    <w:rsid w:val="710F632D"/>
    <w:rsid w:val="71860B17"/>
    <w:rsid w:val="723B27CC"/>
    <w:rsid w:val="72687227"/>
    <w:rsid w:val="72843735"/>
    <w:rsid w:val="72A03FD9"/>
    <w:rsid w:val="73406CFF"/>
    <w:rsid w:val="7383028C"/>
    <w:rsid w:val="73A25E44"/>
    <w:rsid w:val="73FF42D1"/>
    <w:rsid w:val="741F68CF"/>
    <w:rsid w:val="74293592"/>
    <w:rsid w:val="7476418E"/>
    <w:rsid w:val="74D608ED"/>
    <w:rsid w:val="751649D9"/>
    <w:rsid w:val="75252DF3"/>
    <w:rsid w:val="75621536"/>
    <w:rsid w:val="75BF3154"/>
    <w:rsid w:val="75FD1E6A"/>
    <w:rsid w:val="764A07CF"/>
    <w:rsid w:val="764F6B3D"/>
    <w:rsid w:val="76CD2B7B"/>
    <w:rsid w:val="76D80645"/>
    <w:rsid w:val="76E03371"/>
    <w:rsid w:val="780E5898"/>
    <w:rsid w:val="780E5CFC"/>
    <w:rsid w:val="782642CC"/>
    <w:rsid w:val="7894095E"/>
    <w:rsid w:val="78964555"/>
    <w:rsid w:val="78CF4963"/>
    <w:rsid w:val="79000679"/>
    <w:rsid w:val="793B741F"/>
    <w:rsid w:val="79A416F0"/>
    <w:rsid w:val="79B03EB6"/>
    <w:rsid w:val="7AE15A5C"/>
    <w:rsid w:val="7AF37579"/>
    <w:rsid w:val="7AF87F64"/>
    <w:rsid w:val="7B1C0C84"/>
    <w:rsid w:val="7B5A62DF"/>
    <w:rsid w:val="7B7A04A8"/>
    <w:rsid w:val="7C0C3F6D"/>
    <w:rsid w:val="7C22163C"/>
    <w:rsid w:val="7C457B4B"/>
    <w:rsid w:val="7C595075"/>
    <w:rsid w:val="7C6B07B2"/>
    <w:rsid w:val="7C6F7C9B"/>
    <w:rsid w:val="7D043179"/>
    <w:rsid w:val="7D133243"/>
    <w:rsid w:val="7D660319"/>
    <w:rsid w:val="7D945420"/>
    <w:rsid w:val="7E394207"/>
    <w:rsid w:val="7E4007A2"/>
    <w:rsid w:val="7E791CAD"/>
    <w:rsid w:val="7EA50DFB"/>
    <w:rsid w:val="7EC86878"/>
    <w:rsid w:val="7F16390D"/>
    <w:rsid w:val="7F752917"/>
    <w:rsid w:val="7FA67C9E"/>
    <w:rsid w:val="7FDD218A"/>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6"/>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41"/>
    <w:semiHidden/>
    <w:unhideWhenUsed/>
    <w:qFormat/>
    <w:uiPriority w:val="99"/>
    <w:rPr>
      <w:sz w:val="18"/>
      <w:szCs w:val="18"/>
    </w:rPr>
  </w:style>
  <w:style w:type="paragraph" w:styleId="19">
    <w:name w:val="footer"/>
    <w:basedOn w:val="1"/>
    <w:link w:val="35"/>
    <w:unhideWhenUsed/>
    <w:qFormat/>
    <w:uiPriority w:val="99"/>
    <w:pPr>
      <w:tabs>
        <w:tab w:val="center" w:pos="4153"/>
        <w:tab w:val="right" w:pos="8306"/>
      </w:tabs>
      <w:snapToGrid w:val="0"/>
      <w:jc w:val="left"/>
    </w:pPr>
    <w:rPr>
      <w:sz w:val="18"/>
      <w:szCs w:val="18"/>
    </w:rPr>
  </w:style>
  <w:style w:type="paragraph" w:styleId="20">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Body Text First Indent"/>
    <w:basedOn w:val="10"/>
    <w:qFormat/>
    <w:uiPriority w:val="0"/>
    <w:pPr>
      <w:ind w:firstLine="420" w:firstLineChars="100"/>
    </w:pPr>
  </w:style>
  <w:style w:type="paragraph" w:styleId="25">
    <w:name w:val="Body Text First Indent 2"/>
    <w:basedOn w:val="12"/>
    <w:qFormat/>
    <w:uiPriority w:val="0"/>
    <w:pPr>
      <w:spacing w:line="360" w:lineRule="auto"/>
      <w:ind w:firstLine="420"/>
    </w:pPr>
    <w:rPr>
      <w:rFonts w:eastAsia="等线"/>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style>
  <w:style w:type="character" w:styleId="31">
    <w:name w:val="FollowedHyperlink"/>
    <w:basedOn w:val="28"/>
    <w:semiHidden/>
    <w:unhideWhenUsed/>
    <w:qFormat/>
    <w:uiPriority w:val="99"/>
    <w:rPr>
      <w:color w:val="2777A7"/>
      <w:u w:val="none"/>
    </w:rPr>
  </w:style>
  <w:style w:type="character" w:styleId="32">
    <w:name w:val="Emphasis"/>
    <w:basedOn w:val="28"/>
    <w:qFormat/>
    <w:uiPriority w:val="20"/>
  </w:style>
  <w:style w:type="character" w:styleId="33">
    <w:name w:val="Hyperlink"/>
    <w:basedOn w:val="28"/>
    <w:unhideWhenUsed/>
    <w:qFormat/>
    <w:uiPriority w:val="99"/>
    <w:rPr>
      <w:color w:val="0000FF" w:themeColor="hyperlink"/>
      <w:u w:val="single"/>
      <w14:textFill>
        <w14:solidFill>
          <w14:schemeClr w14:val="hlink"/>
        </w14:solidFill>
      </w14:textFill>
    </w:rPr>
  </w:style>
  <w:style w:type="character" w:customStyle="1" w:styleId="34">
    <w:name w:val="页眉 字符"/>
    <w:basedOn w:val="28"/>
    <w:link w:val="20"/>
    <w:semiHidden/>
    <w:qFormat/>
    <w:uiPriority w:val="99"/>
    <w:rPr>
      <w:sz w:val="18"/>
      <w:szCs w:val="18"/>
    </w:rPr>
  </w:style>
  <w:style w:type="character" w:customStyle="1" w:styleId="35">
    <w:name w:val="页脚 字符"/>
    <w:basedOn w:val="28"/>
    <w:link w:val="19"/>
    <w:qFormat/>
    <w:uiPriority w:val="99"/>
    <w:rPr>
      <w:sz w:val="18"/>
      <w:szCs w:val="18"/>
    </w:rPr>
  </w:style>
  <w:style w:type="character" w:customStyle="1" w:styleId="36">
    <w:name w:val="标题 1 字符"/>
    <w:basedOn w:val="28"/>
    <w:link w:val="3"/>
    <w:qFormat/>
    <w:uiPriority w:val="9"/>
    <w:rPr>
      <w:rFonts w:eastAsia="方正小标宋简体"/>
      <w:bCs/>
      <w:kern w:val="44"/>
      <w:sz w:val="44"/>
      <w:szCs w:val="44"/>
    </w:rPr>
  </w:style>
  <w:style w:type="character" w:customStyle="1" w:styleId="37">
    <w:name w:val="标题 2 字符"/>
    <w:basedOn w:val="28"/>
    <w:link w:val="4"/>
    <w:qFormat/>
    <w:uiPriority w:val="9"/>
    <w:rPr>
      <w:rFonts w:eastAsia="方正小标宋简体" w:asciiTheme="majorHAnsi" w:hAnsiTheme="majorHAnsi" w:cstheme="majorBidi"/>
      <w:bCs/>
      <w:sz w:val="36"/>
      <w:szCs w:val="32"/>
    </w:rPr>
  </w:style>
  <w:style w:type="character" w:customStyle="1" w:styleId="38">
    <w:name w:val="标题 3 字符"/>
    <w:basedOn w:val="28"/>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字符"/>
    <w:basedOn w:val="28"/>
    <w:link w:val="18"/>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5"/>
    <w:next w:val="15"/>
    <w:qFormat/>
    <w:uiPriority w:val="0"/>
    <w:pPr>
      <w:spacing w:after="373"/>
    </w:pPr>
    <w:rPr>
      <w:color w:val="auto"/>
    </w:rPr>
  </w:style>
  <w:style w:type="paragraph" w:customStyle="1" w:styleId="44">
    <w:name w:val="CM91"/>
    <w:basedOn w:val="15"/>
    <w:next w:val="15"/>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字符"/>
    <w:basedOn w:val="28"/>
    <w:link w:val="9"/>
    <w:semiHidden/>
    <w:qFormat/>
    <w:uiPriority w:val="99"/>
    <w:rPr>
      <w:sz w:val="16"/>
      <w:szCs w:val="16"/>
    </w:rPr>
  </w:style>
  <w:style w:type="character" w:customStyle="1" w:styleId="47">
    <w:name w:val="列表段落 字符"/>
    <w:link w:val="39"/>
    <w:qFormat/>
    <w:uiPriority w:val="34"/>
  </w:style>
  <w:style w:type="paragraph" w:customStyle="1" w:styleId="48">
    <w:name w:val="1"/>
    <w:basedOn w:val="1"/>
    <w:next w:val="14"/>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2">
    <w:name w:val="z-窗体顶端1"/>
    <w:basedOn w:val="1"/>
    <w:qFormat/>
    <w:uiPriority w:val="34"/>
    <w:pPr>
      <w:ind w:firstLine="420" w:firstLineChars="200"/>
    </w:pPr>
    <w:rPr>
      <w:rFonts w:ascii="Calibri" w:hAnsi="Calibri"/>
    </w:rPr>
  </w:style>
  <w:style w:type="paragraph" w:customStyle="1" w:styleId="53">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4">
    <w:name w:val="列出段落3"/>
    <w:basedOn w:val="1"/>
    <w:qFormat/>
    <w:uiPriority w:val="0"/>
    <w:pPr>
      <w:ind w:firstLine="420" w:firstLineChars="200"/>
    </w:pPr>
    <w:rPr>
      <w:rFonts w:ascii="Calibri" w:hAnsi="Calibri"/>
    </w:rPr>
  </w:style>
  <w:style w:type="paragraph" w:customStyle="1" w:styleId="5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56">
    <w:name w:val="Unresolved Mention"/>
    <w:basedOn w:val="28"/>
    <w:semiHidden/>
    <w:unhideWhenUsed/>
    <w:qFormat/>
    <w:uiPriority w:val="99"/>
    <w:rPr>
      <w:color w:val="605E5C"/>
      <w:shd w:val="clear" w:color="auto" w:fill="E1DFDD"/>
    </w:rPr>
  </w:style>
  <w:style w:type="paragraph" w:customStyle="1" w:styleId="5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8">
    <w:name w:val="HTML Top of Form"/>
    <w:basedOn w:val="1"/>
    <w:qFormat/>
    <w:uiPriority w:val="34"/>
    <w:pPr>
      <w:ind w:firstLine="420" w:firstLineChars="200"/>
    </w:pPr>
    <w:rPr>
      <w:rFonts w:ascii="Calibri" w:hAnsi="Calibri"/>
      <w:szCs w:val="22"/>
    </w:rPr>
  </w:style>
  <w:style w:type="paragraph" w:customStyle="1" w:styleId="59">
    <w:name w:val="列出段落1"/>
    <w:basedOn w:val="1"/>
    <w:qFormat/>
    <w:uiPriority w:val="0"/>
    <w:pPr>
      <w:ind w:firstLine="420" w:firstLineChars="200"/>
    </w:pPr>
    <w:rPr>
      <w:rFonts w:ascii="Calibri" w:hAnsi="Calibri"/>
      <w:szCs w:val="22"/>
    </w:rPr>
  </w:style>
  <w:style w:type="character" w:customStyle="1" w:styleId="60">
    <w:name w:val="font01"/>
    <w:basedOn w:val="28"/>
    <w:qFormat/>
    <w:uiPriority w:val="0"/>
    <w:rPr>
      <w:rFonts w:hint="eastAsia" w:ascii="宋体" w:hAnsi="宋体" w:eastAsia="宋体" w:cs="宋体"/>
      <w:color w:val="000000"/>
      <w:sz w:val="24"/>
      <w:szCs w:val="24"/>
      <w:u w:val="none"/>
    </w:rPr>
  </w:style>
  <w:style w:type="paragraph" w:customStyle="1" w:styleId="61">
    <w:name w:val="列出段落2"/>
    <w:basedOn w:val="1"/>
    <w:qFormat/>
    <w:uiPriority w:val="0"/>
    <w:pPr>
      <w:ind w:firstLine="420" w:firstLineChars="200"/>
    </w:pPr>
    <w:rPr>
      <w:rFonts w:ascii="Calibri" w:hAnsi="Calibri"/>
      <w:szCs w:val="22"/>
    </w:rPr>
  </w:style>
  <w:style w:type="character" w:customStyle="1" w:styleId="62">
    <w:name w:val="media_progress_loading"/>
    <w:basedOn w:val="28"/>
    <w:qFormat/>
    <w:uiPriority w:val="0"/>
    <w:rPr>
      <w:shd w:val="clear" w:fill="5089C0"/>
    </w:rPr>
  </w:style>
  <w:style w:type="character" w:customStyle="1" w:styleId="63">
    <w:name w:val="media_progress_loading1"/>
    <w:basedOn w:val="28"/>
    <w:qFormat/>
    <w:uiPriority w:val="0"/>
    <w:rPr>
      <w:shd w:val="clear" w:fill="5089C0"/>
    </w:rPr>
  </w:style>
  <w:style w:type="character" w:customStyle="1" w:styleId="64">
    <w:name w:val="fl3"/>
    <w:basedOn w:val="28"/>
    <w:qFormat/>
    <w:uiPriority w:val="0"/>
    <w:rPr>
      <w:color w:val="999999"/>
    </w:rPr>
  </w:style>
  <w:style w:type="character" w:customStyle="1" w:styleId="65">
    <w:name w:val="fl4"/>
    <w:basedOn w:val="28"/>
    <w:qFormat/>
    <w:uiPriority w:val="0"/>
  </w:style>
  <w:style w:type="character" w:customStyle="1" w:styleId="66">
    <w:name w:val="icon_search"/>
    <w:basedOn w:val="28"/>
    <w:qFormat/>
    <w:uiPriority w:val="0"/>
  </w:style>
  <w:style w:type="character" w:customStyle="1" w:styleId="67">
    <w:name w:val="icon_search1"/>
    <w:basedOn w:val="28"/>
    <w:qFormat/>
    <w:uiPriority w:val="0"/>
  </w:style>
  <w:style w:type="character" w:customStyle="1" w:styleId="68">
    <w:name w:val="layui-laypage-curr"/>
    <w:basedOn w:val="28"/>
    <w:qFormat/>
    <w:uiPriority w:val="0"/>
  </w:style>
  <w:style w:type="character" w:customStyle="1" w:styleId="69">
    <w:name w:val="media_progress_done"/>
    <w:basedOn w:val="28"/>
    <w:qFormat/>
    <w:uiPriority w:val="0"/>
    <w:rPr>
      <w:shd w:val="clear" w:fill="009900"/>
    </w:rPr>
  </w:style>
  <w:style w:type="character" w:customStyle="1" w:styleId="70">
    <w:name w:val="media_progress_done1"/>
    <w:basedOn w:val="28"/>
    <w:qFormat/>
    <w:uiPriority w:val="0"/>
    <w:rPr>
      <w:shd w:val="clear" w:fill="009900"/>
    </w:rPr>
  </w:style>
  <w:style w:type="character" w:customStyle="1" w:styleId="71">
    <w:name w:val="fe-font2"/>
    <w:basedOn w:val="28"/>
    <w:qFormat/>
    <w:uiPriority w:val="0"/>
    <w:rPr>
      <w:sz w:val="30"/>
      <w:szCs w:val="30"/>
    </w:rPr>
  </w:style>
  <w:style w:type="character" w:customStyle="1" w:styleId="72">
    <w:name w:val="fe-font3"/>
    <w:basedOn w:val="28"/>
    <w:qFormat/>
    <w:uiPriority w:val="0"/>
    <w:rPr>
      <w:color w:val="00B4FF"/>
      <w:sz w:val="27"/>
      <w:szCs w:val="27"/>
    </w:rPr>
  </w:style>
  <w:style w:type="character" w:customStyle="1" w:styleId="73">
    <w:name w:val="cdropright"/>
    <w:basedOn w:val="28"/>
    <w:qFormat/>
    <w:uiPriority w:val="0"/>
  </w:style>
  <w:style w:type="character" w:customStyle="1" w:styleId="74">
    <w:name w:val="space"/>
    <w:basedOn w:val="28"/>
    <w:qFormat/>
    <w:uiPriority w:val="0"/>
  </w:style>
  <w:style w:type="character" w:customStyle="1" w:styleId="75">
    <w:name w:val="look_show_list"/>
    <w:basedOn w:val="28"/>
    <w:qFormat/>
    <w:uiPriority w:val="0"/>
  </w:style>
  <w:style w:type="character" w:customStyle="1" w:styleId="76">
    <w:name w:val="cdropleft"/>
    <w:basedOn w:val="28"/>
    <w:qFormat/>
    <w:uiPriority w:val="0"/>
  </w:style>
  <w:style w:type="character" w:customStyle="1" w:styleId="77">
    <w:name w:val="delete_con"/>
    <w:basedOn w:val="28"/>
    <w:qFormat/>
    <w:uiPriority w:val="0"/>
  </w:style>
  <w:style w:type="character" w:customStyle="1" w:styleId="78">
    <w:name w:val="delete_con1"/>
    <w:basedOn w:val="28"/>
    <w:qFormat/>
    <w:uiPriority w:val="0"/>
  </w:style>
  <w:style w:type="character" w:customStyle="1" w:styleId="79">
    <w:name w:val="progress_loading6"/>
    <w:basedOn w:val="28"/>
    <w:qFormat/>
    <w:uiPriority w:val="0"/>
    <w:rPr>
      <w:shd w:val="clear" w:fill="5089C0"/>
    </w:rPr>
  </w:style>
  <w:style w:type="character" w:customStyle="1" w:styleId="80">
    <w:name w:val="progress_done6"/>
    <w:basedOn w:val="28"/>
    <w:qFormat/>
    <w:uiPriority w:val="0"/>
    <w:rPr>
      <w:shd w:val="clear" w:fill="0099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24238</Words>
  <Characters>27133</Characters>
  <Lines>235</Lines>
  <Paragraphs>66</Paragraphs>
  <TotalTime>28</TotalTime>
  <ScaleCrop>false</ScaleCrop>
  <LinksUpToDate>false</LinksUpToDate>
  <CharactersWithSpaces>29322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2022-07-11T00:07:00Z</cp:lastPrinted>
  <dcterms:modified xsi:type="dcterms:W3CDTF">2022-11-24T08:05:50Z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85ADE126CC6442A8B5AC807415D268BB</vt:lpwstr>
  </property>
</Properties>
</file>