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bookmarkStart w:id="209" w:name="_GoBack"/>
      <w:bookmarkEnd w:id="209"/>
      <w:r>
        <w:rPr>
          <w:rFonts w:hint="eastAsia" w:ascii="方正小标宋简体" w:eastAsia="方正小标宋简体"/>
          <w:color w:val="auto"/>
          <w:sz w:val="52"/>
          <w:szCs w:val="52"/>
          <w:highlight w:val="none"/>
          <w:lang w:val="en-US" w:eastAsia="zh-CN"/>
        </w:rPr>
        <w:t>广州市净水有限公司石井净水分公司生产区域道闸采购项目（第二次）</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4"/>
        <w:jc w:val="both"/>
        <w:rPr>
          <w:rFonts w:hint="default"/>
          <w:color w:val="auto"/>
          <w:highlight w:val="none"/>
        </w:rPr>
      </w:pPr>
      <w:bookmarkStart w:id="4" w:name="_Toc1669"/>
      <w:bookmarkStart w:id="5" w:name="_Toc7519"/>
      <w:bookmarkStart w:id="6" w:name="_Toc4275"/>
      <w:bookmarkStart w:id="7" w:name="_Toc19609"/>
      <w:bookmarkStart w:id="8" w:name="_Toc17801"/>
      <w:bookmarkStart w:id="9" w:name="_Toc11322"/>
      <w:bookmarkStart w:id="10" w:name="_Toc31938"/>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547370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3.1pt;height:0pt;width:75.5pt;z-index:251673600;mso-width-relative:page;mso-height-relative:page;" filled="f" stroked="t" coordsize="21600,21600" o:gfxdata="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6LGaY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广州市净水有限公司石井净水分公司生产区域道闸采购项目（第二次）</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广州市净水有限公司石井净水分公司生产区域道闸采购项目（第二次）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XJ-20221123-1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418752.58元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384176.68</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21360.19元 </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暂列金为32236.61元，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地下生产区域作为厂区重点区域，需对每个员工进行可行动区域的划分与授权。不同职能的员工分配进入不同区域，道闸起到内外部员工出入管理的作用，对生产区域出入口可实现无人值守的管理效果。本项目共计安装46套人脸识别一体主机，门禁道闸13套，需要与已建设的智慧园区系统兼容，接入系统中统一管理。其中需对二期地面9台人脸识别主机一齐接入智慧园区系统，对整个地下生产区域部署人脸门禁，提高园区安全性。</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90</w:t>
      </w:r>
      <w:r>
        <w:rPr>
          <w:rFonts w:hint="eastAsia" w:ascii="仿宋_GB2312" w:eastAsia="仿宋_GB2312"/>
          <w:color w:val="auto"/>
          <w:sz w:val="28"/>
          <w:szCs w:val="28"/>
          <w:highlight w:val="none"/>
          <w:u w:val="single"/>
        </w:rPr>
        <w:t xml:space="preserve">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（2）供应商应当具备电子与智能化工程专业承包二级（或以上）资质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同时具有</w:t>
      </w:r>
      <w:r>
        <w:rPr>
          <w:rFonts w:hint="eastAsia" w:ascii="仿宋_GB2312" w:eastAsia="仿宋_GB2312"/>
          <w:color w:val="auto"/>
          <w:sz w:val="28"/>
          <w:szCs w:val="28"/>
          <w:highlight w:val="none"/>
        </w:rPr>
        <w:t>建设主管部门颁发且在有效期内的《安全生产许可证》。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rPr>
        <w:t xml:space="preserve">（3） </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 xml:space="preserve"> 年1月1日至今，供应商最少具有一项</w:t>
      </w:r>
      <w:r>
        <w:rPr>
          <w:rFonts w:hint="eastAsia" w:ascii="仿宋_GB2312" w:eastAsia="仿宋_GB2312"/>
          <w:color w:val="auto"/>
          <w:sz w:val="28"/>
          <w:szCs w:val="28"/>
          <w:highlight w:val="none"/>
          <w:u w:val="none"/>
          <w:lang w:val="en-US" w:eastAsia="zh-CN"/>
        </w:rPr>
        <w:t>类似门禁监控类项目实施</w:t>
      </w:r>
      <w:r>
        <w:rPr>
          <w:rFonts w:hint="eastAsia" w:ascii="仿宋_GB2312" w:eastAsia="仿宋_GB2312"/>
          <w:color w:val="auto"/>
          <w:sz w:val="28"/>
          <w:szCs w:val="28"/>
          <w:highlight w:val="none"/>
          <w:u w:val="none"/>
        </w:rPr>
        <w:t>的业绩。</w:t>
      </w:r>
      <w:r>
        <w:rPr>
          <w:rFonts w:hint="eastAsia" w:ascii="仿宋_GB2312" w:eastAsia="仿宋_GB2312"/>
          <w:color w:val="auto"/>
          <w:sz w:val="28"/>
          <w:szCs w:val="28"/>
          <w:highlight w:val="none"/>
        </w:rPr>
        <w:t>（提供合同复印件，包括但不限于项目名称、金额及实施内容、合同盖章、签订日期，加盖单位公章。）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0"/>
        <w:widowControl/>
        <w:numPr>
          <w:ilvl w:val="0"/>
          <w:numId w:val="2"/>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_GB2312" w:hAnsi="仿宋" w:eastAsia="仿宋_GB2312" w:cs="仿宋_GB2312"/>
          <w:color w:val="auto"/>
          <w:sz w:val="28"/>
          <w:szCs w:val="28"/>
          <w:highlight w:val="none"/>
          <w:u w:val="none"/>
        </w:rPr>
        <w:t>机电专业</w:t>
      </w:r>
      <w:r>
        <w:rPr>
          <w:rFonts w:ascii="仿宋_GB2312" w:hAnsi="仿宋" w:eastAsia="仿宋_GB2312" w:cs="仿宋_GB2312"/>
          <w:color w:val="auto"/>
          <w:sz w:val="28"/>
          <w:szCs w:val="28"/>
          <w:highlight w:val="none"/>
          <w:u w:val="none"/>
        </w:rPr>
        <w:t>二级</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或以上级别</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的注册建造师（或具</w:t>
      </w:r>
    </w:p>
    <w:p>
      <w:pPr>
        <w:pStyle w:val="20"/>
        <w:widowControl/>
        <w:numPr>
          <w:ilvl w:val="-1"/>
          <w:numId w:val="0"/>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0" w:firstLine="0"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ascii="仿宋_GB2312" w:hAnsi="仿宋" w:eastAsia="仿宋_GB2312" w:cs="仿宋_GB2312"/>
          <w:color w:val="auto"/>
          <w:sz w:val="28"/>
          <w:szCs w:val="28"/>
          <w:highlight w:val="none"/>
          <w:u w:val="none"/>
        </w:rPr>
        <w:t>备符合粤建市〔2010〕26号文规定的小型项目负责人资格），</w:t>
      </w:r>
      <w:r>
        <w:rPr>
          <w:rFonts w:hint="eastAsia" w:ascii="仿宋_GB2312" w:hAnsi="仿宋" w:eastAsia="仿宋_GB2312" w:cs="仿宋_GB2312"/>
          <w:color w:val="auto"/>
          <w:sz w:val="28"/>
          <w:szCs w:val="28"/>
          <w:highlight w:val="none"/>
          <w:u w:val="none"/>
        </w:rPr>
        <w:t>同时</w:t>
      </w:r>
      <w:r>
        <w:rPr>
          <w:rFonts w:ascii="仿宋_GB2312" w:hAnsi="仿宋" w:eastAsia="仿宋_GB2312" w:cs="仿宋_GB2312"/>
          <w:color w:val="auto"/>
          <w:sz w:val="28"/>
          <w:szCs w:val="28"/>
          <w:highlight w:val="none"/>
          <w:u w:val="none"/>
        </w:rPr>
        <w:t>持有项目负责人安全生产考核合格证（B）类；</w:t>
      </w:r>
      <w:r>
        <w:rPr>
          <w:rFonts w:hint="eastAsia" w:ascii="仿宋_GB2312" w:eastAsia="仿宋_GB2312" w:hAnsiTheme="minorHAnsi" w:cstheme="minorBidi"/>
          <w:color w:val="auto"/>
          <w:kern w:val="2"/>
          <w:sz w:val="28"/>
          <w:szCs w:val="28"/>
          <w:highlight w:val="none"/>
          <w:u w:val="non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4"/>
        <w:autoSpaceDE w:val="0"/>
        <w:autoSpaceDN w:val="0"/>
        <w:ind w:firstLine="560"/>
        <w:jc w:val="left"/>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u w:val="none"/>
          <w:lang w:val="en-US" w:eastAsia="zh-CN" w:bidi="ar-SA"/>
        </w:rPr>
        <w:t>专职安全人员要求：须具有安全生产考核合格证（C类）（或能够提供广东省建筑施工企业管理人员安全生产考核信息系统安全生产管理人员证书信息的网页截图）。</w:t>
      </w:r>
    </w:p>
    <w:p>
      <w:pPr>
        <w:pStyle w:val="44"/>
        <w:autoSpaceDE w:val="0"/>
        <w:autoSpaceDN w:val="0"/>
        <w:spacing w:line="600" w:lineRule="exact"/>
        <w:ind w:firstLine="560" w:firstLineChars="0"/>
        <w:jc w:val="left"/>
        <w:rPr>
          <w:rFonts w:ascii="仿宋_GB2312" w:eastAsia="仿宋_GB2312" w:cs="仿宋_GB2312"/>
          <w:color w:val="auto"/>
          <w:sz w:val="28"/>
          <w:szCs w:val="28"/>
          <w:highlight w:val="none"/>
          <w:u w:val="single"/>
          <w:lang w:val="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hAnsi="Calibri" w:eastAsia="仿宋_GB2312"/>
          <w:color w:val="auto"/>
          <w:kern w:val="2"/>
          <w:sz w:val="28"/>
          <w:szCs w:val="28"/>
          <w:highlight w:val="none"/>
          <w:u w:val="none"/>
        </w:rPr>
        <w:t>参与本项目采购活动的供应商应当于中</w:t>
      </w:r>
      <w:r>
        <w:rPr>
          <w:rFonts w:hint="eastAsia" w:ascii="仿宋_GB2312" w:eastAsia="仿宋_GB2312"/>
          <w:color w:val="auto"/>
          <w:kern w:val="2"/>
          <w:sz w:val="28"/>
          <w:szCs w:val="28"/>
          <w:highlight w:val="none"/>
          <w:u w:val="none"/>
          <w:lang w:val="en-US" w:eastAsia="zh-CN"/>
        </w:rPr>
        <w:t>选后</w:t>
      </w:r>
      <w:r>
        <w:rPr>
          <w:rFonts w:hint="eastAsia" w:ascii="仿宋_GB2312" w:hAnsi="Calibri" w:eastAsia="仿宋_GB2312"/>
          <w:color w:val="auto"/>
          <w:kern w:val="2"/>
          <w:sz w:val="28"/>
          <w:szCs w:val="28"/>
          <w:highlight w:val="none"/>
          <w:u w:val="none"/>
        </w:rPr>
        <w:t>五日内提供能够对接兼容石井净水分公司目前在用的智慧园区系统的承诺函（加盖单位公章）。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eastAsia="仿宋_GB2312"/>
          <w:color w:val="auto"/>
          <w:sz w:val="28"/>
          <w:szCs w:val="28"/>
          <w:highlight w:val="none"/>
          <w:u w:val="single"/>
        </w:rPr>
        <w:t>广州市天河区临江大道501号广州市净水有限公司6楼招标部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32588"/>
      <w:bookmarkStart w:id="15" w:name="_Toc2324"/>
      <w:bookmarkStart w:id="16" w:name="_Toc23749"/>
      <w:bookmarkStart w:id="17" w:name="_Toc9448"/>
      <w:bookmarkStart w:id="18" w:name="_Toc16557"/>
      <w:bookmarkStart w:id="19" w:name="_Toc2331"/>
      <w:bookmarkStart w:id="20" w:name="_Toc19295"/>
      <w:bookmarkStart w:id="21" w:name="_Toc7340"/>
      <w:bookmarkStart w:id="22" w:name="_Toc16705"/>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2348865</wp:posOffset>
                </wp:positionH>
                <wp:positionV relativeFrom="paragraph">
                  <wp:posOffset>539115</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2.45pt;height:0pt;width:75.5pt;z-index:251675648;mso-width-relative:page;mso-height-relative:page;" filled="f" stroked="t" coordsize="21600,21600" o:gfxdata="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4m1cN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4"/>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hint="eastAsia"/>
          <w:color w:val="auto"/>
          <w:highlight w:val="none"/>
        </w:rPr>
      </w:pPr>
      <w:bookmarkStart w:id="32" w:name="_Toc24895"/>
      <w:bookmarkStart w:id="33" w:name="_Toc3789"/>
    </w:p>
    <w:p>
      <w:pPr>
        <w:pStyle w:val="5"/>
        <w:rPr>
          <w:rFonts w:hint="eastAsia"/>
          <w:color w:val="auto"/>
          <w:highlight w:val="none"/>
        </w:rPr>
      </w:pPr>
    </w:p>
    <w:p>
      <w:pPr>
        <w:rPr>
          <w:rFonts w:hint="eastAsia"/>
          <w:color w:val="auto"/>
          <w:highlight w:val="none"/>
        </w:rPr>
      </w:pPr>
    </w:p>
    <w:p>
      <w:pPr>
        <w:pStyle w:val="5"/>
        <w:jc w:val="both"/>
        <w:rPr>
          <w:rFonts w:hint="eastAsia"/>
          <w:color w:val="auto"/>
          <w:highlight w:val="none"/>
        </w:rPr>
      </w:pPr>
    </w:p>
    <w:p>
      <w:pPr>
        <w:pStyle w:val="5"/>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ind w:firstLine="3520" w:firstLineChars="800"/>
        <w:jc w:val="both"/>
        <w:rPr>
          <w:rFonts w:hint="eastAsia"/>
          <w:color w:val="auto"/>
          <w:highlight w:val="none"/>
        </w:rPr>
      </w:pPr>
      <w:bookmarkStart w:id="34" w:name="_Toc7437"/>
      <w:bookmarkStart w:id="35" w:name="_Toc20594"/>
      <w:bookmarkStart w:id="36" w:name="_Toc4952"/>
      <w:bookmarkStart w:id="37" w:name="_Toc19759"/>
      <w:bookmarkStart w:id="38" w:name="_Toc14870"/>
      <w:bookmarkStart w:id="39" w:name="_Toc10930"/>
      <w:bookmarkStart w:id="40" w:name="_Toc7118"/>
      <w:bookmarkStart w:id="41" w:name="_Toc23581"/>
      <w:bookmarkStart w:id="42" w:name="_Toc14552"/>
      <w:bookmarkStart w:id="43" w:name="_Toc19050"/>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4"/>
        <w:rPr>
          <w:color w:val="auto"/>
          <w:highlight w:val="none"/>
        </w:rPr>
      </w:pPr>
    </w:p>
    <w:p>
      <w:pPr>
        <w:pStyle w:val="4"/>
        <w:rPr>
          <w:color w:val="auto"/>
          <w:highlight w:val="none"/>
        </w:rPr>
      </w:pPr>
      <w:bookmarkStart w:id="45" w:name="_Toc29484"/>
      <w:bookmarkStart w:id="46" w:name="_Toc6308"/>
      <w:bookmarkStart w:id="47" w:name="_Toc21079"/>
      <w:bookmarkStart w:id="48" w:name="_Toc30530"/>
      <w:bookmarkStart w:id="49" w:name="_Toc88209941"/>
      <w:bookmarkStart w:id="50" w:name="_Toc29345"/>
      <w:bookmarkStart w:id="51" w:name="_Toc87616378"/>
      <w:bookmarkStart w:id="52" w:name="_Toc32607"/>
      <w:bookmarkStart w:id="53" w:name="_Toc21840"/>
      <w:bookmarkStart w:id="54" w:name="_Toc13898"/>
      <w:bookmarkStart w:id="55" w:name="_Toc12177"/>
      <w:bookmarkStart w:id="56" w:name="_Toc22212"/>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jc w:val="both"/>
        <w:rPr>
          <w:rFonts w:hint="eastAsia"/>
          <w:color w:val="auto"/>
          <w:highlight w:val="none"/>
        </w:rPr>
      </w:pPr>
      <w:bookmarkStart w:id="58" w:name="_Toc26826"/>
      <w:bookmarkStart w:id="59" w:name="_Toc23033"/>
    </w:p>
    <w:p>
      <w:pPr>
        <w:pStyle w:val="5"/>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sbqiH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p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xuqI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bookmarkEnd w:id="60"/>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pStyle w:val="5"/>
        <w:jc w:val="center"/>
        <w:rPr>
          <w:color w:val="auto"/>
          <w:szCs w:val="44"/>
          <w:highlight w:val="none"/>
        </w:rPr>
      </w:pPr>
      <w:r>
        <w:rPr>
          <w:rFonts w:hint="eastAsia"/>
          <w:color w:val="auto"/>
          <w:szCs w:val="44"/>
          <w:highlight w:val="none"/>
        </w:rPr>
        <w:t>技术要求说明</w:t>
      </w:r>
    </w:p>
    <w:p>
      <w:pPr>
        <w:pStyle w:val="6"/>
        <w:rPr>
          <w:rFonts w:asciiTheme="majorEastAsia" w:hAnsiTheme="majorEastAsia" w:eastAsiaTheme="majorEastAsia"/>
          <w:b w:val="0"/>
          <w:color w:val="auto"/>
          <w:sz w:val="28"/>
          <w:szCs w:val="28"/>
          <w:highlight w:val="none"/>
        </w:rPr>
      </w:pPr>
      <w:bookmarkStart w:id="61" w:name="_Toc495915334"/>
      <w:bookmarkStart w:id="62" w:name="_Toc9482"/>
      <w:bookmarkStart w:id="63" w:name="_Toc27481"/>
      <w:bookmarkStart w:id="64" w:name="_Toc13011"/>
      <w:bookmarkStart w:id="65" w:name="_Toc4719"/>
      <w:bookmarkStart w:id="66" w:name="_Toc29871"/>
      <w:bookmarkStart w:id="67" w:name="_Toc3215"/>
      <w:bookmarkStart w:id="68" w:name="_Toc10028"/>
      <w:bookmarkStart w:id="69" w:name="_Toc8717"/>
      <w:bookmarkStart w:id="70" w:name="_Toc499646386"/>
      <w:bookmarkStart w:id="71" w:name="_Toc20689"/>
      <w:bookmarkStart w:id="72" w:name="_Toc14677"/>
      <w:bookmarkStart w:id="73" w:name="_Toc3470"/>
      <w:bookmarkStart w:id="74" w:name="_Toc10599"/>
      <w:bookmarkStart w:id="75" w:name="_Toc17348"/>
      <w:bookmarkStart w:id="76" w:name="_Toc4833"/>
      <w:bookmarkStart w:id="77" w:name="_Toc25033"/>
      <w:bookmarkStart w:id="78" w:name="_Toc15950"/>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为做好人员进出地下空间或地下负二层空间的管控，拟在进入生产区域的楼梯口与进入负二层的通道位置增加身份认证设备</w:t>
      </w:r>
      <w:r>
        <w:rPr>
          <w:rFonts w:hint="eastAsia" w:ascii="仿宋_GB2312" w:hAnsi="仿宋_GB2312" w:eastAsia="仿宋_GB2312" w:cs="仿宋_GB2312"/>
          <w:bCs/>
          <w:color w:val="auto"/>
          <w:sz w:val="28"/>
          <w:szCs w:val="28"/>
          <w:highlight w:val="none"/>
        </w:rPr>
        <w:t>。</w:t>
      </w:r>
    </w:p>
    <w:p>
      <w:pPr>
        <w:pStyle w:val="6"/>
        <w:rPr>
          <w:rFonts w:asciiTheme="majorEastAsia" w:hAnsiTheme="majorEastAsia" w:eastAsiaTheme="majorEastAsia"/>
          <w:b w:val="0"/>
          <w:color w:val="auto"/>
          <w:sz w:val="28"/>
          <w:szCs w:val="28"/>
          <w:highlight w:val="none"/>
        </w:rPr>
      </w:pPr>
      <w:bookmarkStart w:id="80" w:name="_Toc19162"/>
      <w:bookmarkStart w:id="81" w:name="_Toc3555"/>
      <w:bookmarkStart w:id="82" w:name="_Toc499646389"/>
      <w:bookmarkStart w:id="83" w:name="_Toc13880"/>
      <w:bookmarkStart w:id="84" w:name="_Toc430701020"/>
      <w:bookmarkStart w:id="85" w:name="_Toc15157"/>
      <w:bookmarkStart w:id="86" w:name="_Toc23145"/>
      <w:bookmarkStart w:id="87" w:name="_Toc12764"/>
      <w:bookmarkStart w:id="88" w:name="_Toc12933"/>
      <w:bookmarkStart w:id="89" w:name="_Toc1412"/>
      <w:bookmarkStart w:id="90" w:name="_Toc4029"/>
      <w:bookmarkStart w:id="91" w:name="_Toc495915337"/>
      <w:bookmarkStart w:id="92" w:name="_Toc101423160"/>
      <w:bookmarkStart w:id="93" w:name="_Toc27242"/>
      <w:bookmarkStart w:id="94" w:name="_Toc3384"/>
      <w:bookmarkStart w:id="95" w:name="_Toc20690"/>
      <w:bookmarkStart w:id="96" w:name="_Toc12433"/>
      <w:bookmarkStart w:id="97" w:name="_Toc26054"/>
      <w:bookmarkStart w:id="98" w:name="_Toc12931"/>
      <w:bookmarkStart w:id="99" w:name="_Toc4069"/>
      <w:bookmarkStart w:id="100" w:name="_Toc470514645"/>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360" w:lineRule="auto"/>
        <w:ind w:firstLine="560" w:firstLineChars="200"/>
        <w:jc w:val="left"/>
        <w:rPr>
          <w:rFonts w:hint="eastAsia" w:ascii="仿宋_GB2312" w:hAnsi="仿宋_GB2312" w:eastAsia="仿宋_GB2312" w:cs="仿宋_GB2312"/>
          <w:bCs/>
          <w:color w:val="auto"/>
          <w:sz w:val="28"/>
          <w:szCs w:val="28"/>
          <w:highlight w:val="none"/>
          <w:lang w:val="en-US" w:eastAsia="zh-CN"/>
        </w:rPr>
      </w:pPr>
      <w:bookmarkStart w:id="101" w:name="_Toc29945"/>
      <w:bookmarkStart w:id="102" w:name="_Toc495915409"/>
      <w:bookmarkStart w:id="103" w:name="_Toc101423177"/>
      <w:r>
        <w:rPr>
          <w:rFonts w:hint="eastAsia" w:ascii="仿宋_GB2312" w:hAnsi="仿宋_GB2312" w:eastAsia="仿宋_GB2312" w:cs="仿宋_GB2312"/>
          <w:bCs/>
          <w:color w:val="auto"/>
          <w:sz w:val="28"/>
          <w:szCs w:val="28"/>
          <w:highlight w:val="none"/>
          <w:lang w:val="en-US" w:eastAsia="zh-CN"/>
        </w:rPr>
        <w:t>本项目共计安装46套人脸识别一体主机，门禁道闸13套，需要与已建设的智慧园区系统兼容，接入系统中统一管理。其中需对二期地面9台人脸识别主机一齐接入智慧园区系统，对整个地下生产区域部署人脸门禁，提高园区安全性。</w:t>
      </w:r>
    </w:p>
    <w:p>
      <w:pPr>
        <w:pStyle w:val="25"/>
        <w:ind w:firstLine="560" w:firstLineChars="200"/>
        <w:rPr>
          <w:rFonts w:hint="default"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1）前端系统：前端设备包括</w:t>
      </w:r>
      <w:r>
        <w:rPr>
          <w:rFonts w:hint="eastAsia" w:ascii="仿宋_GB2312" w:cs="Times New Roman"/>
          <w:b w:val="0"/>
          <w:bCs/>
          <w:color w:val="auto"/>
          <w:kern w:val="2"/>
          <w:sz w:val="28"/>
          <w:szCs w:val="28"/>
          <w:highlight w:val="none"/>
          <w:lang w:val="en-US" w:eastAsia="zh-CN" w:bidi="ar-SA"/>
        </w:rPr>
        <w:t>46</w:t>
      </w:r>
      <w:r>
        <w:rPr>
          <w:rFonts w:hint="eastAsia" w:ascii="仿宋_GB2312" w:hAnsi="Times New Roman" w:eastAsia="仿宋_GB2312" w:cs="Times New Roman"/>
          <w:b w:val="0"/>
          <w:bCs/>
          <w:color w:val="auto"/>
          <w:kern w:val="2"/>
          <w:sz w:val="28"/>
          <w:szCs w:val="28"/>
          <w:highlight w:val="none"/>
          <w:lang w:val="en-US" w:eastAsia="zh-CN" w:bidi="ar-SA"/>
        </w:rPr>
        <w:t>个前端采集点，</w:t>
      </w:r>
      <w:r>
        <w:rPr>
          <w:rFonts w:hint="eastAsia" w:ascii="仿宋_GB2312" w:cs="Times New Roman"/>
          <w:b w:val="0"/>
          <w:bCs/>
          <w:color w:val="auto"/>
          <w:kern w:val="2"/>
          <w:sz w:val="28"/>
          <w:szCs w:val="28"/>
          <w:highlight w:val="none"/>
          <w:lang w:val="en-US" w:eastAsia="zh-CN" w:bidi="ar-SA"/>
        </w:rPr>
        <w:t>进入负二层道闸13个。</w:t>
      </w:r>
      <w:r>
        <w:rPr>
          <w:rFonts w:hint="eastAsia" w:ascii="仿宋_GB2312" w:hAnsi="Times New Roman" w:eastAsia="仿宋_GB2312" w:cs="Times New Roman"/>
          <w:b w:val="0"/>
          <w:bCs/>
          <w:color w:val="auto"/>
          <w:kern w:val="2"/>
          <w:sz w:val="28"/>
          <w:szCs w:val="28"/>
          <w:highlight w:val="none"/>
          <w:lang w:val="en-US" w:eastAsia="zh-CN" w:bidi="ar-SA"/>
        </w:rPr>
        <w:t>前端新建内容包括</w:t>
      </w:r>
      <w:r>
        <w:rPr>
          <w:rFonts w:hint="eastAsia" w:ascii="仿宋_GB2312" w:cs="Times New Roman"/>
          <w:b w:val="0"/>
          <w:bCs/>
          <w:color w:val="auto"/>
          <w:kern w:val="2"/>
          <w:sz w:val="28"/>
          <w:szCs w:val="28"/>
          <w:highlight w:val="none"/>
          <w:lang w:val="en-US" w:eastAsia="zh-CN" w:bidi="ar-SA"/>
        </w:rPr>
        <w:t>人脸识别一体机</w:t>
      </w:r>
      <w:r>
        <w:rPr>
          <w:rFonts w:hint="eastAsia" w:ascii="仿宋_GB2312" w:hAnsi="Times New Roman" w:eastAsia="仿宋_GB2312" w:cs="Times New Roman"/>
          <w:b w:val="0"/>
          <w:bCs/>
          <w:color w:val="auto"/>
          <w:kern w:val="2"/>
          <w:sz w:val="28"/>
          <w:szCs w:val="28"/>
          <w:highlight w:val="none"/>
          <w:lang w:val="en-US" w:eastAsia="zh-CN" w:bidi="ar-SA"/>
        </w:rPr>
        <w:t>、设备箱、电源、管线铺设和调试工作，以及相关基础工作。</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2）传输网络</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本项目传输网络建设主要</w:t>
      </w:r>
      <w:r>
        <w:rPr>
          <w:rFonts w:hint="eastAsia" w:ascii="仿宋_GB2312" w:cs="Times New Roman"/>
          <w:b w:val="0"/>
          <w:bCs/>
          <w:color w:val="auto"/>
          <w:kern w:val="2"/>
          <w:sz w:val="28"/>
          <w:szCs w:val="28"/>
          <w:highlight w:val="none"/>
          <w:lang w:val="en-US" w:eastAsia="zh-CN" w:bidi="ar-SA"/>
        </w:rPr>
        <w:t>为</w:t>
      </w:r>
      <w:r>
        <w:rPr>
          <w:rFonts w:hint="eastAsia" w:ascii="仿宋_GB2312" w:hAnsi="Times New Roman" w:eastAsia="仿宋_GB2312" w:cs="Times New Roman"/>
          <w:b w:val="0"/>
          <w:bCs/>
          <w:color w:val="auto"/>
          <w:kern w:val="2"/>
          <w:sz w:val="28"/>
          <w:szCs w:val="28"/>
          <w:highlight w:val="none"/>
          <w:lang w:val="en-US" w:eastAsia="zh-CN" w:bidi="ar-SA"/>
        </w:rPr>
        <w:t>前端</w:t>
      </w:r>
      <w:r>
        <w:rPr>
          <w:rFonts w:hint="eastAsia" w:ascii="仿宋_GB2312" w:cs="Times New Roman"/>
          <w:b w:val="0"/>
          <w:bCs/>
          <w:color w:val="auto"/>
          <w:kern w:val="2"/>
          <w:sz w:val="28"/>
          <w:szCs w:val="28"/>
          <w:highlight w:val="none"/>
          <w:lang w:val="en-US" w:eastAsia="zh-CN" w:bidi="ar-SA"/>
        </w:rPr>
        <w:t>设备</w:t>
      </w:r>
      <w:r>
        <w:rPr>
          <w:rFonts w:hint="eastAsia" w:ascii="仿宋_GB2312" w:hAnsi="Times New Roman" w:eastAsia="仿宋_GB2312" w:cs="Times New Roman"/>
          <w:b w:val="0"/>
          <w:bCs/>
          <w:color w:val="auto"/>
          <w:kern w:val="2"/>
          <w:sz w:val="28"/>
          <w:szCs w:val="28"/>
          <w:highlight w:val="none"/>
          <w:lang w:val="en-US" w:eastAsia="zh-CN" w:bidi="ar-SA"/>
        </w:rPr>
        <w:t>到石井净分公司中控室的传输线路。</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3）后端系统</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cs="Times New Roman"/>
          <w:b w:val="0"/>
          <w:bCs/>
          <w:color w:val="auto"/>
          <w:kern w:val="2"/>
          <w:sz w:val="28"/>
          <w:szCs w:val="28"/>
          <w:highlight w:val="none"/>
          <w:lang w:val="en-US" w:eastAsia="zh-CN" w:bidi="ar-SA"/>
        </w:rPr>
        <w:t>并入原有智慧园区</w:t>
      </w:r>
      <w:r>
        <w:rPr>
          <w:rFonts w:hint="eastAsia" w:ascii="仿宋_GB2312" w:hAnsi="Times New Roman" w:eastAsia="仿宋_GB2312" w:cs="Times New Roman"/>
          <w:b w:val="0"/>
          <w:bCs/>
          <w:color w:val="auto"/>
          <w:kern w:val="2"/>
          <w:sz w:val="28"/>
          <w:szCs w:val="28"/>
          <w:highlight w:val="none"/>
          <w:lang w:val="en-US" w:eastAsia="zh-CN" w:bidi="ar-SA"/>
        </w:rPr>
        <w:t>平台、存储设备、服务器、交换机以及其它辅助设备的安装和调试，实现本项目新</w:t>
      </w:r>
      <w:r>
        <w:rPr>
          <w:rFonts w:hint="eastAsia" w:ascii="仿宋_GB2312" w:cs="Times New Roman"/>
          <w:b w:val="0"/>
          <w:bCs/>
          <w:color w:val="auto"/>
          <w:kern w:val="2"/>
          <w:sz w:val="28"/>
          <w:szCs w:val="28"/>
          <w:highlight w:val="none"/>
          <w:lang w:val="en-US" w:eastAsia="zh-CN" w:bidi="ar-SA"/>
        </w:rPr>
        <w:t>增</w:t>
      </w:r>
      <w:r>
        <w:rPr>
          <w:rFonts w:hint="eastAsia" w:ascii="仿宋_GB2312" w:hAnsi="Times New Roman" w:eastAsia="仿宋_GB2312" w:cs="Times New Roman"/>
          <w:b w:val="0"/>
          <w:bCs/>
          <w:color w:val="auto"/>
          <w:kern w:val="2"/>
          <w:sz w:val="28"/>
          <w:szCs w:val="28"/>
          <w:highlight w:val="none"/>
          <w:lang w:val="en-US" w:eastAsia="zh-CN" w:bidi="ar-SA"/>
        </w:rPr>
        <w:t>的</w:t>
      </w:r>
      <w:r>
        <w:rPr>
          <w:rFonts w:hint="eastAsia" w:ascii="仿宋_GB2312" w:cs="Times New Roman"/>
          <w:b w:val="0"/>
          <w:bCs/>
          <w:color w:val="auto"/>
          <w:kern w:val="2"/>
          <w:sz w:val="28"/>
          <w:szCs w:val="28"/>
          <w:highlight w:val="none"/>
          <w:lang w:val="en-US" w:eastAsia="zh-CN" w:bidi="ar-SA"/>
        </w:rPr>
        <w:t>人脸识别设备</w:t>
      </w:r>
      <w:r>
        <w:rPr>
          <w:rFonts w:hint="eastAsia" w:ascii="仿宋_GB2312" w:hAnsi="Times New Roman" w:eastAsia="仿宋_GB2312" w:cs="Times New Roman"/>
          <w:b w:val="0"/>
          <w:bCs/>
          <w:color w:val="auto"/>
          <w:kern w:val="2"/>
          <w:sz w:val="28"/>
          <w:szCs w:val="28"/>
          <w:highlight w:val="none"/>
          <w:lang w:val="en-US" w:eastAsia="zh-CN" w:bidi="ar-SA"/>
        </w:rPr>
        <w:t>接入</w:t>
      </w:r>
      <w:r>
        <w:rPr>
          <w:rFonts w:hint="eastAsia" w:ascii="仿宋_GB2312" w:cs="Times New Roman"/>
          <w:b w:val="0"/>
          <w:bCs/>
          <w:color w:val="auto"/>
          <w:kern w:val="2"/>
          <w:sz w:val="28"/>
          <w:szCs w:val="28"/>
          <w:highlight w:val="none"/>
          <w:lang w:val="en-US" w:eastAsia="zh-CN" w:bidi="ar-SA"/>
        </w:rPr>
        <w:t>智慧园区系统</w:t>
      </w:r>
      <w:r>
        <w:rPr>
          <w:rFonts w:hint="eastAsia" w:ascii="仿宋_GB2312" w:hAnsi="Times New Roman" w:eastAsia="仿宋_GB2312" w:cs="Times New Roman"/>
          <w:b w:val="0"/>
          <w:bCs/>
          <w:color w:val="auto"/>
          <w:kern w:val="2"/>
          <w:sz w:val="28"/>
          <w:szCs w:val="28"/>
          <w:highlight w:val="none"/>
          <w:lang w:val="en-US" w:eastAsia="zh-CN" w:bidi="ar-SA"/>
        </w:rPr>
        <w:t>，</w:t>
      </w:r>
      <w:r>
        <w:rPr>
          <w:rFonts w:hint="eastAsia" w:ascii="仿宋_GB2312" w:cs="Times New Roman"/>
          <w:b w:val="0"/>
          <w:bCs/>
          <w:color w:val="auto"/>
          <w:kern w:val="2"/>
          <w:sz w:val="28"/>
          <w:szCs w:val="28"/>
          <w:highlight w:val="none"/>
          <w:lang w:val="en-US" w:eastAsia="zh-CN" w:bidi="ar-SA"/>
        </w:rPr>
        <w:t>并对10s内未正常关闭的门有预警提示到平台，</w:t>
      </w:r>
      <w:r>
        <w:rPr>
          <w:rFonts w:hint="eastAsia" w:ascii="仿宋_GB2312" w:hAnsi="Times New Roman" w:eastAsia="仿宋_GB2312" w:cs="Times New Roman"/>
          <w:b w:val="0"/>
          <w:bCs/>
          <w:color w:val="auto"/>
          <w:kern w:val="2"/>
          <w:sz w:val="28"/>
          <w:szCs w:val="28"/>
          <w:highlight w:val="none"/>
          <w:lang w:val="en-US" w:eastAsia="zh-CN" w:bidi="ar-SA"/>
        </w:rPr>
        <w:t>实现</w:t>
      </w:r>
      <w:r>
        <w:rPr>
          <w:rFonts w:hint="eastAsia" w:ascii="仿宋_GB2312" w:cs="Times New Roman"/>
          <w:b w:val="0"/>
          <w:bCs/>
          <w:color w:val="auto"/>
          <w:kern w:val="2"/>
          <w:sz w:val="28"/>
          <w:szCs w:val="28"/>
          <w:highlight w:val="none"/>
          <w:lang w:val="en-US" w:eastAsia="zh-CN" w:bidi="ar-SA"/>
        </w:rPr>
        <w:t>安防的</w:t>
      </w:r>
      <w:r>
        <w:rPr>
          <w:rFonts w:hint="eastAsia" w:ascii="仿宋_GB2312" w:hAnsi="Times New Roman" w:eastAsia="仿宋_GB2312" w:cs="Times New Roman"/>
          <w:b w:val="0"/>
          <w:bCs/>
          <w:color w:val="auto"/>
          <w:kern w:val="2"/>
          <w:sz w:val="28"/>
          <w:szCs w:val="28"/>
          <w:highlight w:val="none"/>
          <w:lang w:val="en-US" w:eastAsia="zh-CN" w:bidi="ar-SA"/>
        </w:rPr>
        <w:t>统一管理。</w:t>
      </w:r>
    </w:p>
    <w:p>
      <w:pPr>
        <w:pStyle w:val="25"/>
        <w:rPr>
          <w:rFonts w:hint="eastAsia"/>
          <w:color w:val="auto"/>
          <w:highlight w:val="none"/>
          <w:lang w:val="en-US" w:eastAsia="zh-CN"/>
        </w:rPr>
      </w:pPr>
    </w:p>
    <w:p>
      <w:pPr>
        <w:spacing w:line="360" w:lineRule="auto"/>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工程量清单</w:t>
      </w:r>
      <w:r>
        <w:rPr>
          <w:rFonts w:hint="eastAsia" w:ascii="仿宋_GB2312" w:hAnsi="仿宋_GB2312" w:eastAsia="仿宋_GB2312" w:cs="仿宋_GB2312"/>
          <w:bCs/>
          <w:color w:val="auto"/>
          <w:sz w:val="28"/>
          <w:szCs w:val="28"/>
          <w:highlight w:val="none"/>
        </w:rPr>
        <w:t>：</w:t>
      </w:r>
    </w:p>
    <w:tbl>
      <w:tblPr>
        <w:tblStyle w:val="21"/>
        <w:tblW w:w="86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2160"/>
        <w:gridCol w:w="3300"/>
        <w:gridCol w:w="1104"/>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3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11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2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3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3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双目动态人脸识别机</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1.名称:人体生物特征识别</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4口POE交换机</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1.名称:4口POE交换机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2.功能:带POE供电</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门锁安装</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2.规格:280KG电磁吸力锁</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门禁开关</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1.名称:门禁按钮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门禁电源</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自动平移人行道闸</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1.名称:自动平移人行道闸</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2.规格:宽：1150cm;高：1150cm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1.名称:镀锌电线管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超五类网线</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1.名称:双绞线缆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2.规格及型号:符合设计要求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3.线缆敷设、水晶头制安、标记、卡接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4.测试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5.其他:符合规范要求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双绞线缆测试</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1.测试类别:双绞线缆测试</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链路</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路面切割</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沥青贯入式</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1.名称:路面恢复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2.用料:符合设计要求沥青</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3.厚度:5cm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系统调试</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2.通道数:符合设计要求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w:t>
            </w:r>
          </w:p>
        </w:tc>
      </w:tr>
    </w:tbl>
    <w:p>
      <w:pPr>
        <w:pStyle w:val="25"/>
        <w:jc w:val="center"/>
        <w:rPr>
          <w:rFonts w:hint="eastAsia" w:ascii="仿宋" w:hAnsi="仿宋" w:eastAsia="仿宋"/>
          <w:color w:val="auto"/>
          <w:sz w:val="30"/>
          <w:szCs w:val="30"/>
          <w:highlight w:val="none"/>
        </w:rPr>
      </w:pPr>
    </w:p>
    <w:p>
      <w:pPr>
        <w:pStyle w:val="2"/>
        <w:rPr>
          <w:rFonts w:hint="eastAsia" w:ascii="仿宋_GB2312" w:hAnsi="宋体" w:eastAsia="仿宋_GB2312" w:cs="宋体"/>
          <w:bCs/>
          <w:color w:val="auto"/>
          <w:kern w:val="0"/>
          <w:sz w:val="28"/>
          <w:szCs w:val="28"/>
          <w:highlight w:val="none"/>
        </w:rPr>
      </w:pPr>
      <w:r>
        <w:rPr>
          <w:rFonts w:asciiTheme="majorEastAsia" w:hAnsiTheme="majorEastAsia" w:eastAsiaTheme="majorEastAsia"/>
          <w:b w:val="0"/>
          <w:color w:val="auto"/>
          <w:sz w:val="28"/>
          <w:szCs w:val="28"/>
          <w:highlight w:val="none"/>
        </w:rPr>
        <w:t>6</w:t>
      </w:r>
      <w:bookmarkEnd w:id="101"/>
      <w:bookmarkEnd w:id="102"/>
      <w:bookmarkEnd w:id="103"/>
      <w:r>
        <w:rPr>
          <w:rFonts w:hint="eastAsia" w:cs="Times New Roman" w:asciiTheme="majorEastAsia" w:hAnsiTheme="majorEastAsia" w:eastAsiaTheme="majorEastAsia"/>
          <w:b w:val="0"/>
          <w:bCs/>
          <w:color w:val="auto"/>
          <w:kern w:val="2"/>
          <w:sz w:val="28"/>
          <w:szCs w:val="28"/>
          <w:highlight w:val="none"/>
          <w:lang w:val="en-US" w:eastAsia="zh-CN" w:bidi="ar-SA"/>
        </w:rPr>
        <w:t>项目其它要求</w:t>
      </w:r>
    </w:p>
    <w:p>
      <w:pPr>
        <w:pStyle w:val="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宋体" w:eastAsia="仿宋_GB2312" w:cs="宋体"/>
          <w:bCs/>
          <w:color w:val="auto"/>
          <w:kern w:val="0"/>
          <w:sz w:val="28"/>
          <w:szCs w:val="28"/>
          <w:highlight w:val="none"/>
          <w:lang w:val="en-US" w:eastAsia="zh-CN" w:bidi="ar-SA"/>
        </w:rPr>
      </w:pPr>
      <w:r>
        <w:rPr>
          <w:rFonts w:hint="default" w:ascii="仿宋_GB2312" w:hAnsi="宋体" w:eastAsia="仿宋_GB2312" w:cs="宋体"/>
          <w:bCs/>
          <w:color w:val="auto"/>
          <w:kern w:val="0"/>
          <w:sz w:val="28"/>
          <w:szCs w:val="28"/>
          <w:highlight w:val="none"/>
          <w:lang w:val="en-US" w:eastAsia="zh-CN" w:bidi="ar-SA"/>
        </w:rPr>
        <w:t>2.货物在质保期（自货物安装调试验收合格之日起1年。）内如有质量问题或未能适配原有设备时，供应商必须24小时内立即响应。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宋体" w:eastAsia="仿宋_GB2312" w:cs="宋体"/>
          <w:bCs/>
          <w:color w:val="auto"/>
          <w:kern w:val="0"/>
          <w:sz w:val="28"/>
          <w:szCs w:val="28"/>
          <w:highlight w:val="none"/>
          <w:lang w:val="en-US" w:eastAsia="zh-CN" w:bidi="ar-SA"/>
        </w:rPr>
      </w:pPr>
      <w:r>
        <w:rPr>
          <w:rFonts w:hint="eastAsia" w:ascii="仿宋_GB2312" w:hAnsi="宋体" w:eastAsia="仿宋_GB2312" w:cs="宋体"/>
          <w:bCs/>
          <w:color w:val="auto"/>
          <w:kern w:val="0"/>
          <w:sz w:val="28"/>
          <w:szCs w:val="28"/>
          <w:highlight w:val="none"/>
          <w:lang w:val="en-US" w:eastAsia="zh-CN" w:bidi="ar-SA"/>
        </w:rPr>
        <w:t>3.</w:t>
      </w:r>
      <w:r>
        <w:rPr>
          <w:rFonts w:hint="default" w:ascii="仿宋_GB2312" w:hAnsi="宋体" w:eastAsia="仿宋_GB2312" w:cs="宋体"/>
          <w:bCs/>
          <w:color w:val="auto"/>
          <w:kern w:val="0"/>
          <w:sz w:val="28"/>
          <w:szCs w:val="28"/>
          <w:highlight w:val="none"/>
          <w:lang w:val="en-US" w:eastAsia="zh-CN" w:bidi="ar-SA"/>
        </w:rPr>
        <w:t>付款方式：采用网银支付。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宋体" w:eastAsia="仿宋_GB2312" w:cs="宋体"/>
          <w:bCs/>
          <w:color w:val="auto"/>
          <w:kern w:val="0"/>
          <w:sz w:val="28"/>
          <w:szCs w:val="28"/>
          <w:highlight w:val="none"/>
          <w:lang w:val="en-US" w:eastAsia="zh-CN" w:bidi="ar-SA"/>
        </w:rPr>
      </w:pPr>
      <w:r>
        <w:rPr>
          <w:rFonts w:hint="eastAsia" w:ascii="仿宋_GB2312" w:hAnsi="宋体" w:eastAsia="仿宋_GB2312" w:cs="宋体"/>
          <w:bCs/>
          <w:color w:val="auto"/>
          <w:kern w:val="0"/>
          <w:sz w:val="28"/>
          <w:szCs w:val="28"/>
          <w:highlight w:val="none"/>
          <w:lang w:val="en-US" w:eastAsia="zh-CN" w:bidi="ar-SA"/>
        </w:rPr>
        <w:t>4.</w:t>
      </w:r>
      <w:r>
        <w:rPr>
          <w:rFonts w:hint="default" w:ascii="仿宋_GB2312" w:hAnsi="宋体" w:eastAsia="仿宋_GB2312" w:cs="宋体"/>
          <w:bCs/>
          <w:color w:val="auto"/>
          <w:kern w:val="0"/>
          <w:sz w:val="28"/>
          <w:szCs w:val="28"/>
          <w:highlight w:val="none"/>
          <w:lang w:val="en-US" w:eastAsia="zh-CN" w:bidi="ar-SA"/>
        </w:rPr>
        <w:t>自供应商履行完合同义务之日起15个工作日内组织验收，审定供应商供货的货物合格情况，进行结算审核。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宋体" w:eastAsia="仿宋_GB2312" w:cs="宋体"/>
          <w:bCs/>
          <w:color w:val="auto"/>
          <w:kern w:val="0"/>
          <w:sz w:val="28"/>
          <w:szCs w:val="28"/>
          <w:highlight w:val="none"/>
          <w:lang w:val="en-US" w:eastAsia="zh-CN" w:bidi="ar-SA"/>
        </w:rPr>
      </w:pPr>
      <w:r>
        <w:rPr>
          <w:rFonts w:hint="eastAsia" w:ascii="仿宋_GB2312" w:hAnsi="宋体" w:eastAsia="仿宋_GB2312" w:cs="宋体"/>
          <w:bCs/>
          <w:color w:val="auto"/>
          <w:kern w:val="0"/>
          <w:sz w:val="28"/>
          <w:szCs w:val="28"/>
          <w:highlight w:val="none"/>
          <w:lang w:val="en-US" w:eastAsia="zh-CN" w:bidi="ar-SA"/>
        </w:rPr>
        <w:t>5.</w:t>
      </w:r>
      <w:r>
        <w:rPr>
          <w:rFonts w:hint="default" w:ascii="仿宋_GB2312" w:hAnsi="宋体" w:eastAsia="仿宋_GB2312" w:cs="宋体"/>
          <w:bCs/>
          <w:color w:val="auto"/>
          <w:kern w:val="0"/>
          <w:sz w:val="28"/>
          <w:szCs w:val="28"/>
          <w:highlight w:val="none"/>
          <w:lang w:val="en-US" w:eastAsia="zh-CN" w:bidi="ar-SA"/>
        </w:rPr>
        <w:t>承包方式：单价包干。</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104" w:name="_Toc18538"/>
      <w:bookmarkStart w:id="105" w:name="_Toc1284"/>
      <w:bookmarkStart w:id="106" w:name="_Toc537"/>
      <w:bookmarkStart w:id="107" w:name="_Toc15570"/>
      <w:bookmarkStart w:id="108" w:name="_Toc23330"/>
      <w:bookmarkStart w:id="109" w:name="_Toc23353"/>
      <w:bookmarkStart w:id="110" w:name="_Toc4680"/>
      <w:bookmarkStart w:id="111" w:name="_Toc25925"/>
      <w:bookmarkStart w:id="112" w:name="_Toc12135"/>
      <w:bookmarkStart w:id="113" w:name="_Toc1496"/>
      <w:bookmarkStart w:id="114"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eeAMX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bPCvUBFxS4dtt42mHYxkz30ESb/0SEHYqqx7Oq6pCYoMOXs/l8RnqLB1f1&#10;mBciptfKW5aNmmOKoNsurb1zdHU+ToqosH+DiSpT4kNCLmoc6zP8dEbg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XngD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104"/>
      <w:bookmarkEnd w:id="105"/>
      <w:bookmarkEnd w:id="106"/>
      <w:bookmarkEnd w:id="107"/>
      <w:bookmarkEnd w:id="108"/>
      <w:bookmarkEnd w:id="109"/>
      <w:bookmarkEnd w:id="110"/>
      <w:bookmarkEnd w:id="111"/>
      <w:bookmarkEnd w:id="112"/>
      <w:bookmarkEnd w:id="113"/>
      <w:bookmarkEnd w:id="114"/>
    </w:p>
    <w:p>
      <w:pPr>
        <w:pStyle w:val="34"/>
        <w:rPr>
          <w:color w:val="auto"/>
          <w:highlight w:val="none"/>
        </w:rPr>
      </w:pPr>
    </w:p>
    <w:p>
      <w:pPr>
        <w:pStyle w:val="4"/>
        <w:rPr>
          <w:color w:val="auto"/>
          <w:highlight w:val="none"/>
        </w:rPr>
      </w:pPr>
      <w:bookmarkStart w:id="115" w:name="_Toc22501"/>
      <w:bookmarkStart w:id="116" w:name="_Toc13309"/>
      <w:bookmarkStart w:id="117" w:name="_Toc19088"/>
      <w:bookmarkStart w:id="118" w:name="_Toc12968"/>
      <w:bookmarkStart w:id="119" w:name="_Toc12721"/>
      <w:bookmarkStart w:id="120" w:name="_Toc8183"/>
      <w:bookmarkStart w:id="121" w:name="_Toc87616386"/>
      <w:bookmarkStart w:id="122" w:name="_Toc1375"/>
      <w:bookmarkStart w:id="123" w:name="_Toc88209949"/>
      <w:bookmarkStart w:id="124" w:name="_Toc19686"/>
      <w:bookmarkStart w:id="125" w:name="_Toc323"/>
      <w:bookmarkStart w:id="126" w:name="_Toc22797"/>
      <w:bookmarkStart w:id="127" w:name="_Toc12980"/>
      <w:r>
        <w:rPr>
          <w:rFonts w:hint="eastAsia"/>
          <w:color w:val="auto"/>
          <w:highlight w:val="none"/>
        </w:rPr>
        <w:t>合同</w:t>
      </w:r>
      <w:bookmarkEnd w:id="115"/>
      <w:bookmarkEnd w:id="116"/>
      <w:bookmarkEnd w:id="117"/>
      <w:bookmarkEnd w:id="118"/>
      <w:bookmarkEnd w:id="119"/>
      <w:bookmarkEnd w:id="120"/>
      <w:bookmarkEnd w:id="121"/>
      <w:bookmarkEnd w:id="122"/>
      <w:bookmarkEnd w:id="123"/>
      <w:bookmarkEnd w:id="124"/>
      <w:bookmarkEnd w:id="125"/>
      <w:bookmarkEnd w:id="126"/>
      <w:bookmarkEnd w:id="12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spacing w:line="0" w:lineRule="atLeast"/>
        <w:ind w:left="1506" w:hanging="1506" w:hangingChars="500"/>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p>
    <w:p>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hint="eastAsia" w:ascii="宋体" w:hAnsi="宋体" w:eastAsia="宋体" w:cs="宋体"/>
          <w:b/>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pStyle w:val="2"/>
        <w:rPr>
          <w:rFonts w:hint="eastAsia"/>
        </w:rPr>
      </w:pPr>
    </w:p>
    <w:p>
      <w:pPr>
        <w:spacing w:before="93" w:beforeLines="30" w:line="384"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u w:val="single"/>
          <w:lang w:val="en-US" w:eastAsia="zh-CN"/>
        </w:rPr>
        <w:t>广州市净水有限公司石井净水分公司生产区域道闸采购项目（第二次）</w:t>
      </w:r>
      <w:r>
        <w:rPr>
          <w:rFonts w:hint="eastAsia" w:ascii="宋体" w:hAnsi="宋体" w:eastAsia="宋体" w:cs="宋体"/>
          <w:color w:val="auto"/>
          <w:sz w:val="24"/>
          <w:szCs w:val="24"/>
          <w:highlight w:val="none"/>
          <w:u w:val="single"/>
          <w:lang w:eastAsia="zh-CN"/>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lang w:val="en-US" w:eastAsia="zh-CN"/>
        </w:rPr>
        <w:t xml:space="preserve">本项目共计安装46套人脸识别一体主机，门禁道闸13套，需要与已建设的智慧园区系统兼容，接入系统中统一管理。详见附件清单  </w:t>
      </w:r>
      <w:r>
        <w:rPr>
          <w:rFonts w:hint="eastAsia" w:ascii="仿宋_GB2312" w:eastAsia="仿宋_GB2312"/>
          <w:color w:val="auto"/>
          <w:sz w:val="28"/>
          <w:szCs w:val="28"/>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color w:val="auto"/>
          <w:highlight w:val="none"/>
        </w:rPr>
      </w:pPr>
    </w:p>
    <w:tbl>
      <w:tblPr>
        <w:tblStyle w:val="21"/>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autoSpaceDE/>
        <w:autoSpaceDN/>
        <w:adjustRightInd/>
        <w:spacing w:line="500" w:lineRule="exact"/>
        <w:ind w:firstLine="480" w:firstLineChars="200"/>
        <w:jc w:val="left"/>
        <w:rPr>
          <w:rFonts w:hint="eastAsia" w:asciiTheme="minorEastAsia" w:hAnsiTheme="minorEastAsia" w:cstheme="minorEastAsia"/>
          <w:color w:val="auto"/>
          <w:kern w:val="2"/>
          <w:sz w:val="24"/>
          <w:szCs w:val="24"/>
          <w:highlight w:val="none"/>
        </w:rPr>
      </w:pPr>
      <w:r>
        <w:rPr>
          <w:rFonts w:hint="eastAsia" w:asciiTheme="minorEastAsia" w:hAnsiTheme="minorEastAsia" w:cstheme="minorEastAsia"/>
          <w:color w:val="auto"/>
          <w:kern w:val="2"/>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5.9在合同有效期内，乙方自愿接受甲方按《广州市净水有限公司经营建设项目参建企业不诚信行为管理办法》、《营运项目承包单位日常履约考评参照表（安全）》处理，具体处理标准详见附件3。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F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eastAsia" w:hAnsi="宋体" w:eastAsia="宋体" w:cs="宋体"/>
          <w:color w:val="auto"/>
          <w:sz w:val="24"/>
          <w:szCs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乙方完成 设备到货且经甲方验收合格，由乙方提交申请支付资料 20 个工作日内，甲方支付至合同暂定总价的 60%即    元，（大写：       ）。</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u w:val="single"/>
          <w:lang w:val="en-US" w:eastAsia="zh-CN"/>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乙方完成系统建设且经甲方验收合格后 15日内，由乙方提交申请支付资料 20 个工作日内，甲方支付至合同暂定总价的 80%即       元，（大写：       ）。乙方提交工作总结报告，经甲方或甲方委托有资质第三方机构结算审核后，由乙方提交申请支付资料 15个工作日内，甲方支付至合同结算价的95%。</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0"/>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28" w:name="_Toc520190034"/>
      <w:bookmarkStart w:id="129" w:name="_Toc518992994"/>
      <w:bookmarkStart w:id="130" w:name="_Toc474245220"/>
      <w:r>
        <w:rPr>
          <w:rFonts w:hint="eastAsia" w:ascii="宋体" w:hAnsi="宋体" w:eastAsia="宋体" w:cs="宋体"/>
          <w:b/>
          <w:bCs/>
          <w:color w:val="auto"/>
          <w:sz w:val="24"/>
          <w:szCs w:val="24"/>
          <w:highlight w:val="none"/>
        </w:rPr>
        <w:t>质量保证</w:t>
      </w:r>
      <w:bookmarkEnd w:id="128"/>
      <w:bookmarkEnd w:id="129"/>
      <w:bookmarkEnd w:id="130"/>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31" w:name="_Toc107447255"/>
      <w:bookmarkStart w:id="132" w:name="_Toc19692"/>
      <w:bookmarkStart w:id="133" w:name="_Toc518993000"/>
      <w:bookmarkStart w:id="134" w:name="_Toc474245226"/>
      <w:bookmarkStart w:id="135" w:name="_Toc107446862"/>
      <w:bookmarkStart w:id="136" w:name="_Toc183666531"/>
      <w:bookmarkStart w:id="137" w:name="_Toc520190040"/>
      <w:bookmarkStart w:id="138" w:name="_Toc306350467"/>
      <w:r>
        <w:rPr>
          <w:rFonts w:hint="eastAsia" w:ascii="宋体" w:hAnsi="宋体" w:eastAsia="宋体" w:cs="宋体"/>
          <w:b/>
          <w:bCs/>
          <w:color w:val="auto"/>
          <w:sz w:val="24"/>
          <w:szCs w:val="24"/>
          <w:highlight w:val="none"/>
        </w:rPr>
        <w:t>第十一条不可抗力</w:t>
      </w:r>
      <w:bookmarkEnd w:id="131"/>
      <w:bookmarkEnd w:id="132"/>
      <w:bookmarkEnd w:id="133"/>
      <w:bookmarkEnd w:id="134"/>
      <w:bookmarkEnd w:id="135"/>
      <w:bookmarkEnd w:id="136"/>
      <w:bookmarkEnd w:id="137"/>
      <w:bookmarkEnd w:id="138"/>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39" w:name="_Toc12010"/>
      <w:bookmarkStart w:id="140" w:name="_Toc183666532"/>
      <w:bookmarkStart w:id="141" w:name="_Toc306350468"/>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2" w:name="_Toc474245227"/>
      <w:bookmarkStart w:id="143" w:name="_Toc107446864"/>
      <w:bookmarkStart w:id="144" w:name="_Toc118172294"/>
      <w:bookmarkStart w:id="145" w:name="_Toc520190041"/>
      <w:bookmarkStart w:id="146" w:name="_Toc107447257"/>
      <w:bookmarkStart w:id="147" w:name="_Toc518993001"/>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39"/>
      <w:bookmarkEnd w:id="140"/>
      <w:bookmarkEnd w:id="141"/>
      <w:bookmarkEnd w:id="142"/>
      <w:bookmarkEnd w:id="143"/>
      <w:bookmarkEnd w:id="144"/>
      <w:bookmarkEnd w:id="145"/>
      <w:bookmarkEnd w:id="146"/>
      <w:bookmarkEnd w:id="147"/>
    </w:p>
    <w:p>
      <w:pPr>
        <w:spacing w:line="384" w:lineRule="auto"/>
        <w:ind w:firstLine="482"/>
        <w:rPr>
          <w:rFonts w:ascii="宋体" w:hAnsi="宋体" w:eastAsia="宋体" w:cs="宋体"/>
          <w:bCs/>
          <w:color w:val="auto"/>
          <w:sz w:val="24"/>
          <w:szCs w:val="24"/>
          <w:highlight w:val="none"/>
        </w:rPr>
      </w:pPr>
      <w:bookmarkStart w:id="148" w:name="_Toc306350469"/>
      <w:bookmarkStart w:id="149" w:name="_Toc183666533"/>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48"/>
      <w:bookmarkEnd w:id="149"/>
      <w:bookmarkStart w:id="150" w:name="_Toc520190043"/>
      <w:bookmarkStart w:id="151" w:name="_Toc518993003"/>
      <w:bookmarkStart w:id="152" w:name="_Toc474245229"/>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53" w:name="_Toc107447264"/>
      <w:bookmarkStart w:id="154" w:name="_Toc107446871"/>
      <w:r>
        <w:rPr>
          <w:rFonts w:hint="eastAsia" w:ascii="宋体" w:hAnsi="宋体" w:eastAsia="宋体" w:cs="宋体"/>
          <w:b/>
          <w:bCs/>
          <w:color w:val="auto"/>
          <w:sz w:val="24"/>
          <w:szCs w:val="24"/>
          <w:highlight w:val="none"/>
        </w:rPr>
        <w:t>合同生效及其他</w:t>
      </w:r>
      <w:bookmarkEnd w:id="150"/>
      <w:bookmarkEnd w:id="151"/>
      <w:bookmarkEnd w:id="152"/>
      <w:bookmarkEnd w:id="153"/>
      <w:bookmarkEnd w:id="154"/>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left="718" w:leftChars="342"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9.授权委托证明（如需）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10.预付款保函</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                    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b/>
          <w:bCs/>
          <w:color w:val="auto"/>
          <w:szCs w:val="21"/>
          <w:highlight w:val="none"/>
        </w:rPr>
      </w:pPr>
      <w:bookmarkStart w:id="155" w:name="_Toc389815031"/>
      <w:bookmarkStart w:id="156" w:name="_Toc387080836"/>
      <w:bookmarkStart w:id="157" w:name="_Toc389815339"/>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tbl>
      <w:tblPr>
        <w:tblStyle w:val="21"/>
        <w:tblpPr w:leftFromText="180" w:rightFromText="180" w:vertAnchor="text" w:horzAnchor="page" w:tblpX="1200" w:tblpY="618"/>
        <w:tblOverlap w:val="never"/>
        <w:tblW w:w="10478" w:type="dxa"/>
        <w:tblInd w:w="0" w:type="dxa"/>
        <w:tblLayout w:type="autofit"/>
        <w:tblCellMar>
          <w:top w:w="0" w:type="dxa"/>
          <w:left w:w="0" w:type="dxa"/>
          <w:bottom w:w="0" w:type="dxa"/>
          <w:right w:w="0" w:type="dxa"/>
        </w:tblCellMar>
      </w:tblPr>
      <w:tblGrid>
        <w:gridCol w:w="420"/>
        <w:gridCol w:w="875"/>
        <w:gridCol w:w="729"/>
        <w:gridCol w:w="4362"/>
        <w:gridCol w:w="1023"/>
        <w:gridCol w:w="1023"/>
        <w:gridCol w:w="1023"/>
        <w:gridCol w:w="1023"/>
      </w:tblGrid>
      <w:tr>
        <w:tblPrEx>
          <w:tblCellMar>
            <w:top w:w="0" w:type="dxa"/>
            <w:left w:w="0" w:type="dxa"/>
            <w:bottom w:w="0" w:type="dxa"/>
            <w:right w:w="0" w:type="dxa"/>
          </w:tblCellMar>
        </w:tblPrEx>
        <w:trPr>
          <w:trHeight w:val="300" w:hRule="atLeast"/>
        </w:trPr>
        <w:tc>
          <w:tcPr>
            <w:tcW w:w="1295"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729"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36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10478"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3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09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3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或2000～3000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资料有问题扣合同金额的0.4%或2000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缺安全架构扣合同金额的10%或2000；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缺安全架构扣合同金额的2%或1万；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缺安全架构扣合同金额的1%或2万；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或300～500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或1000～2000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扣合同金额的0.5%～1%；</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或2500～4500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扣合同金额的0.3%～0.4%；</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10478"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
        <w:ind w:firstLine="0"/>
        <w:rPr>
          <w:rFonts w:cs="宋体"/>
          <w:b/>
          <w:bCs/>
          <w:color w:val="auto"/>
          <w:highlight w:val="none"/>
        </w:rPr>
      </w:pPr>
    </w:p>
    <w:p>
      <w:pPr>
        <w:pStyle w:val="2"/>
        <w:ind w:firstLine="0"/>
        <w:rPr>
          <w:rFonts w:cs="宋体"/>
          <w:b/>
          <w:bCs/>
          <w:color w:val="auto"/>
          <w:highlight w:val="none"/>
        </w:rPr>
      </w:pPr>
    </w:p>
    <w:tbl>
      <w:tblPr>
        <w:tblStyle w:val="21"/>
        <w:tblW w:w="9300"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缺安全架构扣5～10分/项；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rFonts w:hint="eastAsia"/>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rFonts w:hint="eastAsia"/>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rFonts w:hint="eastAsia"/>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rFonts w:hint="eastAsia"/>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rFonts w:hint="eastAsia"/>
                <w:color w:val="auto"/>
                <w:sz w:val="13"/>
                <w:szCs w:val="13"/>
                <w:highlight w:val="none"/>
              </w:rPr>
              <w:br w:type="textWrapping"/>
            </w:r>
            <w:r>
              <w:rPr>
                <w:rFonts w:hint="eastAsia"/>
                <w:color w:val="auto"/>
                <w:sz w:val="13"/>
                <w:szCs w:val="13"/>
                <w:highlight w:val="none"/>
              </w:rPr>
              <w:t xml:space="preserve">    6、最后得分=综合考评总分X类别系数；</w:t>
            </w:r>
            <w:r>
              <w:rPr>
                <w:rFonts w:hint="eastAsia"/>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spacing w:line="360" w:lineRule="auto"/>
        <w:rPr>
          <w:rFonts w:ascii="宋体" w:hAnsi="宋体" w:eastAsia="宋体" w:cs="Times New Roman"/>
          <w:b/>
          <w:color w:val="auto"/>
          <w:sz w:val="24"/>
          <w:szCs w:val="24"/>
          <w:highlight w:val="none"/>
        </w:rPr>
      </w:pPr>
    </w:p>
    <w:p>
      <w:pPr>
        <w:spacing w:line="360" w:lineRule="auto"/>
        <w:rPr>
          <w:rFonts w:ascii="宋体" w:hAnsi="宋体" w:eastAsia="宋体" w:cs="宋体"/>
          <w:b/>
          <w:color w:val="auto"/>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附件4：</w:t>
      </w:r>
      <w:bookmarkEnd w:id="155"/>
      <w:bookmarkEnd w:id="156"/>
      <w:bookmarkEnd w:id="157"/>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58"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58"/>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Cs w:val="21"/>
          <w:highlight w:val="none"/>
        </w:rPr>
        <w:t>附件5：</w:t>
      </w: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tbl>
      <w:tblPr>
        <w:tblStyle w:val="21"/>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432"/>
        <w:gridCol w:w="87"/>
        <w:gridCol w:w="1994"/>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86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6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99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4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0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229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87"/>
        <w:gridCol w:w="2833"/>
        <w:gridCol w:w="297"/>
        <w:gridCol w:w="595"/>
        <w:gridCol w:w="690"/>
        <w:gridCol w:w="175"/>
        <w:gridCol w:w="824"/>
        <w:gridCol w:w="101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83"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7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1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9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双目动态人脸识别机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1.名称:人体生物特征识别</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4口POE交换机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1.名称:4口POE交换机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2.功能:带POE供电</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门锁安装</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2.规格:280KG电磁吸力锁</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门禁开关</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1.名称:门禁按钮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门禁电源</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自动平移人行道闸</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1.名称:自动平移人行道闸</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2.规格:宽：1150cm;高：1150cm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1.名称:镀锌电线管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超五类网线</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1.名称:双绞线缆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2.规格及型号:符合设计要求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3.线缆敷设、水晶头制安、标记、卡接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4.测试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5.其他:符合规范要求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双绞线缆测试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1.测试类别:双绞线缆测试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链路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路面切割</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沥青贯入式</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1.名称:路面恢复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2.用料:符合设计要求沥青</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系统调试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2.通道数:符合设计要求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
        <w:gridCol w:w="1719"/>
        <w:gridCol w:w="6"/>
        <w:gridCol w:w="1601"/>
        <w:gridCol w:w="9"/>
        <w:gridCol w:w="900"/>
        <w:gridCol w:w="10"/>
        <w:gridCol w:w="77"/>
        <w:gridCol w:w="1294"/>
        <w:gridCol w:w="11"/>
        <w:gridCol w:w="783"/>
        <w:gridCol w:w="192"/>
        <w:gridCol w:w="12"/>
        <w:gridCol w:w="947"/>
        <w:gridCol w:w="13"/>
        <w:gridCol w:w="1281"/>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966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5127"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208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4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2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8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费率(%)</w:t>
            </w:r>
          </w:p>
        </w:tc>
        <w:tc>
          <w:tcPr>
            <w:tcW w:w="95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59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21360.19</w:t>
            </w: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86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35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8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72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bl>
    <w:p>
      <w:pPr>
        <w:spacing w:line="360" w:lineRule="auto"/>
        <w:rPr>
          <w:rFonts w:ascii="宋体" w:hAnsi="宋体" w:eastAsia="宋体" w:cs="宋体"/>
          <w:b/>
          <w:bCs/>
          <w:color w:val="auto"/>
          <w:szCs w:val="21"/>
          <w:highlight w:val="none"/>
        </w:rPr>
      </w:pPr>
    </w:p>
    <w:tbl>
      <w:tblPr>
        <w:tblStyle w:val="21"/>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2861"/>
        <w:gridCol w:w="4"/>
        <w:gridCol w:w="1097"/>
        <w:gridCol w:w="781"/>
        <w:gridCol w:w="5"/>
        <w:gridCol w:w="1008"/>
        <w:gridCol w:w="510"/>
        <w:gridCol w:w="7"/>
        <w:gridCol w:w="2056"/>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6998" w:type="dxa"/>
            <w:gridSpan w:val="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2572" w:type="dxa"/>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957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520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75" w:hRule="atLeast"/>
        </w:trPr>
        <w:tc>
          <w:tcPr>
            <w:tcW w:w="12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8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8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52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206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32236.61</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8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06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rPr>
          <w:color w:val="auto"/>
          <w:highlight w:val="none"/>
        </w:rPr>
      </w:pPr>
    </w:p>
    <w:tbl>
      <w:tblPr>
        <w:tblStyle w:val="21"/>
        <w:tblW w:w="10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053"/>
        <w:gridCol w:w="2832"/>
        <w:gridCol w:w="228"/>
        <w:gridCol w:w="1454"/>
        <w:gridCol w:w="18"/>
        <w:gridCol w:w="899"/>
        <w:gridCol w:w="8"/>
        <w:gridCol w:w="1491"/>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1005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95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9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5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9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4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3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5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附件6 ：项目投入人员架构表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附件10</w:t>
      </w: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预付款保函模板</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pStyle w:val="2"/>
        <w:rPr>
          <w:color w:val="auto"/>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4"/>
        <w:jc w:val="both"/>
        <w:rPr>
          <w:color w:val="auto"/>
          <w:highlight w:val="none"/>
        </w:rPr>
      </w:pPr>
      <w:bookmarkStart w:id="159" w:name="_Toc23515"/>
      <w:bookmarkStart w:id="160" w:name="_Toc12169"/>
      <w:bookmarkStart w:id="161" w:name="_Toc6230"/>
      <w:bookmarkStart w:id="162" w:name="_Toc16552"/>
      <w:bookmarkStart w:id="163" w:name="_Toc30824"/>
      <w:bookmarkStart w:id="164" w:name="_Toc8147"/>
      <w:bookmarkStart w:id="165" w:name="_Toc1563"/>
      <w:bookmarkStart w:id="166" w:name="_Toc28358"/>
      <w:bookmarkStart w:id="167" w:name="_Toc21847"/>
      <w:bookmarkStart w:id="168" w:name="_Toc5129"/>
      <w:bookmarkStart w:id="169" w:name="_Toc3723"/>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59"/>
      <w:bookmarkEnd w:id="160"/>
      <w:bookmarkEnd w:id="161"/>
      <w:bookmarkEnd w:id="162"/>
      <w:bookmarkEnd w:id="163"/>
      <w:bookmarkEnd w:id="164"/>
      <w:bookmarkEnd w:id="165"/>
      <w:bookmarkEnd w:id="166"/>
      <w:bookmarkEnd w:id="167"/>
      <w:bookmarkEnd w:id="168"/>
      <w:bookmarkEnd w:id="169"/>
    </w:p>
    <w:p>
      <w:pPr>
        <w:pStyle w:val="34"/>
        <w:rPr>
          <w:color w:val="auto"/>
          <w:highlight w:val="none"/>
        </w:rPr>
      </w:pPr>
    </w:p>
    <w:p>
      <w:pPr>
        <w:pStyle w:val="4"/>
        <w:rPr>
          <w:color w:val="auto"/>
          <w:highlight w:val="none"/>
        </w:rPr>
      </w:pPr>
      <w:bookmarkStart w:id="170" w:name="_Toc22764"/>
      <w:bookmarkStart w:id="171" w:name="_Toc30157"/>
      <w:bookmarkStart w:id="172" w:name="_Toc31564"/>
      <w:bookmarkStart w:id="173" w:name="_Toc17119"/>
      <w:bookmarkStart w:id="174" w:name="_Toc88209951"/>
      <w:bookmarkStart w:id="175" w:name="_Toc87616388"/>
      <w:bookmarkStart w:id="176" w:name="_Toc10840"/>
      <w:bookmarkStart w:id="177" w:name="_Toc21675"/>
      <w:bookmarkStart w:id="178" w:name="_Toc24490"/>
      <w:bookmarkStart w:id="179" w:name="_Toc24815"/>
      <w:bookmarkStart w:id="180" w:name="_Toc12610"/>
      <w:bookmarkStart w:id="181" w:name="_Toc5342"/>
      <w:bookmarkStart w:id="182" w:name="_Toc12769"/>
      <w:r>
        <w:rPr>
          <w:rFonts w:hint="eastAsia"/>
          <w:color w:val="auto"/>
          <w:highlight w:val="none"/>
        </w:rPr>
        <w:t>响应文件格式要求</w:t>
      </w:r>
      <w:bookmarkEnd w:id="170"/>
      <w:bookmarkEnd w:id="171"/>
      <w:bookmarkEnd w:id="172"/>
      <w:bookmarkEnd w:id="173"/>
      <w:bookmarkEnd w:id="174"/>
      <w:bookmarkEnd w:id="175"/>
      <w:bookmarkEnd w:id="176"/>
      <w:bookmarkEnd w:id="177"/>
      <w:bookmarkEnd w:id="178"/>
      <w:bookmarkEnd w:id="179"/>
      <w:bookmarkEnd w:id="180"/>
      <w:bookmarkEnd w:id="181"/>
      <w:bookmarkEnd w:id="1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83" w:name="_Toc88209952"/>
      <w:bookmarkStart w:id="184" w:name="_Toc87616389"/>
      <w:r>
        <w:rPr>
          <w:rFonts w:hint="eastAsia" w:ascii="仿宋_GB2312" w:eastAsia="仿宋_GB2312"/>
          <w:color w:val="auto"/>
          <w:sz w:val="28"/>
          <w:szCs w:val="28"/>
          <w:highlight w:val="none"/>
        </w:rPr>
        <w:t>1.响应函</w:t>
      </w:r>
      <w:bookmarkEnd w:id="183"/>
      <w:bookmarkEnd w:id="184"/>
    </w:p>
    <w:p>
      <w:pPr>
        <w:spacing w:line="600" w:lineRule="exact"/>
        <w:rPr>
          <w:rFonts w:ascii="仿宋_GB2312" w:eastAsia="仿宋_GB2312"/>
          <w:color w:val="auto"/>
          <w:sz w:val="28"/>
          <w:szCs w:val="28"/>
          <w:highlight w:val="none"/>
        </w:rPr>
      </w:pPr>
      <w:bookmarkStart w:id="185" w:name="_Toc87616390"/>
      <w:bookmarkStart w:id="186" w:name="_Toc88209953"/>
      <w:r>
        <w:rPr>
          <w:rFonts w:hint="eastAsia" w:ascii="仿宋_GB2312" w:eastAsia="仿宋_GB2312"/>
          <w:color w:val="auto"/>
          <w:sz w:val="28"/>
          <w:szCs w:val="28"/>
          <w:highlight w:val="none"/>
        </w:rPr>
        <w:t>2.法定代表人证明或授权委托书</w:t>
      </w:r>
      <w:bookmarkEnd w:id="185"/>
      <w:bookmarkEnd w:id="186"/>
      <w:bookmarkStart w:id="187" w:name="_Toc88209956"/>
      <w:bookmarkStart w:id="18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87"/>
      <w:bookmarkEnd w:id="188"/>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color w:val="auto"/>
          <w:sz w:val="24"/>
          <w:szCs w:val="24"/>
          <w:highlight w:val="none"/>
        </w:rPr>
      </w:pPr>
    </w:p>
    <w:p>
      <w:pPr>
        <w:pStyle w:val="6"/>
        <w:rPr>
          <w:rFonts w:asciiTheme="minorEastAsia" w:hAnsiTheme="minorEastAsia" w:eastAsiaTheme="minorEastAsia"/>
          <w:color w:val="auto"/>
          <w:sz w:val="28"/>
          <w:szCs w:val="28"/>
          <w:highlight w:val="none"/>
        </w:rPr>
      </w:pPr>
      <w:bookmarkStart w:id="189" w:name="_Toc88209957"/>
      <w:bookmarkStart w:id="190" w:name="_Toc6313"/>
      <w:bookmarkStart w:id="191" w:name="_Toc12665"/>
      <w:bookmarkStart w:id="192" w:name="_Toc87616394"/>
      <w:bookmarkStart w:id="193" w:name="_Toc28619645"/>
      <w:r>
        <w:rPr>
          <w:rFonts w:hint="eastAsia" w:asciiTheme="minorEastAsia" w:hAnsiTheme="minorEastAsia" w:eastAsiaTheme="minorEastAsia"/>
          <w:color w:val="auto"/>
          <w:sz w:val="28"/>
          <w:szCs w:val="28"/>
          <w:highlight w:val="none"/>
        </w:rPr>
        <w:t>1.响应函</w:t>
      </w:r>
      <w:bookmarkEnd w:id="189"/>
      <w:bookmarkEnd w:id="190"/>
      <w:bookmarkEnd w:id="191"/>
      <w:bookmarkEnd w:id="192"/>
      <w:bookmarkEnd w:id="19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94" w:name="_Toc88209958"/>
      <w:bookmarkStart w:id="195" w:name="_Toc29833"/>
      <w:bookmarkStart w:id="196" w:name="_Toc87616395"/>
      <w:bookmarkStart w:id="197"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94"/>
      <w:bookmarkEnd w:id="195"/>
      <w:bookmarkEnd w:id="196"/>
      <w:bookmarkEnd w:id="19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4"/>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98" w:name="_Toc87616400"/>
      <w:bookmarkStart w:id="199" w:name="_Toc88209963"/>
      <w:bookmarkStart w:id="200" w:name="_Toc8086"/>
      <w:bookmarkStart w:id="201"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98"/>
      <w:bookmarkEnd w:id="199"/>
      <w:bookmarkEnd w:id="200"/>
      <w:bookmarkEnd w:id="20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202"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202"/>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203" w:name="_Toc19423"/>
      <w:bookmarkStart w:id="204"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203"/>
      <w:bookmarkEnd w:id="204"/>
    </w:p>
    <w:tbl>
      <w:tblPr>
        <w:tblStyle w:val="21"/>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432"/>
        <w:gridCol w:w="87"/>
        <w:gridCol w:w="1994"/>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86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6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99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4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0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229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87"/>
        <w:gridCol w:w="2833"/>
        <w:gridCol w:w="297"/>
        <w:gridCol w:w="595"/>
        <w:gridCol w:w="690"/>
        <w:gridCol w:w="175"/>
        <w:gridCol w:w="824"/>
        <w:gridCol w:w="101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83"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7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1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9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双目动态人脸识别机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1.名称:人体生物特征识别</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4口POE交换机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1.名称:4口POE交换机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2.功能:带POE供电</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门锁安装</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2.规格:280KG电磁吸力锁</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门禁开关</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1.名称:门禁按钮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门禁电源</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自动平移人行道闸</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1.名称:自动平移人行道闸</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2.规格:宽：1150cm;高：1150cm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1.名称:镀锌电线管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超五类网线</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1.名称:双绞线缆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2.规格及型号:符合设计要求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3.线缆敷设、水晶头制安、标记、卡接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4.测试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5.其他:符合规范要求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双绞线缆测试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1.测试类别:双绞线缆测试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链路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路面切割</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沥青贯入式</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1.名称:路面恢复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2.用料:符合设计要求沥青</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系统调试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2.通道数:符合设计要求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
        <w:gridCol w:w="1719"/>
        <w:gridCol w:w="6"/>
        <w:gridCol w:w="1601"/>
        <w:gridCol w:w="9"/>
        <w:gridCol w:w="900"/>
        <w:gridCol w:w="10"/>
        <w:gridCol w:w="77"/>
        <w:gridCol w:w="1294"/>
        <w:gridCol w:w="11"/>
        <w:gridCol w:w="783"/>
        <w:gridCol w:w="192"/>
        <w:gridCol w:w="12"/>
        <w:gridCol w:w="947"/>
        <w:gridCol w:w="13"/>
        <w:gridCol w:w="1281"/>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966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5127"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208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4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2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8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费率(%)</w:t>
            </w:r>
          </w:p>
        </w:tc>
        <w:tc>
          <w:tcPr>
            <w:tcW w:w="95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59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21360.19</w:t>
            </w: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86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35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8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72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bl>
    <w:p>
      <w:pPr>
        <w:spacing w:line="360" w:lineRule="auto"/>
        <w:rPr>
          <w:rFonts w:ascii="宋体" w:hAnsi="宋体" w:eastAsia="宋体" w:cs="宋体"/>
          <w:b/>
          <w:bCs/>
          <w:color w:val="auto"/>
          <w:szCs w:val="21"/>
          <w:highlight w:val="none"/>
        </w:rPr>
      </w:pPr>
    </w:p>
    <w:tbl>
      <w:tblPr>
        <w:tblStyle w:val="21"/>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2861"/>
        <w:gridCol w:w="4"/>
        <w:gridCol w:w="1097"/>
        <w:gridCol w:w="781"/>
        <w:gridCol w:w="5"/>
        <w:gridCol w:w="1008"/>
        <w:gridCol w:w="510"/>
        <w:gridCol w:w="7"/>
        <w:gridCol w:w="2056"/>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6998" w:type="dxa"/>
            <w:gridSpan w:val="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2572" w:type="dxa"/>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957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520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75" w:hRule="atLeast"/>
        </w:trPr>
        <w:tc>
          <w:tcPr>
            <w:tcW w:w="12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8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8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52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206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32236.61</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8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06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rPr>
          <w:color w:val="auto"/>
          <w:highlight w:val="none"/>
        </w:rPr>
      </w:pPr>
    </w:p>
    <w:tbl>
      <w:tblPr>
        <w:tblStyle w:val="21"/>
        <w:tblW w:w="10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053"/>
        <w:gridCol w:w="2832"/>
        <w:gridCol w:w="228"/>
        <w:gridCol w:w="1454"/>
        <w:gridCol w:w="18"/>
        <w:gridCol w:w="899"/>
        <w:gridCol w:w="8"/>
        <w:gridCol w:w="1491"/>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 w:type="dxa"/>
          <w:trHeight w:val="795" w:hRule="atLeast"/>
        </w:trPr>
        <w:tc>
          <w:tcPr>
            <w:tcW w:w="1005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95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9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5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9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4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3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5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6"/>
        <w:rPr>
          <w:rFonts w:hint="eastAsia" w:eastAsiaTheme="majorEastAsia"/>
          <w:color w:val="auto"/>
          <w:highlight w:val="none"/>
          <w:lang w:val="en-US" w:eastAsia="zh-CN"/>
        </w:rPr>
      </w:pPr>
      <w:bookmarkStart w:id="205" w:name="_Toc6058"/>
      <w:bookmarkStart w:id="206" w:name="_Toc88209965"/>
      <w:bookmarkStart w:id="207" w:name="_Toc87616402"/>
      <w:bookmarkStart w:id="208" w:name="_Toc16386"/>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205"/>
      <w:bookmarkEnd w:id="206"/>
      <w:bookmarkEnd w:id="207"/>
      <w:bookmarkEnd w:id="208"/>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供应商须提交的石井净水厂生产区域道闸实施方案和施工计划。</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加盖单位公章</w:t>
      </w:r>
      <w:r>
        <w:rPr>
          <w:rFonts w:hint="eastAsia" w:ascii="仿宋_GB2312" w:eastAsia="仿宋_GB2312" w:hAnsiTheme="minorEastAsia"/>
          <w:color w:val="auto"/>
          <w:sz w:val="28"/>
          <w:szCs w:val="28"/>
          <w:highlight w:val="none"/>
          <w:lang w:eastAsia="zh-CN"/>
        </w:rPr>
        <w:t>）</w:t>
      </w: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B43CF"/>
    <w:multiLevelType w:val="singleLevel"/>
    <w:tmpl w:val="9A4B43CF"/>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C1A41"/>
    <w:rsid w:val="00FF0676"/>
    <w:rsid w:val="00FF06E0"/>
    <w:rsid w:val="013E3461"/>
    <w:rsid w:val="018067F2"/>
    <w:rsid w:val="018C2CBC"/>
    <w:rsid w:val="01BB0F13"/>
    <w:rsid w:val="02090C75"/>
    <w:rsid w:val="024F166C"/>
    <w:rsid w:val="029A7D90"/>
    <w:rsid w:val="02A23A3C"/>
    <w:rsid w:val="02D05EBE"/>
    <w:rsid w:val="035D130A"/>
    <w:rsid w:val="039110A9"/>
    <w:rsid w:val="03AC246A"/>
    <w:rsid w:val="03AE6061"/>
    <w:rsid w:val="03B23056"/>
    <w:rsid w:val="03DA023E"/>
    <w:rsid w:val="03DC3EBA"/>
    <w:rsid w:val="03F9794D"/>
    <w:rsid w:val="04377393"/>
    <w:rsid w:val="046A2461"/>
    <w:rsid w:val="051C2970"/>
    <w:rsid w:val="060C3611"/>
    <w:rsid w:val="063858F6"/>
    <w:rsid w:val="06C64829"/>
    <w:rsid w:val="070E7B6E"/>
    <w:rsid w:val="071D62B7"/>
    <w:rsid w:val="076D41A6"/>
    <w:rsid w:val="077D16D2"/>
    <w:rsid w:val="07F13FAE"/>
    <w:rsid w:val="082A69F3"/>
    <w:rsid w:val="08675FC8"/>
    <w:rsid w:val="09730B1D"/>
    <w:rsid w:val="09B713FD"/>
    <w:rsid w:val="09EF6ACC"/>
    <w:rsid w:val="09F47D86"/>
    <w:rsid w:val="0A315056"/>
    <w:rsid w:val="0AA213B4"/>
    <w:rsid w:val="0AF61C7E"/>
    <w:rsid w:val="0AFB45AD"/>
    <w:rsid w:val="0B2A2DD3"/>
    <w:rsid w:val="0B351E9B"/>
    <w:rsid w:val="0B4C50D3"/>
    <w:rsid w:val="0B806B92"/>
    <w:rsid w:val="0B827E94"/>
    <w:rsid w:val="0B842F76"/>
    <w:rsid w:val="0BD070E1"/>
    <w:rsid w:val="0BD65B6B"/>
    <w:rsid w:val="0C2361E7"/>
    <w:rsid w:val="0C247926"/>
    <w:rsid w:val="0C4B30C4"/>
    <w:rsid w:val="0D19191D"/>
    <w:rsid w:val="0D794204"/>
    <w:rsid w:val="0DA74285"/>
    <w:rsid w:val="0E2125D1"/>
    <w:rsid w:val="0E214211"/>
    <w:rsid w:val="0E5F2769"/>
    <w:rsid w:val="0EDF2E00"/>
    <w:rsid w:val="0F4D75A3"/>
    <w:rsid w:val="0F5B2DCA"/>
    <w:rsid w:val="0FC05ED4"/>
    <w:rsid w:val="0FED051E"/>
    <w:rsid w:val="0FEE4C29"/>
    <w:rsid w:val="10031608"/>
    <w:rsid w:val="10046082"/>
    <w:rsid w:val="104974DD"/>
    <w:rsid w:val="111703D2"/>
    <w:rsid w:val="112B101A"/>
    <w:rsid w:val="116E717D"/>
    <w:rsid w:val="119B53FC"/>
    <w:rsid w:val="1215733B"/>
    <w:rsid w:val="12424CDC"/>
    <w:rsid w:val="129A2738"/>
    <w:rsid w:val="12B56BF1"/>
    <w:rsid w:val="12CB1A89"/>
    <w:rsid w:val="131840FB"/>
    <w:rsid w:val="13467417"/>
    <w:rsid w:val="136E76CF"/>
    <w:rsid w:val="14123C2A"/>
    <w:rsid w:val="145F08C6"/>
    <w:rsid w:val="14E43F59"/>
    <w:rsid w:val="14EA0703"/>
    <w:rsid w:val="15007F26"/>
    <w:rsid w:val="156C6870"/>
    <w:rsid w:val="15776308"/>
    <w:rsid w:val="15BC6B3C"/>
    <w:rsid w:val="15CC3F5D"/>
    <w:rsid w:val="160A31D3"/>
    <w:rsid w:val="16360A7B"/>
    <w:rsid w:val="164D40B0"/>
    <w:rsid w:val="1694429A"/>
    <w:rsid w:val="16EA20E0"/>
    <w:rsid w:val="171B1048"/>
    <w:rsid w:val="17635326"/>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BC4704"/>
    <w:rsid w:val="1EF932A5"/>
    <w:rsid w:val="1F172EB5"/>
    <w:rsid w:val="1F94592D"/>
    <w:rsid w:val="1FB02B8E"/>
    <w:rsid w:val="1FB860DE"/>
    <w:rsid w:val="203C5A02"/>
    <w:rsid w:val="20457135"/>
    <w:rsid w:val="209D4C94"/>
    <w:rsid w:val="20B44FCD"/>
    <w:rsid w:val="20E84705"/>
    <w:rsid w:val="218400BA"/>
    <w:rsid w:val="21AB1E2F"/>
    <w:rsid w:val="21D40498"/>
    <w:rsid w:val="22493963"/>
    <w:rsid w:val="22767047"/>
    <w:rsid w:val="22EB3FC4"/>
    <w:rsid w:val="23294AEC"/>
    <w:rsid w:val="23A05588"/>
    <w:rsid w:val="240476A1"/>
    <w:rsid w:val="24E40975"/>
    <w:rsid w:val="25431AEB"/>
    <w:rsid w:val="25BE3BFB"/>
    <w:rsid w:val="25BF43FD"/>
    <w:rsid w:val="25C30AA1"/>
    <w:rsid w:val="25F86BCD"/>
    <w:rsid w:val="2605748B"/>
    <w:rsid w:val="26396D26"/>
    <w:rsid w:val="264544A6"/>
    <w:rsid w:val="267702FB"/>
    <w:rsid w:val="267947E9"/>
    <w:rsid w:val="269E416A"/>
    <w:rsid w:val="26C11C6B"/>
    <w:rsid w:val="272100D3"/>
    <w:rsid w:val="272C72FC"/>
    <w:rsid w:val="275131CB"/>
    <w:rsid w:val="278F6521"/>
    <w:rsid w:val="27E172F9"/>
    <w:rsid w:val="27EB149D"/>
    <w:rsid w:val="27FD3E52"/>
    <w:rsid w:val="28AD07CC"/>
    <w:rsid w:val="28E11370"/>
    <w:rsid w:val="294A756A"/>
    <w:rsid w:val="29781BF8"/>
    <w:rsid w:val="29C33ED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E4336"/>
    <w:rsid w:val="3A6007FE"/>
    <w:rsid w:val="3A802587"/>
    <w:rsid w:val="3A852164"/>
    <w:rsid w:val="3AF93D6C"/>
    <w:rsid w:val="3AFD06C8"/>
    <w:rsid w:val="3B7C2CE4"/>
    <w:rsid w:val="3BAF716B"/>
    <w:rsid w:val="3BF21AC7"/>
    <w:rsid w:val="3C0B5355"/>
    <w:rsid w:val="3C4A19EF"/>
    <w:rsid w:val="3CD4176B"/>
    <w:rsid w:val="3D1F44D9"/>
    <w:rsid w:val="3D5C38CD"/>
    <w:rsid w:val="3E5070F1"/>
    <w:rsid w:val="3E6D1CF1"/>
    <w:rsid w:val="3E7F0DAE"/>
    <w:rsid w:val="3E9A01F4"/>
    <w:rsid w:val="3EC06A6A"/>
    <w:rsid w:val="3EC370CB"/>
    <w:rsid w:val="3F6C3589"/>
    <w:rsid w:val="3F78332B"/>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A532F6"/>
    <w:rsid w:val="45093E85"/>
    <w:rsid w:val="45C13B4D"/>
    <w:rsid w:val="46054BCA"/>
    <w:rsid w:val="464C6AFC"/>
    <w:rsid w:val="468B0091"/>
    <w:rsid w:val="46A107C3"/>
    <w:rsid w:val="46B15CE2"/>
    <w:rsid w:val="46BE113D"/>
    <w:rsid w:val="46E44B13"/>
    <w:rsid w:val="4703508A"/>
    <w:rsid w:val="472B40E0"/>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27634"/>
    <w:rsid w:val="49CF518D"/>
    <w:rsid w:val="4A1F42D0"/>
    <w:rsid w:val="4A221E36"/>
    <w:rsid w:val="4A7F3979"/>
    <w:rsid w:val="4ADA1F63"/>
    <w:rsid w:val="4AE23D89"/>
    <w:rsid w:val="4B014840"/>
    <w:rsid w:val="4B202D2A"/>
    <w:rsid w:val="4B2038D0"/>
    <w:rsid w:val="4B296E7D"/>
    <w:rsid w:val="4B79394E"/>
    <w:rsid w:val="4B7C7D30"/>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5E241D5"/>
    <w:rsid w:val="561A0928"/>
    <w:rsid w:val="56423872"/>
    <w:rsid w:val="569E06BC"/>
    <w:rsid w:val="56B279F0"/>
    <w:rsid w:val="56CF7548"/>
    <w:rsid w:val="56F20F86"/>
    <w:rsid w:val="579D710E"/>
    <w:rsid w:val="581F22F6"/>
    <w:rsid w:val="583E4749"/>
    <w:rsid w:val="586E1E17"/>
    <w:rsid w:val="58862C35"/>
    <w:rsid w:val="58C14957"/>
    <w:rsid w:val="58CC23D2"/>
    <w:rsid w:val="58E66050"/>
    <w:rsid w:val="596E4C89"/>
    <w:rsid w:val="59FC7994"/>
    <w:rsid w:val="5A0A173D"/>
    <w:rsid w:val="5AE83A50"/>
    <w:rsid w:val="5B2E764E"/>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AD3C17"/>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CB09D8"/>
    <w:rsid w:val="67EE3B0F"/>
    <w:rsid w:val="680A5986"/>
    <w:rsid w:val="680D5F4B"/>
    <w:rsid w:val="68113F51"/>
    <w:rsid w:val="681165A2"/>
    <w:rsid w:val="68E94770"/>
    <w:rsid w:val="68F949C9"/>
    <w:rsid w:val="695A4290"/>
    <w:rsid w:val="6A334932"/>
    <w:rsid w:val="6A3353FF"/>
    <w:rsid w:val="6A5D63E6"/>
    <w:rsid w:val="6A5F24D1"/>
    <w:rsid w:val="6A6F5E3C"/>
    <w:rsid w:val="6ACA70C4"/>
    <w:rsid w:val="6AE347EB"/>
    <w:rsid w:val="6B330365"/>
    <w:rsid w:val="6B434AF0"/>
    <w:rsid w:val="6B57675A"/>
    <w:rsid w:val="6B87098A"/>
    <w:rsid w:val="6B9F6CC6"/>
    <w:rsid w:val="6BDD7B4D"/>
    <w:rsid w:val="6C44786E"/>
    <w:rsid w:val="6D747CDF"/>
    <w:rsid w:val="6E1E1D3F"/>
    <w:rsid w:val="6EA93F33"/>
    <w:rsid w:val="6EBC0B3A"/>
    <w:rsid w:val="6EF51C7D"/>
    <w:rsid w:val="6F8363E5"/>
    <w:rsid w:val="6F841DCF"/>
    <w:rsid w:val="6FA80CCD"/>
    <w:rsid w:val="6FAC3CC5"/>
    <w:rsid w:val="6FC746F5"/>
    <w:rsid w:val="70317AC6"/>
    <w:rsid w:val="704B26F7"/>
    <w:rsid w:val="70697B21"/>
    <w:rsid w:val="70863262"/>
    <w:rsid w:val="70A76ED3"/>
    <w:rsid w:val="70BC5D8F"/>
    <w:rsid w:val="71860B17"/>
    <w:rsid w:val="723B27CC"/>
    <w:rsid w:val="723E08BB"/>
    <w:rsid w:val="72687227"/>
    <w:rsid w:val="72A03FD9"/>
    <w:rsid w:val="73406CFF"/>
    <w:rsid w:val="7383028C"/>
    <w:rsid w:val="73A25E44"/>
    <w:rsid w:val="741E1B73"/>
    <w:rsid w:val="741F68CF"/>
    <w:rsid w:val="75252DF3"/>
    <w:rsid w:val="75621536"/>
    <w:rsid w:val="75BF3154"/>
    <w:rsid w:val="764A07CF"/>
    <w:rsid w:val="764F6B3D"/>
    <w:rsid w:val="76872831"/>
    <w:rsid w:val="769006E9"/>
    <w:rsid w:val="76CD2B7B"/>
    <w:rsid w:val="76D80645"/>
    <w:rsid w:val="76E03371"/>
    <w:rsid w:val="76E2215D"/>
    <w:rsid w:val="771211A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2769BD"/>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3"/>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页眉 字符"/>
    <w:basedOn w:val="23"/>
    <w:link w:val="17"/>
    <w:qFormat/>
    <w:uiPriority w:val="99"/>
    <w:rPr>
      <w:sz w:val="18"/>
      <w:szCs w:val="18"/>
    </w:rPr>
  </w:style>
  <w:style w:type="character" w:customStyle="1" w:styleId="27">
    <w:name w:val="页脚 字符"/>
    <w:basedOn w:val="23"/>
    <w:link w:val="16"/>
    <w:qFormat/>
    <w:uiPriority w:val="99"/>
    <w:rPr>
      <w:sz w:val="18"/>
      <w:szCs w:val="18"/>
    </w:rPr>
  </w:style>
  <w:style w:type="character" w:customStyle="1" w:styleId="28">
    <w:name w:val="标题 1 字符"/>
    <w:basedOn w:val="23"/>
    <w:link w:val="4"/>
    <w:qFormat/>
    <w:uiPriority w:val="9"/>
    <w:rPr>
      <w:rFonts w:eastAsia="方正小标宋简体"/>
      <w:bCs/>
      <w:kern w:val="44"/>
      <w:sz w:val="44"/>
      <w:szCs w:val="44"/>
    </w:rPr>
  </w:style>
  <w:style w:type="character" w:customStyle="1" w:styleId="29">
    <w:name w:val="标题 2 字符"/>
    <w:basedOn w:val="23"/>
    <w:link w:val="5"/>
    <w:qFormat/>
    <w:uiPriority w:val="9"/>
    <w:rPr>
      <w:rFonts w:eastAsia="方正小标宋简体" w:asciiTheme="majorHAnsi" w:hAnsiTheme="majorHAnsi" w:cstheme="majorBidi"/>
      <w:bCs/>
      <w:sz w:val="36"/>
      <w:szCs w:val="32"/>
    </w:rPr>
  </w:style>
  <w:style w:type="character" w:customStyle="1" w:styleId="30">
    <w:name w:val="标题 3 字符"/>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23"/>
    <w:link w:val="15"/>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qFormat/>
    <w:uiPriority w:val="99"/>
    <w:rPr>
      <w:sz w:val="16"/>
      <w:szCs w:val="16"/>
    </w:rPr>
  </w:style>
  <w:style w:type="character" w:customStyle="1" w:styleId="38">
    <w:name w:val="正文文本 3 字符"/>
    <w:basedOn w:val="23"/>
    <w:link w:val="8"/>
    <w:semiHidden/>
    <w:qFormat/>
    <w:uiPriority w:val="99"/>
    <w:rPr>
      <w:sz w:val="16"/>
      <w:szCs w:val="16"/>
    </w:rPr>
  </w:style>
  <w:style w:type="character" w:customStyle="1" w:styleId="39">
    <w:name w:val="列出段落 字符"/>
    <w:link w:val="31"/>
    <w:qFormat/>
    <w:uiPriority w:val="34"/>
  </w:style>
  <w:style w:type="paragraph" w:customStyle="1" w:styleId="40">
    <w:name w:val="1"/>
    <w:basedOn w:val="1"/>
    <w:next w:val="12"/>
    <w:qFormat/>
    <w:uiPriority w:val="99"/>
    <w:rPr>
      <w:rFonts w:ascii="宋体" w:hAnsi="Courier New"/>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paragraph" w:customStyle="1" w:styleId="4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4">
    <w:name w:val="_Style 1"/>
    <w:basedOn w:val="1"/>
    <w:qFormat/>
    <w:uiPriority w:val="0"/>
    <w:pPr>
      <w:ind w:firstLine="200" w:firstLineChars="200"/>
    </w:pPr>
    <w:rPr>
      <w:rFonts w:ascii="Calibri" w:hAnsi="Calibri" w:eastAsia="宋体" w:cs="Times New Roman"/>
    </w:rPr>
  </w:style>
  <w:style w:type="table" w:customStyle="1" w:styleId="45">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_"/>
    <w:basedOn w:val="1"/>
    <w:qFormat/>
    <w:uiPriority w:val="0"/>
    <w:pPr>
      <w:spacing w:line="360" w:lineRule="auto"/>
      <w:ind w:left="480"/>
    </w:pPr>
    <w:rPr>
      <w:rFonts w:ascii="Calibri" w:hAnsi="Calibri" w:eastAsia="宋体" w:cs="Times New Roman"/>
      <w:sz w:val="24"/>
    </w:rPr>
  </w:style>
  <w:style w:type="character" w:customStyle="1" w:styleId="47">
    <w:name w:val="*正文 Char"/>
    <w:link w:val="48"/>
    <w:qFormat/>
    <w:uiPriority w:val="0"/>
    <w:rPr>
      <w:rFonts w:ascii="仿宋_GB2312" w:hAnsi="Times New Roman" w:eastAsia="仿宋_GB2312" w:cs="Times New Roman"/>
      <w:sz w:val="24"/>
      <w:szCs w:val="28"/>
    </w:rPr>
  </w:style>
  <w:style w:type="paragraph" w:customStyle="1" w:styleId="48">
    <w:name w:val="*正文"/>
    <w:basedOn w:val="1"/>
    <w:next w:val="1"/>
    <w:link w:val="47"/>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9">
    <w:name w:val="表格标题(居中) Char"/>
    <w:link w:val="50"/>
    <w:qFormat/>
    <w:uiPriority w:val="0"/>
    <w:rPr>
      <w:rFonts w:eastAsia="黑体"/>
      <w:kern w:val="2"/>
      <w:sz w:val="24"/>
    </w:rPr>
  </w:style>
  <w:style w:type="paragraph" w:customStyle="1" w:styleId="50">
    <w:name w:val="表格标题(居中)"/>
    <w:basedOn w:val="1"/>
    <w:link w:val="49"/>
    <w:qFormat/>
    <w:uiPriority w:val="0"/>
    <w:pPr>
      <w:snapToGrid w:val="0"/>
      <w:spacing w:line="300" w:lineRule="auto"/>
      <w:jc w:val="center"/>
    </w:pPr>
    <w:rPr>
      <w:rFonts w:eastAsia="黑体"/>
      <w:sz w:val="24"/>
      <w:szCs w:val="20"/>
    </w:rPr>
  </w:style>
  <w:style w:type="paragraph" w:customStyle="1" w:styleId="51">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30265</Words>
  <Characters>32079</Characters>
  <Lines>294</Lines>
  <Paragraphs>82</Paragraphs>
  <TotalTime>5</TotalTime>
  <ScaleCrop>false</ScaleCrop>
  <LinksUpToDate>false</LinksUpToDate>
  <CharactersWithSpaces>34239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2022-11-04T06:43:00Z</cp:lastPrinted>
  <dcterms:modified xsi:type="dcterms:W3CDTF">2022-11-23T03:55:22Z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F2DD54E62846401D95DE5D8661B8C3CA</vt:lpwstr>
  </property>
</Properties>
</file>