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default" w:ascii="方正小标宋简体" w:eastAsia="方正小标宋简体"/>
          <w:color w:val="auto"/>
          <w:sz w:val="52"/>
          <w:szCs w:val="52"/>
          <w:highlight w:val="none"/>
          <w:lang w:val="en-US" w:eastAsia="zh-CN"/>
        </w:rPr>
      </w:pPr>
      <w:bookmarkStart w:id="134" w:name="_GoBack"/>
      <w:bookmarkEnd w:id="134"/>
      <w:r>
        <w:rPr>
          <w:rFonts w:hint="eastAsia" w:ascii="方正小标宋简体" w:eastAsia="方正小标宋简体"/>
          <w:color w:val="auto"/>
          <w:sz w:val="52"/>
          <w:szCs w:val="52"/>
          <w:highlight w:val="none"/>
          <w:lang w:val="en-US" w:eastAsia="zh-CN"/>
        </w:rPr>
        <w:t>广州市净水有限公司京溪分公司2022年回流泵采购项目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1322"/>
      <w:bookmarkStart w:id="6" w:name="_Toc7519"/>
      <w:bookmarkStart w:id="7" w:name="_Toc31938"/>
      <w:bookmarkStart w:id="8" w:name="_Toc19609"/>
      <w:bookmarkStart w:id="9" w:name="_Toc17801"/>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广州市净水有限公司京溪分公司2022年</w:t>
      </w:r>
      <w:r>
        <w:rPr>
          <w:rFonts w:hint="eastAsia" w:ascii="仿宋_GB2312" w:eastAsia="仿宋_GB2312"/>
          <w:color w:val="auto"/>
          <w:sz w:val="28"/>
          <w:szCs w:val="28"/>
          <w:highlight w:val="none"/>
          <w:u w:val="single"/>
          <w:lang w:eastAsia="zh-CN"/>
        </w:rPr>
        <w:t>回流泵采购</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广州市净水有限公司京溪分公司2022年</w:t>
      </w:r>
      <w:r>
        <w:rPr>
          <w:rFonts w:hint="eastAsia" w:ascii="仿宋_GB2312" w:eastAsia="仿宋_GB2312"/>
          <w:color w:val="auto"/>
          <w:sz w:val="28"/>
          <w:szCs w:val="28"/>
          <w:highlight w:val="none"/>
          <w:u w:val="single"/>
          <w:lang w:eastAsia="zh-CN"/>
        </w:rPr>
        <w:t>回流泵采购</w:t>
      </w:r>
      <w:r>
        <w:rPr>
          <w:rFonts w:hint="eastAsia" w:ascii="仿宋_GB2312" w:eastAsia="仿宋_GB2312"/>
          <w:color w:val="auto"/>
          <w:sz w:val="28"/>
          <w:szCs w:val="28"/>
          <w:highlight w:val="none"/>
          <w:u w:val="single"/>
          <w:lang w:val="en-US" w:eastAsia="zh-CN"/>
        </w:rPr>
        <w:t>项目</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XJ-20221122-1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63.7万元，税率为13%。</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3858"/>
        <w:gridCol w:w="1650"/>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3858"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设备名称/型号</w:t>
            </w:r>
          </w:p>
        </w:tc>
        <w:tc>
          <w:tcPr>
            <w:tcW w:w="1650"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数量</w:t>
            </w:r>
          </w:p>
        </w:tc>
        <w:tc>
          <w:tcPr>
            <w:tcW w:w="2433"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限价金额</w:t>
            </w:r>
          </w:p>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385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回流泵（10kW）</w:t>
            </w:r>
          </w:p>
        </w:tc>
        <w:tc>
          <w:tcPr>
            <w:tcW w:w="165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w:t>
            </w:r>
          </w:p>
        </w:tc>
        <w:tc>
          <w:tcPr>
            <w:tcW w:w="2433"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63.7</w:t>
            </w:r>
          </w:p>
        </w:tc>
      </w:tr>
    </w:tbl>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上述货物供货时需提供原厂说明书及产品合格证、产品质量证明文件,必须是全新合格产品，不接受任何改造，能顺利安装适配至相关位置中，并能正常使用。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合同签订后90日内（由甲方决定开工日期）</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广州市白云区沙太北路犀牛二马路1号京溪地下净水厂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所提供报价设备均为制造商全新原装产品，并有相关合格证、出厂证明，技术参数要求详见第五章采购需求。按合同条款和有关技术标准规范进行验收。使用的各种材料必须符合设计和有关技术标准规范要求。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 xml:space="preserve"> /  </w:t>
      </w:r>
    </w:p>
    <w:p>
      <w:pPr>
        <w:adjustRightInd w:val="0"/>
        <w:snapToGrid w:val="0"/>
        <w:spacing w:line="600" w:lineRule="exact"/>
        <w:ind w:left="420" w:right="-370" w:rightChars="-176" w:hanging="482" w:hangingChars="150"/>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2019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采购清单中设备之一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项目的业绩。（提供合同复印件证明，包括但不限于项目名称、实施内容、合同盖章、签订日期，加盖单位公章）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rPr>
        <w:t>报价单位须出具承诺函，承诺中选后提供报价货物为制造商全新原装产品（加盖单位公章）。</w:t>
      </w:r>
      <w:r>
        <w:rPr>
          <w:rFonts w:hint="eastAsia" w:ascii="仿宋_GB2312" w:eastAsia="仿宋_GB2312"/>
          <w:color w:val="auto"/>
          <w:sz w:val="28"/>
          <w:szCs w:val="28"/>
          <w:highlight w:val="none"/>
          <w:u w:val="single"/>
          <w:lang w:val="en-US" w:eastAsia="zh-CN"/>
        </w:rPr>
        <w:t>报价人提交的响应文件需说明响应设备的品牌和型号，并附设备说明书或型式试验证书等资料用于核实响应设备是否满足技术要求，如无相关资料报价一律视为无效报价。中选后合同签订前须提供拟供货产品的制造商（厂商）授权书。交货时，供应商需提供须出具厂家出厂合格证明及其他应提供的文件资料（其他特殊需求详见技术需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本项目采购公告同时在广州市净水有限公司门户网站和阳光平台上发布。本公告的补充、修改，在</w:t>
      </w:r>
      <w:r>
        <w:rPr>
          <w:rFonts w:hint="eastAsia" w:ascii="仿宋_GB2312" w:hAnsi="Calibri" w:eastAsia="仿宋_GB2312" w:cs="Times New Roman"/>
          <w:color w:val="auto"/>
          <w:sz w:val="28"/>
          <w:szCs w:val="28"/>
          <w:highlight w:val="none"/>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51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32588"/>
      <w:bookmarkStart w:id="16" w:name="_Toc16557"/>
      <w:bookmarkStart w:id="17" w:name="_Toc7340"/>
      <w:bookmarkStart w:id="18" w:name="_Toc25603"/>
      <w:bookmarkStart w:id="19" w:name="_Toc2324"/>
      <w:bookmarkStart w:id="20" w:name="_Toc2331"/>
      <w:bookmarkStart w:id="21" w:name="_Toc19295"/>
      <w:bookmarkStart w:id="22" w:name="_Toc23749"/>
      <w:bookmarkStart w:id="23" w:name="_Toc9448"/>
    </w:p>
    <w:p>
      <w:pPr>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14552"/>
      <w:bookmarkStart w:id="36" w:name="_Toc4952"/>
      <w:bookmarkStart w:id="37" w:name="_Toc23581"/>
      <w:bookmarkStart w:id="38" w:name="_Toc7437"/>
      <w:bookmarkStart w:id="39" w:name="_Toc20594"/>
      <w:bookmarkStart w:id="40" w:name="_Toc7118"/>
      <w:bookmarkStart w:id="41" w:name="_Toc19759"/>
      <w:bookmarkStart w:id="42" w:name="_Toc3156"/>
      <w:bookmarkStart w:id="43" w:name="_Toc19050"/>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1840"/>
      <w:bookmarkStart w:id="46" w:name="_Toc29484"/>
      <w:bookmarkStart w:id="47" w:name="_Toc13898"/>
      <w:bookmarkStart w:id="48" w:name="_Toc12177"/>
      <w:bookmarkStart w:id="49" w:name="_Toc7831"/>
      <w:bookmarkStart w:id="50" w:name="_Toc21079"/>
      <w:bookmarkStart w:id="51" w:name="_Toc32607"/>
      <w:bookmarkStart w:id="52" w:name="_Toc22212"/>
      <w:bookmarkStart w:id="53" w:name="_Toc30530"/>
      <w:bookmarkStart w:id="54" w:name="_Toc6308"/>
      <w:bookmarkStart w:id="55" w:name="_Toc29345"/>
      <w:bookmarkStart w:id="56" w:name="_Toc88209941"/>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szCs w:val="44"/>
          <w:highlight w:val="none"/>
        </w:rPr>
      </w:pPr>
      <w:r>
        <w:rPr>
          <w:rFonts w:hint="eastAsia"/>
          <w:color w:val="auto"/>
          <w:szCs w:val="44"/>
          <w:highlight w:val="none"/>
        </w:rPr>
        <w:t>采购需求编制说明</w:t>
      </w:r>
      <w:bookmarkEnd w:id="60"/>
    </w:p>
    <w:p>
      <w:pPr>
        <w:pStyle w:val="9"/>
        <w:numPr>
          <w:ilvl w:val="0"/>
          <w:numId w:val="0"/>
        </w:numPr>
        <w:adjustRightInd w:val="0"/>
        <w:snapToGrid w:val="0"/>
        <w:spacing w:line="600" w:lineRule="exact"/>
        <w:jc w:val="left"/>
        <w:rPr>
          <w:rFonts w:hint="eastAsia" w:ascii="仿宋_GB2312" w:hAnsi="仿宋_GB2312" w:eastAsia="仿宋_GB2312" w:cs="仿宋_GB2312"/>
          <w:b/>
          <w:color w:val="auto"/>
          <w:sz w:val="28"/>
          <w:szCs w:val="28"/>
          <w:highlight w:val="none"/>
          <w:u w:val="none"/>
          <w:lang w:val="zh-CN" w:eastAsia="zh-CN"/>
        </w:rPr>
      </w:pPr>
      <w:r>
        <w:rPr>
          <w:rFonts w:hint="eastAsia" w:ascii="仿宋_GB2312" w:hAnsi="仿宋_GB2312" w:eastAsia="仿宋_GB2312" w:cs="仿宋_GB2312"/>
          <w:b/>
          <w:color w:val="auto"/>
          <w:sz w:val="28"/>
          <w:szCs w:val="28"/>
          <w:highlight w:val="none"/>
          <w:u w:val="none"/>
          <w:lang w:val="en-US" w:eastAsia="zh-CN"/>
        </w:rPr>
        <w:t>一、</w:t>
      </w:r>
      <w:r>
        <w:rPr>
          <w:rFonts w:hint="eastAsia" w:ascii="仿宋_GB2312" w:hAnsi="仿宋_GB2312" w:eastAsia="仿宋_GB2312" w:cs="仿宋_GB2312"/>
          <w:b/>
          <w:color w:val="auto"/>
          <w:sz w:val="28"/>
          <w:szCs w:val="28"/>
          <w:highlight w:val="none"/>
          <w:u w:val="none"/>
          <w:lang w:val="zh-CN" w:eastAsia="zh-CN"/>
        </w:rPr>
        <w:t>项目情况介绍</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3858"/>
        <w:gridCol w:w="1650"/>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3858"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设备名称/型号</w:t>
            </w:r>
          </w:p>
        </w:tc>
        <w:tc>
          <w:tcPr>
            <w:tcW w:w="1650"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数量</w:t>
            </w:r>
          </w:p>
        </w:tc>
        <w:tc>
          <w:tcPr>
            <w:tcW w:w="2433"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限价金额</w:t>
            </w:r>
          </w:p>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3858"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回流泵（10kW ）</w:t>
            </w:r>
          </w:p>
        </w:tc>
        <w:tc>
          <w:tcPr>
            <w:tcW w:w="1650"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w:t>
            </w:r>
          </w:p>
        </w:tc>
        <w:tc>
          <w:tcPr>
            <w:tcW w:w="2433"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63.7</w:t>
            </w:r>
          </w:p>
        </w:tc>
      </w:tr>
    </w:tbl>
    <w:p>
      <w:pPr>
        <w:pStyle w:val="9"/>
        <w:numPr>
          <w:ilvl w:val="0"/>
          <w:numId w:val="0"/>
        </w:numP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w:t>
      </w:r>
      <w:r>
        <w:rPr>
          <w:rFonts w:hint="eastAsia" w:ascii="仿宋_GB2312" w:hAnsi="仿宋_GB2312" w:eastAsia="仿宋_GB2312" w:cs="仿宋_GB2312"/>
          <w:b/>
          <w:color w:val="auto"/>
          <w:sz w:val="28"/>
          <w:szCs w:val="28"/>
          <w:highlight w:val="none"/>
          <w:lang w:val="en-US" w:eastAsia="zh-CN"/>
        </w:rPr>
        <w:t>要求</w:t>
      </w:r>
    </w:p>
    <w:p>
      <w:pP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此项目所采购</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rPr>
        <w:t>为备用</w:t>
      </w:r>
      <w:r>
        <w:rPr>
          <w:rFonts w:hint="eastAsia" w:ascii="仿宋_GB2312" w:hAnsi="仿宋_GB2312" w:eastAsia="仿宋_GB2312" w:cs="仿宋_GB2312"/>
          <w:color w:val="auto"/>
          <w:sz w:val="28"/>
          <w:szCs w:val="28"/>
          <w:highlight w:val="none"/>
          <w:lang w:val="en-US" w:eastAsia="zh-CN"/>
        </w:rPr>
        <w:t>机</w:t>
      </w:r>
      <w:r>
        <w:rPr>
          <w:rFonts w:hint="eastAsia" w:ascii="仿宋_GB2312" w:hAnsi="仿宋_GB2312" w:eastAsia="仿宋_GB2312" w:cs="仿宋_GB2312"/>
          <w:color w:val="auto"/>
          <w:sz w:val="28"/>
          <w:szCs w:val="28"/>
          <w:highlight w:val="none"/>
        </w:rPr>
        <w:t>，考虑到</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rPr>
        <w:t>日常维护管理的便利性和降低生产成本，新</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rPr>
        <w:t>的叶轮、机械密封、轴承、专用保护元件等主要零部件要与旧</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rPr>
        <w:t>通用。所采购</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rPr>
        <w:t>为原</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zh-CN"/>
        </w:rPr>
        <w:t>性能相当，并且匹配原</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zh-CN"/>
        </w:rPr>
        <w:t>安装位置和电气控制要求，不接受对现有</w:t>
      </w:r>
      <w:r>
        <w:rPr>
          <w:rFonts w:hint="eastAsia" w:ascii="仿宋_GB2312" w:hAnsi="仿宋_GB2312" w:eastAsia="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zh-CN"/>
        </w:rPr>
        <w:t>基座土建以及电气控制系统进行改造。</w:t>
      </w:r>
    </w:p>
    <w:p>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2、采购货物必须是全新、质量合格的产品。</w:t>
      </w:r>
    </w:p>
    <w:p>
      <w:pP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3、主要技术参数：</w:t>
      </w:r>
    </w:p>
    <w:p>
      <w:pPr>
        <w:spacing w:line="360" w:lineRule="auto"/>
        <w:ind w:firstLine="600" w:firstLineChars="200"/>
        <w:jc w:val="left"/>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lang w:val="en-US" w:eastAsia="zh-CN"/>
        </w:rPr>
        <w:t>1、设备</w:t>
      </w:r>
      <w:r>
        <w:rPr>
          <w:rFonts w:hint="eastAsia" w:ascii="Times New Roman" w:hAnsi="Times New Roman" w:eastAsia="宋体" w:cs="Times New Roman"/>
          <w:bCs/>
          <w:color w:val="auto"/>
          <w:sz w:val="30"/>
          <w:szCs w:val="30"/>
          <w:highlight w:val="none"/>
        </w:rPr>
        <w:t>性能参数</w:t>
      </w:r>
      <w:r>
        <w:rPr>
          <w:rFonts w:ascii="Times New Roman" w:hAnsi="Times New Roman" w:eastAsia="宋体" w:cs="Times New Roman"/>
          <w:bCs/>
          <w:color w:val="auto"/>
          <w:sz w:val="30"/>
          <w:szCs w:val="30"/>
          <w:highlight w:val="none"/>
        </w:rPr>
        <w:t>表</w:t>
      </w:r>
    </w:p>
    <w:tbl>
      <w:tblPr>
        <w:tblStyle w:val="22"/>
        <w:tblW w:w="8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水泵名称</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回流泵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数量</w:t>
            </w:r>
          </w:p>
        </w:tc>
        <w:tc>
          <w:tcPr>
            <w:tcW w:w="4320" w:type="dxa"/>
            <w:vAlign w:val="center"/>
          </w:tcPr>
          <w:p>
            <w:pPr>
              <w:spacing w:line="360" w:lineRule="auto"/>
              <w:ind w:firstLine="600" w:firstLineChars="200"/>
              <w:rPr>
                <w:rFonts w:hint="eastAsia"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★水泵型式</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螺旋桨式潜水泵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介质</w:t>
            </w:r>
          </w:p>
        </w:tc>
        <w:tc>
          <w:tcPr>
            <w:tcW w:w="4320" w:type="dxa"/>
            <w:vAlign w:val="center"/>
          </w:tcPr>
          <w:p>
            <w:pPr>
              <w:spacing w:line="360" w:lineRule="auto"/>
              <w:ind w:firstLine="600" w:firstLineChars="200"/>
              <w:rPr>
                <w:rFonts w:hint="eastAsia"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混合液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★叶轮形式</w:t>
            </w:r>
          </w:p>
        </w:tc>
        <w:tc>
          <w:tcPr>
            <w:tcW w:w="4320" w:type="dxa"/>
            <w:vAlign w:val="center"/>
          </w:tcPr>
          <w:p>
            <w:pPr>
              <w:spacing w:line="360" w:lineRule="auto"/>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24"/>
                <w:szCs w:val="24"/>
                <w:highlight w:val="none"/>
                <w:lang w:val="en-US" w:eastAsia="zh-CN"/>
              </w:rPr>
              <w:t>三叶螺旋桨P泵、无阻塞叶轮（17°）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★安装方式</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湿式固定式安装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★额定工况</w:t>
            </w:r>
          </w:p>
        </w:tc>
        <w:tc>
          <w:tcPr>
            <w:tcW w:w="4320" w:type="dxa"/>
            <w:vAlign w:val="center"/>
          </w:tcPr>
          <w:p>
            <w:pPr>
              <w:spacing w:line="360" w:lineRule="auto"/>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24"/>
                <w:szCs w:val="24"/>
                <w:highlight w:val="none"/>
                <w:lang w:val="en-US" w:eastAsia="zh-CN"/>
              </w:rPr>
              <w:t>Q=3200~3400m3/h，额定电流32A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★水泵效率（工况点）</w:t>
            </w:r>
          </w:p>
        </w:tc>
        <w:tc>
          <w:tcPr>
            <w:tcW w:w="4320" w:type="dxa"/>
            <w:vAlign w:val="center"/>
          </w:tcPr>
          <w:p>
            <w:pPr>
              <w:spacing w:line="360" w:lineRule="auto"/>
              <w:ind w:firstLine="600" w:firstLineChars="200"/>
              <w:rPr>
                <w:rFonts w:hint="eastAsia"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rPr>
              <w:t>65.6</w:t>
            </w:r>
            <w:r>
              <w:rPr>
                <w:rFonts w:hint="eastAsia" w:ascii="Times New Roman" w:hAnsi="Times New Roman" w:eastAsia="宋体" w:cs="Times New Roman"/>
                <w:color w:val="auto"/>
                <w:sz w:val="30"/>
                <w:szCs w:val="30"/>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★电机功率</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10kw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 xml:space="preserve">电机效率  </w:t>
            </w:r>
          </w:p>
        </w:tc>
        <w:tc>
          <w:tcPr>
            <w:tcW w:w="4320" w:type="dxa"/>
            <w:vAlign w:val="center"/>
          </w:tcPr>
          <w:p>
            <w:pPr>
              <w:spacing w:line="360" w:lineRule="auto"/>
              <w:ind w:firstLine="600" w:firstLineChars="200"/>
              <w:rPr>
                <w:rFonts w:hint="eastAsia"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rPr>
              <w:t>76.5</w:t>
            </w:r>
            <w:r>
              <w:rPr>
                <w:rFonts w:hint="eastAsia" w:ascii="Times New Roman" w:hAnsi="Times New Roman" w:eastAsia="宋体" w:cs="Times New Roman"/>
                <w:color w:val="auto"/>
                <w:sz w:val="30"/>
                <w:szCs w:val="30"/>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★电机转速</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475rpm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★叶轮直径</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580mm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工作制</w:t>
            </w:r>
          </w:p>
        </w:tc>
        <w:tc>
          <w:tcPr>
            <w:tcW w:w="432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lang w:val="en-US" w:eastAsia="zh-CN"/>
              </w:rPr>
              <w:t>24h/d、可间隙运行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★供电电源</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380V/3Ph/50HZ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★防护等级</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IP68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★绝缘等级</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H级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启动方式</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变频启动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每小时启动次数（次）</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30</w:t>
            </w:r>
            <w:r>
              <w:rPr>
                <w:rFonts w:hint="default" w:ascii="Times New Roman" w:hAnsi="Times New Roman" w:eastAsia="宋体" w:cs="Times New Roman"/>
                <w:color w:val="auto"/>
                <w:sz w:val="30"/>
                <w:szCs w:val="30"/>
                <w:highlight w:val="none"/>
                <w:lang w:val="en-US" w:eastAsia="zh-CN"/>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 xml:space="preserve">轴承温升  </w:t>
            </w:r>
            <w:r>
              <w:rPr>
                <w:rFonts w:hint="eastAsia" w:ascii="Times New Roman" w:hAnsi="Times New Roman" w:eastAsia="宋体" w:cs="Times New Roman"/>
                <w:color w:val="auto"/>
                <w:sz w:val="30"/>
                <w:szCs w:val="30"/>
                <w:highlight w:val="none"/>
              </w:rPr>
              <w:sym w:font="Symbol" w:char="F0B0"/>
            </w:r>
            <w:r>
              <w:rPr>
                <w:rFonts w:hint="eastAsia" w:ascii="Times New Roman" w:hAnsi="Times New Roman" w:eastAsia="宋体" w:cs="Times New Roman"/>
                <w:color w:val="auto"/>
                <w:sz w:val="30"/>
                <w:szCs w:val="30"/>
                <w:highlight w:val="none"/>
              </w:rPr>
              <w:t>C</w:t>
            </w:r>
          </w:p>
        </w:tc>
        <w:tc>
          <w:tcPr>
            <w:tcW w:w="4320" w:type="dxa"/>
            <w:vAlign w:val="center"/>
          </w:tcPr>
          <w:p>
            <w:pPr>
              <w:spacing w:line="360" w:lineRule="auto"/>
              <w:ind w:firstLine="600" w:firstLineChars="200"/>
              <w:rPr>
                <w:rFonts w:hint="eastAsia"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 xml:space="preserve">水下电缆长度  </w:t>
            </w:r>
          </w:p>
        </w:tc>
        <w:tc>
          <w:tcPr>
            <w:tcW w:w="4320" w:type="dxa"/>
            <w:vAlign w:val="center"/>
          </w:tcPr>
          <w:p>
            <w:pPr>
              <w:spacing w:line="360" w:lineRule="auto"/>
              <w:ind w:firstLine="600" w:firstLineChars="200"/>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lang w:val="en-US" w:eastAsia="zh-CN"/>
              </w:rPr>
              <w:t>20m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配套保护单元</w:t>
            </w:r>
          </w:p>
        </w:tc>
        <w:tc>
          <w:tcPr>
            <w:tcW w:w="4320" w:type="dxa"/>
            <w:vAlign w:val="center"/>
          </w:tcPr>
          <w:p>
            <w:pPr>
              <w:spacing w:line="360" w:lineRule="auto"/>
              <w:rPr>
                <w:rFonts w:hint="eastAsia" w:ascii="Times New Roman" w:hAnsi="Times New Roman" w:eastAsia="宋体" w:cs="Times New Roman"/>
                <w:color w:val="auto"/>
                <w:sz w:val="30"/>
                <w:szCs w:val="30"/>
                <w:highlight w:val="none"/>
                <w:lang w:eastAsia="zh-CN"/>
              </w:rPr>
            </w:pPr>
            <w:r>
              <w:rPr>
                <w:rFonts w:hint="eastAsia" w:ascii="Times New Roman" w:hAnsi="Times New Roman" w:eastAsia="宋体" w:cs="Times New Roman"/>
                <w:color w:val="auto"/>
                <w:sz w:val="30"/>
                <w:szCs w:val="30"/>
                <w:highlight w:val="none"/>
              </w:rPr>
              <w:t>电机定子温度</w:t>
            </w:r>
            <w:r>
              <w:rPr>
                <w:rFonts w:hint="eastAsia" w:ascii="Times New Roman" w:hAnsi="Times New Roman" w:eastAsia="宋体" w:cs="Times New Roman"/>
                <w:color w:val="auto"/>
                <w:sz w:val="30"/>
                <w:szCs w:val="30"/>
                <w:highlight w:val="none"/>
                <w:lang w:eastAsia="zh-CN"/>
              </w:rPr>
              <w:t>、定子室泄漏传感器FLS、控制和状态显示MiniCASII</w:t>
            </w:r>
          </w:p>
        </w:tc>
      </w:tr>
    </w:tbl>
    <w:p>
      <w:pPr>
        <w:spacing w:line="360" w:lineRule="auto"/>
        <w:ind w:firstLine="600" w:firstLineChars="200"/>
        <w:jc w:val="left"/>
        <w:rPr>
          <w:rFonts w:hint="eastAsia" w:ascii="Times New Roman" w:hAnsi="Times New Roman" w:eastAsia="宋体" w:cs="Times New Roman"/>
          <w:bCs/>
          <w:color w:val="auto"/>
          <w:sz w:val="30"/>
          <w:szCs w:val="30"/>
          <w:highlight w:val="none"/>
          <w:lang w:val="en-US" w:eastAsia="zh-CN"/>
        </w:rPr>
      </w:pPr>
    </w:p>
    <w:p>
      <w:pPr>
        <w:pStyle w:val="2"/>
        <w:rPr>
          <w:rFonts w:hint="eastAsia"/>
          <w:color w:val="auto"/>
          <w:highlight w:val="none"/>
          <w:lang w:val="en-US" w:eastAsia="zh-CN"/>
        </w:rPr>
      </w:pPr>
    </w:p>
    <w:p>
      <w:pPr>
        <w:spacing w:line="360" w:lineRule="auto"/>
        <w:jc w:val="left"/>
        <w:rPr>
          <w:rFonts w:hint="eastAsia" w:ascii="Times New Roman" w:hAnsi="Times New Roman" w:eastAsia="宋体" w:cs="Times New Roman"/>
          <w:bCs/>
          <w:color w:val="auto"/>
          <w:sz w:val="30"/>
          <w:szCs w:val="30"/>
          <w:highlight w:val="none"/>
          <w:lang w:val="en-US" w:eastAsia="zh-CN"/>
        </w:rPr>
      </w:pPr>
      <w:r>
        <w:rPr>
          <w:rFonts w:hint="eastAsia" w:ascii="Times New Roman" w:hAnsi="Times New Roman" w:eastAsia="宋体" w:cs="Times New Roman"/>
          <w:bCs/>
          <w:color w:val="auto"/>
          <w:sz w:val="30"/>
          <w:szCs w:val="30"/>
          <w:highlight w:val="none"/>
          <w:lang w:val="en-US" w:eastAsia="zh-CN"/>
        </w:rPr>
        <w:t>2、设备及安装尺寸</w:t>
      </w:r>
    </w:p>
    <w:p>
      <w:pPr>
        <w:spacing w:line="360" w:lineRule="auto"/>
        <w:ind w:firstLine="420" w:firstLineChars="200"/>
        <w:rPr>
          <w:rFonts w:hint="eastAsia" w:ascii="Times New Roman" w:hAnsi="Times New Roman" w:eastAsia="宋体" w:cs="Times New Roman"/>
          <w:bCs/>
          <w:color w:val="auto"/>
          <w:sz w:val="30"/>
          <w:szCs w:val="30"/>
          <w:highlight w:val="none"/>
          <w:lang w:val="en-US" w:eastAsia="zh-CN"/>
        </w:rPr>
      </w:pPr>
      <w:r>
        <w:rPr>
          <w:color w:val="auto"/>
          <w:highlight w:val="none"/>
        </w:rPr>
        <w:drawing>
          <wp:inline distT="0" distB="0" distL="114300" distR="114300">
            <wp:extent cx="5272405" cy="6671945"/>
            <wp:effectExtent l="0" t="0" r="4445" b="146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5272405" cy="6671945"/>
                    </a:xfrm>
                    <a:prstGeom prst="rect">
                      <a:avLst/>
                    </a:prstGeom>
                    <a:noFill/>
                    <a:ln>
                      <a:noFill/>
                    </a:ln>
                  </pic:spPr>
                </pic:pic>
              </a:graphicData>
            </a:graphic>
          </wp:inline>
        </w:drawing>
      </w:r>
    </w:p>
    <w:p>
      <w:pPr>
        <w:spacing w:line="360" w:lineRule="auto"/>
        <w:ind w:firstLine="600" w:firstLineChars="200"/>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lang w:val="en-US" w:eastAsia="zh-CN"/>
        </w:rPr>
        <w:t>3、</w:t>
      </w:r>
      <w:r>
        <w:rPr>
          <w:rFonts w:ascii="Times New Roman" w:hAnsi="Times New Roman" w:eastAsia="宋体" w:cs="Times New Roman"/>
          <w:bCs/>
          <w:color w:val="auto"/>
          <w:sz w:val="30"/>
          <w:szCs w:val="30"/>
          <w:highlight w:val="none"/>
        </w:rPr>
        <w:t>供货范围</w:t>
      </w:r>
      <w:r>
        <w:rPr>
          <w:rFonts w:hint="eastAsia" w:ascii="Times New Roman" w:hAnsi="Times New Roman" w:eastAsia="宋体" w:cs="Times New Roman"/>
          <w:bCs/>
          <w:color w:val="auto"/>
          <w:sz w:val="30"/>
          <w:szCs w:val="30"/>
          <w:highlight w:val="none"/>
        </w:rPr>
        <w:t>：</w:t>
      </w:r>
    </w:p>
    <w:p>
      <w:pPr>
        <w:spacing w:line="360" w:lineRule="auto"/>
        <w:ind w:firstLine="600" w:firstLineChars="2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总则：标准化的外观、运行、维修、备品备件以及制造商服务，所提供的设备必须是一个制造商的最终产品。每台</w:t>
      </w:r>
      <w:r>
        <w:rPr>
          <w:rFonts w:hint="eastAsia" w:ascii="Times New Roman" w:hAnsi="Times New Roman" w:eastAsia="宋体" w:cs="Times New Roman"/>
          <w:color w:val="auto"/>
          <w:sz w:val="30"/>
          <w:szCs w:val="30"/>
          <w:highlight w:val="none"/>
          <w:lang w:val="en-US" w:eastAsia="zh-CN"/>
        </w:rPr>
        <w:t>搅拌器</w:t>
      </w:r>
      <w:r>
        <w:rPr>
          <w:rFonts w:ascii="Times New Roman" w:hAnsi="Times New Roman" w:eastAsia="宋体" w:cs="Times New Roman"/>
          <w:color w:val="auto"/>
          <w:sz w:val="30"/>
          <w:szCs w:val="30"/>
          <w:highlight w:val="none"/>
        </w:rPr>
        <w:t>应成套地配备安全、有效及可靠运行所需的附件，潜水泵主要包括，但不限于：</w:t>
      </w:r>
    </w:p>
    <w:p>
      <w:pPr>
        <w:spacing w:line="360" w:lineRule="auto"/>
        <w:ind w:firstLine="600" w:firstLineChars="200"/>
        <w:outlineLvl w:val="3"/>
        <w:rPr>
          <w:rFonts w:ascii="Calibri" w:hAnsi="Calibri" w:eastAsia="宋体" w:cs="Times New Roman"/>
          <w:color w:val="auto"/>
          <w:sz w:val="30"/>
          <w:szCs w:val="30"/>
          <w:highlight w:val="none"/>
          <w:lang w:val="zh-CN"/>
        </w:rPr>
      </w:pPr>
      <w:r>
        <w:rPr>
          <w:rFonts w:hint="eastAsia" w:ascii="Calibri" w:hAnsi="Calibri" w:eastAsia="宋体" w:cs="Times New Roman"/>
          <w:color w:val="auto"/>
          <w:sz w:val="30"/>
          <w:szCs w:val="30"/>
          <w:highlight w:val="none"/>
          <w:lang w:val="zh-CN"/>
        </w:rPr>
        <w:t>★</w:t>
      </w:r>
      <w:r>
        <w:rPr>
          <w:rFonts w:ascii="Calibri" w:hAnsi="Calibri" w:eastAsia="宋体" w:cs="Times New Roman"/>
          <w:color w:val="auto"/>
          <w:sz w:val="30"/>
          <w:szCs w:val="30"/>
          <w:highlight w:val="none"/>
          <w:lang w:val="zh-CN"/>
        </w:rPr>
        <w:t>装配完整的全新、未经使用的</w:t>
      </w:r>
      <w:bookmarkStart w:id="61" w:name="_Hlk46842701"/>
      <w:r>
        <w:rPr>
          <w:rFonts w:ascii="Calibri" w:hAnsi="Calibri" w:eastAsia="宋体" w:cs="Times New Roman"/>
          <w:color w:val="auto"/>
          <w:sz w:val="30"/>
          <w:szCs w:val="30"/>
          <w:highlight w:val="none"/>
          <w:lang w:val="zh-CN"/>
        </w:rPr>
        <w:t>潜水泵</w:t>
      </w:r>
      <w:bookmarkEnd w:id="61"/>
      <w:r>
        <w:rPr>
          <w:rFonts w:ascii="Calibri" w:hAnsi="Calibri" w:eastAsia="宋体" w:cs="Times New Roman"/>
          <w:color w:val="auto"/>
          <w:sz w:val="30"/>
          <w:szCs w:val="30"/>
          <w:highlight w:val="none"/>
          <w:lang w:val="zh-CN"/>
        </w:rPr>
        <w:t>；</w:t>
      </w:r>
    </w:p>
    <w:p>
      <w:pPr>
        <w:spacing w:line="360" w:lineRule="auto"/>
        <w:ind w:left="900" w:hanging="420"/>
        <w:outlineLvl w:val="3"/>
        <w:rPr>
          <w:rFonts w:ascii="Calibri" w:hAnsi="Calibri" w:eastAsia="宋体" w:cs="Times New Roman"/>
          <w:color w:val="auto"/>
          <w:sz w:val="30"/>
          <w:szCs w:val="30"/>
          <w:highlight w:val="none"/>
          <w:lang w:val="zh-CN"/>
        </w:rPr>
      </w:pPr>
      <w:r>
        <w:rPr>
          <w:rFonts w:hint="eastAsia" w:ascii="Calibri" w:hAnsi="Calibri" w:eastAsia="宋体" w:cs="Times New Roman"/>
          <w:color w:val="auto"/>
          <w:sz w:val="30"/>
          <w:szCs w:val="30"/>
          <w:highlight w:val="none"/>
          <w:lang w:val="zh-CN"/>
        </w:rPr>
        <w:t>★电缆固定装置、及专用提升装置；</w:t>
      </w:r>
    </w:p>
    <w:p>
      <w:pPr>
        <w:spacing w:line="360" w:lineRule="auto"/>
        <w:ind w:left="900" w:hanging="420"/>
        <w:outlineLvl w:val="3"/>
        <w:rPr>
          <w:rFonts w:ascii="Calibri" w:hAnsi="Calibri" w:eastAsia="宋体" w:cs="Times New Roman"/>
          <w:color w:val="auto"/>
          <w:sz w:val="30"/>
          <w:szCs w:val="30"/>
          <w:highlight w:val="none"/>
          <w:lang w:val="zh-CN"/>
        </w:rPr>
      </w:pPr>
      <w:r>
        <w:rPr>
          <w:rFonts w:hint="eastAsia" w:ascii="Calibri" w:hAnsi="Calibri" w:eastAsia="宋体" w:cs="Times New Roman"/>
          <w:color w:val="auto"/>
          <w:sz w:val="30"/>
          <w:szCs w:val="30"/>
          <w:highlight w:val="none"/>
          <w:lang w:val="zh-CN"/>
        </w:rPr>
        <w:t>★</w:t>
      </w:r>
      <w:r>
        <w:rPr>
          <w:rFonts w:ascii="Calibri" w:hAnsi="Calibri" w:eastAsia="宋体" w:cs="Times New Roman"/>
          <w:color w:val="auto"/>
          <w:sz w:val="30"/>
          <w:szCs w:val="30"/>
          <w:highlight w:val="none"/>
          <w:lang w:val="zh-CN"/>
        </w:rPr>
        <w:t>水下动力及信号电</w:t>
      </w:r>
      <w:r>
        <w:rPr>
          <w:rFonts w:ascii="Calibri" w:hAnsi="Calibri" w:eastAsia="宋体" w:cs="Times New Roman"/>
          <w:color w:val="auto"/>
          <w:sz w:val="30"/>
          <w:szCs w:val="30"/>
          <w:highlight w:val="none"/>
          <w:lang w:val="zh-CN"/>
        </w:rPr>
        <w:t>缆</w:t>
      </w:r>
      <w:r>
        <w:rPr>
          <w:rFonts w:hint="eastAsia" w:ascii="Calibri" w:hAnsi="Calibri" w:eastAsia="宋体" w:cs="Times New Roman"/>
          <w:color w:val="auto"/>
          <w:sz w:val="30"/>
          <w:szCs w:val="30"/>
          <w:highlight w:val="none"/>
          <w:lang w:val="en-US" w:eastAsia="zh-CN"/>
        </w:rPr>
        <w:t>20</w:t>
      </w:r>
      <w:r>
        <w:rPr>
          <w:rFonts w:ascii="Calibri" w:hAnsi="Calibri" w:eastAsia="宋体" w:cs="Times New Roman"/>
          <w:color w:val="auto"/>
          <w:sz w:val="30"/>
          <w:szCs w:val="30"/>
          <w:highlight w:val="none"/>
          <w:lang w:val="zh-CN"/>
        </w:rPr>
        <w:t>m；</w:t>
      </w:r>
    </w:p>
    <w:p>
      <w:pPr>
        <w:spacing w:line="360" w:lineRule="auto"/>
        <w:ind w:left="900" w:hanging="420"/>
        <w:outlineLvl w:val="3"/>
        <w:rPr>
          <w:rFonts w:ascii="Calibri" w:hAnsi="Calibri" w:eastAsia="宋体" w:cs="Times New Roman"/>
          <w:color w:val="auto"/>
          <w:sz w:val="30"/>
          <w:szCs w:val="30"/>
          <w:highlight w:val="none"/>
          <w:lang w:val="zh-CN"/>
        </w:rPr>
      </w:pPr>
      <w:r>
        <w:rPr>
          <w:rFonts w:hint="eastAsia" w:ascii="Calibri" w:hAnsi="Calibri" w:eastAsia="宋体" w:cs="Times New Roman"/>
          <w:color w:val="auto"/>
          <w:sz w:val="30"/>
          <w:szCs w:val="30"/>
          <w:highlight w:val="none"/>
          <w:lang w:val="zh-CN"/>
        </w:rPr>
        <w:t>★电气专用保护元件，包括热敏开关、观察室泄漏传感器和综合控制（保护）器；</w:t>
      </w:r>
    </w:p>
    <w:p>
      <w:pPr>
        <w:spacing w:line="360" w:lineRule="auto"/>
        <w:ind w:left="900" w:hanging="420"/>
        <w:outlineLvl w:val="3"/>
        <w:rPr>
          <w:rFonts w:hint="eastAsia" w:ascii="Calibri" w:hAnsi="Calibri" w:eastAsia="宋体" w:cs="Times New Roman"/>
          <w:color w:val="auto"/>
          <w:sz w:val="30"/>
          <w:szCs w:val="30"/>
          <w:highlight w:val="none"/>
          <w:lang w:val="zh-CN"/>
        </w:rPr>
      </w:pPr>
      <w:r>
        <w:rPr>
          <w:rFonts w:hint="eastAsia" w:ascii="Calibri" w:hAnsi="Calibri" w:eastAsia="宋体" w:cs="Times New Roman"/>
          <w:color w:val="auto"/>
          <w:sz w:val="30"/>
          <w:szCs w:val="30"/>
          <w:highlight w:val="none"/>
          <w:lang w:val="zh-CN"/>
        </w:rPr>
        <w:t>★</w:t>
      </w:r>
      <w:r>
        <w:rPr>
          <w:rFonts w:ascii="Calibri" w:hAnsi="Calibri" w:eastAsia="宋体" w:cs="Times New Roman"/>
          <w:color w:val="auto"/>
          <w:sz w:val="30"/>
          <w:szCs w:val="30"/>
          <w:highlight w:val="none"/>
          <w:lang w:val="zh-CN"/>
        </w:rPr>
        <w:t>所有连接附件</w:t>
      </w:r>
      <w:r>
        <w:rPr>
          <w:rFonts w:hint="eastAsia" w:ascii="Calibri" w:hAnsi="Calibri" w:eastAsia="宋体" w:cs="Times New Roman"/>
          <w:color w:val="auto"/>
          <w:sz w:val="30"/>
          <w:szCs w:val="30"/>
          <w:highlight w:val="none"/>
          <w:lang w:val="zh-CN"/>
        </w:rPr>
        <w:t>。</w:t>
      </w:r>
    </w:p>
    <w:p>
      <w:pPr>
        <w:spacing w:line="360" w:lineRule="auto"/>
        <w:outlineLvl w:val="3"/>
        <w:rPr>
          <w:color w:val="auto"/>
          <w:sz w:val="30"/>
          <w:szCs w:val="30"/>
          <w:highlight w:val="none"/>
        </w:rPr>
      </w:pPr>
      <w:r>
        <w:rPr>
          <w:rFonts w:hint="eastAsia" w:ascii="Calibri" w:hAnsi="Calibri" w:eastAsia="宋体" w:cs="Times New Roman"/>
          <w:color w:val="auto"/>
          <w:sz w:val="30"/>
          <w:szCs w:val="30"/>
          <w:highlight w:val="none"/>
          <w:lang w:val="en-US" w:eastAsia="zh-CN"/>
        </w:rPr>
        <w:t>4、</w:t>
      </w:r>
      <w:r>
        <w:rPr>
          <w:rFonts w:hint="eastAsia"/>
          <w:color w:val="auto"/>
          <w:sz w:val="30"/>
          <w:szCs w:val="30"/>
          <w:highlight w:val="none"/>
        </w:rPr>
        <w:t>土建要求</w:t>
      </w:r>
    </w:p>
    <w:p>
      <w:pPr>
        <w:numPr>
          <w:ilvl w:val="0"/>
          <w:numId w:val="0"/>
        </w:numPr>
        <w:rPr>
          <w:rFonts w:hint="eastAsia"/>
          <w:color w:val="auto"/>
          <w:sz w:val="30"/>
          <w:szCs w:val="30"/>
          <w:highlight w:val="none"/>
          <w:lang w:val="en-US" w:eastAsia="zh-CN"/>
        </w:rPr>
      </w:pPr>
      <w:r>
        <w:rPr>
          <w:rFonts w:hint="eastAsia"/>
          <w:color w:val="auto"/>
          <w:sz w:val="30"/>
          <w:szCs w:val="30"/>
          <w:highlight w:val="none"/>
          <w:lang w:val="en-US" w:eastAsia="zh-CN"/>
        </w:rPr>
        <w:t xml:space="preserve">     回流泵主要分布在生化池及膜池回流渠中，全部回流泵均自带水下导轨，使用配置的手动葫芦垂直吊装在池体内。</w:t>
      </w:r>
    </w:p>
    <w:p>
      <w:pPr>
        <w:numPr>
          <w:ilvl w:val="0"/>
          <w:numId w:val="0"/>
        </w:numPr>
        <w:rPr>
          <w:rFonts w:hint="eastAsia"/>
          <w:color w:val="auto"/>
          <w:sz w:val="30"/>
          <w:szCs w:val="30"/>
          <w:highlight w:val="none"/>
          <w:lang w:val="en-US" w:eastAsia="zh-CN"/>
        </w:rPr>
      </w:pPr>
      <w:r>
        <w:rPr>
          <w:rFonts w:hint="eastAsia"/>
          <w:color w:val="auto"/>
          <w:sz w:val="30"/>
          <w:szCs w:val="30"/>
          <w:highlight w:val="none"/>
          <w:lang w:val="en-US" w:eastAsia="zh-CN"/>
        </w:rPr>
        <w:t>生化池缺氧段井口尺寸1800X1500（一台设备）</w:t>
      </w:r>
    </w:p>
    <w:p>
      <w:pPr>
        <w:numPr>
          <w:ilvl w:val="0"/>
          <w:numId w:val="0"/>
        </w:numPr>
        <w:rPr>
          <w:rFonts w:hint="eastAsia"/>
          <w:color w:val="auto"/>
          <w:sz w:val="30"/>
          <w:szCs w:val="30"/>
          <w:highlight w:val="none"/>
          <w:lang w:val="en-US" w:eastAsia="zh-CN"/>
        </w:rPr>
      </w:pPr>
      <w:r>
        <w:rPr>
          <w:rFonts w:hint="eastAsia"/>
          <w:color w:val="auto"/>
          <w:sz w:val="30"/>
          <w:szCs w:val="30"/>
          <w:highlight w:val="none"/>
          <w:lang w:val="en-US" w:eastAsia="zh-CN"/>
        </w:rPr>
        <w:t>生化池回流段井口尺寸5200X1500（三台设备）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color w:val="auto"/>
          <w:sz w:val="30"/>
          <w:szCs w:val="30"/>
          <w:highlight w:val="none"/>
          <w:lang w:val="en-US" w:eastAsia="zh-CN"/>
        </w:rPr>
      </w:pPr>
      <w:r>
        <w:rPr>
          <w:rFonts w:hint="eastAsia"/>
          <w:color w:val="auto"/>
          <w:sz w:val="30"/>
          <w:szCs w:val="30"/>
          <w:highlight w:val="none"/>
          <w:lang w:val="en-US" w:eastAsia="zh-CN"/>
        </w:rPr>
        <w:t>膜池回流渠井口尺寸2725X2000（一台设备）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color w:val="auto"/>
          <w:sz w:val="30"/>
          <w:szCs w:val="30"/>
          <w:highlight w:val="none"/>
        </w:rPr>
      </w:pPr>
      <w:r>
        <w:rPr>
          <w:rFonts w:hint="eastAsia"/>
          <w:color w:val="auto"/>
          <w:sz w:val="30"/>
          <w:szCs w:val="30"/>
          <w:highlight w:val="none"/>
          <w:lang w:val="en-US" w:eastAsia="zh-CN"/>
        </w:rPr>
        <w:t>5、</w:t>
      </w:r>
      <w:r>
        <w:rPr>
          <w:rFonts w:hint="eastAsia"/>
          <w:color w:val="auto"/>
          <w:sz w:val="30"/>
          <w:szCs w:val="30"/>
          <w:highlight w:val="none"/>
        </w:rPr>
        <w:t>泵尺寸、重量允许偏差范围</w:t>
      </w:r>
      <w:r>
        <w:rPr>
          <w:rFonts w:hint="eastAsia" w:asciiTheme="minorEastAsia" w:hAnsiTheme="minorEastAsia"/>
          <w:color w:val="auto"/>
          <w:sz w:val="30"/>
          <w:szCs w:val="30"/>
          <w:highlight w:val="none"/>
        </w:rPr>
        <w:t>≤</w:t>
      </w:r>
      <w:r>
        <w:rPr>
          <w:rFonts w:hint="eastAsia" w:asciiTheme="minorEastAsia" w:hAnsiTheme="minorEastAsia"/>
          <w:color w:val="auto"/>
          <w:sz w:val="30"/>
          <w:szCs w:val="30"/>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color w:val="auto"/>
          <w:sz w:val="30"/>
          <w:szCs w:val="30"/>
          <w:highlight w:val="none"/>
          <w:lang w:eastAsia="zh-CN"/>
        </w:rPr>
      </w:pPr>
      <w:r>
        <w:rPr>
          <w:rFonts w:hint="eastAsia" w:ascii="Times New Roman" w:hAnsi="Times New Roman" w:eastAsia="宋体" w:cs="Times New Roman"/>
          <w:color w:val="auto"/>
          <w:sz w:val="30"/>
          <w:szCs w:val="30"/>
          <w:highlight w:val="none"/>
        </w:rPr>
        <w:t>★</w:t>
      </w:r>
      <w:r>
        <w:rPr>
          <w:rFonts w:hint="eastAsia"/>
          <w:color w:val="auto"/>
          <w:sz w:val="30"/>
          <w:szCs w:val="30"/>
          <w:highlight w:val="none"/>
        </w:rPr>
        <w:t>厂区</w:t>
      </w:r>
      <w:r>
        <w:rPr>
          <w:rFonts w:hint="eastAsia"/>
          <w:color w:val="auto"/>
          <w:sz w:val="30"/>
          <w:szCs w:val="30"/>
          <w:highlight w:val="none"/>
          <w:lang w:val="en-US" w:eastAsia="zh-CN"/>
        </w:rPr>
        <w:t>设备吊臂配置手动葫芦</w:t>
      </w:r>
      <w:r>
        <w:rPr>
          <w:rFonts w:hint="eastAsia"/>
          <w:color w:val="auto"/>
          <w:sz w:val="30"/>
          <w:szCs w:val="30"/>
          <w:highlight w:val="none"/>
        </w:rPr>
        <w:t>额定起重限重为</w:t>
      </w:r>
      <w:r>
        <w:rPr>
          <w:rFonts w:hint="eastAsia"/>
          <w:color w:val="auto"/>
          <w:sz w:val="30"/>
          <w:szCs w:val="30"/>
          <w:highlight w:val="none"/>
          <w:lang w:val="en-US" w:eastAsia="zh-CN"/>
        </w:rPr>
        <w:t>1</w:t>
      </w:r>
      <w:r>
        <w:rPr>
          <w:rFonts w:hint="eastAsia"/>
          <w:color w:val="auto"/>
          <w:sz w:val="30"/>
          <w:szCs w:val="30"/>
          <w:highlight w:val="none"/>
        </w:rPr>
        <w:t>T，含吊钩在内离地面最大起吊高度</w:t>
      </w:r>
      <w:r>
        <w:rPr>
          <w:rFonts w:hint="eastAsia"/>
          <w:color w:val="auto"/>
          <w:sz w:val="30"/>
          <w:szCs w:val="30"/>
          <w:highlight w:val="none"/>
          <w:lang w:val="en-US" w:eastAsia="zh-CN"/>
        </w:rPr>
        <w:t>2</w:t>
      </w:r>
      <w:r>
        <w:rPr>
          <w:rFonts w:hint="eastAsia"/>
          <w:color w:val="auto"/>
          <w:sz w:val="30"/>
          <w:szCs w:val="30"/>
          <w:highlight w:val="none"/>
        </w:rPr>
        <w:t>m，本次供货</w:t>
      </w:r>
      <w:r>
        <w:rPr>
          <w:rFonts w:hint="eastAsia"/>
          <w:color w:val="auto"/>
          <w:sz w:val="30"/>
          <w:szCs w:val="30"/>
          <w:highlight w:val="none"/>
          <w:lang w:val="en-US" w:eastAsia="zh-CN"/>
        </w:rPr>
        <w:t>的搅拌器</w:t>
      </w:r>
      <w:r>
        <w:rPr>
          <w:rFonts w:hint="eastAsia"/>
          <w:color w:val="auto"/>
          <w:sz w:val="30"/>
          <w:szCs w:val="30"/>
          <w:highlight w:val="none"/>
        </w:rPr>
        <w:t>整机重量必须满足</w:t>
      </w:r>
      <w:r>
        <w:rPr>
          <w:rFonts w:hint="eastAsia"/>
          <w:color w:val="auto"/>
          <w:sz w:val="30"/>
          <w:szCs w:val="30"/>
          <w:highlight w:val="none"/>
          <w:lang w:val="en-US" w:eastAsia="zh-CN"/>
        </w:rPr>
        <w:t>手动葫芦</w:t>
      </w:r>
      <w:r>
        <w:rPr>
          <w:rFonts w:hint="eastAsia"/>
          <w:color w:val="auto"/>
          <w:sz w:val="30"/>
          <w:szCs w:val="30"/>
          <w:highlight w:val="none"/>
        </w:rPr>
        <w:t>起吊重量的要求</w:t>
      </w:r>
      <w:r>
        <w:rPr>
          <w:rFonts w:hint="eastAsia"/>
          <w:color w:val="auto"/>
          <w:sz w:val="30"/>
          <w:szCs w:val="30"/>
          <w:highlight w:val="none"/>
          <w:lang w:eastAsia="zh-CN"/>
        </w:rPr>
        <w:t>。</w:t>
      </w:r>
    </w:p>
    <w:p>
      <w:pPr>
        <w:numPr>
          <w:ilvl w:val="0"/>
          <w:numId w:val="0"/>
        </w:numPr>
        <w:rPr>
          <w:color w:val="auto"/>
          <w:sz w:val="30"/>
          <w:szCs w:val="30"/>
          <w:highlight w:val="none"/>
        </w:rPr>
      </w:pPr>
      <w:r>
        <w:rPr>
          <w:rFonts w:hint="eastAsia"/>
          <w:color w:val="auto"/>
          <w:sz w:val="30"/>
          <w:szCs w:val="30"/>
          <w:highlight w:val="none"/>
          <w:lang w:val="en-US" w:eastAsia="zh-CN"/>
        </w:rPr>
        <w:t>6、</w:t>
      </w:r>
      <w:r>
        <w:rPr>
          <w:rFonts w:hint="eastAsia"/>
          <w:color w:val="auto"/>
          <w:sz w:val="30"/>
          <w:szCs w:val="30"/>
          <w:highlight w:val="none"/>
        </w:rPr>
        <w:t>泵工作性能</w:t>
      </w:r>
    </w:p>
    <w:p>
      <w:pPr>
        <w:numPr>
          <w:ilvl w:val="0"/>
          <w:numId w:val="0"/>
        </w:numPr>
        <w:rPr>
          <w:rFonts w:hint="eastAsia"/>
          <w:color w:val="auto"/>
          <w:sz w:val="30"/>
          <w:szCs w:val="30"/>
          <w:highlight w:val="none"/>
          <w:lang w:eastAsia="zh-CN"/>
        </w:rPr>
      </w:pPr>
    </w:p>
    <w:p>
      <w:pPr>
        <w:numPr>
          <w:ilvl w:val="0"/>
          <w:numId w:val="0"/>
        </w:numP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lang w:val="en-US" w:eastAsia="zh-CN"/>
        </w:rPr>
        <w:t>1</w:t>
      </w:r>
      <w:r>
        <w:rPr>
          <w:rFonts w:hint="eastAsia"/>
          <w:color w:val="auto"/>
          <w:sz w:val="30"/>
          <w:szCs w:val="30"/>
          <w:highlight w:val="none"/>
          <w:lang w:eastAsia="zh-CN"/>
        </w:rPr>
        <w:t>）</w:t>
      </w:r>
      <w:r>
        <w:rPr>
          <w:rFonts w:hint="eastAsia"/>
          <w:color w:val="auto"/>
          <w:sz w:val="30"/>
          <w:szCs w:val="30"/>
          <w:highlight w:val="none"/>
        </w:rPr>
        <w:t>工作曲线允许偏差范围</w:t>
      </w:r>
      <w:r>
        <w:rPr>
          <w:rFonts w:hint="eastAsia" w:asciiTheme="minorEastAsia" w:hAnsiTheme="minorEastAsia"/>
          <w:color w:val="auto"/>
          <w:sz w:val="30"/>
          <w:szCs w:val="30"/>
          <w:highlight w:val="none"/>
        </w:rPr>
        <w:t>≤</w:t>
      </w:r>
      <w:r>
        <w:rPr>
          <w:rFonts w:hint="eastAsia" w:asciiTheme="minorEastAsia" w:hAnsiTheme="minorEastAsia"/>
          <w:color w:val="auto"/>
          <w:sz w:val="30"/>
          <w:szCs w:val="30"/>
          <w:highlight w:val="none"/>
        </w:rPr>
        <w:t>5%</w:t>
      </w:r>
    </w:p>
    <w:p>
      <w:pPr>
        <w:numPr>
          <w:ilvl w:val="0"/>
          <w:numId w:val="0"/>
        </w:numPr>
        <w:rPr>
          <w:color w:val="auto"/>
          <w:highlight w:val="none"/>
        </w:rPr>
      </w:pPr>
      <w:r>
        <w:rPr>
          <w:rFonts w:hint="eastAsia"/>
          <w:color w:val="auto"/>
          <w:sz w:val="30"/>
          <w:szCs w:val="30"/>
          <w:highlight w:val="none"/>
          <w:lang w:val="en-US" w:eastAsia="zh-CN"/>
        </w:rPr>
        <w:t xml:space="preserve">   </w:t>
      </w:r>
      <w:r>
        <w:rPr>
          <w:color w:val="auto"/>
          <w:highlight w:val="none"/>
        </w:rPr>
        <w:drawing>
          <wp:inline distT="0" distB="0" distL="114300" distR="114300">
            <wp:extent cx="5270500" cy="5409565"/>
            <wp:effectExtent l="0" t="0" r="6350" b="635"/>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0"/>
                    <a:stretch>
                      <a:fillRect/>
                    </a:stretch>
                  </pic:blipFill>
                  <pic:spPr>
                    <a:xfrm>
                      <a:off x="0" y="0"/>
                      <a:ext cx="5270500" cy="5409565"/>
                    </a:xfrm>
                    <a:prstGeom prst="rect">
                      <a:avLst/>
                    </a:prstGeom>
                    <a:noFill/>
                    <a:ln>
                      <a:noFill/>
                    </a:ln>
                  </pic:spPr>
                </pic:pic>
              </a:graphicData>
            </a:graphic>
          </wp:inline>
        </w:drawing>
      </w:r>
    </w:p>
    <w:p>
      <w:pPr>
        <w:numPr>
          <w:ilvl w:val="0"/>
          <w:numId w:val="0"/>
        </w:numPr>
        <w:rPr>
          <w:color w:val="auto"/>
          <w:highlight w:val="none"/>
        </w:rPr>
      </w:pPr>
    </w:p>
    <w:p>
      <w:pPr>
        <w:numPr>
          <w:ilvl w:val="0"/>
          <w:numId w:val="0"/>
        </w:numPr>
        <w:jc w:val="center"/>
        <w:rPr>
          <w:rFonts w:hint="eastAsia"/>
          <w:color w:val="auto"/>
          <w:highlight w:val="none"/>
          <w:lang w:val="en-US" w:eastAsia="zh-CN"/>
        </w:rPr>
      </w:pPr>
      <w:r>
        <w:rPr>
          <w:rFonts w:hint="eastAsia"/>
          <w:color w:val="auto"/>
          <w:highlight w:val="none"/>
          <w:lang w:val="en-US" w:eastAsia="zh-CN"/>
        </w:rPr>
        <w:t>性能曲线</w:t>
      </w: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jc w:val="center"/>
        <w:rPr>
          <w:rFonts w:hint="eastAsia"/>
          <w:color w:val="auto"/>
          <w:highlight w:val="none"/>
          <w:lang w:val="en-US" w:eastAsia="zh-CN"/>
        </w:rPr>
      </w:pPr>
    </w:p>
    <w:p>
      <w:pPr>
        <w:numPr>
          <w:ilvl w:val="0"/>
          <w:numId w:val="0"/>
        </w:numP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lang w:val="en-US" w:eastAsia="zh-CN"/>
        </w:rPr>
        <w:t>2</w:t>
      </w:r>
      <w:r>
        <w:rPr>
          <w:rFonts w:hint="eastAsia"/>
          <w:color w:val="auto"/>
          <w:sz w:val="30"/>
          <w:szCs w:val="30"/>
          <w:highlight w:val="none"/>
          <w:lang w:eastAsia="zh-CN"/>
        </w:rPr>
        <w:t>）</w:t>
      </w:r>
      <w:r>
        <w:rPr>
          <w:rFonts w:hint="eastAsia"/>
          <w:color w:val="auto"/>
          <w:sz w:val="30"/>
          <w:szCs w:val="30"/>
          <w:highlight w:val="none"/>
        </w:rPr>
        <w:t>最佳工况点允许偏差范围</w:t>
      </w:r>
      <w:r>
        <w:rPr>
          <w:rFonts w:hint="eastAsia" w:asciiTheme="minorEastAsia" w:hAnsiTheme="minorEastAsia"/>
          <w:color w:val="auto"/>
          <w:sz w:val="30"/>
          <w:szCs w:val="30"/>
          <w:highlight w:val="none"/>
        </w:rPr>
        <w:t>≤</w:t>
      </w:r>
      <w:r>
        <w:rPr>
          <w:rFonts w:hint="eastAsia" w:asciiTheme="minorEastAsia" w:hAnsiTheme="minorEastAsia"/>
          <w:color w:val="auto"/>
          <w:sz w:val="30"/>
          <w:szCs w:val="30"/>
          <w:highlight w:val="none"/>
        </w:rPr>
        <w:t>5%</w:t>
      </w:r>
    </w:p>
    <w:p>
      <w:pPr>
        <w:numPr>
          <w:ilvl w:val="0"/>
          <w:numId w:val="0"/>
        </w:numPr>
        <w:rPr>
          <w:color w:val="auto"/>
          <w:highlight w:val="none"/>
        </w:rPr>
      </w:pPr>
      <w:r>
        <w:rPr>
          <w:color w:val="auto"/>
          <w:highlight w:val="none"/>
        </w:rPr>
        <w:drawing>
          <wp:inline distT="0" distB="0" distL="114300" distR="114300">
            <wp:extent cx="5271135" cy="5173345"/>
            <wp:effectExtent l="0" t="0" r="5715" b="8255"/>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1"/>
                    <a:stretch>
                      <a:fillRect/>
                    </a:stretch>
                  </pic:blipFill>
                  <pic:spPr>
                    <a:xfrm>
                      <a:off x="0" y="0"/>
                      <a:ext cx="5271135" cy="5173345"/>
                    </a:xfrm>
                    <a:prstGeom prst="rect">
                      <a:avLst/>
                    </a:prstGeom>
                    <a:noFill/>
                    <a:ln>
                      <a:noFill/>
                    </a:ln>
                  </pic:spPr>
                </pic:pic>
              </a:graphicData>
            </a:graphic>
          </wp:inline>
        </w:drawing>
      </w:r>
    </w:p>
    <w:p>
      <w:pPr>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最佳工况点：流量2960m3/h，扬程0.558m，轴功率7.95kw。</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color w:val="auto"/>
          <w:sz w:val="30"/>
          <w:szCs w:val="30"/>
          <w:highlight w:val="none"/>
        </w:rPr>
      </w:pPr>
      <w:r>
        <w:rPr>
          <w:rFonts w:hint="eastAsia"/>
          <w:color w:val="auto"/>
          <w:sz w:val="30"/>
          <w:szCs w:val="30"/>
          <w:highlight w:val="none"/>
          <w:lang w:val="en-US" w:eastAsia="zh-CN"/>
        </w:rPr>
        <w:t>7、设</w:t>
      </w:r>
      <w:r>
        <w:rPr>
          <w:rFonts w:hint="eastAsia"/>
          <w:color w:val="auto"/>
          <w:sz w:val="30"/>
          <w:szCs w:val="30"/>
          <w:highlight w:val="none"/>
        </w:rPr>
        <w:t>泵的材质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泵壳、电机壳：</w:t>
      </w:r>
      <w:r>
        <w:rPr>
          <w:rFonts w:hint="eastAsia" w:ascii="宋体" w:hAnsi="宋体" w:eastAsia="宋体" w:cs="宋体"/>
          <w:color w:val="auto"/>
          <w:sz w:val="30"/>
          <w:szCs w:val="30"/>
          <w:highlight w:val="none"/>
          <w:lang w:val="en-US" w:eastAsia="zh-CN"/>
        </w:rPr>
        <w:t>不锈钢304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叶轮：不锈钢316L</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导流环：直径590mm，不锈钢304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主轴：不锈钢 420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内、外</w:t>
      </w:r>
      <w:r>
        <w:rPr>
          <w:rFonts w:hint="eastAsia" w:ascii="宋体" w:hAnsi="宋体" w:eastAsia="宋体" w:cs="宋体"/>
          <w:color w:val="auto"/>
          <w:sz w:val="30"/>
          <w:szCs w:val="30"/>
          <w:highlight w:val="none"/>
        </w:rPr>
        <w:t>机械密封：耐腐蚀烧结碳化钨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螺栓、螺母</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垫圈</w:t>
      </w:r>
      <w:r>
        <w:rPr>
          <w:rFonts w:hint="eastAsia" w:ascii="宋体" w:hAnsi="宋体" w:eastAsia="宋体" w:cs="宋体"/>
          <w:color w:val="auto"/>
          <w:sz w:val="30"/>
          <w:szCs w:val="30"/>
          <w:highlight w:val="none"/>
        </w:rPr>
        <w:t>：不锈钢316L</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sz w:val="24"/>
          <w:szCs w:val="24"/>
          <w:highlight w:val="none"/>
          <w:lang w:val="en-US" w:eastAsia="zh-CN"/>
        </w:rPr>
      </w:pPr>
      <w:r>
        <w:rPr>
          <w:rFonts w:hint="eastAsia" w:ascii="宋体" w:hAnsi="宋体" w:eastAsia="宋体" w:cs="宋体"/>
          <w:color w:val="auto"/>
          <w:sz w:val="30"/>
          <w:szCs w:val="30"/>
          <w:highlight w:val="none"/>
        </w:rPr>
        <w:t>其他与介质接触紧固件：</w:t>
      </w:r>
      <w:r>
        <w:rPr>
          <w:rFonts w:hint="eastAsia" w:ascii="宋体" w:hAnsi="宋体" w:eastAsia="宋体" w:cs="宋体"/>
          <w:color w:val="auto"/>
          <w:sz w:val="30"/>
          <w:szCs w:val="30"/>
          <w:highlight w:val="none"/>
          <w:lang w:val="en-US" w:eastAsia="zh-CN"/>
        </w:rPr>
        <w:t>导轨、提升索、水泵起吊架及支座均为不锈钢AISI304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color w:val="auto"/>
          <w:sz w:val="30"/>
          <w:szCs w:val="30"/>
          <w:highlight w:val="none"/>
          <w:lang w:val="en-US" w:eastAsia="zh-CN"/>
        </w:rPr>
      </w:pPr>
    </w:p>
    <w:p>
      <w:pPr>
        <w:pStyle w:val="2"/>
        <w:ind w:left="0" w:leftChars="0" w:firstLine="0" w:firstLineChars="0"/>
        <w:rPr>
          <w:rFonts w:hint="eastAsia" w:eastAsia="等线"/>
          <w:color w:val="auto"/>
          <w:highlight w:val="none"/>
          <w:lang w:val="en-US" w:eastAsia="zh-CN"/>
        </w:rPr>
      </w:pPr>
    </w:p>
    <w:p>
      <w:pPr>
        <w:pStyle w:val="2"/>
        <w:rPr>
          <w:rFonts w:hint="default"/>
          <w:color w:val="auto"/>
          <w:highlight w:val="none"/>
          <w:lang w:val="en-US" w:eastAsia="zh-CN"/>
        </w:rPr>
      </w:pPr>
    </w:p>
    <w:p>
      <w:pPr>
        <w:pStyle w:val="2"/>
        <w:rPr>
          <w:rFonts w:hint="eastAsia" w:eastAsia="宋体"/>
          <w:color w:val="auto"/>
          <w:highlight w:val="none"/>
          <w:lang w:val="en-US" w:eastAsia="zh-CN"/>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2" w:name="_Toc1284"/>
      <w:bookmarkStart w:id="63" w:name="_Toc18538"/>
      <w:bookmarkStart w:id="64" w:name="_Toc537"/>
      <w:bookmarkStart w:id="65" w:name="_Toc15570"/>
      <w:bookmarkStart w:id="66" w:name="_Toc23353"/>
      <w:bookmarkStart w:id="67" w:name="_Toc25925"/>
      <w:bookmarkStart w:id="68" w:name="_Toc12135"/>
      <w:bookmarkStart w:id="69" w:name="_Toc4680"/>
      <w:bookmarkStart w:id="70" w:name="_Toc23330"/>
      <w:bookmarkStart w:id="71" w:name="_Toc1496"/>
      <w:bookmarkStart w:id="72" w:name="_Toc298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7"/>
        <w:rPr>
          <w:color w:val="auto"/>
          <w:highlight w:val="none"/>
        </w:rPr>
      </w:pPr>
    </w:p>
    <w:p>
      <w:pPr>
        <w:pStyle w:val="4"/>
        <w:rPr>
          <w:color w:val="auto"/>
          <w:highlight w:val="none"/>
        </w:rPr>
      </w:pPr>
      <w:bookmarkStart w:id="73" w:name="_Toc19686"/>
      <w:bookmarkStart w:id="74" w:name="_Toc22501"/>
      <w:bookmarkStart w:id="75" w:name="_Toc323"/>
      <w:bookmarkStart w:id="76" w:name="_Toc87616386"/>
      <w:bookmarkStart w:id="77" w:name="_Toc13309"/>
      <w:bookmarkStart w:id="78" w:name="_Toc19088"/>
      <w:bookmarkStart w:id="79" w:name="_Toc8183"/>
      <w:bookmarkStart w:id="80" w:name="_Toc1375"/>
      <w:bookmarkStart w:id="81" w:name="_Toc12980"/>
      <w:bookmarkStart w:id="82" w:name="_Toc22797"/>
      <w:bookmarkStart w:id="83" w:name="_Toc12721"/>
      <w:bookmarkStart w:id="84" w:name="_Toc88209949"/>
      <w:bookmarkStart w:id="85" w:name="_Toc1296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default"/>
          <w:color w:val="auto"/>
          <w:sz w:val="30"/>
          <w:highlight w:val="none"/>
          <w:lang w:val="en-US" w:eastAsia="zh-CN"/>
        </w:rPr>
      </w:pPr>
      <w:r>
        <w:rPr>
          <w:rFonts w:hint="eastAsia"/>
          <w:color w:val="auto"/>
          <w:sz w:val="30"/>
          <w:highlight w:val="none"/>
        </w:rPr>
        <w:t>项目名称：广州市净水有限公司京溪分公司2022年</w:t>
      </w:r>
      <w:r>
        <w:rPr>
          <w:rFonts w:hint="eastAsia"/>
          <w:color w:val="auto"/>
          <w:sz w:val="30"/>
          <w:highlight w:val="none"/>
          <w:lang w:eastAsia="zh-CN"/>
        </w:rPr>
        <w:t>回流泵采购</w:t>
      </w:r>
      <w:r>
        <w:rPr>
          <w:rFonts w:hint="eastAsia"/>
          <w:color w:val="auto"/>
          <w:sz w:val="30"/>
          <w:highlight w:val="none"/>
          <w:lang w:val="en-US" w:eastAsia="zh-CN"/>
        </w:rPr>
        <w:t>项目项目编号：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pStyle w:val="2"/>
        <w:rPr>
          <w:rFonts w:hint="eastAsia"/>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eastAsia="zh-CN"/>
        </w:rPr>
        <w:t>广州市净水有限公司京溪分公司2022年回流泵采购项目</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74"/>
        <w:gridCol w:w="3253"/>
        <w:gridCol w:w="1059"/>
        <w:gridCol w:w="1218"/>
        <w:gridCol w:w="1253"/>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1274"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bookmarkStart w:id="86" w:name="_Toc17140"/>
            <w:r>
              <w:rPr>
                <w:rFonts w:hint="eastAsia" w:ascii="仿宋" w:hAnsi="仿宋" w:eastAsia="仿宋" w:cs="仿宋"/>
                <w:b/>
                <w:i w:val="0"/>
                <w:color w:val="auto"/>
                <w:kern w:val="0"/>
                <w:sz w:val="22"/>
                <w:szCs w:val="22"/>
                <w:highlight w:val="none"/>
                <w:u w:val="none"/>
                <w:lang w:val="en-US" w:eastAsia="zh-CN" w:bidi="ar"/>
              </w:rPr>
              <w:t>项目</w:t>
            </w:r>
          </w:p>
        </w:tc>
        <w:tc>
          <w:tcPr>
            <w:tcW w:w="3253" w:type="dxa"/>
            <w:vMerge w:val="restart"/>
            <w:tcBorders>
              <w:top w:val="single" w:color="000000" w:sz="8"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设备名称</w:t>
            </w:r>
          </w:p>
        </w:tc>
        <w:tc>
          <w:tcPr>
            <w:tcW w:w="1059" w:type="dxa"/>
            <w:vMerge w:val="restart"/>
            <w:tcBorders>
              <w:top w:val="single" w:color="000000" w:sz="8"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数量</w:t>
            </w:r>
          </w:p>
        </w:tc>
        <w:tc>
          <w:tcPr>
            <w:tcW w:w="1218"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品牌型号</w:t>
            </w:r>
          </w:p>
        </w:tc>
        <w:tc>
          <w:tcPr>
            <w:tcW w:w="24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金额（含税）（万元）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1274"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color w:val="auto"/>
                <w:highlight w:val="none"/>
              </w:rPr>
            </w:pPr>
          </w:p>
        </w:tc>
        <w:tc>
          <w:tcPr>
            <w:tcW w:w="32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highlight w:val="none"/>
              </w:rPr>
            </w:pPr>
          </w:p>
        </w:tc>
        <w:tc>
          <w:tcPr>
            <w:tcW w:w="10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highlight w:val="none"/>
              </w:rPr>
            </w:pPr>
          </w:p>
        </w:tc>
        <w:tc>
          <w:tcPr>
            <w:tcW w:w="1218"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auto"/>
                <w:sz w:val="24"/>
                <w:szCs w:val="24"/>
                <w:highlight w:val="none"/>
                <w:u w:val="none"/>
                <w:lang w:val="en-US" w:eastAsia="zh-CN"/>
              </w:rPr>
            </w:pPr>
          </w:p>
        </w:tc>
        <w:tc>
          <w:tcPr>
            <w:tcW w:w="125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综合单价</w:t>
            </w:r>
          </w:p>
        </w:tc>
        <w:tc>
          <w:tcPr>
            <w:tcW w:w="120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2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2"/>
                <w:szCs w:val="22"/>
                <w:highlight w:val="none"/>
                <w:u w:val="none"/>
                <w:lang w:val="en-US" w:eastAsia="zh-CN"/>
              </w:rPr>
            </w:pPr>
            <w:r>
              <w:rPr>
                <w:rFonts w:hint="eastAsia" w:ascii="仿宋" w:hAnsi="仿宋" w:eastAsia="仿宋" w:cs="仿宋"/>
                <w:b/>
                <w:i w:val="0"/>
                <w:color w:val="auto"/>
                <w:sz w:val="22"/>
                <w:szCs w:val="22"/>
                <w:highlight w:val="none"/>
                <w:u w:val="none"/>
                <w:lang w:val="en-US" w:eastAsia="zh-CN"/>
              </w:rPr>
              <w:t>1</w:t>
            </w:r>
          </w:p>
        </w:tc>
        <w:tc>
          <w:tcPr>
            <w:tcW w:w="325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lang w:val="en-US" w:eastAsia="zh-CN"/>
              </w:rPr>
            </w:pPr>
            <w:r>
              <w:rPr>
                <w:rFonts w:hint="eastAsia" w:ascii="仿宋" w:hAnsi="仿宋" w:eastAsia="仿宋" w:cs="仿宋"/>
                <w:b/>
                <w:i w:val="0"/>
                <w:color w:val="auto"/>
                <w:sz w:val="22"/>
                <w:szCs w:val="22"/>
                <w:highlight w:val="none"/>
                <w:u w:val="none"/>
                <w:lang w:val="en-US" w:eastAsia="zh-CN"/>
              </w:rPr>
              <w:t>回流泵（10kW ）</w:t>
            </w: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2"/>
                <w:szCs w:val="22"/>
                <w:highlight w:val="none"/>
                <w:u w:val="none"/>
                <w:lang w:val="en-US" w:eastAsia="zh-CN"/>
              </w:rPr>
            </w:pPr>
            <w:r>
              <w:rPr>
                <w:rFonts w:hint="eastAsia" w:ascii="仿宋" w:hAnsi="仿宋" w:eastAsia="仿宋" w:cs="仿宋"/>
                <w:b/>
                <w:i w:val="0"/>
                <w:color w:val="auto"/>
                <w:sz w:val="22"/>
                <w:szCs w:val="22"/>
                <w:highlight w:val="none"/>
                <w:u w:val="none"/>
                <w:lang w:val="en-US" w:eastAsia="zh-CN"/>
              </w:rPr>
              <w:t>4</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lang w:val="en-US" w:eastAsia="zh-CN"/>
              </w:rPr>
            </w:pPr>
          </w:p>
        </w:tc>
      </w:tr>
    </w:tbl>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86"/>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hAnsi="宋体" w:cs="宋体"/>
          <w:color w:val="auto"/>
          <w:kern w:val="2"/>
          <w:sz w:val="24"/>
          <w:szCs w:val="24"/>
          <w:highlight w:val="none"/>
          <w:lang w:val="en-US" w:eastAsia="zh-CN" w:bidi="ar-SA"/>
        </w:rPr>
        <w:t>自签订合同日起，</w:t>
      </w:r>
      <w:r>
        <w:rPr>
          <w:rFonts w:hint="eastAsia" w:ascii="宋体" w:hAnsi="宋体" w:eastAsia="宋体" w:cs="宋体"/>
          <w:color w:val="auto"/>
          <w:kern w:val="2"/>
          <w:sz w:val="24"/>
          <w:szCs w:val="24"/>
          <w:highlight w:val="none"/>
          <w:lang w:val="en-US" w:eastAsia="zh-CN" w:bidi="ar-SA"/>
        </w:rPr>
        <w:t>90个自然日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keepNext w:val="0"/>
        <w:keepLines w:val="0"/>
        <w:pageBreakBefore w:val="0"/>
        <w:widowControl w:val="0"/>
        <w:kinsoku/>
        <w:wordWrap/>
        <w:overflowPunct/>
        <w:topLinePunct w:val="0"/>
        <w:autoSpaceDE w:val="0"/>
        <w:autoSpaceDN w:val="0"/>
        <w:bidi w:val="0"/>
        <w:adjustRightInd w:val="0"/>
        <w:spacing w:after="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eastAsia="宋体" w:cs="宋体"/>
          <w:color w:val="auto"/>
          <w:sz w:val="24"/>
          <w:szCs w:val="24"/>
          <w:highlight w:val="none"/>
          <w:lang w:val="en-US" w:eastAsia="zh-CN"/>
        </w:rPr>
        <w:t>广州市净水有限公司京溪分公司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r>
        <w:rPr>
          <w:rFonts w:hint="eastAsia" w:ascii="宋体" w:hAnsi="宋体" w:cs="宋体"/>
          <w:color w:val="auto"/>
          <w:kern w:val="0"/>
          <w:sz w:val="24"/>
          <w:szCs w:val="24"/>
          <w:highlight w:val="none"/>
          <w:u w:val="single"/>
          <w:lang w:val="en-US" w:eastAsia="zh-CN"/>
        </w:rPr>
        <w:t>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w:t>
      </w:r>
      <w:r>
        <w:rPr>
          <w:rFonts w:hint="eastAsia" w:ascii="宋体" w:hAnsi="宋体" w:cs="宋体"/>
          <w:bCs/>
          <w:color w:val="auto"/>
          <w:sz w:val="24"/>
          <w:szCs w:val="24"/>
          <w:highlight w:val="none"/>
          <w:lang w:val="en-US" w:eastAsia="zh-CN"/>
        </w:rPr>
        <w:t>预付款担保</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w:t>
      </w:r>
    </w:p>
    <w:p>
      <w:pPr>
        <w:adjustRightInd w:val="0"/>
        <w:snapToGrid w:val="0"/>
        <w:spacing w:line="460" w:lineRule="exact"/>
        <w:ind w:firstLine="360" w:firstLineChars="150"/>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验收合格完毕，甲方在收到乙方提交的请款资料及等额增值税专用发票后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w:t>
      </w:r>
      <w:r>
        <w:rPr>
          <w:rFonts w:hint="eastAsia" w:ascii="宋体" w:hAnsi="宋体" w:cs="宋体"/>
          <w:color w:val="auto"/>
          <w:sz w:val="24"/>
          <w:szCs w:val="24"/>
          <w:highlight w:val="none"/>
        </w:rPr>
        <w:t>（含预付款）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乙方提交请款资料及等额增值税专用发票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2"/>
        <w:spacing w:line="360" w:lineRule="auto"/>
        <w:ind w:firstLine="525" w:firstLineChars="250"/>
        <w:outlineLvl w:val="1"/>
        <w:rPr>
          <w:rFonts w:ascii="宋体" w:hAnsi="宋体" w:cs="宋体"/>
          <w:color w:val="auto"/>
          <w:sz w:val="24"/>
          <w:szCs w:val="24"/>
          <w:highlight w:val="none"/>
        </w:rPr>
      </w:pPr>
      <w:r>
        <w:rPr>
          <w:rFonts w:hAnsi="宋体" w:cs="宋体"/>
          <w:color w:val="auto"/>
          <w:szCs w:val="24"/>
          <w:highlight w:val="none"/>
        </w:rPr>
        <w:t>5.2.2</w:t>
      </w:r>
      <w:r>
        <w:rPr>
          <w:rFonts w:hint="eastAsia" w:ascii="宋体" w:hAnsi="宋体" w:cs="宋体" w:eastAsiaTheme="minorEastAsia"/>
          <w:color w:val="auto"/>
          <w:kern w:val="2"/>
          <w:sz w:val="24"/>
          <w:szCs w:val="24"/>
          <w:highlight w:val="none"/>
          <w:lang w:val="en-US" w:eastAsia="zh-CN" w:bidi="ar-SA"/>
        </w:rPr>
        <w:t>质保期按合同第</w:t>
      </w:r>
      <w:r>
        <w:rPr>
          <w:rFonts w:hint="eastAsia" w:hAnsi="宋体" w:cs="宋体"/>
          <w:color w:val="auto"/>
          <w:kern w:val="2"/>
          <w:sz w:val="24"/>
          <w:szCs w:val="24"/>
          <w:highlight w:val="none"/>
          <w:lang w:val="en-US" w:eastAsia="zh-CN" w:bidi="ar-SA"/>
        </w:rPr>
        <w:t>十</w:t>
      </w:r>
      <w:r>
        <w:rPr>
          <w:rFonts w:hint="eastAsia" w:ascii="宋体" w:hAnsi="宋体" w:cs="宋体" w:eastAsiaTheme="minorEastAsia"/>
          <w:color w:val="auto"/>
          <w:kern w:val="2"/>
          <w:sz w:val="24"/>
          <w:szCs w:val="24"/>
          <w:highlight w:val="none"/>
          <w:lang w:val="en-US" w:eastAsia="zh-CN" w:bidi="ar-SA"/>
        </w:rPr>
        <w:t>条规定执行，质保期满且乙方不存在违约情形，乙方提交请款资料及等额增值税专用发票，甲方审核无误后在</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hAnsi="宋体" w:cs="宋体"/>
          <w:color w:val="auto"/>
          <w:kern w:val="2"/>
          <w:sz w:val="24"/>
          <w:szCs w:val="24"/>
          <w:highlight w:val="none"/>
          <w:u w:val="single"/>
          <w:lang w:val="en-US" w:eastAsia="zh-CN" w:bidi="ar-SA"/>
        </w:rPr>
        <w:t>30</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ascii="宋体" w:hAnsi="宋体" w:cs="宋体" w:eastAsiaTheme="minorEastAsia"/>
          <w:color w:val="auto"/>
          <w:kern w:val="2"/>
          <w:sz w:val="24"/>
          <w:szCs w:val="24"/>
          <w:highlight w:val="none"/>
          <w:lang w:val="en-US" w:eastAsia="zh-CN" w:bidi="ar-SA"/>
        </w:rPr>
        <w:t>个工作日内支付合同结算价的5％（质保金）给乙方(无息)。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2"/>
        <w:spacing w:line="360" w:lineRule="auto"/>
        <w:ind w:firstLine="735" w:firstLineChars="350"/>
        <w:outlineLvl w:val="1"/>
        <w:rPr>
          <w:rFonts w:hAnsi="宋体" w:cs="宋体"/>
          <w:color w:val="auto"/>
          <w:szCs w:val="24"/>
          <w:highlight w:val="none"/>
        </w:rPr>
      </w:pPr>
      <w:r>
        <w:rPr>
          <w:rFonts w:hint="eastAsia" w:hAnsi="宋体" w:cs="宋体"/>
          <w:color w:val="auto"/>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val="en-US"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1"/>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1"/>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21"/>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1"/>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w:t>
      </w:r>
      <w:r>
        <w:rPr>
          <w:rFonts w:hint="eastAsia" w:ascii="宋体" w:hAnsi="宋体" w:eastAsia="宋体" w:cs="宋体"/>
          <w:color w:val="auto"/>
          <w:sz w:val="24"/>
          <w:szCs w:val="24"/>
          <w:highlight w:val="none"/>
        </w:rPr>
        <w:t>价格的</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%支付违</w:t>
      </w:r>
      <w:r>
        <w:rPr>
          <w:rFonts w:hint="eastAsia" w:ascii="宋体" w:hAnsi="宋体" w:cs="宋体"/>
          <w:color w:val="auto"/>
          <w:sz w:val="24"/>
          <w:szCs w:val="24"/>
          <w:highlight w:val="none"/>
        </w:rPr>
        <w:t>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0"/>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cs="宋体" w:eastAsiaTheme="minorEastAsia"/>
          <w:bCs/>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r>
        <w:rPr>
          <w:rFonts w:hint="default"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w:t>
      </w:r>
      <w:r>
        <w:rPr>
          <w:rFonts w:hint="default" w:ascii="宋体" w:hAnsi="宋体" w:eastAsia="宋体" w:cs="宋体"/>
          <w:b w:val="0"/>
          <w:bCs w:val="0"/>
          <w:color w:val="auto"/>
          <w:kern w:val="0"/>
          <w:sz w:val="24"/>
          <w:szCs w:val="24"/>
          <w:highlight w:val="none"/>
          <w:lang w:val="en-US" w:eastAsia="zh-CN"/>
        </w:rPr>
        <w:t>防疫管理协议书</w:t>
      </w:r>
    </w:p>
    <w:tbl>
      <w:tblPr>
        <w:tblStyle w:val="22"/>
        <w:tblpPr w:leftFromText="180" w:rightFromText="180" w:vertAnchor="text" w:horzAnchor="page" w:tblpX="1264" w:tblpY="308"/>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附件1中标通知书/发包通知书/成交通知书</w:t>
      </w: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四、补充条款：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五、附则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甲方：</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560" w:lineRule="exact"/>
              <w:ind w:firstLine="240" w:firstLineChars="100"/>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乙方：</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560" w:lineRule="exact"/>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47"/>
        <w:rPr>
          <w:rFonts w:hint="eastAsia" w:hAnsi="宋体"/>
          <w:b/>
          <w:color w:val="auto"/>
          <w:sz w:val="24"/>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附件5：防疫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color w:val="auto"/>
          <w:highlight w:val="none"/>
          <w:u w:val="single"/>
        </w:rPr>
      </w:pPr>
      <w:bookmarkStart w:id="87" w:name="_Toc21391"/>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5"/>
          <w:rFonts w:hint="eastAsia" w:ascii="仿宋" w:hAnsi="仿宋" w:eastAsia="仿宋" w:cs="仿宋"/>
          <w:color w:val="auto"/>
          <w:highlight w:val="none"/>
          <w:u w:val="single"/>
        </w:rPr>
        <w:t xml:space="preserve">                  </w:t>
      </w:r>
    </w:p>
    <w:bookmarkEnd w:id="8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color w:val="auto"/>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 w:hAnsi="仿宋" w:eastAsia="仿宋" w:cs="仿宋"/>
          <w:color w:val="auto"/>
          <w:sz w:val="24"/>
          <w:highlight w:val="none"/>
        </w:rPr>
        <w:t xml:space="preserve">      年 　月　  日　　　　　                 年   月  　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8" w:name="_Toc21847"/>
      <w:bookmarkStart w:id="89" w:name="_Toc1563"/>
      <w:bookmarkStart w:id="90" w:name="_Toc6230"/>
      <w:bookmarkStart w:id="91" w:name="_Toc12169"/>
      <w:bookmarkStart w:id="92" w:name="_Toc23515"/>
      <w:bookmarkStart w:id="93" w:name="_Toc28358"/>
      <w:bookmarkStart w:id="94" w:name="_Toc30824"/>
      <w:bookmarkStart w:id="95" w:name="_Toc5129"/>
      <w:bookmarkStart w:id="96" w:name="_Toc3723"/>
      <w:bookmarkStart w:id="97" w:name="_Toc16552"/>
      <w:bookmarkStart w:id="98"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8"/>
      <w:bookmarkEnd w:id="89"/>
      <w:bookmarkEnd w:id="90"/>
      <w:bookmarkEnd w:id="91"/>
      <w:bookmarkEnd w:id="92"/>
      <w:bookmarkEnd w:id="93"/>
      <w:bookmarkEnd w:id="94"/>
      <w:bookmarkEnd w:id="95"/>
      <w:bookmarkEnd w:id="96"/>
      <w:bookmarkEnd w:id="97"/>
      <w:bookmarkEnd w:id="98"/>
    </w:p>
    <w:p>
      <w:pPr>
        <w:pStyle w:val="37"/>
        <w:rPr>
          <w:color w:val="auto"/>
          <w:highlight w:val="none"/>
        </w:rPr>
      </w:pPr>
    </w:p>
    <w:p>
      <w:pPr>
        <w:pStyle w:val="4"/>
        <w:rPr>
          <w:color w:val="auto"/>
          <w:highlight w:val="none"/>
        </w:rPr>
      </w:pPr>
      <w:bookmarkStart w:id="99" w:name="_Toc30157"/>
      <w:bookmarkStart w:id="100" w:name="_Toc31564"/>
      <w:bookmarkStart w:id="101" w:name="_Toc21675"/>
      <w:bookmarkStart w:id="102" w:name="_Toc24815"/>
      <w:bookmarkStart w:id="103" w:name="_Toc5342"/>
      <w:bookmarkStart w:id="104" w:name="_Toc12769"/>
      <w:bookmarkStart w:id="105" w:name="_Toc10840"/>
      <w:bookmarkStart w:id="106" w:name="_Toc88209951"/>
      <w:bookmarkStart w:id="107" w:name="_Toc12610"/>
      <w:bookmarkStart w:id="108" w:name="_Toc24490"/>
      <w:bookmarkStart w:id="109" w:name="_Toc22764"/>
      <w:bookmarkStart w:id="110" w:name="_Toc17119"/>
      <w:bookmarkStart w:id="111" w:name="_Toc87616388"/>
      <w:r>
        <w:rPr>
          <w:rFonts w:hint="eastAsia"/>
          <w:color w:val="auto"/>
          <w:highlight w:val="none"/>
        </w:rPr>
        <w:t>响应文件</w:t>
      </w:r>
      <w:r>
        <w:rPr>
          <w:rFonts w:hint="eastAsia"/>
          <w:color w:val="auto"/>
          <w:highlight w:val="none"/>
          <w:lang w:val="en-US" w:eastAsia="zh-CN"/>
        </w:rPr>
        <w:t>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leftChars="0" w:firstLine="0" w:firstLineChars="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2" w:name="_Toc87616389"/>
      <w:bookmarkStart w:id="113" w:name="_Toc88209952"/>
      <w:r>
        <w:rPr>
          <w:rFonts w:hint="eastAsia" w:ascii="仿宋_GB2312" w:eastAsia="仿宋_GB2312"/>
          <w:color w:val="auto"/>
          <w:sz w:val="28"/>
          <w:szCs w:val="28"/>
          <w:highlight w:val="none"/>
        </w:rPr>
        <w:t>1.响应函</w:t>
      </w:r>
      <w:bookmarkEnd w:id="112"/>
      <w:bookmarkEnd w:id="113"/>
    </w:p>
    <w:p>
      <w:pPr>
        <w:spacing w:line="600" w:lineRule="exact"/>
        <w:rPr>
          <w:rFonts w:hint="eastAsia" w:ascii="仿宋_GB2312" w:eastAsia="仿宋_GB2312"/>
          <w:color w:val="auto"/>
          <w:sz w:val="28"/>
          <w:szCs w:val="28"/>
          <w:highlight w:val="none"/>
        </w:rPr>
      </w:pPr>
      <w:bookmarkStart w:id="114" w:name="_Toc88209953"/>
      <w:bookmarkStart w:id="115" w:name="_Toc87616390"/>
      <w:r>
        <w:rPr>
          <w:rFonts w:hint="eastAsia" w:ascii="仿宋_GB2312" w:eastAsia="仿宋_GB2312"/>
          <w:color w:val="auto"/>
          <w:sz w:val="28"/>
          <w:szCs w:val="28"/>
          <w:highlight w:val="none"/>
        </w:rPr>
        <w:t>2.法定代表人证明或授权委托书</w:t>
      </w:r>
      <w:bookmarkEnd w:id="114"/>
      <w:bookmarkEnd w:id="115"/>
      <w:bookmarkStart w:id="116" w:name="_Toc87616393"/>
      <w:bookmarkStart w:id="11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16"/>
      <w:bookmarkEnd w:id="11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8" w:name="_Toc87616394"/>
      <w:bookmarkStart w:id="119" w:name="_Toc88209957"/>
      <w:bookmarkStart w:id="120" w:name="_Toc6313"/>
      <w:bookmarkStart w:id="121" w:name="_Toc28619645"/>
      <w:bookmarkStart w:id="122" w:name="_Toc12665"/>
      <w:r>
        <w:rPr>
          <w:rFonts w:hint="eastAsia" w:asciiTheme="minorEastAsia" w:hAnsiTheme="minorEastAsia" w:eastAsiaTheme="minorEastAsia"/>
          <w:color w:val="auto"/>
          <w:sz w:val="28"/>
          <w:szCs w:val="28"/>
          <w:highlight w:val="none"/>
        </w:rPr>
        <w:t>1.响应函</w:t>
      </w:r>
      <w:bookmarkEnd w:id="118"/>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3" w:name="_Toc87616395"/>
      <w:bookmarkStart w:id="124" w:name="_Toc22527"/>
      <w:bookmarkStart w:id="125" w:name="_Toc29833"/>
      <w:bookmarkStart w:id="126"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3"/>
      <w:bookmarkEnd w:id="124"/>
      <w:bookmarkEnd w:id="125"/>
      <w:bookmarkEnd w:id="12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7" w:name="_Toc19830"/>
      <w:bookmarkStart w:id="128" w:name="_Toc8086"/>
      <w:bookmarkStart w:id="129" w:name="_Toc87616400"/>
      <w:bookmarkStart w:id="13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7"/>
      <w:bookmarkEnd w:id="128"/>
      <w:bookmarkEnd w:id="129"/>
      <w:bookmarkEnd w:id="13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我方郑重承诺，在参与广州市净水有限公司京溪分公司2022年</w:t>
      </w:r>
      <w:r>
        <w:rPr>
          <w:rFonts w:hint="eastAsia" w:ascii="宋体" w:hAnsi="宋体" w:eastAsia="宋体" w:cs="宋体"/>
          <w:color w:val="auto"/>
          <w:kern w:val="2"/>
          <w:sz w:val="24"/>
          <w:szCs w:val="24"/>
          <w:highlight w:val="none"/>
          <w:lang w:val="en-GB" w:eastAsia="zh-CN"/>
        </w:rPr>
        <w:t>回流泵采购</w:t>
      </w: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jc w:val="left"/>
        <w:rPr>
          <w:rFonts w:hint="eastAsia" w:cs="Times New Roman" w:asciiTheme="minorEastAsia" w:hAnsiTheme="minorEastAsia" w:eastAsiaTheme="minorEastAsia"/>
          <w:b/>
          <w:bCs/>
          <w:color w:val="auto"/>
          <w:sz w:val="28"/>
          <w:szCs w:val="28"/>
          <w:highlight w:val="none"/>
        </w:rPr>
      </w:pPr>
      <w:bookmarkStart w:id="132" w:name="_Toc32430"/>
      <w:bookmarkStart w:id="133" w:name="_Toc19423"/>
      <w:r>
        <w:rPr>
          <w:rFonts w:hint="eastAsia" w:cs="Times New Roman" w:asciiTheme="minorEastAsia" w:hAnsiTheme="minorEastAsia" w:eastAsiaTheme="minorEastAsia"/>
          <w:b/>
          <w:bCs/>
          <w:color w:val="auto"/>
          <w:sz w:val="28"/>
          <w:szCs w:val="28"/>
          <w:highlight w:val="none"/>
          <w:lang w:val="en-US" w:eastAsia="zh-CN"/>
        </w:rPr>
        <w:t>5</w:t>
      </w:r>
      <w:r>
        <w:rPr>
          <w:rFonts w:hint="eastAsia" w:cs="Times New Roman" w:asciiTheme="minorEastAsia" w:hAnsiTheme="minorEastAsia" w:eastAsiaTheme="minorEastAsia"/>
          <w:b/>
          <w:bCs/>
          <w:color w:val="auto"/>
          <w:sz w:val="28"/>
          <w:szCs w:val="28"/>
          <w:highlight w:val="none"/>
        </w:rPr>
        <w:t>.报价表</w:t>
      </w:r>
      <w:bookmarkEnd w:id="132"/>
      <w:bookmarkEnd w:id="133"/>
    </w:p>
    <w:tbl>
      <w:tblPr>
        <w:tblStyle w:val="22"/>
        <w:tblW w:w="9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1723"/>
        <w:gridCol w:w="1091"/>
        <w:gridCol w:w="919"/>
        <w:gridCol w:w="825"/>
        <w:gridCol w:w="990"/>
        <w:gridCol w:w="825"/>
        <w:gridCol w:w="990"/>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7"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172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名称</w:t>
            </w:r>
          </w:p>
        </w:tc>
        <w:tc>
          <w:tcPr>
            <w:tcW w:w="109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品牌</w:t>
            </w:r>
            <w:r>
              <w:rPr>
                <w:rFonts w:hint="eastAsia" w:ascii="仿宋" w:hAnsi="仿宋" w:eastAsia="仿宋" w:cs="仿宋"/>
                <w:color w:val="auto"/>
                <w:kern w:val="0"/>
                <w:sz w:val="24"/>
                <w:highlight w:val="none"/>
                <w:lang w:val="zh-CN"/>
              </w:rPr>
              <w:t>及</w:t>
            </w:r>
            <w:r>
              <w:rPr>
                <w:rFonts w:hint="eastAsia" w:ascii="仿宋" w:hAnsi="仿宋" w:eastAsia="仿宋" w:cs="仿宋"/>
                <w:color w:val="auto"/>
                <w:kern w:val="0"/>
                <w:sz w:val="24"/>
                <w:highlight w:val="none"/>
                <w:lang w:val="en-US" w:eastAsia="zh-CN"/>
              </w:rPr>
              <w:t>型号</w:t>
            </w:r>
          </w:p>
        </w:tc>
        <w:tc>
          <w:tcPr>
            <w:tcW w:w="91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数量（</w:t>
            </w:r>
            <w:r>
              <w:rPr>
                <w:rFonts w:hint="eastAsia" w:ascii="仿宋" w:hAnsi="仿宋" w:eastAsia="仿宋" w:cs="仿宋"/>
                <w:color w:val="auto"/>
                <w:kern w:val="0"/>
                <w:sz w:val="24"/>
                <w:highlight w:val="none"/>
                <w:lang w:val="en-US" w:eastAsia="zh-CN"/>
              </w:rPr>
              <w:t>台</w:t>
            </w:r>
            <w:r>
              <w:rPr>
                <w:rFonts w:hint="eastAsia" w:ascii="仿宋" w:hAnsi="仿宋" w:eastAsia="仿宋" w:cs="仿宋"/>
                <w:color w:val="auto"/>
                <w:kern w:val="0"/>
                <w:sz w:val="24"/>
                <w:highlight w:val="none"/>
                <w:lang w:val="zh-CN"/>
              </w:rPr>
              <w:t>）</w:t>
            </w:r>
          </w:p>
        </w:tc>
        <w:tc>
          <w:tcPr>
            <w:tcW w:w="181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单价（元）</w:t>
            </w:r>
          </w:p>
        </w:tc>
        <w:tc>
          <w:tcPr>
            <w:tcW w:w="181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总价</w:t>
            </w:r>
            <w:r>
              <w:rPr>
                <w:rFonts w:hint="eastAsia" w:ascii="仿宋" w:hAnsi="仿宋" w:eastAsia="仿宋" w:cs="仿宋"/>
                <w:color w:val="auto"/>
                <w:kern w:val="0"/>
                <w:sz w:val="24"/>
                <w:highlight w:val="none"/>
                <w:lang w:val="zh-CN"/>
              </w:rPr>
              <w:t>金额（元）</w:t>
            </w:r>
          </w:p>
        </w:tc>
        <w:tc>
          <w:tcPr>
            <w:tcW w:w="957"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7"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highlight w:val="none"/>
              </w:rPr>
            </w:pPr>
          </w:p>
        </w:tc>
        <w:tc>
          <w:tcPr>
            <w:tcW w:w="172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highlight w:val="none"/>
              </w:rPr>
            </w:pPr>
          </w:p>
        </w:tc>
        <w:tc>
          <w:tcPr>
            <w:tcW w:w="109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highlight w:val="none"/>
              </w:rPr>
            </w:pPr>
          </w:p>
        </w:tc>
        <w:tc>
          <w:tcPr>
            <w:tcW w:w="91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highlight w:val="none"/>
              </w:rPr>
            </w:pPr>
          </w:p>
        </w:tc>
        <w:tc>
          <w:tcPr>
            <w:tcW w:w="8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含税</w:t>
            </w:r>
          </w:p>
        </w:tc>
        <w:tc>
          <w:tcPr>
            <w:tcW w:w="9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不含税</w:t>
            </w:r>
          </w:p>
        </w:tc>
        <w:tc>
          <w:tcPr>
            <w:tcW w:w="8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含税</w:t>
            </w:r>
          </w:p>
        </w:tc>
        <w:tc>
          <w:tcPr>
            <w:tcW w:w="9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不含税</w:t>
            </w:r>
          </w:p>
        </w:tc>
        <w:tc>
          <w:tcPr>
            <w:tcW w:w="957"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zh-CN"/>
              </w:rPr>
            </w:pPr>
            <w:r>
              <w:rPr>
                <w:rFonts w:hint="eastAsia" w:ascii="仿宋" w:hAnsi="仿宋" w:eastAsia="仿宋" w:cs="仿宋"/>
                <w:color w:val="auto"/>
                <w:sz w:val="24"/>
                <w:szCs w:val="24"/>
                <w:highlight w:val="none"/>
                <w:vertAlign w:val="baseline"/>
                <w:lang w:val="en-US" w:eastAsia="zh-CN"/>
              </w:rPr>
              <w:t>1</w:t>
            </w:r>
          </w:p>
        </w:tc>
        <w:tc>
          <w:tcPr>
            <w:tcW w:w="172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回流泵（10kW）</w:t>
            </w:r>
          </w:p>
        </w:tc>
        <w:tc>
          <w:tcPr>
            <w:tcW w:w="109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9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w:t>
            </w:r>
          </w:p>
        </w:tc>
        <w:tc>
          <w:tcPr>
            <w:tcW w:w="8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8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5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highlight w:val="none"/>
                <w:lang w:val="en-US" w:eastAsia="zh-CN"/>
              </w:rPr>
            </w:pPr>
          </w:p>
        </w:tc>
      </w:tr>
    </w:tbl>
    <w:p>
      <w:pPr>
        <w:pStyle w:val="2"/>
        <w:rPr>
          <w:rFonts w:hint="eastAsia" w:ascii="仿宋_GB2312" w:eastAsia="仿宋_GB2312" w:hAnsiTheme="minorEastAsia"/>
          <w:color w:val="auto"/>
          <w:sz w:val="28"/>
          <w:szCs w:val="28"/>
          <w:highlight w:val="none"/>
        </w:rPr>
      </w:pPr>
    </w:p>
    <w:p>
      <w:pPr>
        <w:pStyle w:val="2"/>
        <w:numPr>
          <w:ilvl w:val="0"/>
          <w:numId w:val="0"/>
        </w:numPr>
        <w:ind w:leftChars="0"/>
        <w:rPr>
          <w:rFonts w:hint="eastAsia" w:ascii="仿宋_GB2312" w:eastAsia="仿宋_GB2312" w:hAnsiTheme="minorEastAsia"/>
          <w:color w:val="auto"/>
          <w:sz w:val="28"/>
          <w:szCs w:val="28"/>
          <w:highlight w:val="none"/>
          <w:lang w:val="en-US" w:eastAsia="zh-CN"/>
        </w:rPr>
      </w:pPr>
    </w:p>
    <w:p>
      <w:pPr>
        <w:pStyle w:val="2"/>
        <w:numPr>
          <w:ilvl w:val="0"/>
          <w:numId w:val="0"/>
        </w:numPr>
        <w:ind w:leftChars="0"/>
        <w:rPr>
          <w:rFonts w:hint="eastAsia" w:ascii="仿宋_GB2312" w:eastAsia="仿宋_GB2312" w:hAnsiTheme="minorEastAsia"/>
          <w:color w:val="auto"/>
          <w:sz w:val="28"/>
          <w:szCs w:val="28"/>
          <w:highlight w:val="none"/>
          <w:lang w:val="en-US" w:eastAsia="zh-CN"/>
        </w:rPr>
      </w:pPr>
    </w:p>
    <w:p>
      <w:pPr>
        <w:pStyle w:val="2"/>
        <w:numPr>
          <w:ilvl w:val="0"/>
          <w:numId w:val="0"/>
        </w:numPr>
        <w:ind w:leftChars="0"/>
        <w:rPr>
          <w:rFonts w:hint="eastAsia" w:ascii="仿宋_GB2312" w:eastAsia="仿宋_GB2312" w:hAnsiTheme="minorEastAsia"/>
          <w:color w:val="auto"/>
          <w:sz w:val="28"/>
          <w:szCs w:val="28"/>
          <w:highlight w:val="none"/>
          <w:lang w:val="en-US" w:eastAsia="zh-CN"/>
        </w:rPr>
      </w:pPr>
    </w:p>
    <w:p>
      <w:pPr>
        <w:pStyle w:val="2"/>
        <w:numPr>
          <w:ilvl w:val="0"/>
          <w:numId w:val="0"/>
        </w:numPr>
        <w:ind w:leftChars="0"/>
        <w:rPr>
          <w:rFonts w:hint="eastAsia" w:ascii="仿宋_GB2312" w:eastAsia="仿宋_GB2312" w:hAnsiTheme="minorEastAsia"/>
          <w:color w:val="auto"/>
          <w:sz w:val="28"/>
          <w:szCs w:val="28"/>
          <w:highlight w:val="none"/>
          <w:lang w:val="en-US" w:eastAsia="zh-CN"/>
        </w:rPr>
      </w:pPr>
    </w:p>
    <w:p>
      <w:pPr>
        <w:pStyle w:val="2"/>
        <w:numPr>
          <w:ilvl w:val="0"/>
          <w:numId w:val="0"/>
        </w:numPr>
        <w:ind w:leftChars="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6.承诺函</w:t>
      </w: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广州市净水有限公司：</w:t>
      </w:r>
    </w:p>
    <w:p>
      <w:pPr>
        <w:adjustRightInd w:val="0"/>
        <w:snapToGrid w:val="0"/>
        <w:spacing w:line="600" w:lineRule="exact"/>
        <w:ind w:firstLine="570"/>
        <w:rPr>
          <w:rFonts w:hint="eastAsia"/>
          <w:color w:val="auto"/>
          <w:highlight w:val="none"/>
          <w:lang w:val="en-US" w:eastAsia="zh-CN"/>
        </w:rPr>
      </w:pPr>
      <w:r>
        <w:rPr>
          <w:rFonts w:hint="default" w:ascii="仿宋_GB2312" w:eastAsia="仿宋_GB2312" w:hAnsiTheme="minorEastAsia"/>
          <w:color w:val="auto"/>
          <w:sz w:val="28"/>
          <w:szCs w:val="28"/>
          <w:highlight w:val="none"/>
          <w:lang w:val="en-US" w:eastAsia="zh-CN"/>
        </w:rPr>
        <w:t>我方承诺所提供报价</w:t>
      </w:r>
      <w:r>
        <w:rPr>
          <w:rFonts w:hint="eastAsia" w:ascii="仿宋_GB2312" w:eastAsia="仿宋_GB2312" w:hAnsiTheme="minorEastAsia"/>
          <w:color w:val="auto"/>
          <w:sz w:val="28"/>
          <w:szCs w:val="28"/>
          <w:highlight w:val="none"/>
          <w:lang w:val="en-US" w:eastAsia="zh-CN"/>
        </w:rPr>
        <w:t>设备</w:t>
      </w:r>
      <w:r>
        <w:rPr>
          <w:rFonts w:hint="default" w:ascii="仿宋_GB2312" w:eastAsia="仿宋_GB2312" w:hAnsiTheme="minorEastAsia"/>
          <w:color w:val="auto"/>
          <w:sz w:val="28"/>
          <w:szCs w:val="28"/>
          <w:highlight w:val="none"/>
          <w:lang w:val="en-US" w:eastAsia="zh-CN"/>
        </w:rPr>
        <w:t xml:space="preserve">均为符合询价文件的全新原装产品，且能适配原设备使用，货物在质保期(为自供货验收合格之日起1年内）如有质量问题或未能适配原有设备时，24小时内派技术人员到现场免费进行维修。     </w:t>
      </w:r>
      <w:r>
        <w:rPr>
          <w:rFonts w:hint="eastAsia"/>
          <w:color w:val="auto"/>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color w:val="auto"/>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color w:val="auto"/>
          <w:sz w:val="28"/>
          <w:szCs w:val="28"/>
          <w:highlight w:val="none"/>
          <w:u w:val="single"/>
          <w:lang w:val="en-US" w:eastAsia="zh-CN"/>
        </w:rPr>
        <w:t>）</w:t>
      </w:r>
      <w:r>
        <w:rPr>
          <w:rFonts w:hint="eastAsia" w:ascii="仿宋_GB2312" w:eastAsia="仿宋_GB2312" w:hAnsiTheme="minorEastAsia" w:cstheme="minorBidi"/>
          <w:b w:val="0"/>
          <w:bCs w:val="0"/>
          <w:color w:val="auto"/>
          <w:sz w:val="28"/>
          <w:szCs w:val="28"/>
          <w:highlight w:val="none"/>
          <w:u w:val="none"/>
          <w:lang w:val="en-US" w:eastAsia="zh-CN"/>
        </w:rPr>
        <w:t xml:space="preserve"> 盖章</w:t>
      </w:r>
    </w:p>
    <w:p>
      <w:pPr>
        <w:pStyle w:val="2"/>
        <w:rPr>
          <w:rFonts w:hint="default" w:ascii="宋体" w:hAnsi="宋体" w:eastAsia="等线" w:cs="Times New Roman"/>
          <w:b w:val="0"/>
          <w:bCs w:val="0"/>
          <w:color w:val="auto"/>
          <w:sz w:val="24"/>
          <w:szCs w:val="24"/>
          <w:highlight w:val="none"/>
          <w:lang w:val="en-US" w:eastAsia="zh-CN"/>
        </w:rPr>
      </w:pPr>
      <w:r>
        <w:rPr>
          <w:rFonts w:hint="eastAsia" w:ascii="仿宋_GB2312" w:eastAsia="仿宋_GB2312" w:hAnsiTheme="minorEastAsia" w:cstheme="minorBidi"/>
          <w:b w:val="0"/>
          <w:bCs w:val="0"/>
          <w:color w:val="auto"/>
          <w:sz w:val="28"/>
          <w:szCs w:val="28"/>
          <w:highlight w:val="none"/>
          <w:u w:val="none"/>
          <w:lang w:val="en-US" w:eastAsia="zh-CN"/>
        </w:rPr>
        <w:t xml:space="preserve">                                         年   月   日</w:t>
      </w:r>
    </w:p>
    <w:p>
      <w:pPr>
        <w:pStyle w:val="2"/>
        <w:numPr>
          <w:ilvl w:val="0"/>
          <w:numId w:val="0"/>
        </w:numPr>
        <w:ind w:leftChars="0"/>
        <w:rPr>
          <w:rFonts w:hint="default" w:ascii="仿宋_GB2312" w:eastAsia="仿宋_GB2312" w:hAnsiTheme="minorEastAsia"/>
          <w:color w:val="auto"/>
          <w:sz w:val="28"/>
          <w:szCs w:val="28"/>
          <w:highlight w:val="none"/>
          <w:lang w:val="en-US" w:eastAsia="zh-CN"/>
        </w:rPr>
      </w:pPr>
    </w:p>
    <w:p>
      <w:pPr>
        <w:rPr>
          <w:color w:val="auto"/>
          <w:highlight w:val="none"/>
        </w:rPr>
      </w:pPr>
    </w:p>
    <w:p>
      <w:pPr>
        <w:pStyle w:val="2"/>
        <w:rPr>
          <w:color w:val="auto"/>
          <w:highlight w:val="none"/>
        </w:rPr>
      </w:pPr>
    </w:p>
    <w:p>
      <w:pPr>
        <w:jc w:val="left"/>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7.</w:t>
      </w:r>
      <w:r>
        <w:rPr>
          <w:rFonts w:hint="eastAsia" w:cs="Times New Roman" w:asciiTheme="minorEastAsia" w:hAnsiTheme="minorEastAsia" w:eastAsiaTheme="minorEastAsia"/>
          <w:b/>
          <w:bCs/>
          <w:color w:val="auto"/>
          <w:sz w:val="28"/>
          <w:szCs w:val="28"/>
          <w:highlight w:val="none"/>
          <w:lang w:val="en-US" w:eastAsia="zh-CN"/>
        </w:rPr>
        <w:t>其他资料</w:t>
      </w:r>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pStyle w:val="2"/>
        <w:rPr>
          <w:rFonts w:hint="eastAsia" w:ascii="仿宋_GB2312" w:eastAsia="仿宋_GB2312" w:hAnsiTheme="minorEastAsia"/>
          <w:color w:val="auto"/>
          <w:sz w:val="28"/>
          <w:szCs w:val="28"/>
          <w:highlight w:val="none"/>
        </w:rPr>
      </w:pPr>
    </w:p>
    <w:p>
      <w:pPr>
        <w:pStyle w:val="2"/>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000000"/>
    <w:rsid w:val="043F07A7"/>
    <w:rsid w:val="0F7270A4"/>
    <w:rsid w:val="184F73D5"/>
    <w:rsid w:val="1B7D18FB"/>
    <w:rsid w:val="1FD1655F"/>
    <w:rsid w:val="24D61CB8"/>
    <w:rsid w:val="2ABA53C4"/>
    <w:rsid w:val="2D4349FC"/>
    <w:rsid w:val="30820D64"/>
    <w:rsid w:val="323E58B6"/>
    <w:rsid w:val="3314690F"/>
    <w:rsid w:val="3BE91C36"/>
    <w:rsid w:val="3E4E25C2"/>
    <w:rsid w:val="4CC84078"/>
    <w:rsid w:val="4D52686A"/>
    <w:rsid w:val="538B4884"/>
    <w:rsid w:val="5C46737B"/>
    <w:rsid w:val="5FCF12DF"/>
    <w:rsid w:val="626A5F6D"/>
    <w:rsid w:val="69AF7FE0"/>
    <w:rsid w:val="6A030066"/>
    <w:rsid w:val="7A8E6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BodyText"/>
    <w:basedOn w:val="1"/>
    <w:next w:val="28"/>
    <w:qFormat/>
    <w:uiPriority w:val="0"/>
    <w:pPr>
      <w:textAlignment w:val="baseline"/>
    </w:pPr>
    <w:rPr>
      <w:sz w:val="28"/>
    </w:rPr>
  </w:style>
  <w:style w:type="paragraph" w:customStyle="1" w:styleId="28">
    <w:name w:val="BodyText2"/>
    <w:basedOn w:val="1"/>
    <w:qFormat/>
    <w:uiPriority w:val="0"/>
    <w:pPr>
      <w:spacing w:after="120" w:line="480" w:lineRule="auto"/>
      <w:textAlignment w:val="baseline"/>
    </w:p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customStyle="1"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customStyle="1"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19952</Words>
  <Characters>20873</Characters>
  <Lines>300</Lines>
  <Paragraphs>84</Paragraphs>
  <TotalTime>2</TotalTime>
  <ScaleCrop>false</ScaleCrop>
  <LinksUpToDate>false</LinksUpToDate>
  <CharactersWithSpaces>23005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2022-10-27T03:14:00Z</cp:lastPrinted>
  <dcterms:modified xsi:type="dcterms:W3CDTF">2022-11-22T07:45:39Z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F77D5FD2441F4821BA553905F9A4574F</vt:lpwstr>
  </property>
</Properties>
</file>