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jc w:val="center"/>
        <w:rPr>
          <w:rFonts w:hint="eastAsia" w:ascii="方正小标宋简体" w:eastAsia="方正小标宋简体"/>
          <w:color w:val="auto"/>
          <w:sz w:val="52"/>
          <w:szCs w:val="52"/>
          <w:highlight w:val="none"/>
          <w:lang w:eastAsia="zh-CN"/>
        </w:rPr>
      </w:pPr>
      <w:r>
        <w:rPr>
          <w:rFonts w:hint="eastAsia" w:ascii="方正小标宋简体" w:eastAsia="方正小标宋简体"/>
          <w:color w:val="auto"/>
          <w:sz w:val="52"/>
          <w:szCs w:val="52"/>
          <w:highlight w:val="none"/>
          <w:lang w:eastAsia="zh-CN"/>
        </w:rPr>
        <w:t>广州市净水有限公司竹料分公司2023年一期南、扩建北反应池曝气头</w:t>
      </w:r>
    </w:p>
    <w:p>
      <w:pPr>
        <w:jc w:val="center"/>
        <w:rPr>
          <w:rFonts w:hint="eastAsia" w:ascii="方正小标宋简体" w:eastAsia="方正小标宋简体"/>
          <w:color w:val="auto"/>
          <w:sz w:val="52"/>
          <w:szCs w:val="52"/>
          <w:highlight w:val="none"/>
          <w:lang w:eastAsia="zh-CN"/>
        </w:rPr>
      </w:pPr>
      <w:r>
        <w:rPr>
          <w:rFonts w:hint="eastAsia" w:ascii="方正小标宋简体" w:eastAsia="方正小标宋简体"/>
          <w:color w:val="auto"/>
          <w:sz w:val="52"/>
          <w:szCs w:val="52"/>
          <w:highlight w:val="none"/>
          <w:lang w:eastAsia="zh-CN"/>
        </w:rPr>
        <w:t>及曝气管大修项目</w:t>
      </w:r>
    </w:p>
    <w:p>
      <w:pPr>
        <w:jc w:val="center"/>
        <w:rPr>
          <w:rFonts w:hint="eastAsia" w:ascii="方正小标宋简体" w:eastAsia="方正小标宋简体"/>
          <w:color w:val="auto"/>
          <w:sz w:val="52"/>
          <w:szCs w:val="52"/>
          <w:highlight w:val="none"/>
          <w:lang w:eastAsia="zh-CN"/>
        </w:rPr>
      </w:pP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both"/>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jc w:val="center"/>
        <w:rPr>
          <w:rFonts w:ascii="黑体" w:hAnsi="黑体" w:eastAsia="黑体"/>
          <w:color w:val="auto"/>
          <w:sz w:val="32"/>
          <w:szCs w:val="32"/>
          <w:highlight w:val="none"/>
        </w:rPr>
      </w:pPr>
      <w:r>
        <w:rPr>
          <w:rFonts w:hint="eastAsia" w:ascii="黑体" w:hAnsi="黑体" w:eastAsia="黑体" w:cs="仿宋_GB2312"/>
          <w:color w:val="auto"/>
          <w:sz w:val="32"/>
          <w:szCs w:val="32"/>
          <w:highlight w:val="none"/>
        </w:rPr>
        <w:t>广州市净水有限公司</w:t>
      </w:r>
    </w:p>
    <w:p>
      <w:pPr>
        <w:jc w:val="center"/>
        <w:rPr>
          <w:rFonts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二二年</w:t>
      </w:r>
      <w:r>
        <w:rPr>
          <w:rFonts w:hint="eastAsia" w:ascii="黑体" w:hAnsi="黑体" w:eastAsia="黑体" w:cs="仿宋_GB2312"/>
          <w:color w:val="auto"/>
          <w:sz w:val="32"/>
          <w:szCs w:val="32"/>
          <w:highlight w:val="none"/>
          <w:lang w:val="en-US" w:eastAsia="zh-CN"/>
        </w:rPr>
        <w:t>十一</w:t>
      </w:r>
      <w:r>
        <w:rPr>
          <w:rFonts w:hint="eastAsia" w:ascii="黑体" w:hAnsi="黑体" w:eastAsia="黑体" w:cs="仿宋_GB2312"/>
          <w:color w:val="auto"/>
          <w:sz w:val="32"/>
          <w:szCs w:val="32"/>
          <w:highlight w:val="none"/>
        </w:rPr>
        <w:t>月</w:t>
      </w:r>
    </w:p>
    <w:p>
      <w:pPr>
        <w:rPr>
          <w:color w:val="auto"/>
          <w:highlight w:val="none"/>
        </w:rPr>
        <w:sectPr>
          <w:footerReference r:id="rId5" w:type="first"/>
          <w:footerReference r:id="rId3" w:type="default"/>
          <w:footerReference r:id="rId4" w:type="even"/>
          <w:pgSz w:w="11906" w:h="16838"/>
          <w:pgMar w:top="2098" w:right="1474" w:bottom="1985" w:left="1588" w:header="851" w:footer="992" w:gutter="0"/>
          <w:pgNumType w:start="0"/>
          <w:cols w:space="425" w:num="1"/>
          <w:titlePg/>
          <w:docGrid w:type="lines" w:linePitch="312" w:charSpace="0"/>
        </w:sectPr>
      </w:pPr>
    </w:p>
    <w:p>
      <w:pPr>
        <w:pStyle w:val="2"/>
      </w:pPr>
    </w:p>
    <w:p>
      <w:pPr>
        <w:pStyle w:val="35"/>
        <w:adjustRightInd w:val="0"/>
        <w:snapToGrid w:val="0"/>
        <w:spacing w:before="0" w:line="600" w:lineRule="exact"/>
        <w:jc w:val="center"/>
        <w:rPr>
          <w:rFonts w:ascii="方正小标宋简体" w:eastAsia="方正小标宋简体"/>
          <w:b/>
          <w:color w:val="auto"/>
          <w:sz w:val="44"/>
          <w:szCs w:val="44"/>
          <w:highlight w:val="none"/>
        </w:rPr>
      </w:pPr>
      <w:r>
        <w:rPr>
          <w:rFonts w:hint="eastAsia" w:ascii="方正小标宋简体" w:eastAsia="方正小标宋简体"/>
          <w:b/>
          <w:color w:val="auto"/>
          <w:sz w:val="44"/>
          <w:szCs w:val="44"/>
          <w:highlight w:val="none"/>
        </w:rPr>
        <w:t>目录</w:t>
      </w:r>
    </w:p>
    <w:p>
      <w:pPr>
        <w:rPr>
          <w:rFonts w:asciiTheme="minorEastAsia" w:hAnsiTheme="minorEastAsia"/>
          <w:color w:val="auto"/>
          <w:sz w:val="24"/>
          <w:szCs w:val="24"/>
          <w:highlight w:val="none"/>
        </w:rPr>
      </w:pPr>
    </w:p>
    <w:p>
      <w:pPr>
        <w:pStyle w:val="19"/>
        <w:numPr>
          <w:ilvl w:val="0"/>
          <w:numId w:val="1"/>
        </w:numPr>
        <w:tabs>
          <w:tab w:val="right" w:pos="8844"/>
        </w:tabs>
        <w:rPr>
          <w:color w:val="auto"/>
          <w:highlight w:val="none"/>
        </w:rPr>
      </w:pPr>
      <w:r>
        <w:rPr>
          <w:rFonts w:hint="eastAsia"/>
          <w:color w:val="auto"/>
          <w:highlight w:val="none"/>
        </w:rPr>
        <w:t>采购公告（采购邀请书）</w:t>
      </w:r>
    </w:p>
    <w:p>
      <w:pPr>
        <w:pStyle w:val="19"/>
        <w:numPr>
          <w:ilvl w:val="0"/>
          <w:numId w:val="1"/>
        </w:numPr>
        <w:tabs>
          <w:tab w:val="right" w:pos="8844"/>
        </w:tabs>
        <w:rPr>
          <w:color w:val="auto"/>
          <w:highlight w:val="none"/>
        </w:rPr>
      </w:pPr>
      <w:r>
        <w:rPr>
          <w:rFonts w:hint="eastAsia"/>
          <w:color w:val="auto"/>
          <w:highlight w:val="none"/>
        </w:rPr>
        <w:t>供应商须知</w:t>
      </w:r>
    </w:p>
    <w:p>
      <w:pPr>
        <w:pStyle w:val="19"/>
        <w:numPr>
          <w:ilvl w:val="0"/>
          <w:numId w:val="1"/>
        </w:numPr>
        <w:tabs>
          <w:tab w:val="right" w:pos="8844"/>
        </w:tabs>
        <w:rPr>
          <w:color w:val="auto"/>
          <w:highlight w:val="none"/>
        </w:rPr>
      </w:pPr>
      <w:r>
        <w:rPr>
          <w:rFonts w:hint="eastAsia"/>
          <w:color w:val="auto"/>
          <w:highlight w:val="none"/>
        </w:rPr>
        <w:t>采购方法</w:t>
      </w:r>
    </w:p>
    <w:p>
      <w:pPr>
        <w:pStyle w:val="19"/>
        <w:numPr>
          <w:ilvl w:val="0"/>
          <w:numId w:val="1"/>
        </w:numPr>
        <w:tabs>
          <w:tab w:val="right" w:pos="8844"/>
        </w:tabs>
        <w:rPr>
          <w:color w:val="auto"/>
          <w:highlight w:val="none"/>
        </w:rPr>
      </w:pPr>
      <w:r>
        <w:rPr>
          <w:rFonts w:hint="eastAsia"/>
          <w:color w:val="auto"/>
          <w:highlight w:val="none"/>
        </w:rPr>
        <w:t>评审方法</w:t>
      </w:r>
    </w:p>
    <w:p>
      <w:pPr>
        <w:pStyle w:val="19"/>
        <w:numPr>
          <w:ilvl w:val="0"/>
          <w:numId w:val="1"/>
        </w:numPr>
        <w:tabs>
          <w:tab w:val="right" w:pos="8844"/>
        </w:tabs>
        <w:rPr>
          <w:color w:val="auto"/>
          <w:highlight w:val="none"/>
        </w:rPr>
      </w:pPr>
      <w:r>
        <w:rPr>
          <w:rFonts w:hint="eastAsia"/>
          <w:color w:val="auto"/>
          <w:highlight w:val="none"/>
        </w:rPr>
        <w:t>采购需求</w:t>
      </w:r>
    </w:p>
    <w:p>
      <w:pPr>
        <w:pStyle w:val="19"/>
        <w:numPr>
          <w:ilvl w:val="0"/>
          <w:numId w:val="1"/>
        </w:numPr>
        <w:tabs>
          <w:tab w:val="right" w:pos="8844"/>
        </w:tabs>
        <w:rPr>
          <w:color w:val="auto"/>
          <w:highlight w:val="none"/>
        </w:rPr>
      </w:pPr>
      <w:r>
        <w:rPr>
          <w:rFonts w:hint="eastAsia"/>
          <w:color w:val="auto"/>
          <w:highlight w:val="none"/>
        </w:rPr>
        <w:t>合同草案</w:t>
      </w:r>
    </w:p>
    <w:p>
      <w:pPr>
        <w:pStyle w:val="19"/>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color w:val="auto"/>
          <w:highlight w:val="none"/>
        </w:rPr>
      </w:pPr>
      <w:bookmarkStart w:id="0" w:name="_Toc26148"/>
      <w:bookmarkStart w:id="1" w:name="_Toc18145"/>
    </w:p>
    <w:p>
      <w:pPr>
        <w:rPr>
          <w:color w:val="auto"/>
          <w:highlight w:val="none"/>
        </w:rPr>
      </w:pPr>
    </w:p>
    <w:p>
      <w:pPr>
        <w:pStyle w:val="4"/>
        <w:rPr>
          <w:color w:val="auto"/>
          <w:highlight w:val="none"/>
        </w:rPr>
      </w:pPr>
      <w:bookmarkStart w:id="2" w:name="_Toc1711"/>
      <w:bookmarkStart w:id="3" w:name="_Toc17696"/>
    </w:p>
    <w:p>
      <w:pPr>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4"/>
        <w:rPr>
          <w:color w:val="auto"/>
          <w:highlight w:val="none"/>
        </w:rPr>
      </w:pPr>
      <w:bookmarkStart w:id="4" w:name="_Toc11322"/>
      <w:bookmarkStart w:id="5" w:name="_Toc31938"/>
      <w:bookmarkStart w:id="6" w:name="_Toc7519"/>
      <w:bookmarkStart w:id="7" w:name="_Toc1669"/>
      <w:bookmarkStart w:id="8" w:name="_Toc4275"/>
      <w:bookmarkStart w:id="9" w:name="_Toc19609"/>
      <w:bookmarkStart w:id="10" w:name="_Toc17801"/>
    </w:p>
    <w:p>
      <w:pPr>
        <w:pStyle w:val="4"/>
        <w:rPr>
          <w:color w:val="auto"/>
          <w:highlight w:val="none"/>
        </w:rPr>
      </w:pPr>
    </w:p>
    <w:p>
      <w:pPr>
        <w:pStyle w:val="4"/>
        <w:rPr>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2362835</wp:posOffset>
                </wp:positionH>
                <wp:positionV relativeFrom="paragraph">
                  <wp:posOffset>504825</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6.05pt;margin-top:39.75pt;height:0pt;width:75.5pt;z-index:251671552;mso-width-relative:page;mso-height-relative:page;" filled="f" stroked="t" coordsize="21600,21600" o:gfxdata="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N7J8p9cAAAAJAQAADwAAAAAAAAABACAAAAAiAAAAZHJzL2Rvd25yZXYueG1sUEsBAhQA&#10;FAAAAAgAh07iQHrpRGf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0528;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D6yHiP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7"/>
        <w:rPr>
          <w:color w:val="auto"/>
          <w:highlight w:val="none"/>
        </w:rPr>
      </w:pPr>
    </w:p>
    <w:p>
      <w:pPr>
        <w:pStyle w:val="4"/>
        <w:rPr>
          <w:color w:val="auto"/>
          <w:highlight w:val="none"/>
        </w:rPr>
      </w:pPr>
      <w:r>
        <w:rPr>
          <w:rFonts w:hint="eastAsia"/>
          <w:color w:val="auto"/>
          <w:highlight w:val="none"/>
        </w:rPr>
        <w:t>采购公告（采购邀请书）</w:t>
      </w: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仿宋_GB2312" w:eastAsia="仿宋_GB2312"/>
          <w:color w:val="auto"/>
          <w:sz w:val="28"/>
          <w:szCs w:val="28"/>
          <w:highlight w:val="none"/>
        </w:rPr>
      </w:pPr>
    </w:p>
    <w:p>
      <w:pPr>
        <w:adjustRightInd w:val="0"/>
        <w:snapToGrid w:val="0"/>
        <w:spacing w:before="156" w:beforeLines="50" w:after="156"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4"/>
        <w:rPr>
          <w:color w:val="auto"/>
          <w:highlight w:val="none"/>
        </w:rPr>
      </w:pPr>
      <w:bookmarkStart w:id="11" w:name="_Toc21373"/>
      <w:bookmarkStart w:id="12" w:name="_Toc9680"/>
      <w:r>
        <w:rPr>
          <w:rFonts w:hint="eastAsia"/>
          <w:color w:val="auto"/>
          <w:highlight w:val="none"/>
        </w:rPr>
        <w:t>采购公告（采购邀请书）</w:t>
      </w:r>
    </w:p>
    <w:bookmarkEnd w:id="11"/>
    <w:bookmarkEnd w:id="12"/>
    <w:p>
      <w:pPr>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rPr>
        <w:t>广州市净水有限公司竹料分公司2023年一期南、扩建北反应池曝气头及曝气管大修项目</w:t>
      </w:r>
      <w:r>
        <w:rPr>
          <w:rFonts w:hint="eastAsia" w:ascii="仿宋_GB2312" w:eastAsia="仿宋_GB2312"/>
          <w:color w:val="auto"/>
          <w:sz w:val="28"/>
          <w:szCs w:val="28"/>
          <w:highlight w:val="none"/>
        </w:rPr>
        <w:t>已具备采购条件，现邀请合格单位参加本</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 xml:space="preserve">施工  □货物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服务项目采购活动，采用</w:t>
      </w:r>
      <w:r>
        <w:rPr>
          <w:rFonts w:hint="eastAsia" w:ascii="仿宋_GB2312" w:eastAsia="仿宋_GB2312"/>
          <w:color w:val="auto"/>
          <w:sz w:val="28"/>
          <w:szCs w:val="28"/>
          <w:highlight w:val="none"/>
          <w:u w:val="single"/>
        </w:rPr>
        <w:sym w:font="Wingdings 2" w:char="00A3"/>
      </w:r>
      <w:r>
        <w:rPr>
          <w:rFonts w:hint="eastAsia" w:ascii="仿宋_GB2312" w:eastAsia="仿宋_GB2312"/>
          <w:color w:val="auto"/>
          <w:sz w:val="28"/>
          <w:szCs w:val="28"/>
          <w:highlight w:val="none"/>
          <w:u w:val="single"/>
        </w:rPr>
        <w:t xml:space="preserve">邀请询比 </w:t>
      </w:r>
      <w:r>
        <w:rPr>
          <w:rFonts w:hint="eastAsia" w:ascii="仿宋_GB2312" w:eastAsia="仿宋_GB2312"/>
          <w:color w:val="auto"/>
          <w:sz w:val="28"/>
          <w:szCs w:val="28"/>
          <w:highlight w:val="none"/>
          <w:u w:val="single"/>
        </w:rPr>
        <w:sym w:font="Wingdings 2" w:char="0052"/>
      </w:r>
      <w:r>
        <w:rPr>
          <w:rFonts w:hint="eastAsia" w:ascii="仿宋_GB2312" w:eastAsia="仿宋_GB2312"/>
          <w:color w:val="auto"/>
          <w:sz w:val="28"/>
          <w:szCs w:val="28"/>
          <w:highlight w:val="none"/>
          <w:u w:val="single"/>
        </w:rPr>
        <w:t>公开询比</w:t>
      </w:r>
      <w:r>
        <w:rPr>
          <w:rFonts w:hint="eastAsia" w:ascii="仿宋_GB2312" w:eastAsia="仿宋_GB2312"/>
          <w:color w:val="auto"/>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rPr>
        <w:t>广州市净水有限公司竹料分公司2023年一期南、扩建北反应池曝气头及曝气管大修项目</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lang w:val="en-US" w:eastAsia="zh-CN"/>
        </w:rPr>
        <w:t xml:space="preserve"> XJ-20221118-2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1.3资金来源：</w:t>
      </w:r>
      <w:r>
        <w:rPr>
          <w:rFonts w:hint="eastAsia" w:ascii="仿宋_GB2312" w:eastAsia="仿宋_GB2312"/>
          <w:color w:val="auto"/>
          <w:sz w:val="28"/>
          <w:szCs w:val="28"/>
          <w:highlight w:val="none"/>
          <w:u w:val="single"/>
        </w:rPr>
        <w:t>自有资金</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1.4最高限价（元）：</w:t>
      </w:r>
      <w:r>
        <w:rPr>
          <w:rFonts w:hint="eastAsia" w:ascii="仿宋_GB2312" w:eastAsia="仿宋_GB2312"/>
          <w:color w:val="auto"/>
          <w:sz w:val="28"/>
          <w:szCs w:val="28"/>
          <w:highlight w:val="none"/>
          <w:u w:val="single"/>
          <w:lang w:val="en-US" w:eastAsia="zh-CN"/>
        </w:rPr>
        <w:t>861252.24元（其中不含税为790139.67元，税率为9%，绿色施工安全防护措施费为25781.77元，暂列金为66274.99元，绿色施工安全防护措施费和暂列金为非竞争性费用，报价时须按询价文件规定的金额填写，不得参与竞争，否则按无效报价处理。）</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1.5标段划分：</w:t>
      </w:r>
      <w:r>
        <w:rPr>
          <w:rFonts w:hint="eastAsia" w:ascii="仿宋_GB2312" w:eastAsia="仿宋_GB2312"/>
          <w:color w:val="auto"/>
          <w:sz w:val="28"/>
          <w:szCs w:val="28"/>
          <w:highlight w:val="none"/>
          <w:u w:val="single"/>
        </w:rPr>
        <w:t xml:space="preserve">    /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ind w:firstLine="560" w:firstLineChars="20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2.1采购内容和范围：</w:t>
      </w:r>
    </w:p>
    <w:p>
      <w:pPr>
        <w:pStyle w:val="2"/>
        <w:ind w:left="0" w:leftChars="0" w:firstLine="560" w:firstLineChars="200"/>
        <w:rPr>
          <w:rFonts w:hint="eastAsia" w:hAnsi="仿宋_GB2312" w:cs="仿宋_GB2312"/>
          <w:sz w:val="32"/>
          <w:szCs w:val="32"/>
          <w:lang w:val="en-US" w:eastAsia="zh-CN"/>
        </w:rPr>
      </w:pPr>
      <w:r>
        <w:rPr>
          <w:rFonts w:hint="eastAsia" w:ascii="仿宋_GB2312" w:eastAsia="仿宋_GB2312" w:hAnsiTheme="minorHAnsi" w:cstheme="minorBidi"/>
          <w:color w:val="auto"/>
          <w:kern w:val="2"/>
          <w:sz w:val="28"/>
          <w:szCs w:val="28"/>
          <w:highlight w:val="none"/>
          <w:lang w:val="en-US" w:eastAsia="zh-CN" w:bidi="ar-SA"/>
        </w:rPr>
        <w:t>拆除及更换竹料分公司反应池曝气头一期扩建北反应池1408个，一期反应池南池1408个。同步更换一期反应池南池曝气管为304不锈钢厚度5mm,包含橡胶膜微孔曝气器及不锈钢曝气管路等管件的运输、拆卸、安装，提供池底向上1m不锈钢法兰处以下所有曝气器及不锈钢管配件。（一期反应池南池原曝气头型号为：卡扣式KBB-215型；本次曝气头大修均更换型号为：螺纹旋钮式XZ-215型,直径270）。</w:t>
      </w:r>
    </w:p>
    <w:tbl>
      <w:tblPr>
        <w:tblStyle w:val="23"/>
        <w:tblW w:w="7824" w:type="dxa"/>
        <w:tblInd w:w="0" w:type="dxa"/>
        <w:shd w:val="clear" w:color="auto" w:fill="auto"/>
        <w:tblLayout w:type="autofit"/>
        <w:tblCellMar>
          <w:top w:w="0" w:type="dxa"/>
          <w:left w:w="0" w:type="dxa"/>
          <w:bottom w:w="0" w:type="dxa"/>
          <w:right w:w="0" w:type="dxa"/>
        </w:tblCellMar>
      </w:tblPr>
      <w:tblGrid>
        <w:gridCol w:w="856"/>
        <w:gridCol w:w="1485"/>
        <w:gridCol w:w="6"/>
        <w:gridCol w:w="2969"/>
        <w:gridCol w:w="246"/>
        <w:gridCol w:w="709"/>
        <w:gridCol w:w="153"/>
        <w:gridCol w:w="1400"/>
      </w:tblGrid>
      <w:tr>
        <w:tblPrEx>
          <w:shd w:val="clear" w:color="auto" w:fill="auto"/>
          <w:tblCellMar>
            <w:top w:w="0" w:type="dxa"/>
            <w:left w:w="0" w:type="dxa"/>
            <w:bottom w:w="0" w:type="dxa"/>
            <w:right w:w="0" w:type="dxa"/>
          </w:tblCellMar>
        </w:tblPrEx>
        <w:trPr>
          <w:trHeight w:val="360" w:hRule="atLeast"/>
        </w:trPr>
        <w:tc>
          <w:tcPr>
            <w:tcW w:w="856"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485"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3221"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862"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140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r>
      <w:tr>
        <w:tblPrEx>
          <w:shd w:val="clear" w:color="auto" w:fill="auto"/>
          <w:tblCellMar>
            <w:top w:w="0" w:type="dxa"/>
            <w:left w:w="0" w:type="dxa"/>
            <w:bottom w:w="0" w:type="dxa"/>
            <w:right w:w="0" w:type="dxa"/>
          </w:tblCellMar>
        </w:tblPrEx>
        <w:trPr>
          <w:trHeight w:val="360" w:hRule="atLeast"/>
        </w:trPr>
        <w:tc>
          <w:tcPr>
            <w:tcW w:w="856"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8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221"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2"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0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12" w:hRule="atLeast"/>
        </w:trPr>
        <w:tc>
          <w:tcPr>
            <w:tcW w:w="856"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8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221"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2"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0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570" w:hRule="atLeast"/>
        </w:trPr>
        <w:tc>
          <w:tcPr>
            <w:tcW w:w="7824" w:type="dxa"/>
            <w:gridSpan w:val="8"/>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sz w:val="20"/>
                <w:szCs w:val="20"/>
                <w:u w:val="none"/>
                <w:lang w:val="en-US" w:eastAsia="zh-CN"/>
              </w:rPr>
              <w:t>一期南反应池</w:t>
            </w:r>
          </w:p>
        </w:tc>
      </w:tr>
      <w:tr>
        <w:tblPrEx>
          <w:shd w:val="clear" w:color="auto" w:fill="auto"/>
          <w:tblCellMar>
            <w:top w:w="0" w:type="dxa"/>
            <w:left w:w="0" w:type="dxa"/>
            <w:bottom w:w="0" w:type="dxa"/>
            <w:right w:w="0" w:type="dxa"/>
          </w:tblCellMar>
        </w:tblPrEx>
        <w:trPr>
          <w:trHeight w:val="570" w:hRule="atLeast"/>
        </w:trPr>
        <w:tc>
          <w:tcPr>
            <w:tcW w:w="85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4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曝气器</w:t>
            </w:r>
          </w:p>
        </w:tc>
        <w:tc>
          <w:tcPr>
            <w:tcW w:w="322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1.名称：曝气器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2.规格：XZ-215型，直径270</w:t>
            </w:r>
          </w:p>
        </w:tc>
        <w:tc>
          <w:tcPr>
            <w:tcW w:w="86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4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1408</w:t>
            </w:r>
          </w:p>
        </w:tc>
      </w:tr>
      <w:tr>
        <w:tblPrEx>
          <w:shd w:val="clear" w:color="auto" w:fill="auto"/>
          <w:tblCellMar>
            <w:top w:w="0" w:type="dxa"/>
            <w:left w:w="0" w:type="dxa"/>
            <w:bottom w:w="0" w:type="dxa"/>
            <w:right w:w="0" w:type="dxa"/>
          </w:tblCellMar>
        </w:tblPrEx>
        <w:trPr>
          <w:trHeight w:val="825" w:hRule="atLeast"/>
        </w:trPr>
        <w:tc>
          <w:tcPr>
            <w:tcW w:w="85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w:t>
            </w:r>
          </w:p>
        </w:tc>
        <w:tc>
          <w:tcPr>
            <w:tcW w:w="14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曝气器拆除及安装</w:t>
            </w:r>
          </w:p>
        </w:tc>
        <w:tc>
          <w:tcPr>
            <w:tcW w:w="322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sz w:val="20"/>
                <w:szCs w:val="20"/>
                <w:u w:val="none"/>
                <w:lang w:val="en-US" w:eastAsia="zh-CN"/>
              </w:rPr>
              <w:t>曝气器拆除及安装</w:t>
            </w:r>
          </w:p>
        </w:tc>
        <w:tc>
          <w:tcPr>
            <w:tcW w:w="86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sz w:val="20"/>
                <w:szCs w:val="20"/>
                <w:u w:val="none"/>
                <w:lang w:val="en-US" w:eastAsia="zh-CN"/>
              </w:rPr>
              <w:t>个</w:t>
            </w:r>
          </w:p>
        </w:tc>
        <w:tc>
          <w:tcPr>
            <w:tcW w:w="14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sz w:val="20"/>
                <w:szCs w:val="20"/>
                <w:u w:val="none"/>
                <w:lang w:val="en-US" w:eastAsia="zh-CN"/>
              </w:rPr>
              <w:t>1408</w:t>
            </w:r>
          </w:p>
        </w:tc>
      </w:tr>
      <w:tr>
        <w:tblPrEx>
          <w:shd w:val="clear" w:color="auto" w:fill="auto"/>
          <w:tblCellMar>
            <w:top w:w="0" w:type="dxa"/>
            <w:left w:w="0" w:type="dxa"/>
            <w:bottom w:w="0" w:type="dxa"/>
            <w:right w:w="0" w:type="dxa"/>
          </w:tblCellMar>
        </w:tblPrEx>
        <w:trPr>
          <w:trHeight w:val="825" w:hRule="atLeast"/>
        </w:trPr>
        <w:tc>
          <w:tcPr>
            <w:tcW w:w="85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3</w:t>
            </w:r>
          </w:p>
        </w:tc>
        <w:tc>
          <w:tcPr>
            <w:tcW w:w="14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曝气管</w:t>
            </w:r>
          </w:p>
        </w:tc>
        <w:tc>
          <w:tcPr>
            <w:tcW w:w="322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1.材质:不锈钢管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2.直径:De90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3.包含弯头及其他附件</w:t>
            </w:r>
          </w:p>
        </w:tc>
        <w:tc>
          <w:tcPr>
            <w:tcW w:w="86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4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740</w:t>
            </w:r>
          </w:p>
        </w:tc>
      </w:tr>
      <w:tr>
        <w:tblPrEx>
          <w:shd w:val="clear" w:color="auto" w:fill="auto"/>
          <w:tblCellMar>
            <w:top w:w="0" w:type="dxa"/>
            <w:left w:w="0" w:type="dxa"/>
            <w:bottom w:w="0" w:type="dxa"/>
            <w:right w:w="0" w:type="dxa"/>
          </w:tblCellMar>
        </w:tblPrEx>
        <w:trPr>
          <w:trHeight w:val="825" w:hRule="atLeast"/>
        </w:trPr>
        <w:tc>
          <w:tcPr>
            <w:tcW w:w="85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4</w:t>
            </w:r>
          </w:p>
        </w:tc>
        <w:tc>
          <w:tcPr>
            <w:tcW w:w="14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曝气管</w:t>
            </w:r>
          </w:p>
        </w:tc>
        <w:tc>
          <w:tcPr>
            <w:tcW w:w="322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直径:De90不锈钢管码底座</w:t>
            </w:r>
          </w:p>
        </w:tc>
        <w:tc>
          <w:tcPr>
            <w:tcW w:w="86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4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350</w:t>
            </w:r>
          </w:p>
        </w:tc>
      </w:tr>
      <w:tr>
        <w:tblPrEx>
          <w:shd w:val="clear" w:color="auto" w:fill="auto"/>
          <w:tblCellMar>
            <w:top w:w="0" w:type="dxa"/>
            <w:left w:w="0" w:type="dxa"/>
            <w:bottom w:w="0" w:type="dxa"/>
            <w:right w:w="0" w:type="dxa"/>
          </w:tblCellMar>
        </w:tblPrEx>
        <w:trPr>
          <w:trHeight w:val="825" w:hRule="atLeast"/>
        </w:trPr>
        <w:tc>
          <w:tcPr>
            <w:tcW w:w="85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5</w:t>
            </w:r>
          </w:p>
        </w:tc>
        <w:tc>
          <w:tcPr>
            <w:tcW w:w="14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曝气管</w:t>
            </w:r>
          </w:p>
        </w:tc>
        <w:tc>
          <w:tcPr>
            <w:tcW w:w="322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1.材质:不锈钢管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2.直径:De110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3.包含弯头、不锈钢管码底座管码及附件</w:t>
            </w:r>
          </w:p>
        </w:tc>
        <w:tc>
          <w:tcPr>
            <w:tcW w:w="86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4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65</w:t>
            </w:r>
          </w:p>
        </w:tc>
      </w:tr>
      <w:tr>
        <w:tblPrEx>
          <w:shd w:val="clear" w:color="auto" w:fill="auto"/>
          <w:tblCellMar>
            <w:top w:w="0" w:type="dxa"/>
            <w:left w:w="0" w:type="dxa"/>
            <w:bottom w:w="0" w:type="dxa"/>
            <w:right w:w="0" w:type="dxa"/>
          </w:tblCellMar>
        </w:tblPrEx>
        <w:trPr>
          <w:trHeight w:val="825" w:hRule="atLeast"/>
        </w:trPr>
        <w:tc>
          <w:tcPr>
            <w:tcW w:w="85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both"/>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 xml:space="preserve">   6</w:t>
            </w:r>
          </w:p>
        </w:tc>
        <w:tc>
          <w:tcPr>
            <w:tcW w:w="14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曝气管</w:t>
            </w:r>
          </w:p>
        </w:tc>
        <w:tc>
          <w:tcPr>
            <w:tcW w:w="322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直径:De110不锈钢管码底座管码</w:t>
            </w:r>
          </w:p>
        </w:tc>
        <w:tc>
          <w:tcPr>
            <w:tcW w:w="86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4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33</w:t>
            </w:r>
          </w:p>
        </w:tc>
      </w:tr>
      <w:tr>
        <w:tblPrEx>
          <w:shd w:val="clear" w:color="auto" w:fill="auto"/>
          <w:tblCellMar>
            <w:top w:w="0" w:type="dxa"/>
            <w:left w:w="0" w:type="dxa"/>
            <w:bottom w:w="0" w:type="dxa"/>
            <w:right w:w="0" w:type="dxa"/>
          </w:tblCellMar>
        </w:tblPrEx>
        <w:trPr>
          <w:trHeight w:val="825" w:hRule="atLeast"/>
        </w:trPr>
        <w:tc>
          <w:tcPr>
            <w:tcW w:w="85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7</w:t>
            </w:r>
          </w:p>
        </w:tc>
        <w:tc>
          <w:tcPr>
            <w:tcW w:w="14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曝气管</w:t>
            </w:r>
          </w:p>
        </w:tc>
        <w:tc>
          <w:tcPr>
            <w:tcW w:w="322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1.材质:不锈钢管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2.直径:De160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3.包含弯头、不锈钢管码底座管码及附件</w:t>
            </w:r>
          </w:p>
        </w:tc>
        <w:tc>
          <w:tcPr>
            <w:tcW w:w="86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4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23</w:t>
            </w:r>
          </w:p>
        </w:tc>
      </w:tr>
      <w:tr>
        <w:tblPrEx>
          <w:shd w:val="clear" w:color="auto" w:fill="auto"/>
          <w:tblCellMar>
            <w:top w:w="0" w:type="dxa"/>
            <w:left w:w="0" w:type="dxa"/>
            <w:bottom w:w="0" w:type="dxa"/>
            <w:right w:w="0" w:type="dxa"/>
          </w:tblCellMar>
        </w:tblPrEx>
        <w:trPr>
          <w:trHeight w:val="825" w:hRule="atLeast"/>
        </w:trPr>
        <w:tc>
          <w:tcPr>
            <w:tcW w:w="85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8</w:t>
            </w:r>
          </w:p>
        </w:tc>
        <w:tc>
          <w:tcPr>
            <w:tcW w:w="14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曝气管</w:t>
            </w:r>
          </w:p>
        </w:tc>
        <w:tc>
          <w:tcPr>
            <w:tcW w:w="322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直径:De160不锈钢管码底座管码</w:t>
            </w:r>
          </w:p>
        </w:tc>
        <w:tc>
          <w:tcPr>
            <w:tcW w:w="86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4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12</w:t>
            </w:r>
          </w:p>
        </w:tc>
      </w:tr>
      <w:tr>
        <w:tblPrEx>
          <w:shd w:val="clear" w:color="auto" w:fill="auto"/>
          <w:tblCellMar>
            <w:top w:w="0" w:type="dxa"/>
            <w:left w:w="0" w:type="dxa"/>
            <w:bottom w:w="0" w:type="dxa"/>
            <w:right w:w="0" w:type="dxa"/>
          </w:tblCellMar>
        </w:tblPrEx>
        <w:trPr>
          <w:trHeight w:val="825" w:hRule="atLeast"/>
        </w:trPr>
        <w:tc>
          <w:tcPr>
            <w:tcW w:w="85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9</w:t>
            </w:r>
          </w:p>
        </w:tc>
        <w:tc>
          <w:tcPr>
            <w:tcW w:w="14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切割、修复遮阳棚吊装口</w:t>
            </w:r>
          </w:p>
        </w:tc>
        <w:tc>
          <w:tcPr>
            <w:tcW w:w="322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拆除及修复遮阳板</w:t>
            </w:r>
          </w:p>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（聚碳酸脂PC阳光板）</w:t>
            </w:r>
          </w:p>
        </w:tc>
        <w:tc>
          <w:tcPr>
            <w:tcW w:w="86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14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sz w:val="20"/>
                <w:szCs w:val="20"/>
                <w:u w:val="none"/>
                <w:lang w:val="en-US" w:eastAsia="zh-CN"/>
              </w:rPr>
              <w:t>21</w:t>
            </w:r>
          </w:p>
        </w:tc>
      </w:tr>
      <w:tr>
        <w:tblPrEx>
          <w:shd w:val="clear" w:color="auto" w:fill="auto"/>
          <w:tblCellMar>
            <w:top w:w="0" w:type="dxa"/>
            <w:left w:w="0" w:type="dxa"/>
            <w:bottom w:w="0" w:type="dxa"/>
            <w:right w:w="0" w:type="dxa"/>
          </w:tblCellMar>
        </w:tblPrEx>
        <w:trPr>
          <w:trHeight w:val="825" w:hRule="atLeast"/>
        </w:trPr>
        <w:tc>
          <w:tcPr>
            <w:tcW w:w="85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10</w:t>
            </w:r>
          </w:p>
        </w:tc>
        <w:tc>
          <w:tcPr>
            <w:tcW w:w="14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切割、修复遮阳棚吊装口</w:t>
            </w:r>
          </w:p>
        </w:tc>
        <w:tc>
          <w:tcPr>
            <w:tcW w:w="322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切割及修复焊接遮阳棚骨架</w:t>
            </w:r>
          </w:p>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（304不锈钢方管）</w:t>
            </w:r>
          </w:p>
        </w:tc>
        <w:tc>
          <w:tcPr>
            <w:tcW w:w="86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根</w:t>
            </w:r>
          </w:p>
        </w:tc>
        <w:tc>
          <w:tcPr>
            <w:tcW w:w="14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sz w:val="20"/>
                <w:szCs w:val="20"/>
                <w:u w:val="none"/>
                <w:lang w:val="en-US" w:eastAsia="zh-CN"/>
              </w:rPr>
              <w:t>7</w:t>
            </w:r>
          </w:p>
        </w:tc>
      </w:tr>
      <w:tr>
        <w:tblPrEx>
          <w:tblCellMar>
            <w:top w:w="0" w:type="dxa"/>
            <w:left w:w="0" w:type="dxa"/>
            <w:bottom w:w="0" w:type="dxa"/>
            <w:right w:w="0" w:type="dxa"/>
          </w:tblCellMar>
        </w:tblPrEx>
        <w:trPr>
          <w:trHeight w:val="825" w:hRule="atLeast"/>
        </w:trPr>
        <w:tc>
          <w:tcPr>
            <w:tcW w:w="85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11</w:t>
            </w:r>
          </w:p>
        </w:tc>
        <w:tc>
          <w:tcPr>
            <w:tcW w:w="14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清理池底作业面污水及污泥</w:t>
            </w:r>
          </w:p>
        </w:tc>
        <w:tc>
          <w:tcPr>
            <w:tcW w:w="322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清理池底剩余污水及污泥（深度10cm）至地面清洗可见</w:t>
            </w:r>
          </w:p>
        </w:tc>
        <w:tc>
          <w:tcPr>
            <w:tcW w:w="86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14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866.6</w:t>
            </w:r>
          </w:p>
        </w:tc>
      </w:tr>
      <w:tr>
        <w:tblPrEx>
          <w:tblCellMar>
            <w:top w:w="0" w:type="dxa"/>
            <w:left w:w="0" w:type="dxa"/>
            <w:bottom w:w="0" w:type="dxa"/>
            <w:right w:w="0" w:type="dxa"/>
          </w:tblCellMar>
        </w:tblPrEx>
        <w:trPr>
          <w:trHeight w:val="825" w:hRule="atLeast"/>
        </w:trPr>
        <w:tc>
          <w:tcPr>
            <w:tcW w:w="7824" w:type="dxa"/>
            <w:gridSpan w:val="8"/>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扩建北反应池</w:t>
            </w:r>
          </w:p>
        </w:tc>
      </w:tr>
      <w:tr>
        <w:tblPrEx>
          <w:tblCellMar>
            <w:top w:w="0" w:type="dxa"/>
            <w:left w:w="0" w:type="dxa"/>
            <w:bottom w:w="0" w:type="dxa"/>
            <w:right w:w="0" w:type="dxa"/>
          </w:tblCellMar>
        </w:tblPrEx>
        <w:trPr>
          <w:trHeight w:val="825" w:hRule="atLeast"/>
        </w:trPr>
        <w:tc>
          <w:tcPr>
            <w:tcW w:w="85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1</w:t>
            </w:r>
          </w:p>
        </w:tc>
        <w:tc>
          <w:tcPr>
            <w:tcW w:w="149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曝气器拆除及安装</w:t>
            </w:r>
          </w:p>
        </w:tc>
        <w:tc>
          <w:tcPr>
            <w:tcW w:w="296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曝气器拆除及安装</w:t>
            </w:r>
          </w:p>
        </w:tc>
        <w:tc>
          <w:tcPr>
            <w:tcW w:w="95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55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1408</w:t>
            </w:r>
          </w:p>
        </w:tc>
      </w:tr>
      <w:tr>
        <w:tblPrEx>
          <w:tblCellMar>
            <w:top w:w="0" w:type="dxa"/>
            <w:left w:w="0" w:type="dxa"/>
            <w:bottom w:w="0" w:type="dxa"/>
            <w:right w:w="0" w:type="dxa"/>
          </w:tblCellMar>
        </w:tblPrEx>
        <w:trPr>
          <w:trHeight w:val="825" w:hRule="atLeast"/>
        </w:trPr>
        <w:tc>
          <w:tcPr>
            <w:tcW w:w="85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2</w:t>
            </w:r>
          </w:p>
        </w:tc>
        <w:tc>
          <w:tcPr>
            <w:tcW w:w="149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曝气器</w:t>
            </w:r>
          </w:p>
        </w:tc>
        <w:tc>
          <w:tcPr>
            <w:tcW w:w="296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1.名称：曝气器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2.规格：XZ-215型，直径270</w:t>
            </w:r>
          </w:p>
        </w:tc>
        <w:tc>
          <w:tcPr>
            <w:tcW w:w="95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55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1408</w:t>
            </w:r>
          </w:p>
        </w:tc>
      </w:tr>
    </w:tbl>
    <w:p>
      <w:pPr>
        <w:pStyle w:val="2"/>
        <w:rPr>
          <w:rFonts w:hint="eastAsia" w:ascii="仿宋_GB2312" w:eastAsia="仿宋_GB2312" w:hAnsiTheme="minorHAnsi" w:cstheme="minorBidi"/>
          <w:color w:val="auto"/>
          <w:kern w:val="2"/>
          <w:sz w:val="28"/>
          <w:szCs w:val="28"/>
          <w:highlight w:val="none"/>
          <w:lang w:val="en-US" w:eastAsia="zh-CN" w:bidi="ar-SA"/>
        </w:rPr>
      </w:pP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2.2项目工期：☑计划工期   □交货期  □服务期为</w:t>
      </w:r>
      <w:r>
        <w:rPr>
          <w:rFonts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w:t>
      </w:r>
      <w:r>
        <w:rPr>
          <w:rFonts w:hint="eastAsia" w:ascii="仿宋_GB2312" w:eastAsia="仿宋_GB2312"/>
          <w:color w:val="auto"/>
          <w:sz w:val="28"/>
          <w:szCs w:val="28"/>
          <w:highlight w:val="none"/>
          <w:u w:val="single"/>
        </w:rPr>
        <w:t xml:space="preserve">天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2.3地点：</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建设地点  □交货地点  ☑服务地点位于</w:t>
      </w:r>
      <w:r>
        <w:rPr>
          <w:rFonts w:hint="eastAsia" w:ascii="仿宋_GB2312" w:eastAsia="仿宋_GB2312"/>
          <w:color w:val="auto"/>
          <w:sz w:val="28"/>
          <w:szCs w:val="28"/>
          <w:highlight w:val="none"/>
          <w:u w:val="single"/>
        </w:rPr>
        <w:t>广州市白云区钟落潭镇竹二路兰桂街</w:t>
      </w:r>
      <w:r>
        <w:rPr>
          <w:rFonts w:ascii="仿宋_GB2312" w:eastAsia="仿宋_GB2312"/>
          <w:color w:val="auto"/>
          <w:sz w:val="28"/>
          <w:szCs w:val="28"/>
          <w:highlight w:val="none"/>
          <w:u w:val="single"/>
        </w:rPr>
        <w:t>100</w:t>
      </w:r>
      <w:r>
        <w:rPr>
          <w:rFonts w:hint="eastAsia" w:ascii="仿宋_GB2312" w:eastAsia="仿宋_GB2312"/>
          <w:color w:val="auto"/>
          <w:sz w:val="28"/>
          <w:szCs w:val="28"/>
          <w:highlight w:val="none"/>
          <w:u w:val="single"/>
        </w:rPr>
        <w:t>号</w:t>
      </w:r>
    </w:p>
    <w:p>
      <w:pPr>
        <w:spacing w:line="360" w:lineRule="auto"/>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2.4质量要求：</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施工质量要求</w:t>
      </w:r>
      <w:r>
        <w:rPr>
          <w:rFonts w:ascii="仿宋_GB2312" w:eastAsia="仿宋_GB2312"/>
          <w:color w:val="auto"/>
          <w:sz w:val="28"/>
          <w:szCs w:val="28"/>
          <w:highlight w:val="none"/>
        </w:rPr>
        <w:t xml:space="preserve">   </w:t>
      </w:r>
      <w:r>
        <w:rPr>
          <w:rFonts w:hint="eastAsia" w:ascii="仿宋_GB2312" w:eastAsia="仿宋_GB2312"/>
          <w:color w:val="auto"/>
          <w:sz w:val="28"/>
          <w:szCs w:val="28"/>
          <w:highlight w:val="none"/>
        </w:rPr>
        <w:t>□货物质量标准或主要技术性能指标</w:t>
      </w:r>
      <w:r>
        <w:rPr>
          <w:rFonts w:ascii="仿宋_GB2312" w:eastAsia="仿宋_GB2312"/>
          <w:color w:val="auto"/>
          <w:sz w:val="28"/>
          <w:szCs w:val="28"/>
          <w:highlight w:val="none"/>
        </w:rPr>
        <w:t xml:space="preserve">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服务质量要求或服务标准如下：</w:t>
      </w:r>
      <w:r>
        <w:rPr>
          <w:rFonts w:hint="eastAsia" w:ascii="仿宋_GB2312" w:eastAsia="仿宋_GB2312"/>
          <w:color w:val="auto"/>
          <w:sz w:val="28"/>
          <w:szCs w:val="28"/>
          <w:highlight w:val="none"/>
          <w:u w:val="single"/>
          <w:lang w:val="en-US" w:eastAsia="zh-CN"/>
        </w:rPr>
        <w:t>满足采购文件要求。</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ascii="仿宋_GB2312" w:eastAsia="仿宋_GB2312"/>
          <w:color w:val="auto"/>
          <w:sz w:val="28"/>
          <w:szCs w:val="28"/>
          <w:highlight w:val="none"/>
        </w:rPr>
        <w:t xml:space="preserve">    </w:t>
      </w:r>
      <w:r>
        <w:rPr>
          <w:rFonts w:hint="eastAsia" w:ascii="仿宋_GB2312" w:eastAsia="仿宋_GB2312"/>
          <w:color w:val="auto"/>
          <w:sz w:val="28"/>
          <w:szCs w:val="28"/>
          <w:highlight w:val="none"/>
        </w:rPr>
        <w:t>2.5其他：</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安全目标如下：</w:t>
      </w:r>
      <w:r>
        <w:rPr>
          <w:rFonts w:hint="eastAsia" w:ascii="仿宋_GB2312" w:eastAsia="仿宋_GB2312"/>
          <w:color w:val="auto"/>
          <w:sz w:val="28"/>
          <w:szCs w:val="28"/>
          <w:highlight w:val="none"/>
          <w:u w:val="single"/>
        </w:rPr>
        <w:t xml:space="preserve"> 服从竹料分公司各项安全管理要求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rPr>
        <w:t>（须提供复印件并加盖单位公章）</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eastAsia="zh-CN"/>
        </w:rPr>
        <w:sym w:font="Wingdings 2" w:char="0052"/>
      </w:r>
      <w:r>
        <w:rPr>
          <w:rFonts w:hint="eastAsia" w:ascii="仿宋_GB2312" w:eastAsia="仿宋_GB2312"/>
          <w:color w:val="auto"/>
          <w:sz w:val="28"/>
          <w:szCs w:val="28"/>
          <w:highlight w:val="none"/>
        </w:rPr>
        <w:t>（</w:t>
      </w:r>
      <w:r>
        <w:rPr>
          <w:rFonts w:ascii="仿宋_GB2312" w:eastAsia="仿宋_GB2312"/>
          <w:color w:val="auto"/>
          <w:sz w:val="28"/>
          <w:szCs w:val="28"/>
          <w:highlight w:val="none"/>
        </w:rPr>
        <w:t>1</w:t>
      </w:r>
      <w:r>
        <w:rPr>
          <w:rFonts w:hint="eastAsia" w:ascii="仿宋_GB2312" w:eastAsia="仿宋_GB2312"/>
          <w:color w:val="auto"/>
          <w:sz w:val="28"/>
          <w:szCs w:val="28"/>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eastAsia="zh-CN"/>
        </w:rPr>
        <w:sym w:font="Wingdings 2" w:char="0052"/>
      </w:r>
      <w:r>
        <w:rPr>
          <w:rFonts w:hint="eastAsia" w:ascii="仿宋_GB2312" w:eastAsia="仿宋_GB2312"/>
          <w:color w:val="auto"/>
          <w:sz w:val="28"/>
          <w:szCs w:val="28"/>
          <w:highlight w:val="none"/>
        </w:rPr>
        <w:t>（</w:t>
      </w:r>
      <w:r>
        <w:rPr>
          <w:rFonts w:ascii="仿宋_GB2312" w:eastAsia="仿宋_GB2312"/>
          <w:color w:val="auto"/>
          <w:sz w:val="28"/>
          <w:szCs w:val="28"/>
          <w:highlight w:val="none"/>
        </w:rPr>
        <w:t>2</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具有市政工程施总承包三级（或以上）资质，具有建设主管部门颁发且在有效期内的《安全生产许可证》</w:t>
      </w:r>
      <w:r>
        <w:rPr>
          <w:rFonts w:hint="eastAsia" w:ascii="仿宋_GB2312" w:eastAsia="仿宋_GB2312"/>
          <w:color w:val="auto"/>
          <w:sz w:val="28"/>
          <w:szCs w:val="28"/>
          <w:highlight w:val="none"/>
        </w:rPr>
        <w:t>。</w:t>
      </w:r>
    </w:p>
    <w:p>
      <w:pPr>
        <w:numPr>
          <w:ilvl w:val="255"/>
          <w:numId w:val="0"/>
        </w:numPr>
        <w:spacing w:line="480" w:lineRule="exact"/>
        <w:ind w:firstLine="0" w:firstLineChars="0"/>
        <w:rPr>
          <w:rFonts w:hint="eastAsia" w:ascii="仿宋_GB2312" w:eastAsia="仿宋_GB2312" w:cstheme="minorBidi"/>
          <w:color w:val="auto"/>
          <w:sz w:val="28"/>
          <w:szCs w:val="28"/>
          <w:highlight w:val="none"/>
          <w:u w:val="none"/>
          <w:lang w:eastAsia="zh-CN"/>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ascii="仿宋_GB2312" w:eastAsia="仿宋_GB2312"/>
          <w:color w:val="auto"/>
          <w:sz w:val="28"/>
          <w:szCs w:val="28"/>
          <w:highlight w:val="none"/>
        </w:rPr>
        <w:t>3</w:t>
      </w:r>
      <w:r>
        <w:rPr>
          <w:rFonts w:hint="eastAsia" w:ascii="仿宋_GB2312" w:eastAsia="仿宋_GB2312"/>
          <w:color w:val="auto"/>
          <w:sz w:val="28"/>
          <w:szCs w:val="28"/>
          <w:highlight w:val="none"/>
        </w:rPr>
        <w:t>）</w:t>
      </w:r>
      <w:r>
        <w:rPr>
          <w:rFonts w:ascii="仿宋_GB2312" w:eastAsia="仿宋_GB2312"/>
          <w:color w:val="auto"/>
          <w:sz w:val="28"/>
          <w:szCs w:val="28"/>
          <w:highlight w:val="none"/>
          <w:u w:val="none"/>
        </w:rPr>
        <w:t xml:space="preserve"> </w:t>
      </w:r>
      <w:r>
        <w:rPr>
          <w:rFonts w:hint="eastAsia" w:ascii="仿宋_GB2312" w:eastAsia="仿宋_GB2312"/>
          <w:color w:val="auto"/>
          <w:sz w:val="28"/>
          <w:szCs w:val="28"/>
          <w:highlight w:val="none"/>
        </w:rPr>
        <w:t>项目负责人应当具备</w:t>
      </w:r>
      <w:r>
        <w:rPr>
          <w:rFonts w:hint="eastAsia" w:ascii="仿宋_GB2312" w:eastAsia="仿宋_GB2312" w:cstheme="minorBidi"/>
          <w:color w:val="auto"/>
          <w:sz w:val="28"/>
          <w:szCs w:val="28"/>
          <w:highlight w:val="none"/>
          <w:u w:val="none"/>
          <w:lang w:val="en-US" w:eastAsia="zh-CN"/>
        </w:rPr>
        <w:t>市政工程</w:t>
      </w:r>
      <w:r>
        <w:rPr>
          <w:rFonts w:hint="eastAsia" w:ascii="仿宋_GB2312" w:eastAsia="仿宋_GB2312" w:hAnsiTheme="minorHAnsi" w:cstheme="minorBidi"/>
          <w:color w:val="auto"/>
          <w:sz w:val="28"/>
          <w:szCs w:val="28"/>
          <w:highlight w:val="none"/>
          <w:u w:val="none"/>
        </w:rPr>
        <w:t>专业二级（或以上级别）的注册建造师（须提供最新电子证书）或具备符合粤建市〔2010〕26号文规定的小型项目负责人资格，同时持有项目负责人安全生产考核合格证（B类）（或能够提供广东省建筑施工企业管理人员安全生产考核信息系统安全生产管理人员证书信息的网页截图）。（注：注册建造师电子证书须由本人在个人签名处手写签名，未手写签名或与签名图像笔迹不一致的，电子证书无效</w:t>
      </w:r>
      <w:r>
        <w:rPr>
          <w:rFonts w:hint="eastAsia" w:ascii="仿宋_GB2312" w:eastAsia="仿宋_GB2312" w:cstheme="minorBidi"/>
          <w:color w:val="auto"/>
          <w:sz w:val="28"/>
          <w:szCs w:val="28"/>
          <w:highlight w:val="none"/>
          <w:u w:val="none"/>
          <w:lang w:eastAsia="zh-CN"/>
        </w:rPr>
        <w:t>，广东省外注册的二级建造师人员暂不能在我省执业</w:t>
      </w:r>
      <w:r>
        <w:rPr>
          <w:rFonts w:hint="eastAsia" w:ascii="仿宋_GB2312" w:eastAsia="仿宋_GB2312" w:hAnsiTheme="minorHAnsi" w:cstheme="minorBidi"/>
          <w:color w:val="auto"/>
          <w:sz w:val="28"/>
          <w:szCs w:val="28"/>
          <w:highlight w:val="none"/>
          <w:u w:val="none"/>
        </w:rPr>
        <w:t>）</w:t>
      </w:r>
      <w:r>
        <w:rPr>
          <w:rFonts w:hint="eastAsia" w:ascii="仿宋_GB2312" w:eastAsia="仿宋_GB2312" w:cstheme="minorBidi"/>
          <w:color w:val="auto"/>
          <w:sz w:val="28"/>
          <w:szCs w:val="28"/>
          <w:highlight w:val="none"/>
          <w:u w:val="none"/>
          <w:lang w:eastAsia="zh-CN"/>
        </w:rPr>
        <w:t>。</w:t>
      </w:r>
    </w:p>
    <w:p>
      <w:pPr>
        <w:pStyle w:val="2"/>
        <w:autoSpaceDE w:val="0"/>
        <w:autoSpaceDN w:val="0"/>
        <w:adjustRightInd w:val="0"/>
        <w:snapToGrid w:val="0"/>
        <w:spacing w:line="600" w:lineRule="exact"/>
        <w:ind w:firstLine="560" w:firstLineChars="200"/>
        <w:jc w:val="left"/>
        <w:rPr>
          <w:rFonts w:hint="eastAsia"/>
        </w:rPr>
      </w:pPr>
      <w:r>
        <w:rPr>
          <w:rFonts w:hint="eastAsia" w:ascii="仿宋_GB2312" w:eastAsia="仿宋_GB2312"/>
          <w:color w:val="auto"/>
          <w:sz w:val="28"/>
          <w:szCs w:val="28"/>
          <w:highlight w:val="none"/>
          <w:u w:val="none"/>
        </w:rPr>
        <w:t>专职安全人员要求：须具有安全生产考核合格证（C类）（或能够提供广东省建筑施工企业管理人员安全生产考核信息系统安全生产管理人员证书信息的网页截图）。项目负责人不得同时兼任本项目专职安全人员</w:t>
      </w:r>
      <w:r>
        <w:rPr>
          <w:rFonts w:hint="eastAsia" w:ascii="仿宋_GB2312" w:eastAsia="仿宋_GB2312"/>
          <w:color w:val="auto"/>
          <w:sz w:val="28"/>
          <w:szCs w:val="28"/>
          <w:highlight w:val="none"/>
          <w:u w:val="none"/>
          <w:lang w:eastAsia="zh-CN"/>
        </w:rPr>
        <w:t>。</w:t>
      </w:r>
    </w:p>
    <w:p>
      <w:pPr>
        <w:numPr>
          <w:ilvl w:val="0"/>
          <w:numId w:val="0"/>
        </w:numPr>
        <w:spacing w:line="480" w:lineRule="exact"/>
        <w:rPr>
          <w:color w:val="auto"/>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业绩</w:t>
      </w:r>
      <w:r>
        <w:rPr>
          <w:rFonts w:hint="eastAsia" w:ascii="仿宋_GB2312" w:eastAsia="仿宋_GB2312"/>
          <w:color w:val="auto"/>
          <w:sz w:val="28"/>
          <w:szCs w:val="28"/>
          <w:highlight w:val="none"/>
        </w:rPr>
        <w:t>要求：2019年1月1日至今，最少具有一项</w:t>
      </w:r>
      <w:r>
        <w:rPr>
          <w:rFonts w:hint="eastAsia" w:ascii="仿宋_GB2312" w:eastAsia="仿宋_GB2312"/>
          <w:color w:val="auto"/>
          <w:sz w:val="28"/>
          <w:szCs w:val="28"/>
          <w:highlight w:val="none"/>
          <w:lang w:val="en-US" w:eastAsia="zh-CN"/>
        </w:rPr>
        <w:t>类似</w:t>
      </w:r>
      <w:r>
        <w:rPr>
          <w:rFonts w:hint="eastAsia" w:ascii="仿宋_GB2312" w:eastAsia="仿宋_GB2312"/>
          <w:color w:val="auto"/>
          <w:sz w:val="28"/>
          <w:szCs w:val="28"/>
          <w:highlight w:val="none"/>
        </w:rPr>
        <w:t>曝气</w:t>
      </w:r>
      <w:r>
        <w:rPr>
          <w:rFonts w:hint="eastAsia" w:ascii="仿宋_GB2312" w:eastAsia="仿宋_GB2312"/>
          <w:color w:val="auto"/>
          <w:sz w:val="28"/>
          <w:szCs w:val="28"/>
          <w:highlight w:val="none"/>
          <w:lang w:val="en-US" w:eastAsia="zh-CN"/>
        </w:rPr>
        <w:t>系统安装或维修</w:t>
      </w:r>
      <w:r>
        <w:rPr>
          <w:rFonts w:hint="eastAsia" w:ascii="仿宋_GB2312" w:eastAsia="仿宋_GB2312"/>
          <w:color w:val="auto"/>
          <w:sz w:val="28"/>
          <w:szCs w:val="28"/>
          <w:highlight w:val="none"/>
        </w:rPr>
        <w:t>业绩（提供合同复印件证明，包括但不限于项目名称、金额及实施内容、合同签字盖章、签订日期，并加盖单位公章）。</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3.2供应商在响应文件提交截止日期止不得存在下列情形之一（须出具承诺函）：</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（12）其他禁止情形：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11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19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11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23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踏勘现场</w:t>
      </w:r>
    </w:p>
    <w:p>
      <w:pPr>
        <w:adjustRightInd w:val="0"/>
        <w:snapToGrid w:val="0"/>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□不组织</w:t>
      </w:r>
    </w:p>
    <w:p>
      <w:pPr>
        <w:adjustRightInd w:val="0"/>
        <w:snapToGrid w:val="0"/>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组织</w:t>
      </w:r>
    </w:p>
    <w:p>
      <w:pPr>
        <w:adjustRightInd w:val="0"/>
        <w:snapToGrid w:val="0"/>
        <w:spacing w:line="360" w:lineRule="auto"/>
        <w:ind w:firstLine="560" w:firstLineChars="200"/>
        <w:rPr>
          <w:rFonts w:hint="eastAsia" w:ascii="仿宋_GB2312" w:hAnsi="仿宋" w:eastAsia="仿宋_GB2312" w:cs="仿宋_GB2312"/>
          <w:color w:val="auto"/>
          <w:sz w:val="28"/>
          <w:szCs w:val="28"/>
          <w:highlight w:val="none"/>
          <w:lang w:val="zh-CN"/>
        </w:rPr>
      </w:pPr>
      <w:r>
        <w:rPr>
          <w:rFonts w:hint="eastAsia" w:ascii="仿宋_GB2312" w:hAnsi="仿宋" w:eastAsia="仿宋_GB2312" w:cs="仿宋_GB2312"/>
          <w:color w:val="auto"/>
          <w:sz w:val="28"/>
          <w:szCs w:val="28"/>
          <w:highlight w:val="none"/>
          <w:lang w:val="en-US" w:eastAsia="zh-CN"/>
        </w:rPr>
        <w:t>供应商可</w:t>
      </w:r>
      <w:r>
        <w:rPr>
          <w:rFonts w:hint="eastAsia" w:ascii="仿宋_GB2312" w:hAnsi="仿宋" w:eastAsia="仿宋_GB2312" w:cs="仿宋_GB2312"/>
          <w:color w:val="auto"/>
          <w:sz w:val="28"/>
          <w:szCs w:val="28"/>
          <w:highlight w:val="none"/>
          <w:lang w:val="zh-CN"/>
        </w:rPr>
        <w:t>自行</w:t>
      </w:r>
      <w:r>
        <w:rPr>
          <w:rFonts w:hint="eastAsia" w:ascii="仿宋_GB2312" w:hAnsi="仿宋" w:eastAsia="仿宋_GB2312" w:cs="仿宋_GB2312"/>
          <w:color w:val="auto"/>
          <w:sz w:val="28"/>
          <w:szCs w:val="28"/>
          <w:highlight w:val="none"/>
          <w:lang w:val="en-US" w:eastAsia="zh-CN"/>
        </w:rPr>
        <w:t>选择是否前往现场踏勘</w:t>
      </w:r>
      <w:r>
        <w:rPr>
          <w:rFonts w:hint="eastAsia" w:ascii="仿宋_GB2312" w:hAnsi="仿宋" w:eastAsia="仿宋_GB2312" w:cs="仿宋_GB2312"/>
          <w:color w:val="auto"/>
          <w:sz w:val="28"/>
          <w:szCs w:val="28"/>
          <w:highlight w:val="none"/>
          <w:lang w:val="zh-CN"/>
        </w:rPr>
        <w:t>，</w:t>
      </w:r>
      <w:r>
        <w:rPr>
          <w:rFonts w:hint="eastAsia" w:ascii="仿宋_GB2312" w:hAnsi="仿宋" w:eastAsia="仿宋_GB2312" w:cs="仿宋_GB2312"/>
          <w:color w:val="auto"/>
          <w:sz w:val="28"/>
          <w:szCs w:val="28"/>
          <w:highlight w:val="none"/>
          <w:lang w:val="en-US" w:eastAsia="zh-CN"/>
        </w:rPr>
        <w:t>若前往现场踏勘须在规定时间内到达集中地点，逾期不再接待</w:t>
      </w:r>
      <w:r>
        <w:rPr>
          <w:rFonts w:hint="eastAsia" w:ascii="仿宋_GB2312" w:hAnsi="仿宋" w:eastAsia="仿宋_GB2312" w:cs="仿宋_GB2312"/>
          <w:color w:val="auto"/>
          <w:sz w:val="28"/>
          <w:szCs w:val="28"/>
          <w:highlight w:val="none"/>
          <w:lang w:val="zh-CN"/>
        </w:rPr>
        <w:t>。</w:t>
      </w:r>
    </w:p>
    <w:p>
      <w:pPr>
        <w:adjustRightInd w:val="0"/>
        <w:snapToGrid w:val="0"/>
        <w:spacing w:line="360" w:lineRule="auto"/>
        <w:ind w:firstLine="560" w:firstLineChars="200"/>
        <w:rPr>
          <w:rFonts w:hint="eastAsia" w:ascii="仿宋_GB2312" w:hAnsi="仿宋" w:eastAsia="仿宋_GB2312" w:cs="仿宋_GB2312"/>
          <w:color w:val="auto"/>
          <w:sz w:val="28"/>
          <w:szCs w:val="28"/>
          <w:highlight w:val="none"/>
          <w:lang w:val="zh-CN"/>
        </w:rPr>
      </w:pPr>
      <w:r>
        <w:rPr>
          <w:rFonts w:hint="eastAsia" w:ascii="仿宋_GB2312" w:hAnsi="仿宋" w:eastAsia="仿宋_GB2312" w:cs="仿宋_GB2312"/>
          <w:color w:val="auto"/>
          <w:sz w:val="28"/>
          <w:szCs w:val="28"/>
          <w:highlight w:val="none"/>
          <w:lang w:val="zh-CN"/>
        </w:rPr>
        <w:t>防疫要求：</w:t>
      </w:r>
      <w:r>
        <w:rPr>
          <w:rFonts w:hint="eastAsia" w:ascii="仿宋_GB2312" w:eastAsia="仿宋_GB2312"/>
          <w:color w:val="auto"/>
          <w:sz w:val="28"/>
          <w:szCs w:val="28"/>
          <w:highlight w:val="none"/>
        </w:rPr>
        <w:t>基于疫情防控形势，授权委托人须通过“广州净水公司”微信公众号（提前）预约，填写访客预约信息（包括：1.近</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天内行程有异地中高风险地区及所在的地级市（、盟、州、直辖市的区）旅居史的来（返）穗人员拒绝来访；2.近</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天行程内有异地本土疫情报告的地级市（、盟、州、直辖市的区）旅居史的来（返）穗人员拒绝来访3.近</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天行程内有省外来（返）穗人员应持有抵穗后来访前三天的两次核酸检测证明，即“三天两检”（每次至少间隔24小时）4.如确需工作需要来访，应持有抵穗后来访前24小时内的核酸检测证明）。待被访部室审核员审批通过后，凭访客手机生成的“通行访客码”通行。于门岗处测温并扫码填写调查问卷，手机显示问卷“提交成功”后方可进入厂区。</w:t>
      </w:r>
    </w:p>
    <w:p>
      <w:pPr>
        <w:pStyle w:val="2"/>
        <w:spacing w:line="360" w:lineRule="auto"/>
        <w:ind w:firstLine="0"/>
        <w:rPr>
          <w:rFonts w:hint="default" w:ascii="仿宋_GB2312" w:hAnsi="Calibri" w:eastAsia="仿宋_GB2312" w:cs="Times New Roman"/>
          <w:color w:val="auto"/>
          <w:kern w:val="2"/>
          <w:sz w:val="28"/>
          <w:szCs w:val="28"/>
          <w:highlight w:val="none"/>
          <w:lang w:val="en-US" w:eastAsia="zh-CN"/>
        </w:rPr>
      </w:pPr>
      <w:r>
        <w:rPr>
          <w:rFonts w:hint="eastAsia" w:ascii="仿宋_GB2312" w:hAnsi="Calibri" w:eastAsia="仿宋_GB2312" w:cs="Times New Roman"/>
          <w:color w:val="auto"/>
          <w:kern w:val="2"/>
          <w:sz w:val="28"/>
          <w:szCs w:val="28"/>
          <w:highlight w:val="none"/>
          <w:lang w:val="en-US" w:eastAsia="zh-CN"/>
        </w:rPr>
        <w:t>踏勘现场联系人：劳工</w:t>
      </w:r>
    </w:p>
    <w:p>
      <w:pPr>
        <w:adjustRightInd w:val="0"/>
        <w:snapToGrid w:val="0"/>
        <w:spacing w:line="600" w:lineRule="exact"/>
        <w:jc w:val="left"/>
        <w:rPr>
          <w:rFonts w:hint="eastAsia" w:ascii="仿宋_GB2312" w:hAnsi="Calibri" w:eastAsia="仿宋_GB2312" w:cs="Times New Roman"/>
          <w:color w:val="auto"/>
          <w:kern w:val="2"/>
          <w:sz w:val="28"/>
          <w:szCs w:val="28"/>
          <w:highlight w:val="none"/>
          <w:lang w:val="en-US" w:eastAsia="zh-CN"/>
        </w:rPr>
      </w:pPr>
      <w:r>
        <w:rPr>
          <w:rFonts w:hint="eastAsia" w:ascii="仿宋_GB2312" w:hAnsi="Calibri" w:eastAsia="仿宋_GB2312" w:cs="Times New Roman"/>
          <w:color w:val="auto"/>
          <w:kern w:val="2"/>
          <w:sz w:val="28"/>
          <w:szCs w:val="28"/>
          <w:highlight w:val="none"/>
          <w:lang w:val="en-US" w:eastAsia="zh-CN"/>
        </w:rPr>
        <w:t>踏勘现场联系人联系方式：15820271907</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踏勘</w:t>
      </w:r>
      <w:r>
        <w:rPr>
          <w:rFonts w:hint="eastAsia" w:ascii="仿宋_GB2312" w:eastAsia="仿宋_GB2312"/>
          <w:i w:val="0"/>
          <w:iCs w:val="0"/>
          <w:color w:val="auto"/>
          <w:sz w:val="28"/>
          <w:szCs w:val="28"/>
          <w:highlight w:val="none"/>
          <w:u w:val="none"/>
        </w:rPr>
        <w:t>（答疑）集合</w:t>
      </w:r>
      <w:r>
        <w:rPr>
          <w:rFonts w:hint="eastAsia" w:ascii="仿宋_GB2312" w:eastAsia="仿宋_GB2312"/>
          <w:color w:val="auto"/>
          <w:sz w:val="28"/>
          <w:szCs w:val="28"/>
          <w:highlight w:val="none"/>
        </w:rPr>
        <w:t>时间：</w:t>
      </w:r>
      <w:r>
        <w:rPr>
          <w:rFonts w:hint="eastAsia" w:ascii="仿宋_GB2312" w:eastAsia="仿宋_GB2312"/>
          <w:color w:val="auto"/>
          <w:sz w:val="28"/>
          <w:szCs w:val="28"/>
          <w:highlight w:val="none"/>
          <w:u w:val="single"/>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11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22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30</w:t>
      </w:r>
      <w:r>
        <w:rPr>
          <w:rFonts w:hint="eastAsia" w:ascii="仿宋_GB2312" w:eastAsia="仿宋_GB2312"/>
          <w:color w:val="auto"/>
          <w:sz w:val="28"/>
          <w:szCs w:val="28"/>
          <w:highlight w:val="none"/>
        </w:rPr>
        <w:t>分至</w:t>
      </w:r>
      <w:r>
        <w:rPr>
          <w:rFonts w:hint="eastAsia" w:ascii="仿宋_GB2312" w:eastAsia="仿宋_GB2312"/>
          <w:color w:val="auto"/>
          <w:sz w:val="28"/>
          <w:szCs w:val="28"/>
          <w:highlight w:val="none"/>
          <w:u w:val="single"/>
          <w:lang w:val="en-US" w:eastAsia="zh-CN"/>
        </w:rPr>
        <w:t>11</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rPr>
        <w:t>分</w:t>
      </w:r>
    </w:p>
    <w:p>
      <w:pPr>
        <w:adjustRightInd w:val="0"/>
        <w:snapToGrid w:val="0"/>
        <w:spacing w:line="600" w:lineRule="exact"/>
        <w:jc w:val="left"/>
        <w:rPr>
          <w:rFonts w:asciiTheme="minorEastAsia" w:hAnsiTheme="minorEastAsia"/>
          <w:b/>
          <w:color w:val="auto"/>
          <w:sz w:val="32"/>
          <w:szCs w:val="32"/>
          <w:highlight w:val="none"/>
        </w:rPr>
      </w:pPr>
      <w:r>
        <w:rPr>
          <w:rFonts w:hint="eastAsia" w:ascii="仿宋_GB2312" w:eastAsia="仿宋_GB2312"/>
          <w:color w:val="auto"/>
          <w:sz w:val="28"/>
          <w:szCs w:val="28"/>
          <w:highlight w:val="none"/>
          <w:lang w:val="en-US" w:eastAsia="zh-CN"/>
        </w:rPr>
        <w:t>踏勘地点：</w:t>
      </w:r>
      <w:r>
        <w:rPr>
          <w:rFonts w:hint="eastAsia" w:ascii="仿宋_GB2312" w:eastAsia="仿宋_GB2312"/>
          <w:color w:val="auto"/>
          <w:sz w:val="28"/>
          <w:szCs w:val="28"/>
          <w:highlight w:val="none"/>
          <w:u w:val="none"/>
        </w:rPr>
        <w:t>广州市白云区钟落潭镇竹二路兰桂街</w:t>
      </w:r>
      <w:r>
        <w:rPr>
          <w:rFonts w:ascii="仿宋_GB2312" w:eastAsia="仿宋_GB2312"/>
          <w:color w:val="auto"/>
          <w:sz w:val="28"/>
          <w:szCs w:val="28"/>
          <w:highlight w:val="none"/>
          <w:u w:val="none"/>
        </w:rPr>
        <w:t>100</w:t>
      </w:r>
      <w:r>
        <w:rPr>
          <w:rFonts w:hint="eastAsia" w:ascii="仿宋_GB2312" w:eastAsia="仿宋_GB2312"/>
          <w:color w:val="auto"/>
          <w:sz w:val="28"/>
          <w:szCs w:val="28"/>
          <w:highlight w:val="none"/>
          <w:u w:val="none"/>
        </w:rPr>
        <w:t>号</w:t>
      </w:r>
      <w:r>
        <w:rPr>
          <w:rFonts w:hint="eastAsia" w:ascii="仿宋_GB2312" w:eastAsia="仿宋_GB2312"/>
          <w:color w:val="auto"/>
          <w:sz w:val="28"/>
          <w:szCs w:val="28"/>
          <w:highlight w:val="none"/>
          <w:u w:val="none"/>
          <w:lang w:val="en-US" w:eastAsia="zh-CN"/>
        </w:rPr>
        <w:t>广州市净水有限公司竹料分公司</w:t>
      </w:r>
      <w:r>
        <w:rPr>
          <w:rFonts w:hint="eastAsia" w:ascii="仿宋_GB2312" w:eastAsia="仿宋_GB2312"/>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6.1递交响应文件截止时间</w:t>
      </w:r>
      <w:r>
        <w:rPr>
          <w:rFonts w:hint="eastAsia" w:ascii="仿宋_GB2312" w:eastAsia="仿宋_GB2312"/>
          <w:color w:val="auto"/>
          <w:sz w:val="28"/>
          <w:szCs w:val="28"/>
          <w:highlight w:val="none"/>
          <w:lang w:val="en-US" w:eastAsia="zh-CN"/>
        </w:rPr>
        <w:t>:</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11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24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分前（北京时间）。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6.2递交及快递地址：广州市天河区临江大道501号</w:t>
      </w:r>
      <w:r>
        <w:rPr>
          <w:rFonts w:hint="eastAsia" w:ascii="仿宋_GB2312" w:eastAsia="仿宋_GB2312"/>
          <w:color w:val="auto"/>
          <w:sz w:val="28"/>
          <w:szCs w:val="28"/>
          <w:highlight w:val="none"/>
          <w:u w:val="single"/>
        </w:rPr>
        <w:t>广州市净水有限公司6楼招标部</w:t>
      </w:r>
      <w:r>
        <w:rPr>
          <w:rFonts w:hint="eastAsia" w:ascii="仿宋_GB2312" w:eastAsia="仿宋_GB2312"/>
          <w:color w:val="auto"/>
          <w:sz w:val="28"/>
          <w:szCs w:val="28"/>
          <w:highlight w:val="none"/>
        </w:rPr>
        <w:t>。</w:t>
      </w:r>
    </w:p>
    <w:p>
      <w:pPr>
        <w:pStyle w:val="22"/>
        <w:ind w:firstLine="560" w:firstLineChars="200"/>
        <w:rPr>
          <w:rFonts w:eastAsia="仿宋_GB2312"/>
          <w:color w:val="auto"/>
          <w:highlight w:val="none"/>
        </w:rPr>
      </w:pPr>
      <w:r>
        <w:rPr>
          <w:rFonts w:hint="eastAsia" w:ascii="仿宋_GB2312" w:eastAsia="仿宋_GB2312"/>
          <w:color w:val="auto"/>
          <w:sz w:val="28"/>
          <w:szCs w:val="28"/>
          <w:highlight w:val="none"/>
        </w:rPr>
        <w:t>防疫要求：</w:t>
      </w:r>
      <w:r>
        <w:rPr>
          <w:rFonts w:hint="eastAsia" w:ascii="仿宋_GB2312" w:eastAsia="仿宋_GB2312" w:hAnsiTheme="minorHAnsi" w:cstheme="minorBidi"/>
          <w:color w:val="auto"/>
          <w:kern w:val="2"/>
          <w:sz w:val="28"/>
          <w:szCs w:val="28"/>
          <w:highlight w:val="none"/>
          <w:lang w:val="en-US" w:eastAsia="zh-CN"/>
        </w:rPr>
        <w:t>基于目前疫情防控形势，我公司仅接受快递或自行送达形式递交响应文件，响应文件须于递交截止时间前送达，并放置于公司正门保安处。</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7.其他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本项目采购公告（采购邀请书）、公告补充及修改同步在广州净水公司门户网站及阳光平台上发布。</w:t>
      </w:r>
      <w:r>
        <w:rPr>
          <w:rFonts w:hint="eastAsia" w:ascii="仿宋_GB2312" w:hAnsi="Calibri" w:eastAsia="仿宋_GB2312" w:cs="Times New Roman"/>
          <w:color w:val="auto"/>
          <w:sz w:val="28"/>
          <w:szCs w:val="28"/>
          <w:highlight w:val="none"/>
        </w:rPr>
        <w:t>本公告在各媒体发布的文本如有不同之处，以广州净水公司门户网站为准。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rPr>
        <w:t>38890841</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9. 被书面限制参与采购活动的企业名单</w:t>
      </w:r>
    </w:p>
    <w:p>
      <w:pPr>
        <w:adjustRightInd w:val="0"/>
        <w:snapToGrid w:val="0"/>
        <w:spacing w:line="60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本项目采购人（包括市水投集团及其属下子公司）书面限制参与采购活动的企业名单：</w:t>
      </w:r>
    </w:p>
    <w:tbl>
      <w:tblPr>
        <w:tblStyle w:val="24"/>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1"/>
        <w:gridCol w:w="3402"/>
        <w:gridCol w:w="45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3402"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单位名称</w:t>
            </w:r>
          </w:p>
        </w:tc>
        <w:tc>
          <w:tcPr>
            <w:tcW w:w="4557"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1</w:t>
            </w:r>
          </w:p>
        </w:tc>
        <w:tc>
          <w:tcPr>
            <w:tcW w:w="3402" w:type="dxa"/>
            <w:vAlign w:val="center"/>
          </w:tcPr>
          <w:p>
            <w:pPr>
              <w:jc w:val="center"/>
              <w:rPr>
                <w:rFonts w:ascii="宋体" w:hAnsi="宋体" w:cs="宋体"/>
                <w:color w:val="auto"/>
                <w:sz w:val="24"/>
                <w:highlight w:val="none"/>
              </w:rPr>
            </w:pPr>
            <w:r>
              <w:rPr>
                <w:rFonts w:hint="eastAsia" w:ascii="宋体" w:hAnsi="宋体" w:eastAsia="宋体" w:cs="宋体"/>
                <w:color w:val="auto"/>
                <w:sz w:val="24"/>
                <w:highlight w:val="none"/>
              </w:rPr>
              <w:t>广州市水电建设工程有限公司</w:t>
            </w:r>
          </w:p>
        </w:tc>
        <w:tc>
          <w:tcPr>
            <w:tcW w:w="4557" w:type="dxa"/>
            <w:vAlign w:val="center"/>
          </w:tcPr>
          <w:p>
            <w:pPr>
              <w:jc w:val="center"/>
              <w:rPr>
                <w:rFonts w:ascii="宋体" w:hAnsi="宋体" w:cs="宋体"/>
                <w:color w:val="auto"/>
                <w:sz w:val="24"/>
                <w:highlight w:val="none"/>
              </w:rPr>
            </w:pPr>
            <w:r>
              <w:rPr>
                <w:rFonts w:hint="eastAsia" w:ascii="宋体" w:hAnsi="宋体" w:eastAsia="宋体" w:cs="宋体"/>
                <w:color w:val="auto"/>
                <w:sz w:val="24"/>
                <w:highlight w:val="none"/>
              </w:rPr>
              <w:t>2021年11月18至2023年</w:t>
            </w:r>
            <w:r>
              <w:rPr>
                <w:rFonts w:hint="eastAsia" w:ascii="宋体" w:hAnsi="宋体" w:cs="宋体"/>
                <w:color w:val="auto"/>
                <w:sz w:val="24"/>
                <w:highlight w:val="none"/>
              </w:rPr>
              <w:t>5</w:t>
            </w:r>
            <w:r>
              <w:rPr>
                <w:rFonts w:hint="eastAsia" w:ascii="宋体" w:hAnsi="宋体" w:eastAsia="宋体" w:cs="宋体"/>
                <w:color w:val="auto"/>
                <w:sz w:val="24"/>
                <w:highlight w:val="none"/>
              </w:rPr>
              <w:t>月17日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2</w:t>
            </w:r>
          </w:p>
        </w:tc>
        <w:tc>
          <w:tcPr>
            <w:tcW w:w="3402" w:type="dxa"/>
            <w:vAlign w:val="center"/>
          </w:tcPr>
          <w:p>
            <w:pPr>
              <w:jc w:val="center"/>
              <w:rPr>
                <w:rFonts w:ascii="宋体" w:hAnsi="宋体" w:cs="宋体"/>
                <w:color w:val="auto"/>
                <w:sz w:val="24"/>
                <w:highlight w:val="none"/>
              </w:rPr>
            </w:pPr>
            <w:r>
              <w:rPr>
                <w:rFonts w:hint="eastAsia" w:ascii="宋体" w:hAnsi="宋体" w:eastAsia="宋体" w:cs="宋体"/>
                <w:color w:val="auto"/>
                <w:sz w:val="24"/>
                <w:highlight w:val="none"/>
              </w:rPr>
              <w:t>广州市南粤工程建设监理有限公司</w:t>
            </w:r>
          </w:p>
        </w:tc>
        <w:tc>
          <w:tcPr>
            <w:tcW w:w="4557" w:type="dxa"/>
            <w:vAlign w:val="center"/>
          </w:tcPr>
          <w:p>
            <w:pPr>
              <w:jc w:val="center"/>
              <w:rPr>
                <w:rFonts w:ascii="宋体" w:hAnsi="宋体" w:cs="宋体"/>
                <w:color w:val="auto"/>
                <w:sz w:val="24"/>
                <w:highlight w:val="none"/>
              </w:rPr>
            </w:pPr>
            <w:r>
              <w:rPr>
                <w:rFonts w:hint="eastAsia" w:ascii="宋体" w:hAnsi="宋体" w:eastAsia="宋体" w:cs="宋体"/>
                <w:color w:val="auto"/>
                <w:sz w:val="24"/>
                <w:highlight w:val="none"/>
              </w:rPr>
              <w:t>2021年11月18至20</w:t>
            </w:r>
            <w:r>
              <w:rPr>
                <w:rFonts w:hint="eastAsia" w:ascii="宋体" w:hAnsi="宋体" w:cs="宋体"/>
                <w:color w:val="auto"/>
                <w:sz w:val="24"/>
                <w:highlight w:val="none"/>
              </w:rPr>
              <w:t>23</w:t>
            </w:r>
            <w:r>
              <w:rPr>
                <w:rFonts w:hint="eastAsia" w:ascii="宋体" w:hAnsi="宋体" w:eastAsia="宋体" w:cs="宋体"/>
                <w:color w:val="auto"/>
                <w:sz w:val="24"/>
                <w:highlight w:val="none"/>
              </w:rPr>
              <w:t>年</w:t>
            </w:r>
            <w:r>
              <w:rPr>
                <w:rFonts w:hint="eastAsia" w:ascii="宋体" w:hAnsi="宋体" w:cs="宋体"/>
                <w:color w:val="auto"/>
                <w:sz w:val="24"/>
                <w:highlight w:val="none"/>
              </w:rPr>
              <w:t>5</w:t>
            </w:r>
            <w:r>
              <w:rPr>
                <w:rFonts w:hint="eastAsia" w:ascii="宋体" w:hAnsi="宋体" w:eastAsia="宋体" w:cs="宋体"/>
                <w:color w:val="auto"/>
                <w:sz w:val="24"/>
                <w:highlight w:val="none"/>
              </w:rPr>
              <w:t>月17日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eastAsia="宋体" w:cs="宋体"/>
                <w:color w:val="auto"/>
                <w:sz w:val="24"/>
                <w:highlight w:val="none"/>
              </w:rPr>
            </w:pPr>
            <w:r>
              <w:rPr>
                <w:rFonts w:hint="eastAsia" w:ascii="宋体" w:hAnsi="宋体" w:cs="宋体"/>
                <w:color w:val="auto"/>
                <w:sz w:val="24"/>
                <w:highlight w:val="none"/>
              </w:rPr>
              <w:t>3</w:t>
            </w:r>
          </w:p>
        </w:tc>
        <w:tc>
          <w:tcPr>
            <w:tcW w:w="3402" w:type="dxa"/>
            <w:vAlign w:val="center"/>
          </w:tcPr>
          <w:p>
            <w:pPr>
              <w:jc w:val="center"/>
              <w:rPr>
                <w:rFonts w:ascii="宋体" w:hAnsi="宋体" w:eastAsia="宋体" w:cs="宋体"/>
                <w:color w:val="auto"/>
                <w:sz w:val="24"/>
                <w:highlight w:val="none"/>
              </w:rPr>
            </w:pPr>
            <w:r>
              <w:rPr>
                <w:rFonts w:ascii="宋体" w:hAnsi="宋体" w:eastAsia="宋体" w:cs="宋体"/>
                <w:color w:val="auto"/>
                <w:sz w:val="24"/>
                <w:szCs w:val="24"/>
                <w:highlight w:val="none"/>
              </w:rPr>
              <w:t>广州市自来水工程有限公司</w:t>
            </w:r>
          </w:p>
        </w:tc>
        <w:tc>
          <w:tcPr>
            <w:tcW w:w="4557"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202</w:t>
            </w:r>
            <w:r>
              <w:rPr>
                <w:rFonts w:hint="eastAsia" w:ascii="宋体" w:hAnsi="宋体" w:cs="宋体"/>
                <w:color w:val="auto"/>
                <w:sz w:val="24"/>
                <w:highlight w:val="none"/>
              </w:rPr>
              <w:t>2</w:t>
            </w:r>
            <w:r>
              <w:rPr>
                <w:rFonts w:hint="eastAsia" w:ascii="宋体" w:hAnsi="宋体" w:eastAsia="宋体" w:cs="宋体"/>
                <w:color w:val="auto"/>
                <w:sz w:val="24"/>
                <w:highlight w:val="none"/>
              </w:rPr>
              <w:t>年1月</w:t>
            </w:r>
            <w:r>
              <w:rPr>
                <w:rFonts w:hint="eastAsia" w:ascii="宋体" w:hAnsi="宋体" w:cs="宋体"/>
                <w:color w:val="auto"/>
                <w:sz w:val="24"/>
                <w:highlight w:val="none"/>
              </w:rPr>
              <w:t>1</w:t>
            </w:r>
            <w:r>
              <w:rPr>
                <w:rFonts w:hint="eastAsia" w:ascii="宋体" w:hAnsi="宋体" w:eastAsia="宋体" w:cs="宋体"/>
                <w:color w:val="auto"/>
                <w:sz w:val="24"/>
                <w:highlight w:val="none"/>
              </w:rPr>
              <w:t>至2022年</w:t>
            </w:r>
            <w:r>
              <w:rPr>
                <w:rFonts w:hint="eastAsia" w:ascii="宋体" w:hAnsi="宋体" w:cs="宋体"/>
                <w:color w:val="auto"/>
                <w:sz w:val="24"/>
                <w:highlight w:val="none"/>
              </w:rPr>
              <w:t>12</w:t>
            </w:r>
            <w:r>
              <w:rPr>
                <w:rFonts w:hint="eastAsia" w:ascii="宋体" w:hAnsi="宋体" w:eastAsia="宋体" w:cs="宋体"/>
                <w:color w:val="auto"/>
                <w:sz w:val="24"/>
                <w:highlight w:val="none"/>
              </w:rPr>
              <w:t>月</w:t>
            </w:r>
            <w:r>
              <w:rPr>
                <w:rFonts w:hint="eastAsia" w:ascii="宋体" w:hAnsi="宋体" w:cs="宋体"/>
                <w:color w:val="auto"/>
                <w:sz w:val="24"/>
                <w:highlight w:val="none"/>
              </w:rPr>
              <w:t>31</w:t>
            </w:r>
            <w:r>
              <w:rPr>
                <w:rFonts w:hint="eastAsia" w:ascii="宋体" w:hAnsi="宋体" w:eastAsia="宋体" w:cs="宋体"/>
                <w:color w:val="auto"/>
                <w:sz w:val="24"/>
                <w:highlight w:val="none"/>
              </w:rPr>
              <w:t>日</w:t>
            </w:r>
          </w:p>
        </w:tc>
      </w:tr>
    </w:tbl>
    <w:p>
      <w:pPr>
        <w:adjustRightInd w:val="0"/>
        <w:snapToGrid w:val="0"/>
        <w:spacing w:before="156" w:beforeLines="50" w:after="156"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10.联系方式</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120"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120"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 w:hAnsi="仿宋" w:eastAsia="仿宋" w:cs="仿宋"/>
                <w:color w:val="auto"/>
                <w:kern w:val="0"/>
                <w:sz w:val="28"/>
                <w:szCs w:val="28"/>
                <w:highlight w:val="none"/>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120"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 xml:space="preserve">黄工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120" w:type="dxa"/>
          </w:tcPr>
          <w:p>
            <w:pPr>
              <w:adjustRightInd w:val="0"/>
              <w:snapToGrid w:val="0"/>
              <w:spacing w:line="600" w:lineRule="exact"/>
              <w:jc w:val="left"/>
              <w:rPr>
                <w:rFonts w:hint="default" w:ascii="仿宋_GB2312" w:eastAsia="仿宋"/>
                <w:color w:val="auto"/>
                <w:sz w:val="28"/>
                <w:szCs w:val="28"/>
                <w:highlight w:val="none"/>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 w:hAnsi="仿宋" w:eastAsia="仿宋" w:cs="仿宋"/>
                <w:color w:val="auto"/>
                <w:kern w:val="0"/>
                <w:sz w:val="28"/>
                <w:szCs w:val="28"/>
                <w:highlight w:val="none"/>
              </w:rPr>
              <w:t>020-</w:t>
            </w:r>
            <w:r>
              <w:rPr>
                <w:rFonts w:hint="eastAsia" w:ascii="仿宋" w:hAnsi="仿宋" w:eastAsia="仿宋" w:cs="仿宋"/>
                <w:color w:val="auto"/>
                <w:kern w:val="0"/>
                <w:sz w:val="28"/>
                <w:szCs w:val="28"/>
                <w:highlight w:val="none"/>
                <w:lang w:eastAsia="zh-CN"/>
              </w:rPr>
              <w:t>3</w:t>
            </w:r>
            <w:r>
              <w:rPr>
                <w:rFonts w:hint="eastAsia" w:ascii="仿宋" w:hAnsi="仿宋" w:eastAsia="仿宋" w:cs="仿宋"/>
                <w:color w:val="auto"/>
                <w:kern w:val="0"/>
                <w:sz w:val="28"/>
                <w:szCs w:val="28"/>
                <w:highlight w:val="none"/>
                <w:lang w:val="en-US" w:eastAsia="zh-CN"/>
              </w:rPr>
              <w:t>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120" w:type="dxa"/>
          </w:tcPr>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2022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11</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18 </w:t>
            </w:r>
            <w:r>
              <w:rPr>
                <w:rFonts w:hint="eastAsia" w:ascii="仿宋_GB2312" w:eastAsia="仿宋_GB2312"/>
                <w:color w:val="auto"/>
                <w:sz w:val="28"/>
                <w:szCs w:val="28"/>
                <w:highlight w:val="none"/>
              </w:rPr>
              <w:t>日</w:t>
            </w:r>
          </w:p>
        </w:tc>
      </w:tr>
    </w:tbl>
    <w:p>
      <w:pPr>
        <w:pStyle w:val="2"/>
        <w:ind w:left="0" w:leftChars="0" w:firstLine="0" w:firstLineChars="0"/>
        <w:rPr>
          <w:rFonts w:ascii="仿宋_GB2312" w:eastAsia="仿宋_GB2312" w:hAnsiTheme="majorEastAsia"/>
          <w:color w:val="auto"/>
          <w:sz w:val="28"/>
          <w:szCs w:val="28"/>
          <w:highlight w:val="none"/>
        </w:rPr>
      </w:pPr>
    </w:p>
    <w:p>
      <w:pPr>
        <w:adjustRightInd w:val="0"/>
        <w:snapToGrid w:val="0"/>
        <w:spacing w:before="156" w:beforeLines="50" w:after="156" w:afterLines="50" w:line="600" w:lineRule="exact"/>
        <w:jc w:val="left"/>
        <w:rPr>
          <w:rFonts w:hint="eastAsia" w:asciiTheme="minorEastAsia" w:hAnsiTheme="minorEastAsia"/>
          <w:color w:val="auto"/>
          <w:sz w:val="24"/>
          <w:szCs w:val="24"/>
          <w:highlight w:val="none"/>
        </w:rPr>
      </w:pPr>
    </w:p>
    <w:p>
      <w:pPr>
        <w:pStyle w:val="7"/>
        <w:rPr>
          <w:rFonts w:hint="eastAsia" w:asciiTheme="minorEastAsia" w:hAnsiTheme="minorEastAsia"/>
          <w:color w:val="auto"/>
          <w:sz w:val="24"/>
          <w:szCs w:val="24"/>
          <w:highlight w:val="none"/>
        </w:rPr>
      </w:pPr>
    </w:p>
    <w:p>
      <w:pPr>
        <w:pStyle w:val="7"/>
        <w:rPr>
          <w:rFonts w:hint="eastAsia" w:asciiTheme="minorEastAsia" w:hAnsiTheme="minorEastAsia"/>
          <w:color w:val="auto"/>
          <w:sz w:val="24"/>
          <w:szCs w:val="24"/>
          <w:highlight w:val="none"/>
        </w:rPr>
      </w:pPr>
    </w:p>
    <w:p>
      <w:pPr>
        <w:pStyle w:val="7"/>
        <w:rPr>
          <w:rFonts w:hint="eastAsia" w:asciiTheme="minorEastAsia" w:hAnsiTheme="minorEastAsia"/>
          <w:color w:val="auto"/>
          <w:sz w:val="24"/>
          <w:szCs w:val="24"/>
          <w:highlight w:val="none"/>
        </w:rPr>
      </w:pPr>
    </w:p>
    <w:p>
      <w:pPr>
        <w:pStyle w:val="7"/>
        <w:rPr>
          <w:rFonts w:hint="eastAsia" w:asciiTheme="minorEastAsia" w:hAnsiTheme="minorEastAsia"/>
          <w:color w:val="auto"/>
          <w:sz w:val="24"/>
          <w:szCs w:val="24"/>
          <w:highlight w:val="none"/>
        </w:rPr>
      </w:pPr>
    </w:p>
    <w:p>
      <w:pPr>
        <w:pStyle w:val="7"/>
        <w:rPr>
          <w:rFonts w:hint="eastAsia" w:asciiTheme="minorEastAsia" w:hAnsiTheme="minorEastAsia"/>
          <w:color w:val="auto"/>
          <w:sz w:val="24"/>
          <w:szCs w:val="24"/>
          <w:highlight w:val="none"/>
        </w:rPr>
      </w:pPr>
    </w:p>
    <w:p>
      <w:pPr>
        <w:pStyle w:val="7"/>
        <w:rPr>
          <w:rFonts w:hint="eastAsia" w:asciiTheme="minorEastAsia" w:hAnsiTheme="minorEastAsia"/>
          <w:color w:val="auto"/>
          <w:sz w:val="24"/>
          <w:szCs w:val="24"/>
          <w:highlight w:val="none"/>
        </w:rPr>
      </w:pPr>
    </w:p>
    <w:p>
      <w:pPr>
        <w:pStyle w:val="7"/>
        <w:rPr>
          <w:rFonts w:hint="eastAsia" w:asciiTheme="minorEastAsia" w:hAnsiTheme="minorEastAsia"/>
          <w:color w:val="auto"/>
          <w:sz w:val="24"/>
          <w:szCs w:val="24"/>
          <w:highlight w:val="none"/>
        </w:rPr>
      </w:pPr>
    </w:p>
    <w:p>
      <w:pPr>
        <w:pStyle w:val="7"/>
        <w:rPr>
          <w:rFonts w:hint="eastAsia" w:asciiTheme="minorEastAsia" w:hAnsiTheme="minorEastAsia"/>
          <w:color w:val="auto"/>
          <w:sz w:val="24"/>
          <w:szCs w:val="24"/>
          <w:highlight w:val="none"/>
        </w:rPr>
      </w:pPr>
    </w:p>
    <w:p>
      <w:pPr>
        <w:pStyle w:val="7"/>
        <w:rPr>
          <w:rFonts w:hint="eastAsia" w:asciiTheme="minorEastAsia" w:hAnsiTheme="minorEastAsia"/>
          <w:color w:val="auto"/>
          <w:sz w:val="24"/>
          <w:szCs w:val="24"/>
          <w:highlight w:val="none"/>
        </w:rPr>
      </w:pPr>
    </w:p>
    <w:p>
      <w:pPr>
        <w:pStyle w:val="7"/>
        <w:rPr>
          <w:rFonts w:hint="eastAsia" w:asciiTheme="minorEastAsia" w:hAnsiTheme="minorEastAsia"/>
          <w:color w:val="auto"/>
          <w:sz w:val="24"/>
          <w:szCs w:val="24"/>
          <w:highlight w:val="none"/>
        </w:rPr>
      </w:pPr>
    </w:p>
    <w:p>
      <w:pPr>
        <w:adjustRightInd w:val="0"/>
        <w:snapToGrid w:val="0"/>
        <w:spacing w:before="156" w:beforeLines="50" w:after="156"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4"/>
        <w:rPr>
          <w:color w:val="auto"/>
          <w:highlight w:val="none"/>
        </w:rPr>
      </w:pPr>
      <w:bookmarkStart w:id="13" w:name="_Toc10891"/>
    </w:p>
    <w:p>
      <w:pPr>
        <w:pStyle w:val="4"/>
        <w:rPr>
          <w:color w:val="auto"/>
          <w:highlight w:val="none"/>
        </w:rPr>
      </w:pPr>
      <w:bookmarkStart w:id="14" w:name="_Toc7340"/>
      <w:bookmarkStart w:id="15" w:name="_Toc2324"/>
      <w:bookmarkStart w:id="16" w:name="_Toc19295"/>
      <w:bookmarkStart w:id="17" w:name="_Toc25603"/>
      <w:bookmarkStart w:id="18" w:name="_Toc16557"/>
      <w:bookmarkStart w:id="19" w:name="_Toc23749"/>
      <w:bookmarkStart w:id="20" w:name="_Toc16705"/>
      <w:bookmarkStart w:id="21" w:name="_Toc32588"/>
      <w:bookmarkStart w:id="22" w:name="_Toc2331"/>
      <w:bookmarkStart w:id="23" w:name="_Toc9448"/>
    </w:p>
    <w:p>
      <w:pPr>
        <w:pStyle w:val="4"/>
        <w:rPr>
          <w:color w:val="auto"/>
          <w:highlight w:val="none"/>
        </w:rPr>
      </w:pP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2346325</wp:posOffset>
                </wp:positionH>
                <wp:positionV relativeFrom="paragraph">
                  <wp:posOffset>504825</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75pt;margin-top:39.75pt;height:0pt;width:75.5pt;z-index:251673600;mso-width-relative:page;mso-height-relative:page;" filled="f" stroked="t" coordsize="21600,21600" o:gfxdata="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nPOXNg6cbv&#10;Pn//9enL7deftz++sck8a9QHrCl05TbxtMOwiZnwoY02/4kKOxRdj2dd1SExQYcvZ/P5jBQX967q&#10;IS9ETK+VtywbDccUQe+6tPLO0eX5OCmywv4NJqpMifcJuahxrM/w0xmBAw1jS0NApg1ECN2u5KI3&#10;Wl5rY3IGxt12ZSLbQx6I8mV+hPtXWC6yBuyGuOIaRqVTIF85ydIxkFKOXgjPLVglOTOKHlS2CBDq&#10;BNpcEkmljaMOssSDqNnaenksWpdzuvzS42lQ83T9uS/ZD49z+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8i6cw1gAAAAkBAAAPAAAAAAAAAAEAIAAAACIAAABkcnMvZG93bnJldi54bWxQSwECFAAU&#10;AAAACACHTuJAl6dV2vMBAADkAwAADgAAAAAAAAABACAAAAAl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9mLt6v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第二章</w:t>
      </w:r>
      <w:bookmarkEnd w:id="13"/>
      <w:bookmarkEnd w:id="14"/>
      <w:bookmarkEnd w:id="15"/>
      <w:bookmarkEnd w:id="16"/>
      <w:bookmarkEnd w:id="17"/>
      <w:bookmarkEnd w:id="18"/>
      <w:bookmarkEnd w:id="19"/>
      <w:bookmarkEnd w:id="20"/>
      <w:bookmarkEnd w:id="21"/>
      <w:bookmarkEnd w:id="22"/>
      <w:bookmarkEnd w:id="23"/>
    </w:p>
    <w:p>
      <w:pPr>
        <w:pStyle w:val="5"/>
        <w:rPr>
          <w:color w:val="auto"/>
          <w:highlight w:val="none"/>
        </w:rPr>
      </w:pPr>
    </w:p>
    <w:p>
      <w:pPr>
        <w:pStyle w:val="5"/>
        <w:rPr>
          <w:color w:val="auto"/>
          <w:highlight w:val="none"/>
        </w:rPr>
      </w:pPr>
      <w:bookmarkStart w:id="24" w:name="_Toc2339"/>
      <w:bookmarkStart w:id="25" w:name="_Toc3416"/>
      <w:r>
        <w:rPr>
          <w:rFonts w:hint="eastAsia"/>
          <w:color w:val="auto"/>
          <w:highlight w:val="none"/>
        </w:rPr>
        <w:t>供应商须知</w:t>
      </w:r>
      <w:bookmarkEnd w:id="24"/>
      <w:bookmarkEnd w:id="25"/>
    </w:p>
    <w:p>
      <w:pPr>
        <w:adjustRightInd w:val="0"/>
        <w:snapToGrid w:val="0"/>
        <w:spacing w:before="156" w:beforeLines="50" w:after="156" w:afterLines="50" w:line="600" w:lineRule="exact"/>
        <w:ind w:left="643" w:hanging="643" w:hangingChars="200"/>
        <w:jc w:val="left"/>
        <w:rPr>
          <w:rFonts w:asciiTheme="minorEastAsia" w:hAnsiTheme="minorEastAsia"/>
          <w:b/>
          <w:color w:val="auto"/>
          <w:sz w:val="32"/>
          <w:szCs w:val="32"/>
          <w:highlight w:val="none"/>
        </w:rPr>
      </w:pPr>
    </w:p>
    <w:p>
      <w:pPr>
        <w:adjustRightInd w:val="0"/>
        <w:snapToGrid w:val="0"/>
        <w:spacing w:before="156" w:beforeLines="50" w:after="156" w:afterLines="50" w:line="600" w:lineRule="exact"/>
        <w:ind w:left="643" w:hanging="643" w:hangingChars="200"/>
        <w:jc w:val="left"/>
        <w:rPr>
          <w:rFonts w:asciiTheme="minorEastAsia" w:hAnsiTheme="minorEastAsia"/>
          <w:b/>
          <w:color w:val="auto"/>
          <w:sz w:val="32"/>
          <w:szCs w:val="32"/>
          <w:highlight w:val="none"/>
        </w:rPr>
      </w:pPr>
    </w:p>
    <w:p>
      <w:pPr>
        <w:pStyle w:val="2"/>
        <w:rPr>
          <w:rFonts w:asciiTheme="minorEastAsia" w:hAnsiTheme="minorEastAsia"/>
          <w:b/>
          <w:color w:val="auto"/>
          <w:sz w:val="32"/>
          <w:szCs w:val="32"/>
          <w:highlight w:val="none"/>
        </w:rPr>
      </w:pPr>
    </w:p>
    <w:p>
      <w:pPr>
        <w:pStyle w:val="2"/>
        <w:rPr>
          <w:rFonts w:asciiTheme="minorEastAsia" w:hAnsiTheme="minorEastAsia"/>
          <w:b/>
          <w:color w:val="auto"/>
          <w:sz w:val="32"/>
          <w:szCs w:val="32"/>
          <w:highlight w:val="none"/>
        </w:rPr>
      </w:pPr>
    </w:p>
    <w:p>
      <w:pPr>
        <w:pStyle w:val="2"/>
        <w:rPr>
          <w:rFonts w:asciiTheme="minorEastAsia" w:hAnsiTheme="minorEastAsia"/>
          <w:b/>
          <w:color w:val="auto"/>
          <w:sz w:val="32"/>
          <w:szCs w:val="32"/>
          <w:highlight w:val="none"/>
        </w:rPr>
      </w:pPr>
    </w:p>
    <w:p>
      <w:pPr>
        <w:pStyle w:val="2"/>
        <w:rPr>
          <w:rFonts w:asciiTheme="minorEastAsia" w:hAnsiTheme="minorEastAsia"/>
          <w:b/>
          <w:color w:val="auto"/>
          <w:sz w:val="32"/>
          <w:szCs w:val="32"/>
          <w:highlight w:val="none"/>
        </w:rPr>
      </w:pPr>
    </w:p>
    <w:p>
      <w:pPr>
        <w:pStyle w:val="2"/>
        <w:rPr>
          <w:rFonts w:asciiTheme="minorEastAsia" w:hAnsiTheme="minorEastAsia"/>
          <w:b/>
          <w:color w:val="auto"/>
          <w:sz w:val="32"/>
          <w:szCs w:val="32"/>
          <w:highlight w:val="none"/>
        </w:rPr>
      </w:pPr>
    </w:p>
    <w:p>
      <w:pPr>
        <w:adjustRightInd w:val="0"/>
        <w:snapToGrid w:val="0"/>
        <w:spacing w:before="156" w:beforeLines="50" w:after="156" w:afterLines="50" w:line="600" w:lineRule="exact"/>
        <w:ind w:left="0" w:firstLine="0" w:firstLineChars="0"/>
        <w:jc w:val="left"/>
        <w:rPr>
          <w:rFonts w:asciiTheme="minorEastAsia" w:hAnsiTheme="minorEastAsia"/>
          <w:b/>
          <w:color w:val="auto"/>
          <w:sz w:val="32"/>
          <w:szCs w:val="32"/>
          <w:highlight w:val="none"/>
        </w:rPr>
      </w:pPr>
    </w:p>
    <w:p>
      <w:pPr>
        <w:pStyle w:val="2"/>
      </w:pPr>
    </w:p>
    <w:p>
      <w:pPr>
        <w:numPr>
          <w:ilvl w:val="0"/>
          <w:numId w:val="3"/>
        </w:numPr>
        <w:adjustRightInd w:val="0"/>
        <w:snapToGrid w:val="0"/>
        <w:spacing w:before="156" w:beforeLines="50" w:after="156" w:afterLines="50" w:line="50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p>
    <w:p>
      <w:pPr>
        <w:pStyle w:val="2"/>
        <w:numPr>
          <w:ilvl w:val="255"/>
          <w:numId w:val="0"/>
        </w:numPr>
        <w:rPr>
          <w:color w:val="auto"/>
          <w:highlight w:val="none"/>
        </w:rPr>
      </w:pPr>
      <w:r>
        <w:rPr>
          <w:rFonts w:hint="eastAsia"/>
          <w:color w:val="auto"/>
          <w:highlight w:val="none"/>
        </w:rPr>
        <w:t>详见第一章采购公告（采购邀请书）3.供应商资格要求</w:t>
      </w:r>
    </w:p>
    <w:p>
      <w:pPr>
        <w:adjustRightInd w:val="0"/>
        <w:snapToGrid w:val="0"/>
        <w:spacing w:line="600" w:lineRule="exact"/>
        <w:jc w:val="left"/>
        <w:rPr>
          <w:rFonts w:ascii="仿宋_GB2312" w:eastAsia="仿宋_GB2312"/>
          <w:color w:val="auto"/>
          <w:sz w:val="28"/>
          <w:szCs w:val="28"/>
          <w:highlight w:val="none"/>
        </w:rPr>
      </w:pPr>
      <w:r>
        <w:rPr>
          <w:rFonts w:hint="eastAsia" w:asciiTheme="minorEastAsia" w:hAnsiTheme="minorEastAsia"/>
          <w:b/>
          <w:color w:val="auto"/>
          <w:sz w:val="32"/>
          <w:szCs w:val="32"/>
          <w:highlight w:val="none"/>
        </w:rPr>
        <w:t>2.  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rPr>
        <w:t>1.1</w:t>
      </w:r>
    </w:p>
    <w:tbl>
      <w:tblPr>
        <w:tblStyle w:val="24"/>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（8）在采购过程中由采购单位发出的修正和补充文件等（如有）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1.2.1供应商对采购文件有疑问的，应当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本项目</w:t>
            </w:r>
            <w:r>
              <w:rPr>
                <w:rFonts w:hint="eastAsia" w:ascii="仿宋_GB2312" w:eastAsia="仿宋_GB2312"/>
                <w:color w:val="auto"/>
                <w:sz w:val="24"/>
                <w:szCs w:val="24"/>
                <w:highlight w:val="none"/>
              </w:rPr>
              <w:t>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详见采购公告（采购邀请书）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最高限价及低价说明</w:t>
            </w:r>
          </w:p>
        </w:tc>
        <w:tc>
          <w:tcPr>
            <w:tcW w:w="5979" w:type="dxa"/>
            <w:tcBorders>
              <w:right w:val="nil"/>
            </w:tcBorders>
            <w:vAlign w:val="center"/>
          </w:tcPr>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2.7</w:t>
            </w:r>
          </w:p>
          <w:p>
            <w:pPr>
              <w:adjustRightInd w:val="0"/>
              <w:snapToGrid w:val="0"/>
              <w:jc w:val="center"/>
              <w:rPr>
                <w:rFonts w:ascii="仿宋_GB2312" w:eastAsia="仿宋_GB2312"/>
                <w:color w:val="auto"/>
                <w:sz w:val="24"/>
                <w:szCs w:val="24"/>
                <w:highlight w:val="none"/>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项目名称、供应商名称、供应商地址、联系人及其联系方式。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会议地点：采购公告（采购邀请书）中指定地点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rPr>
              <w:t>3</w:t>
            </w:r>
            <w:r>
              <w:rPr>
                <w:rFonts w:hint="eastAsia" w:ascii="仿宋_GB2312" w:eastAsia="仿宋_GB2312" w:hAnsiTheme="minorEastAsia"/>
                <w:color w:val="auto"/>
                <w:sz w:val="24"/>
                <w:szCs w:val="24"/>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见第四章评审办法有关条款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156" w:beforeLines="50" w:after="156" w:afterLines="50" w:line="56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156" w:beforeLines="50" w:after="156"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3.发生下列情况之一者，视为无效响应行为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（8）响应文件没有对采购文件的实质性要求和条件作出响应。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（9）其他不符合采购文件要求的情形。</w:t>
      </w:r>
    </w:p>
    <w:p>
      <w:pPr>
        <w:adjustRightInd w:val="0"/>
        <w:snapToGrid w:val="0"/>
        <w:spacing w:before="156" w:beforeLines="50" w:after="156"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4.响应保证金</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本项目无须递交响应保证金。</w:t>
      </w:r>
    </w:p>
    <w:p>
      <w:pPr>
        <w:adjustRightInd w:val="0"/>
        <w:snapToGrid w:val="0"/>
        <w:spacing w:before="156" w:beforeLines="50" w:after="156"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5.响应文件要求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6.1响应文件包括下列内容</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156" w:beforeLines="50" w:after="156"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6.异议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7.1 供应商或其他利害关系人可以对采购公告（采购邀请书）、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7.3 异议人与采购人对异议事项无法达成一致的，异议人可向采购人的监管部门进行反映。</w:t>
      </w:r>
    </w:p>
    <w:p>
      <w:pPr>
        <w:adjustRightInd w:val="0"/>
        <w:snapToGrid w:val="0"/>
        <w:spacing w:before="156" w:beforeLines="50" w:after="156"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7.本章附件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7"/>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4"/>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7"/>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7"/>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7"/>
        <w:rPr>
          <w:color w:val="auto"/>
          <w:highlight w:val="none"/>
        </w:rPr>
      </w:pPr>
    </w:p>
    <w:p>
      <w:pPr>
        <w:pStyle w:val="37"/>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rPr>
        <w:t xml:space="preserve">      项目</w:t>
      </w:r>
      <w:r>
        <w:rPr>
          <w:rFonts w:hint="eastAsia" w:ascii="仿宋_GB2312" w:eastAsia="仿宋_GB2312" w:hAnsiTheme="majorEastAsia"/>
          <w:color w:val="auto"/>
          <w:sz w:val="28"/>
          <w:szCs w:val="28"/>
          <w:highlight w:val="none"/>
        </w:rPr>
        <w:t>的成交供应商。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rPr>
        <w:t>30</w:t>
      </w:r>
      <w:r>
        <w:rPr>
          <w:rFonts w:hint="eastAsia" w:ascii="仿宋_GB2312" w:eastAsia="仿宋_GB2312" w:hAnsiTheme="majorEastAsia"/>
          <w:color w:val="auto"/>
          <w:sz w:val="28"/>
          <w:szCs w:val="28"/>
          <w:highlight w:val="none"/>
        </w:rPr>
        <w:t>日内与我方签订采购合同，逾期视为自动放弃成交资格。</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5"/>
        <w:rPr>
          <w:rFonts w:asciiTheme="minorHAnsi" w:hAnsiTheme="minorHAnsi" w:cstheme="minorBidi"/>
          <w:color w:val="auto"/>
          <w:kern w:val="44"/>
          <w:sz w:val="44"/>
          <w:szCs w:val="44"/>
          <w:highlight w:val="none"/>
        </w:rPr>
      </w:pPr>
      <w:bookmarkStart w:id="26" w:name="_Toc2867"/>
      <w:bookmarkStart w:id="27" w:name="_Toc21455"/>
      <w:r>
        <w:rPr>
          <w:rFonts w:asciiTheme="minorHAnsi" w:hAnsiTheme="minorHAnsi" w:cstheme="minorBidi"/>
          <w:color w:val="auto"/>
          <w:kern w:val="44"/>
          <w:sz w:val="44"/>
          <w:szCs w:val="44"/>
          <w:highlight w:val="none"/>
        </w:rPr>
        <mc:AlternateContent>
          <mc:Choice Requires="wps">
            <w:drawing>
              <wp:anchor distT="0" distB="0" distL="114300" distR="114300" simplePos="0" relativeHeight="251660288" behindDoc="0" locked="0" layoutInCell="1" allowOverlap="1">
                <wp:simplePos x="0" y="0"/>
                <wp:positionH relativeFrom="column">
                  <wp:posOffset>2325370</wp:posOffset>
                </wp:positionH>
                <wp:positionV relativeFrom="paragraph">
                  <wp:posOffset>188595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4.85pt;height:0pt;width:75.5pt;z-index:251660288;mso-width-relative:page;mso-height-relative:page;" filled="f" stroked="t" coordsize="21600,21600" o:gfxdata="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nDmwdOF3&#10;n7//+vTl9uvP2x/f2POsUB+wpsCV28TTDsMmZrqHNtr8JyLsUFQ9nlVVh8QEHb6czecz0lvcu6qH&#10;vBAxvVbesmw0HFMEvevSyjtHV+fjpIgK+zeYqDIl3ifkosaxPsNPZwQONIotjQCZNhAddLuSi95o&#10;ea2NyRkYd9uViWwPeRzKl/kR7l9hucgasBviimsYlE6BfOUkS8dAQjl6Hzy3YJXkzCh6TtkiQKgT&#10;aHNJJJU2jjrIEg+iZmvr5bFoXc7p6kuPpzHNs/XnvmQ/PM3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DxWcovXAAAACQEAAA8AAAAAAAAAAQAgAAAAIgAAAGRycy9kb3ducmV2LnhtbFBLAQIUABQA&#10;AAAIAIdO4kAXIMW58QEAAOIDAAAOAAAAAAAAAAEAIAAAACYBAABkcnMvZTJvRG9jLnhtbFBLBQYA&#10;AAAABgAGAFkBAACJBQAAAAA=&#10;">
                <v:fill on="f" focussize="0,0"/>
                <v:stroke color="#000000" joinstyle="round"/>
                <v:imagedata o:title=""/>
                <o:lock v:ext="edit" aspectratio="f"/>
              </v:shape>
            </w:pict>
          </mc:Fallback>
        </mc:AlternateContent>
      </w:r>
      <w:r>
        <w:rPr>
          <w:rFonts w:asciiTheme="minorHAnsi" w:hAnsiTheme="minorHAnsi" w:cstheme="minorBidi"/>
          <w:color w:val="auto"/>
          <w:kern w:val="44"/>
          <w:sz w:val="44"/>
          <w:szCs w:val="44"/>
          <w:highlight w:val="none"/>
        </w:rPr>
        <mc:AlternateContent>
          <mc:Choice Requires="wps">
            <w:drawing>
              <wp:anchor distT="0" distB="0" distL="114300" distR="114300" simplePos="0" relativeHeight="251661312" behindDoc="0" locked="0" layoutInCell="1" allowOverlap="1">
                <wp:simplePos x="0" y="0"/>
                <wp:positionH relativeFrom="column">
                  <wp:posOffset>2324100</wp:posOffset>
                </wp:positionH>
                <wp:positionV relativeFrom="paragraph">
                  <wp:posOffset>638175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3pt;margin-top:50.25pt;height:0pt;width:75.5pt;z-index:251661312;mso-width-relative:page;mso-height-relative:page;" filled="f" stroked="t" coordsize="21600,21600" o:gfxdata="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bPOXNg6cJ/&#10;fvr26+Pnuy8/7r5/ZYus0BCwpsCNu4mnHYabmOke2mjzn4iwQ1H1eFZVHRITdPhisVwuSG9x76oe&#10;8kLE9Ep5y7LRcEwRdNenjXeOrs7HWREV9q8xUWVKvE/IRY1jQ4afLwgcaBRbGgEybSA66LqSi95o&#10;ea2NyRkYu93GRLaHPA7ly/wI96+wXGQL2I9xxTUOSq9AvnSSpWMgoRy9D55bsEpyZhQ9p2wRINQJ&#10;tLkkkkobRx1kiUdRs7Xz8li0Lud09aXH05jm2fpzX7Ifnub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iy3tDXAAAACwEAAA8AAAAAAAAAAQAgAAAAIgAAAGRycy9kb3ducmV2LnhtbFBLAQIUABQA&#10;AAAIAIdO4kC0bYq18QEAAOIDAAAOAAAAAAAAAAEAIAAAACYBAABkcnMvZTJvRG9jLnhtbFBLBQYA&#10;AAAABgAGAFkBAACJBQ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第三章</w:t>
      </w:r>
      <w:bookmarkEnd w:id="26"/>
      <w:bookmarkEnd w:id="27"/>
    </w:p>
    <w:p>
      <w:pPr>
        <w:pStyle w:val="37"/>
        <w:rPr>
          <w:color w:val="auto"/>
          <w:highlight w:val="none"/>
        </w:rPr>
      </w:pPr>
    </w:p>
    <w:p>
      <w:pPr>
        <w:pStyle w:val="5"/>
        <w:rPr>
          <w:color w:val="auto"/>
          <w:highlight w:val="none"/>
        </w:rPr>
      </w:pPr>
      <w:bookmarkStart w:id="28" w:name="_Toc7303"/>
      <w:bookmarkStart w:id="29" w:name="_Toc7040"/>
      <w:bookmarkStart w:id="30" w:name="_Toc88209934"/>
      <w:bookmarkStart w:id="31" w:name="_Toc87616371"/>
      <w:r>
        <w:rPr>
          <w:rFonts w:hint="eastAsia"/>
          <w:color w:val="auto"/>
          <w:highlight w:val="none"/>
        </w:rPr>
        <w:t>采购方法</w:t>
      </w:r>
      <w:bookmarkEnd w:id="28"/>
      <w:bookmarkEnd w:id="29"/>
      <w:bookmarkEnd w:id="30"/>
      <w:bookmarkEnd w:id="31"/>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color w:val="auto"/>
          <w:highlight w:val="none"/>
        </w:rPr>
      </w:pPr>
      <w:bookmarkStart w:id="32" w:name="_Toc24895"/>
      <w:bookmarkStart w:id="33" w:name="_Toc3789"/>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4"/>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rPr>
              <w:t xml:space="preserve"> </w:t>
            </w:r>
            <w:r>
              <w:rPr>
                <w:rFonts w:hint="eastAsia" w:ascii="仿宋_GB2312" w:eastAsia="仿宋_GB2312" w:hAnsiTheme="minorEastAsia"/>
                <w:color w:val="auto"/>
                <w:sz w:val="24"/>
                <w:szCs w:val="24"/>
                <w:highlight w:val="none"/>
              </w:rPr>
              <w:t>1.1 在采购文件约定的时间、地点，供应商应向采购人提交响应文件；响应文件按照采购文件第二章供应商须知2.9的要求密封，按照2.10的规定提交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1.2 资格审查执行第二章供应商须知1.对供应商的资格要求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1.3 响应文件提交截止后，递交响应文件供应商不足3家的或有效响应文件供应商不足两家，应分析原因并重新发出采购公告（邀请书）或采取其他采购方式。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ascii="仿宋_GB2312" w:eastAsia="仿宋_GB2312"/>
                <w:color w:val="auto"/>
                <w:sz w:val="24"/>
                <w:szCs w:val="24"/>
                <w:highlight w:val="none"/>
                <w:u w:val="single"/>
              </w:rPr>
              <w:t>广州市白云区钟落潭镇竹二</w:t>
            </w:r>
            <w:r>
              <w:rPr>
                <w:rFonts w:hint="eastAsia" w:ascii="仿宋_GB2312" w:eastAsia="仿宋_GB2312"/>
                <w:color w:val="auto"/>
                <w:sz w:val="24"/>
                <w:szCs w:val="24"/>
                <w:highlight w:val="none"/>
                <w:u w:val="single"/>
              </w:rPr>
              <w:t>路</w:t>
            </w:r>
            <w:r>
              <w:rPr>
                <w:rFonts w:ascii="仿宋_GB2312" w:eastAsia="仿宋_GB2312"/>
                <w:color w:val="auto"/>
                <w:sz w:val="24"/>
                <w:szCs w:val="24"/>
                <w:highlight w:val="none"/>
                <w:u w:val="single"/>
              </w:rPr>
              <w:t>兰桂街100号广州市净水有限公司竹料分公司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采购人确定满足采购文件资格性、响应性要求，并且经评审的报价最低的为成交供应商</w:t>
            </w:r>
          </w:p>
          <w:p>
            <w:pPr>
              <w:adjustRightInd w:val="0"/>
              <w:snapToGrid w:val="0"/>
              <w:ind w:left="360" w:hanging="360" w:hangingChars="15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 xml:space="preserve">评审小组按照采购文件确定的标准排序，采购人确定排名第一的供应商为成交供应商。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采购人在发出成交通知书后30日内同成交供应商签订书面采购合同.</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color w:val="auto"/>
          <w:highlight w:val="none"/>
        </w:rPr>
      </w:pPr>
      <w:bookmarkStart w:id="34" w:name="_Toc14552"/>
      <w:bookmarkStart w:id="35" w:name="_Toc20594"/>
      <w:bookmarkStart w:id="36" w:name="_Toc3156"/>
      <w:bookmarkStart w:id="37" w:name="_Toc7437"/>
      <w:bookmarkStart w:id="38" w:name="_Toc23581"/>
      <w:bookmarkStart w:id="39" w:name="_Toc19759"/>
      <w:bookmarkStart w:id="40" w:name="_Toc19050"/>
      <w:bookmarkStart w:id="41" w:name="_Toc7118"/>
      <w:bookmarkStart w:id="42" w:name="_Toc14870"/>
      <w:bookmarkStart w:id="43" w:name="_Toc4952"/>
      <w:bookmarkStart w:id="44" w:name="_Toc10930"/>
      <w:r>
        <w:rPr>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3360;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2336;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第四章</w:t>
      </w:r>
      <w:bookmarkEnd w:id="34"/>
      <w:bookmarkEnd w:id="35"/>
      <w:bookmarkEnd w:id="36"/>
      <w:bookmarkEnd w:id="37"/>
      <w:bookmarkEnd w:id="38"/>
      <w:bookmarkEnd w:id="39"/>
      <w:bookmarkEnd w:id="40"/>
      <w:bookmarkEnd w:id="41"/>
      <w:bookmarkEnd w:id="42"/>
      <w:bookmarkEnd w:id="43"/>
      <w:bookmarkEnd w:id="44"/>
    </w:p>
    <w:p>
      <w:pPr>
        <w:pStyle w:val="37"/>
        <w:rPr>
          <w:color w:val="auto"/>
          <w:highlight w:val="none"/>
        </w:rPr>
      </w:pPr>
    </w:p>
    <w:p>
      <w:pPr>
        <w:pStyle w:val="4"/>
        <w:rPr>
          <w:color w:val="auto"/>
          <w:highlight w:val="none"/>
        </w:rPr>
      </w:pPr>
      <w:bookmarkStart w:id="45" w:name="_Toc29484"/>
      <w:bookmarkStart w:id="46" w:name="_Toc21079"/>
      <w:bookmarkStart w:id="47" w:name="_Toc12177"/>
      <w:bookmarkStart w:id="48" w:name="_Toc32607"/>
      <w:bookmarkStart w:id="49" w:name="_Toc6308"/>
      <w:bookmarkStart w:id="50" w:name="_Toc21840"/>
      <w:bookmarkStart w:id="51" w:name="_Toc13898"/>
      <w:bookmarkStart w:id="52" w:name="_Toc88209941"/>
      <w:bookmarkStart w:id="53" w:name="_Toc29345"/>
      <w:bookmarkStart w:id="54" w:name="_Toc30530"/>
      <w:bookmarkStart w:id="55" w:name="_Toc7831"/>
      <w:bookmarkStart w:id="56" w:name="_Toc87616378"/>
      <w:bookmarkStart w:id="57" w:name="_Toc22212"/>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color w:val="auto"/>
          <w:highlight w:val="none"/>
        </w:rPr>
      </w:pPr>
      <w:bookmarkStart w:id="58" w:name="_Toc23033"/>
      <w:bookmarkStart w:id="59" w:name="_Toc26826"/>
      <w:r>
        <w:rPr>
          <w:rFonts w:hint="eastAsia"/>
          <w:color w:val="auto"/>
          <w:highlight w:val="none"/>
        </w:rPr>
        <w:sym w:font="Wingdings 2" w:char="0052"/>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（1）运输费用及保险费。（如有）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（3）采购文件中有规定固定费率标准或固定金额的，或者有固定费率标准或固定金额的计算公式的，应按规定填报，否则由评审小组按照采购文件规定的费率、金额或者其计算公式进行修正或否决其响应。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或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5"/>
        <w:rPr>
          <w:rFonts w:hint="eastAsia"/>
          <w:color w:val="auto"/>
          <w:highlight w:val="none"/>
        </w:rPr>
      </w:pPr>
    </w:p>
    <w:p>
      <w:pPr>
        <w:pStyle w:val="2"/>
        <w:ind w:firstLine="0"/>
        <w:rPr>
          <w:rFonts w:ascii="仿宋_GB2312" w:eastAsia="仿宋_GB2312" w:hAnsiTheme="minorEastAsia"/>
          <w:color w:val="auto"/>
          <w:szCs w:val="21"/>
          <w:highlight w:val="none"/>
        </w:rPr>
      </w:pPr>
    </w:p>
    <w:p>
      <w:pPr>
        <w:pStyle w:val="4"/>
        <w:rPr>
          <w:color w:val="auto"/>
          <w:highlight w:val="none"/>
        </w:rPr>
      </w:pPr>
      <w:bookmarkStart w:id="60" w:name="_Toc88209947"/>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2342515</wp:posOffset>
                </wp:positionH>
                <wp:positionV relativeFrom="paragraph">
                  <wp:posOffset>214630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45pt;margin-top:16.9pt;height:0pt;width:75.5pt;z-index:251674624;mso-width-relative:page;mso-height-relative:page;" filled="f" stroked="t" coordsize="21600,21600" o:gfxdata="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xLmoQFZw4s3fjP&#10;T99+ffx89+XH3fevbL7IGg0BawrduJt42mG4iZnwoY02/4kKOxRdj2dd1SExQYcvFsvlghQX967q&#10;IS9ETK+UtywbDccUQXd92njn6PJ8nBVZYf8aE1WmxPuEXNQ4NmR4apIJoGFsaQjItIEIoetKLnqj&#10;5bU2Jmdg7HYbE9ke8kCUL/Mj3L/CcpEtYD/GFdc4Kr0C+dJJlo6BlHL0QnhuwSrJmVH0oLJFgFAn&#10;0OaSSCptHHWQJR5FzdbOy2PRupzT5ZceT4Oap+vPfcl+eJz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M1sEnWAAAACQEAAA8AAAAAAAAAAQAgAAAAIgAAAGRycy9kb3ducmV2LnhtbFBLAQIUABQA&#10;AAAIAIdO4kBcy7Vf8gEAAOQDAAAOAAAAAAAAAAEAIAAAACUBAABkcnMvZTJvRG9jLnhtbFBLBQYA&#10;AAAABgAGAFkBAACJ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CmOdrDzAQAA5AMAAA4AAAAAAAAAAQAgAAAAJgEAAGRycy9lMm9Eb2MueG1sUEsF&#10;BgAAAAAGAAYAWQEAAIsFAAAAAA==&#10;">
                <v:fill on="f" focussize="0,0"/>
                <v:stroke color="#000000" joinstyle="round"/>
                <v:imagedata o:title=""/>
                <o:lock v:ext="edit" aspectratio="f"/>
              </v:shape>
            </w:pict>
          </mc:Fallback>
        </mc:AlternateContent>
      </w:r>
      <w:r>
        <w:rPr>
          <w:rFonts w:hint="eastAsia"/>
          <w:color w:val="auto"/>
          <w:highlight w:val="none"/>
        </w:rPr>
        <w:t>第五章</w:t>
      </w:r>
    </w:p>
    <w:p>
      <w:pPr>
        <w:pStyle w:val="5"/>
        <w:rPr>
          <w:color w:val="auto"/>
          <w:highlight w:val="none"/>
        </w:rPr>
      </w:pPr>
    </w:p>
    <w:p>
      <w:pPr>
        <w:pStyle w:val="5"/>
        <w:rPr>
          <w:color w:val="auto"/>
          <w:szCs w:val="44"/>
          <w:highlight w:val="none"/>
        </w:rPr>
      </w:pPr>
      <w:r>
        <w:rPr>
          <w:rFonts w:hint="eastAsia"/>
          <w:color w:val="auto"/>
          <w:szCs w:val="44"/>
          <w:highlight w:val="none"/>
        </w:rPr>
        <w:t>采购需求</w:t>
      </w:r>
    </w:p>
    <w:bookmarkEnd w:id="60"/>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8"/>
        <w:rPr>
          <w:rFonts w:ascii="仿宋_GB2312" w:eastAsia="仿宋_GB2312"/>
          <w:color w:val="auto"/>
          <w:sz w:val="28"/>
          <w:szCs w:val="28"/>
          <w:highlight w:val="none"/>
        </w:rPr>
      </w:pPr>
    </w:p>
    <w:p>
      <w:pPr>
        <w:pStyle w:val="28"/>
        <w:rPr>
          <w:rFonts w:ascii="仿宋_GB2312" w:eastAsia="仿宋_GB2312"/>
          <w:color w:val="auto"/>
          <w:sz w:val="28"/>
          <w:szCs w:val="28"/>
          <w:highlight w:val="none"/>
        </w:rPr>
      </w:pPr>
    </w:p>
    <w:p>
      <w:pPr>
        <w:pStyle w:val="28"/>
        <w:rPr>
          <w:rFonts w:ascii="仿宋_GB2312" w:eastAsia="仿宋_GB2312"/>
          <w:color w:val="auto"/>
          <w:sz w:val="28"/>
          <w:szCs w:val="28"/>
          <w:highlight w:val="none"/>
        </w:rPr>
      </w:pPr>
    </w:p>
    <w:p>
      <w:pPr>
        <w:pStyle w:val="28"/>
        <w:rPr>
          <w:rFonts w:ascii="仿宋_GB2312" w:eastAsia="仿宋_GB2312"/>
          <w:color w:val="auto"/>
          <w:sz w:val="28"/>
          <w:szCs w:val="28"/>
          <w:highlight w:val="none"/>
        </w:rPr>
      </w:pPr>
    </w:p>
    <w:p>
      <w:pPr>
        <w:pStyle w:val="28"/>
        <w:rPr>
          <w:rFonts w:ascii="仿宋_GB2312" w:eastAsia="仿宋_GB2312"/>
          <w:color w:val="auto"/>
          <w:sz w:val="28"/>
          <w:szCs w:val="28"/>
          <w:highlight w:val="none"/>
        </w:rPr>
      </w:pPr>
    </w:p>
    <w:p>
      <w:pPr>
        <w:pStyle w:val="28"/>
        <w:rPr>
          <w:rFonts w:ascii="仿宋_GB2312" w:eastAsia="仿宋_GB2312"/>
          <w:color w:val="auto"/>
          <w:sz w:val="28"/>
          <w:szCs w:val="28"/>
          <w:highlight w:val="none"/>
        </w:rPr>
      </w:pPr>
    </w:p>
    <w:p>
      <w:pPr>
        <w:pStyle w:val="28"/>
        <w:rPr>
          <w:rFonts w:ascii="仿宋_GB2312" w:eastAsia="仿宋_GB2312"/>
          <w:color w:val="auto"/>
          <w:sz w:val="28"/>
          <w:szCs w:val="28"/>
          <w:highlight w:val="none"/>
        </w:rPr>
      </w:pPr>
    </w:p>
    <w:p>
      <w:pPr>
        <w:pStyle w:val="28"/>
        <w:rPr>
          <w:rFonts w:ascii="仿宋_GB2312" w:eastAsia="仿宋_GB2312"/>
          <w:color w:val="auto"/>
          <w:sz w:val="28"/>
          <w:szCs w:val="28"/>
          <w:highlight w:val="none"/>
        </w:rPr>
      </w:pPr>
    </w:p>
    <w:p>
      <w:pPr>
        <w:pStyle w:val="28"/>
        <w:rPr>
          <w:rFonts w:ascii="仿宋_GB2312" w:eastAsia="仿宋_GB2312"/>
          <w:color w:val="auto"/>
          <w:sz w:val="28"/>
          <w:szCs w:val="28"/>
          <w:highlight w:val="none"/>
        </w:rPr>
      </w:pPr>
    </w:p>
    <w:p>
      <w:pPr>
        <w:pStyle w:val="28"/>
        <w:rPr>
          <w:rFonts w:ascii="仿宋_GB2312" w:eastAsia="仿宋_GB2312"/>
          <w:color w:val="auto"/>
          <w:sz w:val="28"/>
          <w:szCs w:val="28"/>
          <w:highlight w:val="none"/>
        </w:rPr>
      </w:pPr>
    </w:p>
    <w:p>
      <w:pPr>
        <w:pStyle w:val="28"/>
        <w:rPr>
          <w:rFonts w:ascii="仿宋_GB2312" w:eastAsia="仿宋_GB2312"/>
          <w:color w:val="auto"/>
          <w:sz w:val="28"/>
          <w:szCs w:val="28"/>
          <w:highlight w:val="none"/>
        </w:rPr>
      </w:pPr>
    </w:p>
    <w:p>
      <w:pPr>
        <w:pStyle w:val="28"/>
        <w:rPr>
          <w:rFonts w:ascii="仿宋_GB2312" w:eastAsia="仿宋_GB2312"/>
          <w:color w:val="auto"/>
          <w:sz w:val="28"/>
          <w:szCs w:val="28"/>
          <w:highlight w:val="none"/>
        </w:rPr>
      </w:pPr>
    </w:p>
    <w:p>
      <w:pPr>
        <w:pStyle w:val="12"/>
        <w:numPr>
          <w:ilvl w:val="0"/>
          <w:numId w:val="4"/>
        </w:numPr>
        <w:adjustRightInd w:val="0"/>
        <w:snapToGrid w:val="0"/>
        <w:spacing w:line="520" w:lineRule="exact"/>
        <w:rPr>
          <w:rFonts w:ascii="仿宋_GB2312" w:hAnsi="仿宋_GB2312" w:eastAsia="仿宋_GB2312" w:cs="仿宋_GB2312"/>
          <w:b/>
          <w:color w:val="auto"/>
          <w:sz w:val="28"/>
          <w:szCs w:val="28"/>
          <w:highlight w:val="none"/>
          <w:lang w:val="zh-CN"/>
        </w:rPr>
      </w:pPr>
      <w:r>
        <w:rPr>
          <w:rFonts w:hint="eastAsia" w:ascii="仿宋_GB2312" w:hAnsi="仿宋_GB2312" w:eastAsia="仿宋_GB2312" w:cs="仿宋_GB2312"/>
          <w:b/>
          <w:color w:val="auto"/>
          <w:sz w:val="28"/>
          <w:szCs w:val="28"/>
          <w:highlight w:val="none"/>
          <w:lang w:val="zh-CN"/>
        </w:rPr>
        <w:t>项目情况介绍</w:t>
      </w:r>
    </w:p>
    <w:p>
      <w:pPr>
        <w:spacing w:line="360" w:lineRule="auto"/>
        <w:ind w:firstLine="560" w:firstLineChars="200"/>
        <w:rPr>
          <w:rFonts w:hint="eastAsia" w:ascii="仿宋_GB2312" w:hAnsi="宋体" w:eastAsia="仿宋_GB2312" w:cs="Times New Roman"/>
          <w:color w:val="auto"/>
          <w:kern w:val="0"/>
          <w:sz w:val="28"/>
          <w:szCs w:val="28"/>
          <w:highlight w:val="none"/>
          <w:lang w:val="en-US" w:eastAsia="zh-CN" w:bidi="ar-SA"/>
        </w:rPr>
      </w:pPr>
      <w:r>
        <w:rPr>
          <w:rFonts w:hint="eastAsia" w:ascii="仿宋_GB2312" w:eastAsia="仿宋_GB2312" w:hAnsiTheme="minorEastAsia" w:cstheme="minorBidi"/>
          <w:color w:val="auto"/>
          <w:kern w:val="2"/>
          <w:sz w:val="28"/>
          <w:szCs w:val="28"/>
          <w:highlight w:val="none"/>
          <w:lang w:val="en-US" w:eastAsia="zh-CN" w:bidi="ar-SA"/>
        </w:rPr>
        <w:t>一期扩建北反应池装有曝气头1408个，需要对一期扩建北反应池更换1408个曝气头。一期反应池南池曝气头1408个，需要对一期反应池南池更换1408个曝气头，同步更换曝气管为304不锈钢厚度5mm,包含橡胶膜微孔曝气器及不锈钢曝气管路等管件的运输、拆卸、安装，提供池底向上1m不锈钢法兰处以下所有曝气器及不锈钢管配件。（一期反应池南池原曝气头型号为：卡扣式KBB-215型；本次曝气头大修更换型号为：螺纹旋钮式XZ-215型,直径270）。</w:t>
      </w:r>
    </w:p>
    <w:p>
      <w:pPr>
        <w:pStyle w:val="12"/>
        <w:numPr>
          <w:ilvl w:val="0"/>
          <w:numId w:val="0"/>
        </w:numPr>
        <w:adjustRightInd w:val="0"/>
        <w:snapToGrid w:val="0"/>
        <w:spacing w:line="300" w:lineRule="auto"/>
        <w:ind w:left="0" w:leftChars="0" w:firstLine="0" w:firstLineChars="0"/>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lang w:val="en-US" w:eastAsia="zh-CN"/>
        </w:rPr>
        <w:t>二、</w:t>
      </w:r>
      <w:r>
        <w:rPr>
          <w:rFonts w:hint="eastAsia" w:ascii="仿宋" w:hAnsi="仿宋" w:eastAsia="仿宋" w:cs="仿宋_GB2312"/>
          <w:b/>
          <w:color w:val="auto"/>
          <w:sz w:val="28"/>
          <w:szCs w:val="28"/>
          <w:highlight w:val="none"/>
        </w:rPr>
        <w:t>项目技术要求</w:t>
      </w:r>
    </w:p>
    <w:p>
      <w:pPr>
        <w:pStyle w:val="10"/>
        <w:ind w:firstLine="400" w:firstLineChars="200"/>
        <w:rPr>
          <w:rFonts w:hint="eastAsia" w:ascii="仿宋_GB2312" w:hAnsi="仿宋_GB2312" w:eastAsia="仿宋_GB2312" w:cs="仿宋_GB2312"/>
          <w:b w:val="0"/>
          <w:bCs w:val="0"/>
          <w:color w:val="auto"/>
          <w:sz w:val="28"/>
          <w:szCs w:val="28"/>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1.</w:t>
      </w:r>
      <w:r>
        <w:rPr>
          <w:rFonts w:hint="eastAsia" w:ascii="仿宋_GB2312" w:hAnsi="仿宋_GB2312" w:eastAsia="仿宋_GB2312" w:cs="仿宋_GB2312"/>
          <w:b w:val="0"/>
          <w:bCs w:val="0"/>
          <w:color w:val="auto"/>
          <w:sz w:val="28"/>
          <w:szCs w:val="28"/>
          <w:highlight w:val="none"/>
          <w:lang w:val="en-US" w:eastAsia="zh-CN"/>
        </w:rPr>
        <w:t>工程量清单：</w:t>
      </w:r>
    </w:p>
    <w:tbl>
      <w:tblPr>
        <w:tblStyle w:val="23"/>
        <w:tblW w:w="7824" w:type="dxa"/>
        <w:tblInd w:w="0" w:type="dxa"/>
        <w:shd w:val="clear" w:color="auto" w:fill="auto"/>
        <w:tblLayout w:type="autofit"/>
        <w:tblCellMar>
          <w:top w:w="0" w:type="dxa"/>
          <w:left w:w="0" w:type="dxa"/>
          <w:bottom w:w="0" w:type="dxa"/>
          <w:right w:w="0" w:type="dxa"/>
        </w:tblCellMar>
      </w:tblPr>
      <w:tblGrid>
        <w:gridCol w:w="856"/>
        <w:gridCol w:w="1485"/>
        <w:gridCol w:w="6"/>
        <w:gridCol w:w="2969"/>
        <w:gridCol w:w="246"/>
        <w:gridCol w:w="709"/>
        <w:gridCol w:w="153"/>
        <w:gridCol w:w="1400"/>
      </w:tblGrid>
      <w:tr>
        <w:tblPrEx>
          <w:shd w:val="clear" w:color="auto" w:fill="auto"/>
          <w:tblCellMar>
            <w:top w:w="0" w:type="dxa"/>
            <w:left w:w="0" w:type="dxa"/>
            <w:bottom w:w="0" w:type="dxa"/>
            <w:right w:w="0" w:type="dxa"/>
          </w:tblCellMar>
        </w:tblPrEx>
        <w:trPr>
          <w:trHeight w:val="360" w:hRule="atLeast"/>
        </w:trPr>
        <w:tc>
          <w:tcPr>
            <w:tcW w:w="856"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485"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3221"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862"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140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r>
      <w:tr>
        <w:tblPrEx>
          <w:shd w:val="clear" w:color="auto" w:fill="auto"/>
          <w:tblCellMar>
            <w:top w:w="0" w:type="dxa"/>
            <w:left w:w="0" w:type="dxa"/>
            <w:bottom w:w="0" w:type="dxa"/>
            <w:right w:w="0" w:type="dxa"/>
          </w:tblCellMar>
        </w:tblPrEx>
        <w:trPr>
          <w:trHeight w:val="360" w:hRule="atLeast"/>
        </w:trPr>
        <w:tc>
          <w:tcPr>
            <w:tcW w:w="856"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8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221"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2"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0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856"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8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221"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2"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0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570" w:hRule="atLeast"/>
        </w:trPr>
        <w:tc>
          <w:tcPr>
            <w:tcW w:w="7824" w:type="dxa"/>
            <w:gridSpan w:val="8"/>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sz w:val="20"/>
                <w:szCs w:val="20"/>
                <w:u w:val="none"/>
                <w:lang w:val="en-US" w:eastAsia="zh-CN"/>
              </w:rPr>
              <w:t>一期南反应池</w:t>
            </w:r>
          </w:p>
        </w:tc>
      </w:tr>
      <w:tr>
        <w:tblPrEx>
          <w:shd w:val="clear" w:color="auto" w:fill="auto"/>
          <w:tblCellMar>
            <w:top w:w="0" w:type="dxa"/>
            <w:left w:w="0" w:type="dxa"/>
            <w:bottom w:w="0" w:type="dxa"/>
            <w:right w:w="0" w:type="dxa"/>
          </w:tblCellMar>
        </w:tblPrEx>
        <w:trPr>
          <w:trHeight w:val="570" w:hRule="atLeast"/>
        </w:trPr>
        <w:tc>
          <w:tcPr>
            <w:tcW w:w="85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4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曝气器</w:t>
            </w:r>
          </w:p>
        </w:tc>
        <w:tc>
          <w:tcPr>
            <w:tcW w:w="322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1.名称：曝气器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2.规格：XZ-215型，直径270</w:t>
            </w:r>
          </w:p>
        </w:tc>
        <w:tc>
          <w:tcPr>
            <w:tcW w:w="86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4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1408</w:t>
            </w:r>
          </w:p>
        </w:tc>
      </w:tr>
      <w:tr>
        <w:tblPrEx>
          <w:shd w:val="clear" w:color="auto" w:fill="auto"/>
          <w:tblCellMar>
            <w:top w:w="0" w:type="dxa"/>
            <w:left w:w="0" w:type="dxa"/>
            <w:bottom w:w="0" w:type="dxa"/>
            <w:right w:w="0" w:type="dxa"/>
          </w:tblCellMar>
        </w:tblPrEx>
        <w:trPr>
          <w:trHeight w:val="825" w:hRule="atLeast"/>
        </w:trPr>
        <w:tc>
          <w:tcPr>
            <w:tcW w:w="85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w:t>
            </w:r>
          </w:p>
        </w:tc>
        <w:tc>
          <w:tcPr>
            <w:tcW w:w="14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曝气器拆除及安装</w:t>
            </w:r>
          </w:p>
        </w:tc>
        <w:tc>
          <w:tcPr>
            <w:tcW w:w="322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sz w:val="20"/>
                <w:szCs w:val="20"/>
                <w:u w:val="none"/>
                <w:lang w:val="en-US" w:eastAsia="zh-CN"/>
              </w:rPr>
              <w:t>曝气器拆除及安装</w:t>
            </w:r>
          </w:p>
        </w:tc>
        <w:tc>
          <w:tcPr>
            <w:tcW w:w="86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sz w:val="20"/>
                <w:szCs w:val="20"/>
                <w:u w:val="none"/>
                <w:lang w:val="en-US" w:eastAsia="zh-CN"/>
              </w:rPr>
              <w:t>个</w:t>
            </w:r>
          </w:p>
        </w:tc>
        <w:tc>
          <w:tcPr>
            <w:tcW w:w="14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sz w:val="20"/>
                <w:szCs w:val="20"/>
                <w:u w:val="none"/>
                <w:lang w:val="en-US" w:eastAsia="zh-CN"/>
              </w:rPr>
              <w:t>1408</w:t>
            </w:r>
          </w:p>
        </w:tc>
      </w:tr>
      <w:tr>
        <w:tblPrEx>
          <w:shd w:val="clear" w:color="auto" w:fill="auto"/>
          <w:tblCellMar>
            <w:top w:w="0" w:type="dxa"/>
            <w:left w:w="0" w:type="dxa"/>
            <w:bottom w:w="0" w:type="dxa"/>
            <w:right w:w="0" w:type="dxa"/>
          </w:tblCellMar>
        </w:tblPrEx>
        <w:trPr>
          <w:trHeight w:val="825" w:hRule="atLeast"/>
        </w:trPr>
        <w:tc>
          <w:tcPr>
            <w:tcW w:w="85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3</w:t>
            </w:r>
          </w:p>
        </w:tc>
        <w:tc>
          <w:tcPr>
            <w:tcW w:w="14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曝气管</w:t>
            </w:r>
          </w:p>
        </w:tc>
        <w:tc>
          <w:tcPr>
            <w:tcW w:w="322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1.材质:不锈钢管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2.直径:De90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3.包含弯头及其他附件</w:t>
            </w:r>
          </w:p>
        </w:tc>
        <w:tc>
          <w:tcPr>
            <w:tcW w:w="86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4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740</w:t>
            </w:r>
          </w:p>
        </w:tc>
      </w:tr>
      <w:tr>
        <w:tblPrEx>
          <w:shd w:val="clear" w:color="auto" w:fill="auto"/>
          <w:tblCellMar>
            <w:top w:w="0" w:type="dxa"/>
            <w:left w:w="0" w:type="dxa"/>
            <w:bottom w:w="0" w:type="dxa"/>
            <w:right w:w="0" w:type="dxa"/>
          </w:tblCellMar>
        </w:tblPrEx>
        <w:trPr>
          <w:trHeight w:val="825" w:hRule="atLeast"/>
        </w:trPr>
        <w:tc>
          <w:tcPr>
            <w:tcW w:w="85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4</w:t>
            </w:r>
          </w:p>
        </w:tc>
        <w:tc>
          <w:tcPr>
            <w:tcW w:w="14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曝气管</w:t>
            </w:r>
          </w:p>
        </w:tc>
        <w:tc>
          <w:tcPr>
            <w:tcW w:w="322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直径:De90不锈钢管码底座</w:t>
            </w:r>
          </w:p>
        </w:tc>
        <w:tc>
          <w:tcPr>
            <w:tcW w:w="86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4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350</w:t>
            </w:r>
          </w:p>
        </w:tc>
      </w:tr>
      <w:tr>
        <w:tblPrEx>
          <w:shd w:val="clear" w:color="auto" w:fill="auto"/>
          <w:tblCellMar>
            <w:top w:w="0" w:type="dxa"/>
            <w:left w:w="0" w:type="dxa"/>
            <w:bottom w:w="0" w:type="dxa"/>
            <w:right w:w="0" w:type="dxa"/>
          </w:tblCellMar>
        </w:tblPrEx>
        <w:trPr>
          <w:trHeight w:val="825" w:hRule="atLeast"/>
        </w:trPr>
        <w:tc>
          <w:tcPr>
            <w:tcW w:w="85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5</w:t>
            </w:r>
          </w:p>
        </w:tc>
        <w:tc>
          <w:tcPr>
            <w:tcW w:w="14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曝气管</w:t>
            </w:r>
          </w:p>
        </w:tc>
        <w:tc>
          <w:tcPr>
            <w:tcW w:w="322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1.材质:不锈钢管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2.直径:De110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3.包含弯头、不锈钢管码底座管码及附件</w:t>
            </w:r>
          </w:p>
        </w:tc>
        <w:tc>
          <w:tcPr>
            <w:tcW w:w="86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4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65</w:t>
            </w:r>
          </w:p>
        </w:tc>
      </w:tr>
      <w:tr>
        <w:tblPrEx>
          <w:shd w:val="clear" w:color="auto" w:fill="auto"/>
          <w:tblCellMar>
            <w:top w:w="0" w:type="dxa"/>
            <w:left w:w="0" w:type="dxa"/>
            <w:bottom w:w="0" w:type="dxa"/>
            <w:right w:w="0" w:type="dxa"/>
          </w:tblCellMar>
        </w:tblPrEx>
        <w:trPr>
          <w:trHeight w:val="825" w:hRule="atLeast"/>
        </w:trPr>
        <w:tc>
          <w:tcPr>
            <w:tcW w:w="85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both"/>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 xml:space="preserve">   6</w:t>
            </w:r>
          </w:p>
        </w:tc>
        <w:tc>
          <w:tcPr>
            <w:tcW w:w="14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曝气管</w:t>
            </w:r>
          </w:p>
        </w:tc>
        <w:tc>
          <w:tcPr>
            <w:tcW w:w="322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直径:De110不锈钢管码底座管码</w:t>
            </w:r>
          </w:p>
        </w:tc>
        <w:tc>
          <w:tcPr>
            <w:tcW w:w="86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4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33</w:t>
            </w:r>
          </w:p>
        </w:tc>
      </w:tr>
      <w:tr>
        <w:tblPrEx>
          <w:shd w:val="clear" w:color="auto" w:fill="auto"/>
          <w:tblCellMar>
            <w:top w:w="0" w:type="dxa"/>
            <w:left w:w="0" w:type="dxa"/>
            <w:bottom w:w="0" w:type="dxa"/>
            <w:right w:w="0" w:type="dxa"/>
          </w:tblCellMar>
        </w:tblPrEx>
        <w:trPr>
          <w:trHeight w:val="825" w:hRule="atLeast"/>
        </w:trPr>
        <w:tc>
          <w:tcPr>
            <w:tcW w:w="85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7</w:t>
            </w:r>
          </w:p>
        </w:tc>
        <w:tc>
          <w:tcPr>
            <w:tcW w:w="14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曝气管</w:t>
            </w:r>
          </w:p>
        </w:tc>
        <w:tc>
          <w:tcPr>
            <w:tcW w:w="322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1.材质:不锈钢管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2.直径:De160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3.包含弯头、不锈钢管码底座管码及附件</w:t>
            </w:r>
          </w:p>
        </w:tc>
        <w:tc>
          <w:tcPr>
            <w:tcW w:w="86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4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23</w:t>
            </w:r>
          </w:p>
        </w:tc>
      </w:tr>
      <w:tr>
        <w:tblPrEx>
          <w:shd w:val="clear" w:color="auto" w:fill="auto"/>
          <w:tblCellMar>
            <w:top w:w="0" w:type="dxa"/>
            <w:left w:w="0" w:type="dxa"/>
            <w:bottom w:w="0" w:type="dxa"/>
            <w:right w:w="0" w:type="dxa"/>
          </w:tblCellMar>
        </w:tblPrEx>
        <w:trPr>
          <w:trHeight w:val="825" w:hRule="atLeast"/>
        </w:trPr>
        <w:tc>
          <w:tcPr>
            <w:tcW w:w="85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8</w:t>
            </w:r>
          </w:p>
        </w:tc>
        <w:tc>
          <w:tcPr>
            <w:tcW w:w="14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曝气管</w:t>
            </w:r>
          </w:p>
        </w:tc>
        <w:tc>
          <w:tcPr>
            <w:tcW w:w="322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直径:De160不锈钢管码底座管码</w:t>
            </w:r>
          </w:p>
        </w:tc>
        <w:tc>
          <w:tcPr>
            <w:tcW w:w="86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4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12</w:t>
            </w:r>
          </w:p>
        </w:tc>
      </w:tr>
      <w:tr>
        <w:tblPrEx>
          <w:shd w:val="clear" w:color="auto" w:fill="auto"/>
          <w:tblCellMar>
            <w:top w:w="0" w:type="dxa"/>
            <w:left w:w="0" w:type="dxa"/>
            <w:bottom w:w="0" w:type="dxa"/>
            <w:right w:w="0" w:type="dxa"/>
          </w:tblCellMar>
        </w:tblPrEx>
        <w:trPr>
          <w:trHeight w:val="825" w:hRule="atLeast"/>
        </w:trPr>
        <w:tc>
          <w:tcPr>
            <w:tcW w:w="85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9</w:t>
            </w:r>
          </w:p>
        </w:tc>
        <w:tc>
          <w:tcPr>
            <w:tcW w:w="14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切割、修复遮阳棚吊装口</w:t>
            </w:r>
          </w:p>
        </w:tc>
        <w:tc>
          <w:tcPr>
            <w:tcW w:w="322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拆除及修复遮阳板</w:t>
            </w:r>
          </w:p>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（聚碳酸脂PC阳光板）</w:t>
            </w:r>
          </w:p>
        </w:tc>
        <w:tc>
          <w:tcPr>
            <w:tcW w:w="86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14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sz w:val="20"/>
                <w:szCs w:val="20"/>
                <w:u w:val="none"/>
                <w:lang w:val="en-US" w:eastAsia="zh-CN"/>
              </w:rPr>
              <w:t>21</w:t>
            </w:r>
          </w:p>
        </w:tc>
      </w:tr>
      <w:tr>
        <w:tblPrEx>
          <w:shd w:val="clear" w:color="auto" w:fill="auto"/>
          <w:tblCellMar>
            <w:top w:w="0" w:type="dxa"/>
            <w:left w:w="0" w:type="dxa"/>
            <w:bottom w:w="0" w:type="dxa"/>
            <w:right w:w="0" w:type="dxa"/>
          </w:tblCellMar>
        </w:tblPrEx>
        <w:trPr>
          <w:trHeight w:val="825" w:hRule="atLeast"/>
        </w:trPr>
        <w:tc>
          <w:tcPr>
            <w:tcW w:w="85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10</w:t>
            </w:r>
          </w:p>
        </w:tc>
        <w:tc>
          <w:tcPr>
            <w:tcW w:w="14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切割、修复遮阳棚吊装口</w:t>
            </w:r>
          </w:p>
        </w:tc>
        <w:tc>
          <w:tcPr>
            <w:tcW w:w="322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切割及修复焊接遮阳棚骨架</w:t>
            </w:r>
          </w:p>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（304不锈钢方管）</w:t>
            </w:r>
          </w:p>
        </w:tc>
        <w:tc>
          <w:tcPr>
            <w:tcW w:w="86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根</w:t>
            </w:r>
          </w:p>
        </w:tc>
        <w:tc>
          <w:tcPr>
            <w:tcW w:w="14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sz w:val="20"/>
                <w:szCs w:val="20"/>
                <w:u w:val="none"/>
                <w:lang w:val="en-US" w:eastAsia="zh-CN"/>
              </w:rPr>
              <w:t>7</w:t>
            </w:r>
          </w:p>
        </w:tc>
      </w:tr>
      <w:tr>
        <w:tblPrEx>
          <w:shd w:val="clear" w:color="auto" w:fill="auto"/>
          <w:tblCellMar>
            <w:top w:w="0" w:type="dxa"/>
            <w:left w:w="0" w:type="dxa"/>
            <w:bottom w:w="0" w:type="dxa"/>
            <w:right w:w="0" w:type="dxa"/>
          </w:tblCellMar>
        </w:tblPrEx>
        <w:trPr>
          <w:trHeight w:val="825" w:hRule="atLeast"/>
        </w:trPr>
        <w:tc>
          <w:tcPr>
            <w:tcW w:w="85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11</w:t>
            </w:r>
          </w:p>
        </w:tc>
        <w:tc>
          <w:tcPr>
            <w:tcW w:w="14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清理池底作业面污水及污泥</w:t>
            </w:r>
          </w:p>
        </w:tc>
        <w:tc>
          <w:tcPr>
            <w:tcW w:w="322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清理池底剩余污水及污泥（深度10cm）至地面清洗可见</w:t>
            </w:r>
          </w:p>
        </w:tc>
        <w:tc>
          <w:tcPr>
            <w:tcW w:w="86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14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866.6</w:t>
            </w:r>
          </w:p>
        </w:tc>
      </w:tr>
      <w:tr>
        <w:tblPrEx>
          <w:shd w:val="clear" w:color="auto" w:fill="auto"/>
          <w:tblCellMar>
            <w:top w:w="0" w:type="dxa"/>
            <w:left w:w="0" w:type="dxa"/>
            <w:bottom w:w="0" w:type="dxa"/>
            <w:right w:w="0" w:type="dxa"/>
          </w:tblCellMar>
        </w:tblPrEx>
        <w:trPr>
          <w:trHeight w:val="825" w:hRule="atLeast"/>
        </w:trPr>
        <w:tc>
          <w:tcPr>
            <w:tcW w:w="7824" w:type="dxa"/>
            <w:gridSpan w:val="8"/>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扩建北反应池</w:t>
            </w:r>
          </w:p>
        </w:tc>
      </w:tr>
      <w:tr>
        <w:tblPrEx>
          <w:shd w:val="clear" w:color="auto" w:fill="auto"/>
          <w:tblCellMar>
            <w:top w:w="0" w:type="dxa"/>
            <w:left w:w="0" w:type="dxa"/>
            <w:bottom w:w="0" w:type="dxa"/>
            <w:right w:w="0" w:type="dxa"/>
          </w:tblCellMar>
        </w:tblPrEx>
        <w:trPr>
          <w:trHeight w:val="825" w:hRule="atLeast"/>
        </w:trPr>
        <w:tc>
          <w:tcPr>
            <w:tcW w:w="85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1</w:t>
            </w:r>
          </w:p>
        </w:tc>
        <w:tc>
          <w:tcPr>
            <w:tcW w:w="149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曝气器拆除及安装</w:t>
            </w:r>
          </w:p>
        </w:tc>
        <w:tc>
          <w:tcPr>
            <w:tcW w:w="296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曝气器拆除及安装</w:t>
            </w:r>
          </w:p>
        </w:tc>
        <w:tc>
          <w:tcPr>
            <w:tcW w:w="95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55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1408</w:t>
            </w:r>
          </w:p>
        </w:tc>
      </w:tr>
      <w:tr>
        <w:tblPrEx>
          <w:shd w:val="clear" w:color="auto" w:fill="auto"/>
          <w:tblCellMar>
            <w:top w:w="0" w:type="dxa"/>
            <w:left w:w="0" w:type="dxa"/>
            <w:bottom w:w="0" w:type="dxa"/>
            <w:right w:w="0" w:type="dxa"/>
          </w:tblCellMar>
        </w:tblPrEx>
        <w:trPr>
          <w:trHeight w:val="825" w:hRule="atLeast"/>
        </w:trPr>
        <w:tc>
          <w:tcPr>
            <w:tcW w:w="85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2</w:t>
            </w:r>
          </w:p>
        </w:tc>
        <w:tc>
          <w:tcPr>
            <w:tcW w:w="149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曝气器</w:t>
            </w:r>
          </w:p>
        </w:tc>
        <w:tc>
          <w:tcPr>
            <w:tcW w:w="296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1.名称：曝气器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2.规格：XZ-215型，直径270</w:t>
            </w:r>
          </w:p>
        </w:tc>
        <w:tc>
          <w:tcPr>
            <w:tcW w:w="95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55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1408</w:t>
            </w:r>
          </w:p>
        </w:tc>
      </w:tr>
    </w:tbl>
    <w:p>
      <w:pPr>
        <w:pStyle w:val="2"/>
        <w:rPr>
          <w:rFonts w:ascii="仿宋_GB2312" w:eastAsia="仿宋_GB2312"/>
          <w:color w:val="auto"/>
          <w:sz w:val="28"/>
          <w:szCs w:val="28"/>
          <w:highlight w:val="none"/>
        </w:rPr>
      </w:pPr>
    </w:p>
    <w:p>
      <w:pPr>
        <w:autoSpaceDE w:val="0"/>
        <w:autoSpaceDN w:val="0"/>
        <w:ind w:firstLine="560" w:firstLineChars="200"/>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color w:val="auto"/>
          <w:sz w:val="28"/>
          <w:szCs w:val="28"/>
          <w:highlight w:val="none"/>
        </w:rPr>
        <w:t>2.</w:t>
      </w:r>
      <w:r>
        <w:rPr>
          <w:rFonts w:hint="eastAsia" w:ascii="仿宋_GB2312" w:hAnsi="仿宋_GB2312" w:eastAsia="仿宋_GB2312" w:cs="仿宋_GB2312"/>
          <w:color w:val="auto"/>
          <w:sz w:val="28"/>
          <w:szCs w:val="28"/>
          <w:highlight w:val="none"/>
          <w:lang w:val="en-US" w:eastAsia="zh-CN"/>
        </w:rPr>
        <w:t>项目特殊</w:t>
      </w:r>
      <w:r>
        <w:rPr>
          <w:rFonts w:hint="eastAsia" w:ascii="仿宋_GB2312" w:hAnsi="仿宋_GB2312" w:eastAsia="仿宋_GB2312" w:cs="仿宋_GB2312"/>
          <w:color w:val="auto"/>
          <w:sz w:val="28"/>
          <w:szCs w:val="28"/>
          <w:highlight w:val="none"/>
          <w:lang w:val="zh-CN"/>
        </w:rPr>
        <w:t>要求：</w:t>
      </w:r>
      <w:r>
        <w:rPr>
          <w:rFonts w:hint="eastAsia" w:ascii="仿宋_GB2312" w:hAnsi="仿宋_GB2312" w:eastAsia="仿宋_GB2312" w:cs="仿宋_GB2312"/>
          <w:color w:val="auto"/>
          <w:sz w:val="28"/>
          <w:szCs w:val="28"/>
          <w:highlight w:val="none"/>
          <w:lang w:val="en-US" w:eastAsia="zh-CN"/>
        </w:rPr>
        <w:t>无</w:t>
      </w:r>
      <w:r>
        <w:rPr>
          <w:rFonts w:hint="eastAsia" w:ascii="仿宋_GB2312" w:hAnsi="仿宋_GB2312" w:eastAsia="仿宋_GB2312" w:cs="仿宋_GB2312"/>
          <w:color w:val="auto"/>
          <w:sz w:val="28"/>
          <w:szCs w:val="28"/>
          <w:highlight w:val="none"/>
        </w:rPr>
        <w:t>。</w:t>
      </w:r>
    </w:p>
    <w:p>
      <w:pPr>
        <w:pStyle w:val="12"/>
        <w:adjustRightInd w:val="0"/>
        <w:snapToGrid w:val="0"/>
        <w:spacing w:line="300" w:lineRule="auto"/>
        <w:ind w:firstLine="562" w:firstLineChars="200"/>
        <w:rPr>
          <w:rFonts w:ascii="仿宋_GB2312" w:hAnsi="仿宋_GB2312" w:eastAsia="仿宋_GB2312" w:cs="仿宋_GB2312"/>
          <w:b/>
          <w:color w:val="auto"/>
          <w:sz w:val="28"/>
          <w:szCs w:val="28"/>
          <w:highlight w:val="none"/>
          <w:lang w:val="zh-CN"/>
        </w:rPr>
      </w:pPr>
      <w:r>
        <w:rPr>
          <w:rFonts w:hint="eastAsia" w:ascii="仿宋_GB2312" w:hAnsi="仿宋_GB2312" w:eastAsia="仿宋_GB2312" w:cs="仿宋_GB2312"/>
          <w:b/>
          <w:color w:val="auto"/>
          <w:sz w:val="28"/>
          <w:szCs w:val="28"/>
          <w:highlight w:val="none"/>
        </w:rPr>
        <w:t>三</w:t>
      </w:r>
      <w:r>
        <w:rPr>
          <w:rFonts w:hint="eastAsia" w:ascii="仿宋_GB2312" w:hAnsi="仿宋_GB2312" w:eastAsia="仿宋_GB2312" w:cs="仿宋_GB2312"/>
          <w:b/>
          <w:color w:val="auto"/>
          <w:sz w:val="28"/>
          <w:szCs w:val="28"/>
          <w:highlight w:val="none"/>
          <w:lang w:val="zh-CN"/>
        </w:rPr>
        <w:t>、项目商务要求</w:t>
      </w:r>
    </w:p>
    <w:p>
      <w:pPr>
        <w:pStyle w:val="2"/>
        <w:rPr>
          <w:rFonts w:hint="eastAsia" w:ascii="仿宋_GB2312" w:hAnsi="仿宋_GB2312" w:eastAsia="仿宋_GB2312" w:cs="仿宋_GB2312"/>
          <w:color w:val="auto"/>
          <w:sz w:val="28"/>
          <w:szCs w:val="28"/>
          <w:highlight w:val="none"/>
          <w:lang w:val="zh-CN" w:eastAsia="zh-CN"/>
        </w:rPr>
      </w:pPr>
      <w:r>
        <w:rPr>
          <w:rFonts w:hint="eastAsia" w:ascii="仿宋_GB2312" w:hAnsi="仿宋_GB2312" w:eastAsia="仿宋_GB2312" w:cs="仿宋_GB2312"/>
          <w:color w:val="auto"/>
          <w:sz w:val="28"/>
          <w:szCs w:val="28"/>
          <w:highlight w:val="none"/>
          <w:lang w:val="zh-CN" w:eastAsia="zh-CN"/>
        </w:rPr>
        <w:t>1.工期：</w:t>
      </w:r>
      <w:r>
        <w:rPr>
          <w:rFonts w:hint="eastAsia" w:ascii="仿宋_GB2312" w:hAnsi="仿宋_GB2312" w:eastAsia="仿宋_GB2312" w:cs="仿宋_GB2312"/>
          <w:color w:val="auto"/>
          <w:sz w:val="28"/>
          <w:szCs w:val="28"/>
          <w:highlight w:val="none"/>
          <w:lang w:val="en-US" w:eastAsia="zh-CN"/>
        </w:rPr>
        <w:t>20</w:t>
      </w:r>
      <w:r>
        <w:rPr>
          <w:rFonts w:hint="eastAsia" w:ascii="仿宋_GB2312" w:hAnsi="仿宋_GB2312" w:eastAsia="仿宋_GB2312" w:cs="仿宋_GB2312"/>
          <w:color w:val="auto"/>
          <w:sz w:val="28"/>
          <w:szCs w:val="28"/>
          <w:highlight w:val="none"/>
          <w:lang w:val="zh-CN" w:eastAsia="zh-CN"/>
        </w:rPr>
        <w:t>天，具体开工时间以开工报告时间为准。</w:t>
      </w:r>
    </w:p>
    <w:p>
      <w:pPr>
        <w:pStyle w:val="2"/>
        <w:rPr>
          <w:rFonts w:hint="eastAsia" w:ascii="仿宋_GB2312" w:hAnsi="仿宋_GB2312" w:eastAsia="仿宋_GB2312" w:cs="仿宋_GB2312"/>
          <w:color w:val="auto"/>
          <w:sz w:val="28"/>
          <w:szCs w:val="28"/>
          <w:highlight w:val="none"/>
          <w:lang w:val="zh-CN" w:eastAsia="zh-CN"/>
        </w:rPr>
      </w:pPr>
      <w:r>
        <w:rPr>
          <w:rFonts w:hint="eastAsia" w:ascii="仿宋_GB2312" w:hAnsi="仿宋_GB2312" w:eastAsia="仿宋_GB2312" w:cs="仿宋_GB2312"/>
          <w:color w:val="auto"/>
          <w:sz w:val="28"/>
          <w:szCs w:val="28"/>
          <w:highlight w:val="none"/>
          <w:lang w:val="zh-CN" w:eastAsia="zh-CN"/>
        </w:rPr>
        <w:t>施工期：具体日期以甲方（业主）发出的开工令为准，工作必须在</w:t>
      </w:r>
      <w:r>
        <w:rPr>
          <w:rFonts w:hint="eastAsia" w:ascii="仿宋_GB2312" w:hAnsi="仿宋_GB2312" w:eastAsia="仿宋_GB2312" w:cs="仿宋_GB2312"/>
          <w:color w:val="auto"/>
          <w:sz w:val="28"/>
          <w:szCs w:val="28"/>
          <w:highlight w:val="none"/>
          <w:lang w:val="en-US" w:eastAsia="zh-CN"/>
        </w:rPr>
        <w:t>20天内</w:t>
      </w:r>
      <w:r>
        <w:rPr>
          <w:rFonts w:hint="eastAsia" w:ascii="仿宋_GB2312" w:hAnsi="仿宋_GB2312" w:eastAsia="仿宋_GB2312" w:cs="仿宋_GB2312"/>
          <w:color w:val="auto"/>
          <w:sz w:val="28"/>
          <w:szCs w:val="28"/>
          <w:highlight w:val="none"/>
          <w:lang w:val="zh-CN" w:eastAsia="zh-CN"/>
        </w:rPr>
        <w:t>完成。</w:t>
      </w:r>
    </w:p>
    <w:p>
      <w:pPr>
        <w:pStyle w:val="2"/>
        <w:rPr>
          <w:rFonts w:hint="eastAsia" w:ascii="仿宋_GB2312" w:eastAsia="仿宋_GB2312"/>
          <w:color w:val="auto"/>
          <w:sz w:val="28"/>
          <w:szCs w:val="28"/>
          <w:highlight w:val="none"/>
          <w:u w:val="single"/>
        </w:rPr>
      </w:pPr>
      <w:r>
        <w:rPr>
          <w:rFonts w:hint="eastAsia" w:ascii="仿宋_GB2312" w:hAnsi="仿宋_GB2312" w:eastAsia="仿宋_GB2312" w:cs="仿宋_GB2312"/>
          <w:color w:val="auto"/>
          <w:sz w:val="28"/>
          <w:szCs w:val="28"/>
          <w:highlight w:val="none"/>
          <w:lang w:val="zh-CN" w:eastAsia="zh-CN"/>
        </w:rPr>
        <w:t>2.质量要求：</w:t>
      </w:r>
      <w:r>
        <w:rPr>
          <w:rFonts w:hint="eastAsia" w:ascii="仿宋_GB2312" w:eastAsia="仿宋_GB2312"/>
          <w:color w:val="auto"/>
          <w:sz w:val="28"/>
          <w:szCs w:val="28"/>
          <w:highlight w:val="none"/>
          <w:u w:val="single"/>
          <w:lang w:eastAsia="zh-CN"/>
        </w:rPr>
        <w:t>大修后，曝气头、曝气管道及其它附件</w:t>
      </w:r>
      <w:r>
        <w:rPr>
          <w:rFonts w:hint="eastAsia" w:ascii="仿宋_GB2312" w:eastAsia="仿宋_GB2312"/>
          <w:color w:val="auto"/>
          <w:sz w:val="28"/>
          <w:szCs w:val="28"/>
          <w:highlight w:val="none"/>
          <w:u w:val="single"/>
        </w:rPr>
        <w:t>调试正常并正常稳定运行，并提供调试合格报告。</w:t>
      </w:r>
    </w:p>
    <w:p>
      <w:pPr>
        <w:pStyle w:val="2"/>
        <w:rPr>
          <w:rFonts w:hint="eastAsia" w:ascii="仿宋_GB2312" w:hAnsi="仿宋_GB2312" w:eastAsia="仿宋_GB2312" w:cs="仿宋_GB2312"/>
          <w:color w:val="auto"/>
          <w:sz w:val="28"/>
          <w:szCs w:val="28"/>
          <w:highlight w:val="none"/>
          <w:lang w:val="zh-CN" w:eastAsia="zh-CN"/>
        </w:rPr>
      </w:pPr>
      <w:r>
        <w:rPr>
          <w:rFonts w:hint="eastAsia" w:ascii="仿宋_GB2312" w:hAnsi="仿宋_GB2312" w:eastAsia="仿宋_GB2312" w:cs="仿宋_GB2312"/>
          <w:color w:val="auto"/>
          <w:sz w:val="28"/>
          <w:szCs w:val="28"/>
          <w:highlight w:val="none"/>
          <w:lang w:val="zh-CN" w:eastAsia="zh-CN"/>
        </w:rPr>
        <w:t>3.安全文明施工要求：</w:t>
      </w:r>
    </w:p>
    <w:p>
      <w:pPr>
        <w:pStyle w:val="2"/>
        <w:rPr>
          <w:rFonts w:hint="eastAsia" w:ascii="仿宋_GB2312" w:hAnsi="仿宋_GB2312" w:eastAsia="仿宋_GB2312" w:cs="仿宋_GB2312"/>
          <w:color w:val="auto"/>
          <w:sz w:val="28"/>
          <w:szCs w:val="28"/>
          <w:highlight w:val="none"/>
          <w:lang w:val="zh-CN" w:eastAsia="zh-CN"/>
        </w:rPr>
      </w:pPr>
      <w:r>
        <w:rPr>
          <w:rFonts w:hint="eastAsia" w:ascii="仿宋_GB2312" w:hAnsi="仿宋_GB2312" w:eastAsia="仿宋_GB2312" w:cs="仿宋_GB2312"/>
          <w:color w:val="auto"/>
          <w:sz w:val="28"/>
          <w:szCs w:val="28"/>
          <w:highlight w:val="none"/>
          <w:lang w:val="zh-CN" w:eastAsia="zh-CN"/>
        </w:rPr>
        <w:t>（1）在工程进行中，承包单位要注意保护场内的各种管线和设施。若有任何损坏，须立即通知有关部门和发包人，并由损坏单位承担损失和修复费用。</w:t>
      </w:r>
    </w:p>
    <w:p>
      <w:pPr>
        <w:pStyle w:val="2"/>
        <w:rPr>
          <w:rFonts w:hint="eastAsia" w:ascii="仿宋_GB2312" w:hAnsi="仿宋_GB2312" w:eastAsia="仿宋_GB2312" w:cs="仿宋_GB2312"/>
          <w:color w:val="auto"/>
          <w:sz w:val="28"/>
          <w:szCs w:val="28"/>
          <w:highlight w:val="none"/>
          <w:lang w:val="zh-CN" w:eastAsia="zh-CN"/>
        </w:rPr>
      </w:pPr>
      <w:r>
        <w:rPr>
          <w:rFonts w:hint="eastAsia" w:ascii="仿宋_GB2312" w:hAnsi="仿宋_GB2312" w:eastAsia="仿宋_GB2312" w:cs="仿宋_GB2312"/>
          <w:color w:val="auto"/>
          <w:sz w:val="28"/>
          <w:szCs w:val="28"/>
          <w:highlight w:val="none"/>
          <w:lang w:val="zh-CN" w:eastAsia="zh-CN"/>
        </w:rPr>
        <w:t>（2）发生重大伤亡及其他安全事故，承包单位应按有关规定立即上报有关部门并通知发包人，同时按政府有关部门要求处理，由事故责任方承担发生的费用。发包人、承包单位对事故责任有争议时，应按政府有关部门的认定处理。</w:t>
      </w:r>
    </w:p>
    <w:p>
      <w:pPr>
        <w:pStyle w:val="2"/>
        <w:rPr>
          <w:rFonts w:hint="eastAsia" w:ascii="仿宋_GB2312" w:hAnsi="仿宋_GB2312" w:eastAsia="仿宋_GB2312" w:cs="仿宋_GB2312"/>
          <w:color w:val="auto"/>
          <w:sz w:val="28"/>
          <w:szCs w:val="28"/>
          <w:highlight w:val="none"/>
          <w:lang w:val="zh-CN" w:eastAsia="zh-CN"/>
        </w:rPr>
      </w:pPr>
      <w:r>
        <w:rPr>
          <w:rFonts w:hint="eastAsia" w:ascii="仿宋_GB2312" w:hAnsi="仿宋_GB2312" w:eastAsia="仿宋_GB2312" w:cs="仿宋_GB2312"/>
          <w:color w:val="auto"/>
          <w:sz w:val="28"/>
          <w:szCs w:val="28"/>
          <w:highlight w:val="none"/>
          <w:lang w:val="zh-CN" w:eastAsia="zh-CN"/>
        </w:rPr>
        <w:t>（3） 承包单位在施工期间应严格遵守《中华人民共和国安全生产法》（国家主席70号令）、《建设工程安全生产管理条例》（中华人民共和国国务院令第393号）以及文明施工、深夜施工、环卫和城管等规定，建立规章制度和防护措施。若违反以上规定，由此造成的经济和法律责任，均由承包单位负责。</w:t>
      </w:r>
    </w:p>
    <w:p>
      <w:pPr>
        <w:pStyle w:val="2"/>
        <w:rPr>
          <w:rFonts w:hint="eastAsia" w:ascii="仿宋_GB2312" w:hAnsi="仿宋_GB2312" w:eastAsia="仿宋_GB2312" w:cs="仿宋_GB2312"/>
          <w:color w:val="auto"/>
          <w:sz w:val="28"/>
          <w:szCs w:val="28"/>
          <w:highlight w:val="none"/>
          <w:lang w:val="zh-CN" w:eastAsia="zh-CN"/>
        </w:rPr>
      </w:pPr>
      <w:r>
        <w:rPr>
          <w:rFonts w:hint="eastAsia" w:ascii="仿宋_GB2312" w:hAnsi="仿宋_GB2312" w:eastAsia="仿宋_GB2312" w:cs="仿宋_GB2312"/>
          <w:color w:val="auto"/>
          <w:sz w:val="28"/>
          <w:szCs w:val="28"/>
          <w:highlight w:val="none"/>
          <w:lang w:val="zh-CN" w:eastAsia="zh-CN"/>
        </w:rPr>
        <w:t>4.总包及分包规定：</w:t>
      </w:r>
    </w:p>
    <w:p>
      <w:pPr>
        <w:pStyle w:val="2"/>
        <w:rPr>
          <w:rFonts w:hint="eastAsia" w:ascii="仿宋_GB2312" w:hAnsi="仿宋_GB2312" w:eastAsia="仿宋_GB2312" w:cs="仿宋_GB2312"/>
          <w:color w:val="auto"/>
          <w:sz w:val="28"/>
          <w:szCs w:val="28"/>
          <w:highlight w:val="none"/>
          <w:lang w:val="zh-CN" w:eastAsia="zh-CN"/>
        </w:rPr>
      </w:pPr>
      <w:r>
        <w:rPr>
          <w:rFonts w:hint="eastAsia" w:ascii="仿宋_GB2312" w:hAnsi="仿宋_GB2312" w:eastAsia="仿宋_GB2312" w:cs="仿宋_GB2312"/>
          <w:color w:val="auto"/>
          <w:sz w:val="28"/>
          <w:szCs w:val="28"/>
          <w:highlight w:val="none"/>
          <w:lang w:val="zh-CN" w:eastAsia="zh-CN"/>
        </w:rPr>
        <w:t>承包单位不许转包，不许擅自分包, 否则，发包人有权单方面终止合同，并令其立即退场，由此而造成的经济损失由承包单位负责赔偿。</w:t>
      </w:r>
    </w:p>
    <w:p>
      <w:pPr>
        <w:pStyle w:val="2"/>
        <w:rPr>
          <w:rFonts w:hint="eastAsia" w:ascii="仿宋_GB2312" w:hAnsi="仿宋_GB2312" w:eastAsia="仿宋_GB2312" w:cs="仿宋_GB2312"/>
          <w:color w:val="auto"/>
          <w:sz w:val="28"/>
          <w:szCs w:val="28"/>
          <w:highlight w:val="none"/>
          <w:lang w:val="zh-CN" w:eastAsia="zh-CN"/>
        </w:rPr>
      </w:pPr>
      <w:r>
        <w:rPr>
          <w:rFonts w:hint="eastAsia" w:ascii="仿宋_GB2312" w:hAnsi="仿宋_GB2312" w:eastAsia="仿宋_GB2312" w:cs="仿宋_GB2312"/>
          <w:color w:val="auto"/>
          <w:sz w:val="28"/>
          <w:szCs w:val="28"/>
          <w:highlight w:val="none"/>
          <w:lang w:val="zh-CN" w:eastAsia="zh-CN"/>
        </w:rPr>
        <w:t>5.保修期：质保期为验收合格之日起1年。</w:t>
      </w:r>
    </w:p>
    <w:p>
      <w:pPr>
        <w:pStyle w:val="2"/>
        <w:rPr>
          <w:rFonts w:hint="eastAsia" w:ascii="仿宋_GB2312" w:hAnsi="仿宋_GB2312" w:eastAsia="仿宋_GB2312" w:cs="仿宋_GB2312"/>
          <w:color w:val="auto"/>
          <w:sz w:val="28"/>
          <w:szCs w:val="28"/>
          <w:highlight w:val="none"/>
          <w:lang w:val="zh-CN" w:eastAsia="zh-CN"/>
        </w:rPr>
      </w:pPr>
      <w:r>
        <w:rPr>
          <w:rFonts w:hint="eastAsia" w:ascii="仿宋_GB2312" w:hAnsi="仿宋_GB2312" w:eastAsia="仿宋_GB2312" w:cs="仿宋_GB2312"/>
          <w:color w:val="auto"/>
          <w:sz w:val="28"/>
          <w:szCs w:val="28"/>
          <w:highlight w:val="none"/>
          <w:lang w:val="zh-CN" w:eastAsia="zh-CN"/>
        </w:rPr>
        <w:t>6.发包人将自承包商履行完合同义务之日起三十个工作日内组织验收，验收要求、验收标准及方法如下：</w:t>
      </w:r>
    </w:p>
    <w:p>
      <w:pPr>
        <w:pStyle w:val="2"/>
        <w:rPr>
          <w:rFonts w:hint="eastAsia" w:ascii="仿宋_GB2312" w:hAnsi="仿宋_GB2312" w:eastAsia="仿宋_GB2312" w:cs="仿宋_GB2312"/>
          <w:color w:val="auto"/>
          <w:sz w:val="28"/>
          <w:szCs w:val="28"/>
          <w:highlight w:val="none"/>
          <w:lang w:val="zh-CN" w:eastAsia="zh-CN"/>
        </w:rPr>
      </w:pPr>
      <w:r>
        <w:rPr>
          <w:rFonts w:hint="eastAsia" w:ascii="仿宋_GB2312" w:hAnsi="仿宋_GB2312" w:eastAsia="仿宋_GB2312" w:cs="仿宋_GB2312"/>
          <w:color w:val="auto"/>
          <w:sz w:val="28"/>
          <w:szCs w:val="28"/>
          <w:highlight w:val="none"/>
          <w:lang w:val="zh-CN" w:eastAsia="zh-CN"/>
        </w:rPr>
        <w:t>（1）验收依据：询价文件、询价响应文件、相关国家的质量标准规定等均为验收依据。</w:t>
      </w:r>
    </w:p>
    <w:p>
      <w:pPr>
        <w:pStyle w:val="2"/>
        <w:rPr>
          <w:rFonts w:hint="eastAsia" w:ascii="仿宋_GB2312" w:hAnsi="仿宋_GB2312" w:eastAsia="仿宋_GB2312" w:cs="仿宋_GB2312"/>
          <w:color w:val="auto"/>
          <w:sz w:val="28"/>
          <w:szCs w:val="28"/>
          <w:highlight w:val="none"/>
          <w:lang w:val="zh-CN" w:eastAsia="zh-CN"/>
        </w:rPr>
      </w:pPr>
      <w:r>
        <w:rPr>
          <w:rFonts w:hint="eastAsia" w:ascii="仿宋_GB2312" w:hAnsi="仿宋_GB2312" w:eastAsia="仿宋_GB2312" w:cs="仿宋_GB2312"/>
          <w:color w:val="auto"/>
          <w:sz w:val="28"/>
          <w:szCs w:val="28"/>
          <w:highlight w:val="none"/>
          <w:lang w:val="zh-CN" w:eastAsia="zh-CN"/>
        </w:rPr>
        <w:t>（2）承包单位根据要求进行改造，完成之后，改造区域应符合使用要求，并且符合美观与周边环境协调的要求。</w:t>
      </w:r>
    </w:p>
    <w:p>
      <w:pPr>
        <w:pStyle w:val="2"/>
        <w:rPr>
          <w:rFonts w:hint="eastAsia" w:ascii="仿宋_GB2312" w:hAnsi="仿宋_GB2312" w:eastAsia="仿宋_GB2312" w:cs="仿宋_GB2312"/>
          <w:color w:val="auto"/>
          <w:sz w:val="28"/>
          <w:szCs w:val="28"/>
          <w:highlight w:val="none"/>
          <w:lang w:val="zh-CN" w:eastAsia="zh-CN"/>
        </w:rPr>
      </w:pPr>
      <w:r>
        <w:rPr>
          <w:rFonts w:hint="eastAsia" w:ascii="仿宋_GB2312" w:hAnsi="仿宋_GB2312" w:eastAsia="仿宋_GB2312" w:cs="仿宋_GB2312"/>
          <w:color w:val="auto"/>
          <w:sz w:val="28"/>
          <w:szCs w:val="28"/>
          <w:highlight w:val="none"/>
          <w:lang w:val="zh-CN" w:eastAsia="zh-CN"/>
        </w:rPr>
        <w:t>（3）发包人有权委托我国相关具有检验资质的部门、单位、机构针对项目进行检验。其检验结果将作为验收标准的组成部分之一。</w:t>
      </w:r>
    </w:p>
    <w:p>
      <w:pPr>
        <w:pStyle w:val="2"/>
        <w:rPr>
          <w:rFonts w:hint="eastAsia" w:ascii="仿宋_GB2312" w:hAnsi="仿宋_GB2312" w:eastAsia="仿宋_GB2312" w:cs="仿宋_GB2312"/>
          <w:color w:val="auto"/>
          <w:sz w:val="28"/>
          <w:szCs w:val="28"/>
          <w:highlight w:val="none"/>
          <w:lang w:val="zh-CN" w:eastAsia="zh-CN"/>
        </w:rPr>
      </w:pPr>
      <w:r>
        <w:rPr>
          <w:rFonts w:hint="eastAsia" w:ascii="仿宋_GB2312" w:hAnsi="仿宋_GB2312" w:eastAsia="仿宋_GB2312" w:cs="仿宋_GB2312"/>
          <w:color w:val="auto"/>
          <w:sz w:val="28"/>
          <w:szCs w:val="28"/>
          <w:highlight w:val="none"/>
          <w:lang w:val="zh-CN" w:eastAsia="zh-CN"/>
        </w:rPr>
        <w:t>（4）验收时承包单位必须派代表参加。</w:t>
      </w:r>
    </w:p>
    <w:p>
      <w:pPr>
        <w:pStyle w:val="2"/>
        <w:rPr>
          <w:rFonts w:hint="eastAsia" w:ascii="仿宋_GB2312" w:hAnsi="仿宋_GB2312" w:eastAsia="仿宋_GB2312" w:cs="仿宋_GB2312"/>
          <w:color w:val="auto"/>
          <w:sz w:val="28"/>
          <w:szCs w:val="28"/>
          <w:highlight w:val="none"/>
          <w:lang w:val="zh-CN" w:eastAsia="zh-CN"/>
        </w:rPr>
      </w:pPr>
      <w:r>
        <w:rPr>
          <w:rFonts w:hint="eastAsia" w:ascii="仿宋_GB2312" w:hAnsi="仿宋_GB2312" w:eastAsia="仿宋_GB2312" w:cs="仿宋_GB2312"/>
          <w:color w:val="auto"/>
          <w:sz w:val="28"/>
          <w:szCs w:val="28"/>
          <w:highlight w:val="none"/>
          <w:lang w:val="zh-CN" w:eastAsia="zh-CN"/>
        </w:rPr>
        <w:t>（5）验收过程所发生的一切费用由承包单位承担。</w:t>
      </w:r>
    </w:p>
    <w:p>
      <w:pPr>
        <w:pStyle w:val="2"/>
        <w:rPr>
          <w:rFonts w:hint="eastAsia" w:ascii="仿宋_GB2312" w:hAnsi="仿宋_GB2312" w:eastAsia="仿宋_GB2312" w:cs="仿宋_GB2312"/>
          <w:color w:val="auto"/>
          <w:sz w:val="28"/>
          <w:szCs w:val="28"/>
          <w:highlight w:val="none"/>
          <w:lang w:val="zh-CN" w:eastAsia="zh-CN"/>
        </w:rPr>
      </w:pPr>
      <w:r>
        <w:rPr>
          <w:rFonts w:hint="eastAsia" w:ascii="仿宋_GB2312" w:hAnsi="仿宋_GB2312" w:eastAsia="仿宋_GB2312" w:cs="仿宋_GB2312"/>
          <w:color w:val="auto"/>
          <w:sz w:val="28"/>
          <w:szCs w:val="28"/>
          <w:highlight w:val="none"/>
          <w:lang w:val="zh-CN" w:eastAsia="zh-CN"/>
        </w:rPr>
        <w:t>7.付款方式：采用网银支付。</w:t>
      </w:r>
    </w:p>
    <w:p>
      <w:pPr>
        <w:pStyle w:val="2"/>
        <w:rPr>
          <w:rFonts w:ascii="仿宋_GB2312" w:eastAsia="仿宋_GB2312" w:hAnsiTheme="minorEastAsia"/>
          <w:color w:val="auto"/>
          <w:szCs w:val="21"/>
          <w:highlight w:val="none"/>
        </w:rPr>
      </w:pPr>
      <w:r>
        <w:rPr>
          <w:rFonts w:hint="eastAsia" w:ascii="仿宋_GB2312" w:hAnsi="仿宋_GB2312" w:eastAsia="仿宋_GB2312" w:cs="仿宋_GB2312"/>
          <w:color w:val="auto"/>
          <w:sz w:val="28"/>
          <w:szCs w:val="28"/>
          <w:highlight w:val="none"/>
          <w:lang w:val="zh-CN" w:eastAsia="zh-CN"/>
        </w:rPr>
        <w:t>8.承包方式：包工、包料、包工期、包质量、包安全、包文明施工。综合单价包干、项目措施费包干。</w:t>
      </w:r>
    </w:p>
    <w:p>
      <w:pPr>
        <w:pStyle w:val="2"/>
        <w:rPr>
          <w:rFonts w:hint="eastAsia" w:ascii="仿宋_GB2312" w:eastAsia="仿宋_GB2312"/>
          <w:color w:val="auto"/>
          <w:sz w:val="28"/>
          <w:szCs w:val="28"/>
          <w:highlight w:val="none"/>
          <w:u w:val="single"/>
        </w:rPr>
      </w:pPr>
    </w:p>
    <w:p>
      <w:pPr>
        <w:pStyle w:val="2"/>
        <w:rPr>
          <w:rFonts w:hint="eastAsia" w:ascii="仿宋_GB2312" w:eastAsia="仿宋_GB2312"/>
          <w:color w:val="auto"/>
          <w:sz w:val="28"/>
          <w:szCs w:val="28"/>
          <w:highlight w:val="none"/>
          <w:u w:val="singl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ind w:firstLine="0"/>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4"/>
        <w:rPr>
          <w:color w:val="auto"/>
          <w:highlight w:val="none"/>
        </w:rPr>
      </w:pPr>
      <w:bookmarkStart w:id="61" w:name="_Toc18538"/>
      <w:bookmarkStart w:id="62" w:name="_Toc1284"/>
      <w:bookmarkStart w:id="63" w:name="_Toc12135"/>
      <w:bookmarkStart w:id="64" w:name="_Toc15570"/>
      <w:bookmarkStart w:id="65" w:name="_Toc537"/>
      <w:bookmarkStart w:id="66" w:name="_Toc25925"/>
      <w:bookmarkStart w:id="67" w:name="_Toc23330"/>
      <w:bookmarkStart w:id="68" w:name="_Toc29835"/>
      <w:bookmarkStart w:id="69" w:name="_Toc1496"/>
      <w:bookmarkStart w:id="70" w:name="_Toc4680"/>
      <w:bookmarkStart w:id="71" w:name="_Toc23353"/>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JB2joP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jZm8c8QEAAOI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YvOHNg6cJ/&#10;fvr26+Pnuy8/7r5/Zcus0BCwpsCNu4mnHYabmOke2mjzn4iwQ1H1eFZVHRITdPhisVwuSG9x76oe&#10;8kLE9Ep5y7LRcEwRdNenjXeOrs7HWREV9q8xUWVKvE/IRY1jQ4afU+sCaBRbGgEybSA66LqSi95o&#10;ea2NyRkYu93GRLaHPA7ly/wI96+wXGQL2I9xxTUOSq9AvnSSpWMgoRy9D55bsEpyZhQ9p2wRINQJ&#10;tLkkkkobRx1kiUdRs7Xz8li0Lud09aXH05jm2fpzX7Ifnub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jZm8c8QEAAOIDAAAOAAAAAAAAAAEAIAAAACY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第六章</w:t>
      </w:r>
      <w:bookmarkEnd w:id="61"/>
      <w:bookmarkEnd w:id="62"/>
      <w:bookmarkEnd w:id="63"/>
      <w:bookmarkEnd w:id="64"/>
      <w:bookmarkEnd w:id="65"/>
      <w:bookmarkEnd w:id="66"/>
      <w:bookmarkEnd w:id="67"/>
      <w:bookmarkEnd w:id="68"/>
      <w:bookmarkEnd w:id="69"/>
      <w:bookmarkEnd w:id="70"/>
      <w:bookmarkEnd w:id="71"/>
    </w:p>
    <w:p>
      <w:pPr>
        <w:pStyle w:val="37"/>
        <w:rPr>
          <w:color w:val="auto"/>
          <w:highlight w:val="none"/>
        </w:rPr>
      </w:pPr>
    </w:p>
    <w:p>
      <w:pPr>
        <w:pStyle w:val="4"/>
        <w:rPr>
          <w:color w:val="auto"/>
          <w:highlight w:val="none"/>
        </w:rPr>
      </w:pPr>
      <w:bookmarkStart w:id="72" w:name="_Toc12968"/>
      <w:bookmarkStart w:id="73" w:name="_Toc22501"/>
      <w:bookmarkStart w:id="74" w:name="_Toc8183"/>
      <w:bookmarkStart w:id="75" w:name="_Toc323"/>
      <w:bookmarkStart w:id="76" w:name="_Toc1375"/>
      <w:bookmarkStart w:id="77" w:name="_Toc22797"/>
      <w:bookmarkStart w:id="78" w:name="_Toc19686"/>
      <w:bookmarkStart w:id="79" w:name="_Toc19088"/>
      <w:bookmarkStart w:id="80" w:name="_Toc87616386"/>
      <w:bookmarkStart w:id="81" w:name="_Toc13309"/>
      <w:bookmarkStart w:id="82" w:name="_Toc12721"/>
      <w:bookmarkStart w:id="83" w:name="_Toc12980"/>
      <w:bookmarkStart w:id="84" w:name="_Toc88209949"/>
      <w:r>
        <w:rPr>
          <w:rFonts w:hint="eastAsia"/>
          <w:color w:val="auto"/>
          <w:highlight w:val="none"/>
        </w:rPr>
        <w:t>合同</w:t>
      </w:r>
      <w:bookmarkEnd w:id="72"/>
      <w:bookmarkEnd w:id="73"/>
      <w:bookmarkEnd w:id="74"/>
      <w:bookmarkEnd w:id="75"/>
      <w:bookmarkEnd w:id="76"/>
      <w:bookmarkEnd w:id="77"/>
      <w:bookmarkEnd w:id="78"/>
      <w:bookmarkEnd w:id="79"/>
      <w:bookmarkEnd w:id="80"/>
      <w:bookmarkEnd w:id="81"/>
      <w:bookmarkEnd w:id="82"/>
      <w:bookmarkEnd w:id="83"/>
      <w:bookmarkEnd w:id="84"/>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28"/>
        <w:rPr>
          <w:rFonts w:ascii="方正小标宋简体" w:eastAsia="方正小标宋简体"/>
          <w:color w:val="auto"/>
          <w:sz w:val="44"/>
          <w:szCs w:val="44"/>
          <w:highlight w:val="none"/>
        </w:rPr>
      </w:pPr>
    </w:p>
    <w:p>
      <w:pPr>
        <w:pStyle w:val="28"/>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rPr>
          <w:rFonts w:ascii="宋体" w:hAnsi="宋体"/>
          <w:b/>
          <w:color w:val="auto"/>
          <w:szCs w:val="21"/>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spacing w:line="400" w:lineRule="atLeast"/>
        <w:jc w:val="center"/>
        <w:rPr>
          <w:rFonts w:ascii="宋体" w:hAnsi="宋体" w:cs="宋体"/>
          <w:b/>
          <w:bCs/>
          <w:color w:val="auto"/>
          <w:sz w:val="48"/>
          <w:szCs w:val="48"/>
          <w:highlight w:val="none"/>
        </w:rPr>
      </w:pPr>
      <w:r>
        <w:rPr>
          <w:rFonts w:hint="eastAsia" w:ascii="宋体" w:hAnsi="宋体" w:cs="宋体"/>
          <w:b/>
          <w:bCs/>
          <w:color w:val="auto"/>
          <w:sz w:val="48"/>
          <w:szCs w:val="48"/>
          <w:highlight w:val="none"/>
        </w:rPr>
        <w:t>广州市净水有限公司</w:t>
      </w:r>
    </w:p>
    <w:p>
      <w:pPr>
        <w:spacing w:line="400" w:lineRule="atLeast"/>
        <w:jc w:val="center"/>
        <w:rPr>
          <w:rFonts w:asciiTheme="majorHAnsi" w:hAnsiTheme="majorHAnsi" w:eastAsiaTheme="majorEastAsia"/>
          <w:b/>
          <w:bCs/>
          <w:color w:val="auto"/>
          <w:sz w:val="52"/>
          <w:szCs w:val="52"/>
          <w:highlight w:val="none"/>
        </w:rPr>
      </w:pPr>
      <w:r>
        <w:rPr>
          <w:rFonts w:hint="eastAsia" w:ascii="宋体" w:hAnsi="宋体" w:cs="宋体"/>
          <w:b/>
          <w:bCs/>
          <w:color w:val="auto"/>
          <w:sz w:val="48"/>
          <w:szCs w:val="48"/>
          <w:highlight w:val="none"/>
        </w:rPr>
        <w:t>设备维修维护/技改项目合同</w:t>
      </w:r>
    </w:p>
    <w:p>
      <w:pPr>
        <w:spacing w:line="400" w:lineRule="atLeast"/>
        <w:jc w:val="center"/>
        <w:rPr>
          <w:rFonts w:ascii="宋体" w:hAnsi="宋体"/>
          <w:b/>
          <w:color w:val="auto"/>
          <w:sz w:val="28"/>
          <w:highlight w:val="none"/>
        </w:rPr>
      </w:pPr>
    </w:p>
    <w:p>
      <w:pPr>
        <w:spacing w:line="0" w:lineRule="atLeast"/>
        <w:rPr>
          <w:rFonts w:ascii="宋体" w:hAnsi="宋体"/>
          <w:b/>
          <w:color w:val="auto"/>
          <w:sz w:val="30"/>
          <w:highlight w:val="none"/>
        </w:rPr>
      </w:pPr>
    </w:p>
    <w:p>
      <w:pPr>
        <w:spacing w:line="0" w:lineRule="atLeast"/>
        <w:rPr>
          <w:rFonts w:ascii="仿宋_GB2312" w:hAnsi="宋体" w:eastAsia="仿宋_GB2312"/>
          <w:b/>
          <w:color w:val="auto"/>
          <w:sz w:val="30"/>
          <w:szCs w:val="30"/>
          <w:highlight w:val="none"/>
        </w:rPr>
      </w:pPr>
    </w:p>
    <w:p>
      <w:pPr>
        <w:widowControl/>
        <w:adjustRightInd w:val="0"/>
        <w:snapToGrid w:val="0"/>
        <w:spacing w:line="600" w:lineRule="exact"/>
        <w:jc w:val="left"/>
        <w:rPr>
          <w:rFonts w:hint="eastAsia" w:ascii="宋体" w:hAnsi="宋体" w:cs="宋体"/>
          <w:b/>
          <w:color w:val="auto"/>
          <w:sz w:val="30"/>
          <w:szCs w:val="30"/>
          <w:highlight w:val="none"/>
        </w:rPr>
      </w:pPr>
      <w:r>
        <w:rPr>
          <w:rFonts w:hint="eastAsia" w:ascii="宋体" w:hAnsi="宋体" w:cs="宋体"/>
          <w:b/>
          <w:color w:val="auto"/>
          <w:sz w:val="30"/>
          <w:szCs w:val="30"/>
          <w:highlight w:val="none"/>
        </w:rPr>
        <w:t>项目名称</w:t>
      </w:r>
      <w:r>
        <w:rPr>
          <w:rFonts w:ascii="宋体" w:hAnsi="宋体" w:cs="宋体"/>
          <w:b/>
          <w:color w:val="auto"/>
          <w:sz w:val="30"/>
          <w:szCs w:val="30"/>
          <w:highlight w:val="none"/>
        </w:rPr>
        <w:t>:</w:t>
      </w:r>
      <w:r>
        <w:rPr>
          <w:rFonts w:hint="eastAsia" w:ascii="宋体" w:hAnsi="宋体" w:cs="宋体"/>
          <w:b/>
          <w:color w:val="auto"/>
          <w:sz w:val="30"/>
          <w:szCs w:val="30"/>
          <w:highlight w:val="none"/>
        </w:rPr>
        <w:t>广州市净水有限公司竹料分公司2023年一期南、扩建北反应池曝气头及曝气管大修项目</w:t>
      </w:r>
    </w:p>
    <w:p>
      <w:pPr>
        <w:widowControl/>
        <w:adjustRightInd w:val="0"/>
        <w:snapToGrid w:val="0"/>
        <w:spacing w:line="600" w:lineRule="exact"/>
        <w:jc w:val="left"/>
        <w:rPr>
          <w:rFonts w:hint="eastAsia" w:ascii="宋体" w:hAnsi="宋体" w:cs="宋体"/>
          <w:b/>
          <w:color w:val="auto"/>
          <w:sz w:val="30"/>
          <w:szCs w:val="30"/>
          <w:highlight w:val="none"/>
        </w:rPr>
      </w:pPr>
    </w:p>
    <w:p>
      <w:pPr>
        <w:widowControl/>
        <w:adjustRightInd w:val="0"/>
        <w:snapToGrid w:val="0"/>
        <w:spacing w:line="600" w:lineRule="exact"/>
        <w:jc w:val="left"/>
        <w:rPr>
          <w:rFonts w:hint="eastAsia" w:ascii="宋体" w:hAnsi="宋体" w:cs="宋体" w:eastAsiaTheme="minorEastAsia"/>
          <w:b/>
          <w:color w:val="auto"/>
          <w:sz w:val="30"/>
          <w:szCs w:val="30"/>
          <w:highlight w:val="none"/>
          <w:lang w:eastAsia="zh-CN"/>
        </w:rPr>
      </w:pPr>
      <w:r>
        <w:rPr>
          <w:rFonts w:hint="eastAsia" w:ascii="宋体" w:hAnsi="宋体" w:cs="宋体"/>
          <w:b/>
          <w:color w:val="auto"/>
          <w:sz w:val="30"/>
          <w:szCs w:val="30"/>
          <w:highlight w:val="none"/>
        </w:rPr>
        <w:t>项目编号：</w:t>
      </w:r>
      <w:r>
        <w:rPr>
          <w:rFonts w:hint="eastAsia" w:ascii="宋体" w:hAnsi="宋体" w:cs="宋体"/>
          <w:b/>
          <w:color w:val="auto"/>
          <w:sz w:val="30"/>
          <w:szCs w:val="30"/>
          <w:highlight w:val="none"/>
          <w:lang w:val="en-US" w:eastAsia="zh-CN"/>
        </w:rPr>
        <w:t xml:space="preserve"> </w:t>
      </w:r>
    </w:p>
    <w:p>
      <w:pPr>
        <w:pStyle w:val="28"/>
        <w:rPr>
          <w:rFonts w:hAnsi="宋体" w:eastAsia="宋体"/>
          <w:color w:val="auto"/>
          <w:highlight w:val="none"/>
        </w:rPr>
      </w:pPr>
    </w:p>
    <w:p>
      <w:pPr>
        <w:spacing w:line="400" w:lineRule="atLeast"/>
        <w:rPr>
          <w:rFonts w:ascii="宋体" w:hAnsi="宋体" w:cs="宋体"/>
          <w:b/>
          <w:color w:val="auto"/>
          <w:sz w:val="30"/>
          <w:szCs w:val="30"/>
          <w:highlight w:val="none"/>
        </w:rPr>
      </w:pPr>
    </w:p>
    <w:p>
      <w:pPr>
        <w:spacing w:line="480" w:lineRule="auto"/>
        <w:rPr>
          <w:rFonts w:ascii="宋体" w:hAnsi="宋体" w:cs="宋体"/>
          <w:b/>
          <w:bCs/>
          <w:color w:val="auto"/>
          <w:sz w:val="30"/>
          <w:szCs w:val="30"/>
          <w:highlight w:val="none"/>
        </w:rPr>
      </w:pPr>
      <w:r>
        <w:rPr>
          <w:rFonts w:hint="eastAsia" w:ascii="宋体" w:hAnsi="宋体" w:cs="宋体"/>
          <w:b/>
          <w:color w:val="auto"/>
          <w:sz w:val="30"/>
          <w:szCs w:val="30"/>
          <w:highlight w:val="none"/>
        </w:rPr>
        <w:t>合同编号：</w:t>
      </w:r>
      <w:r>
        <w:rPr>
          <w:rFonts w:hint="eastAsia" w:ascii="宋体" w:hAnsi="宋体" w:cs="宋体"/>
          <w:b/>
          <w:bCs/>
          <w:color w:val="auto"/>
          <w:sz w:val="30"/>
          <w:szCs w:val="30"/>
          <w:highlight w:val="none"/>
        </w:rPr>
        <w:t>穗净水合[     ]    号</w:t>
      </w:r>
    </w:p>
    <w:p>
      <w:pPr>
        <w:spacing w:line="400" w:lineRule="atLeast"/>
        <w:ind w:firstLine="602" w:firstLineChars="200"/>
        <w:rPr>
          <w:rFonts w:ascii="宋体" w:hAnsi="宋体" w:cs="宋体"/>
          <w:b/>
          <w:color w:val="auto"/>
          <w:sz w:val="30"/>
          <w:szCs w:val="30"/>
          <w:highlight w:val="none"/>
        </w:rPr>
      </w:pPr>
    </w:p>
    <w:p>
      <w:pPr>
        <w:spacing w:line="400" w:lineRule="atLeast"/>
        <w:rPr>
          <w:rFonts w:ascii="宋体" w:hAnsi="宋体" w:cs="宋体"/>
          <w:b/>
          <w:color w:val="auto"/>
          <w:sz w:val="30"/>
          <w:szCs w:val="30"/>
          <w:highlight w:val="none"/>
        </w:rPr>
      </w:pPr>
    </w:p>
    <w:p>
      <w:pPr>
        <w:spacing w:line="400" w:lineRule="atLeast"/>
        <w:rPr>
          <w:rFonts w:ascii="宋体" w:hAnsi="宋体" w:cs="宋体"/>
          <w:b/>
          <w:color w:val="auto"/>
          <w:sz w:val="30"/>
          <w:szCs w:val="30"/>
          <w:highlight w:val="none"/>
        </w:rPr>
      </w:pPr>
      <w:r>
        <w:rPr>
          <w:rFonts w:hint="eastAsia" w:ascii="宋体" w:hAnsi="宋体" w:cs="宋体"/>
          <w:b/>
          <w:color w:val="auto"/>
          <w:sz w:val="30"/>
          <w:szCs w:val="30"/>
          <w:highlight w:val="none"/>
        </w:rPr>
        <w:t>甲方： 广州市净水有限公司</w:t>
      </w:r>
    </w:p>
    <w:p>
      <w:pPr>
        <w:spacing w:line="400" w:lineRule="atLeast"/>
        <w:rPr>
          <w:rFonts w:ascii="宋体" w:hAnsi="宋体" w:cs="宋体"/>
          <w:b/>
          <w:color w:val="auto"/>
          <w:sz w:val="30"/>
          <w:szCs w:val="30"/>
          <w:highlight w:val="none"/>
        </w:rPr>
      </w:pPr>
    </w:p>
    <w:p>
      <w:pPr>
        <w:spacing w:line="400" w:lineRule="atLeast"/>
        <w:rPr>
          <w:rFonts w:ascii="宋体" w:hAnsi="宋体" w:cs="宋体"/>
          <w:b/>
          <w:color w:val="auto"/>
          <w:sz w:val="30"/>
          <w:szCs w:val="30"/>
          <w:highlight w:val="none"/>
        </w:rPr>
      </w:pPr>
      <w:r>
        <w:rPr>
          <w:rFonts w:hint="eastAsia" w:ascii="宋体" w:hAnsi="宋体" w:cs="宋体"/>
          <w:b/>
          <w:color w:val="auto"/>
          <w:sz w:val="30"/>
          <w:szCs w:val="30"/>
          <w:highlight w:val="none"/>
        </w:rPr>
        <w:t>乙方</w:t>
      </w:r>
      <w:r>
        <w:rPr>
          <w:rFonts w:hint="eastAsia" w:ascii="宋体" w:hAnsi="宋体" w:cs="宋体"/>
          <w:color w:val="auto"/>
          <w:sz w:val="30"/>
          <w:szCs w:val="30"/>
          <w:highlight w:val="none"/>
        </w:rPr>
        <w:t>：</w:t>
      </w:r>
    </w:p>
    <w:p>
      <w:pPr>
        <w:spacing w:line="400" w:lineRule="atLeast"/>
        <w:rPr>
          <w:rFonts w:ascii="宋体" w:hAnsi="宋体" w:cs="宋体"/>
          <w:b/>
          <w:color w:val="auto"/>
          <w:sz w:val="30"/>
          <w:szCs w:val="30"/>
          <w:highlight w:val="none"/>
        </w:rPr>
      </w:pPr>
    </w:p>
    <w:p>
      <w:pPr>
        <w:spacing w:line="400" w:lineRule="atLeast"/>
        <w:rPr>
          <w:rFonts w:ascii="宋体" w:hAnsi="宋体" w:cs="宋体"/>
          <w:b/>
          <w:color w:val="auto"/>
          <w:sz w:val="30"/>
          <w:szCs w:val="30"/>
          <w:highlight w:val="none"/>
        </w:rPr>
      </w:pPr>
      <w:r>
        <w:rPr>
          <w:rFonts w:hint="eastAsia" w:ascii="宋体" w:hAnsi="宋体" w:cs="宋体"/>
          <w:b/>
          <w:color w:val="auto"/>
          <w:sz w:val="30"/>
          <w:szCs w:val="30"/>
          <w:highlight w:val="none"/>
        </w:rPr>
        <w:t xml:space="preserve">签订日期：       年   月   日       </w:t>
      </w:r>
    </w:p>
    <w:p>
      <w:pPr>
        <w:spacing w:line="400" w:lineRule="atLeast"/>
        <w:rPr>
          <w:rFonts w:ascii="宋体" w:hAnsi="宋体" w:cs="宋体"/>
          <w:b/>
          <w:color w:val="auto"/>
          <w:sz w:val="30"/>
          <w:highlight w:val="none"/>
        </w:rPr>
      </w:pPr>
      <w:r>
        <w:rPr>
          <w:rFonts w:hint="eastAsia" w:ascii="宋体" w:hAnsi="宋体" w:cs="宋体"/>
          <w:b/>
          <w:color w:val="auto"/>
          <w:sz w:val="30"/>
          <w:highlight w:val="none"/>
        </w:rPr>
        <w:t>签约地点：广州市</w:t>
      </w:r>
    </w:p>
    <w:p>
      <w:pPr>
        <w:spacing w:before="93" w:beforeLines="30" w:line="384" w:lineRule="auto"/>
        <w:ind w:left="210" w:leftChars="100" w:firstLine="600" w:firstLineChars="250"/>
        <w:rPr>
          <w:rFonts w:hint="eastAsia" w:ascii="宋体" w:hAnsi="宋体" w:cs="宋体"/>
          <w:color w:val="auto"/>
          <w:sz w:val="24"/>
          <w:highlight w:val="none"/>
        </w:rPr>
      </w:pPr>
    </w:p>
    <w:p>
      <w:pPr>
        <w:pStyle w:val="28"/>
        <w:rPr>
          <w:rFonts w:hint="eastAsia"/>
          <w:color w:val="auto"/>
          <w:highlight w:val="none"/>
        </w:rPr>
      </w:pPr>
    </w:p>
    <w:p>
      <w:pPr>
        <w:spacing w:before="93" w:beforeLines="30" w:line="384" w:lineRule="auto"/>
        <w:ind w:left="0" w:leftChars="0" w:firstLine="480" w:firstLineChars="200"/>
        <w:rPr>
          <w:rFonts w:ascii="宋体" w:hAnsi="宋体" w:cs="宋体"/>
          <w:color w:val="auto"/>
          <w:sz w:val="24"/>
          <w:highlight w:val="none"/>
        </w:rPr>
      </w:pPr>
      <w:r>
        <w:rPr>
          <w:rFonts w:hint="eastAsia" w:ascii="宋体" w:hAnsi="宋体" w:cs="宋体"/>
          <w:color w:val="auto"/>
          <w:sz w:val="24"/>
          <w:highlight w:val="none"/>
        </w:rPr>
        <w:t>根据《中华人民共和国民法典》及其他有关法律、行政法规，</w:t>
      </w:r>
      <w:r>
        <w:rPr>
          <w:rFonts w:hint="eastAsia" w:ascii="宋体" w:hAnsi="宋体" w:cs="宋体"/>
          <w:color w:val="auto"/>
          <w:sz w:val="24"/>
          <w:highlight w:val="none"/>
          <w:u w:val="single"/>
        </w:rPr>
        <w:t>广州市净水有限公司</w:t>
      </w:r>
      <w:r>
        <w:rPr>
          <w:rFonts w:hint="eastAsia" w:ascii="宋体" w:hAnsi="宋体" w:cs="宋体"/>
          <w:color w:val="auto"/>
          <w:sz w:val="24"/>
          <w:highlight w:val="none"/>
        </w:rPr>
        <w:t xml:space="preserve"> （以下简称“甲方”）与 </w:t>
      </w:r>
      <w:r>
        <w:rPr>
          <w:rFonts w:hint="eastAsia" w:ascii="宋体" w:hAnsi="宋体" w:cs="宋体"/>
          <w:color w:val="auto"/>
          <w:sz w:val="24"/>
          <w:highlight w:val="none"/>
          <w:u w:val="single"/>
        </w:rPr>
        <w:t>…</w:t>
      </w:r>
      <w:r>
        <w:rPr>
          <w:rFonts w:hint="eastAsia" w:ascii="宋体" w:hAnsi="宋体" w:cs="宋体"/>
          <w:color w:val="auto"/>
          <w:sz w:val="24"/>
          <w:highlight w:val="none"/>
        </w:rPr>
        <w:t>（以下简称“乙方”）就 项目承接工作事宜，遵循平等、自愿、公平和诚实信用的原则，双方协商一致，订立本合同。</w:t>
      </w:r>
    </w:p>
    <w:p>
      <w:pPr>
        <w:spacing w:before="93" w:beforeLines="30" w:line="384" w:lineRule="auto"/>
        <w:ind w:left="210" w:leftChars="100" w:firstLine="482" w:firstLineChars="200"/>
        <w:rPr>
          <w:rFonts w:ascii="宋体" w:hAnsi="宋体" w:cs="宋体"/>
          <w:b/>
          <w:bCs/>
          <w:color w:val="auto"/>
          <w:sz w:val="24"/>
          <w:highlight w:val="none"/>
        </w:rPr>
      </w:pPr>
      <w:r>
        <w:rPr>
          <w:rFonts w:hint="eastAsia" w:ascii="宋体" w:hAnsi="宋体" w:cs="宋体"/>
          <w:b/>
          <w:bCs/>
          <w:color w:val="auto"/>
          <w:sz w:val="24"/>
          <w:highlight w:val="none"/>
        </w:rPr>
        <w:t>第一条 组成合同的文件及优先顺序</w:t>
      </w:r>
    </w:p>
    <w:p>
      <w:pPr>
        <w:spacing w:line="384" w:lineRule="auto"/>
        <w:ind w:firstLine="482"/>
        <w:rPr>
          <w:rFonts w:ascii="宋体" w:hAnsi="宋体" w:cs="宋体"/>
          <w:bCs/>
          <w:color w:val="auto"/>
          <w:sz w:val="24"/>
          <w:highlight w:val="none"/>
        </w:rPr>
      </w:pPr>
      <w:r>
        <w:rPr>
          <w:rFonts w:hint="eastAsia" w:hAnsi="宋体" w:cs="宋体"/>
          <w:bCs/>
          <w:color w:val="auto"/>
          <w:sz w:val="24"/>
          <w:highlight w:val="none"/>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 xml:space="preserve">⑴ </w:t>
      </w:r>
      <w:r>
        <w:rPr>
          <w:rFonts w:hint="eastAsia" w:ascii="宋体" w:hAnsi="宋体" w:cs="宋体"/>
          <w:color w:val="auto"/>
          <w:sz w:val="24"/>
          <w:highlight w:val="none"/>
        </w:rPr>
        <w:t>在本合同实施过程双方签署的补充与修正文件</w:t>
      </w:r>
      <w:r>
        <w:rPr>
          <w:rFonts w:hint="eastAsia" w:ascii="宋体" w:hAnsi="宋体" w:cs="宋体"/>
          <w:bCs/>
          <w:color w:val="auto"/>
          <w:sz w:val="24"/>
          <w:highlight w:val="none"/>
        </w:rPr>
        <w:t>；</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⑵ 本合同书；</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⑶ 中标通知书/发包通知书/成交通知书/委托函；</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⑷ 招标文件/询价文件；</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⑸ 投标文件/响应文件；</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⑹ 标准、规范及有关技术性文件；</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⑺ 图纸；</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⑻ 工程量清单/</w:t>
      </w:r>
      <w:r>
        <w:rPr>
          <w:rFonts w:hint="eastAsia" w:ascii="宋体" w:hAnsi="宋体" w:cs="宋体"/>
          <w:color w:val="auto"/>
          <w:sz w:val="24"/>
          <w:highlight w:val="none"/>
        </w:rPr>
        <w:t>工程报价单或预算书；</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⑼ 本合同其他附件；</w:t>
      </w:r>
    </w:p>
    <w:p>
      <w:pPr>
        <w:spacing w:line="384" w:lineRule="auto"/>
        <w:ind w:firstLine="482"/>
        <w:rPr>
          <w:rFonts w:ascii="宋体" w:hAnsi="宋体" w:cs="宋体"/>
          <w:b/>
          <w:bCs/>
          <w:color w:val="auto"/>
          <w:sz w:val="24"/>
          <w:highlight w:val="none"/>
        </w:rPr>
      </w:pPr>
      <w:r>
        <w:rPr>
          <w:rFonts w:hint="eastAsia" w:ascii="宋体" w:hAnsi="宋体" w:cs="宋体"/>
          <w:b/>
          <w:bCs/>
          <w:color w:val="auto"/>
          <w:sz w:val="24"/>
          <w:highlight w:val="none"/>
        </w:rPr>
        <w:t>第二条 项目概况、项目承包范围</w:t>
      </w:r>
    </w:p>
    <w:p>
      <w:pPr>
        <w:spacing w:line="384"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2.1项目名称：</w:t>
      </w:r>
      <w:r>
        <w:rPr>
          <w:rFonts w:hint="eastAsia" w:ascii="宋体" w:hAnsi="宋体" w:cs="宋体"/>
          <w:color w:val="auto"/>
          <w:sz w:val="24"/>
          <w:highlight w:val="none"/>
          <w:u w:val="single"/>
        </w:rPr>
        <w:t>广州市净水有限公司竹料分公司2023年一期南、扩建北反应池曝气头及曝气管大修项目</w:t>
      </w:r>
    </w:p>
    <w:p>
      <w:pPr>
        <w:spacing w:line="384"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2.2项目地点：</w:t>
      </w:r>
      <w:r>
        <w:rPr>
          <w:rFonts w:hint="eastAsia" w:ascii="宋体" w:hAnsi="宋体" w:cs="宋体"/>
          <w:color w:val="auto"/>
          <w:sz w:val="24"/>
          <w:highlight w:val="none"/>
          <w:u w:val="single"/>
        </w:rPr>
        <w:t>广州市白云区钟落潭镇竹二路兰桂街100号 。</w:t>
      </w:r>
    </w:p>
    <w:p>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2.3项目内容：</w:t>
      </w:r>
      <w:r>
        <w:rPr>
          <w:rFonts w:hint="eastAsia" w:ascii="宋体" w:hAnsi="宋体" w:cs="宋体"/>
          <w:color w:val="auto"/>
          <w:sz w:val="24"/>
          <w:highlight w:val="none"/>
          <w:lang w:val="en-US" w:eastAsia="zh-CN"/>
        </w:rPr>
        <w:t>一期扩建北反应池装有曝气头1408个，需要对一期扩建北反应池更换1408个曝气头。一期反应池南池曝气头1408个，需要对一期反应池南池更换1408个曝气头，同步更换曝气管为304不锈钢厚度5mm,包含橡胶膜微孔曝气器及不锈钢曝气管路等管件的运输、拆卸、安装，提供池底向上1m不锈钢法兰处以下所有曝气器及不锈钢管配件。（一期反应池南池原曝气头型号为：卡扣式KBB-215型；本次曝气头大修更换型号为：螺纹旋钮式XZ-215型,直径270）。</w:t>
      </w:r>
    </w:p>
    <w:p>
      <w:pPr>
        <w:spacing w:line="38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项目承包范围：包括提供所有需要的材料、机械、人工、设施、完成合同约定的工作和服务。按照甲方审核同意的方案、图纸所包括的实施范围和内容进行施工并在质量保修期内承担项目质量保修责任。（如需可附表）</w:t>
      </w:r>
    </w:p>
    <w:tbl>
      <w:tblPr>
        <w:tblStyle w:val="23"/>
        <w:tblW w:w="100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1"/>
        <w:gridCol w:w="3478"/>
        <w:gridCol w:w="3544"/>
        <w:gridCol w:w="1305"/>
        <w:gridCol w:w="9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exact"/>
          <w:jc w:val="center"/>
        </w:trPr>
        <w:tc>
          <w:tcPr>
            <w:tcW w:w="741" w:type="dxa"/>
            <w:tcBorders>
              <w:right w:val="single" w:color="auto" w:sz="4" w:space="0"/>
            </w:tcBorders>
            <w:vAlign w:val="center"/>
          </w:tcPr>
          <w:p>
            <w:pPr>
              <w:spacing w:line="384" w:lineRule="auto"/>
              <w:jc w:val="center"/>
              <w:rPr>
                <w:rFonts w:ascii="宋体" w:hAnsi="宋体" w:cs="宋体"/>
                <w:color w:val="auto"/>
                <w:sz w:val="24"/>
                <w:highlight w:val="none"/>
              </w:rPr>
            </w:pPr>
            <w:r>
              <w:rPr>
                <w:rFonts w:hint="eastAsia" w:ascii="宋体" w:hAnsi="宋体" w:cs="宋体"/>
                <w:color w:val="auto"/>
                <w:sz w:val="24"/>
                <w:highlight w:val="none"/>
              </w:rPr>
              <w:t>序号</w:t>
            </w:r>
          </w:p>
        </w:tc>
        <w:tc>
          <w:tcPr>
            <w:tcW w:w="3478" w:type="dxa"/>
            <w:tcBorders>
              <w:left w:val="single" w:color="auto" w:sz="4" w:space="0"/>
              <w:right w:val="single" w:color="auto" w:sz="4" w:space="0"/>
            </w:tcBorders>
            <w:vAlign w:val="center"/>
          </w:tcPr>
          <w:p>
            <w:pPr>
              <w:spacing w:line="384" w:lineRule="auto"/>
              <w:jc w:val="center"/>
              <w:rPr>
                <w:rFonts w:ascii="宋体" w:hAnsi="宋体" w:cs="宋体"/>
                <w:color w:val="auto"/>
                <w:sz w:val="24"/>
                <w:highlight w:val="none"/>
              </w:rPr>
            </w:pPr>
            <w:r>
              <w:rPr>
                <w:rFonts w:hint="eastAsia" w:ascii="宋体" w:hAnsi="宋体" w:cs="宋体"/>
                <w:color w:val="auto"/>
                <w:sz w:val="24"/>
                <w:highlight w:val="none"/>
              </w:rPr>
              <w:t>名称</w:t>
            </w:r>
          </w:p>
        </w:tc>
        <w:tc>
          <w:tcPr>
            <w:tcW w:w="3544" w:type="dxa"/>
            <w:tcBorders>
              <w:left w:val="single" w:color="auto" w:sz="4" w:space="0"/>
            </w:tcBorders>
            <w:vAlign w:val="center"/>
          </w:tcPr>
          <w:p>
            <w:pPr>
              <w:widowControl/>
              <w:spacing w:line="384" w:lineRule="auto"/>
              <w:jc w:val="center"/>
              <w:rPr>
                <w:rFonts w:ascii="宋体" w:hAnsi="宋体" w:cs="宋体"/>
                <w:color w:val="auto"/>
                <w:sz w:val="24"/>
                <w:highlight w:val="none"/>
              </w:rPr>
            </w:pPr>
            <w:r>
              <w:rPr>
                <w:rFonts w:hint="eastAsia" w:ascii="宋体" w:hAnsi="宋体" w:cs="宋体"/>
                <w:color w:val="auto"/>
                <w:sz w:val="24"/>
                <w:highlight w:val="none"/>
              </w:rPr>
              <w:t>参数要求</w:t>
            </w:r>
          </w:p>
        </w:tc>
        <w:tc>
          <w:tcPr>
            <w:tcW w:w="1305" w:type="dxa"/>
            <w:tcBorders>
              <w:right w:val="single" w:color="auto" w:sz="4" w:space="0"/>
            </w:tcBorders>
            <w:vAlign w:val="center"/>
          </w:tcPr>
          <w:p>
            <w:pPr>
              <w:spacing w:line="384" w:lineRule="auto"/>
              <w:jc w:val="center"/>
              <w:rPr>
                <w:rFonts w:ascii="宋体" w:hAnsi="宋体" w:cs="宋体"/>
                <w:color w:val="auto"/>
                <w:sz w:val="24"/>
                <w:highlight w:val="none"/>
              </w:rPr>
            </w:pPr>
            <w:r>
              <w:rPr>
                <w:rFonts w:hint="eastAsia" w:ascii="宋体" w:hAnsi="宋体" w:cs="宋体"/>
                <w:color w:val="auto"/>
                <w:sz w:val="24"/>
                <w:highlight w:val="none"/>
              </w:rPr>
              <w:t>数量</w:t>
            </w:r>
          </w:p>
        </w:tc>
        <w:tc>
          <w:tcPr>
            <w:tcW w:w="963" w:type="dxa"/>
            <w:tcBorders>
              <w:left w:val="single" w:color="auto" w:sz="4" w:space="0"/>
            </w:tcBorders>
            <w:vAlign w:val="center"/>
          </w:tcPr>
          <w:p>
            <w:pPr>
              <w:spacing w:line="384" w:lineRule="auto"/>
              <w:jc w:val="center"/>
              <w:rPr>
                <w:rFonts w:ascii="宋体" w:hAnsi="宋体" w:cs="宋体"/>
                <w:color w:val="auto"/>
                <w:sz w:val="24"/>
                <w:highlight w:val="none"/>
              </w:rPr>
            </w:pPr>
            <w:r>
              <w:rPr>
                <w:rFonts w:hint="eastAsia" w:ascii="宋体" w:hAnsi="宋体" w:cs="宋体"/>
                <w:color w:val="auto"/>
                <w:sz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exact"/>
          <w:jc w:val="center"/>
        </w:trPr>
        <w:tc>
          <w:tcPr>
            <w:tcW w:w="741" w:type="dxa"/>
            <w:tcBorders>
              <w:right w:val="single" w:color="auto" w:sz="4" w:space="0"/>
            </w:tcBorders>
            <w:vAlign w:val="center"/>
          </w:tcPr>
          <w:p>
            <w:pPr>
              <w:spacing w:line="384" w:lineRule="auto"/>
              <w:jc w:val="center"/>
              <w:rPr>
                <w:rFonts w:ascii="宋体" w:hAnsi="宋体" w:cs="宋体"/>
                <w:bCs/>
                <w:color w:val="auto"/>
                <w:sz w:val="24"/>
                <w:highlight w:val="none"/>
              </w:rPr>
            </w:pPr>
          </w:p>
        </w:tc>
        <w:tc>
          <w:tcPr>
            <w:tcW w:w="3478" w:type="dxa"/>
            <w:tcBorders>
              <w:left w:val="single" w:color="auto" w:sz="4" w:space="0"/>
              <w:right w:val="single" w:color="auto" w:sz="4" w:space="0"/>
            </w:tcBorders>
            <w:vAlign w:val="center"/>
          </w:tcPr>
          <w:p>
            <w:pPr>
              <w:spacing w:line="384" w:lineRule="auto"/>
              <w:jc w:val="center"/>
              <w:rPr>
                <w:rFonts w:ascii="宋体" w:hAnsi="宋体" w:cs="宋体"/>
                <w:bCs/>
                <w:color w:val="auto"/>
                <w:sz w:val="24"/>
                <w:highlight w:val="none"/>
              </w:rPr>
            </w:pPr>
          </w:p>
        </w:tc>
        <w:tc>
          <w:tcPr>
            <w:tcW w:w="3544" w:type="dxa"/>
            <w:tcBorders>
              <w:left w:val="single" w:color="auto" w:sz="4" w:space="0"/>
            </w:tcBorders>
            <w:vAlign w:val="center"/>
          </w:tcPr>
          <w:p>
            <w:pPr>
              <w:spacing w:line="384" w:lineRule="auto"/>
              <w:jc w:val="center"/>
              <w:rPr>
                <w:rFonts w:ascii="宋体" w:hAnsi="宋体" w:cs="宋体"/>
                <w:bCs/>
                <w:color w:val="auto"/>
                <w:sz w:val="24"/>
                <w:highlight w:val="none"/>
              </w:rPr>
            </w:pPr>
          </w:p>
        </w:tc>
        <w:tc>
          <w:tcPr>
            <w:tcW w:w="1305" w:type="dxa"/>
            <w:tcBorders>
              <w:right w:val="single" w:color="auto" w:sz="4" w:space="0"/>
            </w:tcBorders>
            <w:vAlign w:val="center"/>
          </w:tcPr>
          <w:p>
            <w:pPr>
              <w:spacing w:line="384" w:lineRule="auto"/>
              <w:jc w:val="center"/>
              <w:rPr>
                <w:rFonts w:ascii="宋体" w:hAnsi="宋体" w:cs="宋体"/>
                <w:bCs/>
                <w:color w:val="auto"/>
                <w:sz w:val="24"/>
                <w:highlight w:val="none"/>
              </w:rPr>
            </w:pPr>
          </w:p>
        </w:tc>
        <w:tc>
          <w:tcPr>
            <w:tcW w:w="963" w:type="dxa"/>
            <w:tcBorders>
              <w:left w:val="single" w:color="auto" w:sz="4" w:space="0"/>
            </w:tcBorders>
            <w:vAlign w:val="center"/>
          </w:tcPr>
          <w:p>
            <w:pPr>
              <w:spacing w:line="384" w:lineRule="auto"/>
              <w:jc w:val="center"/>
              <w:rPr>
                <w:rFonts w:ascii="宋体" w:hAnsi="宋体" w:cs="宋体"/>
                <w:bCs/>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exact"/>
          <w:jc w:val="center"/>
        </w:trPr>
        <w:tc>
          <w:tcPr>
            <w:tcW w:w="741" w:type="dxa"/>
            <w:tcBorders>
              <w:right w:val="single" w:color="auto" w:sz="4" w:space="0"/>
            </w:tcBorders>
            <w:vAlign w:val="center"/>
          </w:tcPr>
          <w:p>
            <w:pPr>
              <w:spacing w:line="384" w:lineRule="auto"/>
              <w:jc w:val="center"/>
              <w:rPr>
                <w:rFonts w:ascii="宋体" w:hAnsi="宋体" w:cs="宋体"/>
                <w:bCs/>
                <w:color w:val="auto"/>
                <w:sz w:val="24"/>
                <w:highlight w:val="none"/>
              </w:rPr>
            </w:pPr>
          </w:p>
        </w:tc>
        <w:tc>
          <w:tcPr>
            <w:tcW w:w="3478" w:type="dxa"/>
            <w:tcBorders>
              <w:left w:val="single" w:color="auto" w:sz="4" w:space="0"/>
              <w:right w:val="single" w:color="auto" w:sz="4" w:space="0"/>
            </w:tcBorders>
            <w:vAlign w:val="center"/>
          </w:tcPr>
          <w:p>
            <w:pPr>
              <w:spacing w:line="384" w:lineRule="auto"/>
              <w:jc w:val="center"/>
              <w:rPr>
                <w:rFonts w:ascii="宋体" w:hAnsi="宋体" w:cs="宋体"/>
                <w:bCs/>
                <w:color w:val="auto"/>
                <w:sz w:val="24"/>
                <w:highlight w:val="none"/>
              </w:rPr>
            </w:pPr>
          </w:p>
        </w:tc>
        <w:tc>
          <w:tcPr>
            <w:tcW w:w="3544" w:type="dxa"/>
            <w:tcBorders>
              <w:left w:val="single" w:color="auto" w:sz="4" w:space="0"/>
            </w:tcBorders>
            <w:vAlign w:val="center"/>
          </w:tcPr>
          <w:p>
            <w:pPr>
              <w:spacing w:line="384" w:lineRule="auto"/>
              <w:jc w:val="center"/>
              <w:rPr>
                <w:rFonts w:ascii="宋体" w:hAnsi="宋体" w:cs="宋体"/>
                <w:bCs/>
                <w:color w:val="auto"/>
                <w:sz w:val="24"/>
                <w:highlight w:val="none"/>
              </w:rPr>
            </w:pPr>
          </w:p>
        </w:tc>
        <w:tc>
          <w:tcPr>
            <w:tcW w:w="1305" w:type="dxa"/>
            <w:tcBorders>
              <w:right w:val="single" w:color="auto" w:sz="4" w:space="0"/>
            </w:tcBorders>
            <w:vAlign w:val="center"/>
          </w:tcPr>
          <w:p>
            <w:pPr>
              <w:spacing w:line="384" w:lineRule="auto"/>
              <w:jc w:val="center"/>
              <w:rPr>
                <w:rFonts w:ascii="宋体" w:hAnsi="宋体" w:cs="宋体"/>
                <w:bCs/>
                <w:color w:val="auto"/>
                <w:sz w:val="24"/>
                <w:highlight w:val="none"/>
              </w:rPr>
            </w:pPr>
          </w:p>
        </w:tc>
        <w:tc>
          <w:tcPr>
            <w:tcW w:w="963" w:type="dxa"/>
            <w:tcBorders>
              <w:left w:val="single" w:color="auto" w:sz="4" w:space="0"/>
            </w:tcBorders>
            <w:vAlign w:val="center"/>
          </w:tcPr>
          <w:p>
            <w:pPr>
              <w:spacing w:line="384" w:lineRule="auto"/>
              <w:jc w:val="center"/>
              <w:rPr>
                <w:rFonts w:ascii="宋体" w:hAnsi="宋体" w:cs="宋体"/>
                <w:bCs/>
                <w:color w:val="auto"/>
                <w:sz w:val="24"/>
                <w:highlight w:val="none"/>
              </w:rPr>
            </w:pPr>
          </w:p>
        </w:tc>
      </w:tr>
    </w:tbl>
    <w:p>
      <w:pPr>
        <w:spacing w:line="384"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第三条 项目承包方式</w:t>
      </w:r>
    </w:p>
    <w:p>
      <w:pPr>
        <w:spacing w:line="384" w:lineRule="auto"/>
        <w:ind w:firstLine="420" w:firstLineChars="200"/>
        <w:rPr>
          <w:rFonts w:ascii="宋体" w:hAnsi="宋体" w:cs="宋体"/>
          <w:color w:val="auto"/>
          <w:sz w:val="24"/>
          <w:highlight w:val="none"/>
        </w:rPr>
      </w:pPr>
      <w:r>
        <w:rPr>
          <w:rFonts w:hint="eastAsia" w:ascii="宋体" w:hAnsi="宋体" w:cs="宋体"/>
          <w:color w:val="auto"/>
          <w:szCs w:val="21"/>
          <w:highlight w:val="none"/>
        </w:rPr>
        <w:t>☑</w:t>
      </w:r>
      <w:r>
        <w:rPr>
          <w:rFonts w:hint="eastAsia" w:ascii="宋体" w:hAnsi="宋体" w:cs="宋体"/>
          <w:color w:val="auto"/>
          <w:sz w:val="24"/>
          <w:highlight w:val="none"/>
        </w:rPr>
        <w:t>包工、包料、包工期、包质量、包安全、包文明施工。综合单价包干、项目措施费包干。（单价包干要求附工程量报价</w:t>
      </w:r>
      <w:r>
        <w:rPr>
          <w:rFonts w:ascii="宋体" w:hAnsi="宋体" w:cs="宋体"/>
          <w:color w:val="auto"/>
          <w:sz w:val="24"/>
          <w:highlight w:val="none"/>
        </w:rPr>
        <w:t>/</w:t>
      </w:r>
      <w:r>
        <w:rPr>
          <w:rFonts w:hint="eastAsia" w:ascii="宋体" w:hAnsi="宋体" w:cs="宋体"/>
          <w:color w:val="auto"/>
          <w:sz w:val="24"/>
          <w:highlight w:val="none"/>
        </w:rPr>
        <w:t>工程预算书）</w:t>
      </w:r>
    </w:p>
    <w:p>
      <w:pPr>
        <w:spacing w:line="384" w:lineRule="auto"/>
        <w:ind w:firstLine="420" w:firstLineChars="200"/>
        <w:rPr>
          <w:rFonts w:ascii="宋体" w:hAnsi="宋体" w:cs="宋体"/>
          <w:color w:val="auto"/>
          <w:sz w:val="24"/>
          <w:highlight w:val="none"/>
        </w:rPr>
      </w:pPr>
      <w:r>
        <w:rPr>
          <w:rFonts w:hint="eastAsia" w:ascii="宋体" w:hAnsi="宋体" w:cs="宋体"/>
          <w:color w:val="auto"/>
          <w:szCs w:val="21"/>
          <w:highlight w:val="none"/>
        </w:rPr>
        <w:t>□</w:t>
      </w:r>
      <w:r>
        <w:rPr>
          <w:rFonts w:hint="eastAsia" w:ascii="宋体" w:hAnsi="宋体" w:cs="宋体"/>
          <w:color w:val="auto"/>
          <w:sz w:val="24"/>
          <w:highlight w:val="none"/>
        </w:rPr>
        <w:t>包工、包料、包质量、包工期、包安全、包文明施工、包设计、包调试、包验收的施工图纸，以总价包干形式。</w:t>
      </w:r>
    </w:p>
    <w:p>
      <w:pPr>
        <w:spacing w:line="384"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第四条合同价款</w:t>
      </w:r>
    </w:p>
    <w:p>
      <w:pPr>
        <w:spacing w:line="384" w:lineRule="auto"/>
        <w:ind w:firstLine="480" w:firstLineChars="200"/>
        <w:rPr>
          <w:rFonts w:ascii="宋体" w:hAnsi="宋体" w:cs="宋体"/>
          <w:bCs/>
          <w:color w:val="auto"/>
          <w:sz w:val="24"/>
          <w:highlight w:val="none"/>
          <w:bdr w:val="single" w:color="auto" w:sz="4" w:space="0"/>
        </w:rPr>
      </w:pPr>
      <w:r>
        <w:rPr>
          <w:rFonts w:ascii="宋体" w:hAnsi="宋体" w:cs="宋体"/>
          <w:color w:val="auto"/>
          <w:sz w:val="24"/>
          <w:highlight w:val="none"/>
        </w:rPr>
        <w:t>4.1</w:t>
      </w:r>
      <w:r>
        <w:rPr>
          <w:rFonts w:hint="eastAsia" w:ascii="宋体" w:hAnsi="宋体" w:cs="宋体"/>
          <w:color w:val="auto"/>
          <w:sz w:val="24"/>
          <w:highlight w:val="none"/>
        </w:rPr>
        <w:t>合同价款按以下</w:t>
      </w:r>
      <w:r>
        <w:rPr>
          <w:rFonts w:hint="eastAsia" w:ascii="宋体" w:hAnsi="宋体" w:cs="宋体"/>
          <w:color w:val="auto"/>
          <w:sz w:val="24"/>
          <w:highlight w:val="none"/>
          <w:lang w:val="en-US" w:eastAsia="zh-CN"/>
        </w:rPr>
        <w:t xml:space="preserve"> （1）</w:t>
      </w:r>
      <w:r>
        <w:rPr>
          <w:rFonts w:hint="eastAsia" w:ascii="宋体" w:hAnsi="宋体" w:cs="宋体"/>
          <w:color w:val="auto"/>
          <w:sz w:val="24"/>
          <w:highlight w:val="none"/>
        </w:rPr>
        <w:t>执行。</w:t>
      </w:r>
    </w:p>
    <w:p>
      <w:pPr>
        <w:spacing w:line="384" w:lineRule="auto"/>
        <w:ind w:firstLine="480" w:firstLineChars="200"/>
        <w:rPr>
          <w:rFonts w:ascii="宋体" w:hAnsi="宋体" w:cs="宋体"/>
          <w:color w:val="auto"/>
          <w:sz w:val="24"/>
          <w:highlight w:val="none"/>
        </w:rPr>
      </w:pPr>
      <w:r>
        <w:rPr>
          <w:rFonts w:hint="eastAsia" w:ascii="宋体" w:hAnsi="宋体" w:cs="宋体"/>
          <w:bCs/>
          <w:color w:val="auto"/>
          <w:sz w:val="24"/>
          <w:highlight w:val="none"/>
        </w:rPr>
        <w:t>（</w:t>
      </w:r>
      <w:r>
        <w:rPr>
          <w:rFonts w:ascii="宋体" w:hAnsi="宋体" w:cs="宋体"/>
          <w:bCs/>
          <w:color w:val="auto"/>
          <w:sz w:val="24"/>
          <w:highlight w:val="none"/>
        </w:rPr>
        <w:t>1</w:t>
      </w:r>
      <w:r>
        <w:rPr>
          <w:rFonts w:hint="eastAsia" w:ascii="宋体" w:hAnsi="宋体" w:cs="宋体"/>
          <w:bCs/>
          <w:color w:val="auto"/>
          <w:sz w:val="24"/>
          <w:highlight w:val="none"/>
        </w:rPr>
        <w:t>）</w:t>
      </w:r>
      <w:r>
        <w:rPr>
          <w:rFonts w:hint="eastAsia" w:ascii="宋体" w:hAnsi="宋体" w:cs="宋体"/>
          <w:color w:val="auto"/>
          <w:sz w:val="24"/>
          <w:highlight w:val="none"/>
        </w:rPr>
        <w:t>合同暂定总价为：</w:t>
      </w:r>
      <w:r>
        <w:rPr>
          <w:rFonts w:hint="eastAsia" w:ascii="宋体" w:hAnsi="宋体" w:cs="宋体"/>
          <w:b/>
          <w:color w:val="auto"/>
          <w:sz w:val="24"/>
          <w:highlight w:val="none"/>
          <w:u w:val="single"/>
        </w:rPr>
        <w:t>人民币…元</w:t>
      </w:r>
      <w:r>
        <w:rPr>
          <w:rFonts w:hint="eastAsia" w:ascii="宋体" w:hAnsi="宋体" w:cs="宋体"/>
          <w:color w:val="auto"/>
          <w:sz w:val="24"/>
          <w:highlight w:val="none"/>
        </w:rPr>
        <w:t>（大写</w:t>
      </w:r>
      <w:r>
        <w:rPr>
          <w:rFonts w:ascii="宋体" w:hAnsi="宋体" w:cs="宋体"/>
          <w:color w:val="auto"/>
          <w:sz w:val="24"/>
          <w:highlight w:val="none"/>
        </w:rPr>
        <w:t>:</w:t>
      </w:r>
      <w:r>
        <w:rPr>
          <w:rFonts w:hint="eastAsia" w:ascii="宋体" w:hAnsi="宋体" w:cs="宋体"/>
          <w:color w:val="auto"/>
          <w:sz w:val="24"/>
          <w:highlight w:val="none"/>
        </w:rPr>
        <w:t>）。经甲方或甲方委托有资质第三方机构审核后，审核价作为合同结算价。若合同结算价超合同暂定总价，双方另行签订补充协议。</w:t>
      </w:r>
    </w:p>
    <w:p>
      <w:pPr>
        <w:spacing w:line="38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综合单价为：</w:t>
      </w:r>
      <w:r>
        <w:rPr>
          <w:rFonts w:hint="eastAsia" w:ascii="宋体" w:hAnsi="宋体" w:cs="宋体"/>
          <w:color w:val="auto"/>
          <w:sz w:val="24"/>
          <w:highlight w:val="none"/>
          <w:u w:val="single"/>
        </w:rPr>
        <w:t>人民币…元</w:t>
      </w:r>
      <w:r>
        <w:rPr>
          <w:rFonts w:ascii="宋体" w:hAnsi="宋体" w:cs="宋体"/>
          <w:color w:val="auto"/>
          <w:sz w:val="24"/>
          <w:highlight w:val="none"/>
          <w:u w:val="single"/>
        </w:rPr>
        <w:t>/m</w:t>
      </w:r>
      <w:r>
        <w:rPr>
          <w:rFonts w:ascii="宋体" w:hAnsi="宋体" w:cs="宋体"/>
          <w:color w:val="auto"/>
          <w:sz w:val="24"/>
          <w:highlight w:val="none"/>
          <w:u w:val="single"/>
          <w:vertAlign w:val="superscript"/>
        </w:rPr>
        <w:t>3</w:t>
      </w:r>
      <w:r>
        <w:rPr>
          <w:rFonts w:ascii="宋体" w:hAnsi="宋体" w:cs="宋体"/>
          <w:color w:val="auto"/>
          <w:sz w:val="24"/>
          <w:highlight w:val="none"/>
          <w:u w:val="single"/>
        </w:rPr>
        <w:t>(</w:t>
      </w:r>
      <w:r>
        <w:rPr>
          <w:rFonts w:hint="eastAsia" w:ascii="宋体" w:hAnsi="宋体" w:cs="宋体"/>
          <w:color w:val="auto"/>
          <w:sz w:val="24"/>
          <w:highlight w:val="none"/>
          <w:u w:val="single"/>
        </w:rPr>
        <w:t>大写：…</w:t>
      </w:r>
      <w:r>
        <w:rPr>
          <w:rFonts w:ascii="宋体" w:hAnsi="宋体" w:cs="宋体"/>
          <w:color w:val="auto"/>
          <w:sz w:val="24"/>
          <w:highlight w:val="none"/>
          <w:u w:val="single"/>
        </w:rPr>
        <w:t>)</w:t>
      </w:r>
      <w:r>
        <w:rPr>
          <w:rFonts w:hint="eastAsia" w:ascii="宋体" w:hAnsi="宋体" w:cs="宋体"/>
          <w:color w:val="auto"/>
          <w:sz w:val="24"/>
          <w:highlight w:val="none"/>
        </w:rPr>
        <w:t>。</w:t>
      </w:r>
    </w:p>
    <w:p>
      <w:pPr>
        <w:ind w:firstLine="480" w:firstLineChars="200"/>
        <w:rPr>
          <w:rFonts w:ascii="宋体" w:hAnsi="宋体" w:eastAsia="宋体" w:cs="宋体"/>
          <w:color w:val="auto"/>
          <w:sz w:val="24"/>
          <w:szCs w:val="24"/>
          <w:highlight w:val="none"/>
        </w:rPr>
      </w:pPr>
      <w:r>
        <w:rPr>
          <w:rFonts w:hint="eastAsia" w:ascii="宋体" w:hAnsi="宋体" w:cs="宋体"/>
          <w:color w:val="auto"/>
          <w:sz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autoSpaceDE w:val="0"/>
        <w:autoSpaceDN w:val="0"/>
        <w:adjustRightInd w:val="0"/>
        <w:spacing w:line="384" w:lineRule="auto"/>
        <w:ind w:firstLine="480" w:firstLineChars="200"/>
        <w:rPr>
          <w:rFonts w:ascii="宋体" w:hAnsi="宋体" w:cs="宋体"/>
          <w:color w:val="auto"/>
          <w:sz w:val="24"/>
          <w:highlight w:val="none"/>
        </w:rPr>
      </w:pPr>
    </w:p>
    <w:p>
      <w:pPr>
        <w:spacing w:line="384" w:lineRule="auto"/>
        <w:ind w:firstLine="480" w:firstLineChars="200"/>
        <w:rPr>
          <w:rFonts w:ascii="宋体" w:hAnsi="宋体" w:cs="宋体"/>
          <w:color w:val="auto"/>
          <w:sz w:val="24"/>
          <w:highlight w:val="none"/>
        </w:rPr>
      </w:pPr>
      <w:r>
        <w:rPr>
          <w:rFonts w:hint="eastAsia" w:ascii="宋体" w:hAnsi="宋体" w:cs="宋体"/>
          <w:bCs/>
          <w:color w:val="auto"/>
          <w:sz w:val="24"/>
          <w:highlight w:val="none"/>
        </w:rPr>
        <w:t>（</w:t>
      </w:r>
      <w:r>
        <w:rPr>
          <w:rFonts w:ascii="宋体" w:hAnsi="宋体" w:cs="宋体"/>
          <w:bCs/>
          <w:color w:val="auto"/>
          <w:sz w:val="24"/>
          <w:highlight w:val="none"/>
        </w:rPr>
        <w:t>2</w:t>
      </w:r>
      <w:r>
        <w:rPr>
          <w:rFonts w:hint="eastAsia" w:ascii="宋体" w:hAnsi="宋体" w:cs="宋体"/>
          <w:bCs/>
          <w:color w:val="auto"/>
          <w:sz w:val="24"/>
          <w:highlight w:val="none"/>
        </w:rPr>
        <w:t>）</w:t>
      </w:r>
      <w:r>
        <w:rPr>
          <w:rFonts w:hint="eastAsia" w:ascii="宋体" w:hAnsi="宋体" w:cs="宋体"/>
          <w:color w:val="auto"/>
          <w:sz w:val="24"/>
          <w:highlight w:val="none"/>
        </w:rPr>
        <w:t>合同以总价包干形式，合同暂定总价为：</w:t>
      </w:r>
      <w:r>
        <w:rPr>
          <w:rFonts w:hint="eastAsia" w:ascii="宋体" w:hAnsi="宋体" w:cs="宋体"/>
          <w:b/>
          <w:color w:val="auto"/>
          <w:sz w:val="24"/>
          <w:highlight w:val="none"/>
          <w:u w:val="single"/>
        </w:rPr>
        <w:t>人民币…元</w:t>
      </w:r>
      <w:r>
        <w:rPr>
          <w:rFonts w:hint="eastAsia" w:ascii="宋体" w:hAnsi="宋体" w:cs="宋体"/>
          <w:color w:val="auto"/>
          <w:sz w:val="24"/>
          <w:highlight w:val="none"/>
        </w:rPr>
        <w:t>（大写</w:t>
      </w:r>
      <w:r>
        <w:rPr>
          <w:rFonts w:ascii="宋体" w:hAnsi="宋体" w:cs="宋体"/>
          <w:color w:val="auto"/>
          <w:sz w:val="24"/>
          <w:highlight w:val="none"/>
        </w:rPr>
        <w:t>:</w:t>
      </w:r>
      <w:r>
        <w:rPr>
          <w:rFonts w:hint="eastAsia" w:ascii="宋体" w:hAnsi="宋体" w:cs="宋体"/>
          <w:color w:val="auto"/>
          <w:sz w:val="24"/>
          <w:highlight w:val="none"/>
        </w:rPr>
        <w:t>…）。经甲方或甲方委托有资质第三方机构审核后，若结算审核价比合同暂定总价低，则以结算审核价作为合同结算价，否则以合同暂定总价为合同结算价。</w:t>
      </w:r>
    </w:p>
    <w:p>
      <w:pPr>
        <w:tabs>
          <w:tab w:val="left" w:pos="851"/>
        </w:tabs>
        <w:adjustRightInd w:val="0"/>
        <w:snapToGrid w:val="0"/>
        <w:spacing w:line="384" w:lineRule="auto"/>
        <w:ind w:firstLine="480" w:firstLineChars="200"/>
        <w:rPr>
          <w:rFonts w:ascii="宋体" w:hAnsi="宋体" w:cs="宋体"/>
          <w:color w:val="auto"/>
          <w:sz w:val="24"/>
          <w:highlight w:val="none"/>
        </w:rPr>
      </w:pPr>
      <w:r>
        <w:rPr>
          <w:rFonts w:ascii="宋体" w:hAnsi="宋体" w:cs="宋体"/>
          <w:color w:val="auto"/>
          <w:kern w:val="0"/>
          <w:sz w:val="24"/>
          <w:highlight w:val="none"/>
          <w:lang w:val="zh-CN"/>
        </w:rPr>
        <w:t>4.2</w:t>
      </w:r>
      <w:r>
        <w:rPr>
          <w:rFonts w:hint="eastAsia" w:ascii="宋体" w:hAnsi="宋体" w:cs="宋体"/>
          <w:color w:val="auto"/>
          <w:kern w:val="0"/>
          <w:sz w:val="24"/>
          <w:highlight w:val="none"/>
        </w:rPr>
        <w:t>本合同约定的价格为含税价价格</w:t>
      </w:r>
      <w:r>
        <w:rPr>
          <w:rFonts w:hint="eastAsia" w:ascii="宋体" w:hAnsi="宋体" w:cs="宋体"/>
          <w:color w:val="auto"/>
          <w:sz w:val="24"/>
          <w:highlight w:val="none"/>
        </w:rPr>
        <w:t>（税率</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9</w:t>
      </w:r>
      <w:r>
        <w:rPr>
          <w:rFonts w:ascii="宋体" w:hAnsi="宋体" w:cs="宋体"/>
          <w:color w:val="auto"/>
          <w:sz w:val="24"/>
          <w:highlight w:val="none"/>
          <w:u w:val="single"/>
        </w:rPr>
        <w:t xml:space="preserve"> %</w:t>
      </w:r>
      <w:r>
        <w:rPr>
          <w:rFonts w:hint="eastAsia" w:ascii="宋体" w:hAnsi="宋体" w:cs="宋体"/>
          <w:color w:val="auto"/>
          <w:sz w:val="24"/>
          <w:highlight w:val="none"/>
        </w:rPr>
        <w:t>），合同履行期间国家税率调整或乙方开票的实际税率与前述税率不一致的，不含税价不变，价税合计按实际税率相应调整，以开具发票时间为准。</w:t>
      </w:r>
    </w:p>
    <w:p>
      <w:pPr>
        <w:tabs>
          <w:tab w:val="left" w:pos="0"/>
        </w:tabs>
        <w:adjustRightInd w:val="0"/>
        <w:snapToGrid w:val="0"/>
        <w:spacing w:line="360" w:lineRule="auto"/>
        <w:ind w:firstLine="480" w:firstLineChars="200"/>
        <w:jc w:val="left"/>
        <w:rPr>
          <w:rFonts w:ascii="宋体" w:hAnsi="宋体" w:eastAsia="宋体" w:cs="宋体"/>
          <w:bCs/>
          <w:color w:val="auto"/>
          <w:sz w:val="24"/>
          <w:szCs w:val="24"/>
          <w:highlight w:val="none"/>
        </w:rPr>
      </w:pPr>
      <w:r>
        <w:rPr>
          <w:rFonts w:hint="eastAsia" w:ascii="宋体" w:hAnsi="宋体" w:cs="宋体"/>
          <w:bCs/>
          <w:color w:val="auto"/>
          <w:sz w:val="24"/>
          <w:szCs w:val="24"/>
          <w:highlight w:val="none"/>
          <w:lang w:val="en-US" w:eastAsia="zh-CN"/>
        </w:rPr>
        <w:t>4.3</w:t>
      </w:r>
      <w:r>
        <w:rPr>
          <w:rFonts w:hint="eastAsia" w:ascii="宋体" w:hAnsi="宋体" w:eastAsia="宋体" w:cs="宋体"/>
          <w:bCs w:val="0"/>
          <w:color w:val="auto"/>
          <w:sz w:val="24"/>
          <w:szCs w:val="24"/>
          <w:highlight w:val="none"/>
          <w:lang w:val="en-US" w:eastAsia="zh-CN"/>
        </w:rPr>
        <w:t>因非乙方原因引起工程量报价清单中工程量发生增减，且单个子目工程量变化幅度在25%以内（含）时，按工程量报价清单中列明的子目单价结算。否则，按新增单价执行。</w:t>
      </w:r>
    </w:p>
    <w:p>
      <w:pPr>
        <w:spacing w:line="560" w:lineRule="exact"/>
        <w:ind w:firstLine="480" w:firstLineChars="200"/>
        <w:rPr>
          <w:rFonts w:ascii="宋体" w:hAnsi="宋体" w:eastAsia="宋体" w:cs="宋体"/>
          <w:color w:val="auto"/>
          <w:sz w:val="24"/>
          <w:szCs w:val="24"/>
          <w:highlight w:val="none"/>
        </w:rPr>
      </w:pPr>
      <w:r>
        <w:rPr>
          <w:rFonts w:hint="eastAsia" w:ascii="宋体" w:hAnsi="宋体" w:cs="宋体"/>
          <w:color w:val="auto"/>
          <w:sz w:val="24"/>
          <w:szCs w:val="24"/>
          <w:highlight w:val="none"/>
        </w:rPr>
        <w:t>4.4</w:t>
      </w:r>
      <w:r>
        <w:rPr>
          <w:rFonts w:hint="eastAsia" w:ascii="宋体" w:hAnsi="宋体" w:eastAsia="宋体" w:cs="宋体"/>
          <w:color w:val="auto"/>
          <w:sz w:val="24"/>
          <w:szCs w:val="24"/>
          <w:highlight w:val="none"/>
        </w:rPr>
        <w:t>合同中没有适用于变更工程项目的单价的，按新增单价执行。</w:t>
      </w:r>
    </w:p>
    <w:p>
      <w:pPr>
        <w:spacing w:line="5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新增单价计价原则：</w:t>
      </w:r>
    </w:p>
    <w:p>
      <w:pPr>
        <w:spacing w:line="5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spacing w:line="5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2.项目计价材料、设备价格的控制：按以下顺序作为降序优先级依次采用工程开工报告中开工日期当月的下列价格：</w:t>
      </w:r>
    </w:p>
    <w:p>
      <w:pPr>
        <w:spacing w:line="560" w:lineRule="exact"/>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（1）《广州地区建设工程常用材料税前综合价格》（下称综合价格）。</w:t>
      </w:r>
    </w:p>
    <w:p>
      <w:pPr>
        <w:spacing w:line="560" w:lineRule="exact"/>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（2）《广州地区建设工程材料（设备）厂商价格信息》（下称厂商价格）下浮10-20%。</w:t>
      </w:r>
    </w:p>
    <w:p>
      <w:pPr>
        <w:spacing w:line="560" w:lineRule="exact"/>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（3）综合价格、厂商价格中缺项的，采用由北京瑞恒达建筑咨询有限公司提供服务的“慧讯网”中查到的相应材料、设备价格的工程价。</w:t>
      </w:r>
    </w:p>
    <w:p>
      <w:pPr>
        <w:pStyle w:val="28"/>
        <w:rPr>
          <w:rFonts w:eastAsia="宋体"/>
          <w:color w:val="auto"/>
          <w:highlight w:val="none"/>
        </w:rPr>
      </w:pPr>
      <w:r>
        <w:rPr>
          <w:rFonts w:hint="eastAsia" w:hAnsi="宋体" w:eastAsia="宋体"/>
          <w:color w:val="auto"/>
          <w:highlight w:val="none"/>
        </w:rPr>
        <w:t xml:space="preserve">  </w:t>
      </w:r>
      <w:r>
        <w:rPr>
          <w:rFonts w:hAnsi="宋体" w:eastAsia="宋体"/>
          <w:color w:val="auto"/>
          <w:highlight w:val="none"/>
        </w:rPr>
        <w:t>（4）通过市场询价双方协商确定。</w:t>
      </w:r>
    </w:p>
    <w:p>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3.按1、2组价后下浮5%计取。</w:t>
      </w:r>
    </w:p>
    <w:p>
      <w:pPr>
        <w:tabs>
          <w:tab w:val="left" w:pos="851"/>
        </w:tabs>
        <w:adjustRightInd w:val="0"/>
        <w:snapToGrid w:val="0"/>
        <w:spacing w:line="384" w:lineRule="auto"/>
        <w:ind w:firstLine="480" w:firstLineChars="200"/>
        <w:rPr>
          <w:rFonts w:ascii="宋体" w:hAnsi="宋体" w:cs="宋体"/>
          <w:color w:val="auto"/>
          <w:sz w:val="24"/>
          <w:highlight w:val="none"/>
        </w:rPr>
      </w:pPr>
    </w:p>
    <w:p>
      <w:pPr>
        <w:widowControl/>
        <w:tabs>
          <w:tab w:val="left" w:pos="851"/>
        </w:tabs>
        <w:adjustRightInd w:val="0"/>
        <w:snapToGrid w:val="0"/>
        <w:spacing w:line="384"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第五条工期及要求</w:t>
      </w:r>
    </w:p>
    <w:p>
      <w:pPr>
        <w:widowControl/>
        <w:spacing w:line="384" w:lineRule="auto"/>
        <w:ind w:firstLine="480" w:firstLineChars="200"/>
        <w:jc w:val="left"/>
        <w:rPr>
          <w:rFonts w:ascii="宋体" w:hAnsi="宋体" w:cs="宋体"/>
          <w:color w:val="auto"/>
          <w:sz w:val="24"/>
          <w:highlight w:val="none"/>
        </w:rPr>
      </w:pPr>
      <w:r>
        <w:rPr>
          <w:rFonts w:ascii="宋体" w:hAnsi="宋体" w:cs="宋体"/>
          <w:color w:val="auto"/>
          <w:sz w:val="24"/>
          <w:highlight w:val="none"/>
        </w:rPr>
        <w:t>5.1</w:t>
      </w:r>
      <w:r>
        <w:rPr>
          <w:rFonts w:hint="eastAsia" w:ascii="宋体" w:hAnsi="宋体" w:cs="宋体"/>
          <w:color w:val="auto"/>
          <w:sz w:val="24"/>
          <w:highlight w:val="none"/>
        </w:rPr>
        <w:t>开工日期暂定为：…</w:t>
      </w:r>
      <w:r>
        <w:rPr>
          <w:rFonts w:hint="eastAsia" w:ascii="宋体" w:hAnsi="宋体" w:cs="宋体"/>
          <w:color w:val="auto"/>
          <w:sz w:val="24"/>
          <w:highlight w:val="none"/>
          <w:u w:val="single"/>
        </w:rPr>
        <w:t>年…月…日</w:t>
      </w:r>
      <w:r>
        <w:rPr>
          <w:rFonts w:hint="eastAsia" w:ascii="宋体" w:hAnsi="宋体" w:cs="宋体"/>
          <w:color w:val="auto"/>
          <w:sz w:val="24"/>
          <w:highlight w:val="none"/>
        </w:rPr>
        <w:t>，具体日期以甲方发出的开工报告</w:t>
      </w:r>
      <w:r>
        <w:rPr>
          <w:rFonts w:ascii="宋体" w:hAnsi="宋体" w:cs="宋体"/>
          <w:color w:val="auto"/>
          <w:sz w:val="24"/>
          <w:highlight w:val="none"/>
        </w:rPr>
        <w:t>/</w:t>
      </w:r>
      <w:r>
        <w:rPr>
          <w:rFonts w:hint="eastAsia" w:ascii="宋体" w:hAnsi="宋体" w:cs="宋体"/>
          <w:color w:val="auto"/>
          <w:sz w:val="24"/>
          <w:highlight w:val="none"/>
        </w:rPr>
        <w:t>通知为准。乙方不能按时开工，应当于开工报告</w:t>
      </w:r>
      <w:r>
        <w:rPr>
          <w:rFonts w:ascii="宋体" w:hAnsi="宋体" w:cs="宋体"/>
          <w:color w:val="auto"/>
          <w:sz w:val="24"/>
          <w:highlight w:val="none"/>
        </w:rPr>
        <w:t>/</w:t>
      </w:r>
      <w:r>
        <w:rPr>
          <w:rFonts w:hint="eastAsia" w:ascii="宋体" w:hAnsi="宋体" w:cs="宋体"/>
          <w:color w:val="auto"/>
          <w:sz w:val="24"/>
          <w:highlight w:val="none"/>
        </w:rPr>
        <w:t>通知载明的开工日期</w:t>
      </w:r>
      <w:r>
        <w:rPr>
          <w:rFonts w:ascii="宋体" w:hAnsi="宋体" w:cs="宋体"/>
          <w:color w:val="auto"/>
          <w:sz w:val="24"/>
          <w:highlight w:val="none"/>
        </w:rPr>
        <w:t>7</w:t>
      </w:r>
      <w:r>
        <w:rPr>
          <w:rFonts w:hint="eastAsia" w:ascii="宋体" w:hAnsi="宋体" w:cs="宋体"/>
          <w:color w:val="auto"/>
          <w:sz w:val="24"/>
          <w:highlight w:val="none"/>
        </w:rPr>
        <w:t>天前，以书面形式向甲方提出延期开工的理由。甲方应当在接到延期开工申请后的</w:t>
      </w:r>
      <w:r>
        <w:rPr>
          <w:rFonts w:ascii="宋体" w:hAnsi="宋体" w:cs="宋体"/>
          <w:color w:val="auto"/>
          <w:sz w:val="24"/>
          <w:highlight w:val="none"/>
        </w:rPr>
        <w:t>48</w:t>
      </w:r>
      <w:r>
        <w:rPr>
          <w:rFonts w:hint="eastAsia" w:ascii="宋体" w:hAnsi="宋体" w:cs="宋体"/>
          <w:color w:val="auto"/>
          <w:sz w:val="24"/>
          <w:highlight w:val="none"/>
        </w:rPr>
        <w:t>小时内以书面形式答复乙方。甲方在接到延期开工申请后</w:t>
      </w:r>
      <w:r>
        <w:rPr>
          <w:rFonts w:ascii="宋体" w:hAnsi="宋体" w:cs="宋体"/>
          <w:color w:val="auto"/>
          <w:sz w:val="24"/>
          <w:highlight w:val="none"/>
        </w:rPr>
        <w:t>48</w:t>
      </w:r>
      <w:r>
        <w:rPr>
          <w:rFonts w:hint="eastAsia" w:ascii="宋体" w:hAnsi="宋体" w:cs="宋体"/>
          <w:color w:val="auto"/>
          <w:sz w:val="24"/>
          <w:highlight w:val="none"/>
        </w:rPr>
        <w:t>小时内不答复，视为同意乙方要求，工期相应顺延。甲方不同意延期要求或乙方未在规定时间内提出延期开工，工期不予顺延。合同工期总日历天数</w:t>
      </w:r>
      <w:r>
        <w:rPr>
          <w:rFonts w:hint="eastAsia" w:ascii="宋体" w:hAnsi="宋体" w:cs="宋体"/>
          <w:color w:val="auto"/>
          <w:sz w:val="24"/>
          <w:highlight w:val="none"/>
          <w:u w:val="single"/>
          <w:lang w:val="en-US" w:eastAsia="zh-CN"/>
        </w:rPr>
        <w:t>100</w:t>
      </w:r>
      <w:r>
        <w:rPr>
          <w:rFonts w:hint="eastAsia" w:ascii="宋体" w:hAnsi="宋体" w:cs="宋体"/>
          <w:color w:val="auto"/>
          <w:sz w:val="24"/>
          <w:highlight w:val="none"/>
        </w:rPr>
        <w:t>天。乙方未能按合同工期竣工验收的，每逾期一天，甲方有权要求乙方按</w:t>
      </w:r>
      <w:r>
        <w:rPr>
          <w:rFonts w:hint="eastAsia" w:ascii="宋体" w:hAnsi="宋体" w:cs="宋体"/>
          <w:color w:val="auto"/>
          <w:sz w:val="24"/>
          <w:highlight w:val="none"/>
          <w:u w:val="single"/>
        </w:rPr>
        <w:t>合同暂定总价的</w:t>
      </w:r>
      <w:r>
        <w:rPr>
          <w:rFonts w:ascii="宋体" w:hAnsi="宋体" w:cs="宋体"/>
          <w:color w:val="auto"/>
          <w:sz w:val="24"/>
          <w:highlight w:val="none"/>
          <w:u w:val="single"/>
        </w:rPr>
        <w:t xml:space="preserve"> 1%</w:t>
      </w:r>
      <w:r>
        <w:rPr>
          <w:rFonts w:hint="eastAsia" w:ascii="宋体" w:hAnsi="宋体" w:cs="宋体"/>
          <w:color w:val="auto"/>
          <w:sz w:val="24"/>
          <w:highlight w:val="none"/>
        </w:rPr>
        <w:t>支付违约金，逾期达到</w:t>
      </w:r>
      <w:r>
        <w:rPr>
          <w:rFonts w:hint="eastAsia" w:ascii="宋体" w:hAnsi="宋体" w:cs="宋体"/>
          <w:color w:val="auto"/>
          <w:sz w:val="24"/>
          <w:highlight w:val="none"/>
          <w:u w:val="single"/>
          <w:lang w:eastAsia="zh-CN"/>
        </w:rPr>
        <w:t>3</w:t>
      </w:r>
      <w:r>
        <w:rPr>
          <w:rFonts w:hint="eastAsia" w:ascii="宋体" w:hAnsi="宋体" w:cs="宋体"/>
          <w:color w:val="auto"/>
          <w:sz w:val="24"/>
          <w:highlight w:val="none"/>
          <w:u w:val="single"/>
          <w:lang w:val="en-US" w:eastAsia="zh-CN"/>
        </w:rPr>
        <w:t>0</w:t>
      </w:r>
      <w:r>
        <w:rPr>
          <w:rFonts w:hint="eastAsia" w:ascii="宋体" w:hAnsi="宋体" w:cs="宋体"/>
          <w:color w:val="auto"/>
          <w:sz w:val="24"/>
          <w:highlight w:val="none"/>
        </w:rPr>
        <w:t>天及以上的，甲方有权解除合同并要求乙方支付</w:t>
      </w:r>
      <w:r>
        <w:rPr>
          <w:rFonts w:hint="eastAsia" w:ascii="宋体" w:hAnsi="宋体" w:cs="宋体"/>
          <w:color w:val="auto"/>
          <w:sz w:val="24"/>
          <w:highlight w:val="none"/>
          <w:u w:val="single"/>
        </w:rPr>
        <w:t>合同暂定总价的</w:t>
      </w:r>
      <w:r>
        <w:rPr>
          <w:rFonts w:ascii="宋体" w:hAnsi="宋体" w:cs="宋体"/>
          <w:color w:val="auto"/>
          <w:sz w:val="24"/>
          <w:highlight w:val="none"/>
          <w:u w:val="single"/>
        </w:rPr>
        <w:t>20%</w:t>
      </w:r>
      <w:r>
        <w:rPr>
          <w:rFonts w:ascii="宋体" w:hAnsi="宋体" w:cs="宋体"/>
          <w:color w:val="auto"/>
          <w:sz w:val="24"/>
          <w:highlight w:val="none"/>
        </w:rPr>
        <w:t>作为违约金。</w:t>
      </w:r>
    </w:p>
    <w:p>
      <w:pPr>
        <w:widowControl/>
        <w:spacing w:line="384" w:lineRule="auto"/>
        <w:ind w:firstLine="480" w:firstLineChars="200"/>
        <w:jc w:val="left"/>
        <w:rPr>
          <w:rFonts w:ascii="宋体" w:hAnsi="宋体" w:cs="宋体"/>
          <w:bCs/>
          <w:color w:val="auto"/>
          <w:sz w:val="24"/>
          <w:highlight w:val="none"/>
        </w:rPr>
      </w:pPr>
      <w:r>
        <w:rPr>
          <w:rFonts w:ascii="宋体" w:hAnsi="宋体" w:cs="宋体"/>
          <w:bCs/>
          <w:color w:val="auto"/>
          <w:sz w:val="24"/>
          <w:highlight w:val="none"/>
        </w:rPr>
        <w:t>5.2</w:t>
      </w:r>
      <w:r>
        <w:rPr>
          <w:rFonts w:hint="eastAsia" w:ascii="宋体" w:hAnsi="宋体" w:cs="宋体"/>
          <w:bCs/>
          <w:color w:val="auto"/>
          <w:sz w:val="24"/>
          <w:highlight w:val="none"/>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w:t>
      </w:r>
      <w:r>
        <w:rPr>
          <w:rFonts w:hint="eastAsia" w:ascii="宋体" w:hAnsi="宋体" w:cs="宋体"/>
          <w:bCs/>
          <w:color w:val="auto"/>
          <w:sz w:val="24"/>
          <w:highlight w:val="none"/>
          <w:u w:val="single"/>
        </w:rPr>
        <w:t>合同暂定总价的</w:t>
      </w:r>
      <w:r>
        <w:rPr>
          <w:rFonts w:ascii="宋体" w:hAnsi="宋体" w:cs="宋体"/>
          <w:bCs/>
          <w:color w:val="auto"/>
          <w:sz w:val="24"/>
          <w:highlight w:val="none"/>
          <w:u w:val="single"/>
        </w:rPr>
        <w:t>5%/</w:t>
      </w:r>
      <w:r>
        <w:rPr>
          <w:rFonts w:hint="eastAsia" w:ascii="宋体" w:hAnsi="宋体" w:cs="宋体"/>
          <w:bCs/>
          <w:color w:val="auto"/>
          <w:sz w:val="24"/>
          <w:highlight w:val="none"/>
          <w:u w:val="single"/>
        </w:rPr>
        <w:t>次</w:t>
      </w:r>
      <w:r>
        <w:rPr>
          <w:rFonts w:hint="eastAsia" w:ascii="宋体" w:hAnsi="宋体" w:cs="宋体"/>
          <w:bCs/>
          <w:color w:val="auto"/>
          <w:sz w:val="24"/>
          <w:highlight w:val="none"/>
        </w:rPr>
        <w:t>作为违约金，超过三次（含三次）的，甲方有权解除合同，要求乙方支付</w:t>
      </w:r>
      <w:r>
        <w:rPr>
          <w:rFonts w:hint="eastAsia" w:ascii="宋体" w:hAnsi="宋体" w:cs="宋体"/>
          <w:bCs/>
          <w:color w:val="auto"/>
          <w:sz w:val="24"/>
          <w:highlight w:val="none"/>
          <w:u w:val="single"/>
        </w:rPr>
        <w:t>合同暂定总价的</w:t>
      </w:r>
      <w:r>
        <w:rPr>
          <w:rFonts w:ascii="宋体" w:hAnsi="宋体" w:cs="宋体"/>
          <w:bCs/>
          <w:color w:val="auto"/>
          <w:sz w:val="24"/>
          <w:highlight w:val="none"/>
          <w:u w:val="single"/>
        </w:rPr>
        <w:t>20%</w:t>
      </w:r>
      <w:r>
        <w:rPr>
          <w:rFonts w:hint="eastAsia" w:ascii="宋体" w:hAnsi="宋体" w:cs="宋体"/>
          <w:bCs/>
          <w:color w:val="auto"/>
          <w:sz w:val="24"/>
          <w:highlight w:val="none"/>
        </w:rPr>
        <w:t>作为违约金。由此造成的经济和法律责任，均由乙方负责。</w:t>
      </w:r>
    </w:p>
    <w:p>
      <w:pPr>
        <w:widowControl/>
        <w:spacing w:line="384" w:lineRule="auto"/>
        <w:ind w:left="1" w:firstLine="480" w:firstLineChars="200"/>
        <w:jc w:val="left"/>
        <w:rPr>
          <w:rFonts w:ascii="宋体" w:hAnsi="宋体" w:cs="宋体"/>
          <w:bCs/>
          <w:color w:val="auto"/>
          <w:sz w:val="24"/>
          <w:highlight w:val="none"/>
        </w:rPr>
      </w:pPr>
      <w:r>
        <w:rPr>
          <w:rFonts w:ascii="宋体" w:hAnsi="宋体" w:cs="宋体"/>
          <w:bCs/>
          <w:color w:val="auto"/>
          <w:sz w:val="24"/>
          <w:highlight w:val="none"/>
        </w:rPr>
        <w:t>5.3</w:t>
      </w:r>
      <w:r>
        <w:rPr>
          <w:rFonts w:hint="eastAsia" w:ascii="宋体" w:hAnsi="宋体" w:cs="宋体"/>
          <w:bCs/>
          <w:color w:val="auto"/>
          <w:sz w:val="24"/>
          <w:highlight w:val="none"/>
        </w:rPr>
        <w:t>乙方应按合同及甲方提供的技术文件要求进行本项目实施和安装。乙方未经甲方同意，不得将本项目图纸泄露或转给第三人。除乙方存档需要的图纸外，乙方应于项目质量保修期满后日内将全部图纸退还给甲方。</w:t>
      </w:r>
    </w:p>
    <w:p>
      <w:pPr>
        <w:widowControl/>
        <w:spacing w:line="384" w:lineRule="auto"/>
        <w:ind w:left="1" w:firstLine="480" w:firstLineChars="200"/>
        <w:jc w:val="left"/>
        <w:rPr>
          <w:rFonts w:ascii="宋体" w:hAnsi="宋体" w:cs="宋体"/>
          <w:bCs/>
          <w:color w:val="auto"/>
          <w:sz w:val="24"/>
          <w:highlight w:val="none"/>
        </w:rPr>
      </w:pPr>
      <w:r>
        <w:rPr>
          <w:rFonts w:ascii="宋体" w:hAnsi="宋体" w:cs="宋体"/>
          <w:bCs/>
          <w:color w:val="auto"/>
          <w:sz w:val="24"/>
          <w:highlight w:val="none"/>
        </w:rPr>
        <w:t>5.4</w:t>
      </w:r>
      <w:r>
        <w:rPr>
          <w:rFonts w:hint="eastAsia" w:ascii="宋体" w:hAnsi="宋体" w:cs="宋体"/>
          <w:bCs/>
          <w:color w:val="auto"/>
          <w:sz w:val="24"/>
          <w:highlight w:val="none"/>
        </w:rPr>
        <w:t>合同约定的项目，乙方不得转包、分包。否则，甲方有权单方面终止合同，并令其立即退场，由此而造成的经济损失由乙方负责赔偿。</w:t>
      </w:r>
    </w:p>
    <w:p>
      <w:pPr>
        <w:widowControl/>
        <w:spacing w:line="384" w:lineRule="auto"/>
        <w:ind w:left="1" w:firstLine="480" w:firstLineChars="200"/>
        <w:jc w:val="left"/>
        <w:rPr>
          <w:rFonts w:ascii="宋体" w:hAnsi="宋体" w:cs="宋体"/>
          <w:bCs/>
          <w:color w:val="auto"/>
          <w:sz w:val="24"/>
          <w:highlight w:val="none"/>
        </w:rPr>
      </w:pPr>
      <w:r>
        <w:rPr>
          <w:rFonts w:ascii="宋体" w:hAnsi="宋体" w:cs="宋体"/>
          <w:bCs/>
          <w:color w:val="auto"/>
          <w:sz w:val="24"/>
          <w:highlight w:val="none"/>
        </w:rPr>
        <w:t>5.5乙方不履行合同义务、或履行合同义务不符合合同约定、或违反国家、省、市行业标准的，甲方有权要求乙方限期整改。乙方逾期未完成整改的，每项每超过1日支付违约金人民币</w:t>
      </w:r>
      <w:r>
        <w:rPr>
          <w:rFonts w:ascii="宋体" w:hAnsi="宋体" w:cs="宋体"/>
          <w:bCs/>
          <w:color w:val="auto"/>
          <w:sz w:val="24"/>
          <w:highlight w:val="none"/>
          <w:u w:val="single"/>
        </w:rPr>
        <w:t>1</w:t>
      </w:r>
      <w:r>
        <w:rPr>
          <w:rFonts w:hint="eastAsia" w:ascii="宋体" w:hAnsi="宋体" w:cs="宋体"/>
          <w:bCs/>
          <w:color w:val="auto"/>
          <w:sz w:val="24"/>
          <w:highlight w:val="none"/>
          <w:u w:val="single"/>
          <w:lang w:val="en-US" w:eastAsia="zh-CN"/>
        </w:rPr>
        <w:t>千</w:t>
      </w:r>
      <w:r>
        <w:rPr>
          <w:rFonts w:ascii="宋体" w:hAnsi="宋体" w:cs="宋体"/>
          <w:bCs/>
          <w:color w:val="auto"/>
          <w:sz w:val="24"/>
          <w:highlight w:val="none"/>
          <w:u w:val="single"/>
        </w:rPr>
        <w:t>元</w:t>
      </w:r>
      <w:r>
        <w:rPr>
          <w:rFonts w:ascii="宋体" w:hAnsi="宋体" w:cs="宋体"/>
          <w:bCs/>
          <w:color w:val="auto"/>
          <w:sz w:val="24"/>
          <w:highlight w:val="none"/>
        </w:rPr>
        <w:t>，超过</w:t>
      </w:r>
      <w:r>
        <w:rPr>
          <w:rFonts w:hint="eastAsia" w:ascii="宋体" w:hAnsi="宋体" w:cs="宋体"/>
          <w:bCs/>
          <w:color w:val="auto"/>
          <w:sz w:val="24"/>
          <w:highlight w:val="none"/>
          <w:lang w:eastAsia="zh-CN"/>
        </w:rPr>
        <w:t>3</w:t>
      </w:r>
      <w:r>
        <w:rPr>
          <w:rFonts w:hint="eastAsia" w:ascii="宋体" w:hAnsi="宋体" w:cs="宋体"/>
          <w:bCs/>
          <w:color w:val="auto"/>
          <w:sz w:val="24"/>
          <w:highlight w:val="none"/>
          <w:lang w:val="en-US" w:eastAsia="zh-CN"/>
        </w:rPr>
        <w:t>0</w:t>
      </w:r>
      <w:r>
        <w:rPr>
          <w:rFonts w:ascii="宋体" w:hAnsi="宋体" w:cs="宋体"/>
          <w:bCs/>
          <w:color w:val="auto"/>
          <w:sz w:val="24"/>
          <w:highlight w:val="none"/>
        </w:rPr>
        <w:t>日，甲方有权解除合同并要求乙方支付</w:t>
      </w:r>
      <w:r>
        <w:rPr>
          <w:rFonts w:ascii="宋体" w:hAnsi="宋体" w:cs="宋体"/>
          <w:bCs/>
          <w:color w:val="auto"/>
          <w:sz w:val="24"/>
          <w:highlight w:val="none"/>
          <w:u w:val="single"/>
        </w:rPr>
        <w:t>合同暂定总价的20%</w:t>
      </w:r>
      <w:r>
        <w:rPr>
          <w:rFonts w:ascii="宋体" w:hAnsi="宋体" w:cs="宋体"/>
          <w:bCs/>
          <w:color w:val="auto"/>
          <w:sz w:val="24"/>
          <w:highlight w:val="none"/>
        </w:rPr>
        <w:t>作为违约金</w:t>
      </w:r>
      <w:r>
        <w:rPr>
          <w:rFonts w:hint="eastAsia" w:asciiTheme="minorEastAsia" w:hAnsiTheme="minorEastAsia"/>
          <w:bCs/>
          <w:color w:val="auto"/>
          <w:sz w:val="24"/>
          <w:highlight w:val="none"/>
        </w:rPr>
        <w:t>（</w:t>
      </w:r>
      <w:r>
        <w:rPr>
          <w:rFonts w:hint="eastAsia" w:cs="宋体"/>
          <w:color w:val="auto"/>
          <w:sz w:val="24"/>
          <w:highlight w:val="none"/>
        </w:rPr>
        <w:t>如合同另行约定违约责任，从其约定</w:t>
      </w:r>
      <w:r>
        <w:rPr>
          <w:rFonts w:hint="eastAsia" w:asciiTheme="minorEastAsia" w:hAnsiTheme="minorEastAsia"/>
          <w:bCs/>
          <w:color w:val="auto"/>
          <w:sz w:val="24"/>
          <w:highlight w:val="none"/>
        </w:rPr>
        <w:t>）</w:t>
      </w:r>
      <w:r>
        <w:rPr>
          <w:rFonts w:ascii="宋体" w:hAnsi="宋体" w:cs="宋体"/>
          <w:bCs/>
          <w:color w:val="auto"/>
          <w:sz w:val="24"/>
          <w:highlight w:val="none"/>
        </w:rPr>
        <w:t>。</w:t>
      </w:r>
    </w:p>
    <w:p>
      <w:pPr>
        <w:topLinePunct/>
        <w:spacing w:line="500" w:lineRule="exact"/>
        <w:ind w:firstLine="480" w:firstLineChars="200"/>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5.6乙方不得随意更换项目负责人及附件5中的相关人员，如确须更换，应提前征得甲方同意。如有违反，甲方有权解除合同并要求乙方支付</w:t>
      </w:r>
      <w:r>
        <w:rPr>
          <w:rFonts w:hint="eastAsia" w:asciiTheme="minorEastAsia" w:hAnsiTheme="minorEastAsia" w:cstheme="minorEastAsia"/>
          <w:color w:val="auto"/>
          <w:sz w:val="24"/>
          <w:szCs w:val="24"/>
          <w:highlight w:val="none"/>
          <w:u w:val="single"/>
        </w:rPr>
        <w:t>5000元/人次</w:t>
      </w:r>
      <w:r>
        <w:rPr>
          <w:rFonts w:hint="eastAsia" w:asciiTheme="minorEastAsia" w:hAnsiTheme="minorEastAsia" w:cstheme="minorEastAsia"/>
          <w:color w:val="auto"/>
          <w:sz w:val="24"/>
          <w:szCs w:val="24"/>
          <w:highlight w:val="none"/>
        </w:rPr>
        <w:t xml:space="preserve">作为违约金，以及赔偿由此造成的一切损失(包含质量安全事故、工期延误、增加投资等)。 </w:t>
      </w:r>
    </w:p>
    <w:p>
      <w:pPr>
        <w:topLinePunct/>
        <w:spacing w:line="500" w:lineRule="exact"/>
        <w:ind w:firstLine="480" w:firstLineChars="200"/>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 xml:space="preserve"> 5.7施工过程中，项目负责人应驻场管理，否则甲方有权要求乙方支付违约</w:t>
      </w:r>
      <w:r>
        <w:rPr>
          <w:rFonts w:hint="eastAsia" w:asciiTheme="minorEastAsia" w:hAnsiTheme="minorEastAsia" w:cstheme="minorEastAsia"/>
          <w:color w:val="auto"/>
          <w:sz w:val="24"/>
          <w:szCs w:val="24"/>
          <w:highlight w:val="none"/>
          <w:u w:val="single"/>
        </w:rPr>
        <w:t xml:space="preserve"> 1000元/天</w:t>
      </w:r>
      <w:r>
        <w:rPr>
          <w:rFonts w:hint="eastAsia" w:asciiTheme="minorEastAsia" w:hAnsiTheme="minorEastAsia" w:cstheme="minorEastAsia"/>
          <w:color w:val="auto"/>
          <w:sz w:val="24"/>
          <w:szCs w:val="24"/>
          <w:highlight w:val="none"/>
        </w:rPr>
        <w:t>，因此造成损失的，按实际发生额赔偿。</w:t>
      </w:r>
    </w:p>
    <w:p>
      <w:pPr>
        <w:pStyle w:val="28"/>
        <w:ind w:firstLine="48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5.8施工过程中，乙方应负责配备现场的应急物资。具体应急物资配备详见附件应急救援物资清单。（如需）</w:t>
      </w:r>
    </w:p>
    <w:p>
      <w:pPr>
        <w:pStyle w:val="28"/>
        <w:rPr>
          <w:color w:val="auto"/>
          <w:highlight w:val="none"/>
        </w:rPr>
      </w:pPr>
    </w:p>
    <w:p>
      <w:pPr>
        <w:tabs>
          <w:tab w:val="left" w:pos="851"/>
        </w:tabs>
        <w:adjustRightInd w:val="0"/>
        <w:snapToGrid w:val="0"/>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第六条实施条件及管理要求</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6.1</w:t>
      </w:r>
      <w:r>
        <w:rPr>
          <w:rFonts w:hint="eastAsia" w:ascii="宋体" w:hAnsi="宋体" w:cs="宋体"/>
          <w:color w:val="auto"/>
          <w:sz w:val="24"/>
          <w:highlight w:val="none"/>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6.2</w:t>
      </w:r>
      <w:r>
        <w:rPr>
          <w:rFonts w:hint="eastAsia" w:ascii="宋体" w:hAnsi="宋体" w:cs="宋体"/>
          <w:color w:val="auto"/>
          <w:sz w:val="24"/>
          <w:highlight w:val="none"/>
        </w:rPr>
        <w:t>施工用水用电采用以下</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3</w:t>
      </w:r>
      <w:r>
        <w:rPr>
          <w:rFonts w:hint="eastAsia" w:ascii="宋体" w:hAnsi="宋体" w:cs="宋体"/>
          <w:color w:val="auto"/>
          <w:sz w:val="24"/>
          <w:highlight w:val="none"/>
          <w:u w:val="single"/>
        </w:rPr>
        <w:t>）</w:t>
      </w:r>
      <w:r>
        <w:rPr>
          <w:rFonts w:hint="eastAsia" w:ascii="宋体" w:hAnsi="宋体" w:cs="宋体"/>
          <w:color w:val="auto"/>
          <w:sz w:val="24"/>
          <w:highlight w:val="none"/>
        </w:rPr>
        <w:t>方式执行。</w:t>
      </w:r>
    </w:p>
    <w:p>
      <w:pPr>
        <w:spacing w:line="384"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由甲方提供施工用水用电接口，水电费按合同综合单价水电含量计算，从甲方支付的工程款中直接扣回。</w:t>
      </w:r>
    </w:p>
    <w:p>
      <w:pPr>
        <w:spacing w:line="38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）由甲方提供施工用水用电接口，费用按</w:t>
      </w:r>
      <w:r>
        <w:rPr>
          <w:rFonts w:hint="eastAsia" w:ascii="宋体" w:hAnsi="宋体" w:cs="宋体"/>
          <w:color w:val="auto"/>
          <w:sz w:val="24"/>
          <w:highlight w:val="none"/>
          <w:u w:val="single"/>
        </w:rPr>
        <w:t>（</w:t>
      </w:r>
      <w:r>
        <w:rPr>
          <w:rFonts w:hint="eastAsia" w:ascii="宋体" w:hAnsi="宋体" w:cs="宋体"/>
          <w:color w:val="auto"/>
          <w:sz w:val="24"/>
          <w:highlight w:val="none"/>
        </w:rPr>
        <w:t>月</w:t>
      </w:r>
      <w:r>
        <w:rPr>
          <w:rFonts w:ascii="宋体" w:hAnsi="宋体" w:cs="宋体"/>
          <w:color w:val="auto"/>
          <w:sz w:val="24"/>
          <w:highlight w:val="none"/>
        </w:rPr>
        <w:t>/</w:t>
      </w:r>
      <w:r>
        <w:rPr>
          <w:rFonts w:hint="eastAsia" w:ascii="宋体" w:hAnsi="宋体" w:cs="宋体"/>
          <w:color w:val="auto"/>
          <w:sz w:val="24"/>
          <w:highlight w:val="none"/>
        </w:rPr>
        <w:t>项目）结算，由乙方向甲方或甲方下辖分公司</w:t>
      </w:r>
      <w:r>
        <w:rPr>
          <w:rFonts w:ascii="宋体" w:hAnsi="宋体" w:cs="宋体"/>
          <w:color w:val="auto"/>
          <w:sz w:val="24"/>
          <w:highlight w:val="none"/>
        </w:rPr>
        <w:t>/</w:t>
      </w:r>
      <w:r>
        <w:rPr>
          <w:rFonts w:hint="eastAsia" w:ascii="宋体" w:hAnsi="宋体" w:cs="宋体"/>
          <w:color w:val="auto"/>
          <w:sz w:val="24"/>
          <w:highlight w:val="none"/>
        </w:rPr>
        <w:t>子公司支付。水电费用按所属供电局、自来水公司收费标准，按实计算。</w:t>
      </w:r>
    </w:p>
    <w:p>
      <w:pPr>
        <w:spacing w:line="38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）由乙方自行负责。</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6.3</w:t>
      </w:r>
      <w:r>
        <w:rPr>
          <w:rFonts w:hint="eastAsia" w:ascii="宋体" w:hAnsi="宋体" w:cs="宋体"/>
          <w:color w:val="auto"/>
          <w:sz w:val="24"/>
          <w:highlight w:val="none"/>
        </w:rPr>
        <w:t>施工时间安排：上午</w:t>
      </w:r>
      <w:r>
        <w:rPr>
          <w:rFonts w:ascii="宋体" w:hAnsi="宋体" w:cs="宋体"/>
          <w:color w:val="auto"/>
          <w:sz w:val="24"/>
          <w:highlight w:val="none"/>
        </w:rPr>
        <w:t>7</w:t>
      </w:r>
      <w:r>
        <w:rPr>
          <w:rFonts w:hint="eastAsia" w:ascii="宋体" w:hAnsi="宋体" w:cs="宋体"/>
          <w:color w:val="auto"/>
          <w:sz w:val="24"/>
          <w:highlight w:val="none"/>
        </w:rPr>
        <w:t>：</w:t>
      </w:r>
      <w:r>
        <w:rPr>
          <w:rFonts w:ascii="宋体" w:hAnsi="宋体" w:cs="宋体"/>
          <w:color w:val="auto"/>
          <w:sz w:val="24"/>
          <w:highlight w:val="none"/>
        </w:rPr>
        <w:t>00-12</w:t>
      </w:r>
      <w:r>
        <w:rPr>
          <w:rFonts w:hint="eastAsia" w:ascii="宋体" w:hAnsi="宋体" w:cs="宋体"/>
          <w:color w:val="auto"/>
          <w:sz w:val="24"/>
          <w:highlight w:val="none"/>
        </w:rPr>
        <w:t>：</w:t>
      </w:r>
      <w:r>
        <w:rPr>
          <w:rFonts w:ascii="宋体" w:hAnsi="宋体" w:cs="宋体"/>
          <w:color w:val="auto"/>
          <w:sz w:val="24"/>
          <w:highlight w:val="none"/>
        </w:rPr>
        <w:t>00</w:t>
      </w:r>
      <w:r>
        <w:rPr>
          <w:rFonts w:hint="eastAsia" w:ascii="宋体" w:hAnsi="宋体" w:cs="宋体"/>
          <w:color w:val="auto"/>
          <w:sz w:val="24"/>
          <w:highlight w:val="none"/>
        </w:rPr>
        <w:t>，下午</w:t>
      </w:r>
      <w:r>
        <w:rPr>
          <w:rFonts w:ascii="宋体" w:hAnsi="宋体" w:cs="宋体"/>
          <w:color w:val="auto"/>
          <w:sz w:val="24"/>
          <w:highlight w:val="none"/>
        </w:rPr>
        <w:t>14</w:t>
      </w:r>
      <w:r>
        <w:rPr>
          <w:rFonts w:hint="eastAsia" w:ascii="宋体" w:hAnsi="宋体" w:cs="宋体"/>
          <w:color w:val="auto"/>
          <w:sz w:val="24"/>
          <w:highlight w:val="none"/>
        </w:rPr>
        <w:t>：</w:t>
      </w:r>
      <w:r>
        <w:rPr>
          <w:rFonts w:ascii="宋体" w:hAnsi="宋体" w:cs="宋体"/>
          <w:color w:val="auto"/>
          <w:sz w:val="24"/>
          <w:highlight w:val="none"/>
        </w:rPr>
        <w:t>00-18</w:t>
      </w:r>
      <w:r>
        <w:rPr>
          <w:rFonts w:hint="eastAsia" w:ascii="宋体" w:hAnsi="宋体" w:cs="宋体"/>
          <w:color w:val="auto"/>
          <w:sz w:val="24"/>
          <w:highlight w:val="none"/>
        </w:rPr>
        <w:t>：</w:t>
      </w:r>
      <w:r>
        <w:rPr>
          <w:rFonts w:ascii="宋体" w:hAnsi="宋体" w:cs="宋体"/>
          <w:color w:val="auto"/>
          <w:sz w:val="24"/>
          <w:highlight w:val="none"/>
        </w:rPr>
        <w:t>00</w:t>
      </w:r>
      <w:r>
        <w:rPr>
          <w:rFonts w:hint="eastAsia" w:ascii="宋体" w:hAnsi="宋体" w:cs="宋体"/>
          <w:color w:val="auto"/>
          <w:sz w:val="24"/>
          <w:highlight w:val="none"/>
        </w:rPr>
        <w:t>，施工时间如需变动，以甲方的书面或口头通知为准。</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6.4</w:t>
      </w:r>
      <w:r>
        <w:rPr>
          <w:rFonts w:hint="eastAsia" w:ascii="宋体" w:hAnsi="宋体" w:cs="宋体"/>
          <w:color w:val="auto"/>
          <w:sz w:val="24"/>
          <w:highlight w:val="none"/>
        </w:rPr>
        <w:t>进场施工人员必须严格遵守</w:t>
      </w:r>
      <w:r>
        <w:rPr>
          <w:rFonts w:hint="eastAsia" w:ascii="宋体" w:hAnsi="宋体" w:cs="宋体"/>
          <w:color w:val="auto"/>
          <w:kern w:val="10"/>
          <w:sz w:val="24"/>
          <w:highlight w:val="none"/>
        </w:rPr>
        <w:t>污水处理厂</w:t>
      </w:r>
      <w:r>
        <w:rPr>
          <w:rFonts w:hint="eastAsia" w:ascii="宋体" w:hAnsi="宋体" w:cs="宋体"/>
          <w:color w:val="auto"/>
          <w:sz w:val="24"/>
          <w:highlight w:val="none"/>
        </w:rPr>
        <w:t>一切规章制度。进入施工现场人员必须佩戴出入证，并自觉接受门岗检查。</w:t>
      </w:r>
    </w:p>
    <w:p>
      <w:pPr>
        <w:snapToGrid w:val="0"/>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6.5</w:t>
      </w:r>
      <w:r>
        <w:rPr>
          <w:rFonts w:hint="eastAsia" w:ascii="宋体" w:hAnsi="宋体" w:cs="宋体"/>
          <w:color w:val="auto"/>
          <w:sz w:val="24"/>
          <w:highlight w:val="none"/>
        </w:rPr>
        <w:t>环境保护要求：</w:t>
      </w:r>
    </w:p>
    <w:p>
      <w:pPr>
        <w:snapToGrid w:val="0"/>
        <w:spacing w:line="38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）做好施工噪声、废气、废水等控制；</w:t>
      </w:r>
    </w:p>
    <w:p>
      <w:pPr>
        <w:snapToGrid w:val="0"/>
        <w:spacing w:line="38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）按照国家及广州市相关规定做好建筑垃圾的处理。</w:t>
      </w:r>
    </w:p>
    <w:p>
      <w:pPr>
        <w:snapToGrid w:val="0"/>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6.6</w:t>
      </w:r>
      <w:r>
        <w:rPr>
          <w:rFonts w:hint="eastAsia" w:ascii="宋体" w:hAnsi="宋体" w:cs="宋体"/>
          <w:color w:val="auto"/>
          <w:sz w:val="24"/>
          <w:highlight w:val="none"/>
        </w:rPr>
        <w:t>按相关法律法规及甲方相关作业施工管理要求执行。</w:t>
      </w:r>
    </w:p>
    <w:p>
      <w:pPr>
        <w:pStyle w:val="12"/>
        <w:spacing w:line="384" w:lineRule="auto"/>
        <w:rPr>
          <w:rFonts w:hAnsi="宋体" w:cs="宋体"/>
          <w:b/>
          <w:bCs/>
          <w:color w:val="auto"/>
          <w:sz w:val="24"/>
          <w:szCs w:val="24"/>
          <w:highlight w:val="none"/>
        </w:rPr>
      </w:pPr>
      <w:r>
        <w:rPr>
          <w:rFonts w:hint="eastAsia" w:hAnsi="宋体" w:cs="宋体"/>
          <w:b/>
          <w:bCs/>
          <w:color w:val="auto"/>
          <w:sz w:val="24"/>
          <w:szCs w:val="24"/>
          <w:highlight w:val="none"/>
        </w:rPr>
        <w:t>第七条 材料及设备供应</w:t>
      </w:r>
    </w:p>
    <w:p>
      <w:pPr>
        <w:spacing w:line="38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本项目承包范围内所需的设备材料、成品、未成品、运输、保管、质量等责任均由乙方承担。甲方不提供材料。</w:t>
      </w:r>
    </w:p>
    <w:p>
      <w:pPr>
        <w:spacing w:line="384" w:lineRule="auto"/>
        <w:ind w:left="-2" w:leftChars="-1" w:firstLine="480" w:firstLineChars="200"/>
        <w:rPr>
          <w:rFonts w:ascii="宋体" w:hAnsi="宋体" w:cs="宋体"/>
          <w:color w:val="auto"/>
          <w:sz w:val="24"/>
          <w:highlight w:val="none"/>
        </w:rPr>
      </w:pPr>
      <w:r>
        <w:rPr>
          <w:rFonts w:ascii="宋体" w:hAnsi="宋体" w:cs="宋体"/>
          <w:color w:val="auto"/>
          <w:sz w:val="24"/>
          <w:highlight w:val="none"/>
        </w:rPr>
        <w:t>7.1</w:t>
      </w:r>
      <w:r>
        <w:rPr>
          <w:rFonts w:hint="eastAsia" w:ascii="宋体" w:hAnsi="宋体" w:cs="宋体"/>
          <w:color w:val="auto"/>
          <w:sz w:val="24"/>
          <w:highlight w:val="none"/>
        </w:rPr>
        <w:t>采购供应的材料、其名称、品种、型号、规格、质量等，均应符合国家、地方及行业有关规范及要求。</w:t>
      </w:r>
    </w:p>
    <w:p>
      <w:pPr>
        <w:spacing w:line="384" w:lineRule="auto"/>
        <w:ind w:left="657" w:leftChars="200" w:hanging="237" w:hangingChars="99"/>
        <w:rPr>
          <w:rFonts w:ascii="宋体" w:hAnsi="宋体" w:cs="宋体"/>
          <w:color w:val="auto"/>
          <w:sz w:val="24"/>
          <w:highlight w:val="none"/>
        </w:rPr>
      </w:pPr>
      <w:r>
        <w:rPr>
          <w:rFonts w:ascii="宋体" w:hAnsi="宋体" w:cs="宋体"/>
          <w:color w:val="auto"/>
          <w:sz w:val="24"/>
          <w:highlight w:val="none"/>
        </w:rPr>
        <w:t>7.2</w:t>
      </w:r>
      <w:r>
        <w:rPr>
          <w:rFonts w:hint="eastAsia" w:ascii="宋体" w:hAnsi="宋体" w:cs="宋体"/>
          <w:color w:val="auto"/>
          <w:sz w:val="24"/>
          <w:highlight w:val="none"/>
        </w:rPr>
        <w:t>所有材料必须具备合格证明，并保证产品的有效性。</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7.3</w:t>
      </w:r>
      <w:r>
        <w:rPr>
          <w:rFonts w:hint="eastAsia" w:ascii="宋体" w:hAnsi="宋体" w:cs="宋体"/>
          <w:color w:val="auto"/>
          <w:sz w:val="24"/>
          <w:highlight w:val="none"/>
        </w:rPr>
        <w:t>由于乙方提供的伪劣、假冒等所有不合格材料而导致的损失、事故及一切后果，均由乙方负责并赔偿甲方所有损失，并负责更换所有已施工的不合格材料。</w:t>
      </w:r>
    </w:p>
    <w:p>
      <w:pPr>
        <w:tabs>
          <w:tab w:val="left" w:pos="360"/>
        </w:tabs>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7.4</w:t>
      </w:r>
      <w:r>
        <w:rPr>
          <w:rFonts w:hint="eastAsia" w:ascii="宋体" w:hAnsi="宋体" w:cs="宋体"/>
          <w:color w:val="auto"/>
          <w:sz w:val="24"/>
          <w:highlight w:val="none"/>
        </w:rPr>
        <w:t>乙方必须根据投标文件</w:t>
      </w:r>
      <w:r>
        <w:rPr>
          <w:rFonts w:ascii="宋体" w:hAnsi="宋体" w:cs="宋体"/>
          <w:color w:val="auto"/>
          <w:sz w:val="24"/>
          <w:highlight w:val="none"/>
        </w:rPr>
        <w:t>/</w:t>
      </w:r>
      <w:r>
        <w:rPr>
          <w:rFonts w:hint="eastAsia" w:ascii="宋体" w:hAnsi="宋体" w:cs="宋体"/>
          <w:color w:val="auto"/>
          <w:sz w:val="24"/>
          <w:highlight w:val="none"/>
        </w:rPr>
        <w:t>询价响应文件（如有）上主要材料的明细（包括厂家、规格、品质等级等）提供材料。工程实施时，如发现材料不一致，甲方有权拒用，造成损失由乙方承担。</w:t>
      </w:r>
    </w:p>
    <w:p>
      <w:pPr>
        <w:spacing w:line="384" w:lineRule="auto"/>
        <w:ind w:left="-2" w:leftChars="-1" w:firstLine="480" w:firstLineChars="200"/>
        <w:rPr>
          <w:rFonts w:ascii="宋体" w:hAnsi="宋体" w:cs="宋体"/>
          <w:color w:val="auto"/>
          <w:sz w:val="24"/>
          <w:highlight w:val="none"/>
        </w:rPr>
      </w:pPr>
      <w:r>
        <w:rPr>
          <w:rFonts w:ascii="宋体" w:hAnsi="宋体" w:cs="宋体"/>
          <w:color w:val="auto"/>
          <w:sz w:val="24"/>
          <w:highlight w:val="none"/>
        </w:rPr>
        <w:t xml:space="preserve">7.5 </w:t>
      </w:r>
      <w:r>
        <w:rPr>
          <w:rFonts w:hint="eastAsia" w:ascii="宋体" w:hAnsi="宋体" w:cs="宋体"/>
          <w:color w:val="auto"/>
          <w:sz w:val="24"/>
          <w:highlight w:val="none"/>
        </w:rPr>
        <w:t>甲方有权对施工质量进行监督、检查或检验，也可自行委托第三方进行质量检验，甲方或第三方的检验结果作为最终的质量评定结果。</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 xml:space="preserve">7.6 </w:t>
      </w:r>
      <w:r>
        <w:rPr>
          <w:rFonts w:hint="eastAsia" w:ascii="宋体" w:hAnsi="宋体" w:cs="宋体"/>
          <w:color w:val="auto"/>
          <w:sz w:val="24"/>
          <w:highlight w:val="none"/>
        </w:rPr>
        <w:t>承包范围之内工程所用之设备，由乙方提供。</w:t>
      </w:r>
    </w:p>
    <w:p>
      <w:pPr>
        <w:spacing w:line="384" w:lineRule="auto"/>
        <w:rPr>
          <w:rFonts w:ascii="宋体" w:hAnsi="宋体" w:cs="宋体"/>
          <w:color w:val="auto"/>
          <w:sz w:val="24"/>
          <w:highlight w:val="none"/>
        </w:rPr>
      </w:pPr>
      <w:r>
        <w:rPr>
          <w:rFonts w:hint="eastAsia" w:ascii="宋体" w:hAnsi="宋体" w:cs="宋体"/>
          <w:b/>
          <w:bCs/>
          <w:color w:val="auto"/>
          <w:sz w:val="24"/>
          <w:highlight w:val="none"/>
        </w:rPr>
        <w:t>第八条付</w:t>
      </w:r>
      <w:r>
        <w:rPr>
          <w:rFonts w:hint="eastAsia" w:ascii="宋体" w:hAnsi="宋体" w:cs="宋体"/>
          <w:b/>
          <w:color w:val="auto"/>
          <w:sz w:val="24"/>
          <w:highlight w:val="none"/>
        </w:rPr>
        <w:t>款及履约担保</w:t>
      </w:r>
    </w:p>
    <w:p>
      <w:pPr>
        <w:spacing w:line="384" w:lineRule="auto"/>
        <w:ind w:firstLine="480" w:firstLineChars="200"/>
        <w:rPr>
          <w:rFonts w:ascii="宋体" w:hAnsi="宋体" w:cs="宋体"/>
          <w:bCs/>
          <w:color w:val="auto"/>
          <w:sz w:val="24"/>
          <w:highlight w:val="none"/>
          <w:u w:val="single"/>
        </w:rPr>
      </w:pPr>
      <w:r>
        <w:rPr>
          <w:rFonts w:ascii="宋体" w:hAnsi="宋体" w:cs="宋体"/>
          <w:color w:val="auto"/>
          <w:sz w:val="24"/>
          <w:highlight w:val="none"/>
        </w:rPr>
        <w:t>8.1</w:t>
      </w:r>
      <w:r>
        <w:rPr>
          <w:rFonts w:hint="eastAsia" w:ascii="宋体" w:hAnsi="宋体" w:cs="宋体"/>
          <w:bCs/>
          <w:color w:val="auto"/>
          <w:sz w:val="24"/>
          <w:highlight w:val="none"/>
        </w:rPr>
        <w:t>预付款的支付：</w:t>
      </w:r>
      <w:r>
        <w:rPr>
          <w:rFonts w:ascii="宋体" w:hAnsi="宋体" w:cs="宋体"/>
          <w:bCs/>
          <w:color w:val="auto"/>
          <w:sz w:val="24"/>
          <w:highlight w:val="none"/>
        </w:rPr>
        <w:sym w:font="Wingdings" w:char="00A8"/>
      </w:r>
      <w:r>
        <w:rPr>
          <w:rFonts w:hint="eastAsia" w:ascii="宋体" w:hAnsi="宋体" w:cs="宋体"/>
          <w:bCs/>
          <w:color w:val="auto"/>
          <w:sz w:val="24"/>
          <w:highlight w:val="none"/>
        </w:rPr>
        <w:t>无；</w:t>
      </w:r>
      <w:r>
        <w:rPr>
          <w:rFonts w:ascii="宋体" w:hAnsi="宋体" w:cs="宋体"/>
          <w:bCs/>
          <w:color w:val="auto"/>
          <w:sz w:val="24"/>
          <w:highlight w:val="none"/>
        </w:rPr>
        <w:sym w:font="Wingdings" w:char="00FE"/>
      </w:r>
      <w:r>
        <w:rPr>
          <w:rFonts w:hint="eastAsia" w:ascii="宋体" w:hAnsi="宋体" w:cs="宋体"/>
          <w:bCs/>
          <w:color w:val="auto"/>
          <w:sz w:val="24"/>
          <w:highlight w:val="none"/>
        </w:rPr>
        <w:t>有,合同签订后，乙方开具等额的增值税专用发票及提交履约担保担保（如有）后</w:t>
      </w:r>
      <w:r>
        <w:rPr>
          <w:rFonts w:ascii="宋体" w:hAnsi="宋体" w:cs="宋体"/>
          <w:bCs/>
          <w:color w:val="auto"/>
          <w:sz w:val="24"/>
          <w:highlight w:val="none"/>
          <w:u w:val="single"/>
        </w:rPr>
        <w:t xml:space="preserve"> 10 </w:t>
      </w:r>
      <w:r>
        <w:rPr>
          <w:rFonts w:hint="eastAsia" w:ascii="宋体" w:hAnsi="宋体" w:cs="宋体"/>
          <w:bCs/>
          <w:color w:val="auto"/>
          <w:sz w:val="24"/>
          <w:highlight w:val="none"/>
        </w:rPr>
        <w:t>个工作日内，甲方支付合同</w:t>
      </w:r>
      <w:r>
        <w:rPr>
          <w:rFonts w:hint="eastAsia" w:ascii="宋体" w:hAnsi="宋体" w:cs="宋体"/>
          <w:color w:val="auto"/>
          <w:sz w:val="24"/>
          <w:highlight w:val="none"/>
        </w:rPr>
        <w:t>暂定总价</w:t>
      </w:r>
      <w:r>
        <w:rPr>
          <w:rFonts w:hint="eastAsia" w:ascii="宋体" w:hAnsi="宋体" w:cs="宋体"/>
          <w:bCs/>
          <w:color w:val="auto"/>
          <w:sz w:val="24"/>
          <w:highlight w:val="none"/>
        </w:rPr>
        <w:t>的</w:t>
      </w:r>
      <w:bookmarkStart w:id="166" w:name="_GoBack"/>
      <w:r>
        <w:rPr>
          <w:rFonts w:hint="eastAsia" w:ascii="宋体" w:hAnsi="宋体" w:cs="宋体"/>
          <w:bCs/>
          <w:color w:val="auto"/>
          <w:sz w:val="24"/>
          <w:highlight w:val="none"/>
          <w:u w:val="single"/>
          <w:lang w:val="en-US" w:eastAsia="zh-CN"/>
        </w:rPr>
        <w:t>30%</w:t>
      </w:r>
      <w:bookmarkEnd w:id="166"/>
      <w:r>
        <w:rPr>
          <w:rFonts w:hint="eastAsia" w:ascii="宋体" w:hAnsi="宋体" w:cs="宋体"/>
          <w:color w:val="auto"/>
          <w:sz w:val="24"/>
          <w:highlight w:val="none"/>
        </w:rPr>
        <w:t>即…</w:t>
      </w:r>
      <w:r>
        <w:rPr>
          <w:rFonts w:hint="eastAsia" w:ascii="宋体" w:hAnsi="宋体" w:cs="宋体"/>
          <w:color w:val="auto"/>
          <w:sz w:val="24"/>
          <w:highlight w:val="none"/>
          <w:u w:val="single"/>
        </w:rPr>
        <w:t>元，（大写：…）</w:t>
      </w:r>
      <w:r>
        <w:rPr>
          <w:rFonts w:hint="eastAsia" w:ascii="宋体" w:hAnsi="宋体" w:cs="宋体"/>
          <w:bCs/>
          <w:color w:val="auto"/>
          <w:sz w:val="24"/>
          <w:highlight w:val="none"/>
        </w:rPr>
        <w:t>作为预付款。</w:t>
      </w:r>
      <w:r>
        <w:rPr>
          <w:rFonts w:hint="eastAsia" w:ascii="宋体" w:hAnsi="宋体" w:cs="宋体"/>
          <w:color w:val="auto"/>
          <w:sz w:val="24"/>
          <w:highlight w:val="none"/>
        </w:rPr>
        <w:t>若合同解除或终止，乙方在</w:t>
      </w:r>
      <w:r>
        <w:rPr>
          <w:rFonts w:ascii="宋体" w:hAnsi="宋体" w:cs="宋体"/>
          <w:color w:val="auto"/>
          <w:sz w:val="24"/>
          <w:highlight w:val="none"/>
          <w:u w:val="single"/>
        </w:rPr>
        <w:t xml:space="preserve"> 5 </w:t>
      </w:r>
      <w:r>
        <w:rPr>
          <w:rFonts w:hint="eastAsia" w:ascii="宋体" w:hAnsi="宋体" w:cs="宋体"/>
          <w:color w:val="auto"/>
          <w:sz w:val="24"/>
          <w:highlight w:val="none"/>
        </w:rPr>
        <w:t>个工作日内返还预付款（无息）。</w:t>
      </w:r>
      <w:r>
        <w:rPr>
          <w:rFonts w:hint="eastAsia" w:ascii="宋体" w:hAnsi="宋体" w:cs="宋体"/>
          <w:bCs/>
          <w:color w:val="auto"/>
          <w:kern w:val="0"/>
          <w:sz w:val="24"/>
          <w:highlight w:val="none"/>
        </w:rPr>
        <w:t>逾期未返还，每逾期一天，乙方应按合同暂定总价的</w:t>
      </w:r>
      <w:r>
        <w:rPr>
          <w:rFonts w:hint="eastAsia" w:ascii="宋体" w:hAnsi="宋体" w:cs="宋体"/>
          <w:bCs/>
          <w:color w:val="auto"/>
          <w:kern w:val="0"/>
          <w:sz w:val="24"/>
          <w:highlight w:val="none"/>
          <w:u w:val="single"/>
        </w:rPr>
        <w:t>万分之五</w:t>
      </w:r>
      <w:r>
        <w:rPr>
          <w:rFonts w:ascii="宋体" w:hAnsi="宋体" w:cs="宋体"/>
          <w:bCs/>
          <w:color w:val="auto"/>
          <w:kern w:val="0"/>
          <w:sz w:val="24"/>
          <w:highlight w:val="none"/>
          <w:u w:val="single"/>
        </w:rPr>
        <w:t>/</w:t>
      </w:r>
      <w:r>
        <w:rPr>
          <w:rFonts w:hint="eastAsia" w:ascii="宋体" w:hAnsi="宋体" w:cs="宋体"/>
          <w:bCs/>
          <w:color w:val="auto"/>
          <w:kern w:val="0"/>
          <w:sz w:val="24"/>
          <w:highlight w:val="none"/>
          <w:u w:val="single"/>
        </w:rPr>
        <w:t>天</w:t>
      </w:r>
      <w:r>
        <w:rPr>
          <w:rFonts w:hint="eastAsia" w:ascii="宋体" w:hAnsi="宋体" w:cs="宋体"/>
          <w:bCs/>
          <w:color w:val="auto"/>
          <w:kern w:val="0"/>
          <w:sz w:val="24"/>
          <w:highlight w:val="none"/>
        </w:rPr>
        <w:t>支付违约金</w:t>
      </w:r>
      <w:r>
        <w:rPr>
          <w:rFonts w:hint="eastAsia" w:ascii="宋体" w:hAnsi="宋体" w:cs="宋体"/>
          <w:color w:val="auto"/>
          <w:sz w:val="24"/>
          <w:highlight w:val="none"/>
        </w:rPr>
        <w:t>。</w:t>
      </w:r>
    </w:p>
    <w:p>
      <w:pPr>
        <w:pStyle w:val="12"/>
        <w:spacing w:line="384" w:lineRule="auto"/>
        <w:ind w:firstLine="480" w:firstLineChars="200"/>
        <w:outlineLvl w:val="1"/>
        <w:rPr>
          <w:rFonts w:hint="eastAsia" w:hAnsi="宋体" w:cs="宋体" w:eastAsiaTheme="minorEastAsia"/>
          <w:color w:val="auto"/>
          <w:sz w:val="24"/>
          <w:szCs w:val="24"/>
          <w:highlight w:val="none"/>
          <w:lang w:eastAsia="zh-CN"/>
        </w:rPr>
      </w:pPr>
      <w:r>
        <w:rPr>
          <w:rFonts w:hAnsi="宋体" w:cs="宋体"/>
          <w:color w:val="auto"/>
          <w:sz w:val="24"/>
          <w:szCs w:val="24"/>
          <w:highlight w:val="none"/>
        </w:rPr>
        <w:t>8.2</w:t>
      </w:r>
      <w:r>
        <w:rPr>
          <w:rFonts w:hint="eastAsia" w:hAnsi="宋体" w:cs="宋体"/>
          <w:color w:val="auto"/>
          <w:sz w:val="24"/>
          <w:szCs w:val="24"/>
          <w:highlight w:val="none"/>
        </w:rPr>
        <w:t>甲乙双方确认开工报告，乙方根据现场情况</w:t>
      </w:r>
      <w:r>
        <w:rPr>
          <w:rFonts w:hint="eastAsia" w:hAnsi="宋体" w:cs="宋体"/>
          <w:color w:val="auto"/>
          <w:sz w:val="24"/>
          <w:szCs w:val="24"/>
          <w:highlight w:val="none"/>
          <w:lang w:val="en-US" w:eastAsia="zh-CN"/>
        </w:rPr>
        <w:t>编制</w:t>
      </w:r>
      <w:r>
        <w:rPr>
          <w:rFonts w:hint="eastAsia" w:hAnsi="宋体" w:cs="宋体"/>
          <w:color w:val="auto"/>
          <w:sz w:val="24"/>
          <w:szCs w:val="24"/>
          <w:highlight w:val="none"/>
        </w:rPr>
        <w:t>施工方案、应急预案等安全备案资料提交</w:t>
      </w:r>
      <w:r>
        <w:rPr>
          <w:rFonts w:hint="eastAsia" w:hAnsi="宋体" w:cs="宋体"/>
          <w:color w:val="auto"/>
          <w:sz w:val="24"/>
          <w:szCs w:val="24"/>
          <w:highlight w:val="none"/>
          <w:lang w:val="en-US" w:eastAsia="zh-CN"/>
        </w:rPr>
        <w:t>甲方</w:t>
      </w:r>
      <w:r>
        <w:rPr>
          <w:rFonts w:hint="eastAsia" w:hAnsi="宋体" w:cs="宋体"/>
          <w:color w:val="auto"/>
          <w:sz w:val="24"/>
          <w:szCs w:val="24"/>
          <w:highlight w:val="none"/>
        </w:rPr>
        <w:t>备案后，由乙方提交申请支付资料 15 个工作日内，甲方支付至合同暂定总价的30％</w:t>
      </w:r>
      <w:r>
        <w:rPr>
          <w:rFonts w:hint="eastAsia" w:hAnsi="宋体" w:cs="宋体"/>
          <w:color w:val="auto"/>
          <w:sz w:val="24"/>
          <w:szCs w:val="24"/>
          <w:highlight w:val="none"/>
          <w:lang w:eastAsia="zh-CN"/>
        </w:rPr>
        <w:t>。</w:t>
      </w:r>
    </w:p>
    <w:p>
      <w:pPr>
        <w:pStyle w:val="12"/>
        <w:spacing w:line="384" w:lineRule="auto"/>
        <w:ind w:firstLine="480" w:firstLineChars="200"/>
        <w:outlineLvl w:val="1"/>
        <w:rPr>
          <w:rFonts w:hAnsi="宋体" w:eastAsia="宋体" w:cs="宋体"/>
          <w:color w:val="auto"/>
          <w:sz w:val="24"/>
          <w:szCs w:val="24"/>
          <w:highlight w:val="none"/>
        </w:rPr>
      </w:pPr>
      <w:r>
        <w:rPr>
          <w:rFonts w:hint="eastAsia" w:hAnsi="宋体" w:cs="宋体"/>
          <w:color w:val="auto"/>
          <w:sz w:val="24"/>
          <w:szCs w:val="24"/>
          <w:highlight w:val="none"/>
          <w:u w:val="single"/>
        </w:rPr>
        <w:t>项目验收合格后，由乙方提交申请支付资料</w:t>
      </w:r>
      <w:r>
        <w:rPr>
          <w:rFonts w:hAnsi="宋体" w:cs="宋体"/>
          <w:color w:val="auto"/>
          <w:sz w:val="24"/>
          <w:szCs w:val="24"/>
          <w:highlight w:val="none"/>
          <w:u w:val="single"/>
        </w:rPr>
        <w:t xml:space="preserve"> 15 </w:t>
      </w:r>
      <w:r>
        <w:rPr>
          <w:rFonts w:hint="eastAsia" w:hAnsi="宋体" w:cs="宋体"/>
          <w:color w:val="auto"/>
          <w:sz w:val="24"/>
          <w:szCs w:val="24"/>
          <w:highlight w:val="none"/>
          <w:u w:val="single"/>
        </w:rPr>
        <w:t>个工作日内，甲方支付至合同暂定总价的80％即^万元给乙方。</w:t>
      </w:r>
      <w:r>
        <w:rPr>
          <w:rFonts w:hint="eastAsia" w:hAnsi="宋体" w:cs="宋体"/>
          <w:color w:val="auto"/>
          <w:sz w:val="24"/>
          <w:szCs w:val="24"/>
          <w:highlight w:val="none"/>
        </w:rPr>
        <w:t>（如需）</w:t>
      </w:r>
    </w:p>
    <w:p>
      <w:pPr>
        <w:tabs>
          <w:tab w:val="left" w:pos="0"/>
        </w:tabs>
        <w:adjustRightInd w:val="0"/>
        <w:snapToGrid w:val="0"/>
        <w:spacing w:line="360" w:lineRule="auto"/>
        <w:ind w:firstLine="480" w:firstLineChars="200"/>
        <w:jc w:val="left"/>
        <w:rPr>
          <w:rFonts w:ascii="宋体" w:hAnsi="宋体" w:cs="宋体"/>
          <w:color w:val="auto"/>
          <w:sz w:val="24"/>
          <w:highlight w:val="none"/>
        </w:rPr>
      </w:pPr>
      <w:r>
        <w:rPr>
          <w:rFonts w:ascii="宋体" w:hAnsi="宋体" w:cs="宋体"/>
          <w:color w:val="auto"/>
          <w:sz w:val="24"/>
          <w:highlight w:val="none"/>
        </w:rPr>
        <w:t>8.2.1</w:t>
      </w:r>
      <w:r>
        <w:rPr>
          <w:rFonts w:hint="eastAsia" w:ascii="宋体" w:hAnsi="宋体" w:cs="宋体"/>
          <w:color w:val="auto"/>
          <w:sz w:val="24"/>
          <w:highlight w:val="none"/>
          <w:u w:val="single"/>
        </w:rPr>
        <w:t>项目验收合同后，</w:t>
      </w:r>
      <w:r>
        <w:rPr>
          <w:rFonts w:hint="eastAsia" w:ascii="宋体" w:hAnsi="宋体" w:cs="宋体"/>
          <w:color w:val="auto"/>
          <w:sz w:val="24"/>
          <w:highlight w:val="none"/>
        </w:rPr>
        <w:t>经甲方或甲方委托有资质第三方机构审核后，由乙方提交申请支付资料</w:t>
      </w:r>
      <w:r>
        <w:rPr>
          <w:rFonts w:ascii="宋体" w:hAnsi="宋体" w:cs="宋体"/>
          <w:color w:val="auto"/>
          <w:sz w:val="24"/>
          <w:highlight w:val="none"/>
          <w:u w:val="single"/>
        </w:rPr>
        <w:t xml:space="preserve"> 15 </w:t>
      </w:r>
      <w:r>
        <w:rPr>
          <w:rFonts w:hint="eastAsia" w:ascii="宋体" w:hAnsi="宋体" w:cs="宋体"/>
          <w:color w:val="auto"/>
          <w:sz w:val="24"/>
          <w:highlight w:val="none"/>
        </w:rPr>
        <w:t>个工作日内，甲方支付至合同结算价的</w:t>
      </w:r>
      <w:r>
        <w:rPr>
          <w:rFonts w:ascii="宋体" w:hAnsi="宋体" w:cs="宋体"/>
          <w:color w:val="auto"/>
          <w:sz w:val="24"/>
          <w:highlight w:val="none"/>
        </w:rPr>
        <w:t>95%</w:t>
      </w:r>
      <w:r>
        <w:rPr>
          <w:rFonts w:hint="eastAsia" w:ascii="宋体" w:hAnsi="宋体" w:cs="宋体"/>
          <w:color w:val="auto"/>
          <w:sz w:val="24"/>
          <w:highlight w:val="none"/>
        </w:rPr>
        <w:t>。</w:t>
      </w:r>
    </w:p>
    <w:p>
      <w:pPr>
        <w:spacing w:line="384" w:lineRule="auto"/>
        <w:ind w:firstLine="480" w:firstLineChars="200"/>
        <w:outlineLvl w:val="1"/>
        <w:rPr>
          <w:rFonts w:hAnsi="宋体" w:cs="宋体"/>
          <w:color w:val="auto"/>
          <w:sz w:val="24"/>
          <w:highlight w:val="none"/>
        </w:rPr>
      </w:pPr>
      <w:r>
        <w:rPr>
          <w:rFonts w:ascii="宋体" w:hAnsi="宋体" w:cs="宋体"/>
          <w:color w:val="auto"/>
          <w:sz w:val="24"/>
          <w:highlight w:val="none"/>
        </w:rPr>
        <w:t>8.2.</w:t>
      </w:r>
      <w:r>
        <w:rPr>
          <w:rFonts w:hint="eastAsia" w:ascii="宋体" w:hAnsi="宋体" w:cs="宋体"/>
          <w:color w:val="auto"/>
          <w:sz w:val="24"/>
          <w:highlight w:val="none"/>
        </w:rPr>
        <w:t>2</w:t>
      </w:r>
      <w:r>
        <w:rPr>
          <w:rFonts w:hint="eastAsia" w:hAnsi="宋体" w:cs="宋体"/>
          <w:color w:val="auto"/>
          <w:sz w:val="24"/>
          <w:highlight w:val="none"/>
        </w:rPr>
        <w:t>质保期按合同第十条规定执行，质保期满后且乙方不存在违约情形，由乙方提交申请质保金退还资料</w:t>
      </w:r>
      <w:r>
        <w:rPr>
          <w:rFonts w:hAnsi="宋体" w:cs="宋体"/>
          <w:color w:val="auto"/>
          <w:sz w:val="24"/>
          <w:highlight w:val="none"/>
          <w:u w:val="single"/>
        </w:rPr>
        <w:t xml:space="preserve"> 15 </w:t>
      </w:r>
      <w:r>
        <w:rPr>
          <w:rFonts w:hint="eastAsia" w:hAnsi="宋体" w:cs="宋体"/>
          <w:color w:val="auto"/>
          <w:sz w:val="24"/>
          <w:highlight w:val="none"/>
        </w:rPr>
        <w:t>个工作日内，甲方支付合同结算价的</w:t>
      </w:r>
      <w:r>
        <w:rPr>
          <w:rFonts w:hAnsi="宋体" w:cs="宋体"/>
          <w:color w:val="auto"/>
          <w:sz w:val="24"/>
          <w:highlight w:val="none"/>
        </w:rPr>
        <w:t>5</w:t>
      </w:r>
      <w:r>
        <w:rPr>
          <w:rFonts w:hint="eastAsia" w:hAnsi="宋体" w:cs="宋体"/>
          <w:color w:val="auto"/>
          <w:sz w:val="24"/>
          <w:highlight w:val="none"/>
        </w:rPr>
        <w:t>％（质保金）给乙方（无息）。</w:t>
      </w:r>
    </w:p>
    <w:p>
      <w:pPr>
        <w:pStyle w:val="12"/>
        <w:spacing w:line="384" w:lineRule="auto"/>
        <w:ind w:firstLine="480" w:firstLineChars="200"/>
        <w:outlineLvl w:val="1"/>
        <w:rPr>
          <w:rFonts w:hAnsi="宋体" w:eastAsia="宋体" w:cs="宋体"/>
          <w:color w:val="auto"/>
          <w:sz w:val="24"/>
          <w:szCs w:val="24"/>
          <w:highlight w:val="none"/>
        </w:rPr>
      </w:pPr>
      <w:r>
        <w:rPr>
          <w:rFonts w:hint="eastAsia" w:hAnsi="宋体" w:cs="宋体"/>
          <w:color w:val="auto"/>
          <w:sz w:val="24"/>
          <w:szCs w:val="24"/>
          <w:highlight w:val="none"/>
        </w:rPr>
        <w:t>8.2.3本项目工程款的支付单位为：</w:t>
      </w:r>
      <w:r>
        <w:rPr>
          <w:rFonts w:hint="eastAsia" w:hAnsi="宋体" w:cs="宋体"/>
          <w:color w:val="auto"/>
          <w:sz w:val="24"/>
          <w:szCs w:val="24"/>
          <w:highlight w:val="none"/>
          <w:u w:val="single"/>
        </w:rPr>
        <w:t xml:space="preserve"> … </w:t>
      </w:r>
    </w:p>
    <w:p>
      <w:pPr>
        <w:spacing w:line="384" w:lineRule="auto"/>
        <w:ind w:firstLine="480" w:firstLineChars="200"/>
        <w:rPr>
          <w:rFonts w:ascii="宋体" w:hAnsi="宋体" w:cs="宋体"/>
          <w:color w:val="auto"/>
          <w:sz w:val="24"/>
          <w:highlight w:val="none"/>
          <w:u w:val="single"/>
        </w:rPr>
      </w:pPr>
      <w:r>
        <w:rPr>
          <w:rFonts w:ascii="宋体" w:hAnsi="宋体" w:cs="宋体"/>
          <w:color w:val="auto"/>
          <w:sz w:val="24"/>
          <w:highlight w:val="none"/>
        </w:rPr>
        <w:t>8.3</w:t>
      </w:r>
      <w:r>
        <w:rPr>
          <w:rFonts w:hint="eastAsia" w:ascii="宋体" w:hAnsi="宋体" w:cs="宋体"/>
          <w:color w:val="auto"/>
          <w:sz w:val="24"/>
          <w:highlight w:val="none"/>
        </w:rPr>
        <w:t>乙方收款账户：</w:t>
      </w:r>
      <w:r>
        <w:rPr>
          <w:rFonts w:hint="eastAsia" w:ascii="宋体" w:hAnsi="宋体" w:cs="宋体"/>
          <w:color w:val="auto"/>
          <w:sz w:val="24"/>
          <w:highlight w:val="none"/>
          <w:u w:val="single"/>
        </w:rPr>
        <w:t>…；</w:t>
      </w:r>
    </w:p>
    <w:p>
      <w:pPr>
        <w:spacing w:line="384"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收款账号：</w:t>
      </w:r>
      <w:r>
        <w:rPr>
          <w:rFonts w:hint="eastAsia" w:ascii="宋体" w:hAnsi="宋体" w:cs="宋体"/>
          <w:color w:val="auto"/>
          <w:sz w:val="24"/>
          <w:highlight w:val="none"/>
          <w:u w:val="single"/>
        </w:rPr>
        <w:t>…；</w:t>
      </w:r>
    </w:p>
    <w:p>
      <w:pPr>
        <w:spacing w:line="384"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开户行：</w:t>
      </w:r>
      <w:r>
        <w:rPr>
          <w:rFonts w:hint="eastAsia" w:ascii="宋体" w:hAnsi="宋体" w:cs="宋体"/>
          <w:color w:val="auto"/>
          <w:sz w:val="24"/>
          <w:highlight w:val="none"/>
          <w:u w:val="single"/>
        </w:rPr>
        <w:t>…；</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8.4</w:t>
      </w:r>
      <w:r>
        <w:rPr>
          <w:rFonts w:hint="eastAsia" w:ascii="宋体" w:hAnsi="宋体" w:cs="宋体"/>
          <w:color w:val="auto"/>
          <w:sz w:val="24"/>
          <w:highlight w:val="none"/>
        </w:rPr>
        <w:t>乙方在收款前需提交等额增值税专用发票给甲方。增值税专用发票信息：</w:t>
      </w:r>
    </w:p>
    <w:p>
      <w:pPr>
        <w:spacing w:line="384"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名称：广州市净水有限公司</w:t>
      </w:r>
    </w:p>
    <w:p>
      <w:pPr>
        <w:spacing w:line="384"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税号： 9144010755584729Q  </w:t>
      </w:r>
    </w:p>
    <w:p>
      <w:pPr>
        <w:spacing w:line="384"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地址：   广州市天河区临江大道501号,020-38890283</w:t>
      </w:r>
    </w:p>
    <w:p>
      <w:pPr>
        <w:spacing w:line="384"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专用发票信息：民生银行广州分行0301014140006932  </w:t>
      </w:r>
    </w:p>
    <w:p>
      <w:pPr>
        <w:spacing w:line="384" w:lineRule="auto"/>
        <w:ind w:firstLine="480" w:firstLineChars="200"/>
        <w:outlineLvl w:val="0"/>
        <w:rPr>
          <w:rFonts w:ascii="宋体" w:hAnsi="宋体" w:eastAsia="宋体" w:cs="宋体"/>
          <w:color w:val="auto"/>
          <w:sz w:val="24"/>
          <w:highlight w:val="none"/>
        </w:rPr>
      </w:pPr>
    </w:p>
    <w:p>
      <w:pPr>
        <w:spacing w:line="384" w:lineRule="auto"/>
        <w:ind w:firstLine="480" w:firstLineChars="200"/>
        <w:outlineLvl w:val="0"/>
        <w:rPr>
          <w:rFonts w:ascii="宋体" w:hAnsi="宋体" w:cs="宋体"/>
          <w:color w:val="auto"/>
          <w:sz w:val="24"/>
          <w:highlight w:val="none"/>
        </w:rPr>
      </w:pPr>
      <w:r>
        <w:rPr>
          <w:rFonts w:ascii="宋体" w:hAnsi="宋体" w:cs="宋体"/>
          <w:color w:val="auto"/>
          <w:sz w:val="24"/>
          <w:highlight w:val="none"/>
        </w:rPr>
        <w:t>8.5</w:t>
      </w:r>
      <w:r>
        <w:rPr>
          <w:rFonts w:hint="eastAsia" w:ascii="宋体" w:hAnsi="宋体" w:cs="宋体"/>
          <w:color w:val="auto"/>
          <w:sz w:val="24"/>
          <w:highlight w:val="none"/>
        </w:rPr>
        <w:t>履约担保：</w:t>
      </w:r>
      <w:r>
        <w:rPr>
          <w:rFonts w:hint="eastAsia" w:ascii="宋体" w:hAnsi="宋体" w:cs="宋体"/>
          <w:color w:val="auto"/>
          <w:szCs w:val="21"/>
          <w:highlight w:val="none"/>
          <w:lang w:eastAsia="zh-CN"/>
        </w:rPr>
        <w:t>□</w:t>
      </w:r>
      <w:r>
        <w:rPr>
          <w:rFonts w:hint="eastAsia" w:ascii="宋体" w:hAnsi="宋体" w:cs="宋体"/>
          <w:bCs/>
          <w:color w:val="auto"/>
          <w:sz w:val="24"/>
          <w:highlight w:val="none"/>
        </w:rPr>
        <w:t>无；</w:t>
      </w:r>
      <w:r>
        <w:rPr>
          <w:rFonts w:hint="eastAsia" w:ascii="宋体" w:hAnsi="宋体" w:cs="宋体"/>
          <w:color w:val="auto"/>
          <w:szCs w:val="21"/>
          <w:highlight w:val="none"/>
        </w:rPr>
        <w:sym w:font="Wingdings 2" w:char="0052"/>
      </w:r>
      <w:r>
        <w:rPr>
          <w:rFonts w:hint="eastAsia" w:ascii="宋体" w:hAnsi="宋体" w:cs="宋体"/>
          <w:color w:val="auto"/>
          <w:szCs w:val="21"/>
          <w:highlight w:val="none"/>
        </w:rPr>
        <w:t>有,</w:t>
      </w:r>
      <w:r>
        <w:rPr>
          <w:rFonts w:hint="eastAsia" w:ascii="宋体" w:hAnsi="宋体" w:cs="宋体"/>
          <w:color w:val="auto"/>
          <w:sz w:val="24"/>
          <w:highlight w:val="none"/>
        </w:rPr>
        <w:t>本合同签订后</w:t>
      </w:r>
      <w:r>
        <w:rPr>
          <w:rFonts w:ascii="宋体" w:hAnsi="宋体" w:cs="宋体"/>
          <w:color w:val="auto"/>
          <w:sz w:val="24"/>
          <w:highlight w:val="none"/>
        </w:rPr>
        <w:t>10</w:t>
      </w:r>
      <w:r>
        <w:rPr>
          <w:rFonts w:hint="eastAsia" w:ascii="宋体" w:hAnsi="宋体" w:cs="宋体"/>
          <w:color w:val="auto"/>
          <w:sz w:val="24"/>
          <w:highlight w:val="none"/>
        </w:rPr>
        <w:t>日内</w:t>
      </w:r>
      <w:r>
        <w:rPr>
          <w:rFonts w:hint="eastAsia" w:ascii="宋体" w:hAnsi="宋体" w:cs="宋体"/>
          <w:color w:val="auto"/>
          <w:sz w:val="24"/>
          <w:highlight w:val="none"/>
          <w:u w:val="single"/>
        </w:rPr>
        <w:t>以合同暂定总价的</w:t>
      </w:r>
      <w:r>
        <w:rPr>
          <w:rFonts w:ascii="宋体" w:hAnsi="宋体" w:cs="宋体"/>
          <w:color w:val="auto"/>
          <w:sz w:val="24"/>
          <w:highlight w:val="none"/>
          <w:u w:val="single"/>
        </w:rPr>
        <w:t>10%</w:t>
      </w:r>
      <w:r>
        <w:rPr>
          <w:rFonts w:hint="eastAsia" w:ascii="宋体" w:hAnsi="宋体" w:cs="宋体"/>
          <w:color w:val="auto"/>
          <w:sz w:val="24"/>
          <w:highlight w:val="none"/>
          <w:u w:val="single"/>
        </w:rPr>
        <w:t>作为履约保证金，</w:t>
      </w:r>
      <w:r>
        <w:rPr>
          <w:rFonts w:hint="eastAsia" w:ascii="宋体" w:hAnsi="宋体" w:cs="宋体"/>
          <w:color w:val="auto"/>
          <w:sz w:val="24"/>
          <w:highlight w:val="none"/>
        </w:rPr>
        <w:t>金额为：…</w:t>
      </w:r>
      <w:r>
        <w:rPr>
          <w:rFonts w:hint="eastAsia" w:ascii="宋体" w:hAnsi="宋体" w:cs="宋体"/>
          <w:color w:val="auto"/>
          <w:sz w:val="24"/>
          <w:highlight w:val="none"/>
          <w:u w:val="single"/>
        </w:rPr>
        <w:t>（大写人民币：…），</w:t>
      </w:r>
      <w:r>
        <w:rPr>
          <w:rFonts w:hint="eastAsia" w:ascii="宋体" w:hAnsi="宋体" w:cs="宋体"/>
          <w:color w:val="auto"/>
          <w:sz w:val="24"/>
          <w:highlight w:val="none"/>
        </w:rPr>
        <w:t>未按时提供的，甲方有权解除合同并要求乙方支付</w:t>
      </w:r>
      <w:r>
        <w:rPr>
          <w:rFonts w:hint="eastAsia" w:ascii="宋体" w:hAnsi="宋体" w:cs="宋体"/>
          <w:color w:val="auto"/>
          <w:sz w:val="24"/>
          <w:highlight w:val="none"/>
          <w:u w:val="single"/>
        </w:rPr>
        <w:t>合同暂定总价</w:t>
      </w:r>
      <w:r>
        <w:rPr>
          <w:rFonts w:ascii="宋体" w:hAnsi="宋体" w:cs="宋体"/>
          <w:color w:val="auto"/>
          <w:sz w:val="24"/>
          <w:highlight w:val="none"/>
          <w:u w:val="single"/>
        </w:rPr>
        <w:t>20%</w:t>
      </w:r>
      <w:r>
        <w:rPr>
          <w:rFonts w:hint="eastAsia" w:ascii="宋体" w:hAnsi="宋体" w:cs="宋体"/>
          <w:color w:val="auto"/>
          <w:sz w:val="24"/>
          <w:highlight w:val="none"/>
        </w:rPr>
        <w:t>作为违约金。</w:t>
      </w:r>
    </w:p>
    <w:p>
      <w:pPr>
        <w:pStyle w:val="21"/>
        <w:spacing w:before="0" w:beforeAutospacing="0" w:after="0" w:afterAutospacing="0" w:line="384" w:lineRule="auto"/>
        <w:ind w:firstLine="480" w:firstLineChars="200"/>
        <w:rPr>
          <w:color w:val="auto"/>
          <w:highlight w:val="none"/>
        </w:rPr>
      </w:pPr>
      <w:r>
        <w:rPr>
          <w:rFonts w:cs="宋体"/>
          <w:color w:val="auto"/>
          <w:highlight w:val="none"/>
        </w:rPr>
        <w:t>8.5.1</w:t>
      </w:r>
      <w:r>
        <w:rPr>
          <w:color w:val="auto"/>
          <w:highlight w:val="none"/>
        </w:rPr>
        <w:t>履约担保</w:t>
      </w:r>
      <w:r>
        <w:rPr>
          <w:rFonts w:hint="eastAsia"/>
          <w:color w:val="auto"/>
          <w:highlight w:val="none"/>
        </w:rPr>
        <w:t>按以下任一种形式提供</w:t>
      </w:r>
      <w:r>
        <w:rPr>
          <w:color w:val="auto"/>
          <w:highlight w:val="none"/>
        </w:rPr>
        <w:t>：</w:t>
      </w:r>
    </w:p>
    <w:p>
      <w:pPr>
        <w:pStyle w:val="21"/>
        <w:spacing w:before="0" w:beforeAutospacing="0" w:after="0" w:afterAutospacing="0" w:line="360" w:lineRule="auto"/>
        <w:ind w:firstLine="480"/>
        <w:rPr>
          <w:color w:val="auto"/>
          <w:highlight w:val="none"/>
        </w:rPr>
      </w:pPr>
      <w:r>
        <w:rPr>
          <w:rFonts w:hint="eastAsia"/>
          <w:color w:val="auto"/>
          <w:highlight w:val="none"/>
        </w:rPr>
        <w:t>（1）符合甲方要求（详见附件7保函格式）的银行独立保函，</w:t>
      </w:r>
    </w:p>
    <w:p>
      <w:pPr>
        <w:pStyle w:val="21"/>
        <w:spacing w:before="0" w:beforeAutospacing="0" w:after="0" w:afterAutospacing="0" w:line="360" w:lineRule="auto"/>
        <w:ind w:firstLine="480"/>
        <w:rPr>
          <w:color w:val="auto"/>
          <w:highlight w:val="none"/>
        </w:rPr>
      </w:pPr>
      <w:r>
        <w:rPr>
          <w:rFonts w:hint="eastAsia"/>
          <w:color w:val="auto"/>
          <w:highlight w:val="none"/>
        </w:rPr>
        <w:t>（2）现金转账至甲方以下指定账户：</w:t>
      </w:r>
    </w:p>
    <w:p>
      <w:pPr>
        <w:tabs>
          <w:tab w:val="left" w:pos="1995"/>
        </w:tabs>
        <w:spacing w:line="384"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户名：广州市净水有限公司</w:t>
      </w:r>
    </w:p>
    <w:p>
      <w:pPr>
        <w:tabs>
          <w:tab w:val="left" w:pos="1995"/>
        </w:tabs>
        <w:spacing w:line="384"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账号：</w:t>
      </w:r>
      <w:r>
        <w:rPr>
          <w:rFonts w:ascii="宋体" w:hAnsi="宋体" w:cs="宋体"/>
          <w:bCs/>
          <w:color w:val="auto"/>
          <w:sz w:val="24"/>
          <w:highlight w:val="none"/>
        </w:rPr>
        <w:t>82010154900000342</w:t>
      </w:r>
    </w:p>
    <w:p>
      <w:pPr>
        <w:tabs>
          <w:tab w:val="left" w:pos="1995"/>
        </w:tabs>
        <w:spacing w:line="384"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开户行：浦发银行广州分行</w:t>
      </w:r>
    </w:p>
    <w:p>
      <w:pPr>
        <w:spacing w:line="384" w:lineRule="auto"/>
        <w:ind w:firstLine="480" w:firstLineChars="200"/>
        <w:outlineLvl w:val="0"/>
        <w:rPr>
          <w:rFonts w:ascii="宋体" w:hAnsi="宋体" w:cs="宋体"/>
          <w:color w:val="auto"/>
          <w:sz w:val="24"/>
          <w:highlight w:val="none"/>
        </w:rPr>
      </w:pPr>
      <w:r>
        <w:rPr>
          <w:rFonts w:ascii="宋体" w:hAnsi="宋体" w:cs="宋体"/>
          <w:color w:val="auto"/>
          <w:sz w:val="24"/>
          <w:highlight w:val="none"/>
        </w:rPr>
        <w:t>8.5.2</w:t>
      </w:r>
      <w:r>
        <w:rPr>
          <w:rFonts w:hint="eastAsia" w:ascii="宋体" w:hAnsi="宋体" w:cs="宋体"/>
          <w:color w:val="auto"/>
          <w:sz w:val="24"/>
          <w:highlight w:val="none"/>
        </w:rPr>
        <w:t>履约担保的担保期限和返还</w:t>
      </w:r>
    </w:p>
    <w:p>
      <w:pPr>
        <w:spacing w:line="384" w:lineRule="auto"/>
        <w:ind w:firstLine="480"/>
        <w:outlineLvl w:val="0"/>
        <w:rPr>
          <w:rFonts w:ascii="宋体" w:hAnsi="宋体" w:cs="宋体"/>
          <w:color w:val="auto"/>
          <w:sz w:val="24"/>
          <w:highlight w:val="none"/>
        </w:rPr>
      </w:pPr>
      <w:r>
        <w:rPr>
          <w:rFonts w:hint="eastAsia" w:ascii="宋体" w:hAnsi="宋体" w:cs="宋体"/>
          <w:color w:val="auto"/>
          <w:sz w:val="24"/>
          <w:highlight w:val="none"/>
        </w:rPr>
        <w:t>⑴履约银行保函（或现金履约保证金）的担保期限：从提供履约担保（或转账成功）之日起至合同履行完成。</w:t>
      </w:r>
    </w:p>
    <w:p>
      <w:pPr>
        <w:spacing w:line="38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⑵履约银行保函在合同履行完成后，由乙方提出申请，甲方在28日内返还，不支付利息：</w:t>
      </w:r>
    </w:p>
    <w:p>
      <w:pPr>
        <w:spacing w:line="384" w:lineRule="auto"/>
        <w:ind w:firstLine="600" w:firstLineChars="250"/>
        <w:outlineLvl w:val="0"/>
        <w:rPr>
          <w:rFonts w:ascii="宋体" w:hAnsi="宋体" w:cs="宋体"/>
          <w:color w:val="auto"/>
          <w:sz w:val="24"/>
          <w:highlight w:val="none"/>
        </w:rPr>
      </w:pPr>
      <w:r>
        <w:rPr>
          <w:rFonts w:hint="eastAsia" w:ascii="宋体" w:hAnsi="宋体" w:cs="宋体"/>
          <w:color w:val="auto"/>
          <w:sz w:val="24"/>
          <w:highlight w:val="none"/>
        </w:rPr>
        <w:t>⑶延长担保期限。乙方以履约银行保函形式提交履约保证金的，在银行保函到期前，乙方应提前</w:t>
      </w:r>
      <w:r>
        <w:rPr>
          <w:rFonts w:ascii="宋体" w:hAnsi="宋体" w:cs="宋体"/>
          <w:color w:val="auto"/>
          <w:sz w:val="24"/>
          <w:highlight w:val="none"/>
          <w:u w:val="single"/>
        </w:rPr>
        <w:t xml:space="preserve"> 7 </w:t>
      </w:r>
      <w:r>
        <w:rPr>
          <w:rFonts w:hint="eastAsia" w:ascii="宋体" w:hAnsi="宋体" w:cs="宋体"/>
          <w:color w:val="auto"/>
          <w:sz w:val="24"/>
          <w:highlight w:val="none"/>
        </w:rPr>
        <w:t>日向甲方提交新的保函以替换即将到期的保函。如乙方未及时提交的，甲方有权直接要求担保银行支付其担保的全部金额并解除合同。</w:t>
      </w:r>
    </w:p>
    <w:p>
      <w:pPr>
        <w:pStyle w:val="21"/>
        <w:spacing w:before="0" w:beforeAutospacing="0" w:after="0" w:afterAutospacing="0" w:line="384" w:lineRule="auto"/>
        <w:ind w:left="199" w:leftChars="95" w:firstLine="360" w:firstLineChars="150"/>
        <w:rPr>
          <w:rFonts w:cs="宋体"/>
          <w:color w:val="auto"/>
          <w:highlight w:val="none"/>
          <w:u w:val="single"/>
        </w:rPr>
      </w:pPr>
      <w:r>
        <w:rPr>
          <w:rFonts w:hint="eastAsia" w:cs="宋体"/>
          <w:color w:val="auto"/>
          <w:highlight w:val="none"/>
        </w:rPr>
        <w:t>（</w:t>
      </w:r>
      <w:r>
        <w:rPr>
          <w:rFonts w:cs="宋体"/>
          <w:color w:val="auto"/>
          <w:highlight w:val="none"/>
        </w:rPr>
        <w:t>4</w:t>
      </w:r>
      <w:r>
        <w:rPr>
          <w:rFonts w:hint="eastAsia" w:cs="宋体"/>
          <w:color w:val="auto"/>
          <w:highlight w:val="none"/>
        </w:rPr>
        <w:t>）现金履约保证金的退还：合同履行完成后，由乙方提出申请，甲方在</w:t>
      </w:r>
      <w:r>
        <w:rPr>
          <w:rFonts w:hint="eastAsia" w:cs="宋体"/>
          <w:color w:val="auto"/>
          <w:highlight w:val="none"/>
          <w:u w:val="single"/>
        </w:rPr>
        <w:t>28日</w:t>
      </w:r>
      <w:r>
        <w:rPr>
          <w:rFonts w:hint="eastAsia" w:cs="宋体"/>
          <w:color w:val="auto"/>
          <w:highlight w:val="none"/>
        </w:rPr>
        <w:t>内将剩余保证金（无息）返还。</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8.5.3</w:t>
      </w:r>
      <w:r>
        <w:rPr>
          <w:rFonts w:hint="eastAsia" w:ascii="宋体" w:hAnsi="宋体" w:cs="宋体"/>
          <w:color w:val="auto"/>
          <w:sz w:val="24"/>
          <w:highlight w:val="none"/>
        </w:rPr>
        <w:t>甲方按本合同规定提取履约担保金额后，乙方应在收到甲方通知后</w:t>
      </w:r>
    </w:p>
    <w:p>
      <w:pPr>
        <w:spacing w:line="384" w:lineRule="auto"/>
        <w:rPr>
          <w:rFonts w:ascii="宋体" w:hAnsi="宋体" w:cs="宋体"/>
          <w:color w:val="auto"/>
          <w:sz w:val="24"/>
          <w:highlight w:val="none"/>
        </w:rPr>
      </w:pPr>
      <w:r>
        <w:rPr>
          <w:rFonts w:ascii="宋体" w:hAnsi="宋体" w:cs="宋体"/>
          <w:color w:val="auto"/>
          <w:sz w:val="24"/>
          <w:highlight w:val="none"/>
          <w:u w:val="single"/>
        </w:rPr>
        <w:t xml:space="preserve">  7  </w:t>
      </w:r>
      <w:r>
        <w:rPr>
          <w:rFonts w:hint="eastAsia" w:ascii="宋体" w:hAnsi="宋体" w:cs="宋体"/>
          <w:color w:val="auto"/>
          <w:sz w:val="24"/>
          <w:highlight w:val="none"/>
        </w:rPr>
        <w:t>日内补足数额，逾期未补足的，则甲方有权提取履约担保的全部余额并解除合同。</w:t>
      </w:r>
    </w:p>
    <w:p>
      <w:pPr>
        <w:tabs>
          <w:tab w:val="left" w:pos="851"/>
        </w:tabs>
        <w:adjustRightInd w:val="0"/>
        <w:snapToGrid w:val="0"/>
        <w:spacing w:line="360" w:lineRule="auto"/>
        <w:ind w:firstLine="480" w:firstLineChars="200"/>
        <w:jc w:val="left"/>
        <w:outlineLvl w:val="1"/>
        <w:rPr>
          <w:rFonts w:asciiTheme="minorEastAsia" w:hAnsiTheme="minorEastAsia" w:cstheme="minorEastAsia"/>
          <w:bCs/>
          <w:color w:val="auto"/>
          <w:sz w:val="24"/>
          <w:highlight w:val="none"/>
          <w:bdr w:val="single" w:color="auto" w:sz="4" w:space="0"/>
        </w:rPr>
      </w:pPr>
      <w:r>
        <w:rPr>
          <w:rFonts w:hAnsi="宋体" w:cs="宋体"/>
          <w:color w:val="auto"/>
          <w:sz w:val="24"/>
          <w:highlight w:val="none"/>
        </w:rPr>
        <w:t>8.6</w:t>
      </w:r>
      <w:r>
        <w:rPr>
          <w:rFonts w:hint="eastAsia" w:asciiTheme="minorEastAsia" w:hAnsiTheme="minorEastAsia" w:cstheme="minorEastAsia"/>
          <w:color w:val="auto"/>
          <w:sz w:val="24"/>
          <w:highlight w:val="none"/>
        </w:rPr>
        <w:t xml:space="preserve">付款方式： </w:t>
      </w:r>
      <w:r>
        <w:rPr>
          <w:rFonts w:hint="eastAsia" w:asciiTheme="minorEastAsia" w:hAnsiTheme="minorEastAsia" w:cstheme="minorEastAsia"/>
          <w:color w:val="auto"/>
          <w:sz w:val="24"/>
          <w:highlight w:val="none"/>
        </w:rPr>
        <w:sym w:font="Wingdings" w:char="00FE"/>
      </w:r>
      <w:r>
        <w:rPr>
          <w:rFonts w:hint="eastAsia" w:asciiTheme="minorEastAsia" w:hAnsiTheme="minorEastAsia" w:cstheme="minorEastAsia"/>
          <w:color w:val="auto"/>
          <w:sz w:val="24"/>
          <w:highlight w:val="none"/>
        </w:rPr>
        <w:t xml:space="preserve">网银支付；  </w:t>
      </w:r>
      <w:r>
        <w:rPr>
          <w:rFonts w:hint="eastAsia" w:asciiTheme="minorEastAsia" w:hAnsiTheme="minorEastAsia" w:cstheme="minorEastAsia"/>
          <w:color w:val="auto"/>
          <w:sz w:val="24"/>
          <w:highlight w:val="none"/>
        </w:rPr>
        <w:sym w:font="Wingdings" w:char="00A8"/>
      </w:r>
      <w:r>
        <w:rPr>
          <w:rFonts w:hint="eastAsia" w:asciiTheme="minorEastAsia" w:hAnsiTheme="minorEastAsia" w:cstheme="minorEastAsia"/>
          <w:color w:val="auto"/>
          <w:sz w:val="24"/>
          <w:highlight w:val="none"/>
        </w:rPr>
        <w:t xml:space="preserve">支票；   </w:t>
      </w:r>
      <w:r>
        <w:rPr>
          <w:rFonts w:hint="eastAsia" w:asciiTheme="minorEastAsia" w:hAnsiTheme="minorEastAsia" w:cstheme="minorEastAsia"/>
          <w:color w:val="auto"/>
          <w:sz w:val="24"/>
          <w:highlight w:val="none"/>
        </w:rPr>
        <w:sym w:font="Wingdings" w:char="00A8"/>
      </w:r>
      <w:r>
        <w:rPr>
          <w:rFonts w:hint="eastAsia" w:asciiTheme="minorEastAsia" w:hAnsiTheme="minorEastAsia" w:cstheme="minorEastAsia"/>
          <w:color w:val="auto"/>
          <w:sz w:val="24"/>
          <w:highlight w:val="none"/>
        </w:rPr>
        <w:t>其他：</w:t>
      </w:r>
    </w:p>
    <w:p>
      <w:pPr>
        <w:pStyle w:val="12"/>
        <w:spacing w:line="384" w:lineRule="auto"/>
        <w:ind w:firstLine="720" w:firstLineChars="300"/>
        <w:outlineLvl w:val="1"/>
        <w:rPr>
          <w:rFonts w:hAnsi="宋体" w:cs="宋体"/>
          <w:color w:val="auto"/>
          <w:sz w:val="24"/>
          <w:szCs w:val="24"/>
          <w:highlight w:val="none"/>
        </w:rPr>
      </w:pPr>
      <w:r>
        <w:rPr>
          <w:rFonts w:hint="eastAsia" w:hAnsi="宋体" w:cs="宋体"/>
          <w:color w:val="auto"/>
          <w:sz w:val="24"/>
          <w:szCs w:val="24"/>
          <w:highlight w:val="none"/>
        </w:rPr>
        <w:t>（建议采用网银支付</w:t>
      </w:r>
      <w:r>
        <w:rPr>
          <w:rFonts w:hint="eastAsia" w:hAnsi="宋体" w:cs="宋体"/>
          <w:color w:val="auto"/>
          <w:sz w:val="24"/>
          <w:highlight w:val="none"/>
        </w:rPr>
        <w:t>、</w:t>
      </w:r>
      <w:r>
        <w:rPr>
          <w:rFonts w:hint="eastAsia" w:hAnsi="宋体" w:cs="宋体"/>
          <w:color w:val="auto"/>
          <w:sz w:val="24"/>
          <w:szCs w:val="24"/>
          <w:highlight w:val="none"/>
        </w:rPr>
        <w:t>支票两种形式</w:t>
      </w:r>
      <w:r>
        <w:rPr>
          <w:rFonts w:hint="eastAsia" w:hAnsi="宋体" w:cs="宋体"/>
          <w:color w:val="auto"/>
          <w:sz w:val="24"/>
          <w:highlight w:val="none"/>
        </w:rPr>
        <w:t>中之一</w:t>
      </w:r>
      <w:r>
        <w:rPr>
          <w:rFonts w:hint="eastAsia" w:hAnsi="宋体" w:cs="宋体"/>
          <w:color w:val="auto"/>
          <w:sz w:val="24"/>
          <w:szCs w:val="24"/>
          <w:highlight w:val="none"/>
        </w:rPr>
        <w:t>）。</w:t>
      </w:r>
    </w:p>
    <w:p>
      <w:pPr>
        <w:spacing w:line="384"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第九条竣工验收</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9.1</w:t>
      </w:r>
      <w:r>
        <w:rPr>
          <w:rFonts w:hint="eastAsia" w:ascii="宋体" w:hAnsi="宋体" w:cs="宋体"/>
          <w:color w:val="auto"/>
          <w:sz w:val="24"/>
          <w:highlight w:val="none"/>
        </w:rPr>
        <w:t>乙方应在工程完工后</w:t>
      </w:r>
      <w:r>
        <w:rPr>
          <w:rFonts w:ascii="宋体" w:hAnsi="宋体" w:cs="宋体"/>
          <w:color w:val="auto"/>
          <w:sz w:val="24"/>
          <w:highlight w:val="none"/>
        </w:rPr>
        <w:t>30</w:t>
      </w:r>
      <w:r>
        <w:rPr>
          <w:rFonts w:hint="eastAsia" w:ascii="宋体" w:hAnsi="宋体" w:cs="宋体"/>
          <w:color w:val="auto"/>
          <w:sz w:val="24"/>
          <w:highlight w:val="none"/>
        </w:rPr>
        <w:t>天内将经甲方审核的完整竣工资料（含竣工图）和竣工验收报告各</w:t>
      </w:r>
      <w:r>
        <w:rPr>
          <w:rFonts w:hint="eastAsia" w:ascii="宋体" w:hAnsi="宋体" w:cs="宋体"/>
          <w:color w:val="auto"/>
          <w:sz w:val="24"/>
          <w:highlight w:val="none"/>
          <w:u w:val="single"/>
        </w:rPr>
        <w:t>一式四份</w:t>
      </w:r>
      <w:r>
        <w:rPr>
          <w:rFonts w:hint="eastAsia" w:ascii="宋体" w:hAnsi="宋体" w:cs="宋体"/>
          <w:color w:val="auto"/>
          <w:sz w:val="24"/>
          <w:highlight w:val="none"/>
        </w:rPr>
        <w:t>交甲方，不按时报送工程竣工资料的，每逾期一天，甲方要求乙方支付</w:t>
      </w:r>
      <w:r>
        <w:rPr>
          <w:rFonts w:hint="eastAsia" w:ascii="宋体" w:hAnsi="宋体" w:cs="宋体"/>
          <w:color w:val="auto"/>
          <w:sz w:val="24"/>
          <w:highlight w:val="none"/>
          <w:u w:val="single"/>
        </w:rPr>
        <w:t>合同暂定总价</w:t>
      </w:r>
      <w:r>
        <w:rPr>
          <w:rFonts w:hint="eastAsia" w:ascii="宋体" w:hAnsi="宋体" w:cs="宋体"/>
          <w:bCs/>
          <w:color w:val="auto"/>
          <w:sz w:val="24"/>
          <w:highlight w:val="none"/>
          <w:u w:val="single"/>
        </w:rPr>
        <w:t>万分之五</w:t>
      </w:r>
      <w:r>
        <w:rPr>
          <w:rFonts w:ascii="宋体" w:hAnsi="宋体" w:cs="宋体"/>
          <w:bCs/>
          <w:color w:val="auto"/>
          <w:sz w:val="24"/>
          <w:highlight w:val="none"/>
          <w:u w:val="single"/>
        </w:rPr>
        <w:t>/</w:t>
      </w:r>
      <w:r>
        <w:rPr>
          <w:rFonts w:hint="eastAsia" w:ascii="宋体" w:hAnsi="宋体" w:cs="宋体"/>
          <w:bCs/>
          <w:color w:val="auto"/>
          <w:sz w:val="24"/>
          <w:highlight w:val="none"/>
          <w:u w:val="single"/>
        </w:rPr>
        <w:t>天</w:t>
      </w:r>
      <w:r>
        <w:rPr>
          <w:rFonts w:hint="eastAsia" w:ascii="宋体" w:hAnsi="宋体" w:cs="宋体"/>
          <w:color w:val="auto"/>
          <w:sz w:val="24"/>
          <w:highlight w:val="none"/>
        </w:rPr>
        <w:t>，并在支付合同款时抵扣。</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9.2</w:t>
      </w:r>
      <w:r>
        <w:rPr>
          <w:rFonts w:hint="eastAsia" w:ascii="宋体" w:hAnsi="宋体" w:cs="宋体"/>
          <w:color w:val="auto"/>
          <w:sz w:val="24"/>
          <w:highlight w:val="none"/>
        </w:rPr>
        <w:t>甲方收到完整的竣工验收资料（完整的竣工验收资料：施工方案、开工</w:t>
      </w:r>
      <w:r>
        <w:rPr>
          <w:rFonts w:ascii="宋体" w:hAnsi="宋体" w:cs="宋体"/>
          <w:color w:val="auto"/>
          <w:sz w:val="24"/>
          <w:highlight w:val="none"/>
        </w:rPr>
        <w:t>/</w:t>
      </w:r>
      <w:r>
        <w:rPr>
          <w:rFonts w:hint="eastAsia" w:ascii="宋体" w:hAnsi="宋体" w:cs="宋体"/>
          <w:color w:val="auto"/>
          <w:sz w:val="24"/>
          <w:highlight w:val="none"/>
        </w:rPr>
        <w:t>竣工报告、安全备案整套资料、本合同书、询价文件</w:t>
      </w:r>
      <w:r>
        <w:rPr>
          <w:rFonts w:ascii="宋体" w:hAnsi="宋体" w:cs="宋体"/>
          <w:color w:val="auto"/>
          <w:sz w:val="24"/>
          <w:highlight w:val="none"/>
        </w:rPr>
        <w:t>/</w:t>
      </w:r>
      <w:r>
        <w:rPr>
          <w:rFonts w:hint="eastAsia" w:ascii="宋体" w:hAnsi="宋体" w:cs="宋体"/>
          <w:color w:val="auto"/>
          <w:sz w:val="24"/>
          <w:highlight w:val="none"/>
        </w:rPr>
        <w:t>响应文件、中标通知书</w:t>
      </w:r>
      <w:r>
        <w:rPr>
          <w:rFonts w:ascii="宋体" w:hAnsi="宋体" w:cs="宋体"/>
          <w:color w:val="auto"/>
          <w:sz w:val="24"/>
          <w:highlight w:val="none"/>
        </w:rPr>
        <w:t>/</w:t>
      </w:r>
      <w:r>
        <w:rPr>
          <w:rFonts w:hint="eastAsia" w:ascii="宋体" w:hAnsi="宋体" w:cs="宋体"/>
          <w:color w:val="auto"/>
          <w:sz w:val="24"/>
          <w:highlight w:val="none"/>
        </w:rPr>
        <w:t>发包通知书</w:t>
      </w:r>
      <w:r>
        <w:rPr>
          <w:rFonts w:ascii="宋体" w:hAnsi="宋体" w:cs="宋体"/>
          <w:color w:val="auto"/>
          <w:sz w:val="24"/>
          <w:highlight w:val="none"/>
        </w:rPr>
        <w:t>/</w:t>
      </w:r>
      <w:r>
        <w:rPr>
          <w:rFonts w:hint="eastAsia" w:ascii="宋体" w:hAnsi="宋体" w:cs="宋体"/>
          <w:color w:val="auto"/>
          <w:sz w:val="24"/>
          <w:highlight w:val="none"/>
        </w:rPr>
        <w:t>委托书、工程预算送审报告、工程结算书</w:t>
      </w:r>
      <w:r>
        <w:rPr>
          <w:rFonts w:ascii="宋体" w:hAnsi="宋体" w:cs="宋体"/>
          <w:color w:val="auto"/>
          <w:sz w:val="24"/>
          <w:highlight w:val="none"/>
        </w:rPr>
        <w:t>/</w:t>
      </w:r>
      <w:r>
        <w:rPr>
          <w:rFonts w:hint="eastAsia" w:ascii="宋体" w:hAnsi="宋体" w:cs="宋体"/>
          <w:color w:val="auto"/>
          <w:sz w:val="24"/>
          <w:highlight w:val="none"/>
        </w:rPr>
        <w:t>签证记录、备件开箱记录表或送货单、竣工图等，如有必须提供）和竣工验收报告后</w:t>
      </w:r>
      <w:r>
        <w:rPr>
          <w:rFonts w:ascii="宋体" w:hAnsi="宋体" w:cs="宋体"/>
          <w:color w:val="auto"/>
          <w:sz w:val="24"/>
          <w:highlight w:val="none"/>
        </w:rPr>
        <w:t>20</w:t>
      </w:r>
      <w:r>
        <w:rPr>
          <w:rFonts w:hint="eastAsia" w:ascii="宋体" w:hAnsi="宋体" w:cs="宋体"/>
          <w:color w:val="auto"/>
          <w:sz w:val="24"/>
          <w:highlight w:val="none"/>
        </w:rPr>
        <w:t>天内组织有关单位进行验收，工程竣工验收严格按国家、省、市、部门有关文件执行，并在验收后</w:t>
      </w:r>
      <w:r>
        <w:rPr>
          <w:rFonts w:ascii="宋体" w:hAnsi="宋体" w:cs="宋体"/>
          <w:color w:val="auto"/>
          <w:sz w:val="24"/>
          <w:highlight w:val="none"/>
        </w:rPr>
        <w:t>10</w:t>
      </w:r>
      <w:r>
        <w:rPr>
          <w:rFonts w:hint="eastAsia" w:ascii="宋体" w:hAnsi="宋体" w:cs="宋体"/>
          <w:color w:val="auto"/>
          <w:sz w:val="24"/>
          <w:highlight w:val="none"/>
        </w:rPr>
        <w:t>天内给予认可或提出修改意见。乙方按要求修改，并承担修改的费用。</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9.3</w:t>
      </w:r>
      <w:r>
        <w:rPr>
          <w:rFonts w:hint="eastAsia" w:ascii="宋体" w:hAnsi="宋体" w:cs="宋体"/>
          <w:color w:val="auto"/>
          <w:sz w:val="24"/>
          <w:highlight w:val="none"/>
        </w:rPr>
        <w:t>工程竣工验收通过，乙方送交完整的竣工验收资料和竣工验收报告的日期为实际竣工日期。工程按甲方要求修改后通过竣工验收的，实际竣工日期为乙方修改后提请甲方验收的日期。</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9.4</w:t>
      </w:r>
      <w:r>
        <w:rPr>
          <w:rFonts w:hint="eastAsia" w:ascii="宋体" w:hAnsi="宋体" w:cs="宋体"/>
          <w:color w:val="auto"/>
          <w:sz w:val="24"/>
          <w:highlight w:val="none"/>
        </w:rPr>
        <w:t>竣工档案的整理和移交</w:t>
      </w:r>
    </w:p>
    <w:p>
      <w:pPr>
        <w:spacing w:line="384" w:lineRule="auto"/>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384" w:lineRule="auto"/>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a</w:t>
      </w:r>
      <w:r>
        <w:rPr>
          <w:rFonts w:hint="eastAsia" w:ascii="宋体" w:hAnsi="宋体" w:cs="宋体"/>
          <w:color w:val="auto"/>
          <w:sz w:val="24"/>
          <w:highlight w:val="none"/>
        </w:rPr>
        <w:t>）竣工文件资料、竣工图档案（原件）各一式四份；</w:t>
      </w:r>
    </w:p>
    <w:p>
      <w:pPr>
        <w:spacing w:line="384" w:lineRule="auto"/>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b</w:t>
      </w:r>
      <w:r>
        <w:rPr>
          <w:rFonts w:hint="eastAsia" w:ascii="宋体" w:hAnsi="宋体" w:cs="宋体"/>
          <w:color w:val="auto"/>
          <w:sz w:val="24"/>
          <w:highlight w:val="none"/>
        </w:rPr>
        <w:t>）与本款（</w:t>
      </w:r>
      <w:r>
        <w:rPr>
          <w:rFonts w:ascii="宋体" w:hAnsi="宋体" w:cs="宋体"/>
          <w:color w:val="auto"/>
          <w:sz w:val="24"/>
          <w:highlight w:val="none"/>
        </w:rPr>
        <w:t>a</w:t>
      </w:r>
      <w:r>
        <w:rPr>
          <w:rFonts w:hint="eastAsia" w:ascii="宋体" w:hAnsi="宋体" w:cs="宋体"/>
          <w:color w:val="auto"/>
          <w:sz w:val="24"/>
          <w:highlight w:val="none"/>
        </w:rPr>
        <w:t>）项内容相同的电子版档案一式二份；</w:t>
      </w:r>
    </w:p>
    <w:p>
      <w:pPr>
        <w:spacing w:line="384" w:lineRule="auto"/>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）乙方移交竣工档案的时限：乙方应于工程竣工验收后</w:t>
      </w:r>
      <w:r>
        <w:rPr>
          <w:rFonts w:ascii="宋体" w:hAnsi="宋体" w:cs="宋体"/>
          <w:color w:val="auto"/>
          <w:sz w:val="24"/>
          <w:highlight w:val="none"/>
        </w:rPr>
        <w:t>30</w:t>
      </w:r>
      <w:r>
        <w:rPr>
          <w:rFonts w:hint="eastAsia" w:ascii="宋体" w:hAnsi="宋体" w:cs="宋体"/>
          <w:color w:val="auto"/>
          <w:sz w:val="24"/>
          <w:highlight w:val="none"/>
        </w:rPr>
        <w:t>天内将竣工档案提交甲方签认。乙方应于甲方签认后</w:t>
      </w:r>
      <w:r>
        <w:rPr>
          <w:rFonts w:ascii="宋体" w:hAnsi="宋体" w:cs="宋体"/>
          <w:color w:val="auto"/>
          <w:sz w:val="24"/>
          <w:highlight w:val="none"/>
        </w:rPr>
        <w:t>10</w:t>
      </w:r>
      <w:r>
        <w:rPr>
          <w:rFonts w:hint="eastAsia" w:ascii="宋体" w:hAnsi="宋体" w:cs="宋体"/>
          <w:color w:val="auto"/>
          <w:sz w:val="24"/>
          <w:highlight w:val="none"/>
        </w:rPr>
        <w:t>天内将竣工档案移交给甲方归档并同时移交有关归档的证明文件。甲方经审查合格的，应在收到竣工档案后</w:t>
      </w:r>
      <w:r>
        <w:rPr>
          <w:rFonts w:ascii="宋体" w:hAnsi="宋体" w:cs="宋体"/>
          <w:color w:val="auto"/>
          <w:sz w:val="24"/>
          <w:highlight w:val="none"/>
        </w:rPr>
        <w:t>10</w:t>
      </w:r>
      <w:r>
        <w:rPr>
          <w:rFonts w:hint="eastAsia" w:ascii="宋体" w:hAnsi="宋体" w:cs="宋体"/>
          <w:color w:val="auto"/>
          <w:sz w:val="24"/>
          <w:highlight w:val="none"/>
        </w:rPr>
        <w:t>天内签署档案验收意见；不合格的，乙方应按甲方要求限期补正，直至合格为止。乙方超过本条规定的时限，每逾期一天支付</w:t>
      </w:r>
      <w:r>
        <w:rPr>
          <w:rFonts w:hint="eastAsia" w:ascii="宋体" w:hAnsi="宋体" w:cs="宋体"/>
          <w:color w:val="auto"/>
          <w:sz w:val="24"/>
          <w:highlight w:val="none"/>
          <w:u w:val="single"/>
        </w:rPr>
        <w:t>合同暂定总价</w:t>
      </w:r>
      <w:r>
        <w:rPr>
          <w:rFonts w:hint="eastAsia" w:ascii="宋体" w:hAnsi="宋体" w:cs="宋体"/>
          <w:bCs/>
          <w:color w:val="auto"/>
          <w:sz w:val="24"/>
          <w:highlight w:val="none"/>
          <w:u w:val="single"/>
        </w:rPr>
        <w:t>万分之五</w:t>
      </w:r>
      <w:r>
        <w:rPr>
          <w:rFonts w:ascii="宋体" w:hAnsi="宋体" w:cs="宋体"/>
          <w:bCs/>
          <w:color w:val="auto"/>
          <w:sz w:val="24"/>
          <w:highlight w:val="none"/>
          <w:u w:val="single"/>
        </w:rPr>
        <w:t>/</w:t>
      </w:r>
      <w:r>
        <w:rPr>
          <w:rFonts w:hint="eastAsia" w:ascii="宋体" w:hAnsi="宋体" w:cs="宋体"/>
          <w:bCs/>
          <w:color w:val="auto"/>
          <w:sz w:val="24"/>
          <w:highlight w:val="none"/>
          <w:u w:val="single"/>
        </w:rPr>
        <w:t>天</w:t>
      </w:r>
      <w:r>
        <w:rPr>
          <w:rFonts w:hint="eastAsia" w:ascii="宋体" w:hAnsi="宋体" w:cs="宋体"/>
          <w:color w:val="auto"/>
          <w:sz w:val="24"/>
          <w:highlight w:val="none"/>
        </w:rPr>
        <w:t>违约金。</w:t>
      </w:r>
    </w:p>
    <w:p>
      <w:pPr>
        <w:spacing w:line="384" w:lineRule="auto"/>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）电子版竣工图的编制，以甲方提供的电子版施工图为基础。乙方在移交竣工档案时，应一并移交甲方提供的电子版施工图。</w:t>
      </w:r>
    </w:p>
    <w:p>
      <w:pPr>
        <w:spacing w:line="384" w:lineRule="auto"/>
        <w:ind w:firstLine="480"/>
        <w:rPr>
          <w:rFonts w:ascii="宋体" w:hAnsi="宋体" w:cs="宋体"/>
          <w:color w:val="auto"/>
          <w:sz w:val="24"/>
          <w:highlight w:val="none"/>
        </w:rPr>
      </w:pPr>
      <w:r>
        <w:rPr>
          <w:rFonts w:hint="eastAsia" w:ascii="宋体" w:hAnsi="宋体" w:cs="宋体"/>
          <w:color w:val="auto"/>
          <w:sz w:val="24"/>
          <w:highlight w:val="none"/>
        </w:rPr>
        <w:t>电子版施工图和电子版竣工图的知识产权归属甲方所有，非经甲方许可，乙方不得以任何方式复制、备份、转让和利用。否则，由此引起的任何纠纷和责任由乙方承担。</w:t>
      </w:r>
    </w:p>
    <w:p>
      <w:pPr>
        <w:pStyle w:val="28"/>
        <w:ind w:firstLine="480" w:firstLineChars="200"/>
        <w:rPr>
          <w:rFonts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rPr>
        <w:t>9.5本合同竣工验收结算单位为</w:t>
      </w:r>
      <w:r>
        <w:rPr>
          <w:rFonts w:hint="eastAsia" w:asciiTheme="minorEastAsia" w:hAnsiTheme="minorEastAsia" w:eastAsiaTheme="minorEastAsia" w:cstheme="minorEastAsia"/>
          <w:color w:val="auto"/>
          <w:highlight w:val="none"/>
          <w:u w:val="single"/>
        </w:rPr>
        <w:t xml:space="preserve">：    </w:t>
      </w:r>
    </w:p>
    <w:p>
      <w:pPr>
        <w:numPr>
          <w:ilvl w:val="0"/>
          <w:numId w:val="5"/>
        </w:numPr>
        <w:spacing w:before="120" w:after="156" w:afterLines="50" w:line="384" w:lineRule="auto"/>
        <w:ind w:firstLine="482" w:firstLineChars="200"/>
        <w:jc w:val="left"/>
        <w:rPr>
          <w:rFonts w:ascii="宋体" w:hAnsi="宋体" w:cs="宋体"/>
          <w:b/>
          <w:bCs/>
          <w:color w:val="auto"/>
          <w:sz w:val="24"/>
          <w:highlight w:val="none"/>
        </w:rPr>
      </w:pPr>
      <w:bookmarkStart w:id="85" w:name="_Toc518992994"/>
      <w:bookmarkStart w:id="86" w:name="_Toc474245220"/>
      <w:bookmarkStart w:id="87" w:name="_Toc520190034"/>
      <w:r>
        <w:rPr>
          <w:rFonts w:hint="eastAsia" w:ascii="宋体" w:hAnsi="宋体" w:cs="宋体"/>
          <w:b/>
          <w:bCs/>
          <w:color w:val="auto"/>
          <w:sz w:val="24"/>
          <w:highlight w:val="none"/>
        </w:rPr>
        <w:t>质量保证</w:t>
      </w:r>
      <w:bookmarkEnd w:id="85"/>
      <w:bookmarkEnd w:id="86"/>
      <w:bookmarkEnd w:id="87"/>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10.1</w:t>
      </w:r>
      <w:r>
        <w:rPr>
          <w:rFonts w:hint="eastAsia" w:ascii="宋体" w:hAnsi="宋体" w:cs="宋体"/>
          <w:color w:val="auto"/>
          <w:sz w:val="24"/>
          <w:highlight w:val="none"/>
        </w:rPr>
        <w:t>乙方保证所承包的项目质量符合国家相关标准和规范。对产品质量依据原厂商标准及国家标准从严执行。</w:t>
      </w:r>
    </w:p>
    <w:p>
      <w:pPr>
        <w:autoSpaceDE w:val="0"/>
        <w:autoSpaceDN w:val="0"/>
        <w:adjustRightInd w:val="0"/>
        <w:spacing w:line="384" w:lineRule="auto"/>
        <w:ind w:left="420"/>
        <w:rPr>
          <w:rFonts w:ascii="宋体" w:hAnsi="宋体" w:cs="宋体"/>
          <w:color w:val="auto"/>
          <w:kern w:val="0"/>
          <w:sz w:val="24"/>
          <w:highlight w:val="none"/>
          <w:lang w:val="zh-CN"/>
        </w:rPr>
      </w:pPr>
      <w:r>
        <w:rPr>
          <w:rFonts w:ascii="宋体" w:hAnsi="宋体" w:cs="宋体"/>
          <w:bCs/>
          <w:color w:val="auto"/>
          <w:sz w:val="24"/>
          <w:highlight w:val="none"/>
        </w:rPr>
        <w:t xml:space="preserve">10.2 </w:t>
      </w:r>
      <w:r>
        <w:rPr>
          <w:rFonts w:hint="eastAsia" w:ascii="宋体" w:hAnsi="宋体" w:cs="宋体"/>
          <w:bCs/>
          <w:color w:val="auto"/>
          <w:sz w:val="24"/>
          <w:highlight w:val="none"/>
        </w:rPr>
        <w:t>本项目质量保修期为</w:t>
      </w:r>
      <w:r>
        <w:rPr>
          <w:rFonts w:hint="eastAsia" w:ascii="宋体" w:hAnsi="宋体" w:cs="宋体"/>
          <w:color w:val="auto"/>
          <w:kern w:val="0"/>
          <w:sz w:val="24"/>
          <w:highlight w:val="none"/>
          <w:lang w:val="zh-CN"/>
        </w:rPr>
        <w:t>自验收合格之日起</w:t>
      </w:r>
      <w:r>
        <w:rPr>
          <w:rFonts w:hint="eastAsia" w:ascii="宋体" w:hAnsi="宋体" w:cs="宋体"/>
          <w:color w:val="auto"/>
          <w:kern w:val="0"/>
          <w:sz w:val="24"/>
          <w:highlight w:val="none"/>
          <w:u w:val="single"/>
          <w:lang w:val="en-US" w:eastAsia="zh-CN"/>
        </w:rPr>
        <w:t>1</w:t>
      </w:r>
      <w:r>
        <w:rPr>
          <w:rFonts w:hint="eastAsia" w:ascii="宋体" w:hAnsi="宋体" w:cs="宋体"/>
          <w:color w:val="auto"/>
          <w:kern w:val="0"/>
          <w:sz w:val="24"/>
          <w:highlight w:val="none"/>
          <w:lang w:val="zh-CN"/>
        </w:rPr>
        <w:t>年。</w:t>
      </w:r>
    </w:p>
    <w:p>
      <w:pPr>
        <w:spacing w:line="384" w:lineRule="auto"/>
        <w:ind w:firstLine="420" w:firstLineChars="175"/>
        <w:rPr>
          <w:rFonts w:ascii="宋体" w:hAnsi="宋体" w:cs="宋体"/>
          <w:bCs/>
          <w:color w:val="auto"/>
          <w:sz w:val="24"/>
          <w:highlight w:val="none"/>
        </w:rPr>
      </w:pPr>
      <w:r>
        <w:rPr>
          <w:rFonts w:ascii="宋体" w:hAnsi="宋体" w:cs="宋体"/>
          <w:bCs/>
          <w:color w:val="auto"/>
          <w:sz w:val="24"/>
          <w:highlight w:val="none"/>
        </w:rPr>
        <w:t>10.3</w:t>
      </w:r>
      <w:r>
        <w:rPr>
          <w:rFonts w:hint="eastAsia" w:ascii="宋体" w:hAnsi="宋体" w:cs="宋体"/>
          <w:bCs/>
          <w:color w:val="auto"/>
          <w:sz w:val="24"/>
          <w:highlight w:val="none"/>
        </w:rPr>
        <w:t>质量保修期期间，本项目的质量问题由乙方免费提供保修服务，乙方应在收到甲方通知后日内派人员到场负责解决及维修，如果乙方不按时到场维修或到场后不能修复的，甲方有权委托他人予以维修，乙方承担由此发生的费用并支付</w:t>
      </w:r>
      <w:r>
        <w:rPr>
          <w:rFonts w:hint="eastAsia" w:ascii="宋体" w:hAnsi="宋体" w:cs="宋体"/>
          <w:bCs/>
          <w:color w:val="auto"/>
          <w:sz w:val="24"/>
          <w:highlight w:val="none"/>
          <w:u w:val="single"/>
        </w:rPr>
        <w:t>合同暂定总价的</w:t>
      </w:r>
      <w:r>
        <w:rPr>
          <w:rFonts w:ascii="宋体" w:hAnsi="宋体" w:cs="宋体"/>
          <w:bCs/>
          <w:color w:val="auto"/>
          <w:sz w:val="24"/>
          <w:highlight w:val="none"/>
          <w:u w:val="single"/>
        </w:rPr>
        <w:t>10%/</w:t>
      </w:r>
      <w:r>
        <w:rPr>
          <w:rFonts w:hint="eastAsia" w:ascii="宋体" w:hAnsi="宋体" w:cs="宋体"/>
          <w:bCs/>
          <w:color w:val="auto"/>
          <w:sz w:val="24"/>
          <w:highlight w:val="none"/>
          <w:u w:val="single"/>
        </w:rPr>
        <w:t>次</w:t>
      </w:r>
      <w:r>
        <w:rPr>
          <w:rFonts w:hint="eastAsia" w:ascii="宋体" w:hAnsi="宋体" w:cs="宋体"/>
          <w:bCs/>
          <w:color w:val="auto"/>
          <w:sz w:val="24"/>
          <w:highlight w:val="none"/>
        </w:rPr>
        <w:t>作为违约金。</w:t>
      </w:r>
    </w:p>
    <w:p>
      <w:pPr>
        <w:spacing w:before="156" w:beforeLines="50" w:after="156" w:afterLines="50" w:line="384" w:lineRule="auto"/>
        <w:ind w:firstLine="422" w:firstLineChars="175"/>
        <w:jc w:val="left"/>
        <w:rPr>
          <w:rFonts w:ascii="宋体" w:hAnsi="宋体" w:cs="宋体"/>
          <w:color w:val="auto"/>
          <w:sz w:val="24"/>
          <w:highlight w:val="none"/>
        </w:rPr>
      </w:pPr>
      <w:bookmarkStart w:id="88" w:name="_Toc520190040"/>
      <w:bookmarkStart w:id="89" w:name="_Toc306350467"/>
      <w:bookmarkStart w:id="90" w:name="_Toc19692"/>
      <w:bookmarkStart w:id="91" w:name="_Toc474245226"/>
      <w:bookmarkStart w:id="92" w:name="_Toc518993000"/>
      <w:bookmarkStart w:id="93" w:name="_Toc183666531"/>
      <w:bookmarkStart w:id="94" w:name="_Toc107447255"/>
      <w:bookmarkStart w:id="95" w:name="_Toc107446862"/>
      <w:r>
        <w:rPr>
          <w:rFonts w:hint="eastAsia" w:ascii="宋体" w:hAnsi="宋体" w:cs="宋体"/>
          <w:b/>
          <w:bCs/>
          <w:color w:val="auto"/>
          <w:sz w:val="24"/>
          <w:highlight w:val="none"/>
        </w:rPr>
        <w:t>第十一条不可抗力</w:t>
      </w:r>
      <w:bookmarkEnd w:id="88"/>
      <w:bookmarkEnd w:id="89"/>
      <w:bookmarkEnd w:id="90"/>
      <w:bookmarkEnd w:id="91"/>
      <w:bookmarkEnd w:id="92"/>
      <w:bookmarkEnd w:id="93"/>
      <w:bookmarkEnd w:id="94"/>
      <w:bookmarkEnd w:id="95"/>
    </w:p>
    <w:p>
      <w:pPr>
        <w:widowControl/>
        <w:autoSpaceDE w:val="0"/>
        <w:autoSpaceDN w:val="0"/>
        <w:adjustRightInd w:val="0"/>
        <w:spacing w:line="384" w:lineRule="auto"/>
        <w:ind w:firstLine="480" w:firstLineChars="200"/>
        <w:rPr>
          <w:rFonts w:ascii="宋体" w:hAnsi="宋体" w:cs="宋体"/>
          <w:bCs/>
          <w:color w:val="auto"/>
          <w:sz w:val="24"/>
          <w:highlight w:val="none"/>
        </w:rPr>
      </w:pPr>
      <w:bookmarkStart w:id="96" w:name="_Toc183666532"/>
      <w:bookmarkStart w:id="97" w:name="_Toc306350468"/>
      <w:bookmarkStart w:id="98" w:name="_Toc12010"/>
      <w:r>
        <w:rPr>
          <w:rFonts w:ascii="宋体" w:hAnsi="宋体" w:cs="宋体"/>
          <w:bCs/>
          <w:color w:val="auto"/>
          <w:sz w:val="24"/>
          <w:highlight w:val="none"/>
        </w:rPr>
        <w:t xml:space="preserve">11.1 </w:t>
      </w:r>
      <w:r>
        <w:rPr>
          <w:rFonts w:hint="eastAsia" w:ascii="宋体" w:hAnsi="宋体" w:cs="宋体"/>
          <w:bCs/>
          <w:color w:val="auto"/>
          <w:sz w:val="24"/>
          <w:highlight w:val="none"/>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384"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⑴地震、火山爆发、滑坡、暴雨（橙色预警及以上）、台风（黄色预警及以上）、海啸、龙卷风、大面积流行病</w:t>
      </w:r>
      <w:r>
        <w:rPr>
          <w:rFonts w:ascii="宋体" w:hAnsi="宋体" w:cs="宋体"/>
          <w:bCs/>
          <w:color w:val="auto"/>
          <w:sz w:val="24"/>
          <w:highlight w:val="none"/>
        </w:rPr>
        <w:t>(如：非典型性肺炎等)或瘟疫；</w:t>
      </w:r>
    </w:p>
    <w:p>
      <w:pPr>
        <w:widowControl/>
        <w:autoSpaceDE w:val="0"/>
        <w:autoSpaceDN w:val="0"/>
        <w:adjustRightInd w:val="0"/>
        <w:spacing w:line="384"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⑵战争行为、入侵、武装冲突或外敌行为、封锁、暴乱、恐怖行为或军事演习；</w:t>
      </w:r>
    </w:p>
    <w:p>
      <w:pPr>
        <w:widowControl/>
        <w:autoSpaceDE w:val="0"/>
        <w:autoSpaceDN w:val="0"/>
        <w:adjustRightInd w:val="0"/>
        <w:spacing w:line="384" w:lineRule="auto"/>
        <w:ind w:firstLine="480" w:firstLineChars="200"/>
        <w:rPr>
          <w:rFonts w:ascii="宋体" w:hAnsi="宋体" w:cs="宋体"/>
          <w:bCs/>
          <w:color w:val="auto"/>
          <w:sz w:val="24"/>
          <w:highlight w:val="none"/>
        </w:rPr>
      </w:pPr>
      <w:r>
        <w:rPr>
          <w:rFonts w:ascii="宋体" w:hAnsi="宋体" w:cs="宋体"/>
          <w:bCs/>
          <w:color w:val="auto"/>
          <w:sz w:val="24"/>
          <w:highlight w:val="none"/>
        </w:rPr>
        <w:t xml:space="preserve">11.2 </w:t>
      </w:r>
      <w:r>
        <w:rPr>
          <w:rFonts w:hint="eastAsia" w:ascii="宋体" w:hAnsi="宋体" w:cs="宋体"/>
          <w:bCs/>
          <w:color w:val="auto"/>
          <w:sz w:val="24"/>
          <w:highlight w:val="none"/>
        </w:rPr>
        <w:t>声称受到不可抗力影响的一方，应在发生不可抗力或知道发生不可抗力之后</w:t>
      </w:r>
      <w:r>
        <w:rPr>
          <w:rFonts w:ascii="宋体" w:hAnsi="宋体" w:cs="宋体"/>
          <w:bCs/>
          <w:color w:val="auto"/>
          <w:sz w:val="24"/>
          <w:highlight w:val="none"/>
        </w:rPr>
        <w:t>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384" w:lineRule="auto"/>
        <w:ind w:firstLine="480" w:firstLineChars="200"/>
        <w:rPr>
          <w:rFonts w:ascii="宋体" w:hAnsi="宋体" w:cs="宋体"/>
          <w:bCs/>
          <w:color w:val="auto"/>
          <w:sz w:val="24"/>
          <w:highlight w:val="none"/>
        </w:rPr>
      </w:pPr>
      <w:r>
        <w:rPr>
          <w:rFonts w:ascii="宋体" w:hAnsi="宋体" w:cs="宋体"/>
          <w:bCs/>
          <w:color w:val="auto"/>
          <w:sz w:val="24"/>
          <w:highlight w:val="none"/>
        </w:rPr>
        <w:t xml:space="preserve">11.3 </w:t>
      </w:r>
      <w:r>
        <w:rPr>
          <w:rFonts w:hint="eastAsia" w:ascii="宋体" w:hAnsi="宋体" w:cs="宋体"/>
          <w:bCs/>
          <w:color w:val="auto"/>
          <w:sz w:val="24"/>
          <w:highlight w:val="none"/>
        </w:rPr>
        <w:t>因不可抗力导致合同无法履行的时间自该不可抗力发生日起连续超过玖拾</w:t>
      </w:r>
      <w:r>
        <w:rPr>
          <w:rFonts w:ascii="宋体" w:hAnsi="宋体" w:cs="宋体"/>
          <w:bCs/>
          <w:color w:val="auto"/>
          <w:sz w:val="24"/>
          <w:highlight w:val="none"/>
        </w:rPr>
        <w:t>(90)天，双方应协商决定继续履行本合同的条件或者变更本合同。如果自不可抗力发生后壹佰捌拾(180)天之内双方不能达成一致意见，任何一方有权解除本合同。</w:t>
      </w:r>
    </w:p>
    <w:p>
      <w:pPr>
        <w:spacing w:before="156" w:beforeLines="50" w:after="156" w:afterLines="50" w:line="384" w:lineRule="auto"/>
        <w:ind w:firstLine="482"/>
        <w:jc w:val="left"/>
        <w:rPr>
          <w:rFonts w:ascii="宋体" w:hAnsi="宋体" w:cs="宋体"/>
          <w:bCs/>
          <w:color w:val="auto"/>
          <w:sz w:val="24"/>
          <w:highlight w:val="none"/>
        </w:rPr>
      </w:pPr>
      <w:r>
        <w:rPr>
          <w:rFonts w:ascii="宋体" w:hAnsi="宋体" w:cs="宋体"/>
          <w:bCs/>
          <w:color w:val="auto"/>
          <w:sz w:val="24"/>
          <w:highlight w:val="none"/>
        </w:rPr>
        <w:t xml:space="preserve">11.4 </w:t>
      </w:r>
      <w:r>
        <w:rPr>
          <w:rFonts w:hint="eastAsia" w:ascii="宋体" w:hAnsi="宋体" w:cs="宋体"/>
          <w:bCs/>
          <w:color w:val="auto"/>
          <w:sz w:val="24"/>
          <w:highlight w:val="none"/>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Start w:id="99" w:name="_Toc518993001"/>
      <w:bookmarkStart w:id="100" w:name="_Toc118172294"/>
      <w:bookmarkStart w:id="101" w:name="_Toc107447257"/>
      <w:bookmarkStart w:id="102" w:name="_Toc474245227"/>
      <w:bookmarkStart w:id="103" w:name="_Toc520190041"/>
      <w:bookmarkStart w:id="104" w:name="_Toc107446864"/>
    </w:p>
    <w:p>
      <w:pPr>
        <w:spacing w:before="156" w:beforeLines="50" w:after="156" w:afterLines="50" w:line="384" w:lineRule="auto"/>
        <w:ind w:firstLine="482"/>
        <w:jc w:val="left"/>
        <w:rPr>
          <w:rFonts w:ascii="宋体" w:hAnsi="宋体" w:cs="宋体"/>
          <w:b/>
          <w:bCs/>
          <w:color w:val="auto"/>
          <w:sz w:val="24"/>
          <w:highlight w:val="none"/>
        </w:rPr>
      </w:pPr>
      <w:r>
        <w:rPr>
          <w:rFonts w:hint="eastAsia" w:ascii="宋体" w:hAnsi="宋体" w:cs="宋体"/>
          <w:b/>
          <w:bCs/>
          <w:color w:val="auto"/>
          <w:sz w:val="24"/>
          <w:highlight w:val="none"/>
        </w:rPr>
        <w:t>十二条争议解决</w:t>
      </w:r>
      <w:bookmarkEnd w:id="96"/>
      <w:bookmarkEnd w:id="97"/>
      <w:bookmarkEnd w:id="98"/>
      <w:bookmarkEnd w:id="99"/>
      <w:bookmarkEnd w:id="100"/>
      <w:bookmarkEnd w:id="101"/>
      <w:bookmarkEnd w:id="102"/>
      <w:bookmarkEnd w:id="103"/>
      <w:bookmarkEnd w:id="104"/>
    </w:p>
    <w:p>
      <w:pPr>
        <w:spacing w:line="384" w:lineRule="auto"/>
        <w:ind w:firstLine="482"/>
        <w:rPr>
          <w:rFonts w:ascii="宋体" w:hAnsi="宋体" w:cs="宋体"/>
          <w:bCs/>
          <w:color w:val="auto"/>
          <w:sz w:val="24"/>
          <w:highlight w:val="none"/>
        </w:rPr>
      </w:pPr>
      <w:bookmarkStart w:id="105" w:name="_Toc306350469"/>
      <w:bookmarkStart w:id="106" w:name="_Toc183666533"/>
      <w:r>
        <w:rPr>
          <w:rFonts w:ascii="宋体" w:hAnsi="宋体" w:cs="宋体"/>
          <w:bCs/>
          <w:color w:val="auto"/>
          <w:sz w:val="24"/>
          <w:highlight w:val="none"/>
        </w:rPr>
        <w:t xml:space="preserve">12.1 </w:t>
      </w:r>
      <w:r>
        <w:rPr>
          <w:rFonts w:hint="eastAsia" w:ascii="宋体" w:hAnsi="宋体" w:cs="宋体"/>
          <w:bCs/>
          <w:color w:val="auto"/>
          <w:sz w:val="24"/>
          <w:highlight w:val="none"/>
        </w:rPr>
        <w:t>甲乙双方应通过友好协商，解决在执行本合同所发生的或与本合同有关的一切争议。如协商不能解决争议，任何一方均可依法向甲方所在地人民法院提起诉讼。</w:t>
      </w:r>
    </w:p>
    <w:p>
      <w:pPr>
        <w:spacing w:line="384" w:lineRule="auto"/>
        <w:ind w:firstLine="482"/>
        <w:jc w:val="left"/>
        <w:rPr>
          <w:rFonts w:ascii="宋体" w:hAnsi="宋体" w:cs="宋体"/>
          <w:color w:val="auto"/>
          <w:sz w:val="24"/>
          <w:highlight w:val="none"/>
        </w:rPr>
      </w:pPr>
      <w:r>
        <w:rPr>
          <w:rFonts w:ascii="宋体" w:hAnsi="宋体" w:cs="宋体"/>
          <w:bCs/>
          <w:color w:val="auto"/>
          <w:sz w:val="24"/>
          <w:highlight w:val="none"/>
        </w:rPr>
        <w:t xml:space="preserve">12.2 </w:t>
      </w:r>
      <w:r>
        <w:rPr>
          <w:rFonts w:hint="eastAsia" w:ascii="宋体" w:hAnsi="宋体" w:cs="宋体"/>
          <w:color w:val="auto"/>
          <w:sz w:val="24"/>
          <w:highlight w:val="none"/>
        </w:rPr>
        <w:t>在甲方同意的情况下，除有争端之外的合同其它部分在争端解决前应继续执行。</w:t>
      </w:r>
      <w:bookmarkEnd w:id="105"/>
      <w:bookmarkEnd w:id="106"/>
      <w:bookmarkStart w:id="107" w:name="_Toc520190043"/>
      <w:bookmarkStart w:id="108" w:name="_Toc518993003"/>
      <w:bookmarkStart w:id="109" w:name="_Toc474245229"/>
    </w:p>
    <w:p>
      <w:pPr>
        <w:spacing w:line="384" w:lineRule="auto"/>
        <w:ind w:firstLine="482"/>
        <w:jc w:val="left"/>
        <w:rPr>
          <w:rFonts w:ascii="宋体" w:hAnsi="宋体" w:cs="宋体"/>
          <w:b/>
          <w:bCs/>
          <w:color w:val="auto"/>
          <w:sz w:val="24"/>
          <w:highlight w:val="none"/>
        </w:rPr>
      </w:pPr>
      <w:r>
        <w:rPr>
          <w:rFonts w:hint="eastAsia" w:ascii="宋体" w:hAnsi="宋体" w:cs="宋体"/>
          <w:b/>
          <w:bCs/>
          <w:color w:val="auto"/>
          <w:sz w:val="24"/>
          <w:highlight w:val="none"/>
        </w:rPr>
        <w:t>第十三条</w:t>
      </w:r>
      <w:bookmarkStart w:id="110" w:name="_Toc107446871"/>
      <w:bookmarkStart w:id="111" w:name="_Toc107447264"/>
      <w:r>
        <w:rPr>
          <w:rFonts w:hint="eastAsia" w:ascii="宋体" w:hAnsi="宋体" w:cs="宋体"/>
          <w:b/>
          <w:bCs/>
          <w:color w:val="auto"/>
          <w:sz w:val="24"/>
          <w:highlight w:val="none"/>
        </w:rPr>
        <w:t>合同生效及其他</w:t>
      </w:r>
      <w:bookmarkEnd w:id="107"/>
      <w:bookmarkEnd w:id="108"/>
      <w:bookmarkEnd w:id="109"/>
      <w:bookmarkEnd w:id="110"/>
      <w:bookmarkEnd w:id="111"/>
    </w:p>
    <w:p>
      <w:pPr>
        <w:spacing w:line="384" w:lineRule="auto"/>
        <w:ind w:firstLine="480"/>
        <w:rPr>
          <w:rFonts w:ascii="宋体" w:hAnsi="宋体" w:cs="宋体"/>
          <w:color w:val="auto"/>
          <w:sz w:val="24"/>
          <w:highlight w:val="none"/>
        </w:rPr>
      </w:pPr>
      <w:r>
        <w:rPr>
          <w:rFonts w:ascii="宋体" w:hAnsi="宋体" w:cs="宋体"/>
          <w:color w:val="auto"/>
          <w:sz w:val="24"/>
          <w:highlight w:val="none"/>
        </w:rPr>
        <w:t>13.1</w:t>
      </w:r>
      <w:r>
        <w:rPr>
          <w:rFonts w:hint="eastAsia" w:ascii="宋体" w:hAnsi="宋体" w:cs="宋体"/>
          <w:color w:val="auto"/>
          <w:sz w:val="24"/>
          <w:highlight w:val="none"/>
        </w:rPr>
        <w:t>本合同经双方法定代表人或授权代表签字并加盖双方公章后生效</w:t>
      </w:r>
      <w:r>
        <w:rPr>
          <w:rFonts w:ascii="宋体" w:hAnsi="宋体" w:cs="宋体"/>
          <w:color w:val="auto"/>
          <w:sz w:val="24"/>
          <w:highlight w:val="none"/>
        </w:rPr>
        <w:t>.</w:t>
      </w:r>
    </w:p>
    <w:p>
      <w:pPr>
        <w:spacing w:line="384" w:lineRule="auto"/>
        <w:ind w:firstLine="480"/>
        <w:rPr>
          <w:rFonts w:ascii="宋体" w:hAnsi="宋体" w:cs="宋体"/>
          <w:color w:val="auto"/>
          <w:sz w:val="24"/>
          <w:highlight w:val="none"/>
        </w:rPr>
      </w:pPr>
      <w:r>
        <w:rPr>
          <w:rFonts w:ascii="宋体" w:hAnsi="宋体" w:cs="宋体"/>
          <w:color w:val="auto"/>
          <w:sz w:val="24"/>
          <w:highlight w:val="none"/>
        </w:rPr>
        <w:t>13.2</w:t>
      </w:r>
      <w:r>
        <w:rPr>
          <w:rFonts w:hint="eastAsia" w:ascii="宋体" w:hAnsi="宋体" w:cs="宋体"/>
          <w:color w:val="auto"/>
          <w:sz w:val="24"/>
          <w:highlight w:val="none"/>
        </w:rPr>
        <w:t>本合同正文一式份，其中：甲方份，乙方份。</w:t>
      </w:r>
    </w:p>
    <w:p>
      <w:pPr>
        <w:spacing w:line="384" w:lineRule="auto"/>
        <w:ind w:firstLine="480"/>
        <w:rPr>
          <w:rFonts w:ascii="宋体" w:hAnsi="宋体" w:cs="宋体"/>
          <w:color w:val="auto"/>
          <w:sz w:val="24"/>
          <w:highlight w:val="none"/>
          <w:u w:val="single"/>
        </w:rPr>
      </w:pPr>
      <w:r>
        <w:rPr>
          <w:rFonts w:ascii="宋体" w:hAnsi="宋体" w:cs="宋体"/>
          <w:color w:val="auto"/>
          <w:sz w:val="24"/>
          <w:highlight w:val="none"/>
        </w:rPr>
        <w:t>13.</w:t>
      </w:r>
      <w:r>
        <w:rPr>
          <w:rFonts w:hint="eastAsia" w:ascii="宋体" w:hAnsi="宋体" w:cs="宋体"/>
          <w:color w:val="auto"/>
          <w:sz w:val="24"/>
          <w:highlight w:val="none"/>
        </w:rPr>
        <w:t>3补充条款</w:t>
      </w:r>
      <w:r>
        <w:rPr>
          <w:rFonts w:hint="eastAsia" w:ascii="宋体" w:hAnsi="宋体" w:cs="宋体"/>
          <w:color w:val="auto"/>
          <w:sz w:val="24"/>
          <w:highlight w:val="none"/>
          <w:u w:val="single"/>
        </w:rPr>
        <w:t>：…</w:t>
      </w:r>
    </w:p>
    <w:p>
      <w:pPr>
        <w:spacing w:line="384" w:lineRule="auto"/>
        <w:ind w:firstLine="480"/>
        <w:rPr>
          <w:rFonts w:ascii="宋体" w:hAnsi="宋体" w:cs="宋体"/>
          <w:color w:val="auto"/>
          <w:sz w:val="24"/>
          <w:highlight w:val="none"/>
          <w:u w:val="single"/>
        </w:rPr>
      </w:pPr>
    </w:p>
    <w:p>
      <w:pPr>
        <w:spacing w:line="384" w:lineRule="auto"/>
        <w:rPr>
          <w:rFonts w:ascii="宋体" w:hAnsi="宋体" w:cs="宋体"/>
          <w:color w:val="auto"/>
          <w:sz w:val="24"/>
          <w:highlight w:val="none"/>
        </w:rPr>
      </w:pPr>
    </w:p>
    <w:p>
      <w:pPr>
        <w:spacing w:line="384" w:lineRule="auto"/>
        <w:rPr>
          <w:rFonts w:ascii="宋体" w:hAnsi="宋体" w:cs="宋体"/>
          <w:color w:val="auto"/>
          <w:sz w:val="24"/>
          <w:highlight w:val="none"/>
        </w:rPr>
      </w:pPr>
      <w:r>
        <w:rPr>
          <w:rFonts w:hint="eastAsia" w:ascii="宋体" w:hAnsi="宋体" w:cs="宋体"/>
          <w:color w:val="auto"/>
          <w:sz w:val="24"/>
          <w:highlight w:val="none"/>
        </w:rPr>
        <w:t>附件：</w:t>
      </w:r>
      <w:r>
        <w:rPr>
          <w:rFonts w:ascii="宋体" w:hAnsi="宋体" w:cs="宋体"/>
          <w:color w:val="auto"/>
          <w:sz w:val="24"/>
          <w:highlight w:val="none"/>
        </w:rPr>
        <w:t>1.</w:t>
      </w:r>
      <w:r>
        <w:rPr>
          <w:rFonts w:hint="eastAsia" w:ascii="宋体" w:hAnsi="宋体" w:cs="宋体"/>
          <w:color w:val="auto"/>
          <w:sz w:val="24"/>
          <w:highlight w:val="none"/>
        </w:rPr>
        <w:t>中标通知书</w:t>
      </w:r>
      <w:r>
        <w:rPr>
          <w:rFonts w:ascii="宋体" w:hAnsi="宋体" w:cs="宋体"/>
          <w:color w:val="auto"/>
          <w:sz w:val="24"/>
          <w:highlight w:val="none"/>
        </w:rPr>
        <w:t>/</w:t>
      </w:r>
      <w:r>
        <w:rPr>
          <w:rFonts w:hint="eastAsia" w:ascii="宋体" w:hAnsi="宋体" w:cs="宋体"/>
          <w:color w:val="auto"/>
          <w:sz w:val="24"/>
          <w:highlight w:val="none"/>
        </w:rPr>
        <w:t>发包通知书</w:t>
      </w:r>
      <w:r>
        <w:rPr>
          <w:rFonts w:ascii="宋体" w:hAnsi="宋体" w:cs="宋体"/>
          <w:color w:val="auto"/>
          <w:sz w:val="24"/>
          <w:highlight w:val="none"/>
        </w:rPr>
        <w:t>/</w:t>
      </w:r>
      <w:r>
        <w:rPr>
          <w:rFonts w:hint="eastAsia" w:ascii="宋体" w:hAnsi="宋体" w:cs="宋体"/>
          <w:color w:val="auto"/>
          <w:sz w:val="24"/>
          <w:highlight w:val="none"/>
        </w:rPr>
        <w:t>成交通知书/委托函（如有）</w:t>
      </w:r>
    </w:p>
    <w:p>
      <w:pPr>
        <w:spacing w:line="460" w:lineRule="exact"/>
        <w:ind w:firstLine="720" w:firstLineChars="300"/>
        <w:rPr>
          <w:rFonts w:ascii="宋体" w:hAnsi="宋体" w:cs="宋体"/>
          <w:color w:val="auto"/>
          <w:sz w:val="24"/>
          <w:szCs w:val="24"/>
          <w:highlight w:val="none"/>
        </w:rPr>
      </w:pPr>
      <w:r>
        <w:rPr>
          <w:rFonts w:hint="eastAsia" w:ascii="宋体" w:hAnsi="宋体" w:cs="宋体"/>
          <w:color w:val="auto"/>
          <w:sz w:val="24"/>
          <w:szCs w:val="24"/>
          <w:highlight w:val="none"/>
        </w:rPr>
        <w:t>2.廉洁协议</w:t>
      </w:r>
    </w:p>
    <w:p>
      <w:pPr>
        <w:spacing w:line="384" w:lineRule="auto"/>
        <w:ind w:firstLine="720" w:firstLineChars="300"/>
        <w:rPr>
          <w:rFonts w:ascii="宋体" w:hAnsi="宋体" w:eastAsia="宋体" w:cs="宋体"/>
          <w:color w:val="auto"/>
          <w:sz w:val="24"/>
          <w:highlight w:val="none"/>
        </w:rPr>
      </w:pPr>
      <w:r>
        <w:rPr>
          <w:rFonts w:hint="eastAsia" w:ascii="宋体" w:hAnsi="宋体" w:cs="宋体"/>
          <w:color w:val="auto"/>
          <w:sz w:val="24"/>
          <w:highlight w:val="none"/>
        </w:rPr>
        <w:t>4</w:t>
      </w:r>
      <w:r>
        <w:rPr>
          <w:rFonts w:ascii="宋体" w:hAnsi="宋体" w:cs="宋体"/>
          <w:color w:val="auto"/>
          <w:sz w:val="24"/>
          <w:highlight w:val="none"/>
        </w:rPr>
        <w:t>.</w:t>
      </w:r>
      <w:r>
        <w:rPr>
          <w:rFonts w:hint="eastAsia" w:ascii="宋体" w:hAnsi="宋体" w:cs="宋体"/>
          <w:color w:val="auto"/>
          <w:sz w:val="24"/>
          <w:highlight w:val="none"/>
        </w:rPr>
        <w:t>营运场所施工安全协议书（具体以安全办通知为准）</w:t>
      </w:r>
    </w:p>
    <w:p>
      <w:pPr>
        <w:spacing w:line="384" w:lineRule="auto"/>
        <w:rPr>
          <w:rFonts w:ascii="宋体" w:hAnsi="宋体" w:cs="宋体"/>
          <w:color w:val="auto"/>
          <w:sz w:val="24"/>
          <w:highlight w:val="none"/>
        </w:rPr>
      </w:pPr>
      <w:r>
        <w:rPr>
          <w:rFonts w:ascii="宋体" w:hAnsi="宋体" w:cs="宋体"/>
          <w:color w:val="auto"/>
          <w:sz w:val="24"/>
          <w:highlight w:val="none"/>
        </w:rPr>
        <w:t xml:space="preserve">     </w:t>
      </w:r>
      <w:r>
        <w:rPr>
          <w:rFonts w:hint="eastAsia" w:ascii="宋体" w:hAnsi="宋体" w:cs="宋体"/>
          <w:color w:val="auto"/>
          <w:sz w:val="24"/>
          <w:highlight w:val="none"/>
        </w:rPr>
        <w:t xml:space="preserve"> 5</w:t>
      </w:r>
      <w:r>
        <w:rPr>
          <w:rFonts w:ascii="宋体" w:hAnsi="宋体" w:cs="宋体"/>
          <w:color w:val="auto"/>
          <w:sz w:val="24"/>
          <w:highlight w:val="none"/>
        </w:rPr>
        <w:t>.</w:t>
      </w:r>
      <w:r>
        <w:rPr>
          <w:rFonts w:hint="eastAsia" w:ascii="宋体" w:hAnsi="宋体" w:cs="宋体"/>
          <w:color w:val="auto"/>
          <w:sz w:val="24"/>
          <w:highlight w:val="none"/>
        </w:rPr>
        <w:t>工程量清单</w:t>
      </w:r>
      <w:r>
        <w:rPr>
          <w:rFonts w:ascii="宋体" w:hAnsi="宋体" w:cs="宋体"/>
          <w:color w:val="auto"/>
          <w:sz w:val="24"/>
          <w:highlight w:val="none"/>
        </w:rPr>
        <w:t>/</w:t>
      </w:r>
      <w:r>
        <w:rPr>
          <w:rFonts w:hint="eastAsia" w:ascii="宋体" w:hAnsi="宋体" w:cs="宋体"/>
          <w:color w:val="auto"/>
          <w:sz w:val="24"/>
          <w:highlight w:val="none"/>
        </w:rPr>
        <w:t>报价</w:t>
      </w:r>
    </w:p>
    <w:p>
      <w:pPr>
        <w:spacing w:line="384" w:lineRule="auto"/>
        <w:rPr>
          <w:rFonts w:ascii="宋体" w:hAnsi="宋体" w:cs="宋体"/>
          <w:color w:val="auto"/>
          <w:sz w:val="24"/>
          <w:highlight w:val="none"/>
        </w:rPr>
      </w:pPr>
      <w:r>
        <w:rPr>
          <w:rFonts w:ascii="宋体" w:hAnsi="宋体" w:cs="宋体"/>
          <w:color w:val="auto"/>
          <w:sz w:val="24"/>
          <w:highlight w:val="none"/>
        </w:rPr>
        <w:t xml:space="preserve">     </w:t>
      </w:r>
      <w:r>
        <w:rPr>
          <w:rFonts w:hint="eastAsia" w:ascii="宋体" w:hAnsi="宋体" w:cs="宋体"/>
          <w:color w:val="auto"/>
          <w:sz w:val="24"/>
          <w:highlight w:val="none"/>
        </w:rPr>
        <w:t xml:space="preserve"> 6</w:t>
      </w:r>
      <w:r>
        <w:rPr>
          <w:rFonts w:ascii="宋体" w:hAnsi="宋体" w:cs="宋体"/>
          <w:color w:val="auto"/>
          <w:sz w:val="24"/>
          <w:highlight w:val="none"/>
        </w:rPr>
        <w:t>.</w:t>
      </w:r>
      <w:r>
        <w:rPr>
          <w:rFonts w:hint="eastAsia" w:ascii="宋体" w:hAnsi="宋体" w:cs="宋体"/>
          <w:color w:val="auto"/>
          <w:sz w:val="24"/>
          <w:highlight w:val="none"/>
        </w:rPr>
        <w:t>项目投入人员架构表</w:t>
      </w:r>
      <w:r>
        <w:rPr>
          <w:rFonts w:ascii="宋体" w:hAnsi="宋体" w:cs="宋体"/>
          <w:color w:val="auto"/>
          <w:sz w:val="24"/>
          <w:highlight w:val="none"/>
        </w:rPr>
        <w:t xml:space="preserve"> </w:t>
      </w:r>
    </w:p>
    <w:p>
      <w:pPr>
        <w:rPr>
          <w:rFonts w:ascii="宋体" w:hAnsi="宋体" w:cs="宋体"/>
          <w:color w:val="auto"/>
          <w:sz w:val="24"/>
          <w:highlight w:val="none"/>
        </w:rPr>
      </w:pPr>
      <w:r>
        <w:rPr>
          <w:rFonts w:hint="eastAsia" w:asciiTheme="minorEastAsia" w:hAnsiTheme="minorEastAsia" w:cstheme="minorEastAsia"/>
          <w:color w:val="auto"/>
          <w:sz w:val="24"/>
          <w:highlight w:val="none"/>
        </w:rPr>
        <w:t xml:space="preserve">    </w:t>
      </w:r>
      <w:r>
        <w:rPr>
          <w:rFonts w:hint="eastAsia" w:ascii="宋体" w:hAnsi="宋体" w:cs="宋体"/>
          <w:color w:val="auto"/>
          <w:sz w:val="24"/>
          <w:highlight w:val="none"/>
        </w:rPr>
        <w:t xml:space="preserve">  7.履约保函（模板）</w:t>
      </w:r>
    </w:p>
    <w:p>
      <w:pPr>
        <w:spacing w:line="360" w:lineRule="auto"/>
        <w:ind w:firstLine="720" w:firstLineChars="3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rPr>
        <w:t>防疫管理协议书</w:t>
      </w:r>
    </w:p>
    <w:p>
      <w:pPr>
        <w:spacing w:line="384" w:lineRule="auto"/>
        <w:ind w:firstLine="0" w:firstLineChars="0"/>
        <w:rPr>
          <w:rFonts w:ascii="宋体" w:hAnsi="宋体" w:eastAsia="宋体" w:cs="宋体"/>
          <w:color w:val="auto"/>
          <w:sz w:val="24"/>
          <w:highlight w:val="none"/>
        </w:rPr>
      </w:pPr>
    </w:p>
    <w:p>
      <w:pPr>
        <w:spacing w:line="384" w:lineRule="auto"/>
        <w:rPr>
          <w:rFonts w:ascii="宋体" w:hAnsi="宋体" w:cs="宋体"/>
          <w:color w:val="auto"/>
          <w:sz w:val="24"/>
          <w:highlight w:val="none"/>
        </w:rPr>
      </w:pPr>
    </w:p>
    <w:p>
      <w:pPr>
        <w:spacing w:line="384" w:lineRule="auto"/>
        <w:rPr>
          <w:rFonts w:ascii="宋体" w:hAnsi="宋体" w:cs="宋体"/>
          <w:color w:val="auto"/>
          <w:sz w:val="24"/>
          <w:highlight w:val="none"/>
        </w:rPr>
      </w:pPr>
    </w:p>
    <w:p>
      <w:pPr>
        <w:spacing w:line="384" w:lineRule="auto"/>
        <w:rPr>
          <w:rFonts w:ascii="宋体" w:hAnsi="宋体" w:cs="宋体"/>
          <w:color w:val="auto"/>
          <w:sz w:val="24"/>
          <w:highlight w:val="none"/>
        </w:rPr>
      </w:pPr>
      <w:r>
        <w:rPr>
          <w:rFonts w:hint="eastAsia" w:ascii="宋体" w:hAnsi="宋体" w:cs="宋体"/>
          <w:color w:val="auto"/>
          <w:sz w:val="24"/>
          <w:highlight w:val="none"/>
        </w:rPr>
        <w:t>甲方：广州市净水有限公司（盖章）     乙方：（盖章）</w:t>
      </w:r>
    </w:p>
    <w:p>
      <w:pPr>
        <w:spacing w:line="384" w:lineRule="auto"/>
        <w:rPr>
          <w:rFonts w:ascii="宋体" w:hAnsi="宋体" w:cs="宋体"/>
          <w:color w:val="auto"/>
          <w:sz w:val="24"/>
          <w:highlight w:val="none"/>
        </w:rPr>
      </w:pPr>
      <w:r>
        <w:rPr>
          <w:rFonts w:hint="eastAsia" w:ascii="宋体" w:hAnsi="宋体" w:cs="宋体"/>
          <w:color w:val="auto"/>
          <w:sz w:val="24"/>
          <w:highlight w:val="none"/>
        </w:rPr>
        <w:t>法定代表 或                         法定代表人或</w:t>
      </w:r>
    </w:p>
    <w:p>
      <w:pPr>
        <w:spacing w:line="384" w:lineRule="auto"/>
        <w:rPr>
          <w:rFonts w:ascii="宋体" w:hAnsi="宋体" w:cs="宋体"/>
          <w:color w:val="auto"/>
          <w:sz w:val="24"/>
          <w:highlight w:val="none"/>
        </w:rPr>
      </w:pPr>
      <w:r>
        <w:rPr>
          <w:rFonts w:hint="eastAsia" w:ascii="宋体" w:hAnsi="宋体" w:cs="宋体"/>
          <w:color w:val="auto"/>
          <w:sz w:val="24"/>
          <w:highlight w:val="none"/>
        </w:rPr>
        <w:t>授权代理人：                         授权代理人：</w:t>
      </w:r>
    </w:p>
    <w:p>
      <w:pPr>
        <w:spacing w:line="384" w:lineRule="auto"/>
        <w:rPr>
          <w:rFonts w:ascii="宋体" w:hAnsi="宋体" w:cs="宋体"/>
          <w:color w:val="auto"/>
          <w:sz w:val="24"/>
          <w:highlight w:val="none"/>
        </w:rPr>
      </w:pPr>
      <w:r>
        <w:rPr>
          <w:rFonts w:hint="eastAsia" w:ascii="宋体" w:hAnsi="宋体" w:cs="宋体"/>
          <w:color w:val="auto"/>
          <w:sz w:val="24"/>
          <w:highlight w:val="none"/>
        </w:rPr>
        <w:t>地址：                                  地址：</w:t>
      </w:r>
    </w:p>
    <w:p>
      <w:pPr>
        <w:spacing w:line="384" w:lineRule="auto"/>
        <w:rPr>
          <w:rFonts w:ascii="宋体" w:hAnsi="宋体" w:cs="宋体"/>
          <w:color w:val="auto"/>
          <w:sz w:val="24"/>
          <w:highlight w:val="none"/>
        </w:rPr>
      </w:pPr>
      <w:r>
        <w:rPr>
          <w:rFonts w:hint="eastAsia" w:ascii="宋体" w:hAnsi="宋体" w:cs="宋体"/>
          <w:color w:val="auto"/>
          <w:sz w:val="24"/>
          <w:highlight w:val="none"/>
        </w:rPr>
        <w:t>经办人：                              经办人：</w:t>
      </w:r>
    </w:p>
    <w:p>
      <w:pPr>
        <w:spacing w:line="384" w:lineRule="auto"/>
        <w:rPr>
          <w:rFonts w:ascii="宋体" w:hAnsi="宋体" w:cs="宋体"/>
          <w:color w:val="auto"/>
          <w:sz w:val="24"/>
          <w:highlight w:val="none"/>
        </w:rPr>
      </w:pPr>
      <w:r>
        <w:rPr>
          <w:rFonts w:hint="eastAsia" w:ascii="宋体" w:hAnsi="宋体" w:cs="宋体"/>
          <w:color w:val="auto"/>
          <w:sz w:val="24"/>
          <w:highlight w:val="none"/>
        </w:rPr>
        <w:t>联系电话：                           联系电话：</w:t>
      </w:r>
    </w:p>
    <w:p>
      <w:pPr>
        <w:spacing w:line="384" w:lineRule="auto"/>
        <w:ind w:left="6360" w:hanging="6360" w:hangingChars="2650"/>
        <w:rPr>
          <w:rFonts w:ascii="宋体" w:hAnsi="宋体" w:cs="宋体"/>
          <w:color w:val="auto"/>
          <w:sz w:val="24"/>
          <w:highlight w:val="none"/>
        </w:rPr>
      </w:pPr>
      <w:r>
        <w:rPr>
          <w:rFonts w:hint="eastAsia" w:ascii="宋体" w:hAnsi="宋体" w:cs="宋体"/>
          <w:color w:val="auto"/>
          <w:sz w:val="24"/>
          <w:highlight w:val="none"/>
        </w:rPr>
        <w:t>传真：                                传真：</w:t>
      </w:r>
    </w:p>
    <w:p>
      <w:pPr>
        <w:spacing w:line="384" w:lineRule="auto"/>
        <w:ind w:left="6360" w:hanging="6360" w:hangingChars="2650"/>
        <w:rPr>
          <w:rFonts w:ascii="宋体" w:hAnsi="宋体" w:cs="宋体"/>
          <w:color w:val="auto"/>
          <w:sz w:val="24"/>
          <w:highlight w:val="none"/>
        </w:rPr>
      </w:pPr>
      <w:r>
        <w:rPr>
          <w:rFonts w:hint="eastAsia" w:ascii="宋体" w:hAnsi="宋体" w:cs="宋体"/>
          <w:color w:val="auto"/>
          <w:sz w:val="24"/>
          <w:highlight w:val="none"/>
        </w:rPr>
        <w:t>签署日期：年月日                    签署日期：年月日</w:t>
      </w:r>
    </w:p>
    <w:p>
      <w:pPr>
        <w:spacing w:line="360" w:lineRule="auto"/>
        <w:rPr>
          <w:rFonts w:ascii="宋体" w:hAnsi="宋体" w:cs="宋体"/>
          <w:b/>
          <w:bCs/>
          <w:color w:val="auto"/>
          <w:szCs w:val="21"/>
          <w:highlight w:val="none"/>
        </w:rPr>
      </w:pPr>
    </w:p>
    <w:p>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附件1  中标通知书/发包通知书/委托函（如有）</w:t>
      </w:r>
    </w:p>
    <w:p>
      <w:pPr>
        <w:spacing w:line="360" w:lineRule="auto"/>
        <w:rPr>
          <w:rFonts w:ascii="宋体" w:hAnsi="宋体" w:cs="宋体"/>
          <w:b/>
          <w:bCs/>
          <w:color w:val="auto"/>
          <w:szCs w:val="21"/>
          <w:highlight w:val="none"/>
        </w:rPr>
      </w:pPr>
      <w:bookmarkStart w:id="112" w:name="_Toc387080836"/>
      <w:bookmarkStart w:id="113" w:name="_Toc389815031"/>
      <w:bookmarkStart w:id="114" w:name="_Toc389815339"/>
      <w:r>
        <w:rPr>
          <w:rFonts w:hint="eastAsia" w:ascii="宋体" w:hAnsi="宋体" w:cs="宋体"/>
          <w:b/>
          <w:bCs/>
          <w:color w:val="auto"/>
          <w:szCs w:val="21"/>
          <w:highlight w:val="none"/>
        </w:rPr>
        <w:t>附件</w:t>
      </w:r>
      <w:r>
        <w:rPr>
          <w:rFonts w:ascii="宋体" w:hAnsi="宋体" w:cs="宋体"/>
          <w:b/>
          <w:bCs/>
          <w:color w:val="auto"/>
          <w:szCs w:val="21"/>
          <w:highlight w:val="none"/>
        </w:rPr>
        <w:t>2</w:t>
      </w:r>
      <w:r>
        <w:rPr>
          <w:rFonts w:hint="eastAsia" w:ascii="宋体" w:hAnsi="宋体" w:cs="宋体"/>
          <w:b/>
          <w:bCs/>
          <w:color w:val="auto"/>
          <w:szCs w:val="21"/>
          <w:highlight w:val="none"/>
        </w:rPr>
        <w:t>：廉洁协议</w:t>
      </w:r>
    </w:p>
    <w:p>
      <w:pPr>
        <w:spacing w:line="560" w:lineRule="exact"/>
        <w:ind w:firstLine="3640" w:firstLineChars="13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廉洁协议</w:t>
      </w:r>
    </w:p>
    <w:p>
      <w:pPr>
        <w:spacing w:line="560" w:lineRule="exact"/>
        <w:ind w:firstLine="630" w:firstLineChars="225"/>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Cs/>
          <w:color w:val="auto"/>
          <w:sz w:val="28"/>
          <w:szCs w:val="28"/>
          <w:highlight w:val="none"/>
          <w:u w:val="single"/>
        </w:rPr>
        <w:t>广州市净水有限公司</w:t>
      </w:r>
      <w:r>
        <w:rPr>
          <w:rFonts w:hint="eastAsia" w:ascii="仿宋_GB2312" w:hAnsi="仿宋_GB2312" w:eastAsia="仿宋_GB2312" w:cs="仿宋_GB2312"/>
          <w:bCs/>
          <w:color w:val="auto"/>
          <w:sz w:val="28"/>
          <w:szCs w:val="28"/>
          <w:highlight w:val="none"/>
        </w:rPr>
        <w:t>(以下称甲方)与(以下称乙方)，特此订立本协议共同遵照执行。</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第一条 甲乙双方的权利和义务</w:t>
      </w:r>
    </w:p>
    <w:p>
      <w:pPr>
        <w:spacing w:line="560" w:lineRule="exact"/>
        <w:ind w:firstLine="420" w:firstLineChars="15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（一）甲乙双方严格遵守国家关于市场准入、项目招标投标、市场经营活动等有关法律、法规相关政策及廉政建设的各项规定。</w:t>
      </w:r>
    </w:p>
    <w:p>
      <w:pPr>
        <w:spacing w:line="560" w:lineRule="exact"/>
        <w:ind w:firstLine="420" w:firstLineChars="15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（二）严格执行</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合同（以下简称：主合同），自觉履行合同约定的相关义务。</w:t>
      </w:r>
    </w:p>
    <w:p>
      <w:pPr>
        <w:spacing w:line="560" w:lineRule="exact"/>
        <w:ind w:firstLine="420" w:firstLineChars="15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（三）在业务活动中坚持公开、公正、诚信、透明的原则，不得损害国家、集体利益。</w:t>
      </w:r>
    </w:p>
    <w:p>
      <w:pPr>
        <w:spacing w:line="560" w:lineRule="exact"/>
        <w:ind w:firstLine="420" w:firstLineChars="15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（四）建立健全廉洁从业制度，开展廉洁教育，公布举报电话，监督并认真查处不廉洁及违法违纪行为。</w:t>
      </w:r>
    </w:p>
    <w:p>
      <w:pPr>
        <w:spacing w:line="560" w:lineRule="exact"/>
        <w:ind w:firstLine="420" w:firstLineChars="15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（五）发现对方在业务活动中有不廉洁行为，应及时提醒对方纠正。情节严重的，应向其有关监督部门检举。</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第二条甲方的义务</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（一）甲方及其工作人员不得索要或接受乙方的礼金、有价证券和贵重物品，不得在乙方报销任何应由甲方或个人支付的费用等。</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560" w:lineRule="exact"/>
        <w:ind w:left="15" w:leftChars="7"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（三）甲方及其工作人员不得要求或者接受乙方为其住房装修、婚丧嫁娶活动、配偶子女工作安排以及出国出境、旅游等提供方便等。</w:t>
      </w:r>
    </w:p>
    <w:p>
      <w:pPr>
        <w:spacing w:line="560" w:lineRule="exact"/>
        <w:ind w:left="15" w:leftChars="7"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（四）甲方工作人员不得在乙方或与乙方有股权关联的企业兼职，不得向乙方介绍家属或者亲友从事与甲方业务有关的经济活动。</w:t>
      </w:r>
    </w:p>
    <w:p>
      <w:pPr>
        <w:spacing w:line="560" w:lineRule="exact"/>
        <w:ind w:left="15" w:leftChars="7"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560" w:lineRule="exact"/>
        <w:ind w:left="15" w:leftChars="7"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（六）甲方工作人员不得利用职务之便收受乙方以回扣、手续费、加班费、咨询费、劳务费、协调费、辛苦费等各种名义给予或赠送的钱物。</w:t>
      </w:r>
    </w:p>
    <w:p>
      <w:pPr>
        <w:spacing w:line="560" w:lineRule="exact"/>
        <w:ind w:left="15" w:leftChars="7"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（七）甲方工作人员不得接受乙方给予或赠送的干股或红利。</w:t>
      </w:r>
    </w:p>
    <w:p>
      <w:pPr>
        <w:spacing w:line="560" w:lineRule="exact"/>
        <w:ind w:left="15" w:leftChars="7"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(八）不得存在其他违反廉洁规定的行为。</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第三条乙方的义务</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（一）乙方不得以任何理由向甲方及其工作人员行贿或馈赠礼金、有价证券、贵重礼品。</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（二)乙方不得以任何名义为甲方及其工作人员报销应由甲方单位或个人支付的任何费用。</w:t>
      </w:r>
    </w:p>
    <w:p>
      <w:pPr>
        <w:spacing w:line="560" w:lineRule="exact"/>
        <w:ind w:left="25" w:leftChars="12"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（三）乙方不得以任何理由安排甲方工作人员参加可能影响相关业务公开、公正、公平性的宴请及娱乐活动。</w:t>
      </w:r>
    </w:p>
    <w:p>
      <w:pPr>
        <w:pStyle w:val="15"/>
        <w:adjustRightInd/>
        <w:spacing w:line="560" w:lineRule="exact"/>
        <w:textAlignment w:val="auto"/>
        <w:rPr>
          <w:rFonts w:ascii="仿宋_GB2312" w:hAnsi="仿宋_GB2312" w:eastAsia="仿宋_GB2312" w:cs="仿宋_GB2312"/>
          <w:bCs/>
          <w:color w:val="auto"/>
          <w:szCs w:val="28"/>
          <w:highlight w:val="none"/>
        </w:rPr>
      </w:pPr>
      <w:r>
        <w:rPr>
          <w:rFonts w:hint="eastAsia" w:ascii="仿宋_GB2312" w:hAnsi="仿宋_GB2312" w:eastAsia="仿宋_GB2312" w:cs="仿宋_GB2312"/>
          <w:bCs/>
          <w:color w:val="auto"/>
          <w:szCs w:val="28"/>
          <w:highlight w:val="none"/>
        </w:rPr>
        <w:t>（四）乙方不得为甲方单位和个人购置或提供通讯工具和高档办公用品等物品，也不得为甲方提供与工作无关的房屋、汽车等。</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（五）乙方不得擅自与甲方工作人员就主合同中的质量、数量、价格、工程量、验收等条款进行私下商谈或者达成默契。</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（六）乙方不得以回扣、手续费、加班费、咨询费、劳务费、协调费、辛苦费等各种名义向甲方工作人员给予或赠送钱物。</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（七）乙方不得向甲方工作人员提供干股或红利。</w:t>
      </w:r>
    </w:p>
    <w:p>
      <w:pPr>
        <w:spacing w:line="560" w:lineRule="exact"/>
        <w:ind w:left="15" w:leftChars="7"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(八）不得存在其他违反廉洁规定的行为。</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第四条违约责任</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甲方举报投诉联系部门：广州市净水有限公司</w:t>
      </w:r>
      <w:r>
        <w:rPr>
          <w:rFonts w:hint="eastAsia" w:ascii="仿宋_GB2312" w:hAnsi="仿宋_GB2312" w:eastAsia="仿宋_GB2312" w:cs="仿宋_GB2312"/>
          <w:bCs/>
          <w:color w:val="auto"/>
          <w:sz w:val="28"/>
          <w:szCs w:val="28"/>
          <w:highlight w:val="none"/>
          <w:u w:val="single"/>
        </w:rPr>
        <w:t>纪检室</w:t>
      </w:r>
      <w:r>
        <w:rPr>
          <w:rFonts w:hint="eastAsia" w:ascii="仿宋_GB2312" w:hAnsi="仿宋_GB2312" w:eastAsia="仿宋_GB2312" w:cs="仿宋_GB2312"/>
          <w:bCs/>
          <w:color w:val="auto"/>
          <w:sz w:val="28"/>
          <w:szCs w:val="28"/>
          <w:highlight w:val="none"/>
        </w:rPr>
        <w:t>，联系电话：</w:t>
      </w:r>
      <w:r>
        <w:rPr>
          <w:rFonts w:hint="eastAsia" w:ascii="仿宋_GB2312" w:hAnsi="仿宋_GB2312" w:eastAsia="仿宋_GB2312" w:cs="仿宋_GB2312"/>
          <w:bCs/>
          <w:color w:val="auto"/>
          <w:sz w:val="28"/>
          <w:szCs w:val="28"/>
          <w:highlight w:val="none"/>
          <w:u w:val="single"/>
        </w:rPr>
        <w:t xml:space="preserve"> 020-38890265 </w:t>
      </w:r>
      <w:r>
        <w:rPr>
          <w:rFonts w:hint="eastAsia" w:ascii="仿宋_GB2312" w:hAnsi="仿宋_GB2312" w:eastAsia="仿宋_GB2312" w:cs="仿宋_GB2312"/>
          <w:bCs/>
          <w:color w:val="auto"/>
          <w:sz w:val="28"/>
          <w:szCs w:val="28"/>
          <w:highlight w:val="none"/>
        </w:rPr>
        <w:t>。</w:t>
      </w:r>
    </w:p>
    <w:p>
      <w:pPr>
        <w:pStyle w:val="21"/>
        <w:widowControl/>
        <w:spacing w:line="560" w:lineRule="exac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pStyle w:val="21"/>
        <w:widowControl/>
        <w:spacing w:line="560" w:lineRule="exac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1、扣除主合同的全部履约保证金；</w:t>
      </w:r>
    </w:p>
    <w:p>
      <w:pPr>
        <w:pStyle w:val="21"/>
        <w:widowControl/>
        <w:spacing w:line="560" w:lineRule="exac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2、解除主合同；</w:t>
      </w:r>
    </w:p>
    <w:p>
      <w:pPr>
        <w:pStyle w:val="21"/>
        <w:widowControl/>
        <w:spacing w:line="560" w:lineRule="exac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3、追究乙方其他违约责任；</w:t>
      </w:r>
    </w:p>
    <w:p>
      <w:pPr>
        <w:pStyle w:val="21"/>
        <w:widowControl/>
        <w:spacing w:line="560" w:lineRule="exac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4、根据甲方的有关规章制度，在一定时间内暂停乙方参与甲方及下属单位所有项目的交易资格；</w:t>
      </w:r>
    </w:p>
    <w:p>
      <w:pPr>
        <w:pStyle w:val="21"/>
        <w:widowControl/>
        <w:spacing w:line="560" w:lineRule="exac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5、根据甲方的有关规章制度，将乙方清退出甲方相关企业库；</w:t>
      </w:r>
    </w:p>
    <w:p>
      <w:pPr>
        <w:pStyle w:val="21"/>
        <w:widowControl/>
        <w:spacing w:line="560" w:lineRule="exac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6、根据甲方上级单位、行政主管部门的意见、决定执行；</w:t>
      </w:r>
    </w:p>
    <w:p>
      <w:pPr>
        <w:pStyle w:val="21"/>
        <w:widowControl/>
        <w:spacing w:line="560" w:lineRule="exac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7、按规定向有关行政监督部门、乙方业务管理部门进行投诉、报告。</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乙方无条件接受甲方的处理决定并承担给甲方造成的损失，全额返还通过不正当手段获取的非法所得，并承担相应的法律责任。</w:t>
      </w:r>
    </w:p>
    <w:p>
      <w:pPr>
        <w:spacing w:line="560" w:lineRule="exact"/>
        <w:ind w:firstLine="560" w:firstLineChars="200"/>
        <w:rPr>
          <w:rFonts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sz w:val="28"/>
          <w:szCs w:val="28"/>
          <w:highlight w:val="none"/>
        </w:rPr>
        <w:t xml:space="preserve">第五条 </w:t>
      </w:r>
      <w:r>
        <w:rPr>
          <w:rFonts w:hint="eastAsia" w:ascii="仿宋_GB2312" w:hAnsi="仿宋_GB2312" w:eastAsia="仿宋_GB2312" w:cs="仿宋_GB2312"/>
          <w:bCs/>
          <w:color w:val="auto"/>
          <w:kern w:val="0"/>
          <w:sz w:val="28"/>
          <w:szCs w:val="28"/>
          <w:highlight w:val="none"/>
        </w:rPr>
        <w:t xml:space="preserve">本协议执行情况，接受有管辖权的纪检、监察部门的监督，双方应予以配合检查调查。 </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第六条本协议作为</w:t>
      </w:r>
      <w:r>
        <w:rPr>
          <w:rFonts w:hint="eastAsia" w:ascii="仿宋_GB2312" w:hAnsi="仿宋_GB2312" w:eastAsia="仿宋_GB2312" w:cs="仿宋_GB2312"/>
          <w:bCs/>
          <w:color w:val="auto"/>
          <w:sz w:val="28"/>
          <w:szCs w:val="28"/>
          <w:highlight w:val="none"/>
          <w:u w:val="single"/>
        </w:rPr>
        <w:t>（合同名称）+（合同编号）</w:t>
      </w:r>
      <w:r>
        <w:rPr>
          <w:rFonts w:hint="eastAsia" w:ascii="仿宋_GB2312" w:hAnsi="仿宋_GB2312" w:eastAsia="仿宋_GB2312" w:cs="仿宋_GB2312"/>
          <w:bCs/>
          <w:color w:val="auto"/>
          <w:sz w:val="28"/>
          <w:szCs w:val="28"/>
          <w:highlight w:val="none"/>
        </w:rPr>
        <w:t>合同的附件，并具有同等的法律效力，本协议自双方签字盖章之日起生效，与主合同同时终止。</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第七条本协议一式</w:t>
      </w:r>
      <w:r>
        <w:rPr>
          <w:rFonts w:hint="eastAsia" w:ascii="仿宋_GB2312" w:hAnsi="仿宋_GB2312" w:eastAsia="仿宋_GB2312" w:cs="仿宋_GB2312"/>
          <w:bCs/>
          <w:color w:val="auto"/>
          <w:sz w:val="28"/>
          <w:szCs w:val="28"/>
          <w:highlight w:val="none"/>
          <w:u w:val="single"/>
        </w:rPr>
        <w:t>…</w:t>
      </w:r>
      <w:r>
        <w:rPr>
          <w:rFonts w:hint="eastAsia" w:ascii="仿宋_GB2312" w:hAnsi="仿宋_GB2312" w:eastAsia="仿宋_GB2312" w:cs="仿宋_GB2312"/>
          <w:bCs/>
          <w:color w:val="auto"/>
          <w:sz w:val="28"/>
          <w:szCs w:val="28"/>
          <w:highlight w:val="none"/>
        </w:rPr>
        <w:t>份，甲方</w:t>
      </w:r>
      <w:r>
        <w:rPr>
          <w:rFonts w:hint="eastAsia" w:ascii="仿宋_GB2312" w:hAnsi="仿宋_GB2312" w:eastAsia="仿宋_GB2312" w:cs="仿宋_GB2312"/>
          <w:bCs/>
          <w:color w:val="auto"/>
          <w:sz w:val="28"/>
          <w:szCs w:val="28"/>
          <w:highlight w:val="none"/>
          <w:u w:val="single"/>
        </w:rPr>
        <w:t>…</w:t>
      </w:r>
      <w:r>
        <w:rPr>
          <w:rFonts w:hint="eastAsia" w:ascii="仿宋_GB2312" w:hAnsi="仿宋_GB2312" w:eastAsia="仿宋_GB2312" w:cs="仿宋_GB2312"/>
          <w:bCs/>
          <w:color w:val="auto"/>
          <w:sz w:val="28"/>
          <w:szCs w:val="28"/>
          <w:highlight w:val="none"/>
        </w:rPr>
        <w:t>份，乙方</w:t>
      </w:r>
      <w:r>
        <w:rPr>
          <w:rFonts w:hint="eastAsia" w:ascii="仿宋_GB2312" w:hAnsi="仿宋_GB2312" w:eastAsia="仿宋_GB2312" w:cs="仿宋_GB2312"/>
          <w:bCs/>
          <w:color w:val="auto"/>
          <w:sz w:val="28"/>
          <w:szCs w:val="28"/>
          <w:highlight w:val="none"/>
          <w:u w:val="single"/>
        </w:rPr>
        <w:t>…</w:t>
      </w:r>
      <w:r>
        <w:rPr>
          <w:rFonts w:hint="eastAsia" w:ascii="仿宋_GB2312" w:hAnsi="仿宋_GB2312" w:eastAsia="仿宋_GB2312" w:cs="仿宋_GB2312"/>
          <w:bCs/>
          <w:color w:val="auto"/>
          <w:sz w:val="28"/>
          <w:szCs w:val="28"/>
          <w:highlight w:val="none"/>
        </w:rPr>
        <w:t>份。</w:t>
      </w:r>
    </w:p>
    <w:p>
      <w:pPr>
        <w:spacing w:line="560" w:lineRule="exact"/>
        <w:ind w:firstLine="560" w:firstLineChars="200"/>
        <w:rPr>
          <w:rFonts w:ascii="仿宋_GB2312" w:hAnsi="仿宋_GB2312" w:eastAsia="仿宋_GB2312" w:cs="仿宋_GB2312"/>
          <w:bCs/>
          <w:color w:val="auto"/>
          <w:sz w:val="28"/>
          <w:szCs w:val="28"/>
          <w:highlight w:val="none"/>
        </w:rPr>
      </w:pPr>
    </w:p>
    <w:p>
      <w:pPr>
        <w:spacing w:line="560" w:lineRule="exac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甲方（盖章）：                     乙方（盖章）：</w:t>
      </w:r>
    </w:p>
    <w:p>
      <w:pPr>
        <w:pStyle w:val="34"/>
        <w:tabs>
          <w:tab w:val="left" w:pos="5100"/>
        </w:tabs>
        <w:spacing w:line="560" w:lineRule="exact"/>
        <w:ind w:left="7200" w:firstLine="0" w:firstLineChars="0"/>
        <w:jc w:val="left"/>
        <w:rPr>
          <w:rFonts w:ascii="仿宋_GB2312" w:hAnsi="仿宋_GB2312" w:eastAsia="仿宋_GB2312" w:cs="仿宋_GB2312"/>
          <w:bCs/>
          <w:color w:val="auto"/>
          <w:sz w:val="28"/>
          <w:szCs w:val="28"/>
          <w:highlight w:val="none"/>
        </w:rPr>
      </w:pPr>
    </w:p>
    <w:p>
      <w:pPr>
        <w:tabs>
          <w:tab w:val="left" w:pos="5100"/>
        </w:tabs>
        <w:spacing w:line="560" w:lineRule="exact"/>
        <w:ind w:left="8400" w:hanging="8400" w:hangingChars="30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签约代表：                         签约代表：</w:t>
      </w:r>
    </w:p>
    <w:p>
      <w:pPr>
        <w:tabs>
          <w:tab w:val="left" w:pos="4170"/>
        </w:tabs>
        <w:spacing w:line="560" w:lineRule="exac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日期:    年  月  日</w:t>
      </w:r>
      <w:r>
        <w:rPr>
          <w:rFonts w:hint="eastAsia" w:ascii="仿宋_GB2312" w:hAnsi="仿宋_GB2312" w:eastAsia="仿宋_GB2312" w:cs="仿宋_GB2312"/>
          <w:bCs/>
          <w:color w:val="auto"/>
          <w:sz w:val="28"/>
          <w:szCs w:val="28"/>
          <w:highlight w:val="none"/>
        </w:rPr>
        <w:tab/>
      </w:r>
      <w:r>
        <w:rPr>
          <w:rFonts w:hint="eastAsia" w:ascii="仿宋_GB2312" w:hAnsi="仿宋_GB2312" w:eastAsia="仿宋_GB2312" w:cs="仿宋_GB2312"/>
          <w:bCs/>
          <w:color w:val="auto"/>
          <w:sz w:val="28"/>
          <w:szCs w:val="28"/>
          <w:highlight w:val="none"/>
        </w:rPr>
        <w:t>日期：  年  月  日</w:t>
      </w:r>
    </w:p>
    <w:p>
      <w:pPr>
        <w:pStyle w:val="2"/>
        <w:rPr>
          <w:rFonts w:ascii="仿宋_GB2312" w:hAnsi="仿宋_GB2312" w:eastAsia="仿宋_GB2312" w:cs="仿宋_GB2312"/>
          <w:bCs/>
          <w:color w:val="auto"/>
          <w:sz w:val="28"/>
          <w:szCs w:val="28"/>
          <w:highlight w:val="none"/>
        </w:rPr>
      </w:pPr>
    </w:p>
    <w:p>
      <w:pPr>
        <w:pStyle w:val="2"/>
        <w:ind w:firstLine="0"/>
        <w:rPr>
          <w:rFonts w:ascii="仿宋_GB2312" w:hAnsi="仿宋_GB2312" w:eastAsia="仿宋_GB2312" w:cs="仿宋_GB2312"/>
          <w:bCs/>
          <w:color w:val="auto"/>
          <w:sz w:val="28"/>
          <w:szCs w:val="28"/>
          <w:highlight w:val="none"/>
        </w:rPr>
      </w:pPr>
    </w:p>
    <w:p>
      <w:pPr>
        <w:spacing w:line="360" w:lineRule="auto"/>
        <w:rPr>
          <w:rFonts w:ascii="宋体" w:hAnsi="宋体" w:cs="宋体"/>
          <w:b/>
          <w:color w:val="auto"/>
          <w:szCs w:val="21"/>
          <w:highlight w:val="none"/>
        </w:rPr>
      </w:pPr>
      <w:r>
        <w:rPr>
          <w:rFonts w:hint="eastAsia" w:ascii="宋体" w:hAnsi="宋体" w:cs="宋体"/>
          <w:b/>
          <w:color w:val="auto"/>
          <w:szCs w:val="21"/>
          <w:highlight w:val="none"/>
        </w:rPr>
        <w:t>附件4：</w:t>
      </w:r>
      <w:bookmarkEnd w:id="112"/>
      <w:bookmarkEnd w:id="113"/>
      <w:bookmarkEnd w:id="114"/>
      <w:r>
        <w:rPr>
          <w:rFonts w:hint="eastAsia" w:ascii="宋体" w:hAnsi="宋体" w:cs="宋体"/>
          <w:b/>
          <w:color w:val="auto"/>
          <w:szCs w:val="21"/>
          <w:highlight w:val="none"/>
        </w:rPr>
        <w:t>安全管理协议书</w:t>
      </w:r>
    </w:p>
    <w:p>
      <w:pPr>
        <w:spacing w:line="360" w:lineRule="auto"/>
        <w:jc w:val="center"/>
        <w:rPr>
          <w:rFonts w:ascii="宋体" w:hAnsi="宋体" w:cs="宋体"/>
          <w:b/>
          <w:bCs/>
          <w:color w:val="auto"/>
          <w:sz w:val="24"/>
          <w:highlight w:val="none"/>
        </w:rPr>
      </w:pPr>
    </w:p>
    <w:p>
      <w:pPr>
        <w:spacing w:line="560" w:lineRule="exact"/>
        <w:jc w:val="center"/>
        <w:rPr>
          <w:rFonts w:ascii="黑体" w:hAnsi="Batang" w:eastAsia="黑体" w:cs="Batang"/>
          <w:bCs/>
          <w:color w:val="auto"/>
          <w:kern w:val="0"/>
          <w:sz w:val="44"/>
          <w:szCs w:val="44"/>
          <w:highlight w:val="none"/>
        </w:rPr>
      </w:pPr>
      <w:r>
        <w:rPr>
          <w:rFonts w:hint="eastAsia" w:ascii="黑体" w:hAnsi="Batang" w:eastAsia="黑体" w:cs="Batang"/>
          <w:bCs/>
          <w:color w:val="auto"/>
          <w:kern w:val="0"/>
          <w:sz w:val="44"/>
          <w:szCs w:val="44"/>
          <w:highlight w:val="none"/>
        </w:rPr>
        <w:t>营运场所施工安全协议书</w:t>
      </w:r>
    </w:p>
    <w:p>
      <w:pPr>
        <w:spacing w:line="560" w:lineRule="exact"/>
        <w:rPr>
          <w:rFonts w:ascii="仿宋_GB2312" w:hAnsi="宋体" w:eastAsia="仿宋_GB2312"/>
          <w:color w:val="auto"/>
          <w:sz w:val="24"/>
          <w:highlight w:val="none"/>
        </w:rPr>
      </w:pPr>
    </w:p>
    <w:p>
      <w:pPr>
        <w:spacing w:line="560" w:lineRule="exact"/>
        <w:rPr>
          <w:rFonts w:ascii="宋体" w:hAnsi="宋体" w:cs="Arial"/>
          <w:color w:val="auto"/>
          <w:kern w:val="0"/>
          <w:sz w:val="24"/>
          <w:highlight w:val="none"/>
        </w:rPr>
      </w:pPr>
      <w:bookmarkStart w:id="115" w:name="_Toc21391"/>
      <w:r>
        <w:rPr>
          <w:rFonts w:hint="eastAsia" w:ascii="宋体" w:hAnsi="宋体" w:cs="Arial"/>
          <w:color w:val="auto"/>
          <w:kern w:val="0"/>
          <w:sz w:val="24"/>
          <w:highlight w:val="none"/>
        </w:rPr>
        <w:t>甲方：</w:t>
      </w:r>
      <w:r>
        <w:rPr>
          <w:rFonts w:hint="eastAsia"/>
          <w:color w:val="auto"/>
          <w:sz w:val="24"/>
          <w:highlight w:val="none"/>
        </w:rPr>
        <w:t>广州市净水有限公司</w:t>
      </w:r>
    </w:p>
    <w:p>
      <w:pPr>
        <w:spacing w:line="560" w:lineRule="exact"/>
        <w:rPr>
          <w:rFonts w:ascii="宋体" w:hAnsi="宋体" w:cs="Arial"/>
          <w:color w:val="auto"/>
          <w:kern w:val="0"/>
          <w:sz w:val="24"/>
          <w:highlight w:val="none"/>
        </w:rPr>
      </w:pPr>
      <w:r>
        <w:rPr>
          <w:rFonts w:hint="eastAsia" w:ascii="宋体" w:hAnsi="宋体" w:cs="Arial"/>
          <w:color w:val="auto"/>
          <w:kern w:val="0"/>
          <w:sz w:val="24"/>
          <w:highlight w:val="none"/>
        </w:rPr>
        <w:t xml:space="preserve">乙方： </w:t>
      </w:r>
    </w:p>
    <w:p>
      <w:pPr>
        <w:adjustRightInd w:val="0"/>
        <w:snapToGrid w:val="0"/>
        <w:spacing w:line="560" w:lineRule="exact"/>
        <w:jc w:val="left"/>
        <w:rPr>
          <w:rStyle w:val="26"/>
          <w:rFonts w:asciiTheme="minorEastAsia" w:hAnsiTheme="minorEastAsia" w:eastAsiaTheme="minorEastAsia"/>
          <w:b w:val="0"/>
          <w:color w:val="auto"/>
          <w:highlight w:val="none"/>
          <w:u w:val="single"/>
        </w:rPr>
      </w:pPr>
    </w:p>
    <w:bookmarkEnd w:id="115"/>
    <w:p>
      <w:pPr>
        <w:adjustRightInd w:val="0"/>
        <w:snapToGrid w:val="0"/>
        <w:spacing w:line="560" w:lineRule="exact"/>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根据《中华人民共和国安全生产法》《中华人民共和国建筑法》《建设工程安全生产管理条例》《生产安全事故报告和调查处理条例》《中华人民共和国职业病防治法》《工作场所职业卫生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Theme="minorEastAsia" w:hAnsiTheme="minorEastAsia"/>
          <w:b/>
          <w:color w:val="auto"/>
          <w:sz w:val="24"/>
          <w:highlight w:val="none"/>
        </w:rPr>
      </w:pPr>
      <w:r>
        <w:rPr>
          <w:rFonts w:hint="eastAsia" w:asciiTheme="minorEastAsia" w:hAnsiTheme="minorEastAsia"/>
          <w:b/>
          <w:color w:val="auto"/>
          <w:sz w:val="24"/>
          <w:highlight w:val="none"/>
        </w:rPr>
        <w:t>一、本协议与主合同的关系</w:t>
      </w:r>
    </w:p>
    <w:p>
      <w:pPr>
        <w:adjustRightInd w:val="0"/>
        <w:snapToGrid w:val="0"/>
        <w:spacing w:line="560" w:lineRule="exact"/>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本协议作为</w:t>
      </w:r>
      <w:r>
        <w:rPr>
          <w:rFonts w:hint="eastAsia" w:asciiTheme="minorEastAsia" w:hAnsiTheme="minorEastAsia"/>
          <w:color w:val="auto"/>
          <w:sz w:val="24"/>
          <w:highlight w:val="none"/>
          <w:u w:val="single"/>
        </w:rPr>
        <w:t xml:space="preserve">                          </w:t>
      </w:r>
      <w:r>
        <w:rPr>
          <w:rFonts w:hint="eastAsia" w:asciiTheme="minorEastAsia" w:hAnsiTheme="minorEastAsia"/>
          <w:color w:val="auto"/>
          <w:sz w:val="24"/>
          <w:highlight w:val="none"/>
        </w:rPr>
        <w:t>的组成部分，与主合同具有同等法律效力。</w:t>
      </w:r>
    </w:p>
    <w:p>
      <w:pPr>
        <w:adjustRightInd w:val="0"/>
        <w:snapToGrid w:val="0"/>
        <w:spacing w:line="560" w:lineRule="exact"/>
        <w:ind w:firstLine="482" w:firstLineChars="200"/>
        <w:jc w:val="left"/>
        <w:rPr>
          <w:rFonts w:asciiTheme="minorEastAsia" w:hAnsiTheme="minorEastAsia"/>
          <w:b/>
          <w:color w:val="auto"/>
          <w:sz w:val="24"/>
          <w:highlight w:val="none"/>
        </w:rPr>
      </w:pPr>
      <w:r>
        <w:rPr>
          <w:rFonts w:asciiTheme="minorEastAsia" w:hAnsiTheme="minorEastAsia"/>
          <w:b/>
          <w:color w:val="auto"/>
          <w:sz w:val="24"/>
          <w:highlight w:val="none"/>
        </w:rPr>
        <w:t xml:space="preserve"> 二、</w:t>
      </w:r>
      <w:r>
        <w:rPr>
          <w:rFonts w:hint="eastAsia" w:asciiTheme="minorEastAsia" w:hAnsiTheme="minorEastAsia"/>
          <w:b/>
          <w:color w:val="auto"/>
          <w:sz w:val="24"/>
          <w:highlight w:val="none"/>
        </w:rPr>
        <w:t>甲方权责</w:t>
      </w:r>
    </w:p>
    <w:p>
      <w:pPr>
        <w:adjustRightInd w:val="0"/>
        <w:snapToGrid w:val="0"/>
        <w:spacing w:line="560" w:lineRule="exact"/>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（二）落实生产营运等相关配合措施，提供必要的施工条件。</w:t>
      </w:r>
    </w:p>
    <w:p>
      <w:pPr>
        <w:adjustRightInd w:val="0"/>
        <w:snapToGrid w:val="0"/>
        <w:spacing w:line="560" w:lineRule="exact"/>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（三）要求乙方遵守的甲方安全管理要求。</w:t>
      </w:r>
    </w:p>
    <w:p>
      <w:pPr>
        <w:adjustRightInd w:val="0"/>
        <w:snapToGrid w:val="0"/>
        <w:spacing w:line="560" w:lineRule="exact"/>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（四）有权对乙方安全措施投入、现场安全施工情况等进行安全监督检查，并提出整改。</w:t>
      </w:r>
    </w:p>
    <w:p>
      <w:pPr>
        <w:adjustRightInd w:val="0"/>
        <w:snapToGrid w:val="0"/>
        <w:spacing w:line="560" w:lineRule="exact"/>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（五）按照《广州市净水有限公司工程项目安全管理规范》等办法对乙方进行施工安全管理评价。</w:t>
      </w:r>
    </w:p>
    <w:p>
      <w:pPr>
        <w:adjustRightInd w:val="0"/>
        <w:snapToGrid w:val="0"/>
        <w:spacing w:line="560" w:lineRule="exact"/>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Theme="minorEastAsia" w:hAnsiTheme="minorEastAsia"/>
          <w:color w:val="auto"/>
          <w:sz w:val="24"/>
          <w:highlight w:val="none"/>
        </w:rPr>
      </w:pPr>
      <w:r>
        <w:rPr>
          <w:rFonts w:asciiTheme="minorEastAsia" w:hAnsiTheme="minorEastAsia"/>
          <w:color w:val="auto"/>
          <w:sz w:val="24"/>
          <w:highlight w:val="none"/>
        </w:rPr>
        <w:t>1.</w:t>
      </w:r>
      <w:r>
        <w:rPr>
          <w:rFonts w:hint="eastAsia" w:asciiTheme="minorEastAsia" w:hAnsiTheme="minorEastAsia"/>
          <w:color w:val="auto"/>
          <w:sz w:val="24"/>
          <w:highlight w:val="none"/>
        </w:rPr>
        <w:t>按主合同相关条款进行经济扣罚；</w:t>
      </w:r>
    </w:p>
    <w:p>
      <w:pPr>
        <w:adjustRightInd w:val="0"/>
        <w:snapToGrid w:val="0"/>
        <w:spacing w:line="560" w:lineRule="exact"/>
        <w:ind w:firstLine="480" w:firstLineChars="200"/>
        <w:jc w:val="left"/>
        <w:rPr>
          <w:rFonts w:asciiTheme="minorEastAsia" w:hAnsiTheme="minorEastAsia"/>
          <w:color w:val="auto"/>
          <w:sz w:val="24"/>
          <w:highlight w:val="none"/>
        </w:rPr>
      </w:pPr>
      <w:r>
        <w:rPr>
          <w:rFonts w:asciiTheme="minorEastAsia" w:hAnsiTheme="minorEastAsia"/>
          <w:color w:val="auto"/>
          <w:sz w:val="24"/>
          <w:highlight w:val="none"/>
        </w:rPr>
        <w:t>2.</w:t>
      </w:r>
      <w:r>
        <w:rPr>
          <w:rFonts w:hint="eastAsia" w:asciiTheme="minorEastAsia" w:hAnsiTheme="minorEastAsia"/>
          <w:color w:val="auto"/>
          <w:sz w:val="24"/>
          <w:highlight w:val="none"/>
        </w:rPr>
        <w:t>根据《广州市水务局关于印发广州市水务工程施工和监理企业诚信评价管理办法的通知》（穗水建设〔2</w:t>
      </w:r>
      <w:r>
        <w:rPr>
          <w:rFonts w:asciiTheme="minorEastAsia" w:hAnsiTheme="minorEastAsia"/>
          <w:color w:val="auto"/>
          <w:sz w:val="24"/>
          <w:highlight w:val="none"/>
        </w:rPr>
        <w:t>014</w:t>
      </w:r>
      <w:r>
        <w:rPr>
          <w:rFonts w:hint="eastAsia" w:asciiTheme="minorEastAsia" w:hAnsiTheme="minorEastAsia"/>
          <w:color w:val="auto"/>
          <w:sz w:val="24"/>
          <w:highlight w:val="none"/>
        </w:rPr>
        <w:t>〕1</w:t>
      </w:r>
      <w:r>
        <w:rPr>
          <w:rFonts w:asciiTheme="minorEastAsia" w:hAnsiTheme="minorEastAsia"/>
          <w:color w:val="auto"/>
          <w:sz w:val="24"/>
          <w:highlight w:val="none"/>
        </w:rPr>
        <w:t>0</w:t>
      </w:r>
      <w:r>
        <w:rPr>
          <w:rFonts w:hint="eastAsia" w:asciiTheme="minorEastAsia" w:hAnsiTheme="minorEastAsia"/>
          <w:color w:val="auto"/>
          <w:sz w:val="24"/>
          <w:highlight w:val="none"/>
        </w:rPr>
        <w:t>号）、《市净水公司关于印发施工和监理企业诚信评价工作实施办法的通知》（穗净水〔201</w:t>
      </w:r>
      <w:r>
        <w:rPr>
          <w:rFonts w:asciiTheme="minorEastAsia" w:hAnsiTheme="minorEastAsia"/>
          <w:color w:val="auto"/>
          <w:sz w:val="24"/>
          <w:highlight w:val="none"/>
        </w:rPr>
        <w:t>5</w:t>
      </w:r>
      <w:r>
        <w:rPr>
          <w:rFonts w:hint="eastAsia" w:asciiTheme="minorEastAsia" w:hAnsiTheme="minorEastAsia"/>
          <w:color w:val="auto"/>
          <w:sz w:val="24"/>
          <w:highlight w:val="none"/>
        </w:rPr>
        <w:t>〕2</w:t>
      </w:r>
      <w:r>
        <w:rPr>
          <w:rFonts w:asciiTheme="minorEastAsia" w:hAnsiTheme="minorEastAsia"/>
          <w:color w:val="auto"/>
          <w:sz w:val="24"/>
          <w:highlight w:val="none"/>
        </w:rPr>
        <w:t>40</w:t>
      </w:r>
      <w:r>
        <w:rPr>
          <w:rFonts w:hint="eastAsia" w:asciiTheme="minorEastAsia" w:hAnsiTheme="minorEastAsia"/>
          <w:color w:val="auto"/>
          <w:sz w:val="24"/>
          <w:highlight w:val="none"/>
        </w:rPr>
        <w:t>号），进行诚信扣分（合同期内有新的文件印发的，按照最新的文件执行）；</w:t>
      </w:r>
    </w:p>
    <w:p>
      <w:pPr>
        <w:adjustRightInd w:val="0"/>
        <w:snapToGrid w:val="0"/>
        <w:spacing w:line="560" w:lineRule="exact"/>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3</w:t>
      </w:r>
      <w:r>
        <w:rPr>
          <w:rFonts w:asciiTheme="minorEastAsia" w:hAnsiTheme="minorEastAsia"/>
          <w:color w:val="auto"/>
          <w:sz w:val="24"/>
          <w:highlight w:val="none"/>
        </w:rPr>
        <w:t>.</w:t>
      </w:r>
      <w:r>
        <w:rPr>
          <w:rFonts w:hint="eastAsia" w:asciiTheme="minorEastAsia" w:hAnsiTheme="minorEastAsia"/>
          <w:color w:val="auto"/>
          <w:sz w:val="24"/>
          <w:highlight w:val="none"/>
        </w:rPr>
        <w:t>限制投保，或经其他单位承包后以分别方参与项目实施；</w:t>
      </w:r>
    </w:p>
    <w:p>
      <w:pPr>
        <w:adjustRightInd w:val="0"/>
        <w:snapToGrid w:val="0"/>
        <w:spacing w:line="560" w:lineRule="exact"/>
        <w:ind w:firstLine="480" w:firstLineChars="200"/>
        <w:jc w:val="left"/>
        <w:rPr>
          <w:rFonts w:asciiTheme="minorEastAsia" w:hAnsiTheme="minorEastAsia"/>
          <w:color w:val="auto"/>
          <w:sz w:val="24"/>
          <w:highlight w:val="none"/>
        </w:rPr>
      </w:pPr>
      <w:r>
        <w:rPr>
          <w:rFonts w:asciiTheme="minorEastAsia" w:hAnsiTheme="minorEastAsia"/>
          <w:color w:val="auto"/>
          <w:sz w:val="24"/>
          <w:highlight w:val="none"/>
        </w:rPr>
        <w:t>4.</w:t>
      </w:r>
      <w:r>
        <w:rPr>
          <w:rFonts w:hint="eastAsia" w:asciiTheme="minorEastAsia" w:hAnsiTheme="minorEastAsia"/>
          <w:color w:val="auto"/>
          <w:sz w:val="24"/>
          <w:highlight w:val="none"/>
        </w:rPr>
        <w:t>向上级进行反映，包括但不限于广东省市政行业协会、广州市市政公路协会等。</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b/>
          <w:color w:val="auto"/>
          <w:sz w:val="24"/>
          <w:highlight w:val="none"/>
        </w:rPr>
      </w:pPr>
      <w:r>
        <w:rPr>
          <w:rFonts w:hint="eastAsia" w:asciiTheme="minorEastAsia" w:hAnsiTheme="minorEastAsia"/>
          <w:b/>
          <w:color w:val="auto"/>
          <w:sz w:val="24"/>
          <w:highlight w:val="none"/>
        </w:rPr>
        <w:t>三、乙方权责</w:t>
      </w:r>
    </w:p>
    <w:p>
      <w:pPr>
        <w:adjustRightInd w:val="0"/>
        <w:snapToGrid w:val="0"/>
        <w:spacing w:line="560" w:lineRule="exact"/>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（二）严格执行国家、地方和行业主管部门关于施工的强制性标准、地方行政法规、管理要求。</w:t>
      </w:r>
    </w:p>
    <w:p>
      <w:pPr>
        <w:adjustRightInd w:val="0"/>
        <w:snapToGrid w:val="0"/>
        <w:spacing w:line="560" w:lineRule="exact"/>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依法为施工现场作业的人员办理意外伤害保险、购买安全生产责任保险。</w:t>
      </w:r>
    </w:p>
    <w:p>
      <w:pPr>
        <w:adjustRightInd w:val="0"/>
        <w:snapToGrid w:val="0"/>
        <w:spacing w:line="560" w:lineRule="exact"/>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（三）乙方应在合同签订后</w:t>
      </w:r>
      <w:r>
        <w:rPr>
          <w:rFonts w:asciiTheme="minorEastAsia" w:hAnsiTheme="minorEastAsia"/>
          <w:color w:val="auto"/>
          <w:sz w:val="24"/>
          <w:highlight w:val="none"/>
          <w:u w:val="single"/>
        </w:rPr>
        <w:t xml:space="preserve">    </w:t>
      </w:r>
      <w:r>
        <w:rPr>
          <w:rFonts w:hint="eastAsia" w:asciiTheme="minorEastAsia" w:hAnsiTheme="minorEastAsia"/>
          <w:color w:val="auto"/>
          <w:sz w:val="24"/>
          <w:highlight w:val="none"/>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（四）严格按照甲方制定的《广州市净水有限公司工程项目安全管理规范》要求，落实各项安全管理工作。</w:t>
      </w:r>
    </w:p>
    <w:p>
      <w:pPr>
        <w:adjustRightInd w:val="0"/>
        <w:snapToGrid w:val="0"/>
        <w:spacing w:line="560" w:lineRule="exact"/>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（八）严格履行本协议，遵守甲方各项管理规定，服从管理。</w:t>
      </w:r>
    </w:p>
    <w:p>
      <w:pPr>
        <w:adjustRightInd w:val="0"/>
        <w:snapToGrid w:val="0"/>
        <w:spacing w:line="560" w:lineRule="exact"/>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（十）乙方委托的第三方运输单位或个人，违反本协议的，全部责任均由乙方承担。</w:t>
      </w:r>
    </w:p>
    <w:p>
      <w:pPr>
        <w:adjustRightInd w:val="0"/>
        <w:snapToGrid w:val="0"/>
        <w:spacing w:line="560" w:lineRule="exact"/>
        <w:ind w:firstLine="482" w:firstLineChars="200"/>
        <w:jc w:val="left"/>
        <w:rPr>
          <w:rFonts w:asciiTheme="minorEastAsia" w:hAnsiTheme="minorEastAsia"/>
          <w:b/>
          <w:color w:val="auto"/>
          <w:sz w:val="24"/>
          <w:highlight w:val="none"/>
        </w:rPr>
      </w:pPr>
      <w:r>
        <w:rPr>
          <w:rFonts w:hint="eastAsia" w:asciiTheme="minorEastAsia" w:hAnsiTheme="minorEastAsia"/>
          <w:b/>
          <w:color w:val="auto"/>
          <w:sz w:val="24"/>
          <w:highlight w:val="none"/>
        </w:rPr>
        <w:t>四、事故责任</w:t>
      </w:r>
    </w:p>
    <w:p>
      <w:pPr>
        <w:adjustRightInd w:val="0"/>
        <w:snapToGrid w:val="0"/>
        <w:spacing w:line="560" w:lineRule="exact"/>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Theme="minorEastAsia" w:hAnsiTheme="minorEastAsia"/>
          <w:color w:val="auto"/>
          <w:sz w:val="24"/>
          <w:highlight w:val="none"/>
        </w:rPr>
      </w:pPr>
      <w:r>
        <w:rPr>
          <w:rFonts w:hint="eastAsia" w:asciiTheme="minorEastAsia" w:hAnsiTheme="minorEastAsia"/>
          <w:color w:val="auto"/>
          <w:sz w:val="24"/>
          <w:highlight w:val="none"/>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37"/>
        <w:spacing w:line="560" w:lineRule="exact"/>
        <w:ind w:firstLine="482" w:firstLineChars="200"/>
        <w:rPr>
          <w:rFonts w:asciiTheme="minorEastAsia" w:hAnsiTheme="minorEastAsia"/>
          <w:color w:val="auto"/>
          <w:sz w:val="24"/>
          <w:highlight w:val="none"/>
        </w:rPr>
      </w:pPr>
      <w:r>
        <w:rPr>
          <w:rFonts w:hint="eastAsia" w:asciiTheme="minorEastAsia" w:hAnsiTheme="minorEastAsia"/>
          <w:b/>
          <w:color w:val="auto"/>
          <w:sz w:val="24"/>
          <w:highlight w:val="none"/>
        </w:rPr>
        <w:t>五、补充条款：</w:t>
      </w:r>
      <w:r>
        <w:rPr>
          <w:rFonts w:asciiTheme="minorEastAsia" w:hAnsiTheme="minorEastAsia"/>
          <w:color w:val="auto"/>
          <w:sz w:val="24"/>
          <w:highlight w:val="none"/>
          <w:u w:val="single"/>
        </w:rPr>
        <w:t xml:space="preserve">                 </w:t>
      </w:r>
      <w:r>
        <w:rPr>
          <w:rFonts w:hint="eastAsia" w:asciiTheme="minorEastAsia" w:hAnsiTheme="minorEastAsia"/>
          <w:color w:val="auto"/>
          <w:sz w:val="24"/>
          <w:highlight w:val="none"/>
        </w:rPr>
        <w:t>。</w:t>
      </w:r>
    </w:p>
    <w:p>
      <w:pPr>
        <w:adjustRightInd w:val="0"/>
        <w:snapToGrid w:val="0"/>
        <w:spacing w:line="560" w:lineRule="exact"/>
        <w:ind w:firstLine="482" w:firstLineChars="200"/>
        <w:jc w:val="left"/>
        <w:rPr>
          <w:rFonts w:asciiTheme="minorEastAsia" w:hAnsiTheme="minorEastAsia"/>
          <w:b/>
          <w:color w:val="auto"/>
          <w:sz w:val="24"/>
          <w:highlight w:val="none"/>
        </w:rPr>
      </w:pPr>
      <w:r>
        <w:rPr>
          <w:rFonts w:hint="eastAsia" w:asciiTheme="minorEastAsia" w:hAnsiTheme="minorEastAsia"/>
          <w:b/>
          <w:color w:val="auto"/>
          <w:sz w:val="24"/>
          <w:highlight w:val="none"/>
        </w:rPr>
        <w:t>六、附则</w:t>
      </w:r>
    </w:p>
    <w:p>
      <w:pPr>
        <w:adjustRightInd w:val="0"/>
        <w:snapToGrid w:val="0"/>
        <w:spacing w:line="560" w:lineRule="exact"/>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eastAsia="仿宋_GB2312" w:hAnsiTheme="minorEastAsia"/>
          <w:color w:val="auto"/>
          <w:sz w:val="24"/>
          <w:highlight w:val="none"/>
        </w:rPr>
      </w:pP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473" w:type="dxa"/>
          </w:tcPr>
          <w:p>
            <w:pPr>
              <w:adjustRightInd w:val="0"/>
              <w:snapToGrid w:val="0"/>
              <w:spacing w:line="560" w:lineRule="exact"/>
              <w:rPr>
                <w:rFonts w:asciiTheme="minorEastAsia" w:hAnsiTheme="minorEastAsia"/>
                <w:color w:val="auto"/>
                <w:sz w:val="24"/>
                <w:highlight w:val="none"/>
              </w:rPr>
            </w:pPr>
            <w:r>
              <w:rPr>
                <w:rFonts w:hint="eastAsia" w:asciiTheme="minorEastAsia" w:hAnsiTheme="minorEastAsia"/>
                <w:color w:val="auto"/>
                <w:sz w:val="24"/>
                <w:highlight w:val="none"/>
              </w:rPr>
              <w:t>甲方：</w:t>
            </w:r>
          </w:p>
          <w:p>
            <w:pPr>
              <w:adjustRightInd w:val="0"/>
              <w:snapToGrid w:val="0"/>
              <w:spacing w:line="560" w:lineRule="exact"/>
              <w:rPr>
                <w:rFonts w:asciiTheme="minorEastAsia" w:hAnsiTheme="minorEastAsia"/>
                <w:color w:val="auto"/>
                <w:sz w:val="24"/>
                <w:highlight w:val="none"/>
              </w:rPr>
            </w:pPr>
            <w:r>
              <w:rPr>
                <w:rFonts w:hint="eastAsia" w:asciiTheme="minorEastAsia" w:hAnsiTheme="minorEastAsia"/>
                <w:color w:val="auto"/>
                <w:sz w:val="24"/>
                <w:highlight w:val="none"/>
              </w:rPr>
              <w:t>签约代表：</w:t>
            </w:r>
          </w:p>
          <w:p>
            <w:pPr>
              <w:adjustRightInd w:val="0"/>
              <w:snapToGrid w:val="0"/>
              <w:spacing w:line="560" w:lineRule="exact"/>
              <w:rPr>
                <w:rFonts w:asciiTheme="minorEastAsia" w:hAnsiTheme="minorEastAsia"/>
                <w:color w:val="auto"/>
                <w:sz w:val="24"/>
                <w:highlight w:val="none"/>
              </w:rPr>
            </w:pPr>
            <w:r>
              <w:rPr>
                <w:rFonts w:hint="eastAsia" w:asciiTheme="minorEastAsia" w:hAnsiTheme="minorEastAsia"/>
                <w:color w:val="auto"/>
                <w:sz w:val="24"/>
                <w:highlight w:val="none"/>
              </w:rPr>
              <w:t>联系电话：</w:t>
            </w:r>
          </w:p>
          <w:p>
            <w:pPr>
              <w:adjustRightInd w:val="0"/>
              <w:snapToGrid w:val="0"/>
              <w:spacing w:line="560" w:lineRule="exact"/>
              <w:ind w:firstLine="240" w:firstLineChars="100"/>
              <w:jc w:val="right"/>
              <w:rPr>
                <w:rFonts w:asciiTheme="minorEastAsia" w:hAnsiTheme="minorEastAsia"/>
                <w:color w:val="auto"/>
                <w:sz w:val="24"/>
                <w:highlight w:val="none"/>
              </w:rPr>
            </w:pPr>
            <w:r>
              <w:rPr>
                <w:rFonts w:hint="eastAsia" w:asciiTheme="minorEastAsia" w:hAnsiTheme="minorEastAsia"/>
                <w:color w:val="auto"/>
                <w:sz w:val="24"/>
                <w:highlight w:val="none"/>
              </w:rPr>
              <w:t>年</w:t>
            </w:r>
            <w:r>
              <w:rPr>
                <w:rFonts w:asciiTheme="minorEastAsia" w:hAnsiTheme="minorEastAsia"/>
                <w:color w:val="auto"/>
                <w:sz w:val="24"/>
                <w:highlight w:val="none"/>
              </w:rPr>
              <w:t xml:space="preserve">    </w:t>
            </w:r>
            <w:r>
              <w:rPr>
                <w:rFonts w:hint="eastAsia" w:asciiTheme="minorEastAsia" w:hAnsiTheme="minorEastAsia"/>
                <w:color w:val="auto"/>
                <w:sz w:val="24"/>
                <w:highlight w:val="none"/>
              </w:rPr>
              <w:t>月</w:t>
            </w:r>
            <w:r>
              <w:rPr>
                <w:rFonts w:asciiTheme="minorEastAsia" w:hAnsiTheme="minorEastAsia"/>
                <w:color w:val="auto"/>
                <w:sz w:val="24"/>
                <w:highlight w:val="none"/>
              </w:rPr>
              <w:t xml:space="preserve">    </w:t>
            </w:r>
            <w:r>
              <w:rPr>
                <w:rFonts w:hint="eastAsia" w:asciiTheme="minorEastAsia" w:hAnsiTheme="minorEastAsia"/>
                <w:color w:val="auto"/>
                <w:sz w:val="24"/>
                <w:highlight w:val="none"/>
              </w:rPr>
              <w:t>日</w:t>
            </w:r>
          </w:p>
        </w:tc>
        <w:tc>
          <w:tcPr>
            <w:tcW w:w="4474" w:type="dxa"/>
          </w:tcPr>
          <w:p>
            <w:pPr>
              <w:adjustRightInd w:val="0"/>
              <w:snapToGrid w:val="0"/>
              <w:spacing w:line="560" w:lineRule="exact"/>
              <w:rPr>
                <w:rFonts w:asciiTheme="minorEastAsia" w:hAnsiTheme="minorEastAsia"/>
                <w:color w:val="auto"/>
                <w:sz w:val="24"/>
                <w:highlight w:val="none"/>
              </w:rPr>
            </w:pPr>
            <w:r>
              <w:rPr>
                <w:rFonts w:hint="eastAsia" w:asciiTheme="minorEastAsia" w:hAnsiTheme="minorEastAsia"/>
                <w:color w:val="auto"/>
                <w:sz w:val="24"/>
                <w:highlight w:val="none"/>
              </w:rPr>
              <w:t>乙方：</w:t>
            </w:r>
          </w:p>
          <w:p>
            <w:pPr>
              <w:adjustRightInd w:val="0"/>
              <w:snapToGrid w:val="0"/>
              <w:spacing w:line="560" w:lineRule="exact"/>
              <w:rPr>
                <w:rFonts w:asciiTheme="minorEastAsia" w:hAnsiTheme="minorEastAsia"/>
                <w:color w:val="auto"/>
                <w:sz w:val="24"/>
                <w:highlight w:val="none"/>
              </w:rPr>
            </w:pPr>
            <w:r>
              <w:rPr>
                <w:rFonts w:hint="eastAsia" w:asciiTheme="minorEastAsia" w:hAnsiTheme="minorEastAsia"/>
                <w:color w:val="auto"/>
                <w:sz w:val="24"/>
                <w:highlight w:val="none"/>
              </w:rPr>
              <w:t>签约代表：</w:t>
            </w:r>
          </w:p>
          <w:p>
            <w:pPr>
              <w:adjustRightInd w:val="0"/>
              <w:snapToGrid w:val="0"/>
              <w:spacing w:line="560" w:lineRule="exact"/>
              <w:rPr>
                <w:rFonts w:asciiTheme="minorEastAsia" w:hAnsiTheme="minorEastAsia"/>
                <w:color w:val="auto"/>
                <w:sz w:val="24"/>
                <w:highlight w:val="none"/>
              </w:rPr>
            </w:pPr>
            <w:r>
              <w:rPr>
                <w:rFonts w:hint="eastAsia" w:asciiTheme="minorEastAsia" w:hAnsiTheme="minorEastAsia"/>
                <w:color w:val="auto"/>
                <w:sz w:val="24"/>
                <w:highlight w:val="none"/>
              </w:rPr>
              <w:t>联系电话：</w:t>
            </w:r>
          </w:p>
          <w:p>
            <w:pPr>
              <w:adjustRightInd w:val="0"/>
              <w:snapToGrid w:val="0"/>
              <w:spacing w:line="560" w:lineRule="exact"/>
              <w:jc w:val="right"/>
              <w:rPr>
                <w:rFonts w:asciiTheme="minorEastAsia" w:hAnsiTheme="minorEastAsia"/>
                <w:color w:val="auto"/>
                <w:sz w:val="24"/>
                <w:highlight w:val="none"/>
              </w:rPr>
            </w:pPr>
            <w:r>
              <w:rPr>
                <w:rFonts w:hint="eastAsia" w:asciiTheme="minorEastAsia" w:hAnsiTheme="minorEastAsia"/>
                <w:color w:val="auto"/>
                <w:sz w:val="24"/>
                <w:highlight w:val="none"/>
              </w:rPr>
              <w:t>年</w:t>
            </w:r>
            <w:r>
              <w:rPr>
                <w:rFonts w:asciiTheme="minorEastAsia" w:hAnsiTheme="minorEastAsia"/>
                <w:color w:val="auto"/>
                <w:sz w:val="24"/>
                <w:highlight w:val="none"/>
              </w:rPr>
              <w:t xml:space="preserve">    </w:t>
            </w:r>
            <w:r>
              <w:rPr>
                <w:rFonts w:hint="eastAsia" w:asciiTheme="minorEastAsia" w:hAnsiTheme="minorEastAsia"/>
                <w:color w:val="auto"/>
                <w:sz w:val="24"/>
                <w:highlight w:val="none"/>
              </w:rPr>
              <w:t>月</w:t>
            </w:r>
            <w:r>
              <w:rPr>
                <w:rFonts w:asciiTheme="minorEastAsia" w:hAnsiTheme="minorEastAsia"/>
                <w:color w:val="auto"/>
                <w:sz w:val="24"/>
                <w:highlight w:val="none"/>
              </w:rPr>
              <w:t xml:space="preserve">    </w:t>
            </w:r>
            <w:r>
              <w:rPr>
                <w:rFonts w:hint="eastAsia" w:asciiTheme="minorEastAsia" w:hAnsiTheme="minorEastAsia"/>
                <w:color w:val="auto"/>
                <w:sz w:val="24"/>
                <w:highlight w:val="none"/>
              </w:rPr>
              <w:t>日</w:t>
            </w:r>
          </w:p>
        </w:tc>
      </w:tr>
    </w:tbl>
    <w:p>
      <w:pPr>
        <w:spacing w:line="360" w:lineRule="auto"/>
        <w:rPr>
          <w:rFonts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default" w:ascii="宋体" w:hAnsi="宋体" w:cs="宋体" w:eastAsiaTheme="minorEastAsia"/>
          <w:color w:val="auto"/>
          <w:sz w:val="24"/>
          <w:highlight w:val="none"/>
          <w:lang w:val="en-US" w:eastAsia="zh-CN"/>
        </w:rPr>
      </w:pPr>
      <w:r>
        <w:rPr>
          <w:rFonts w:hint="eastAsia" w:ascii="宋体" w:hAnsi="宋体" w:cs="宋体"/>
          <w:b/>
          <w:bCs/>
          <w:color w:val="auto"/>
          <w:szCs w:val="21"/>
          <w:highlight w:val="none"/>
        </w:rPr>
        <w:t>附件5：</w:t>
      </w:r>
      <w:r>
        <w:rPr>
          <w:rFonts w:hint="eastAsia" w:ascii="宋体" w:hAnsi="宋体" w:cs="宋体"/>
          <w:b/>
          <w:bCs/>
          <w:color w:val="auto"/>
          <w:szCs w:val="21"/>
          <w:highlight w:val="none"/>
          <w:lang w:val="en-US" w:eastAsia="zh-CN"/>
        </w:rPr>
        <w:t>工程量报价详见响应文件格式要求5报价表</w:t>
      </w:r>
    </w:p>
    <w:p>
      <w:pPr>
        <w:spacing w:line="360" w:lineRule="auto"/>
        <w:rPr>
          <w:rFonts w:ascii="宋体" w:hAnsi="宋体" w:cs="宋体"/>
          <w:color w:val="auto"/>
          <w:sz w:val="24"/>
          <w:highlight w:val="none"/>
        </w:rPr>
      </w:pPr>
    </w:p>
    <w:p>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附件6 ：项目投入人员架构表</w:t>
      </w:r>
    </w:p>
    <w:tbl>
      <w:tblPr>
        <w:tblStyle w:val="23"/>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005"/>
        <w:gridCol w:w="855"/>
        <w:gridCol w:w="2370"/>
        <w:gridCol w:w="2573"/>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岗位</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性别</w:t>
            </w: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身份证号</w:t>
            </w: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执业或职业资格证明</w:t>
            </w: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项目负责人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安全员</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技术负责人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电工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焊工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普工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bl>
    <w:p>
      <w:pPr>
        <w:pStyle w:val="2"/>
        <w:ind w:firstLine="0"/>
        <w:rPr>
          <w:rFonts w:ascii="仿宋" w:hAnsi="仿宋" w:eastAsia="仿宋" w:cs="仿宋_GB2312"/>
          <w:color w:val="auto"/>
          <w:sz w:val="28"/>
          <w:szCs w:val="28"/>
          <w:highlight w:val="none"/>
        </w:rPr>
      </w:pPr>
    </w:p>
    <w:p>
      <w:pPr>
        <w:rPr>
          <w:rFonts w:hint="eastAsia" w:ascii="宋体" w:hAnsi="宋体" w:cs="宋体"/>
          <w:b/>
          <w:bCs/>
          <w:color w:val="auto"/>
          <w:szCs w:val="21"/>
          <w:highlight w:val="none"/>
        </w:rPr>
      </w:pPr>
    </w:p>
    <w:p>
      <w:pPr>
        <w:spacing w:line="360" w:lineRule="auto"/>
        <w:rPr>
          <w:rFonts w:ascii="宋体" w:hAnsi="宋体" w:cs="宋体"/>
          <w:b/>
          <w:bCs/>
          <w:szCs w:val="21"/>
        </w:rPr>
      </w:pPr>
      <w:r>
        <w:rPr>
          <w:rFonts w:hint="eastAsia" w:ascii="宋体" w:hAnsi="宋体" w:cs="宋体"/>
          <w:b/>
          <w:bCs/>
          <w:szCs w:val="21"/>
        </w:rPr>
        <w:t>附件</w:t>
      </w:r>
      <w:r>
        <w:rPr>
          <w:rFonts w:hint="eastAsia" w:ascii="宋体" w:hAnsi="宋体" w:cs="宋体"/>
          <w:b/>
          <w:bCs/>
          <w:szCs w:val="21"/>
          <w:lang w:val="en-US" w:eastAsia="zh-CN"/>
        </w:rPr>
        <w:t>7</w:t>
      </w:r>
      <w:r>
        <w:rPr>
          <w:rFonts w:hint="eastAsia" w:ascii="宋体" w:hAnsi="宋体" w:cs="宋体"/>
          <w:b/>
          <w:bCs/>
          <w:szCs w:val="21"/>
        </w:rPr>
        <w:t>：履约保函（模板）</w:t>
      </w:r>
    </w:p>
    <w:p>
      <w:pPr>
        <w:jc w:val="center"/>
        <w:rPr>
          <w:rFonts w:asciiTheme="minorEastAsia" w:hAnsiTheme="minorEastAsia" w:eastAsiaTheme="minorEastAsia"/>
          <w:b/>
          <w:sz w:val="24"/>
        </w:rPr>
      </w:pPr>
      <w:r>
        <w:rPr>
          <w:rFonts w:hint="eastAsia" w:asciiTheme="minorEastAsia" w:hAnsiTheme="minorEastAsia" w:eastAsiaTheme="minorEastAsia"/>
          <w:b/>
          <w:sz w:val="24"/>
        </w:rPr>
        <w:t>履约保函模板</w:t>
      </w:r>
    </w:p>
    <w:p>
      <w:pPr>
        <w:rPr>
          <w:rFonts w:asciiTheme="minorEastAsia" w:hAnsiTheme="minorEastAsia" w:eastAsiaTheme="minorEastAsia"/>
          <w:sz w:val="24"/>
        </w:rPr>
      </w:pPr>
    </w:p>
    <w:p>
      <w:pPr>
        <w:rPr>
          <w:rFonts w:asciiTheme="minorEastAsia" w:hAnsiTheme="minorEastAsia" w:eastAsiaTheme="minorEastAsia"/>
          <w:sz w:val="24"/>
        </w:rPr>
      </w:pPr>
      <w:r>
        <w:rPr>
          <w:rFonts w:hint="eastAsia" w:asciiTheme="minorEastAsia" w:hAnsiTheme="minorEastAsia" w:eastAsiaTheme="minorEastAsia"/>
          <w:sz w:val="24"/>
        </w:rPr>
        <w:t>致：</w:t>
      </w:r>
      <w:r>
        <w:rPr>
          <w:rFonts w:hint="eastAsia" w:asciiTheme="minorEastAsia" w:hAnsiTheme="minorEastAsia" w:eastAsiaTheme="minorEastAsia"/>
          <w:sz w:val="24"/>
          <w:u w:val="single"/>
        </w:rPr>
        <w:t xml:space="preserve">               （受益人）</w:t>
      </w:r>
      <w:r>
        <w:rPr>
          <w:rFonts w:asciiTheme="minorEastAsia" w:hAnsiTheme="minorEastAsia" w:eastAsiaTheme="minorEastAsia"/>
          <w:sz w:val="24"/>
        </w:rPr>
        <w:br w:type="textWrapping"/>
      </w:r>
    </w:p>
    <w:p>
      <w:pPr>
        <w:ind w:firstLine="420"/>
        <w:rPr>
          <w:rFonts w:asciiTheme="minorEastAsia" w:hAnsiTheme="minorEastAsia" w:eastAsiaTheme="minorEastAsia"/>
          <w:sz w:val="24"/>
        </w:rPr>
      </w:pPr>
      <w:r>
        <w:rPr>
          <w:rFonts w:hint="eastAsia" w:asciiTheme="minorEastAsia" w:hAnsiTheme="minorEastAsia" w:eastAsiaTheme="minorEastAsia"/>
          <w:sz w:val="24"/>
        </w:rPr>
        <w:t>鉴于（以下简称“委托人”）与贵方于</w:t>
      </w:r>
      <w:r>
        <w:rPr>
          <w:rFonts w:hint="eastAsia" w:asciiTheme="minorEastAsia" w:hAnsiTheme="minorEastAsia" w:eastAsiaTheme="minorEastAsia"/>
          <w:sz w:val="24"/>
          <w:u w:val="single"/>
        </w:rPr>
        <w:t xml:space="preserve">   年  月  日</w:t>
      </w:r>
      <w:r>
        <w:rPr>
          <w:rFonts w:hint="eastAsia" w:asciiTheme="minorEastAsia" w:hAnsiTheme="minorEastAsia" w:eastAsiaTheme="minorEastAsia"/>
          <w:sz w:val="24"/>
        </w:rPr>
        <w:t>签订了（以下简称“合同”），我行同意为委托人出具履约保函，作为委托人履行合同义务的担保，以使你方得到履约保函的保障。本保函为不可撤销，见索即付的独立保函。</w:t>
      </w:r>
    </w:p>
    <w:p>
      <w:pPr>
        <w:ind w:firstLine="420"/>
        <w:rPr>
          <w:rFonts w:asciiTheme="minorEastAsia" w:hAnsiTheme="minorEastAsia" w:eastAsiaTheme="minorEastAsia"/>
          <w:sz w:val="24"/>
        </w:rPr>
      </w:pPr>
      <w:r>
        <w:rPr>
          <w:rFonts w:hint="eastAsia" w:asciiTheme="minorEastAsia" w:hAnsiTheme="minorEastAsia" w:eastAsiaTheme="minorEastAsia"/>
          <w:sz w:val="24"/>
        </w:rPr>
        <w:t>一、我行保证在收到贵单位于保函有效期内送达的依本保函约定的索赔申请后，在个工作日内无条件和不可改变地向贵单位支付最高金额不超过人民币元（大写： ）的履约保证金，并放弃向你方提出任何异议和追索的权利。</w:t>
      </w:r>
    </w:p>
    <w:p>
      <w:pPr>
        <w:ind w:firstLine="420"/>
        <w:rPr>
          <w:rFonts w:asciiTheme="minorEastAsia" w:hAnsiTheme="minorEastAsia" w:eastAsiaTheme="minorEastAsia"/>
          <w:sz w:val="24"/>
        </w:rPr>
      </w:pPr>
      <w:r>
        <w:rPr>
          <w:rFonts w:hint="eastAsia" w:asciiTheme="minorEastAsia" w:hAnsiTheme="minorEastAsia" w:eastAsiaTheme="minorEastAsia"/>
          <w:sz w:val="24"/>
        </w:rPr>
        <w:t>二、贵单位的索赔申请应符合下述条件：</w:t>
      </w:r>
    </w:p>
    <w:p>
      <w:pPr>
        <w:ind w:firstLine="420"/>
        <w:rPr>
          <w:rFonts w:asciiTheme="minorEastAsia" w:hAnsiTheme="minorEastAsia" w:eastAsiaTheme="minorEastAsia"/>
          <w:sz w:val="24"/>
        </w:rPr>
      </w:pPr>
      <w:r>
        <w:rPr>
          <w:rFonts w:hint="eastAsia" w:asciiTheme="minorEastAsia" w:hAnsiTheme="minorEastAsia" w:eastAsiaTheme="minorEastAsia"/>
          <w:sz w:val="24"/>
        </w:rPr>
        <w:t>（一）贵单位法定代表人或其授权代表签字并加盖单位公章；</w:t>
      </w:r>
    </w:p>
    <w:p>
      <w:pPr>
        <w:ind w:firstLine="420"/>
        <w:rPr>
          <w:rFonts w:asciiTheme="minorEastAsia" w:hAnsiTheme="minorEastAsia" w:eastAsiaTheme="minorEastAsia"/>
          <w:sz w:val="24"/>
        </w:rPr>
      </w:pPr>
      <w:r>
        <w:rPr>
          <w:rFonts w:hint="eastAsia" w:asciiTheme="minorEastAsia" w:hAnsiTheme="minorEastAsia" w:eastAsiaTheme="minorEastAsia"/>
          <w:sz w:val="24"/>
        </w:rPr>
        <w:t>（二）在保函有效期内送达我行；</w:t>
      </w:r>
    </w:p>
    <w:p>
      <w:pPr>
        <w:ind w:firstLine="420"/>
        <w:rPr>
          <w:rFonts w:asciiTheme="minorEastAsia" w:hAnsiTheme="minorEastAsia" w:eastAsiaTheme="minorEastAsia"/>
          <w:sz w:val="24"/>
        </w:rPr>
      </w:pPr>
      <w:r>
        <w:rPr>
          <w:rFonts w:hint="eastAsia" w:asciiTheme="minorEastAsia" w:hAnsiTheme="minorEastAsia" w:eastAsiaTheme="minorEastAsia"/>
          <w:sz w:val="24"/>
        </w:rPr>
        <w:t>（三）明确的索赔金额（不得超过本保函第一条所列之限额）。</w:t>
      </w:r>
    </w:p>
    <w:p>
      <w:pPr>
        <w:ind w:firstLine="420"/>
        <w:rPr>
          <w:rFonts w:asciiTheme="minorEastAsia" w:hAnsiTheme="minorEastAsia" w:eastAsiaTheme="minorEastAsia"/>
          <w:sz w:val="24"/>
        </w:rPr>
      </w:pPr>
      <w:r>
        <w:rPr>
          <w:rFonts w:hint="eastAsia" w:asciiTheme="minorEastAsia" w:hAnsiTheme="minorEastAsia" w:eastAsiaTheme="minorEastAsia"/>
          <w:sz w:val="24"/>
        </w:rPr>
        <w:t>三、本保函自签发之日起生效，有效期至</w:t>
      </w:r>
      <w:r>
        <w:rPr>
          <w:rFonts w:hint="eastAsia" w:asciiTheme="minorEastAsia" w:hAnsiTheme="minorEastAsia" w:eastAsiaTheme="minorEastAsia"/>
          <w:sz w:val="24"/>
          <w:u w:val="single"/>
        </w:rPr>
        <w:t xml:space="preserve">  年  月  日</w:t>
      </w:r>
      <w:r>
        <w:rPr>
          <w:rFonts w:hint="eastAsia" w:asciiTheme="minorEastAsia" w:hAnsiTheme="minorEastAsia" w:eastAsiaTheme="minorEastAsia"/>
          <w:sz w:val="24"/>
        </w:rPr>
        <w:t>。本保函于下述任一事项发生之时立即失效，我行在本保函项下的保证义务即刻解除：</w:t>
      </w:r>
    </w:p>
    <w:p>
      <w:pPr>
        <w:ind w:firstLine="420"/>
        <w:rPr>
          <w:rFonts w:asciiTheme="minorEastAsia" w:hAnsiTheme="minorEastAsia" w:eastAsiaTheme="minorEastAsia"/>
          <w:sz w:val="24"/>
        </w:rPr>
      </w:pPr>
      <w:r>
        <w:rPr>
          <w:rFonts w:hint="eastAsia" w:asciiTheme="minorEastAsia" w:hAnsiTheme="minorEastAsia" w:eastAsiaTheme="minorEastAsia"/>
          <w:sz w:val="24"/>
        </w:rPr>
        <w:t>（一）本保函有效期限届满；</w:t>
      </w:r>
    </w:p>
    <w:p>
      <w:pPr>
        <w:ind w:firstLine="420"/>
        <w:rPr>
          <w:rFonts w:asciiTheme="minorEastAsia" w:hAnsiTheme="minorEastAsia" w:eastAsiaTheme="minorEastAsia"/>
          <w:sz w:val="24"/>
        </w:rPr>
      </w:pPr>
      <w:r>
        <w:rPr>
          <w:rFonts w:hint="eastAsia" w:asciiTheme="minorEastAsia" w:hAnsiTheme="minorEastAsia" w:eastAsiaTheme="minorEastAsia"/>
          <w:sz w:val="24"/>
        </w:rPr>
        <w:t>（二）我行保证的义务履行完毕。</w:t>
      </w:r>
    </w:p>
    <w:p>
      <w:pPr>
        <w:ind w:firstLine="420"/>
        <w:rPr>
          <w:rFonts w:asciiTheme="minorEastAsia" w:hAnsiTheme="minorEastAsia" w:eastAsiaTheme="minorEastAsia"/>
          <w:sz w:val="24"/>
        </w:rPr>
      </w:pPr>
      <w:r>
        <w:rPr>
          <w:rFonts w:hint="eastAsia" w:asciiTheme="minorEastAsia" w:hAnsiTheme="minorEastAsia" w:eastAsiaTheme="minorEastAsia"/>
          <w:sz w:val="24"/>
        </w:rPr>
        <w:t>四、我方受本保函制约的责任是延续的、独立的和无条件的，上述合同的任何修改、变更、解释、不可执行或委托人在合同项下对你方的任何抗辩都不能削弱或影响我行按本保函应承担的责任。</w:t>
      </w:r>
    </w:p>
    <w:p>
      <w:pPr>
        <w:ind w:firstLine="420"/>
        <w:rPr>
          <w:rFonts w:asciiTheme="minorEastAsia" w:hAnsiTheme="minorEastAsia" w:eastAsiaTheme="minorEastAsia"/>
          <w:sz w:val="24"/>
        </w:rPr>
      </w:pPr>
      <w:r>
        <w:rPr>
          <w:rFonts w:hint="eastAsia" w:asciiTheme="minorEastAsia" w:hAnsiTheme="minorEastAsia" w:eastAsiaTheme="minorEastAsia"/>
          <w:sz w:val="24"/>
        </w:rPr>
        <w:t>五、我行向你方支付索赔金额后，本保函担保金额即按贵方通知的索赔金额予以递减。</w:t>
      </w:r>
    </w:p>
    <w:p>
      <w:pPr>
        <w:ind w:firstLine="420"/>
        <w:rPr>
          <w:rFonts w:asciiTheme="minorEastAsia" w:hAnsiTheme="minorEastAsia" w:eastAsiaTheme="minorEastAsia"/>
          <w:sz w:val="24"/>
        </w:rPr>
      </w:pPr>
      <w:r>
        <w:rPr>
          <w:rFonts w:hint="eastAsia" w:asciiTheme="minorEastAsia" w:hAnsiTheme="minorEastAsia" w:eastAsiaTheme="minorEastAsia"/>
          <w:sz w:val="24"/>
        </w:rPr>
        <w:t>六、保函失效后请将保函退回我行注销，无论正本最终退回与否，不影响本保函依上述约定自动失效。</w:t>
      </w:r>
    </w:p>
    <w:p>
      <w:pPr>
        <w:ind w:firstLine="420"/>
        <w:rPr>
          <w:rFonts w:asciiTheme="minorEastAsia" w:hAnsiTheme="minorEastAsia" w:eastAsiaTheme="minorEastAsia"/>
          <w:sz w:val="24"/>
        </w:rPr>
      </w:pPr>
    </w:p>
    <w:p>
      <w:pPr>
        <w:ind w:firstLine="420"/>
        <w:rPr>
          <w:rFonts w:asciiTheme="minorEastAsia" w:hAnsiTheme="minorEastAsia" w:eastAsiaTheme="minorEastAsia"/>
          <w:sz w:val="24"/>
        </w:rPr>
      </w:pPr>
    </w:p>
    <w:p>
      <w:pPr>
        <w:ind w:firstLine="420"/>
        <w:rPr>
          <w:rFonts w:asciiTheme="minorEastAsia" w:hAnsiTheme="minorEastAsia" w:eastAsiaTheme="minorEastAsia"/>
          <w:sz w:val="24"/>
        </w:rPr>
      </w:pPr>
      <w:r>
        <w:rPr>
          <w:rFonts w:hint="eastAsia" w:asciiTheme="minorEastAsia" w:hAnsiTheme="minorEastAsia" w:eastAsiaTheme="minorEastAsia"/>
          <w:sz w:val="24"/>
        </w:rPr>
        <w:t xml:space="preserve">                                                   落款</w:t>
      </w:r>
    </w:p>
    <w:p>
      <w:pPr>
        <w:ind w:firstLine="420"/>
        <w:rPr>
          <w:rFonts w:asciiTheme="minorEastAsia" w:hAnsiTheme="minorEastAsia" w:eastAsiaTheme="minorEastAsia"/>
          <w:sz w:val="24"/>
        </w:rPr>
      </w:pPr>
    </w:p>
    <w:p>
      <w:pPr>
        <w:ind w:firstLine="645"/>
        <w:rPr>
          <w:rFonts w:asciiTheme="minorEastAsia" w:hAnsiTheme="minorEastAsia" w:eastAsiaTheme="minorEastAsia"/>
          <w:sz w:val="24"/>
        </w:rPr>
      </w:pPr>
      <w:r>
        <w:rPr>
          <w:rFonts w:hint="eastAsia" w:asciiTheme="minorEastAsia" w:hAnsiTheme="minorEastAsia" w:eastAsiaTheme="minorEastAsia"/>
          <w:sz w:val="24"/>
        </w:rPr>
        <w:t>保函说明：</w:t>
      </w:r>
    </w:p>
    <w:p>
      <w:pPr>
        <w:ind w:firstLine="645"/>
        <w:rPr>
          <w:rFonts w:cs="仿宋_GB2312" w:asciiTheme="minorEastAsia" w:hAnsiTheme="minorEastAsia" w:eastAsiaTheme="minorEastAsia"/>
          <w:sz w:val="24"/>
        </w:rPr>
      </w:pPr>
      <w:r>
        <w:rPr>
          <w:rFonts w:hint="eastAsia" w:cs="仿宋_GB2312" w:asciiTheme="minorEastAsia" w:hAnsiTheme="minorEastAsia" w:eastAsiaTheme="minorEastAsia"/>
          <w:sz w:val="24"/>
        </w:rPr>
        <w:t>保函不得有下列或类似含义的表述：</w:t>
      </w:r>
    </w:p>
    <w:p>
      <w:pPr>
        <w:ind w:firstLine="645"/>
        <w:rPr>
          <w:rFonts w:cs="仿宋_GB2312" w:asciiTheme="minorEastAsia" w:hAnsiTheme="minorEastAsia" w:eastAsiaTheme="minorEastAsia"/>
          <w:sz w:val="24"/>
        </w:rPr>
      </w:pPr>
      <w:r>
        <w:rPr>
          <w:rFonts w:hint="eastAsia" w:cs="仿宋_GB2312" w:asciiTheme="minorEastAsia" w:hAnsiTheme="minorEastAsia" w:eastAsiaTheme="minorEastAsia"/>
          <w:sz w:val="24"/>
        </w:rPr>
        <w:t>1.银行承担的为连带责任保证、一般保证。</w:t>
      </w:r>
    </w:p>
    <w:p>
      <w:pPr>
        <w:ind w:firstLine="645"/>
        <w:rPr>
          <w:rFonts w:cs="仿宋_GB2312" w:asciiTheme="minorEastAsia" w:hAnsiTheme="minorEastAsia" w:eastAsiaTheme="minorEastAsia"/>
          <w:sz w:val="24"/>
        </w:rPr>
      </w:pPr>
      <w:r>
        <w:rPr>
          <w:rFonts w:hint="eastAsia" w:cs="仿宋_GB2312" w:asciiTheme="minorEastAsia" w:hAnsiTheme="minorEastAsia" w:eastAsiaTheme="minorEastAsia"/>
          <w:sz w:val="24"/>
        </w:rPr>
        <w:t>2.未经银行书面同意，受益人与申请人修改合同或其项下附件时，银行的保证义务解除。</w:t>
      </w:r>
    </w:p>
    <w:p>
      <w:pPr>
        <w:ind w:firstLine="645"/>
        <w:rPr>
          <w:rFonts w:cs="仿宋_GB2312" w:asciiTheme="minorEastAsia" w:hAnsiTheme="minorEastAsia" w:eastAsiaTheme="minorEastAsia"/>
          <w:sz w:val="24"/>
        </w:rPr>
      </w:pPr>
      <w:r>
        <w:rPr>
          <w:rFonts w:hint="eastAsia" w:cs="仿宋_GB2312" w:asciiTheme="minorEastAsia" w:hAnsiTheme="minorEastAsia" w:eastAsiaTheme="minorEastAsia"/>
          <w:sz w:val="24"/>
        </w:rPr>
        <w:t>3.合同撤销或无效的，保函失效。</w:t>
      </w:r>
    </w:p>
    <w:p>
      <w:pPr>
        <w:ind w:firstLine="645"/>
        <w:rPr>
          <w:rFonts w:cs="仿宋_GB2312" w:asciiTheme="minorEastAsia" w:hAnsiTheme="minorEastAsia" w:eastAsiaTheme="minorEastAsia"/>
          <w:sz w:val="24"/>
        </w:rPr>
      </w:pPr>
      <w:r>
        <w:rPr>
          <w:rFonts w:hint="eastAsia" w:cs="仿宋_GB2312" w:asciiTheme="minorEastAsia" w:hAnsiTheme="minorEastAsia" w:eastAsiaTheme="minorEastAsia"/>
          <w:sz w:val="24"/>
        </w:rPr>
        <w:t>4.申请人对受益人的抗辩，银行有权向受益人主张。</w:t>
      </w:r>
    </w:p>
    <w:p>
      <w:pPr>
        <w:ind w:firstLine="645"/>
        <w:rPr>
          <w:rFonts w:asciiTheme="minorEastAsia" w:hAnsiTheme="minorEastAsia" w:eastAsiaTheme="minorEastAsia"/>
          <w:sz w:val="24"/>
        </w:rPr>
      </w:pPr>
      <w:r>
        <w:rPr>
          <w:rFonts w:hint="eastAsia" w:cs="仿宋_GB2312" w:asciiTheme="minorEastAsia" w:hAnsiTheme="minorEastAsia" w:eastAsiaTheme="minorEastAsia"/>
          <w:sz w:val="24"/>
        </w:rPr>
        <w:t>5.受益人请求付款的请款单据包含法院裁判文书、仲裁裁决、第三方单位出具的鉴定书等申请人违约的证明材料。</w:t>
      </w:r>
    </w:p>
    <w:p>
      <w:pPr>
        <w:rPr>
          <w:rFonts w:cs="仿宋_GB2312" w:asciiTheme="minorEastAsia" w:hAnsiTheme="minorEastAsia" w:eastAsiaTheme="minorEastAsia"/>
          <w:sz w:val="24"/>
        </w:rPr>
      </w:pPr>
    </w:p>
    <w:p>
      <w:pPr>
        <w:rPr>
          <w:rFonts w:cs="仿宋_GB2312" w:asciiTheme="minorEastAsia" w:hAnsiTheme="minorEastAsia" w:eastAsiaTheme="minorEastAsia"/>
          <w:sz w:val="24"/>
        </w:rPr>
      </w:pPr>
    </w:p>
    <w:p>
      <w:pPr>
        <w:spacing w:line="360" w:lineRule="auto"/>
        <w:jc w:val="left"/>
        <w:rPr>
          <w:rFonts w:hint="eastAsia" w:ascii="宋体" w:hAnsi="宋体" w:cs="宋体" w:eastAsiaTheme="minorEastAsia"/>
          <w:b/>
          <w:bCs/>
          <w:sz w:val="21"/>
          <w:szCs w:val="21"/>
          <w:lang w:val="en-US" w:eastAsia="zh-CN"/>
        </w:rPr>
      </w:pPr>
      <w:r>
        <w:rPr>
          <w:rFonts w:hint="eastAsia" w:ascii="宋体" w:hAnsi="宋体" w:cs="宋体"/>
          <w:b/>
          <w:bCs/>
          <w:sz w:val="21"/>
          <w:szCs w:val="21"/>
          <w:lang w:val="en-US" w:eastAsia="zh-CN"/>
        </w:rPr>
        <w:t>附件8：</w:t>
      </w:r>
      <w:r>
        <w:rPr>
          <w:rFonts w:hint="eastAsia" w:ascii="宋体" w:hAnsi="宋体" w:cs="宋体" w:eastAsiaTheme="minorEastAsia"/>
          <w:b/>
          <w:bCs/>
          <w:sz w:val="21"/>
          <w:szCs w:val="21"/>
        </w:rPr>
        <w:t>预付款保函</w:t>
      </w:r>
      <w:r>
        <w:rPr>
          <w:rFonts w:hint="eastAsia" w:ascii="宋体" w:hAnsi="宋体" w:cs="宋体" w:eastAsiaTheme="minorEastAsia"/>
          <w:b/>
          <w:bCs/>
          <w:sz w:val="21"/>
          <w:szCs w:val="21"/>
          <w:lang w:eastAsia="zh-CN"/>
        </w:rPr>
        <w:t>（</w:t>
      </w:r>
      <w:r>
        <w:rPr>
          <w:rFonts w:hint="eastAsia" w:ascii="宋体" w:hAnsi="宋体" w:cs="宋体" w:eastAsiaTheme="minorEastAsia"/>
          <w:b/>
          <w:bCs/>
          <w:sz w:val="21"/>
          <w:szCs w:val="21"/>
        </w:rPr>
        <w:t>模板</w:t>
      </w:r>
      <w:r>
        <w:rPr>
          <w:rFonts w:hint="eastAsia" w:ascii="宋体" w:hAnsi="宋体" w:cs="宋体" w:eastAsiaTheme="minorEastAsia"/>
          <w:b/>
          <w:bCs/>
          <w:sz w:val="21"/>
          <w:szCs w:val="21"/>
          <w:lang w:val="en-US" w:eastAsia="zh-CN"/>
        </w:rPr>
        <w:t>)</w:t>
      </w:r>
    </w:p>
    <w:p>
      <w:pPr>
        <w:rPr>
          <w:rFonts w:hint="default" w:cs="仿宋_GB2312" w:asciiTheme="minorEastAsia" w:hAnsiTheme="minorEastAsia" w:eastAsiaTheme="minorEastAsia"/>
          <w:sz w:val="24"/>
          <w:lang w:val="en-US" w:eastAsia="zh-CN"/>
        </w:rPr>
      </w:pPr>
    </w:p>
    <w:p>
      <w:pPr>
        <w:jc w:val="center"/>
        <w:rPr>
          <w:rFonts w:hint="eastAsia" w:asciiTheme="minorEastAsia" w:hAnsiTheme="minorEastAsia" w:eastAsiaTheme="minorEastAsia"/>
          <w:b/>
          <w:sz w:val="24"/>
          <w:szCs w:val="22"/>
        </w:rPr>
      </w:pPr>
      <w:r>
        <w:rPr>
          <w:rFonts w:hint="eastAsia" w:asciiTheme="minorEastAsia" w:hAnsiTheme="minorEastAsia" w:eastAsiaTheme="minorEastAsia"/>
          <w:b/>
          <w:sz w:val="24"/>
          <w:szCs w:val="22"/>
        </w:rPr>
        <w:t>预付款保函</w:t>
      </w:r>
    </w:p>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（受益人）</w:t>
      </w:r>
    </w:p>
    <w:p>
      <w:pPr>
        <w:rPr>
          <w:rFonts w:hint="eastAsia" w:asciiTheme="minorEastAsia" w:hAnsiTheme="minorEastAsia" w:eastAsiaTheme="minorEastAsia" w:cstheme="minorEastAsia"/>
          <w:sz w:val="24"/>
          <w:szCs w:val="24"/>
        </w:rPr>
      </w:pPr>
    </w:p>
    <w:p>
      <w:pPr>
        <w:ind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鉴于</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（以下简称“委托人”）与你方于</w:t>
      </w:r>
      <w:r>
        <w:rPr>
          <w:rFonts w:hint="eastAsia" w:asciiTheme="minorEastAsia" w:hAnsiTheme="minorEastAsia" w:eastAsiaTheme="minorEastAsia" w:cstheme="minorEastAsia"/>
          <w:sz w:val="24"/>
          <w:szCs w:val="24"/>
          <w:u w:val="single"/>
        </w:rPr>
        <w:t xml:space="preserve">   年  月  日</w:t>
      </w:r>
      <w:r>
        <w:rPr>
          <w:rFonts w:hint="eastAsia" w:asciiTheme="minorEastAsia" w:hAnsiTheme="minorEastAsia" w:eastAsiaTheme="minorEastAsia" w:cstheme="minorEastAsia"/>
          <w:sz w:val="24"/>
          <w:szCs w:val="24"/>
        </w:rPr>
        <w:t>签订了</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（以下简称“合同”），你方将按上述基础交易合同约定向委托人支付预付款人民币</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元（大写：</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）。我行接受委托人的申请，特此开立以你方为受益人的最高金额为人民币</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（大写：</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）（以下称“保函金额”）的保函。</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一、本保函为不可撤销、见索即付的独立保函。</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二、在本保函的有效期内，如委托人违反上述基础交易合同约定的义务而未向你方退还预付款，我行将在收到你方提交的符合下述要求的索赔通知书后</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日内，以上述保函金额为限向你方支付相应款项。</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（一）索赔通知书须写明请求付款的金额，并声明该款项并未由委托人或其代理人直接或间接地支付给你方；</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（二）索赔通知书应由你方法定代表人签字并加盖公章；</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（三）索赔通知书必须于本保函有效期截止日前送达我行。</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三、合同的任何修改、变更、解释或不可执行都不能削弱或免除我行按本保函应承担的义务。</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本保函金额将随我行已向你方支付的金额而自动作相应递减。</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四、本保函未经我行书面同意不得转让。</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五、本保函自签发之日起生效，有效期至</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止。在上述期限内若累计赔偿额达到前述保函金额，本保函提前失效。本保函到期后，无论保函原件是否退回我行，皆告失效。</w:t>
      </w:r>
    </w:p>
    <w:p>
      <w:pPr>
        <w:pStyle w:val="2"/>
        <w:rPr>
          <w:rFonts w:hint="eastAsia" w:asciiTheme="minorEastAsia" w:hAnsiTheme="minorEastAsia" w:eastAsiaTheme="minorEastAsia" w:cstheme="minorEastAsia"/>
          <w:sz w:val="24"/>
        </w:rPr>
      </w:pPr>
    </w:p>
    <w:p>
      <w:pPr>
        <w:pStyle w:val="2"/>
        <w:rPr>
          <w:rFonts w:cs="仿宋_GB2312" w:asciiTheme="minorEastAsia" w:hAnsiTheme="minorEastAsia" w:eastAsiaTheme="minorEastAsia"/>
          <w:sz w:val="24"/>
        </w:rPr>
      </w:pPr>
    </w:p>
    <w:p>
      <w:pPr>
        <w:pStyle w:val="2"/>
        <w:rPr>
          <w:rFonts w:cs="仿宋_GB2312" w:asciiTheme="minorEastAsia" w:hAnsiTheme="minorEastAsia" w:eastAsiaTheme="minorEastAsia"/>
          <w:sz w:val="24"/>
        </w:rPr>
      </w:pPr>
    </w:p>
    <w:p>
      <w:pPr>
        <w:pStyle w:val="7"/>
        <w:rPr>
          <w:rFonts w:hint="eastAsia"/>
        </w:rPr>
      </w:pPr>
    </w:p>
    <w:p>
      <w:pPr>
        <w:rPr>
          <w:rFonts w:ascii="仿宋_GB2312" w:eastAsia="仿宋_GB2312"/>
          <w:b/>
          <w:color w:val="auto"/>
          <w:sz w:val="28"/>
          <w:szCs w:val="28"/>
          <w:highlight w:val="none"/>
        </w:rPr>
      </w:pPr>
      <w:r>
        <w:rPr>
          <w:rFonts w:hint="eastAsia" w:ascii="宋体" w:hAnsi="宋体" w:cs="宋体"/>
          <w:b/>
          <w:bCs/>
          <w:color w:val="auto"/>
          <w:szCs w:val="21"/>
          <w:highlight w:val="none"/>
          <w:lang w:val="en-US" w:eastAsia="zh-CN"/>
        </w:rPr>
        <w:t>附件9：</w:t>
      </w:r>
      <w:r>
        <w:rPr>
          <w:rFonts w:hint="eastAsia" w:ascii="宋体" w:hAnsi="宋体" w:cs="宋体"/>
          <w:b/>
          <w:bCs/>
          <w:color w:val="auto"/>
          <w:szCs w:val="21"/>
          <w:highlight w:val="none"/>
        </w:rPr>
        <w:t>防疫管理协议书</w:t>
      </w:r>
    </w:p>
    <w:p>
      <w:pPr>
        <w:spacing w:line="440" w:lineRule="exact"/>
        <w:jc w:val="center"/>
        <w:rPr>
          <w:rFonts w:ascii="仿宋_GB2312" w:eastAsia="仿宋_GB2312"/>
          <w:b/>
          <w:bCs/>
          <w:color w:val="auto"/>
          <w:sz w:val="28"/>
          <w:szCs w:val="28"/>
          <w:highlight w:val="none"/>
        </w:rPr>
      </w:pPr>
      <w:r>
        <w:rPr>
          <w:rFonts w:hint="eastAsia" w:ascii="仿宋_GB2312" w:eastAsia="仿宋_GB2312"/>
          <w:b/>
          <w:bCs/>
          <w:color w:val="auto"/>
          <w:sz w:val="28"/>
          <w:szCs w:val="28"/>
          <w:highlight w:val="none"/>
        </w:rPr>
        <w:t>防疫管理协议书</w:t>
      </w:r>
    </w:p>
    <w:p>
      <w:pPr>
        <w:spacing w:line="440" w:lineRule="exact"/>
        <w:rPr>
          <w:rFonts w:ascii="仿宋_GB2312" w:hAnsi="宋体" w:eastAsia="仿宋_GB2312"/>
          <w:color w:val="auto"/>
          <w:sz w:val="24"/>
          <w:highlight w:val="none"/>
        </w:rPr>
      </w:pPr>
    </w:p>
    <w:p>
      <w:pPr>
        <w:adjustRightInd w:val="0"/>
        <w:snapToGrid w:val="0"/>
        <w:spacing w:line="440" w:lineRule="exact"/>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甲方：</w:t>
      </w:r>
      <w:r>
        <w:rPr>
          <w:rFonts w:hint="eastAsia" w:ascii="仿宋" w:hAnsi="仿宋" w:eastAsia="仿宋" w:cs="仿宋"/>
          <w:color w:val="auto"/>
          <w:sz w:val="24"/>
          <w:highlight w:val="none"/>
          <w:u w:val="single"/>
        </w:rPr>
        <w:t>广州市净水有限公司</w:t>
      </w:r>
    </w:p>
    <w:p>
      <w:pPr>
        <w:adjustRightInd w:val="0"/>
        <w:snapToGrid w:val="0"/>
        <w:spacing w:line="440" w:lineRule="exact"/>
        <w:ind w:firstLine="480" w:firstLineChars="200"/>
        <w:jc w:val="left"/>
        <w:rPr>
          <w:rFonts w:ascii="仿宋" w:hAnsi="仿宋" w:eastAsia="仿宋" w:cs="仿宋"/>
          <w:color w:val="auto"/>
          <w:sz w:val="24"/>
          <w:highlight w:val="none"/>
          <w:u w:val="single"/>
        </w:rPr>
      </w:pPr>
      <w:r>
        <w:rPr>
          <w:rFonts w:hint="eastAsia" w:ascii="仿宋" w:hAnsi="仿宋" w:eastAsia="仿宋" w:cs="仿宋"/>
          <w:color w:val="auto"/>
          <w:sz w:val="24"/>
          <w:highlight w:val="none"/>
        </w:rPr>
        <w:t xml:space="preserve">乙方: </w:t>
      </w:r>
      <w:r>
        <w:rPr>
          <w:rFonts w:hint="eastAsia" w:ascii="仿宋" w:hAnsi="仿宋" w:eastAsia="仿宋" w:cs="仿宋"/>
          <w:color w:val="auto"/>
          <w:sz w:val="24"/>
          <w:highlight w:val="none"/>
          <w:u w:val="single"/>
        </w:rPr>
        <w:t xml:space="preserve"> </w:t>
      </w:r>
    </w:p>
    <w:p>
      <w:pPr>
        <w:spacing w:line="440" w:lineRule="exact"/>
        <w:ind w:firstLine="540" w:firstLineChars="225"/>
        <w:rPr>
          <w:rFonts w:ascii="仿宋" w:hAnsi="仿宋" w:eastAsia="仿宋" w:cs="仿宋"/>
          <w:color w:val="auto"/>
          <w:sz w:val="24"/>
          <w:highlight w:val="none"/>
        </w:rPr>
      </w:pPr>
      <w:r>
        <w:rPr>
          <w:rFonts w:hint="eastAsia" w:ascii="仿宋" w:hAnsi="仿宋" w:eastAsia="仿宋" w:cs="仿宋"/>
          <w:color w:val="auto"/>
          <w:sz w:val="24"/>
          <w:highlight w:val="none"/>
        </w:rPr>
        <w:t>为贯彻落实国家、省、市疫情防控工作部署，依据有关法律法规从严管控要求，进一步加强建设、维修工地新冠肺炎疫情防控工作，指导项目维修施工人员及时有效做好防控措施。经双方协商，签订本协议书，以明确各自的疫情防控责任并共同遵守。</w:t>
      </w:r>
    </w:p>
    <w:p>
      <w:pPr>
        <w:adjustRightInd w:val="0"/>
        <w:snapToGrid w:val="0"/>
        <w:spacing w:line="44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一、本协议与主协议的关系</w:t>
      </w:r>
    </w:p>
    <w:p>
      <w:pPr>
        <w:adjustRightInd w:val="0"/>
        <w:snapToGrid w:val="0"/>
        <w:spacing w:line="440" w:lineRule="exact"/>
        <w:ind w:left="105"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本协议作为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的组成部分，与主合同具有同等法律</w:t>
      </w:r>
    </w:p>
    <w:p>
      <w:pPr>
        <w:adjustRightInd w:val="0"/>
        <w:snapToGrid w:val="0"/>
        <w:spacing w:line="440" w:lineRule="exact"/>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二、甲方的义务</w:t>
      </w:r>
    </w:p>
    <w:p>
      <w:pPr>
        <w:adjustRightInd w:val="0"/>
        <w:snapToGrid w:val="0"/>
        <w:spacing w:line="440" w:lineRule="exact"/>
        <w:ind w:firstLine="48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（一）</w:t>
      </w:r>
      <w:r>
        <w:rPr>
          <w:rFonts w:hint="eastAsia" w:ascii="仿宋" w:hAnsi="仿宋" w:eastAsia="仿宋" w:cs="仿宋"/>
          <w:color w:val="auto"/>
          <w:sz w:val="24"/>
          <w:highlight w:val="none"/>
        </w:rPr>
        <w:t>与建设主管部门和属地疫情防控指挥部门形成联防联控机制，建立快速有效的处置工作流程。</w:t>
      </w:r>
    </w:p>
    <w:p>
      <w:pPr>
        <w:pStyle w:val="7"/>
        <w:widowControl w:val="0"/>
        <w:adjustRightInd/>
        <w:snapToGrid/>
        <w:spacing w:line="440" w:lineRule="exact"/>
        <w:ind w:firstLine="480"/>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（二）对乙方防控工作的落实情况进行监督。</w:t>
      </w:r>
    </w:p>
    <w:p>
      <w:pPr>
        <w:adjustRightInd w:val="0"/>
        <w:snapToGrid w:val="0"/>
        <w:spacing w:line="440" w:lineRule="exact"/>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三、乙方的义务</w:t>
      </w:r>
    </w:p>
    <w:p>
      <w:pPr>
        <w:pStyle w:val="7"/>
        <w:widowControl w:val="0"/>
        <w:spacing w:line="440" w:lineRule="exact"/>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（一）开展疫情防控宣传教育，提高</w:t>
      </w:r>
      <w:r>
        <w:rPr>
          <w:rFonts w:hint="eastAsia" w:ascii="仿宋" w:hAnsi="仿宋" w:eastAsia="仿宋" w:cs="仿宋"/>
          <w:color w:val="auto"/>
          <w:sz w:val="24"/>
          <w:highlight w:val="none"/>
        </w:rPr>
        <w:t>乙方</w:t>
      </w:r>
      <w:r>
        <w:rPr>
          <w:rFonts w:hint="eastAsia" w:ascii="仿宋" w:hAnsi="仿宋" w:eastAsia="仿宋" w:cs="仿宋"/>
          <w:color w:val="auto"/>
          <w:kern w:val="2"/>
          <w:sz w:val="24"/>
          <w:szCs w:val="24"/>
          <w:highlight w:val="none"/>
        </w:rPr>
        <w:t>人员自我防护意识，最大限度减少人员暴露和感染的风险。</w:t>
      </w:r>
    </w:p>
    <w:p>
      <w:pPr>
        <w:pStyle w:val="7"/>
        <w:widowControl w:val="0"/>
        <w:spacing w:line="440" w:lineRule="exact"/>
        <w:ind w:firstLine="480" w:firstLineChars="200"/>
        <w:rPr>
          <w:rFonts w:ascii="仿宋" w:hAnsi="仿宋" w:eastAsia="仿宋" w:cs="仿宋"/>
          <w:color w:val="auto"/>
          <w:sz w:val="24"/>
          <w:highlight w:val="none"/>
        </w:rPr>
      </w:pPr>
      <w:r>
        <w:rPr>
          <w:rFonts w:hint="eastAsia" w:ascii="仿宋" w:hAnsi="仿宋" w:eastAsia="仿宋" w:cs="仿宋"/>
          <w:color w:val="auto"/>
          <w:kern w:val="2"/>
          <w:sz w:val="24"/>
          <w:szCs w:val="24"/>
          <w:highlight w:val="none"/>
        </w:rPr>
        <w:t>（二）</w:t>
      </w:r>
      <w:r>
        <w:rPr>
          <w:rFonts w:hint="eastAsia" w:ascii="仿宋" w:hAnsi="仿宋" w:eastAsia="仿宋" w:cs="仿宋"/>
          <w:color w:val="auto"/>
          <w:sz w:val="24"/>
          <w:highlight w:val="none"/>
        </w:rPr>
        <w:t>做好乙方人员防控工作管理，及时提交防疫资料，落实疫情防控备案，必要时需</w:t>
      </w:r>
      <w:r>
        <w:rPr>
          <w:rFonts w:hint="eastAsia" w:ascii="仿宋" w:hAnsi="仿宋" w:eastAsia="仿宋" w:cs="仿宋"/>
          <w:color w:val="auto"/>
          <w:kern w:val="2"/>
          <w:sz w:val="24"/>
          <w:szCs w:val="24"/>
          <w:highlight w:val="none"/>
        </w:rPr>
        <w:t>编制防控管理工作方案</w:t>
      </w:r>
      <w:r>
        <w:rPr>
          <w:rFonts w:hint="eastAsia" w:ascii="仿宋" w:hAnsi="仿宋" w:eastAsia="仿宋" w:cs="仿宋"/>
          <w:color w:val="auto"/>
          <w:sz w:val="32"/>
          <w:szCs w:val="32"/>
          <w:highlight w:val="none"/>
        </w:rPr>
        <w:t>。</w:t>
      </w:r>
    </w:p>
    <w:p>
      <w:pPr>
        <w:adjustRightInd w:val="0"/>
        <w:snapToGrid w:val="0"/>
        <w:spacing w:line="44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 xml:space="preserve">    （三）乙方人员须按照</w:t>
      </w:r>
      <w:r>
        <w:rPr>
          <w:rFonts w:hint="eastAsia" w:ascii="仿宋" w:hAnsi="仿宋" w:eastAsia="仿宋" w:cs="仿宋"/>
          <w:color w:val="auto"/>
          <w:sz w:val="24"/>
          <w:szCs w:val="24"/>
          <w:highlight w:val="none"/>
        </w:rPr>
        <w:t>甲方各厂区进厂门岗防控要求</w:t>
      </w:r>
      <w:r>
        <w:rPr>
          <w:rFonts w:hint="eastAsia" w:ascii="仿宋" w:hAnsi="仿宋" w:eastAsia="仿宋" w:cs="仿宋"/>
          <w:color w:val="auto"/>
          <w:sz w:val="24"/>
          <w:highlight w:val="none"/>
        </w:rPr>
        <w:t>进行疫苗接种及核酸检测，未满足相关要求的人员甲方有权限制进入厂区。</w:t>
      </w:r>
    </w:p>
    <w:p>
      <w:pPr>
        <w:pStyle w:val="7"/>
        <w:widowControl w:val="0"/>
        <w:adjustRightInd/>
        <w:snapToGrid/>
        <w:spacing w:line="440" w:lineRule="exact"/>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（四）建立畅通的信息传输渠道和严格的信息上报机制，出现问题及时采取应急响应措施，迅速妥善处置项目施工场所普通发热病例、可疑病例和突发新冠肺炎疫情，并第一时间报送甲方。</w:t>
      </w:r>
    </w:p>
    <w:p>
      <w:pPr>
        <w:adjustRightInd w:val="0"/>
        <w:snapToGrid w:val="0"/>
        <w:spacing w:line="440" w:lineRule="exact"/>
        <w:ind w:firstLine="480" w:firstLineChars="200"/>
        <w:jc w:val="left"/>
        <w:rPr>
          <w:rFonts w:ascii="仿宋" w:hAnsi="仿宋" w:eastAsia="仿宋" w:cs="仿宋"/>
          <w:color w:val="auto"/>
          <w:highlight w:val="none"/>
        </w:rPr>
      </w:pPr>
      <w:r>
        <w:rPr>
          <w:rFonts w:hint="eastAsia" w:ascii="仿宋" w:hAnsi="仿宋" w:eastAsia="仿宋" w:cs="仿宋"/>
          <w:color w:val="auto"/>
          <w:sz w:val="24"/>
          <w:szCs w:val="24"/>
          <w:highlight w:val="none"/>
        </w:rPr>
        <w:t>（五）各级政府、有关部门及甲方的其他</w:t>
      </w:r>
      <w:r>
        <w:rPr>
          <w:rFonts w:hint="eastAsia" w:ascii="仿宋" w:hAnsi="仿宋" w:eastAsia="仿宋" w:cs="仿宋"/>
          <w:color w:val="auto"/>
          <w:sz w:val="24"/>
          <w:highlight w:val="none"/>
        </w:rPr>
        <w:t>防控要求</w:t>
      </w:r>
      <w:r>
        <w:rPr>
          <w:rFonts w:hint="eastAsia" w:ascii="仿宋" w:hAnsi="仿宋" w:eastAsia="仿宋" w:cs="仿宋"/>
          <w:color w:val="auto"/>
          <w:sz w:val="24"/>
          <w:szCs w:val="24"/>
          <w:highlight w:val="none"/>
        </w:rPr>
        <w:t>。</w:t>
      </w:r>
    </w:p>
    <w:p>
      <w:pPr>
        <w:adjustRightInd w:val="0"/>
        <w:snapToGrid w:val="0"/>
        <w:spacing w:line="440" w:lineRule="exact"/>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四、违约责任</w:t>
      </w:r>
    </w:p>
    <w:p>
      <w:pPr>
        <w:adjustRightInd w:val="0"/>
        <w:snapToGrid w:val="0"/>
        <w:spacing w:line="440" w:lineRule="exact"/>
        <w:ind w:left="105"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乙方需按照甲方服务要求执行，未达到疫情防控要求的，需按下列条款执行：</w:t>
      </w:r>
    </w:p>
    <w:p>
      <w:pPr>
        <w:adjustRightInd w:val="0"/>
        <w:snapToGrid w:val="0"/>
        <w:spacing w:line="440" w:lineRule="exact"/>
        <w:ind w:left="105"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（一）乙方人员及其密接亲属有重点区域、重点场所旅居史未报备的，每发现一人，从乙方当月服务费中扣500元；</w:t>
      </w:r>
    </w:p>
    <w:p>
      <w:pPr>
        <w:adjustRightInd w:val="0"/>
        <w:snapToGrid w:val="0"/>
        <w:spacing w:line="440" w:lineRule="exact"/>
        <w:ind w:left="105"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（二）乙方人员未按照甲方要求进行核酸检测的或有瞒报、虚报的，每发现一人，从乙方当月服务费中扣50元；</w:t>
      </w:r>
    </w:p>
    <w:p>
      <w:pPr>
        <w:adjustRightInd w:val="0"/>
        <w:snapToGrid w:val="0"/>
        <w:spacing w:line="440" w:lineRule="exact"/>
        <w:ind w:left="105"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（三）乙方项目维修施工人员拒不配合甲方疫情防控要求或不满足甲方防疫工作要求的，甲方有权要求乙方3天内更换服务人员。</w:t>
      </w:r>
    </w:p>
    <w:p>
      <w:pPr>
        <w:pStyle w:val="37"/>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五、补充条款：</w:t>
      </w:r>
      <w:r>
        <w:rPr>
          <w:rFonts w:hint="eastAsia" w:ascii="仿宋" w:hAnsi="仿宋" w:eastAsia="仿宋" w:cs="仿宋"/>
          <w:color w:val="auto"/>
          <w:sz w:val="24"/>
          <w:highlight w:val="none"/>
          <w:u w:val="single"/>
        </w:rPr>
        <w:t xml:space="preserve">         /       </w:t>
      </w:r>
      <w:r>
        <w:rPr>
          <w:rFonts w:hint="eastAsia" w:ascii="仿宋" w:hAnsi="仿宋" w:eastAsia="仿宋" w:cs="仿宋"/>
          <w:color w:val="auto"/>
          <w:sz w:val="24"/>
          <w:highlight w:val="none"/>
        </w:rPr>
        <w:t>。</w:t>
      </w:r>
    </w:p>
    <w:p>
      <w:pPr>
        <w:adjustRightInd w:val="0"/>
        <w:snapToGrid w:val="0"/>
        <w:spacing w:line="44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六、附则</w:t>
      </w:r>
    </w:p>
    <w:p>
      <w:pPr>
        <w:adjustRightInd w:val="0"/>
        <w:snapToGrid w:val="0"/>
        <w:spacing w:line="440" w:lineRule="exact"/>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本协议与合同同时签订、同时终止、同时生效，具有相同的法律效力。合同由甲乙双方签字、盖章生效，甲乙双方各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份。</w:t>
      </w:r>
    </w:p>
    <w:p>
      <w:pPr>
        <w:adjustRightInd w:val="0"/>
        <w:snapToGrid w:val="0"/>
        <w:spacing w:line="440" w:lineRule="exact"/>
        <w:rPr>
          <w:rFonts w:ascii="仿宋" w:hAnsi="仿宋" w:eastAsia="仿宋" w:cs="仿宋"/>
          <w:color w:val="auto"/>
          <w:sz w:val="24"/>
          <w:highlight w:val="none"/>
        </w:rPr>
      </w:pPr>
    </w:p>
    <w:p>
      <w:pPr>
        <w:adjustRightInd w:val="0"/>
        <w:snapToGrid w:val="0"/>
        <w:spacing w:line="440" w:lineRule="exact"/>
        <w:ind w:left="1330" w:leftChars="5" w:hanging="1320" w:hangingChars="550"/>
        <w:rPr>
          <w:rFonts w:ascii="仿宋" w:hAnsi="仿宋" w:eastAsia="仿宋" w:cs="仿宋"/>
          <w:color w:val="auto"/>
          <w:sz w:val="24"/>
          <w:highlight w:val="none"/>
        </w:rPr>
      </w:pPr>
      <w:r>
        <w:rPr>
          <w:rFonts w:hint="eastAsia" w:ascii="仿宋" w:hAnsi="仿宋" w:eastAsia="仿宋" w:cs="仿宋"/>
          <w:color w:val="auto"/>
          <w:sz w:val="24"/>
          <w:highlight w:val="none"/>
        </w:rPr>
        <w:t xml:space="preserve">   甲方代表 （章）：                             乙方代表（章）：                                                           　　              　　　　　　　</w:t>
      </w:r>
    </w:p>
    <w:p>
      <w:pPr>
        <w:adjustRightInd w:val="0"/>
        <w:snapToGrid w:val="0"/>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 xml:space="preserve">            年 　月　  日　　　　　                           年   月  　日</w:t>
      </w: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4"/>
        <w:rPr>
          <w:rFonts w:hint="eastAsia"/>
          <w:color w:val="auto"/>
          <w:highlight w:val="none"/>
        </w:rPr>
      </w:pPr>
      <w:bookmarkStart w:id="116" w:name="_Toc23515"/>
      <w:bookmarkStart w:id="117" w:name="_Toc16552"/>
      <w:bookmarkStart w:id="118" w:name="_Toc12169"/>
      <w:bookmarkStart w:id="119" w:name="_Toc28358"/>
      <w:bookmarkStart w:id="120" w:name="_Toc3723"/>
      <w:bookmarkStart w:id="121" w:name="_Toc30824"/>
      <w:bookmarkStart w:id="122" w:name="_Toc8147"/>
      <w:bookmarkStart w:id="123" w:name="_Toc1563"/>
      <w:bookmarkStart w:id="124" w:name="_Toc5129"/>
      <w:bookmarkStart w:id="125" w:name="_Toc21847"/>
      <w:bookmarkStart w:id="126" w:name="_Toc6230"/>
    </w:p>
    <w:p>
      <w:pPr>
        <w:pStyle w:val="4"/>
        <w:rPr>
          <w:color w:val="auto"/>
          <w:highlight w:val="none"/>
        </w:rPr>
      </w:pPr>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2322830</wp:posOffset>
                </wp:positionH>
                <wp:positionV relativeFrom="paragraph">
                  <wp:posOffset>490220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2.9pt;margin-top:38.6pt;height:0pt;width:75.5pt;z-index:251667456;mso-width-relative:page;mso-height-relative:page;" filled="f" stroked="t" coordsize="21600,21600" o:gfxdata="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Se283WAAAACQEAAA8AAAAAAAAAAQAgAAAAIgAAAGRycy9kb3ducmV2LnhtbFBLAQIUABQA&#10;AAAIAIdO4kBKAv7M8gEAAOMDAAAOAAAAAAAAAAEAIAAAACUBAABkcnMvZTJvRG9jLnhtbFBLBQYA&#10;AAAABgAGAFkBAACJ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90805</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7.15pt;height:0pt;width:75.5pt;z-index:251666432;mso-width-relative:page;mso-height-relative:page;" filled="f" stroked="t" coordsize="21600,21600" o:gfxdata="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vmvo6NYAAAAJAQAADwAAAAAAAAABACAAAAAiAAAAZHJzL2Rvd25yZXYueG1sUEsBAhQAFAAA&#10;AAgAh07iQELBwJnxAQAA4wMAAA4AAAAAAAAAAQAgAAAAJQEAAGRycy9lMm9Eb2MueG1sUEsFBgAA&#10;AAAGAAYAWQEAAIgFAAAAAA==&#10;">
                <v:fill on="f" focussize="0,0"/>
                <v:stroke color="#000000" joinstyle="round"/>
                <v:imagedata o:title=""/>
                <o:lock v:ext="edit" aspectratio="f"/>
              </v:shape>
            </w:pict>
          </mc:Fallback>
        </mc:AlternateContent>
      </w:r>
      <w:r>
        <w:rPr>
          <w:rFonts w:hint="eastAsia"/>
          <w:color w:val="auto"/>
          <w:highlight w:val="none"/>
        </w:rPr>
        <w:t>第七章</w:t>
      </w:r>
      <w:bookmarkEnd w:id="116"/>
      <w:bookmarkEnd w:id="117"/>
      <w:bookmarkEnd w:id="118"/>
      <w:bookmarkEnd w:id="119"/>
      <w:bookmarkEnd w:id="120"/>
      <w:bookmarkEnd w:id="121"/>
      <w:bookmarkEnd w:id="122"/>
      <w:bookmarkEnd w:id="123"/>
      <w:bookmarkEnd w:id="124"/>
      <w:bookmarkEnd w:id="125"/>
      <w:bookmarkEnd w:id="126"/>
    </w:p>
    <w:p>
      <w:pPr>
        <w:pStyle w:val="37"/>
        <w:rPr>
          <w:color w:val="auto"/>
          <w:highlight w:val="none"/>
        </w:rPr>
      </w:pPr>
    </w:p>
    <w:p>
      <w:pPr>
        <w:pStyle w:val="4"/>
        <w:rPr>
          <w:color w:val="auto"/>
          <w:highlight w:val="none"/>
        </w:rPr>
      </w:pPr>
      <w:bookmarkStart w:id="127" w:name="_Toc24815"/>
      <w:bookmarkStart w:id="128" w:name="_Toc88209951"/>
      <w:bookmarkStart w:id="129" w:name="_Toc21675"/>
      <w:bookmarkStart w:id="130" w:name="_Toc17119"/>
      <w:bookmarkStart w:id="131" w:name="_Toc30157"/>
      <w:bookmarkStart w:id="132" w:name="_Toc10840"/>
      <w:bookmarkStart w:id="133" w:name="_Toc24490"/>
      <w:bookmarkStart w:id="134" w:name="_Toc31564"/>
      <w:bookmarkStart w:id="135" w:name="_Toc12769"/>
      <w:bookmarkStart w:id="136" w:name="_Toc87616388"/>
      <w:bookmarkStart w:id="137" w:name="_Toc5342"/>
      <w:bookmarkStart w:id="138" w:name="_Toc12610"/>
      <w:bookmarkStart w:id="139" w:name="_Toc22764"/>
      <w:r>
        <w:rPr>
          <w:rFonts w:hint="eastAsia"/>
          <w:color w:val="auto"/>
          <w:highlight w:val="none"/>
        </w:rPr>
        <w:t>响应文件格式要求</w:t>
      </w:r>
      <w:bookmarkEnd w:id="127"/>
      <w:bookmarkEnd w:id="128"/>
      <w:bookmarkEnd w:id="129"/>
      <w:bookmarkEnd w:id="130"/>
      <w:bookmarkEnd w:id="131"/>
      <w:bookmarkEnd w:id="132"/>
      <w:bookmarkEnd w:id="133"/>
      <w:bookmarkEnd w:id="134"/>
      <w:bookmarkEnd w:id="135"/>
      <w:bookmarkEnd w:id="136"/>
      <w:bookmarkEnd w:id="137"/>
      <w:bookmarkEnd w:id="138"/>
      <w:bookmarkEnd w:id="139"/>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u w:val="single"/>
        </w:rPr>
      </w:pPr>
      <w:r>
        <w:rPr>
          <w:rFonts w:hint="eastAsia" w:ascii="方正小标宋简体" w:eastAsia="方正小标宋简体"/>
          <w:sz w:val="44"/>
          <w:szCs w:val="44"/>
          <w:u w:val="single"/>
        </w:rPr>
        <w:t>（项目名称、标段/标包号）</w:t>
      </w:r>
    </w:p>
    <w:p>
      <w:pPr>
        <w:adjustRightInd w:val="0"/>
        <w:snapToGrid w:val="0"/>
        <w:spacing w:before="156" w:beforeLines="50" w:after="156" w:afterLines="50" w:line="600" w:lineRule="exact"/>
        <w:jc w:val="center"/>
        <w:rPr>
          <w:rFonts w:ascii="仿宋_GB2312" w:eastAsia="仿宋_GB2312"/>
          <w:color w:val="auto"/>
          <w:sz w:val="30"/>
          <w:szCs w:val="30"/>
          <w:highlight w:val="none"/>
        </w:rPr>
      </w:pPr>
    </w:p>
    <w:p>
      <w:pPr>
        <w:adjustRightInd w:val="0"/>
        <w:snapToGrid w:val="0"/>
        <w:spacing w:before="156" w:beforeLines="50" w:after="156"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w:t>
      </w:r>
      <w:r>
        <w:rPr>
          <w:rFonts w:hint="eastAsia" w:ascii="仿宋_GB2312" w:eastAsia="仿宋_GB2312"/>
          <w:color w:val="auto"/>
          <w:sz w:val="30"/>
          <w:szCs w:val="30"/>
          <w:highlight w:val="none"/>
          <w:lang w:val="en-US" w:eastAsia="zh-CN"/>
        </w:rPr>
        <w:t xml:space="preserve">         </w:t>
      </w:r>
      <w:r>
        <w:rPr>
          <w:rFonts w:hint="eastAsia" w:ascii="仿宋_GB2312" w:eastAsia="仿宋_GB2312"/>
          <w:color w:val="auto"/>
          <w:sz w:val="30"/>
          <w:szCs w:val="30"/>
          <w:highlight w:val="none"/>
        </w:rPr>
        <w:t>）</w:t>
      </w:r>
    </w:p>
    <w:p>
      <w:pPr>
        <w:jc w:val="both"/>
        <w:rPr>
          <w:rFonts w:ascii="方正小标宋简体" w:eastAsia="方正小标宋简体"/>
          <w:color w:val="auto"/>
          <w:sz w:val="48"/>
          <w:szCs w:val="48"/>
          <w:highlight w:val="none"/>
        </w:rPr>
      </w:pPr>
    </w:p>
    <w:p>
      <w:pPr>
        <w:pStyle w:val="2"/>
        <w:rPr>
          <w:rFonts w:ascii="方正小标宋简体" w:eastAsia="方正小标宋简体"/>
          <w:color w:val="auto"/>
          <w:sz w:val="48"/>
          <w:szCs w:val="48"/>
          <w:highlight w:val="none"/>
        </w:rPr>
      </w:pPr>
    </w:p>
    <w:p>
      <w:pPr>
        <w:pStyle w:val="2"/>
        <w:rPr>
          <w:rFonts w:ascii="方正小标宋简体" w:eastAsia="方正小标宋简体"/>
          <w:color w:val="auto"/>
          <w:sz w:val="48"/>
          <w:szCs w:val="48"/>
          <w:highlight w:val="none"/>
        </w:rPr>
      </w:pPr>
    </w:p>
    <w:p>
      <w:pPr>
        <w:pStyle w:val="2"/>
        <w:rPr>
          <w:rFonts w:ascii="方正小标宋简体" w:eastAsia="方正小标宋简体"/>
          <w:color w:val="auto"/>
          <w:sz w:val="48"/>
          <w:szCs w:val="48"/>
          <w:highlight w:val="none"/>
        </w:rPr>
      </w:pPr>
    </w:p>
    <w:p>
      <w:pPr>
        <w:pStyle w:val="2"/>
        <w:rPr>
          <w:rFonts w:ascii="方正小标宋简体" w:eastAsia="方正小标宋简体"/>
          <w:color w:val="auto"/>
          <w:sz w:val="48"/>
          <w:szCs w:val="48"/>
          <w:highlight w:val="none"/>
        </w:rPr>
      </w:pPr>
    </w:p>
    <w:p>
      <w:pPr>
        <w:pStyle w:val="2"/>
        <w:rPr>
          <w:rFonts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rPr>
          <w:rFonts w:ascii="方正小标宋简体" w:eastAsia="方正小标宋简体"/>
          <w:color w:val="auto"/>
          <w:sz w:val="30"/>
          <w:szCs w:val="30"/>
          <w:highlight w:val="none"/>
        </w:rPr>
      </w:pPr>
    </w:p>
    <w:p>
      <w:pPr>
        <w:pStyle w:val="2"/>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40" w:name="_Toc87616389"/>
      <w:bookmarkStart w:id="141" w:name="_Toc88209952"/>
      <w:r>
        <w:rPr>
          <w:rFonts w:hint="eastAsia" w:ascii="仿宋_GB2312" w:eastAsia="仿宋_GB2312"/>
          <w:color w:val="auto"/>
          <w:sz w:val="28"/>
          <w:szCs w:val="28"/>
          <w:highlight w:val="none"/>
        </w:rPr>
        <w:t>1.响应函</w:t>
      </w:r>
      <w:bookmarkEnd w:id="140"/>
      <w:bookmarkEnd w:id="141"/>
    </w:p>
    <w:p>
      <w:pPr>
        <w:spacing w:line="600" w:lineRule="exact"/>
        <w:rPr>
          <w:rFonts w:ascii="仿宋_GB2312" w:eastAsia="仿宋_GB2312"/>
          <w:color w:val="auto"/>
          <w:sz w:val="28"/>
          <w:szCs w:val="28"/>
          <w:highlight w:val="none"/>
        </w:rPr>
      </w:pPr>
      <w:bookmarkStart w:id="142" w:name="_Toc87616390"/>
      <w:bookmarkStart w:id="143" w:name="_Toc88209953"/>
      <w:r>
        <w:rPr>
          <w:rFonts w:hint="eastAsia" w:ascii="仿宋_GB2312" w:eastAsia="仿宋_GB2312"/>
          <w:color w:val="auto"/>
          <w:sz w:val="28"/>
          <w:szCs w:val="28"/>
          <w:highlight w:val="none"/>
        </w:rPr>
        <w:t>2.法定代表人证明或授权委托书</w:t>
      </w:r>
      <w:bookmarkEnd w:id="142"/>
      <w:bookmarkEnd w:id="143"/>
      <w:bookmarkStart w:id="144" w:name="_Toc88209956"/>
      <w:bookmarkStart w:id="145" w:name="_Toc87616393"/>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rPr>
        <w:t>3.资格审查资料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rPr>
        <w:t>4.拟投入本项目的项目负责人情况表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5.报价表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rPr>
        <w:t>6.其他资料</w:t>
      </w:r>
      <w:bookmarkEnd w:id="144"/>
      <w:bookmarkEnd w:id="145"/>
      <w:r>
        <w:rPr>
          <w:rFonts w:hint="eastAsia" w:ascii="仿宋_GB2312" w:eastAsia="仿宋_GB2312"/>
          <w:color w:val="auto"/>
          <w:sz w:val="28"/>
          <w:szCs w:val="28"/>
          <w:highlight w:val="none"/>
        </w:rPr>
        <w:cr/>
      </w: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28"/>
        <w:rPr>
          <w:rFonts w:ascii="方正小标宋简体" w:eastAsia="方正小标宋简体"/>
          <w:color w:val="auto"/>
          <w:sz w:val="44"/>
          <w:szCs w:val="44"/>
          <w:highlight w:val="none"/>
        </w:rPr>
      </w:pPr>
    </w:p>
    <w:p>
      <w:pPr>
        <w:pStyle w:val="28"/>
        <w:rPr>
          <w:rFonts w:ascii="方正小标宋简体" w:eastAsia="方正小标宋简体"/>
          <w:color w:val="auto"/>
          <w:sz w:val="44"/>
          <w:szCs w:val="44"/>
          <w:highlight w:val="none"/>
        </w:rPr>
      </w:pPr>
    </w:p>
    <w:p>
      <w:pPr>
        <w:pStyle w:val="28"/>
        <w:rPr>
          <w:rFonts w:ascii="方正小标宋简体" w:eastAsia="方正小标宋简体"/>
          <w:color w:val="auto"/>
          <w:sz w:val="44"/>
          <w:szCs w:val="44"/>
          <w:highlight w:val="none"/>
        </w:rPr>
      </w:pPr>
    </w:p>
    <w:p>
      <w:pPr>
        <w:pStyle w:val="6"/>
        <w:rPr>
          <w:rFonts w:asciiTheme="minorEastAsia" w:hAnsiTheme="minorEastAsia" w:eastAsiaTheme="minorEastAsia"/>
          <w:color w:val="auto"/>
          <w:sz w:val="28"/>
          <w:szCs w:val="28"/>
          <w:highlight w:val="none"/>
        </w:rPr>
      </w:pPr>
      <w:bookmarkStart w:id="146" w:name="_Toc6313"/>
      <w:bookmarkStart w:id="147" w:name="_Toc87616394"/>
      <w:bookmarkStart w:id="148" w:name="_Toc88209957"/>
      <w:bookmarkStart w:id="149" w:name="_Toc12665"/>
      <w:bookmarkStart w:id="150" w:name="_Toc28619645"/>
      <w:r>
        <w:rPr>
          <w:rFonts w:hint="eastAsia" w:asciiTheme="minorEastAsia" w:hAnsiTheme="minorEastAsia" w:eastAsiaTheme="minorEastAsia"/>
          <w:color w:val="auto"/>
          <w:sz w:val="28"/>
          <w:szCs w:val="28"/>
          <w:highlight w:val="none"/>
        </w:rPr>
        <w:t>1.响应函</w:t>
      </w:r>
      <w:bookmarkEnd w:id="146"/>
      <w:bookmarkEnd w:id="147"/>
      <w:bookmarkEnd w:id="148"/>
      <w:bookmarkEnd w:id="149"/>
      <w:bookmarkEnd w:id="150"/>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（项目名称、项目编号、标段/标包号）   </w:t>
      </w:r>
      <w:r>
        <w:rPr>
          <w:rFonts w:hint="eastAsia" w:ascii="仿宋_GB2312" w:hAnsi="黑体" w:eastAsia="仿宋_GB2312"/>
          <w:color w:val="auto"/>
          <w:sz w:val="28"/>
          <w:szCs w:val="28"/>
          <w:highlight w:val="none"/>
        </w:rPr>
        <w:t>采购文件的全部内容，愿意以含税价人民币（大写）</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）的报价（其中，不含税价为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；增值税为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）完成/提供本项目</w:t>
      </w:r>
      <w:r>
        <w:rPr>
          <w:rFonts w:hint="eastAsia" w:ascii="仿宋_GB2312" w:eastAsia="仿宋_GB2312" w:hAnsiTheme="minorEastAsia"/>
          <w:color w:val="auto"/>
          <w:sz w:val="28"/>
          <w:szCs w:val="28"/>
          <w:highlight w:val="none"/>
        </w:rPr>
        <w:sym w:font="Wingdings 2" w:char="0052"/>
      </w:r>
      <w:r>
        <w:rPr>
          <w:rFonts w:hint="eastAsia" w:ascii="仿宋_GB2312" w:hAnsi="黑体" w:eastAsia="仿宋_GB2312"/>
          <w:color w:val="auto"/>
          <w:sz w:val="28"/>
          <w:szCs w:val="28"/>
          <w:highlight w:val="none"/>
        </w:rPr>
        <w:t xml:space="preserve">工程 </w:t>
      </w:r>
      <w:r>
        <w:rPr>
          <w:rFonts w:hint="eastAsia" w:ascii="仿宋_GB2312" w:eastAsia="仿宋_GB2312" w:hAnsiTheme="minorEastAsia"/>
          <w:color w:val="auto"/>
          <w:sz w:val="28"/>
          <w:szCs w:val="28"/>
          <w:highlight w:val="none"/>
        </w:rPr>
        <w:sym w:font="Wingdings 2" w:char="00A3"/>
      </w:r>
      <w:r>
        <w:rPr>
          <w:rFonts w:hint="eastAsia" w:ascii="仿宋_GB2312" w:hAnsi="黑体" w:eastAsia="仿宋_GB2312"/>
          <w:color w:val="auto"/>
          <w:sz w:val="28"/>
          <w:szCs w:val="28"/>
          <w:highlight w:val="none"/>
        </w:rPr>
        <w:t>货物</w:t>
      </w:r>
      <w:r>
        <w:rPr>
          <w:rFonts w:hint="eastAsia" w:ascii="仿宋_GB2312" w:eastAsia="仿宋_GB2312" w:hAnsiTheme="minorEastAsia"/>
          <w:color w:val="auto"/>
          <w:sz w:val="28"/>
          <w:szCs w:val="28"/>
          <w:highlight w:val="none"/>
        </w:rPr>
        <w:sym w:font="Wingdings 2" w:char="00A3"/>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（1）响应函</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（2）法定代表人证明或授权委托书</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（3）资格审查资料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（4）拟投入本项目的项目负责人情况表</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（5）报价表</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（6）其他资料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.我方在此声明，所递交的响应文件及有关资料内容完整、真实和准确，且不存在采购公告（采购邀请书）中供应商不得存在的情形。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asciiTheme="minorEastAsia" w:hAnsiTheme="minorEastAsia"/>
          <w:color w:val="auto"/>
          <w:sz w:val="28"/>
          <w:szCs w:val="28"/>
          <w:highlight w:val="none"/>
        </w:rPr>
      </w:pPr>
      <w:bookmarkStart w:id="151" w:name="_Toc29833"/>
      <w:bookmarkStart w:id="152" w:name="_Toc22527"/>
      <w:bookmarkStart w:id="153" w:name="_Toc88209958"/>
      <w:bookmarkStart w:id="154" w:name="_Toc87616395"/>
    </w:p>
    <w:p>
      <w:pPr>
        <w:pStyle w:val="6"/>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51"/>
      <w:bookmarkEnd w:id="152"/>
      <w:bookmarkEnd w:id="153"/>
      <w:bookmarkEnd w:id="154"/>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156" w:beforeLines="50" w:after="156"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9"/>
        <w:snapToGrid w:val="0"/>
        <w:spacing w:after="0" w:line="600" w:lineRule="exact"/>
        <w:jc w:val="both"/>
        <w:rPr>
          <w:rFonts w:ascii="仿宋_GB2312" w:hAnsi="宋体" w:eastAsia="仿宋_GB2312" w:cs="Times New Roman"/>
          <w:sz w:val="30"/>
          <w:szCs w:val="30"/>
          <w:highlight w:val="none"/>
          <w:u w:val="single"/>
        </w:rPr>
      </w:pPr>
      <w:r>
        <w:rPr>
          <w:rFonts w:hint="eastAsia" w:ascii="仿宋_GB2312" w:hAnsi="宋体" w:eastAsia="仿宋_GB2312" w:cs="Times New Roman"/>
          <w:sz w:val="32"/>
          <w:szCs w:val="32"/>
          <w:highlight w:val="none"/>
        </w:rPr>
        <w:t xml:space="preserve">     </w:t>
      </w:r>
      <w:r>
        <w:rPr>
          <w:rFonts w:hint="eastAsia" w:ascii="仿宋_GB2312" w:hAnsi="宋体" w:eastAsia="仿宋_GB2312" w:cs="Times New Roman"/>
          <w:sz w:val="30"/>
          <w:szCs w:val="30"/>
          <w:highlight w:val="none"/>
        </w:rPr>
        <w:t>供应商名称：</w:t>
      </w:r>
      <w:r>
        <w:rPr>
          <w:rFonts w:hint="eastAsia" w:ascii="仿宋_GB2312" w:hAnsi="宋体" w:eastAsia="仿宋_GB2312" w:cs="Times New Roman"/>
          <w:sz w:val="30"/>
          <w:szCs w:val="30"/>
          <w:highlight w:val="none"/>
          <w:u w:val="single"/>
        </w:rPr>
        <w:t xml:space="preserve">                          </w:t>
      </w:r>
    </w:p>
    <w:p>
      <w:pPr>
        <w:pStyle w:val="13"/>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8"/>
        <w:snapToGrid w:val="0"/>
        <w:spacing w:after="0" w:line="600" w:lineRule="exact"/>
        <w:ind w:firstLine="750" w:firstLineChars="250"/>
        <w:rPr>
          <w:rFonts w:ascii="仿宋_GB2312" w:hAnsi="宋体" w:eastAsia="仿宋_GB2312" w:cs="Times New Roman"/>
          <w:sz w:val="30"/>
          <w:szCs w:val="30"/>
          <w:highlight w:val="none"/>
          <w:u w:val="single"/>
        </w:rPr>
      </w:pPr>
      <w:r>
        <w:rPr>
          <w:rFonts w:hint="eastAsia" w:ascii="仿宋_GB2312" w:hAnsi="宋体" w:eastAsia="仿宋_GB2312" w:cs="Times New Roman"/>
          <w:sz w:val="30"/>
          <w:szCs w:val="30"/>
          <w:highlight w:val="none"/>
        </w:rPr>
        <w:t>地    址：</w:t>
      </w:r>
      <w:r>
        <w:rPr>
          <w:rFonts w:hint="eastAsia" w:ascii="仿宋_GB2312" w:hAnsi="宋体" w:eastAsia="仿宋_GB2312" w:cs="Times New Roman"/>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snapToGrid w:val="0"/>
        <w:spacing w:line="600" w:lineRule="exact"/>
        <w:ind w:firstLine="702" w:firstLineChars="234"/>
        <w:rPr>
          <w:rFonts w:ascii="仿宋_GB2312" w:hAnsi="宋体" w:eastAsia="仿宋_GB2312" w:cs="Times New Roman"/>
          <w:color w:val="auto"/>
          <w:sz w:val="32"/>
          <w:szCs w:val="32"/>
          <w:highlight w:val="none"/>
        </w:rPr>
      </w:pPr>
      <w:r>
        <w:rPr>
          <w:rFonts w:hint="eastAsia" w:ascii="仿宋_GB2312" w:hAnsi="宋体" w:eastAsia="仿宋_GB2312"/>
          <w:color w:val="auto"/>
          <w:sz w:val="30"/>
          <w:szCs w:val="30"/>
          <w:highlight w:val="none"/>
        </w:rPr>
        <w:t>附：法定代表人身份证(正反两面)复印件</w:t>
      </w:r>
    </w:p>
    <w:p>
      <w:pPr>
        <w:pStyle w:val="13"/>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68480"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8480;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156" w:beforeLines="50" w:after="156"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附：1.委托代理人身份证(正反两面)复印件</w:t>
      </w:r>
    </w:p>
    <w:p>
      <w:pPr>
        <w:pStyle w:val="37"/>
        <w:ind w:firstLine="1200" w:firstLineChars="4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2.提供授权委托人在本单位近三个月社保记录（以加盖社会保险基金管理中心印章的《缴费历史明细表》或《社会保险参保人员证明》为准），否则为无效代理人，询价响应文件无效。</w:t>
      </w:r>
    </w:p>
    <w:p>
      <w:pPr>
        <w:pStyle w:val="13"/>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
        <w:rPr>
          <w:rFonts w:ascii="仿宋_GB2312" w:eastAsia="仿宋_GB2312"/>
          <w:color w:val="auto"/>
          <w:sz w:val="30"/>
          <w:szCs w:val="30"/>
          <w:highlight w:val="none"/>
        </w:rPr>
      </w:pPr>
    </w:p>
    <w:p>
      <w:pPr>
        <w:pStyle w:val="2"/>
        <w:rPr>
          <w:rFonts w:ascii="仿宋_GB2312" w:eastAsia="仿宋_GB2312"/>
          <w:color w:val="auto"/>
          <w:sz w:val="30"/>
          <w:szCs w:val="30"/>
          <w:highlight w:val="none"/>
        </w:rPr>
      </w:pPr>
    </w:p>
    <w:p>
      <w:pPr>
        <w:pStyle w:val="2"/>
        <w:rPr>
          <w:rFonts w:ascii="仿宋_GB2312" w:eastAsia="仿宋_GB2312"/>
          <w:color w:val="auto"/>
          <w:sz w:val="30"/>
          <w:szCs w:val="30"/>
          <w:highlight w:val="none"/>
        </w:rPr>
      </w:pPr>
    </w:p>
    <w:p>
      <w:pPr>
        <w:pStyle w:val="2"/>
        <w:rPr>
          <w:rFonts w:ascii="仿宋_GB2312" w:eastAsia="仿宋_GB2312"/>
          <w:color w:val="auto"/>
          <w:sz w:val="30"/>
          <w:szCs w:val="30"/>
          <w:highlight w:val="none"/>
        </w:rPr>
      </w:pPr>
    </w:p>
    <w:p>
      <w:pPr>
        <w:pStyle w:val="7"/>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69504"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9504;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pStyle w:val="7"/>
        <w:spacing w:after="0" w:line="600" w:lineRule="exact"/>
        <w:ind w:firstLine="0"/>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adjustRightInd w:val="0"/>
        <w:snapToGrid w:val="0"/>
        <w:spacing w:line="600" w:lineRule="exact"/>
        <w:ind w:firstLine="48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rPr>
                <w:rFonts w:ascii="宋体" w:hAnsi="宋体" w:eastAsia="宋体" w:cs="Times New Roman"/>
                <w:color w:val="auto"/>
                <w:sz w:val="24"/>
                <w:szCs w:val="24"/>
                <w:highlight w:val="none"/>
              </w:rPr>
            </w:pPr>
          </w:p>
          <w:p>
            <w:pPr>
              <w:spacing w:line="360" w:lineRule="auto"/>
              <w:jc w:val="center"/>
              <w:rPr>
                <w:rFonts w:ascii="宋体" w:hAnsi="宋体" w:eastAsia="宋体" w:cs="Times New Roman"/>
                <w:color w:val="auto"/>
                <w:sz w:val="24"/>
                <w:szCs w:val="24"/>
                <w:highlight w:val="none"/>
              </w:rPr>
            </w:pPr>
          </w:p>
          <w:p>
            <w:pPr>
              <w:spacing w:line="360" w:lineRule="auto"/>
              <w:jc w:val="center"/>
              <w:rPr>
                <w:rFonts w:ascii="宋体" w:hAnsi="宋体"/>
                <w:color w:val="auto"/>
                <w:sz w:val="24"/>
                <w:szCs w:val="24"/>
                <w:highlight w:val="none"/>
              </w:rPr>
            </w:pPr>
            <w:r>
              <w:rPr>
                <w:rFonts w:hint="eastAsia" w:ascii="宋体" w:hAnsi="宋体" w:cs="Times New Roman"/>
                <w:color w:val="auto"/>
                <w:sz w:val="24"/>
                <w:szCs w:val="24"/>
                <w:highlight w:val="none"/>
              </w:rPr>
              <w:t>授权代理人在本单位近三个月社保记录，（以加盖社会保险基金管理中心印章的《缴费历史明细表》或《社会保险参保人员证明》为准，加</w:t>
            </w:r>
            <w:r>
              <w:rPr>
                <w:rFonts w:hint="eastAsia" w:ascii="宋体" w:hAnsi="宋体"/>
                <w:color w:val="auto"/>
                <w:sz w:val="24"/>
                <w:szCs w:val="24"/>
                <w:highlight w:val="none"/>
              </w:rPr>
              <w:t>盖单位公章</w:t>
            </w:r>
          </w:p>
          <w:p>
            <w:pPr>
              <w:spacing w:line="360" w:lineRule="auto"/>
              <w:jc w:val="center"/>
              <w:rPr>
                <w:rFonts w:ascii="宋体" w:hAnsi="宋体"/>
                <w:color w:val="auto"/>
                <w:sz w:val="24"/>
                <w:szCs w:val="24"/>
                <w:highlight w:val="none"/>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6"/>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55" w:name="_Toc19830"/>
      <w:bookmarkStart w:id="156" w:name="_Toc8086"/>
      <w:bookmarkStart w:id="157" w:name="_Toc87616400"/>
      <w:bookmarkStart w:id="158" w:name="_Toc88209963"/>
      <w:r>
        <w:rPr>
          <w:rFonts w:hint="eastAsia" w:ascii="仿宋_GB2312" w:eastAsia="仿宋_GB2312" w:hAnsiTheme="minorEastAsia"/>
          <w:color w:val="auto"/>
          <w:sz w:val="28"/>
          <w:szCs w:val="28"/>
          <w:highlight w:val="none"/>
        </w:rPr>
        <w:t>3</w:t>
      </w:r>
      <w:r>
        <w:rPr>
          <w:rFonts w:hint="eastAsia" w:asciiTheme="minorEastAsia" w:hAnsiTheme="minorEastAsia" w:eastAsiaTheme="minorEastAsia"/>
          <w:color w:val="auto"/>
          <w:sz w:val="28"/>
          <w:szCs w:val="28"/>
          <w:highlight w:val="none"/>
        </w:rPr>
        <w:t>.资格审查资料</w:t>
      </w:r>
      <w:bookmarkEnd w:id="155"/>
      <w:bookmarkEnd w:id="156"/>
      <w:bookmarkEnd w:id="157"/>
      <w:bookmarkEnd w:id="158"/>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3.1供应商基本情况表</w:t>
      </w:r>
    </w:p>
    <w:tbl>
      <w:tblPr>
        <w:tblStyle w:val="24"/>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cs="Times New Roman" w:asciiTheme="minorEastAsia" w:hAnsiTheme="minorEastAsia"/>
          <w:b/>
          <w:bCs/>
          <w:color w:val="auto"/>
          <w:sz w:val="28"/>
          <w:szCs w:val="28"/>
          <w:highlight w:val="none"/>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rPr>
        <w:t>。</w:t>
      </w:r>
      <w:r>
        <w:rPr>
          <w:rFonts w:hint="eastAsia" w:cs="Times New Roman" w:asciiTheme="minorEastAsia" w:hAnsiTheme="minorEastAsia"/>
          <w:b/>
          <w:bCs/>
          <w:color w:val="auto"/>
          <w:sz w:val="28"/>
          <w:szCs w:val="28"/>
          <w:highlight w:val="none"/>
        </w:rPr>
        <w:t>（相关证明文件附后）</w:t>
      </w:r>
    </w:p>
    <w:p>
      <w:pPr>
        <w:adjustRightInd w:val="0"/>
        <w:snapToGrid w:val="0"/>
        <w:spacing w:line="360" w:lineRule="auto"/>
        <w:jc w:val="left"/>
        <w:rPr>
          <w:rFonts w:cs="Times New Roman" w:asciiTheme="minorEastAsia" w:hAnsiTheme="minorEastAsia"/>
          <w:b/>
          <w:bCs/>
          <w:color w:val="auto"/>
          <w:sz w:val="28"/>
          <w:szCs w:val="28"/>
          <w:highlight w:val="none"/>
        </w:rPr>
      </w:pPr>
      <w:bookmarkStart w:id="159" w:name="_Hlk59025866"/>
    </w:p>
    <w:p>
      <w:pPr>
        <w:adjustRightInd w:val="0"/>
        <w:snapToGrid w:val="0"/>
        <w:spacing w:line="360" w:lineRule="auto"/>
        <w:jc w:val="left"/>
        <w:rPr>
          <w:rFonts w:cs="Times New Roman" w:asciiTheme="minorEastAsia" w:hAnsiTheme="minorEastAsia"/>
          <w:b/>
          <w:bCs/>
          <w:color w:val="auto"/>
          <w:sz w:val="28"/>
          <w:szCs w:val="28"/>
          <w:highlight w:val="none"/>
        </w:rPr>
      </w:pPr>
      <w:r>
        <w:rPr>
          <w:rFonts w:hint="eastAsia" w:cs="Times New Roman" w:asciiTheme="minorEastAsia" w:hAnsiTheme="minorEastAsia"/>
          <w:b/>
          <w:bCs/>
          <w:color w:val="auto"/>
          <w:sz w:val="28"/>
          <w:szCs w:val="28"/>
          <w:highlight w:val="none"/>
        </w:rPr>
        <w:t>3.2不得存在情形承诺函</w:t>
      </w:r>
    </w:p>
    <w:bookmarkEnd w:id="159"/>
    <w:p>
      <w:pPr>
        <w:adjustRightInd w:val="0"/>
        <w:snapToGrid w:val="0"/>
        <w:spacing w:line="360" w:lineRule="auto"/>
        <w:rPr>
          <w:rFonts w:ascii="宋体" w:hAnsi="宋体" w:eastAsia="宋体" w:cs="宋体"/>
          <w:color w:val="auto"/>
          <w:sz w:val="24"/>
          <w:szCs w:val="24"/>
          <w:highlight w:val="none"/>
          <w:lang w:val="en-GB"/>
        </w:rPr>
      </w:pPr>
    </w:p>
    <w:p>
      <w:pPr>
        <w:adjustRightInd w:val="0"/>
        <w:snapToGrid w:val="0"/>
        <w:spacing w:line="360" w:lineRule="auto"/>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rPr>
          <w:rFonts w:ascii="仿宋_GB2312" w:eastAsia="仿宋_GB2312"/>
          <w:color w:val="auto"/>
          <w:sz w:val="28"/>
          <w:szCs w:val="28"/>
          <w:highlight w:val="none"/>
        </w:rPr>
      </w:pPr>
      <w:r>
        <w:rPr>
          <w:rFonts w:hint="eastAsia" w:ascii="宋体" w:hAnsi="宋体" w:eastAsia="宋体" w:cs="宋体"/>
          <w:color w:val="auto"/>
          <w:sz w:val="24"/>
          <w:szCs w:val="24"/>
          <w:highlight w:val="none"/>
          <w:lang w:val="en-GB"/>
        </w:rPr>
        <w:t>我方郑重承诺，在参与</w:t>
      </w:r>
      <w:r>
        <w:rPr>
          <w:rFonts w:hint="eastAsia" w:ascii="宋体" w:hAnsi="宋体" w:eastAsia="宋体" w:cs="宋体"/>
          <w:color w:val="auto"/>
          <w:sz w:val="24"/>
          <w:szCs w:val="24"/>
          <w:highlight w:val="none"/>
          <w:u w:val="single"/>
          <w:lang w:val="en-GB"/>
        </w:rPr>
        <w:t>广州市净水有限公司竹料分公司2023年一期南、扩建北反应池曝气头及曝气管大修项目（项目编号：01092022000008）</w:t>
      </w:r>
      <w:r>
        <w:rPr>
          <w:rFonts w:hint="eastAsia" w:ascii="宋体" w:hAnsi="宋体" w:eastAsia="宋体" w:cs="宋体"/>
          <w:color w:val="auto"/>
          <w:sz w:val="24"/>
          <w:szCs w:val="24"/>
          <w:highlight w:val="none"/>
          <w:lang w:val="en-GB"/>
        </w:rPr>
        <w:t>采购期间，未被</w:t>
      </w:r>
      <w:r>
        <w:rPr>
          <w:rFonts w:hint="eastAsia" w:ascii="仿宋_GB2312" w:eastAsia="仿宋_GB2312"/>
          <w:color w:val="auto"/>
          <w:sz w:val="28"/>
          <w:szCs w:val="28"/>
          <w:highlight w:val="none"/>
        </w:rPr>
        <w:t>列入下列情形之一：</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（1）与本项目其他供应商的单位负责人为同一人。</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（2）与本项目其他供应商存在控股关系。</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（3）与本项目其他供应商存在管理关系。</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（9）被“信用广州”网站纳入失信被执行人名单（失信黑名单）。</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（11）其他违法违纪行为，经审查认为不宜被邀请参加采购活动的。</w:t>
      </w:r>
    </w:p>
    <w:p>
      <w:pPr>
        <w:adjustRightInd w:val="0"/>
        <w:snapToGrid w:val="0"/>
        <w:spacing w:line="360" w:lineRule="auto"/>
        <w:jc w:val="right"/>
        <w:rPr>
          <w:rFonts w:hint="eastAsia" w:ascii="宋体" w:hAnsi="宋体" w:eastAsia="宋体" w:cs="宋体"/>
          <w:color w:val="auto"/>
          <w:sz w:val="24"/>
          <w:szCs w:val="24"/>
          <w:highlight w:val="none"/>
          <w:lang w:val="en-GB" w:eastAsia="zh-CN"/>
        </w:rPr>
      </w:pPr>
    </w:p>
    <w:p>
      <w:pPr>
        <w:pStyle w:val="2"/>
        <w:rPr>
          <w:rFonts w:hint="eastAsia"/>
          <w:lang w:val="en-GB" w:eastAsia="zh-CN"/>
        </w:rPr>
      </w:pPr>
    </w:p>
    <w:p>
      <w:pPr>
        <w:pStyle w:val="2"/>
        <w:rPr>
          <w:rFonts w:ascii="宋体" w:hAnsi="宋体" w:eastAsia="宋体" w:cs="宋体"/>
          <w:color w:val="auto"/>
          <w:sz w:val="24"/>
          <w:szCs w:val="24"/>
          <w:highlight w:val="none"/>
          <w:lang w:val="en-GB"/>
        </w:rPr>
      </w:pPr>
    </w:p>
    <w:p>
      <w:pPr>
        <w:pStyle w:val="2"/>
        <w:rPr>
          <w:rFonts w:ascii="宋体" w:hAnsi="宋体" w:eastAsia="宋体" w:cs="宋体"/>
          <w:color w:val="auto"/>
          <w:sz w:val="24"/>
          <w:szCs w:val="24"/>
          <w:highlight w:val="none"/>
          <w:lang w:val="en-GB"/>
        </w:rPr>
      </w:pPr>
    </w:p>
    <w:p>
      <w:pPr>
        <w:adjustRightInd w:val="0"/>
        <w:snapToGrid w:val="0"/>
        <w:spacing w:line="360" w:lineRule="auto"/>
        <w:jc w:val="right"/>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 xml:space="preserve">供应商名称（加盖公章）： </w:t>
      </w:r>
    </w:p>
    <w:p>
      <w:pPr>
        <w:adjustRightInd w:val="0"/>
        <w:snapToGrid w:val="0"/>
        <w:spacing w:line="360" w:lineRule="auto"/>
        <w:jc w:val="right"/>
        <w:rPr>
          <w:color w:val="auto"/>
          <w:highlight w:val="none"/>
        </w:rPr>
      </w:pPr>
      <w:r>
        <w:rPr>
          <w:rFonts w:hint="eastAsia" w:ascii="宋体" w:hAnsi="宋体" w:eastAsia="宋体" w:cs="宋体"/>
          <w:color w:val="auto"/>
          <w:sz w:val="24"/>
          <w:szCs w:val="24"/>
          <w:highlight w:val="none"/>
          <w:lang w:val="en-GB"/>
        </w:rPr>
        <w:t>年  月  日</w:t>
      </w:r>
    </w:p>
    <w:p>
      <w:pPr>
        <w:jc w:val="left"/>
        <w:rPr>
          <w:rFonts w:cs="Times New Roman" w:asciiTheme="minorEastAsia" w:hAnsiTheme="minorEastAsia"/>
          <w:b/>
          <w:bCs/>
          <w:color w:val="auto"/>
          <w:sz w:val="28"/>
          <w:szCs w:val="28"/>
          <w:highlight w:val="none"/>
        </w:rPr>
      </w:pPr>
      <w:r>
        <w:rPr>
          <w:rFonts w:hint="eastAsia" w:cs="Times New Roman" w:asciiTheme="minorEastAsia" w:hAnsiTheme="minorEastAsia"/>
          <w:b/>
          <w:bCs/>
          <w:color w:val="auto"/>
          <w:sz w:val="28"/>
          <w:szCs w:val="28"/>
          <w:highlight w:val="none"/>
        </w:rPr>
        <w:t>4.拟投入本项目的项目负责人情况表</w:t>
      </w:r>
    </w:p>
    <w:p>
      <w:pPr>
        <w:pStyle w:val="2"/>
        <w:rPr>
          <w:rFonts w:ascii="仿宋_GB2312" w:eastAsia="仿宋_GB2312" w:hAnsiTheme="minorEastAsia"/>
          <w:color w:val="auto"/>
          <w:sz w:val="28"/>
          <w:szCs w:val="28"/>
          <w:highlight w:val="none"/>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3"/>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tcPr>
          <w:p>
            <w:pPr>
              <w:jc w:val="center"/>
              <w:rPr>
                <w:rFonts w:ascii="仿宋" w:hAnsi="仿宋" w:eastAsia="仿宋" w:cs="仿宋_GB2312"/>
                <w:b/>
                <w:color w:val="auto"/>
                <w:sz w:val="28"/>
                <w:szCs w:val="28"/>
                <w:highlight w:val="none"/>
              </w:rPr>
            </w:pPr>
          </w:p>
        </w:tc>
        <w:tc>
          <w:tcPr>
            <w:tcW w:w="161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tcPr>
          <w:p>
            <w:pPr>
              <w:jc w:val="center"/>
              <w:rPr>
                <w:rFonts w:ascii="仿宋" w:hAnsi="仿宋" w:eastAsia="仿宋" w:cs="仿宋_GB2312"/>
                <w:b/>
                <w:color w:val="auto"/>
                <w:sz w:val="28"/>
                <w:szCs w:val="28"/>
                <w:highlight w:val="none"/>
              </w:rPr>
            </w:pPr>
          </w:p>
        </w:tc>
        <w:tc>
          <w:tcPr>
            <w:tcW w:w="2198"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tcPr>
          <w:p>
            <w:pPr>
              <w:spacing w:line="360" w:lineRule="exact"/>
              <w:jc w:val="center"/>
              <w:rPr>
                <w:rFonts w:ascii="仿宋" w:hAnsi="仿宋" w:eastAsia="仿宋" w:cs="仿宋_GB2312"/>
                <w:b/>
                <w:color w:val="auto"/>
                <w:sz w:val="28"/>
                <w:szCs w:val="28"/>
                <w:highlight w:val="none"/>
              </w:rPr>
            </w:pPr>
          </w:p>
        </w:tc>
        <w:tc>
          <w:tcPr>
            <w:tcW w:w="1613"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tcPr>
          <w:p>
            <w:pPr>
              <w:spacing w:line="360" w:lineRule="exact"/>
              <w:jc w:val="center"/>
              <w:rPr>
                <w:rFonts w:ascii="仿宋" w:hAnsi="仿宋" w:eastAsia="仿宋" w:cs="仿宋_GB2312"/>
                <w:b/>
                <w:color w:val="auto"/>
                <w:sz w:val="28"/>
                <w:szCs w:val="28"/>
                <w:highlight w:val="none"/>
              </w:rPr>
            </w:pPr>
          </w:p>
        </w:tc>
        <w:tc>
          <w:tcPr>
            <w:tcW w:w="2198"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tcPr>
          <w:p>
            <w:pPr>
              <w:spacing w:line="360" w:lineRule="exact"/>
              <w:jc w:val="center"/>
              <w:rPr>
                <w:rFonts w:ascii="仿宋" w:hAnsi="仿宋" w:eastAsia="仿宋" w:cs="仿宋_GB2312"/>
                <w:b/>
                <w:color w:val="auto"/>
                <w:sz w:val="28"/>
                <w:szCs w:val="28"/>
                <w:highlight w:val="none"/>
              </w:rPr>
            </w:pPr>
          </w:p>
        </w:tc>
        <w:tc>
          <w:tcPr>
            <w:tcW w:w="1613"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tcPr>
          <w:p>
            <w:pPr>
              <w:spacing w:line="360" w:lineRule="exact"/>
              <w:jc w:val="center"/>
              <w:rPr>
                <w:rFonts w:ascii="仿宋" w:hAnsi="仿宋" w:eastAsia="仿宋" w:cs="仿宋_GB2312"/>
                <w:b/>
                <w:color w:val="auto"/>
                <w:sz w:val="28"/>
                <w:szCs w:val="28"/>
                <w:highlight w:val="none"/>
              </w:rPr>
            </w:pPr>
          </w:p>
        </w:tc>
        <w:tc>
          <w:tcPr>
            <w:tcW w:w="2198"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tcPr>
          <w:p>
            <w:pPr>
              <w:spacing w:line="360" w:lineRule="exact"/>
              <w:jc w:val="center"/>
              <w:rPr>
                <w:rFonts w:ascii="仿宋" w:hAnsi="仿宋" w:eastAsia="仿宋" w:cs="仿宋_GB2312"/>
                <w:b/>
                <w:color w:val="auto"/>
                <w:sz w:val="28"/>
                <w:szCs w:val="28"/>
                <w:highlight w:val="none"/>
              </w:rPr>
            </w:pPr>
          </w:p>
        </w:tc>
        <w:tc>
          <w:tcPr>
            <w:tcW w:w="2198"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tcPr>
          <w:p>
            <w:pPr>
              <w:jc w:val="center"/>
              <w:rPr>
                <w:rFonts w:ascii="仿宋" w:hAnsi="仿宋" w:eastAsia="仿宋" w:cs="仿宋_GB2312"/>
                <w:b/>
                <w:color w:val="auto"/>
                <w:sz w:val="28"/>
                <w:szCs w:val="28"/>
                <w:highlight w:val="none"/>
              </w:rPr>
            </w:pPr>
          </w:p>
        </w:tc>
        <w:tc>
          <w:tcPr>
            <w:tcW w:w="2198"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453" w:type="dxa"/>
            <w:gridSpan w:val="2"/>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453" w:type="dxa"/>
            <w:gridSpan w:val="2"/>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453" w:type="dxa"/>
            <w:gridSpan w:val="2"/>
          </w:tcPr>
          <w:p>
            <w:pPr>
              <w:jc w:val="center"/>
              <w:rPr>
                <w:rFonts w:ascii="仿宋" w:hAnsi="仿宋" w:eastAsia="仿宋" w:cs="仿宋_GB2312"/>
                <w:b/>
                <w:color w:val="auto"/>
                <w:sz w:val="28"/>
                <w:szCs w:val="28"/>
                <w:highlight w:val="none"/>
              </w:rPr>
            </w:pPr>
          </w:p>
        </w:tc>
      </w:tr>
    </w:tbl>
    <w:p>
      <w:pPr>
        <w:pStyle w:val="2"/>
        <w:rPr>
          <w:rFonts w:ascii="仿宋_GB2312" w:eastAsia="仿宋_GB2312" w:hAnsiTheme="minorEastAsia"/>
          <w:color w:val="auto"/>
          <w:sz w:val="28"/>
          <w:szCs w:val="28"/>
          <w:highlight w:val="none"/>
        </w:rPr>
      </w:pPr>
    </w:p>
    <w:p>
      <w:pPr>
        <w:pStyle w:val="2"/>
        <w:rPr>
          <w:rFonts w:ascii="宋体" w:hAnsi="宋体" w:eastAsia="宋体" w:cs="宋体"/>
          <w:color w:val="auto"/>
          <w:sz w:val="24"/>
          <w:szCs w:val="24"/>
          <w:highlight w:val="none"/>
          <w:lang w:val="en-GB"/>
        </w:rPr>
      </w:pPr>
    </w:p>
    <w:p>
      <w:pPr>
        <w:adjustRightInd w:val="0"/>
        <w:snapToGrid w:val="0"/>
        <w:spacing w:line="360" w:lineRule="auto"/>
        <w:jc w:val="right"/>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 xml:space="preserve">供应商名称（加盖公章）： </w:t>
      </w:r>
    </w:p>
    <w:p>
      <w:pPr>
        <w:pStyle w:val="2"/>
        <w:ind w:firstLine="7440" w:firstLineChars="3100"/>
        <w:rPr>
          <w:rFonts w:ascii="仿宋_GB2312" w:eastAsia="仿宋_GB2312" w:hAnsiTheme="minorEastAsia"/>
          <w:color w:val="auto"/>
          <w:sz w:val="28"/>
          <w:szCs w:val="28"/>
          <w:highlight w:val="none"/>
        </w:rPr>
      </w:pPr>
      <w:r>
        <w:rPr>
          <w:rFonts w:hint="eastAsia" w:ascii="宋体" w:hAnsi="宋体" w:eastAsia="宋体" w:cs="宋体"/>
          <w:color w:val="auto"/>
          <w:sz w:val="24"/>
          <w:szCs w:val="24"/>
          <w:highlight w:val="none"/>
          <w:lang w:val="en-GB"/>
        </w:rPr>
        <w:t>年  月  日</w:t>
      </w:r>
    </w:p>
    <w:p>
      <w:pPr>
        <w:pStyle w:val="2"/>
        <w:rPr>
          <w:rFonts w:ascii="仿宋_GB2312" w:eastAsia="仿宋_GB2312" w:hAnsiTheme="minorEastAsia"/>
          <w:color w:val="auto"/>
          <w:sz w:val="28"/>
          <w:szCs w:val="28"/>
          <w:highlight w:val="none"/>
        </w:rPr>
      </w:pPr>
    </w:p>
    <w:p>
      <w:pPr>
        <w:pStyle w:val="2"/>
        <w:rPr>
          <w:rFonts w:ascii="仿宋_GB2312" w:eastAsia="仿宋_GB2312" w:hAnsiTheme="minorEastAsia"/>
          <w:color w:val="auto"/>
          <w:sz w:val="28"/>
          <w:szCs w:val="28"/>
          <w:highlight w:val="none"/>
        </w:rPr>
      </w:pPr>
    </w:p>
    <w:p>
      <w:pPr>
        <w:pStyle w:val="2"/>
        <w:rPr>
          <w:rFonts w:ascii="仿宋_GB2312" w:eastAsia="仿宋_GB2312" w:hAnsiTheme="minorEastAsia"/>
          <w:color w:val="auto"/>
          <w:sz w:val="28"/>
          <w:szCs w:val="28"/>
          <w:highlight w:val="none"/>
        </w:rPr>
      </w:pPr>
    </w:p>
    <w:p>
      <w:pPr>
        <w:pStyle w:val="2"/>
        <w:ind w:firstLine="0"/>
        <w:rPr>
          <w:rFonts w:ascii="仿宋_GB2312" w:eastAsia="仿宋_GB2312" w:hAnsiTheme="minorEastAsia"/>
          <w:color w:val="auto"/>
          <w:sz w:val="28"/>
          <w:szCs w:val="28"/>
          <w:highlight w:val="none"/>
        </w:rPr>
      </w:pPr>
    </w:p>
    <w:p>
      <w:pPr>
        <w:pStyle w:val="6"/>
        <w:numPr>
          <w:ilvl w:val="0"/>
          <w:numId w:val="6"/>
        </w:numPr>
        <w:rPr>
          <w:rFonts w:hint="eastAsia" w:asciiTheme="minorEastAsia" w:hAnsiTheme="minorEastAsia" w:eastAsiaTheme="minorEastAsia"/>
          <w:color w:val="auto"/>
          <w:sz w:val="28"/>
          <w:szCs w:val="28"/>
          <w:highlight w:val="none"/>
        </w:rPr>
      </w:pPr>
      <w:bookmarkStart w:id="160" w:name="_Toc32430"/>
      <w:bookmarkStart w:id="161" w:name="_Toc19423"/>
      <w:r>
        <w:rPr>
          <w:rFonts w:hint="eastAsia" w:asciiTheme="minorEastAsia" w:hAnsiTheme="minorEastAsia" w:eastAsiaTheme="minorEastAsia"/>
          <w:color w:val="auto"/>
          <w:sz w:val="28"/>
          <w:szCs w:val="28"/>
          <w:highlight w:val="none"/>
        </w:rPr>
        <w:t>报价表</w:t>
      </w:r>
      <w:bookmarkEnd w:id="160"/>
      <w:bookmarkEnd w:id="161"/>
    </w:p>
    <w:tbl>
      <w:tblPr>
        <w:tblStyle w:val="23"/>
        <w:tblW w:w="860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260"/>
        <w:gridCol w:w="3197"/>
        <w:gridCol w:w="928"/>
        <w:gridCol w:w="1329"/>
        <w:gridCol w:w="18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8607" w:type="dxa"/>
            <w:gridSpan w:val="5"/>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单位工程招标控制价汇总表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4457"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工程名称：竹料分公司2023年一期南、扩建北反应池曝气头及曝气管大修项目</w:t>
            </w:r>
          </w:p>
        </w:tc>
        <w:tc>
          <w:tcPr>
            <w:tcW w:w="928" w:type="dxa"/>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3222"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1260"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3197"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汇总内容</w:t>
            </w:r>
          </w:p>
        </w:tc>
        <w:tc>
          <w:tcPr>
            <w:tcW w:w="2257"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1893"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1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22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9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31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一期南反应池</w:t>
            </w:r>
          </w:p>
        </w:tc>
        <w:tc>
          <w:tcPr>
            <w:tcW w:w="22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9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31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扩建北反应池</w:t>
            </w:r>
          </w:p>
        </w:tc>
        <w:tc>
          <w:tcPr>
            <w:tcW w:w="22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9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1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措施合计</w:t>
            </w:r>
          </w:p>
        </w:tc>
        <w:tc>
          <w:tcPr>
            <w:tcW w:w="22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9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31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22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25781.77</w:t>
            </w:r>
          </w:p>
        </w:tc>
        <w:tc>
          <w:tcPr>
            <w:tcW w:w="189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31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其他措施费</w:t>
            </w:r>
          </w:p>
        </w:tc>
        <w:tc>
          <w:tcPr>
            <w:tcW w:w="22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9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1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其他项目</w:t>
            </w:r>
          </w:p>
        </w:tc>
        <w:tc>
          <w:tcPr>
            <w:tcW w:w="22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9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31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22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66274.99</w:t>
            </w:r>
          </w:p>
        </w:tc>
        <w:tc>
          <w:tcPr>
            <w:tcW w:w="189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31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22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9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31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22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9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31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22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9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31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22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9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31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22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9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31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22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9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31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22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9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31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22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9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31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22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9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1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税前工程造价</w:t>
            </w:r>
          </w:p>
        </w:tc>
        <w:tc>
          <w:tcPr>
            <w:tcW w:w="22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9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1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22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9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1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总造价</w:t>
            </w:r>
          </w:p>
        </w:tc>
        <w:tc>
          <w:tcPr>
            <w:tcW w:w="22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9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1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人工费</w:t>
            </w:r>
          </w:p>
        </w:tc>
        <w:tc>
          <w:tcPr>
            <w:tcW w:w="22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9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2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9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2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9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2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9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457" w:type="dxa"/>
            <w:gridSpan w:val="2"/>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招标控制价合计=1+2+3+5</w:t>
            </w:r>
          </w:p>
        </w:tc>
        <w:tc>
          <w:tcPr>
            <w:tcW w:w="2257"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93"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bl>
    <w:p>
      <w:pPr>
        <w:rPr>
          <w:rFonts w:hint="eastAsia"/>
        </w:rPr>
      </w:pPr>
    </w:p>
    <w:tbl>
      <w:tblPr>
        <w:tblStyle w:val="23"/>
        <w:tblW w:w="98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75"/>
        <w:gridCol w:w="1410"/>
        <w:gridCol w:w="1440"/>
        <w:gridCol w:w="2025"/>
        <w:gridCol w:w="315"/>
        <w:gridCol w:w="510"/>
        <w:gridCol w:w="780"/>
        <w:gridCol w:w="105"/>
        <w:gridCol w:w="840"/>
        <w:gridCol w:w="945"/>
        <w:gridCol w:w="8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9855" w:type="dxa"/>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555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工程名称：竹料分公司2023年一期南、扩建北反应池曝气头及曝气管大修项目</w:t>
            </w:r>
          </w:p>
        </w:tc>
        <w:tc>
          <w:tcPr>
            <w:tcW w:w="171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595"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675"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41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44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34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51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78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2700"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675"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4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34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8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45"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8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675"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4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34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8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45"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一期南反应池</w:t>
            </w:r>
          </w:p>
        </w:tc>
        <w:tc>
          <w:tcPr>
            <w:tcW w:w="23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040602013001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曝气器安装</w:t>
            </w:r>
          </w:p>
        </w:tc>
        <w:tc>
          <w:tcPr>
            <w:tcW w:w="23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1.名称:曝气器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2.规格:XZ-215型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3.参数:直径270</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1408</w:t>
            </w:r>
          </w:p>
        </w:tc>
        <w:tc>
          <w:tcPr>
            <w:tcW w:w="9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040602013002</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曝气器拆除</w:t>
            </w:r>
          </w:p>
        </w:tc>
        <w:tc>
          <w:tcPr>
            <w:tcW w:w="23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1.名称:原有曝气器保护性拆除</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1408</w:t>
            </w:r>
          </w:p>
        </w:tc>
        <w:tc>
          <w:tcPr>
            <w:tcW w:w="9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040602014001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曝气管</w:t>
            </w:r>
          </w:p>
        </w:tc>
        <w:tc>
          <w:tcPr>
            <w:tcW w:w="23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1.材质:不锈钢管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2.直径:De90,厚度5mm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3.包含弯头及其他附件</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740</w:t>
            </w:r>
          </w:p>
        </w:tc>
        <w:tc>
          <w:tcPr>
            <w:tcW w:w="9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031002001001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不锈钢管码底座</w:t>
            </w:r>
          </w:p>
        </w:tc>
        <w:tc>
          <w:tcPr>
            <w:tcW w:w="23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1.材质:不锈钢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2.形式:不锈钢管码底座</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3.管道规格:De90</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w:t>
            </w:r>
          </w:p>
        </w:tc>
        <w:tc>
          <w:tcPr>
            <w:tcW w:w="9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040602014002</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曝气管</w:t>
            </w:r>
          </w:p>
        </w:tc>
        <w:tc>
          <w:tcPr>
            <w:tcW w:w="23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1.材质:不锈钢管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2.直径:De110,厚度5mm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3.包含弯头及其他附件</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w:t>
            </w:r>
          </w:p>
        </w:tc>
        <w:tc>
          <w:tcPr>
            <w:tcW w:w="9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031002001002</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不锈钢管码底座</w:t>
            </w:r>
          </w:p>
        </w:tc>
        <w:tc>
          <w:tcPr>
            <w:tcW w:w="23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1.材质:不锈钢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2.形式:不锈钢管码底座</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3.管道规格:De110</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9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040602014003</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曝气管</w:t>
            </w:r>
          </w:p>
        </w:tc>
        <w:tc>
          <w:tcPr>
            <w:tcW w:w="23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1.材质:不锈钢管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2.直径:De160,厚度5mm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3.包含弯头及其他附件</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9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031002001003</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不锈钢管码底座</w:t>
            </w:r>
          </w:p>
        </w:tc>
        <w:tc>
          <w:tcPr>
            <w:tcW w:w="23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1.材质:不锈钢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2.形式:不锈钢管码底座</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3.管道规格:De160</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9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011606003001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天棚面龙骨及饰面拆除</w:t>
            </w:r>
          </w:p>
        </w:tc>
        <w:tc>
          <w:tcPr>
            <w:tcW w:w="23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1.拆除的饰面种类:原有PC阳光板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2.龙骨:304不锈钢方管切割</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3.其他:满足吊装口要求</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9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011303001001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采光天棚</w:t>
            </w:r>
          </w:p>
        </w:tc>
        <w:tc>
          <w:tcPr>
            <w:tcW w:w="23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1.骨架类型:不锈钢型材焊接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2.面层材料品种、规格:聚碳酸酯PC阳光板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3.其他:按现状恢复</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9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040101005001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清理池底作业面污水及污泥</w:t>
            </w:r>
          </w:p>
        </w:tc>
        <w:tc>
          <w:tcPr>
            <w:tcW w:w="23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1.名称:清理池底剩余污水及污泥至地面清晰可见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2.厚度:10cm</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86.66</w:t>
            </w:r>
          </w:p>
        </w:tc>
        <w:tc>
          <w:tcPr>
            <w:tcW w:w="9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一期南反应池合计</w:t>
            </w:r>
          </w:p>
        </w:tc>
        <w:tc>
          <w:tcPr>
            <w:tcW w:w="23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扩建北反应池</w:t>
            </w:r>
          </w:p>
        </w:tc>
        <w:tc>
          <w:tcPr>
            <w:tcW w:w="23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040602013003</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曝气器安装</w:t>
            </w:r>
          </w:p>
        </w:tc>
        <w:tc>
          <w:tcPr>
            <w:tcW w:w="23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1.名称:曝气器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2.规格:XZ-215型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3.参数:直径270</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1408</w:t>
            </w:r>
          </w:p>
        </w:tc>
        <w:tc>
          <w:tcPr>
            <w:tcW w:w="9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040602013004</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曝气器拆除</w:t>
            </w:r>
          </w:p>
        </w:tc>
        <w:tc>
          <w:tcPr>
            <w:tcW w:w="23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1.名称:原有曝气器保护性拆除</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1408</w:t>
            </w:r>
          </w:p>
        </w:tc>
        <w:tc>
          <w:tcPr>
            <w:tcW w:w="9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扩建北反应池合计</w:t>
            </w:r>
          </w:p>
        </w:tc>
        <w:tc>
          <w:tcPr>
            <w:tcW w:w="23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23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措施项目</w:t>
            </w:r>
          </w:p>
        </w:tc>
        <w:tc>
          <w:tcPr>
            <w:tcW w:w="23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031301011001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在有害身体健康环境中施工增加</w:t>
            </w:r>
          </w:p>
        </w:tc>
        <w:tc>
          <w:tcPr>
            <w:tcW w:w="23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1.有害气体检测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2.三个点每天持续检测，两个小时记录一次。工期20天，每天8小时</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031301018001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其他措施</w:t>
            </w:r>
          </w:p>
        </w:tc>
        <w:tc>
          <w:tcPr>
            <w:tcW w:w="23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1.洞内照明设施使用时间：持续使用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2.在池内安装4盏防爆灯，每天开启8小时</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031302007001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高层施工增加</w:t>
            </w:r>
          </w:p>
        </w:tc>
        <w:tc>
          <w:tcPr>
            <w:tcW w:w="23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031301017001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脚手架搭拆费</w:t>
            </w:r>
          </w:p>
        </w:tc>
        <w:tc>
          <w:tcPr>
            <w:tcW w:w="23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单价措施合计</w:t>
            </w:r>
          </w:p>
        </w:tc>
        <w:tc>
          <w:tcPr>
            <w:tcW w:w="23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3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100" w:type="dxa"/>
            <w:gridSpan w:val="9"/>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100" w:type="dxa"/>
            <w:gridSpan w:val="9"/>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945"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10"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bl>
    <w:p>
      <w:pPr>
        <w:pStyle w:val="2"/>
        <w:rPr>
          <w:rFonts w:ascii="宋体" w:hAnsi="宋体" w:eastAsia="宋体" w:cs="宋体"/>
          <w:color w:val="auto"/>
          <w:sz w:val="24"/>
          <w:szCs w:val="24"/>
          <w:highlight w:val="none"/>
          <w:lang w:val="en-GB"/>
        </w:rPr>
      </w:pPr>
    </w:p>
    <w:p>
      <w:pPr>
        <w:pStyle w:val="2"/>
        <w:rPr>
          <w:rFonts w:ascii="宋体" w:hAnsi="宋体" w:eastAsia="宋体" w:cs="宋体"/>
          <w:color w:val="auto"/>
          <w:sz w:val="24"/>
          <w:szCs w:val="24"/>
          <w:highlight w:val="none"/>
          <w:lang w:val="en-GB"/>
        </w:rPr>
      </w:pPr>
    </w:p>
    <w:p>
      <w:pPr>
        <w:pStyle w:val="2"/>
        <w:rPr>
          <w:rFonts w:ascii="宋体" w:hAnsi="宋体" w:eastAsia="宋体" w:cs="宋体"/>
          <w:color w:val="auto"/>
          <w:sz w:val="24"/>
          <w:szCs w:val="24"/>
          <w:highlight w:val="none"/>
          <w:lang w:val="en-GB"/>
        </w:rPr>
      </w:pPr>
    </w:p>
    <w:tbl>
      <w:tblPr>
        <w:tblStyle w:val="23"/>
        <w:tblW w:w="97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90"/>
        <w:gridCol w:w="1365"/>
        <w:gridCol w:w="1860"/>
        <w:gridCol w:w="1350"/>
        <w:gridCol w:w="585"/>
        <w:gridCol w:w="120"/>
        <w:gridCol w:w="870"/>
        <w:gridCol w:w="585"/>
        <w:gridCol w:w="270"/>
        <w:gridCol w:w="795"/>
        <w:gridCol w:w="12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9705" w:type="dxa"/>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5850" w:type="dxa"/>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工程名称：竹料分公司2023年一期南、扩建北反应池曝气头及曝气管大修项目</w:t>
            </w:r>
          </w:p>
        </w:tc>
        <w:tc>
          <w:tcPr>
            <w:tcW w:w="1575"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280"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690"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36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86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35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705"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87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855"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79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调整后金额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1215"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LSSGCSF00001</w:t>
            </w:r>
          </w:p>
        </w:tc>
        <w:tc>
          <w:tcPr>
            <w:tcW w:w="18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70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35.77</w:t>
            </w:r>
          </w:p>
        </w:tc>
        <w:tc>
          <w:tcPr>
            <w:tcW w:w="8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25781.77</w:t>
            </w:r>
          </w:p>
        </w:tc>
        <w:tc>
          <w:tcPr>
            <w:tcW w:w="85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031301010001</w:t>
            </w:r>
          </w:p>
        </w:tc>
        <w:tc>
          <w:tcPr>
            <w:tcW w:w="18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安装与生产同时进行增加费用</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70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8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031301011001</w:t>
            </w:r>
          </w:p>
        </w:tc>
        <w:tc>
          <w:tcPr>
            <w:tcW w:w="18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在有害身体健康环境中施工增加费</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70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8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TSSGBWZJF001</w:t>
            </w:r>
          </w:p>
        </w:tc>
        <w:tc>
          <w:tcPr>
            <w:tcW w:w="18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在地下（暗）室、设备及大口径管道内等特殊施工部位进行施工增加费</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0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8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按该部分人工费的30%计算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1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粤031302008001</w:t>
            </w:r>
          </w:p>
        </w:tc>
        <w:tc>
          <w:tcPr>
            <w:tcW w:w="18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70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8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赶工措施费=（1-δ）*分部分项（人工费+施工机具费）*0.344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031302002001</w:t>
            </w:r>
          </w:p>
        </w:tc>
        <w:tc>
          <w:tcPr>
            <w:tcW w:w="18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夜间施工增加费</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0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8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按其夜间施工项目人工费的20%计算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08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JTGRSGZJF001</w:t>
            </w:r>
          </w:p>
        </w:tc>
        <w:tc>
          <w:tcPr>
            <w:tcW w:w="18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交通干扰工程施工增加费</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0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8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按在市政道路上施工项目人工费的10%计算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55"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粤031302009001</w:t>
            </w:r>
          </w:p>
        </w:tc>
        <w:tc>
          <w:tcPr>
            <w:tcW w:w="18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文明工地增加费</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70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8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以分部分项的人工费与施工机具费之和为计算基础；市级文明工地1.00%；省级文明工地2.00%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690"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365"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DXGXJCJXF001</w:t>
            </w:r>
          </w:p>
        </w:tc>
        <w:tc>
          <w:tcPr>
            <w:tcW w:w="186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地下管线交叉降效费</w:t>
            </w:r>
          </w:p>
        </w:tc>
        <w:tc>
          <w:tcPr>
            <w:tcW w:w="135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05"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95"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按实际发生或经批准的施工方案计算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QTFY00000001</w:t>
            </w:r>
          </w:p>
        </w:tc>
        <w:tc>
          <w:tcPr>
            <w:tcW w:w="18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0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按实际发生或经批准的施工组织设计方案计算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970" w:type="dxa"/>
            <w:gridSpan w:val="6"/>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87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95"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bl>
    <w:p>
      <w:pPr>
        <w:pStyle w:val="2"/>
        <w:rPr>
          <w:rFonts w:ascii="宋体" w:hAnsi="宋体" w:eastAsia="宋体" w:cs="宋体"/>
          <w:color w:val="auto"/>
          <w:sz w:val="24"/>
          <w:szCs w:val="24"/>
          <w:highlight w:val="none"/>
          <w:lang w:val="en-GB"/>
        </w:rPr>
      </w:pPr>
    </w:p>
    <w:tbl>
      <w:tblPr>
        <w:tblStyle w:val="23"/>
        <w:tblW w:w="772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05"/>
        <w:gridCol w:w="1905"/>
        <w:gridCol w:w="1035"/>
        <w:gridCol w:w="540"/>
        <w:gridCol w:w="885"/>
        <w:gridCol w:w="525"/>
        <w:gridCol w:w="18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7725" w:type="dxa"/>
            <w:gridSpan w:val="7"/>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945"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工程名称：竹料分公司2023年一期南、扩建北反应池曝气头及曝气管大修项目</w:t>
            </w:r>
          </w:p>
        </w:tc>
        <w:tc>
          <w:tcPr>
            <w:tcW w:w="142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35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1005"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90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575"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141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结算金额（元）</w:t>
            </w:r>
          </w:p>
        </w:tc>
        <w:tc>
          <w:tcPr>
            <w:tcW w:w="1830"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0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15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66274.99</w:t>
            </w:r>
          </w:p>
        </w:tc>
        <w:tc>
          <w:tcPr>
            <w:tcW w:w="141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0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15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1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0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材料暂估价</w:t>
            </w:r>
          </w:p>
        </w:tc>
        <w:tc>
          <w:tcPr>
            <w:tcW w:w="15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41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0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专业工程暂估价</w:t>
            </w:r>
          </w:p>
        </w:tc>
        <w:tc>
          <w:tcPr>
            <w:tcW w:w="15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1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0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15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1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0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15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1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0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15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1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0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15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1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0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15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1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0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15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1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0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15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1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0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5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1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bl>
    <w:p>
      <w:pPr>
        <w:pStyle w:val="2"/>
        <w:rPr>
          <w:rFonts w:ascii="宋体" w:hAnsi="宋体" w:eastAsia="宋体" w:cs="宋体"/>
          <w:color w:val="auto"/>
          <w:sz w:val="24"/>
          <w:szCs w:val="24"/>
          <w:highlight w:val="none"/>
          <w:lang w:val="en-GB"/>
        </w:rPr>
      </w:pPr>
    </w:p>
    <w:tbl>
      <w:tblPr>
        <w:tblStyle w:val="23"/>
        <w:tblW w:w="84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65"/>
        <w:gridCol w:w="2625"/>
        <w:gridCol w:w="360"/>
        <w:gridCol w:w="750"/>
        <w:gridCol w:w="1065"/>
        <w:gridCol w:w="990"/>
        <w:gridCol w:w="16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8460" w:type="dxa"/>
            <w:gridSpan w:val="7"/>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暂列金额明细表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4050"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工程名称：竹料分公司2023年一期南、扩建北反应池曝气头及曝气管大修项目</w:t>
            </w:r>
          </w:p>
        </w:tc>
        <w:tc>
          <w:tcPr>
            <w:tcW w:w="181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59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1065"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262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名称</w:t>
            </w:r>
          </w:p>
        </w:tc>
        <w:tc>
          <w:tcPr>
            <w:tcW w:w="111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2055"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暂定金额（元）</w:t>
            </w:r>
          </w:p>
        </w:tc>
        <w:tc>
          <w:tcPr>
            <w:tcW w:w="1605"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6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111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元</w:t>
            </w:r>
          </w:p>
        </w:tc>
        <w:tc>
          <w:tcPr>
            <w:tcW w:w="205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69763.15</w:t>
            </w:r>
          </w:p>
        </w:tc>
        <w:tc>
          <w:tcPr>
            <w:tcW w:w="160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05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0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800" w:type="dxa"/>
            <w:gridSpan w:val="4"/>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2055"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69763.15</w:t>
            </w:r>
          </w:p>
        </w:tc>
        <w:tc>
          <w:tcPr>
            <w:tcW w:w="1605"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bl>
    <w:p>
      <w:pPr>
        <w:pStyle w:val="2"/>
        <w:ind w:left="0" w:leftChars="0" w:firstLine="0" w:firstLineChars="0"/>
        <w:rPr>
          <w:rFonts w:ascii="宋体" w:hAnsi="宋体" w:eastAsia="宋体" w:cs="宋体"/>
          <w:color w:val="auto"/>
          <w:sz w:val="24"/>
          <w:szCs w:val="24"/>
          <w:highlight w:val="none"/>
          <w:lang w:val="en-GB"/>
        </w:rPr>
      </w:pPr>
    </w:p>
    <w:tbl>
      <w:tblPr>
        <w:tblStyle w:val="23"/>
        <w:tblW w:w="93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25"/>
        <w:gridCol w:w="45"/>
        <w:gridCol w:w="1725"/>
        <w:gridCol w:w="615"/>
        <w:gridCol w:w="630"/>
        <w:gridCol w:w="1305"/>
        <w:gridCol w:w="150"/>
        <w:gridCol w:w="705"/>
        <w:gridCol w:w="180"/>
        <w:gridCol w:w="495"/>
        <w:gridCol w:w="30"/>
        <w:gridCol w:w="510"/>
        <w:gridCol w:w="105"/>
        <w:gridCol w:w="465"/>
        <w:gridCol w:w="420"/>
        <w:gridCol w:w="990"/>
        <w:gridCol w:w="1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05" w:type="dxa"/>
          <w:trHeight w:val="795" w:hRule="atLeast"/>
        </w:trPr>
        <w:tc>
          <w:tcPr>
            <w:tcW w:w="9195" w:type="dxa"/>
            <w:gridSpan w:val="16"/>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计日工表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05" w:type="dxa"/>
          <w:trHeight w:val="570" w:hRule="atLeast"/>
        </w:trPr>
        <w:tc>
          <w:tcPr>
            <w:tcW w:w="6000" w:type="dxa"/>
            <w:gridSpan w:val="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工程名称：竹料分公司2023年一期南、扩建北反应池曝气头及曝气管大修项目</w:t>
            </w:r>
          </w:p>
        </w:tc>
        <w:tc>
          <w:tcPr>
            <w:tcW w:w="1215"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98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05" w:type="dxa"/>
          <w:trHeight w:val="360" w:hRule="atLeast"/>
        </w:trPr>
        <w:tc>
          <w:tcPr>
            <w:tcW w:w="825"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编号</w:t>
            </w:r>
          </w:p>
        </w:tc>
        <w:tc>
          <w:tcPr>
            <w:tcW w:w="2385"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63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w:t>
            </w:r>
          </w:p>
        </w:tc>
        <w:tc>
          <w:tcPr>
            <w:tcW w:w="1305"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暂定数量</w:t>
            </w:r>
          </w:p>
        </w:tc>
        <w:tc>
          <w:tcPr>
            <w:tcW w:w="1035"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实际数量</w:t>
            </w:r>
          </w:p>
        </w:tc>
        <w:tc>
          <w:tcPr>
            <w:tcW w:w="1140" w:type="dxa"/>
            <w:gridSpan w:val="4"/>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单价(元)</w:t>
            </w:r>
          </w:p>
        </w:tc>
        <w:tc>
          <w:tcPr>
            <w:tcW w:w="1875"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05" w:type="dxa"/>
          <w:trHeight w:val="360" w:hRule="atLeast"/>
        </w:trPr>
        <w:tc>
          <w:tcPr>
            <w:tcW w:w="825"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385"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0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0" w:type="dxa"/>
            <w:gridSpan w:val="4"/>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暂定</w:t>
            </w:r>
          </w:p>
        </w:tc>
        <w:tc>
          <w:tcPr>
            <w:tcW w:w="9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05" w:type="dxa"/>
          <w:trHeight w:val="360" w:hRule="atLeast"/>
        </w:trPr>
        <w:tc>
          <w:tcPr>
            <w:tcW w:w="82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38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人工</w:t>
            </w:r>
          </w:p>
        </w:tc>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3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4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05" w:type="dxa"/>
          <w:trHeight w:val="360" w:hRule="atLeast"/>
        </w:trPr>
        <w:tc>
          <w:tcPr>
            <w:tcW w:w="82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238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3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4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05" w:type="dxa"/>
          <w:trHeight w:val="360" w:hRule="atLeast"/>
        </w:trPr>
        <w:tc>
          <w:tcPr>
            <w:tcW w:w="7320" w:type="dxa"/>
            <w:gridSpan w:val="1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人工小计</w:t>
            </w:r>
          </w:p>
        </w:tc>
        <w:tc>
          <w:tcPr>
            <w:tcW w:w="8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05" w:type="dxa"/>
          <w:trHeight w:val="360" w:hRule="atLeast"/>
        </w:trPr>
        <w:tc>
          <w:tcPr>
            <w:tcW w:w="82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38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材料</w:t>
            </w:r>
          </w:p>
        </w:tc>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3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4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05" w:type="dxa"/>
          <w:trHeight w:val="360" w:hRule="atLeast"/>
        </w:trPr>
        <w:tc>
          <w:tcPr>
            <w:tcW w:w="82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238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沙包</w:t>
            </w:r>
          </w:p>
        </w:tc>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13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0.45</w:t>
            </w:r>
          </w:p>
        </w:tc>
        <w:tc>
          <w:tcPr>
            <w:tcW w:w="103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4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05" w:type="dxa"/>
          <w:trHeight w:val="360" w:hRule="atLeast"/>
        </w:trPr>
        <w:tc>
          <w:tcPr>
            <w:tcW w:w="7320" w:type="dxa"/>
            <w:gridSpan w:val="1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材料小计</w:t>
            </w:r>
          </w:p>
        </w:tc>
        <w:tc>
          <w:tcPr>
            <w:tcW w:w="8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05" w:type="dxa"/>
          <w:trHeight w:val="360" w:hRule="atLeast"/>
        </w:trPr>
        <w:tc>
          <w:tcPr>
            <w:tcW w:w="82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238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施工机具</w:t>
            </w:r>
          </w:p>
        </w:tc>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3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4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05" w:type="dxa"/>
          <w:trHeight w:val="570" w:hRule="atLeast"/>
        </w:trPr>
        <w:tc>
          <w:tcPr>
            <w:tcW w:w="82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238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轴流通风机 风量4000-6000m³/h</w:t>
            </w:r>
          </w:p>
        </w:tc>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台班</w:t>
            </w:r>
          </w:p>
        </w:tc>
        <w:tc>
          <w:tcPr>
            <w:tcW w:w="13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w:t>
            </w:r>
          </w:p>
        </w:tc>
        <w:tc>
          <w:tcPr>
            <w:tcW w:w="103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4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05" w:type="dxa"/>
          <w:trHeight w:val="360" w:hRule="atLeast"/>
        </w:trPr>
        <w:tc>
          <w:tcPr>
            <w:tcW w:w="82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238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潜水泵 流量100(m3/h)</w:t>
            </w:r>
          </w:p>
        </w:tc>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台班</w:t>
            </w:r>
          </w:p>
        </w:tc>
        <w:tc>
          <w:tcPr>
            <w:tcW w:w="13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03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4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05" w:type="dxa"/>
          <w:trHeight w:val="570" w:hRule="atLeast"/>
        </w:trPr>
        <w:tc>
          <w:tcPr>
            <w:tcW w:w="82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238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汽车式起重机 提升质量25(t)</w:t>
            </w:r>
          </w:p>
        </w:tc>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台班</w:t>
            </w:r>
          </w:p>
        </w:tc>
        <w:tc>
          <w:tcPr>
            <w:tcW w:w="13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03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4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05" w:type="dxa"/>
          <w:trHeight w:val="360" w:hRule="atLeast"/>
        </w:trPr>
        <w:tc>
          <w:tcPr>
            <w:tcW w:w="7320" w:type="dxa"/>
            <w:gridSpan w:val="1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施工机具小计</w:t>
            </w:r>
          </w:p>
        </w:tc>
        <w:tc>
          <w:tcPr>
            <w:tcW w:w="8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05" w:type="dxa"/>
          <w:trHeight w:val="360" w:hRule="atLeast"/>
        </w:trPr>
        <w:tc>
          <w:tcPr>
            <w:tcW w:w="82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38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3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4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05" w:type="dxa"/>
          <w:trHeight w:val="360" w:hRule="atLeast"/>
        </w:trPr>
        <w:tc>
          <w:tcPr>
            <w:tcW w:w="82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38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3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4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05" w:type="dxa"/>
          <w:trHeight w:val="360" w:hRule="atLeast"/>
        </w:trPr>
        <w:tc>
          <w:tcPr>
            <w:tcW w:w="7320" w:type="dxa"/>
            <w:gridSpan w:val="1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4.企业管理费和利润</w:t>
            </w:r>
          </w:p>
        </w:tc>
        <w:tc>
          <w:tcPr>
            <w:tcW w:w="8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05" w:type="dxa"/>
          <w:trHeight w:val="360" w:hRule="atLeast"/>
        </w:trPr>
        <w:tc>
          <w:tcPr>
            <w:tcW w:w="7320" w:type="dxa"/>
            <w:gridSpan w:val="13"/>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         计</w:t>
            </w:r>
          </w:p>
        </w:tc>
        <w:tc>
          <w:tcPr>
            <w:tcW w:w="885"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9300" w:type="dxa"/>
            <w:gridSpan w:val="17"/>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5295" w:type="dxa"/>
            <w:gridSpan w:val="7"/>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工程名称：竹料分公司2023年一期南、扩建北反应池曝气头及曝气管大修项目</w:t>
            </w:r>
          </w:p>
        </w:tc>
        <w:tc>
          <w:tcPr>
            <w:tcW w:w="141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595" w:type="dxa"/>
            <w:gridSpan w:val="6"/>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870" w:type="dxa"/>
            <w:gridSpan w:val="2"/>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72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700"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1380"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计算基数</w:t>
            </w:r>
          </w:p>
        </w:tc>
        <w:tc>
          <w:tcPr>
            <w:tcW w:w="1110"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1515" w:type="dxa"/>
            <w:gridSpan w:val="3"/>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870"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270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分部分项合计+措施合计+其他项目</w:t>
            </w:r>
          </w:p>
        </w:tc>
        <w:tc>
          <w:tcPr>
            <w:tcW w:w="138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1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515"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70"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70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8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1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15"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785" w:type="dxa"/>
            <w:gridSpan w:val="14"/>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1515" w:type="dxa"/>
            <w:gridSpan w:val="3"/>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bl>
    <w:p>
      <w:pPr>
        <w:adjustRightInd w:val="0"/>
        <w:snapToGrid w:val="0"/>
        <w:spacing w:line="360" w:lineRule="auto"/>
        <w:jc w:val="both"/>
        <w:rPr>
          <w:rFonts w:hint="eastAsia" w:ascii="宋体" w:hAnsi="宋体" w:eastAsia="宋体" w:cs="宋体"/>
          <w:color w:val="auto"/>
          <w:sz w:val="24"/>
          <w:szCs w:val="24"/>
          <w:highlight w:val="none"/>
          <w:lang w:val="en-GB"/>
        </w:rPr>
      </w:pPr>
    </w:p>
    <w:p>
      <w:pPr>
        <w:adjustRightInd w:val="0"/>
        <w:snapToGrid w:val="0"/>
        <w:spacing w:line="360" w:lineRule="auto"/>
        <w:jc w:val="right"/>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 xml:space="preserve">供应商名称（加盖公章）： </w:t>
      </w:r>
    </w:p>
    <w:p>
      <w:pPr>
        <w:adjustRightInd w:val="0"/>
        <w:snapToGrid w:val="0"/>
        <w:spacing w:line="600" w:lineRule="exact"/>
        <w:ind w:firstLine="7128" w:firstLineChars="2970"/>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年  月  日</w:t>
      </w:r>
    </w:p>
    <w:p>
      <w:pPr>
        <w:pStyle w:val="6"/>
        <w:numPr>
          <w:ilvl w:val="0"/>
          <w:numId w:val="6"/>
        </w:numPr>
        <w:rPr>
          <w:rFonts w:hint="eastAsia" w:asciiTheme="majorEastAsia" w:hAnsiTheme="majorEastAsia" w:eastAsiaTheme="majorEastAsia"/>
          <w:color w:val="auto"/>
          <w:sz w:val="28"/>
          <w:szCs w:val="28"/>
          <w:highlight w:val="none"/>
        </w:rPr>
      </w:pPr>
      <w:bookmarkStart w:id="162" w:name="_Toc16386"/>
      <w:bookmarkStart w:id="163" w:name="_Toc88209965"/>
      <w:bookmarkStart w:id="164" w:name="_Toc6058"/>
      <w:bookmarkStart w:id="165" w:name="_Toc87616402"/>
      <w:r>
        <w:rPr>
          <w:rFonts w:hint="eastAsia" w:asciiTheme="majorEastAsia" w:hAnsiTheme="majorEastAsia" w:eastAsiaTheme="majorEastAsia"/>
          <w:color w:val="auto"/>
          <w:sz w:val="28"/>
          <w:szCs w:val="28"/>
          <w:highlight w:val="none"/>
        </w:rPr>
        <w:t>其他资料</w:t>
      </w:r>
      <w:bookmarkEnd w:id="162"/>
      <w:bookmarkEnd w:id="163"/>
      <w:bookmarkEnd w:id="164"/>
      <w:bookmarkEnd w:id="165"/>
    </w:p>
    <w:p>
      <w:pPr>
        <w:spacing w:line="360" w:lineRule="auto"/>
        <w:jc w:val="center"/>
        <w:outlineLvl w:val="3"/>
        <w:rPr>
          <w:rFonts w:ascii="宋体" w:hAnsi="宋体" w:cs="宋体"/>
          <w:b/>
          <w:bCs/>
          <w:color w:val="auto"/>
          <w:sz w:val="24"/>
          <w:szCs w:val="24"/>
          <w:highlight w:val="none"/>
        </w:rPr>
      </w:pPr>
      <w:r>
        <w:rPr>
          <w:rFonts w:hint="eastAsia" w:ascii="宋体" w:hAnsi="宋体" w:cs="宋体"/>
          <w:b/>
          <w:color w:val="auto"/>
          <w:sz w:val="24"/>
          <w:szCs w:val="24"/>
          <w:highlight w:val="none"/>
        </w:rPr>
        <w:t>拟投入工程人员配备响应表</w:t>
      </w:r>
    </w:p>
    <w:tbl>
      <w:tblPr>
        <w:tblStyle w:val="23"/>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005"/>
        <w:gridCol w:w="855"/>
        <w:gridCol w:w="2370"/>
        <w:gridCol w:w="2573"/>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岗位</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性别</w:t>
            </w: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身份证号</w:t>
            </w: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执业或职业资格证明</w:t>
            </w: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项目负责人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安全员</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技术负责人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普工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普工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普工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普工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szCs w:val="24"/>
                <w:highlight w:val="none"/>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bl>
    <w:p>
      <w:pPr>
        <w:adjustRightInd w:val="0"/>
        <w:snapToGrid w:val="0"/>
        <w:spacing w:line="360" w:lineRule="auto"/>
        <w:jc w:val="right"/>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 xml:space="preserve">供应商名称（加盖公章）： </w:t>
      </w:r>
    </w:p>
    <w:p>
      <w:pPr>
        <w:adjustRightInd w:val="0"/>
        <w:snapToGrid w:val="0"/>
        <w:spacing w:line="360" w:lineRule="auto"/>
        <w:jc w:val="right"/>
        <w:rPr>
          <w:color w:val="auto"/>
          <w:highlight w:val="none"/>
        </w:rPr>
      </w:pPr>
      <w:r>
        <w:rPr>
          <w:rFonts w:hint="eastAsia" w:ascii="宋体" w:hAnsi="宋体" w:eastAsia="宋体" w:cs="宋体"/>
          <w:color w:val="auto"/>
          <w:sz w:val="24"/>
          <w:szCs w:val="24"/>
          <w:highlight w:val="none"/>
          <w:lang w:val="en-GB"/>
        </w:rPr>
        <w:t>年  月  日</w:t>
      </w:r>
    </w:p>
    <w:p>
      <w:pPr>
        <w:adjustRightInd w:val="0"/>
        <w:snapToGrid w:val="0"/>
        <w:spacing w:line="600" w:lineRule="exact"/>
        <w:ind w:firstLine="0"/>
        <w:rPr>
          <w:rFonts w:hint="eastAsia" w:cs="Times New Roman" w:asciiTheme="majorEastAsia" w:hAnsiTheme="majorEastAsia" w:eastAsiaTheme="majorEastAsia"/>
          <w:b/>
          <w:bCs/>
          <w:color w:val="auto"/>
          <w:sz w:val="28"/>
          <w:szCs w:val="28"/>
          <w:highlight w:val="none"/>
        </w:rPr>
      </w:pPr>
      <w:r>
        <w:rPr>
          <w:rFonts w:hint="eastAsia" w:cs="Times New Roman" w:asciiTheme="majorEastAsia" w:hAnsiTheme="majorEastAsia" w:eastAsiaTheme="majorEastAsia"/>
          <w:b/>
          <w:bCs/>
          <w:color w:val="auto"/>
          <w:sz w:val="28"/>
          <w:szCs w:val="28"/>
          <w:highlight w:val="none"/>
          <w:lang w:val="en-US" w:eastAsia="zh-CN"/>
        </w:rPr>
        <w:t>7.</w:t>
      </w:r>
      <w:r>
        <w:rPr>
          <w:rFonts w:hint="eastAsia" w:cs="Times New Roman" w:asciiTheme="majorEastAsia" w:hAnsiTheme="majorEastAsia" w:eastAsiaTheme="majorEastAsia"/>
          <w:b/>
          <w:bCs/>
          <w:color w:val="auto"/>
          <w:sz w:val="28"/>
          <w:szCs w:val="28"/>
          <w:highlight w:val="none"/>
        </w:rPr>
        <w:t>供应商须提交的其他资料。</w:t>
      </w:r>
    </w:p>
    <w:sectPr>
      <w:footerReference r:id="rId7" w:type="first"/>
      <w:footerReference r:id="rId6" w:type="default"/>
      <w:pgSz w:w="11906" w:h="16838"/>
      <w:pgMar w:top="2098" w:right="1474" w:bottom="1985" w:left="158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Batang">
    <w:altName w:val="Malgun Gothic"/>
    <w:panose1 w:val="02030600000101010101"/>
    <w:charset w:val="81"/>
    <w:family w:val="roma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隶书">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S/5lskBAACaAwAADgAAAGRycy9lMm9Eb2MueG1srVPNjtMwEL4j8Q6W&#10;79Rph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e4Ca8pcdzixC/fv11+/Lr8/Epe&#10;5v70AWpMuwuYmIa3fsDc2Q/ozLIHFW3+oiCCcezu+dpdOSQi8qP1ar2uMCQwNl8Qnz08DxHSO+kt&#10;yUZDI46vdJWfPkAaU+eUXM35W21MGaFxfzkQM3tY5j5yzFYa9sMkaO/bM+rpcfINdbjolJj3Dhub&#10;l2Q24mzsZ+MYoj50SG1ZeEF4c0xIonDLFUbYqTCOrKib1ivvxJ/3kvXwS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JL/mWyQEAAJoDAAAOAAAAAAAAAAEAIAAAAB4BAABkcnMvZTJvRG9j&#10;LnhtbFBLBQYAAAAABgAGAFkBAABZBQ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sdtPr>
    <w:sdtContent>
      <w:p>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3I2lMkBAACaAwAADgAAAGRycy9lMm9Eb2MueG1srVPNjtMwEL4j8Q6W&#10;79RpkVAVNV3tqlqEhABp4QFcx24s+U8et0lfAN6AExfuPFefg7GTdGG57IFLMp6ZfPN93zi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pt6Aotcdzixi/fv11+/Lr8/Epe&#10;Z3/6ADW2PQRsTMOdH/DWzHnAZJY9qGjzGwURrCPU+equHBIR+aP1ar2usCSwNh8Qnz1+HiKkt9Jb&#10;koOGRlxfcZWf3kMaW+eWPM35e21MWaFxfyUQM2dY5j5yzFEa9sMkaO/bM+rpcfMNdXjRKTHvHBqL&#10;/NIcxDnYz8ExRH3okNqy8IJwe0xIonDLE0bYaTCurKibrle+E3+eS9fjL7X9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jcjaUyQEAAJoDAAAOAAAAAAAAAAEAIAAAAB4BAABkcnMvZTJvRG9j&#10;LnhtbFBLBQYAAAAABgAGAFkBAABZBQAAAAA=&#10;">
              <v:fill on="f" focussize="0,0"/>
              <v:stroke on="f"/>
              <v:imagedata o:title=""/>
              <o:lock v:ext="edit" aspectratio="f"/>
              <v:textbox inset="0mm,0mm,0mm,0mm" style="mso-fit-shape-to-text:t;">
                <w:txbxContent>
                  <w:p>
                    <w:pPr>
                      <w:pStyle w:val="1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Ypq+MkBAACaAwAADgAAAGRycy9lMm9Eb2MueG1srVPNjtMwEL4j8Q6W&#10;79Rph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NWSEsctTvzy/dvlx6/Lz6/k&#10;de5PH6DGtIeAiWm48wNuzewHdGbZg4o2f1EQwTh293ztrhwSEfnRerVeVxgSGJsviM8en4cI6a30&#10;lmSjoRHHV7rKT+8hjalzSq7m/L02pozQuL8ciJk9LHMfOWYrDfthErT37Rn19Dj5hjpcdErMO4eN&#10;zUsyG3E29rNxDFEfOqS2LLwg3B4TkijccoURdiqMIyvqpvXKO/HnvWQ9/lLb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Vimr4yQEAAJoDAAAOAAAAAAAAAAEAIAAAAB4BAABkcnMvZTJvRG9j&#10;LnhtbFBLBQYAAAAABgAGAFkBAABZBQ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rPr>
                              <w:rFonts w:hint="eastAsia"/>
                            </w:rPr>
                            <w:fldChar w:fldCharType="begin"/>
                          </w:r>
                          <w:r>
                            <w:rPr>
                              <w:rFonts w:hint="eastAsia"/>
                            </w:rPr>
                            <w:instrText xml:space="preserve"> PAGE  \* MERGEFORMAT </w:instrText>
                          </w:r>
                          <w:r>
                            <w:rPr>
                              <w:rFonts w:hint="eastAsia"/>
                            </w:rPr>
                            <w:fldChar w:fldCharType="separate"/>
                          </w:r>
                          <w:r>
                            <w:rPr>
                              <w:rFonts w:hint="eastAsia"/>
                            </w:rPr>
                            <w:t>0</w:t>
                          </w:r>
                          <w:r>
                            <w:rPr>
                              <w:rFonts w:hint="eastAsia"/>
                            </w:rP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79Y+8oBAACa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VlFhmcOLnnz/Ov/6cf38n&#10;y9Sf3kONaY8eE+PwwQ24NbMf0JlkDzKY9EVBBOPY3dOlu2KIhKdHq2q1KjHEMTZfEL94eu4DxI/C&#10;GZKMhgYcX+4qO95DHFPnlFTNujuldR6htv84EDN5isR95JisOOyGSdDOtSfU0+PkG2px0SnRnyw2&#10;Ni3JbITZ2M3GwQe175DaMvMCf3uISCJzSxVG2Kkwjiyrm9Yr7cTze856+qU2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w79Y+8oBAACaAwAADgAAAAAAAAABACAAAAAeAQAAZHJzL2Uyb0Rv&#10;Yy54bWxQSwUGAAAAAAYABgBZAQAAWgUAAAAA&#10;">
              <v:fill on="f" focussize="0,0"/>
              <v:stroke on="f"/>
              <v:imagedata o:title=""/>
              <o:lock v:ext="edit" aspectratio="f"/>
              <v:textbox inset="0mm,0mm,0mm,0mm" style="mso-fit-shape-to-text:t;">
                <w:txbxContent>
                  <w:p>
                    <w:pPr>
                      <w:pStyle w:val="17"/>
                    </w:pPr>
                    <w:r>
                      <w:rPr>
                        <w:rFonts w:hint="eastAsia"/>
                      </w:rPr>
                      <w:fldChar w:fldCharType="begin"/>
                    </w:r>
                    <w:r>
                      <w:rPr>
                        <w:rFonts w:hint="eastAsia"/>
                      </w:rPr>
                      <w:instrText xml:space="preserve"> PAGE  \* MERGEFORMAT </w:instrText>
                    </w:r>
                    <w:r>
                      <w:rPr>
                        <w:rFonts w:hint="eastAsia"/>
                      </w:rPr>
                      <w:fldChar w:fldCharType="separate"/>
                    </w:r>
                    <w:r>
                      <w:rPr>
                        <w:rFonts w:hint="eastAsia"/>
                      </w:rPr>
                      <w:t>0</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E5B1A38F"/>
    <w:multiLevelType w:val="singleLevel"/>
    <w:tmpl w:val="E5B1A38F"/>
    <w:lvl w:ilvl="0" w:tentative="0">
      <w:start w:val="5"/>
      <w:numFmt w:val="decimal"/>
      <w:lvlText w:val="%1."/>
      <w:lvlJc w:val="left"/>
      <w:pPr>
        <w:tabs>
          <w:tab w:val="left" w:pos="312"/>
        </w:tabs>
      </w:pPr>
    </w:lvl>
  </w:abstractNum>
  <w:abstractNum w:abstractNumId="2">
    <w:nsid w:val="F474C9A6"/>
    <w:multiLevelType w:val="singleLevel"/>
    <w:tmpl w:val="F474C9A6"/>
    <w:lvl w:ilvl="0" w:tentative="0">
      <w:start w:val="10"/>
      <w:numFmt w:val="chineseCounting"/>
      <w:suff w:val="space"/>
      <w:lvlText w:val="第%1条"/>
      <w:lvlJc w:val="left"/>
      <w:rPr>
        <w:rFonts w:hint="eastAsia"/>
      </w:rPr>
    </w:lvl>
  </w:abstractNum>
  <w:abstractNum w:abstractNumId="3">
    <w:nsid w:val="4734DCE6"/>
    <w:multiLevelType w:val="singleLevel"/>
    <w:tmpl w:val="4734DCE6"/>
    <w:lvl w:ilvl="0" w:tentative="0">
      <w:start w:val="1"/>
      <w:numFmt w:val="decimal"/>
      <w:lvlText w:val="%1."/>
      <w:lvlJc w:val="left"/>
      <w:pPr>
        <w:tabs>
          <w:tab w:val="left" w:pos="312"/>
        </w:tabs>
      </w:pPr>
    </w:lvl>
  </w:abstractNum>
  <w:abstractNum w:abstractNumId="4">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5"/>
  </w:num>
  <w:num w:numId="3">
    <w:abstractNumId w:val="3"/>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xOWI5ZjY1NzIwMzQ1MWE0MjhiNDMxMDc2MWY2NDkifQ=="/>
  </w:docVars>
  <w:rsids>
    <w:rsidRoot w:val="005D618A"/>
    <w:rsid w:val="00175176"/>
    <w:rsid w:val="003D60BA"/>
    <w:rsid w:val="00411689"/>
    <w:rsid w:val="00424BCB"/>
    <w:rsid w:val="00575ADC"/>
    <w:rsid w:val="005D618A"/>
    <w:rsid w:val="00662D90"/>
    <w:rsid w:val="00911ECD"/>
    <w:rsid w:val="00A042E0"/>
    <w:rsid w:val="00A72ED5"/>
    <w:rsid w:val="00B26BB1"/>
    <w:rsid w:val="00B26E21"/>
    <w:rsid w:val="00B6381A"/>
    <w:rsid w:val="00BC4C34"/>
    <w:rsid w:val="00F83B64"/>
    <w:rsid w:val="00FC77BD"/>
    <w:rsid w:val="013E3461"/>
    <w:rsid w:val="02090C75"/>
    <w:rsid w:val="02A23A3C"/>
    <w:rsid w:val="035D130A"/>
    <w:rsid w:val="039110A9"/>
    <w:rsid w:val="03AC246A"/>
    <w:rsid w:val="03B23056"/>
    <w:rsid w:val="03DC3EBA"/>
    <w:rsid w:val="03F9794D"/>
    <w:rsid w:val="046A2461"/>
    <w:rsid w:val="051C2970"/>
    <w:rsid w:val="060C3611"/>
    <w:rsid w:val="06C64829"/>
    <w:rsid w:val="077D16D2"/>
    <w:rsid w:val="082A69F3"/>
    <w:rsid w:val="08675FC8"/>
    <w:rsid w:val="09B713FD"/>
    <w:rsid w:val="09EF6ACC"/>
    <w:rsid w:val="0A315056"/>
    <w:rsid w:val="0AA213B4"/>
    <w:rsid w:val="0AF61C7E"/>
    <w:rsid w:val="0AFB45AD"/>
    <w:rsid w:val="0B351E9B"/>
    <w:rsid w:val="0B4C50D3"/>
    <w:rsid w:val="0B806B92"/>
    <w:rsid w:val="0B827E94"/>
    <w:rsid w:val="0B842F76"/>
    <w:rsid w:val="0BD070E1"/>
    <w:rsid w:val="0C247926"/>
    <w:rsid w:val="0D794204"/>
    <w:rsid w:val="0E2125D1"/>
    <w:rsid w:val="0E214211"/>
    <w:rsid w:val="0E5F2769"/>
    <w:rsid w:val="0E89579C"/>
    <w:rsid w:val="0F4D75A3"/>
    <w:rsid w:val="0F5B2DCA"/>
    <w:rsid w:val="0FED051E"/>
    <w:rsid w:val="0FEE4C29"/>
    <w:rsid w:val="10031608"/>
    <w:rsid w:val="10046082"/>
    <w:rsid w:val="111703D2"/>
    <w:rsid w:val="112B101A"/>
    <w:rsid w:val="119B53FC"/>
    <w:rsid w:val="12424CDC"/>
    <w:rsid w:val="129A2738"/>
    <w:rsid w:val="12B56BF1"/>
    <w:rsid w:val="12CB1A89"/>
    <w:rsid w:val="12D55D4A"/>
    <w:rsid w:val="131840FB"/>
    <w:rsid w:val="13467417"/>
    <w:rsid w:val="136E76CF"/>
    <w:rsid w:val="145F08C6"/>
    <w:rsid w:val="14A5581C"/>
    <w:rsid w:val="15776308"/>
    <w:rsid w:val="15BC6B3C"/>
    <w:rsid w:val="164D40B0"/>
    <w:rsid w:val="1694429A"/>
    <w:rsid w:val="17635326"/>
    <w:rsid w:val="17C57205"/>
    <w:rsid w:val="18236EFD"/>
    <w:rsid w:val="183578A5"/>
    <w:rsid w:val="189D5B1F"/>
    <w:rsid w:val="18A34CD0"/>
    <w:rsid w:val="198814E2"/>
    <w:rsid w:val="19A53EA8"/>
    <w:rsid w:val="19B64DBC"/>
    <w:rsid w:val="1A373ACF"/>
    <w:rsid w:val="1A895341"/>
    <w:rsid w:val="1B0D071F"/>
    <w:rsid w:val="1B4568CE"/>
    <w:rsid w:val="1B9015B7"/>
    <w:rsid w:val="1BF54245"/>
    <w:rsid w:val="1C4C7701"/>
    <w:rsid w:val="1D0E6976"/>
    <w:rsid w:val="1D3F5364"/>
    <w:rsid w:val="1D5A79EE"/>
    <w:rsid w:val="1E0E2CD0"/>
    <w:rsid w:val="1E831280"/>
    <w:rsid w:val="1EBC4704"/>
    <w:rsid w:val="1F172EB5"/>
    <w:rsid w:val="1F94592D"/>
    <w:rsid w:val="1FB860DE"/>
    <w:rsid w:val="203C5A02"/>
    <w:rsid w:val="209D4C94"/>
    <w:rsid w:val="20E84705"/>
    <w:rsid w:val="218400BA"/>
    <w:rsid w:val="21AB1E2F"/>
    <w:rsid w:val="21D40498"/>
    <w:rsid w:val="225E5936"/>
    <w:rsid w:val="22767047"/>
    <w:rsid w:val="23567585"/>
    <w:rsid w:val="23A05588"/>
    <w:rsid w:val="240476A1"/>
    <w:rsid w:val="24E011DB"/>
    <w:rsid w:val="25431AEB"/>
    <w:rsid w:val="25BF43FD"/>
    <w:rsid w:val="25F86BCD"/>
    <w:rsid w:val="2605748B"/>
    <w:rsid w:val="269E416A"/>
    <w:rsid w:val="272100D3"/>
    <w:rsid w:val="272C72FC"/>
    <w:rsid w:val="275131CB"/>
    <w:rsid w:val="27EB149D"/>
    <w:rsid w:val="27FD3E52"/>
    <w:rsid w:val="28E11370"/>
    <w:rsid w:val="294A756A"/>
    <w:rsid w:val="29781BF8"/>
    <w:rsid w:val="29C33ED0"/>
    <w:rsid w:val="29D5322D"/>
    <w:rsid w:val="29FD66B5"/>
    <w:rsid w:val="2A025DD9"/>
    <w:rsid w:val="2A2619CB"/>
    <w:rsid w:val="2A7C2231"/>
    <w:rsid w:val="2A8C00E7"/>
    <w:rsid w:val="2ABB753D"/>
    <w:rsid w:val="2B434920"/>
    <w:rsid w:val="2B7A49FA"/>
    <w:rsid w:val="2BE35645"/>
    <w:rsid w:val="2C1C3598"/>
    <w:rsid w:val="2C615D26"/>
    <w:rsid w:val="2CB679ED"/>
    <w:rsid w:val="2D173C07"/>
    <w:rsid w:val="2D424A86"/>
    <w:rsid w:val="2E7B52DB"/>
    <w:rsid w:val="2F324CFE"/>
    <w:rsid w:val="2FBA09F1"/>
    <w:rsid w:val="2FEF2ACF"/>
    <w:rsid w:val="30540211"/>
    <w:rsid w:val="31112A0D"/>
    <w:rsid w:val="311F4B20"/>
    <w:rsid w:val="312D7741"/>
    <w:rsid w:val="316F137F"/>
    <w:rsid w:val="31DF525F"/>
    <w:rsid w:val="31EC162B"/>
    <w:rsid w:val="32324C2E"/>
    <w:rsid w:val="32326245"/>
    <w:rsid w:val="327171DF"/>
    <w:rsid w:val="32E06C88"/>
    <w:rsid w:val="335334BF"/>
    <w:rsid w:val="341E3434"/>
    <w:rsid w:val="34BB4442"/>
    <w:rsid w:val="35E93C67"/>
    <w:rsid w:val="360B7EBA"/>
    <w:rsid w:val="369C32FD"/>
    <w:rsid w:val="37666E72"/>
    <w:rsid w:val="38081EA3"/>
    <w:rsid w:val="38167A04"/>
    <w:rsid w:val="38CC3E19"/>
    <w:rsid w:val="394B167A"/>
    <w:rsid w:val="39DA2868"/>
    <w:rsid w:val="3A4E4336"/>
    <w:rsid w:val="3A6007FE"/>
    <w:rsid w:val="3AF93D6C"/>
    <w:rsid w:val="3B7C2CE4"/>
    <w:rsid w:val="3BAF716B"/>
    <w:rsid w:val="3C0B5355"/>
    <w:rsid w:val="3CD4176B"/>
    <w:rsid w:val="3CEB0F52"/>
    <w:rsid w:val="3D1F44D9"/>
    <w:rsid w:val="3D5C38CD"/>
    <w:rsid w:val="3E2441E9"/>
    <w:rsid w:val="3E5070F1"/>
    <w:rsid w:val="3EEA117C"/>
    <w:rsid w:val="3F320A13"/>
    <w:rsid w:val="3F6C3589"/>
    <w:rsid w:val="3F850180"/>
    <w:rsid w:val="3F9004D6"/>
    <w:rsid w:val="400E4D5E"/>
    <w:rsid w:val="40E1138C"/>
    <w:rsid w:val="413814BA"/>
    <w:rsid w:val="41872511"/>
    <w:rsid w:val="41B96743"/>
    <w:rsid w:val="41CA1233"/>
    <w:rsid w:val="424236D9"/>
    <w:rsid w:val="424616F0"/>
    <w:rsid w:val="42466655"/>
    <w:rsid w:val="42C82F57"/>
    <w:rsid w:val="435707E5"/>
    <w:rsid w:val="43C76AF7"/>
    <w:rsid w:val="446828F0"/>
    <w:rsid w:val="45093E85"/>
    <w:rsid w:val="452054F2"/>
    <w:rsid w:val="45C13B4D"/>
    <w:rsid w:val="46054BCA"/>
    <w:rsid w:val="464C6AFC"/>
    <w:rsid w:val="46705970"/>
    <w:rsid w:val="468B0091"/>
    <w:rsid w:val="46A107C3"/>
    <w:rsid w:val="46B15CE2"/>
    <w:rsid w:val="46BE113D"/>
    <w:rsid w:val="46E44B13"/>
    <w:rsid w:val="4703508A"/>
    <w:rsid w:val="475023F8"/>
    <w:rsid w:val="479D361E"/>
    <w:rsid w:val="47B74789"/>
    <w:rsid w:val="480F2B9D"/>
    <w:rsid w:val="48282920"/>
    <w:rsid w:val="485321E0"/>
    <w:rsid w:val="48546AD3"/>
    <w:rsid w:val="48CA4868"/>
    <w:rsid w:val="48F005D3"/>
    <w:rsid w:val="49547ADD"/>
    <w:rsid w:val="49732351"/>
    <w:rsid w:val="498F4AF1"/>
    <w:rsid w:val="49C05787"/>
    <w:rsid w:val="49CF518D"/>
    <w:rsid w:val="4AB32D6A"/>
    <w:rsid w:val="4ADA1F63"/>
    <w:rsid w:val="4AE23D89"/>
    <w:rsid w:val="4B2038D0"/>
    <w:rsid w:val="4B296E7D"/>
    <w:rsid w:val="4B79394E"/>
    <w:rsid w:val="4B877F28"/>
    <w:rsid w:val="4C941131"/>
    <w:rsid w:val="4D8B2DAF"/>
    <w:rsid w:val="4D916BA6"/>
    <w:rsid w:val="4DC44169"/>
    <w:rsid w:val="4DE24E21"/>
    <w:rsid w:val="4E1B19A3"/>
    <w:rsid w:val="4EF0709E"/>
    <w:rsid w:val="4F0469A4"/>
    <w:rsid w:val="513C6A7B"/>
    <w:rsid w:val="532D486F"/>
    <w:rsid w:val="5333545B"/>
    <w:rsid w:val="538D0E89"/>
    <w:rsid w:val="53F35F85"/>
    <w:rsid w:val="541C1980"/>
    <w:rsid w:val="5450213C"/>
    <w:rsid w:val="54D24048"/>
    <w:rsid w:val="54D64CD5"/>
    <w:rsid w:val="55887D69"/>
    <w:rsid w:val="561A0928"/>
    <w:rsid w:val="56423872"/>
    <w:rsid w:val="56B279F0"/>
    <w:rsid w:val="572A2983"/>
    <w:rsid w:val="579D710E"/>
    <w:rsid w:val="57F07F6E"/>
    <w:rsid w:val="581F22F6"/>
    <w:rsid w:val="586E1E17"/>
    <w:rsid w:val="58862C35"/>
    <w:rsid w:val="58C14957"/>
    <w:rsid w:val="58CC23D2"/>
    <w:rsid w:val="595559A4"/>
    <w:rsid w:val="59D950F4"/>
    <w:rsid w:val="5AE83A50"/>
    <w:rsid w:val="5B1E7D8B"/>
    <w:rsid w:val="5B353193"/>
    <w:rsid w:val="5BAB2917"/>
    <w:rsid w:val="5BDC491C"/>
    <w:rsid w:val="5BFC33FA"/>
    <w:rsid w:val="5C3107A4"/>
    <w:rsid w:val="5C3B1B93"/>
    <w:rsid w:val="5C9220DF"/>
    <w:rsid w:val="5D4A15F3"/>
    <w:rsid w:val="5D69542A"/>
    <w:rsid w:val="5D783B72"/>
    <w:rsid w:val="5E0930EF"/>
    <w:rsid w:val="5E3A1722"/>
    <w:rsid w:val="5E3D4D53"/>
    <w:rsid w:val="5E4717E6"/>
    <w:rsid w:val="5E55774C"/>
    <w:rsid w:val="60045F96"/>
    <w:rsid w:val="60104DDC"/>
    <w:rsid w:val="605C0804"/>
    <w:rsid w:val="6189617B"/>
    <w:rsid w:val="61B52BB6"/>
    <w:rsid w:val="61B749C2"/>
    <w:rsid w:val="62280D20"/>
    <w:rsid w:val="62CA2457"/>
    <w:rsid w:val="638240A1"/>
    <w:rsid w:val="63833423"/>
    <w:rsid w:val="639D7CBB"/>
    <w:rsid w:val="63A5257B"/>
    <w:rsid w:val="63BD3DCC"/>
    <w:rsid w:val="63C61741"/>
    <w:rsid w:val="64560967"/>
    <w:rsid w:val="64C2370A"/>
    <w:rsid w:val="656B1D10"/>
    <w:rsid w:val="65B841F9"/>
    <w:rsid w:val="65C06F7B"/>
    <w:rsid w:val="65F937D9"/>
    <w:rsid w:val="66022B28"/>
    <w:rsid w:val="664A38E2"/>
    <w:rsid w:val="66581E87"/>
    <w:rsid w:val="66FA11D5"/>
    <w:rsid w:val="674302C7"/>
    <w:rsid w:val="680A5986"/>
    <w:rsid w:val="680D5F4B"/>
    <w:rsid w:val="68113F51"/>
    <w:rsid w:val="68AA1B75"/>
    <w:rsid w:val="68E94770"/>
    <w:rsid w:val="68F949C9"/>
    <w:rsid w:val="695A4290"/>
    <w:rsid w:val="6A334932"/>
    <w:rsid w:val="6A3353FF"/>
    <w:rsid w:val="6A5D63E6"/>
    <w:rsid w:val="6A5F24D1"/>
    <w:rsid w:val="6AE347EB"/>
    <w:rsid w:val="6B434AF0"/>
    <w:rsid w:val="6B57675A"/>
    <w:rsid w:val="6BDD7B4D"/>
    <w:rsid w:val="6EBC0B3A"/>
    <w:rsid w:val="6EF51C7D"/>
    <w:rsid w:val="6F8363E5"/>
    <w:rsid w:val="6FAC3CC5"/>
    <w:rsid w:val="6FC746F5"/>
    <w:rsid w:val="70317AC6"/>
    <w:rsid w:val="704B26F7"/>
    <w:rsid w:val="70863262"/>
    <w:rsid w:val="70A76ED3"/>
    <w:rsid w:val="70E84304"/>
    <w:rsid w:val="71860B17"/>
    <w:rsid w:val="723B27CC"/>
    <w:rsid w:val="72687227"/>
    <w:rsid w:val="72A03FD9"/>
    <w:rsid w:val="72CB1A36"/>
    <w:rsid w:val="73406CFF"/>
    <w:rsid w:val="7383028C"/>
    <w:rsid w:val="73A25E44"/>
    <w:rsid w:val="741F68CF"/>
    <w:rsid w:val="74383ED3"/>
    <w:rsid w:val="75197FBE"/>
    <w:rsid w:val="75252DF3"/>
    <w:rsid w:val="75621536"/>
    <w:rsid w:val="75BF3154"/>
    <w:rsid w:val="764A07CF"/>
    <w:rsid w:val="764F6B3D"/>
    <w:rsid w:val="76BA0E58"/>
    <w:rsid w:val="76CD2B7B"/>
    <w:rsid w:val="76D80645"/>
    <w:rsid w:val="76E03371"/>
    <w:rsid w:val="780E5898"/>
    <w:rsid w:val="782642CC"/>
    <w:rsid w:val="7894095E"/>
    <w:rsid w:val="78964555"/>
    <w:rsid w:val="78CF4963"/>
    <w:rsid w:val="79000679"/>
    <w:rsid w:val="79A416F0"/>
    <w:rsid w:val="79B03EB6"/>
    <w:rsid w:val="79D5456A"/>
    <w:rsid w:val="7AE15A5C"/>
    <w:rsid w:val="7AF37579"/>
    <w:rsid w:val="7AF87F64"/>
    <w:rsid w:val="7B1C0C84"/>
    <w:rsid w:val="7B5A62DF"/>
    <w:rsid w:val="7B7A04A8"/>
    <w:rsid w:val="7BA8745E"/>
    <w:rsid w:val="7C0C3F6D"/>
    <w:rsid w:val="7C22163C"/>
    <w:rsid w:val="7C457B4B"/>
    <w:rsid w:val="7C595075"/>
    <w:rsid w:val="7C6B07B2"/>
    <w:rsid w:val="7D133243"/>
    <w:rsid w:val="7D945420"/>
    <w:rsid w:val="7E394207"/>
    <w:rsid w:val="7E4007A2"/>
    <w:rsid w:val="7E791CAD"/>
    <w:rsid w:val="7EA50DFB"/>
    <w:rsid w:val="7EC86878"/>
    <w:rsid w:val="7F16390D"/>
    <w:rsid w:val="7F752917"/>
    <w:rsid w:val="7F9C25A5"/>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1"/>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2"/>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3"/>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line="360" w:lineRule="auto"/>
      <w:ind w:firstLine="420"/>
    </w:pPr>
    <w:rPr>
      <w:rFonts w:eastAsia="等线"/>
      <w:color w:val="000000"/>
      <w:szCs w:val="24"/>
    </w:rPr>
  </w:style>
  <w:style w:type="paragraph" w:styleId="3">
    <w:name w:val="Body Text Indent"/>
    <w:basedOn w:val="1"/>
    <w:qFormat/>
    <w:uiPriority w:val="0"/>
    <w:pPr>
      <w:adjustRightInd w:val="0"/>
      <w:snapToGrid w:val="0"/>
      <w:spacing w:line="360" w:lineRule="exact"/>
      <w:ind w:firstLine="630"/>
      <w:textAlignment w:val="baseline"/>
    </w:pPr>
    <w:rPr>
      <w:rFonts w:ascii="宋体" w:hAnsi="宋体" w:cs="Times New Roman"/>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Body Text 3"/>
    <w:basedOn w:val="1"/>
    <w:link w:val="41"/>
    <w:unhideWhenUsed/>
    <w:qFormat/>
    <w:uiPriority w:val="99"/>
    <w:pPr>
      <w:spacing w:after="120"/>
    </w:pPr>
    <w:rPr>
      <w:sz w:val="16"/>
      <w:szCs w:val="16"/>
    </w:rPr>
  </w:style>
  <w:style w:type="paragraph" w:styleId="9">
    <w:name w:val="Body Text"/>
    <w:basedOn w:val="1"/>
    <w:next w:val="10"/>
    <w:qFormat/>
    <w:uiPriority w:val="99"/>
    <w:pPr>
      <w:spacing w:after="120"/>
    </w:pPr>
  </w:style>
  <w:style w:type="paragraph" w:styleId="10">
    <w:name w:val="Body Text 2"/>
    <w:basedOn w:val="1"/>
    <w:qFormat/>
    <w:uiPriority w:val="0"/>
    <w:pPr>
      <w:spacing w:after="120" w:line="480" w:lineRule="auto"/>
    </w:p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6">
    <w:name w:val="Balloon Text"/>
    <w:basedOn w:val="1"/>
    <w:link w:val="36"/>
    <w:semiHidden/>
    <w:unhideWhenUsed/>
    <w:qFormat/>
    <w:uiPriority w:val="99"/>
    <w:rPr>
      <w:sz w:val="18"/>
      <w:szCs w:val="18"/>
    </w:rPr>
  </w:style>
  <w:style w:type="paragraph" w:styleId="17">
    <w:name w:val="footer"/>
    <w:basedOn w:val="1"/>
    <w:link w:val="30"/>
    <w:unhideWhenUsed/>
    <w:qFormat/>
    <w:uiPriority w:val="99"/>
    <w:pPr>
      <w:tabs>
        <w:tab w:val="center" w:pos="4153"/>
        <w:tab w:val="right" w:pos="8306"/>
      </w:tabs>
      <w:snapToGrid w:val="0"/>
      <w:jc w:val="left"/>
    </w:pPr>
    <w:rPr>
      <w:sz w:val="18"/>
      <w:szCs w:val="18"/>
    </w:rPr>
  </w:style>
  <w:style w:type="paragraph" w:styleId="18">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unhideWhenUsed/>
    <w:qFormat/>
    <w:uiPriority w:val="99"/>
    <w:pPr>
      <w:spacing w:before="100" w:beforeAutospacing="1" w:after="100" w:afterAutospacing="1"/>
    </w:pPr>
    <w:rPr>
      <w:rFonts w:ascii="宋体" w:hAnsi="宋体" w:cs="Times New Roman"/>
      <w:kern w:val="0"/>
      <w:sz w:val="24"/>
      <w:szCs w:val="24"/>
    </w:rPr>
  </w:style>
  <w:style w:type="paragraph" w:styleId="22">
    <w:name w:val="Body Text First Indent"/>
    <w:basedOn w:val="9"/>
    <w:unhideWhenUsed/>
    <w:qFormat/>
    <w:uiPriority w:val="99"/>
    <w:pPr>
      <w:widowControl w:val="0"/>
      <w:spacing w:after="120" w:line="240" w:lineRule="auto"/>
      <w:ind w:firstLine="420"/>
    </w:pPr>
    <w:rPr>
      <w:kern w:val="2"/>
      <w:sz w:val="21"/>
    </w:rPr>
  </w:style>
  <w:style w:type="table" w:styleId="24">
    <w:name w:val="Table Grid"/>
    <w:basedOn w:val="2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6">
    <w:name w:val="Strong"/>
    <w:basedOn w:val="25"/>
    <w:qFormat/>
    <w:uiPriority w:val="22"/>
    <w:rPr>
      <w:rFonts w:eastAsia="宋体"/>
      <w:b/>
      <w:bCs/>
      <w:kern w:val="2"/>
      <w:sz w:val="24"/>
      <w:szCs w:val="24"/>
      <w:lang w:val="en-US" w:eastAsia="zh-CN" w:bidi="ar-SA"/>
    </w:rPr>
  </w:style>
  <w:style w:type="character" w:styleId="27">
    <w:name w:val="Hyperlink"/>
    <w:basedOn w:val="25"/>
    <w:unhideWhenUsed/>
    <w:qFormat/>
    <w:uiPriority w:val="99"/>
    <w:rPr>
      <w:color w:val="0000FF" w:themeColor="hyperlink"/>
      <w:u w:val="single"/>
      <w14:textFill>
        <w14:solidFill>
          <w14:schemeClr w14:val="hlink"/>
        </w14:solidFill>
      </w14:textFill>
    </w:rPr>
  </w:style>
  <w:style w:type="paragraph" w:customStyle="1" w:styleId="28">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29">
    <w:name w:val="页眉 字符"/>
    <w:basedOn w:val="25"/>
    <w:link w:val="18"/>
    <w:qFormat/>
    <w:uiPriority w:val="99"/>
    <w:rPr>
      <w:sz w:val="18"/>
      <w:szCs w:val="18"/>
    </w:rPr>
  </w:style>
  <w:style w:type="character" w:customStyle="1" w:styleId="30">
    <w:name w:val="页脚 字符"/>
    <w:basedOn w:val="25"/>
    <w:link w:val="17"/>
    <w:qFormat/>
    <w:uiPriority w:val="99"/>
    <w:rPr>
      <w:sz w:val="18"/>
      <w:szCs w:val="18"/>
    </w:rPr>
  </w:style>
  <w:style w:type="character" w:customStyle="1" w:styleId="31">
    <w:name w:val="标题 1 字符"/>
    <w:basedOn w:val="25"/>
    <w:link w:val="4"/>
    <w:qFormat/>
    <w:uiPriority w:val="9"/>
    <w:rPr>
      <w:rFonts w:eastAsia="方正小标宋简体"/>
      <w:bCs/>
      <w:kern w:val="44"/>
      <w:sz w:val="44"/>
      <w:szCs w:val="44"/>
    </w:rPr>
  </w:style>
  <w:style w:type="character" w:customStyle="1" w:styleId="32">
    <w:name w:val="标题 2 字符"/>
    <w:basedOn w:val="25"/>
    <w:link w:val="5"/>
    <w:qFormat/>
    <w:uiPriority w:val="9"/>
    <w:rPr>
      <w:rFonts w:eastAsia="方正小标宋简体" w:asciiTheme="majorHAnsi" w:hAnsiTheme="majorHAnsi" w:cstheme="majorBidi"/>
      <w:bCs/>
      <w:sz w:val="36"/>
      <w:szCs w:val="32"/>
    </w:rPr>
  </w:style>
  <w:style w:type="character" w:customStyle="1" w:styleId="33">
    <w:name w:val="标题 3 字符"/>
    <w:basedOn w:val="25"/>
    <w:link w:val="6"/>
    <w:qFormat/>
    <w:uiPriority w:val="9"/>
    <w:rPr>
      <w:rFonts w:ascii="Calibri" w:hAnsi="Calibri" w:eastAsia="宋体" w:cs="Times New Roman"/>
      <w:b/>
      <w:bCs/>
      <w:sz w:val="32"/>
      <w:szCs w:val="32"/>
    </w:rPr>
  </w:style>
  <w:style w:type="paragraph" w:styleId="34">
    <w:name w:val="List Paragraph"/>
    <w:basedOn w:val="1"/>
    <w:link w:val="42"/>
    <w:qFormat/>
    <w:uiPriority w:val="34"/>
    <w:pPr>
      <w:ind w:firstLine="420" w:firstLineChars="200"/>
    </w:pPr>
  </w:style>
  <w:style w:type="paragraph" w:customStyle="1" w:styleId="35">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批注框文本 字符"/>
    <w:basedOn w:val="25"/>
    <w:link w:val="16"/>
    <w:semiHidden/>
    <w:qFormat/>
    <w:uiPriority w:val="99"/>
    <w:rPr>
      <w:sz w:val="18"/>
      <w:szCs w:val="18"/>
    </w:rPr>
  </w:style>
  <w:style w:type="paragraph" w:styleId="3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
    <w:name w:val="CM97"/>
    <w:basedOn w:val="13"/>
    <w:next w:val="13"/>
    <w:qFormat/>
    <w:uiPriority w:val="0"/>
    <w:pPr>
      <w:spacing w:after="373"/>
    </w:pPr>
    <w:rPr>
      <w:color w:val="auto"/>
    </w:rPr>
  </w:style>
  <w:style w:type="paragraph" w:customStyle="1" w:styleId="39">
    <w:name w:val="CM91"/>
    <w:basedOn w:val="13"/>
    <w:next w:val="13"/>
    <w:qFormat/>
    <w:uiPriority w:val="0"/>
    <w:pPr>
      <w:spacing w:after="160"/>
    </w:pPr>
    <w:rPr>
      <w:color w:val="auto"/>
    </w:rPr>
  </w:style>
  <w:style w:type="character" w:customStyle="1" w:styleId="40">
    <w:name w:val="正文文本 3 Char"/>
    <w:qFormat/>
    <w:uiPriority w:val="99"/>
    <w:rPr>
      <w:sz w:val="16"/>
      <w:szCs w:val="16"/>
    </w:rPr>
  </w:style>
  <w:style w:type="character" w:customStyle="1" w:styleId="41">
    <w:name w:val="正文文本 3 字符"/>
    <w:basedOn w:val="25"/>
    <w:link w:val="8"/>
    <w:semiHidden/>
    <w:qFormat/>
    <w:uiPriority w:val="99"/>
    <w:rPr>
      <w:sz w:val="16"/>
      <w:szCs w:val="16"/>
    </w:rPr>
  </w:style>
  <w:style w:type="character" w:customStyle="1" w:styleId="42">
    <w:name w:val="列表段落 字符"/>
    <w:link w:val="34"/>
    <w:qFormat/>
    <w:uiPriority w:val="34"/>
  </w:style>
  <w:style w:type="paragraph" w:customStyle="1" w:styleId="43">
    <w:name w:val="1"/>
    <w:basedOn w:val="1"/>
    <w:next w:val="12"/>
    <w:qFormat/>
    <w:uiPriority w:val="99"/>
    <w:rPr>
      <w:rFonts w:ascii="宋体" w:hAnsi="Courier New"/>
    </w:rPr>
  </w:style>
  <w:style w:type="paragraph" w:customStyle="1" w:styleId="44">
    <w:name w:val="WPSOffice手动目录 1"/>
    <w:qFormat/>
    <w:uiPriority w:val="0"/>
    <w:rPr>
      <w:rFonts w:asciiTheme="minorHAnsi" w:hAnsiTheme="minorHAnsi" w:eastAsiaTheme="minorEastAsia" w:cstheme="minorBidi"/>
      <w:lang w:val="en-US" w:eastAsia="zh-CN" w:bidi="ar-SA"/>
    </w:rPr>
  </w:style>
  <w:style w:type="paragraph" w:customStyle="1" w:styleId="45">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46">
    <w:name w:val="WPSOffice手动目录 3"/>
    <w:qFormat/>
    <w:uiPriority w:val="0"/>
    <w:pPr>
      <w:ind w:left="400" w:leftChars="400"/>
    </w:pPr>
    <w:rPr>
      <w:rFonts w:asciiTheme="minorHAnsi" w:hAnsiTheme="minorHAnsi" w:eastAsiaTheme="minorEastAsia" w:cstheme="minorBidi"/>
      <w:lang w:val="en-US" w:eastAsia="zh-CN" w:bidi="ar-SA"/>
    </w:rPr>
  </w:style>
  <w:style w:type="paragraph" w:customStyle="1" w:styleId="47">
    <w:name w:val="_Style 4"/>
    <w:basedOn w:val="4"/>
    <w:next w:val="1"/>
    <w:qFormat/>
    <w:uiPriority w:val="0"/>
    <w:pPr>
      <w:keepNext w:val="0"/>
      <w:keepLines w:val="0"/>
      <w:spacing w:before="0" w:after="0" w:line="576" w:lineRule="auto"/>
      <w:jc w:val="left"/>
      <w:outlineLvl w:val="9"/>
    </w:pPr>
    <w:rPr>
      <w:rFonts w:ascii="Calibri" w:hAnsi="Calibri" w:eastAsia="黑体"/>
      <w:bCs w:val="0"/>
      <w:kern w:val="0"/>
      <w:lang w:eastAsia="en-US"/>
    </w:rPr>
  </w:style>
  <w:style w:type="paragraph" w:customStyle="1" w:styleId="48">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75</Pages>
  <Words>24583</Words>
  <Characters>26319</Characters>
  <Lines>203</Lines>
  <Paragraphs>57</Paragraphs>
  <TotalTime>2</TotalTime>
  <ScaleCrop>false</ScaleCrop>
  <LinksUpToDate>false</LinksUpToDate>
  <CharactersWithSpaces>28311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刘琳</cp:lastModifiedBy>
  <dcterms:modified xsi:type="dcterms:W3CDTF">2022-11-18T11:02:35Z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482B68EF685541428FF074526DCFFB96</vt:lpwstr>
  </property>
</Properties>
</file>