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广州市净水有限公司石井分公司</w:t>
      </w:r>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2022年综合广场地砖更换项目</w:t>
      </w:r>
    </w:p>
    <w:p>
      <w:pPr>
        <w:pStyle w:val="2"/>
        <w:rPr>
          <w:rFonts w:hint="default"/>
          <w:lang w:val="en-US" w:eastAsia="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20"/>
        <w:numPr>
          <w:ilvl w:val="0"/>
          <w:numId w:val="1"/>
        </w:numPr>
        <w:tabs>
          <w:tab w:val="right" w:pos="8844"/>
        </w:tabs>
        <w:rPr>
          <w:rFonts w:hint="eastAsia"/>
          <w:lang w:val="en-US" w:eastAsia="zh-CN"/>
        </w:rPr>
      </w:pPr>
      <w:r>
        <w:rPr>
          <w:rFonts w:hint="eastAsia"/>
          <w:lang w:val="en-US" w:eastAsia="zh-CN"/>
        </w:rPr>
        <w:t>采购公告</w:t>
      </w:r>
    </w:p>
    <w:p>
      <w:pPr>
        <w:pStyle w:val="20"/>
        <w:numPr>
          <w:ilvl w:val="0"/>
          <w:numId w:val="1"/>
        </w:numPr>
        <w:tabs>
          <w:tab w:val="right" w:pos="8844"/>
        </w:tabs>
      </w:pPr>
      <w:r>
        <w:rPr>
          <w:rFonts w:hint="eastAsia"/>
          <w:lang w:val="en-US" w:eastAsia="zh-CN"/>
        </w:rPr>
        <w:t>供应商须知</w:t>
      </w:r>
    </w:p>
    <w:p>
      <w:pPr>
        <w:pStyle w:val="20"/>
        <w:numPr>
          <w:ilvl w:val="0"/>
          <w:numId w:val="1"/>
        </w:numPr>
        <w:tabs>
          <w:tab w:val="right" w:pos="8844"/>
        </w:tabs>
      </w:pPr>
      <w:r>
        <w:rPr>
          <w:rFonts w:hint="eastAsia"/>
          <w:lang w:val="en-US" w:eastAsia="zh-CN"/>
        </w:rPr>
        <w:t>采购方法</w:t>
      </w:r>
    </w:p>
    <w:p>
      <w:pPr>
        <w:pStyle w:val="20"/>
        <w:numPr>
          <w:ilvl w:val="0"/>
          <w:numId w:val="1"/>
        </w:numPr>
        <w:tabs>
          <w:tab w:val="right" w:pos="8844"/>
        </w:tabs>
      </w:pPr>
      <w:r>
        <w:rPr>
          <w:rFonts w:hint="eastAsia"/>
          <w:lang w:val="en-US" w:eastAsia="zh-CN"/>
        </w:rPr>
        <w:t>评审方法</w:t>
      </w:r>
    </w:p>
    <w:p>
      <w:pPr>
        <w:pStyle w:val="20"/>
        <w:numPr>
          <w:ilvl w:val="0"/>
          <w:numId w:val="1"/>
        </w:numPr>
        <w:tabs>
          <w:tab w:val="right" w:pos="8844"/>
        </w:tabs>
      </w:pPr>
      <w:r>
        <w:rPr>
          <w:rFonts w:hint="eastAsia"/>
          <w:lang w:val="en-US" w:eastAsia="zh-CN"/>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7519"/>
      <w:bookmarkStart w:id="5" w:name="_Toc1669"/>
      <w:bookmarkStart w:id="6" w:name="_Toc17801"/>
      <w:bookmarkStart w:id="7" w:name="_Toc11322"/>
      <w:bookmarkStart w:id="8" w:name="_Toc4275"/>
      <w:bookmarkStart w:id="9" w:name="_Toc19609"/>
      <w:bookmarkStart w:id="10" w:name="_Toc31938"/>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2352040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2pt;margin-top:39.7pt;height:0pt;width:75.5pt;z-index:251673600;mso-width-relative:page;mso-height-relative:page;" filled="f" stroked="t" coordsize="21600,21600" o:gfxdata="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Od9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8"/>
      </w:pPr>
    </w:p>
    <w:p>
      <w:pPr>
        <w:pStyle w:val="4"/>
      </w:pPr>
      <w:bookmarkStart w:id="11" w:name="_Toc14238"/>
      <w:bookmarkStart w:id="12" w:name="_Toc10122"/>
      <w:bookmarkStart w:id="13" w:name="_Toc999"/>
      <w:bookmarkStart w:id="14" w:name="_Toc28995"/>
      <w:bookmarkStart w:id="15" w:name="_Toc2659"/>
      <w:bookmarkStart w:id="16" w:name="_Toc5230"/>
      <w:bookmarkStart w:id="17" w:name="_Toc88209924"/>
      <w:bookmarkStart w:id="18" w:name="_Toc30989"/>
      <w:bookmarkStart w:id="19" w:name="_Toc30131"/>
      <w:bookmarkStart w:id="20" w:name="_Toc15709"/>
      <w:bookmarkStart w:id="21" w:name="_Toc26363"/>
      <w:bookmarkStart w:id="22" w:name="_Toc8201"/>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lang w:val="en-US" w:eastAsia="zh-CN"/>
        </w:rPr>
        <w:t>广州市净水有限公司石井分公司2022年综合广场地砖更换项目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广州市净水有限公司石井分公司2022年综合广场地砖更换项目</w:t>
      </w:r>
      <w:r>
        <w:rPr>
          <w:rFonts w:hint="eastAsia" w:ascii="仿宋_GB2312" w:eastAsia="仿宋_GB2312"/>
          <w:sz w:val="28"/>
          <w:szCs w:val="28"/>
        </w:rPr>
        <w:t>已具备采购条件，现对该</w:t>
      </w:r>
      <w:r>
        <w:rPr>
          <w:rFonts w:hint="eastAsia" w:ascii="仿宋_GB2312" w:eastAsia="仿宋_GB2312"/>
          <w:sz w:val="28"/>
          <w:szCs w:val="28"/>
          <w:lang w:eastAsia="zh-CN"/>
        </w:rPr>
        <w:t>☑</w:t>
      </w:r>
      <w:r>
        <w:rPr>
          <w:rFonts w:hint="eastAsia" w:ascii="仿宋_GB2312" w:eastAsia="仿宋_GB2312"/>
          <w:sz w:val="28"/>
          <w:szCs w:val="28"/>
        </w:rPr>
        <w:t>施工  □货物 □服务项目实施公开采购活动，采用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u w:val="none"/>
          <w:lang w:val="en-US" w:eastAsia="zh-CN"/>
        </w:rPr>
        <w:t>的</w:t>
      </w:r>
      <w:r>
        <w:rPr>
          <w:rFonts w:hint="eastAsia" w:ascii="仿宋_GB2312" w:eastAsia="仿宋_GB2312"/>
          <w:sz w:val="28"/>
          <w:szCs w:val="28"/>
        </w:rPr>
        <w:t>方式公开邀请合格供应商参加本项目采购</w:t>
      </w:r>
      <w:r>
        <w:rPr>
          <w:rFonts w:hint="eastAsia" w:ascii="仿宋_GB2312" w:eastAsia="仿宋_GB2312"/>
          <w:sz w:val="28"/>
          <w:szCs w:val="28"/>
          <w:lang w:val="en-US" w:eastAsia="zh-CN"/>
        </w:rPr>
        <w:t>活动</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广州市净水有限公司石井分公司2022年综合广场地砖更换项目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XJ-20221118-1</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utoSpaceDE w:val="0"/>
        <w:autoSpaceDN w:val="0"/>
        <w:adjustRightInd/>
        <w:snapToGrid/>
        <w:spacing w:line="240" w:lineRule="auto"/>
        <w:jc w:val="both"/>
        <w:rPr>
          <w:rFonts w:hint="eastAsia" w:ascii="仿宋_GB2312" w:eastAsia="仿宋_GB2312"/>
          <w:sz w:val="28"/>
          <w:szCs w:val="28"/>
          <w:u w:val="single"/>
          <w:lang w:eastAsia="zh-CN"/>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515592.39</w:t>
      </w:r>
      <w:r>
        <w:rPr>
          <w:rFonts w:hint="eastAsia" w:ascii="仿宋_GB2312" w:eastAsia="仿宋_GB2312"/>
          <w:sz w:val="28"/>
          <w:szCs w:val="28"/>
          <w:u w:val="single"/>
        </w:rPr>
        <w:t>元</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人民币）（税前工程造价为514034.06，</w:t>
      </w:r>
      <w:r>
        <w:rPr>
          <w:rFonts w:hint="eastAsia" w:ascii="仿宋_GB2312" w:eastAsia="仿宋_GB2312"/>
          <w:sz w:val="28"/>
          <w:szCs w:val="28"/>
          <w:u w:val="single"/>
        </w:rPr>
        <w:t>不含税工程造价为471590.88元，税率为9%</w:t>
      </w:r>
      <w:r>
        <w:rPr>
          <w:rFonts w:hint="eastAsia" w:ascii="仿宋_GB2312" w:eastAsia="仿宋_GB2312"/>
          <w:sz w:val="28"/>
          <w:szCs w:val="28"/>
          <w:u w:val="single"/>
          <w:lang w:eastAsia="zh-CN"/>
        </w:rPr>
        <w:t>，</w:t>
      </w:r>
      <w:r>
        <w:rPr>
          <w:rFonts w:hint="eastAsia" w:ascii="仿宋_GB2312" w:eastAsia="仿宋_GB2312"/>
          <w:sz w:val="28"/>
          <w:szCs w:val="28"/>
          <w:u w:val="single"/>
        </w:rPr>
        <w:t>绿色施工安全防护措施费为21099.38元，暂列金额为39654.18元</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竣工图编制费1558.33元</w:t>
      </w:r>
      <w:r>
        <w:rPr>
          <w:rFonts w:hint="eastAsia" w:ascii="仿宋_GB2312" w:eastAsia="仿宋_GB2312"/>
          <w:sz w:val="28"/>
          <w:szCs w:val="28"/>
          <w:u w:val="single"/>
          <w:lang w:eastAsia="zh-CN"/>
        </w:rPr>
        <w:t>。</w:t>
      </w:r>
    </w:p>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及暂列金</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u w:val="single"/>
          <w:lang w:val="en-US" w:eastAsia="zh-CN"/>
        </w:rPr>
        <w:t>2.1采购内容和范围：</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（1）更换综合楼广场及周边区域地砖；</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（2）更换综合楼大门入口地面地砖及台阶地砖；</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（3）更换综合楼门大门入口两侧花坛及综合广场中央花池墙砖贴面；</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（4）新建综合楼门前两边花池；</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（5）更换综合广场外圈侧石；</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（6）综合楼</w:t>
      </w:r>
      <w:r>
        <w:rPr>
          <w:rFonts w:hint="default" w:ascii="仿宋_GB2312" w:eastAsia="仿宋_GB2312"/>
          <w:sz w:val="28"/>
          <w:szCs w:val="28"/>
          <w:u w:val="none"/>
          <w:lang w:val="en-US" w:eastAsia="zh-CN"/>
        </w:rPr>
        <w:t>大门入口外墙</w:t>
      </w:r>
      <w:r>
        <w:rPr>
          <w:rFonts w:hint="eastAsia" w:ascii="仿宋_GB2312" w:eastAsia="仿宋_GB2312"/>
          <w:sz w:val="28"/>
          <w:szCs w:val="28"/>
          <w:u w:val="none"/>
          <w:lang w:val="en-US" w:eastAsia="zh-CN"/>
        </w:rPr>
        <w:t>刷</w:t>
      </w:r>
      <w:r>
        <w:rPr>
          <w:rFonts w:hint="default" w:ascii="仿宋_GB2312" w:eastAsia="仿宋_GB2312"/>
          <w:sz w:val="28"/>
          <w:szCs w:val="28"/>
          <w:u w:val="none"/>
          <w:lang w:val="en-US" w:eastAsia="zh-CN"/>
        </w:rPr>
        <w:t>漆</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（7）提供项目预计成果效果图</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□交货期  </w:t>
      </w:r>
      <w:r>
        <w:rPr>
          <w:rFonts w:hint="eastAsia" w:ascii="仿宋_GB2312" w:eastAsia="仿宋_GB2312"/>
          <w:sz w:val="28"/>
          <w:szCs w:val="28"/>
          <w:lang w:eastAsia="zh-CN"/>
        </w:rPr>
        <w:t>□</w:t>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30天</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lang w:eastAsia="zh-CN"/>
        </w:rPr>
        <w:t>☑</w:t>
      </w:r>
      <w:r>
        <w:rPr>
          <w:rFonts w:hint="eastAsia" w:ascii="仿宋_GB2312" w:eastAsia="仿宋_GB2312"/>
          <w:sz w:val="28"/>
          <w:szCs w:val="28"/>
        </w:rPr>
        <w:t xml:space="preserve">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石井分公司（广州市白云区夏花一路551号）</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施工质量要求   □货物质量标准或主要技术性能指标  □服务质量要求或服务标准如下：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eastAsia="zh-CN"/>
        </w:rPr>
        <w:t>。</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lang w:eastAsia="zh-CN"/>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highlight w:val="none"/>
          <w:u w:val="none"/>
        </w:rPr>
        <w:t>具有建筑工程施工总承包三级（或以上）资质，具有建设主管部门颁发且在有效期内的《安全生产许可证》</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highlight w:val="none"/>
          <w:u w:val="single"/>
        </w:rPr>
        <w:t>建</w:t>
      </w:r>
      <w:r>
        <w:rPr>
          <w:rFonts w:hint="eastAsia" w:ascii="仿宋_GB2312" w:eastAsia="仿宋_GB2312"/>
          <w:sz w:val="28"/>
          <w:szCs w:val="28"/>
          <w:highlight w:val="none"/>
          <w:u w:val="none"/>
        </w:rPr>
        <w:t>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zh-CN" w:eastAsia="zh-CN"/>
        </w:rPr>
        <w:t>广东省外注册的二级建造师人员暂不能在我省执业</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）其他要求：</w:t>
      </w:r>
      <w:r>
        <w:rPr>
          <w:rFonts w:hint="eastAsia" w:ascii="仿宋_GB2312" w:eastAsia="仿宋_GB2312"/>
          <w:sz w:val="28"/>
          <w:szCs w:val="28"/>
          <w:highlight w:val="none"/>
          <w:u w:val="none"/>
        </w:rPr>
        <w:t>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r>
        <w:rPr>
          <w:rFonts w:hint="eastAsia" w:ascii="仿宋_GB2312" w:eastAsia="仿宋_GB2312"/>
          <w:sz w:val="28"/>
          <w:szCs w:val="28"/>
          <w:highlight w:val="none"/>
          <w:u w:val="none"/>
          <w:lang w:eastAsia="zh-CN"/>
        </w:rPr>
        <w:t>。</w:t>
      </w:r>
      <w:r>
        <w:rPr>
          <w:rFonts w:hint="eastAsia" w:ascii="仿宋_GB2312" w:eastAsia="仿宋_GB2312"/>
          <w:sz w:val="28"/>
          <w:szCs w:val="28"/>
          <w:u w:val="non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non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19</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23</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t>□</w:t>
      </w:r>
      <w:r>
        <w:rPr>
          <w:rFonts w:hint="eastAsia" w:ascii="仿宋_GB2312" w:eastAsia="仿宋_GB2312"/>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bookmarkStart w:id="149" w:name="_GoBack"/>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ind w:firstLine="560" w:firstLineChars="200"/>
        <w:rPr>
          <w:rFonts w:hint="eastAsia" w:ascii="仿宋_GB2312" w:eastAsia="仿宋_GB2312" w:hAnsiTheme="minorHAnsi"/>
          <w:sz w:val="28"/>
          <w:szCs w:val="28"/>
          <w:lang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bookmarkEnd w:id="149"/>
      <w:r>
        <w:rPr>
          <w:rFonts w:hint="eastAsia" w:ascii="仿宋_GB2312" w:eastAsia="仿宋_GB2312"/>
          <w:color w:val="auto"/>
          <w:sz w:val="28"/>
          <w:szCs w:val="28"/>
          <w:highlight w:val="none"/>
          <w:lang w:val="en-US" w:eastAsia="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踏勘现场联系人：何家立</w:t>
      </w:r>
    </w:p>
    <w:p>
      <w:pPr>
        <w:adjustRightInd w:val="0"/>
        <w:snapToGrid w:val="0"/>
        <w:spacing w:line="600" w:lineRule="exact"/>
        <w:ind w:firstLine="0"/>
        <w:rPr>
          <w:rFonts w:hint="default" w:ascii="仿宋_GB2312" w:eastAsia="仿宋_GB2312" w:hAnsiTheme="minorHAnsi"/>
          <w:sz w:val="28"/>
          <w:szCs w:val="28"/>
          <w:highlight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cstheme="minorBidi"/>
          <w:color w:val="auto"/>
          <w:kern w:val="2"/>
          <w:sz w:val="28"/>
          <w:szCs w:val="28"/>
          <w:highlight w:val="none"/>
          <w:lang w:val="en-US" w:eastAsia="zh-CN"/>
        </w:rPr>
        <w:t>15218802268</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u w:val="none"/>
          <w:lang w:val="en-US" w:eastAsia="zh-CN"/>
        </w:rPr>
        <w:t>年11月22日上午9点30分至10点00分</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sz w:val="28"/>
          <w:szCs w:val="28"/>
          <w:highlight w:val="none"/>
          <w:lang w:val="en-US" w:eastAsia="zh-CN"/>
        </w:rPr>
        <w:t>广州市白云区夏花一路551号</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24</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3357"/>
        <w:gridCol w:w="4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840" w:firstLineChars="3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23749"/>
      <w:bookmarkStart w:id="27" w:name="_Toc16705"/>
      <w:bookmarkStart w:id="28" w:name="_Toc19295"/>
      <w:bookmarkStart w:id="29" w:name="_Toc16557"/>
      <w:bookmarkStart w:id="30" w:name="_Toc2331"/>
      <w:bookmarkStart w:id="31" w:name="_Toc25603"/>
      <w:bookmarkStart w:id="32" w:name="_Toc7340"/>
      <w:bookmarkStart w:id="33" w:name="_Toc9448"/>
      <w:bookmarkStart w:id="34" w:name="_Toc32588"/>
      <w:bookmarkStart w:id="35" w:name="_Toc2324"/>
      <w:r>
        <mc:AlternateContent>
          <mc:Choice Requires="wps">
            <w:drawing>
              <wp:anchor distT="0" distB="0" distL="114300" distR="114300" simplePos="0" relativeHeight="251675648" behindDoc="0" locked="0" layoutInCell="1" allowOverlap="1">
                <wp:simplePos x="0" y="0"/>
                <wp:positionH relativeFrom="column">
                  <wp:posOffset>2357755</wp:posOffset>
                </wp:positionH>
                <wp:positionV relativeFrom="paragraph">
                  <wp:posOffset>488315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65pt;margin-top:38.45pt;height:0pt;width:75.5pt;z-index:251675648;mso-width-relative:page;mso-height-relative:page;" filled="f" stroked="t" coordsize="21600,21600" o:gfxdata="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zp4L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8"/>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8"/>
      </w:pPr>
    </w:p>
    <w:p>
      <w:pPr>
        <w:pStyle w:val="38"/>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8"/>
      </w:pPr>
    </w:p>
    <w:p>
      <w:pPr>
        <w:pStyle w:val="5"/>
      </w:pPr>
      <w:bookmarkStart w:id="40" w:name="_Toc88209934"/>
      <w:bookmarkStart w:id="41" w:name="_Toc87616371"/>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0930"/>
      <w:bookmarkStart w:id="47" w:name="_Toc7118"/>
      <w:bookmarkStart w:id="48" w:name="_Toc14870"/>
      <w:bookmarkStart w:id="49" w:name="_Toc3156"/>
      <w:bookmarkStart w:id="50" w:name="_Toc19050"/>
      <w:bookmarkStart w:id="51" w:name="_Toc7437"/>
      <w:bookmarkStart w:id="52" w:name="_Toc4952"/>
      <w:bookmarkStart w:id="53" w:name="_Toc14552"/>
      <w:bookmarkStart w:id="54" w:name="_Toc23581"/>
      <w:bookmarkStart w:id="55" w:name="_Toc19759"/>
      <w:bookmarkStart w:id="56" w:name="_Toc20594"/>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8"/>
      </w:pPr>
    </w:p>
    <w:p>
      <w:pPr>
        <w:pStyle w:val="4"/>
      </w:pPr>
      <w:bookmarkStart w:id="57" w:name="_Toc29345"/>
      <w:bookmarkStart w:id="58" w:name="_Toc6308"/>
      <w:bookmarkStart w:id="59" w:name="_Toc13898"/>
      <w:bookmarkStart w:id="60" w:name="_Toc32607"/>
      <w:bookmarkStart w:id="61" w:name="_Toc29484"/>
      <w:bookmarkStart w:id="62" w:name="_Toc30530"/>
      <w:bookmarkStart w:id="63" w:name="_Toc21840"/>
      <w:bookmarkStart w:id="64" w:name="_Toc88209941"/>
      <w:bookmarkStart w:id="65" w:name="_Toc7831"/>
      <w:bookmarkStart w:id="66" w:name="_Toc12177"/>
      <w:bookmarkStart w:id="67" w:name="_Toc87616378"/>
      <w:bookmarkStart w:id="68" w:name="_Toc22212"/>
      <w:bookmarkStart w:id="69" w:name="_Toc21079"/>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p>
        </w:tc>
        <w:tc>
          <w:tcPr>
            <w:tcW w:w="5528" w:type="dxa"/>
            <w:tcBorders>
              <w:top w:val="single" w:color="auto" w:sz="4" w:space="0"/>
            </w:tcBorders>
            <w:vAlign w:val="center"/>
          </w:tcPr>
          <w:p>
            <w:pPr>
              <w:adjustRightInd w:val="0"/>
              <w:snapToGrid w:val="0"/>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w:t>
      </w:r>
      <w:r>
        <w:rPr>
          <w:rFonts w:hint="eastAsia" w:ascii="仿宋_GB2312" w:eastAsia="仿宋_GB2312" w:hAnsiTheme="minorEastAsia"/>
          <w:sz w:val="28"/>
          <w:szCs w:val="28"/>
          <w:highlight w:val="none"/>
        </w:rPr>
        <w:t>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w:t>
      </w:r>
      <w:r>
        <w:rPr>
          <w:rFonts w:hint="eastAsia" w:ascii="仿宋_GB2312" w:eastAsia="仿宋_GB2312" w:hAnsiTheme="minorEastAsia"/>
          <w:sz w:val="28"/>
          <w:szCs w:val="28"/>
          <w:highlight w:val="none"/>
        </w:rPr>
        <w:t>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jc w:val="both"/>
        <w:rPr>
          <w:rFonts w:hint="eastAsia"/>
        </w:rPr>
      </w:pPr>
      <w:bookmarkStart w:id="72" w:name="_Toc88209947"/>
    </w:p>
    <w:p>
      <w:pPr>
        <w:pStyle w:val="4"/>
        <w:rPr>
          <w:rFonts w:hint="eastAsia"/>
        </w:rPr>
      </w:pPr>
    </w:p>
    <w:p>
      <w:pPr>
        <w:pStyle w:val="4"/>
      </w:pPr>
      <w:r>
        <mc:AlternateContent>
          <mc:Choice Requires="wps">
            <w:drawing>
              <wp:anchor distT="0" distB="0" distL="114300" distR="114300" simplePos="0" relativeHeight="251677696" behindDoc="0" locked="0" layoutInCell="1" allowOverlap="1">
                <wp:simplePos x="0" y="0"/>
                <wp:positionH relativeFrom="column">
                  <wp:posOffset>2351405</wp:posOffset>
                </wp:positionH>
                <wp:positionV relativeFrom="paragraph">
                  <wp:posOffset>487680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15pt;margin-top:38.4pt;height:0pt;width:75.5pt;z-index:251677696;mso-width-relative:page;mso-height-relative:page;" filled="f" stroked="t" coordsize="21600,21600" o:gfxdata="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QaLP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p>
      <w:pPr>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bookmarkEnd w:id="72"/>
    <w:p>
      <w:pPr>
        <w:pStyle w:val="13"/>
        <w:numPr>
          <w:ilvl w:val="0"/>
          <w:numId w:val="4"/>
        </w:numPr>
        <w:adjustRightInd w:val="0"/>
        <w:snapToGrid w:val="0"/>
        <w:spacing w:line="360" w:lineRule="auto"/>
        <w:rPr>
          <w:rFonts w:hint="eastAsia" w:ascii="仿宋" w:hAnsi="仿宋" w:eastAsia="仿宋" w:cs="仿宋_GB2312"/>
          <w:b/>
          <w:bCs/>
          <w:color w:val="000000"/>
          <w:kern w:val="0"/>
          <w:sz w:val="28"/>
          <w:szCs w:val="28"/>
          <w:highlight w:val="none"/>
          <w:lang w:val="en-US" w:eastAsia="zh-CN"/>
        </w:rPr>
      </w:pPr>
      <w:r>
        <w:rPr>
          <w:rFonts w:hint="eastAsia" w:ascii="仿宋" w:hAnsi="仿宋" w:eastAsia="仿宋" w:cs="仿宋_GB2312"/>
          <w:b/>
          <w:bCs/>
          <w:color w:val="000000"/>
          <w:kern w:val="0"/>
          <w:sz w:val="28"/>
          <w:szCs w:val="28"/>
          <w:highlight w:val="none"/>
          <w:lang w:val="en-US" w:eastAsia="zh-CN"/>
        </w:rPr>
        <w:t>项目内容及需求</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u w:val="single"/>
          <w:lang w:val="en-US" w:eastAsia="zh-CN"/>
        </w:rPr>
        <w:t>1、施工内容：</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（1）更换综合楼广场及周边区域地砖；</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（2）更换综合楼大门入口地面地砖及台阶地砖；</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（3）更换综合楼门大门入口两侧花坛及综合广场中央花池墙砖贴面；</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（4）新建综合楼门前两边花池；</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（5）更换综合广场外圈侧石；</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（6）综合楼</w:t>
      </w:r>
      <w:r>
        <w:rPr>
          <w:rFonts w:hint="default" w:ascii="仿宋_GB2312" w:eastAsia="仿宋_GB2312"/>
          <w:sz w:val="28"/>
          <w:szCs w:val="28"/>
          <w:u w:val="none"/>
          <w:lang w:val="en-US" w:eastAsia="zh-CN"/>
        </w:rPr>
        <w:t>大门入口外墙</w:t>
      </w:r>
      <w:r>
        <w:rPr>
          <w:rFonts w:hint="eastAsia" w:ascii="仿宋_GB2312" w:eastAsia="仿宋_GB2312"/>
          <w:sz w:val="28"/>
          <w:szCs w:val="28"/>
          <w:u w:val="none"/>
          <w:lang w:val="en-US" w:eastAsia="zh-CN"/>
        </w:rPr>
        <w:t>刷</w:t>
      </w:r>
      <w:r>
        <w:rPr>
          <w:rFonts w:hint="default" w:ascii="仿宋_GB2312" w:eastAsia="仿宋_GB2312"/>
          <w:sz w:val="28"/>
          <w:szCs w:val="28"/>
          <w:u w:val="none"/>
          <w:lang w:val="en-US" w:eastAsia="zh-CN"/>
        </w:rPr>
        <w:t>漆</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（7）提供项目预计成果效果图</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u w:val="single"/>
          <w:lang w:val="en-US" w:eastAsia="zh-CN"/>
        </w:rPr>
        <w:t>2、工程量清单：</w:t>
      </w:r>
    </w:p>
    <w:tbl>
      <w:tblPr>
        <w:tblStyle w:val="23"/>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1875"/>
        <w:gridCol w:w="3555"/>
        <w:gridCol w:w="97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拆除原有300厚混凝土地面</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1.拆除原有300厚混凝土地面</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砖砌体拆除</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1.拆除原有花池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2.部位:大门入口</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拆除原有广场砖及基础</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1.300X300X50厚广场砖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3.150厚C15混凝土</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铲除墙面油漆面</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1.铲除墙面油漆面</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拆除平台及台阶面层</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1.拆除平台及台阶面层</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拆除原有花池四周立面层</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1.拆除原有花池四周立面层</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拆除花池1原有面层</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1.拆除花池1原有面层</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拆除花池1原有侧石</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1.拆除花池1原有侧石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2.部位:大门入口</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拆除废料外运</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1.废弃料品种:地面及花池拆除废料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2.运距:15km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1.挖一般土方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2.运距:15km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广场地面</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1.深灰色大理石荔枝面600*600*50mm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4.300厚3:7灰土分层夯实</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广场边地面</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1.25mm灰色大理石荔枝面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3.150厚C20混凝土</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大门入口地面</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2.面层材料品种、规格:烧面白麻石800*800*30mm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石材台阶面</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2.面层材料品种、规格:烧面灰麻石900*300*30mm（带防滑条）</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大门入口花池贴面</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1.找平层厚度、砂浆配合比:8厚1:3水泥砂浆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2.结合层厚度、砂浆配合比:20厚1:2.5聚合物水泥砂浆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3.面层材料种类及规格：灰色大理石300*500*25mm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大门入口外墙漆</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1.喷或滚刷外墙底漆一遍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2.喷或滚刷白色面层外墙漆两遍</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大门入口新建花池</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1.大门入口新建花池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2.具体做法详见图纸005-2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C30仿花岗岩侧石150*300mm</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1.C30仿花岗岩侧石150*300mm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花池1石材贴面</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1.找平层厚度、砂浆配合比:8厚1:3水泥砂浆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2.结合层厚度、砂浆配合比:20厚1:2.5聚合物水泥砂浆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3.面层材料种类及规格：烧面黄锈石300*300*30mm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花池1外墙砖贴面</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1.找平层厚度、砂浆配合比:8厚1:3水泥砂浆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2.结合层厚度、砂浆配合比:20厚1:2.5聚合物水泥砂浆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3.面层材料种类及规格：白色外墙砖145*45*10mm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30厚灰麻石</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1.30厚灰麻石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2.部位:花池1</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砍挖绿篱露地花卉</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1.原有植物保护性砍挖并堆放整齐</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原有植物重新种植</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1.回填种植物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2.原有植物重新种植</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水码围蔽</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1.水码围蔽</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垫层模板</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r>
    </w:tbl>
    <w:p>
      <w:pPr>
        <w:pStyle w:val="2"/>
        <w:rPr>
          <w:rFonts w:hint="eastAsia"/>
          <w:lang w:val="en-US" w:eastAsia="zh-CN"/>
        </w:rPr>
      </w:pPr>
    </w:p>
    <w:p>
      <w:pPr>
        <w:pStyle w:val="13"/>
        <w:adjustRightInd w:val="0"/>
        <w:snapToGrid w:val="0"/>
        <w:spacing w:line="300" w:lineRule="auto"/>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（2）施工后，清理现场垃圾，施工垃圾外运，冲洗施工区域，保护现场环境。</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sz w:val="28"/>
          <w:szCs w:val="28"/>
          <w:highlight w:val="none"/>
          <w:lang w:eastAsia="zh-CN"/>
        </w:rPr>
        <w:t>。</w:t>
      </w:r>
    </w:p>
    <w:p>
      <w:pPr>
        <w:pStyle w:val="13"/>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30天</w:t>
      </w:r>
      <w:r>
        <w:rPr>
          <w:rFonts w:hint="eastAsia" w:ascii="仿宋_GB2312" w:hAnsi="仿宋_GB2312" w:eastAsia="仿宋_GB2312" w:cs="仿宋_GB2312"/>
          <w:sz w:val="28"/>
          <w:szCs w:val="28"/>
        </w:rPr>
        <w:t>。</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w:t>
      </w:r>
      <w:r>
        <w:rPr>
          <w:rFonts w:hint="eastAsia" w:ascii="仿宋_GB2312" w:hAnsi="仿宋_GB2312" w:eastAsia="仿宋_GB2312" w:cs="仿宋_GB2312"/>
          <w:i w:val="0"/>
          <w:iCs w:val="0"/>
          <w:sz w:val="28"/>
          <w:szCs w:val="28"/>
          <w:highlight w:val="none"/>
        </w:rPr>
        <w:t>符</w:t>
      </w:r>
      <w:r>
        <w:rPr>
          <w:rFonts w:hint="eastAsia" w:ascii="仿宋_GB2312" w:hAnsi="仿宋_GB2312" w:eastAsia="仿宋_GB2312" w:cs="仿宋_GB2312"/>
          <w:sz w:val="28"/>
          <w:szCs w:val="28"/>
          <w:highlight w:val="none"/>
        </w:rPr>
        <w:t>合设计和规范要求。</w:t>
      </w:r>
    </w:p>
    <w:p>
      <w:pPr>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（2）各种构件在运输过程中必须有可靠的保护措施。构件外观表面无明显的凹面和损伤。</w:t>
      </w:r>
    </w:p>
    <w:p>
      <w:pPr>
        <w:pStyle w:val="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（3）项目施工所有位置地砖墙砖</w:t>
      </w:r>
      <w:r>
        <w:rPr>
          <w:rFonts w:hint="eastAsia" w:ascii="仿宋_GB2312" w:hAnsi="仿宋_GB2312" w:eastAsia="仿宋_GB2312" w:cs="仿宋_GB2312"/>
          <w:sz w:val="28"/>
          <w:szCs w:val="28"/>
          <w:highlight w:val="none"/>
          <w:lang w:eastAsia="zh-CN"/>
        </w:rPr>
        <w:t>必须按</w:t>
      </w:r>
      <w:r>
        <w:rPr>
          <w:rFonts w:hint="eastAsia" w:ascii="仿宋_GB2312" w:hAnsi="仿宋_GB2312" w:eastAsia="仿宋_GB2312" w:cs="仿宋_GB2312"/>
          <w:sz w:val="28"/>
          <w:szCs w:val="28"/>
          <w:highlight w:val="none"/>
        </w:rPr>
        <w:t>设计和规范</w:t>
      </w:r>
      <w:r>
        <w:rPr>
          <w:rFonts w:hint="eastAsia" w:ascii="仿宋_GB2312" w:hAnsi="仿宋_GB2312" w:eastAsia="仿宋_GB2312" w:cs="仿宋_GB2312"/>
          <w:sz w:val="28"/>
          <w:szCs w:val="28"/>
          <w:highlight w:val="none"/>
          <w:lang w:eastAsia="zh-CN"/>
        </w:rPr>
        <w:t>要求做到平整、完整</w:t>
      </w:r>
      <w:r>
        <w:rPr>
          <w:rFonts w:hint="eastAsia" w:ascii="仿宋_GB2312" w:hAnsi="仿宋_GB2312" w:eastAsia="仿宋_GB2312" w:cs="仿宋_GB2312"/>
          <w:sz w:val="28"/>
          <w:szCs w:val="28"/>
          <w:highlight w:val="none"/>
        </w:rPr>
        <w:t>。</w:t>
      </w:r>
    </w:p>
    <w:p>
      <w:pPr>
        <w:pStyle w:val="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）施工产生所以杂物、垃圾等清理干净。</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5.保养期（保养期）：质保期为验收合格之日起一年（可协商延长为三年）。</w:t>
      </w:r>
    </w:p>
    <w:p>
      <w:pPr>
        <w:pStyle w:val="22"/>
        <w:shd w:val="clear" w:color="auto" w:fill="FFFFFF"/>
        <w:spacing w:before="0" w:beforeAutospacing="0" w:after="0" w:afterAutospacing="0" w:line="360" w:lineRule="auto"/>
        <w:ind w:firstLine="515"/>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6.询价人将自承包人履行完合同义务之日起10天内组织验收，验收要求、验收标准及方法如下：</w:t>
      </w:r>
    </w:p>
    <w:p>
      <w:pPr>
        <w:pStyle w:val="22"/>
        <w:shd w:val="clear" w:color="auto" w:fill="FFFFFF"/>
        <w:spacing w:before="0" w:beforeAutospacing="0" w:after="0" w:afterAutospacing="0" w:line="360" w:lineRule="auto"/>
        <w:ind w:firstLine="560" w:firstLineChars="200"/>
        <w:rPr>
          <w:rFonts w:ascii="Calibri" w:hAnsi="Calibri" w:cs="Calibri"/>
          <w:sz w:val="21"/>
          <w:szCs w:val="21"/>
        </w:rPr>
      </w:pPr>
      <w:r>
        <w:rPr>
          <w:rFonts w:hint="eastAsia" w:ascii="仿宋_GB2312" w:hAnsi="Calibri" w:eastAsia="仿宋_GB2312" w:cs="仿宋_GB2312"/>
          <w:sz w:val="28"/>
          <w:szCs w:val="28"/>
          <w:shd w:val="clear" w:color="auto" w:fill="FFFFFF"/>
        </w:rPr>
        <w:t>（1）</w:t>
      </w:r>
      <w:r>
        <w:rPr>
          <w:rFonts w:ascii="仿宋_GB2312" w:hAnsi="Calibri" w:eastAsia="仿宋_GB2312" w:cs="仿宋_GB2312"/>
          <w:sz w:val="28"/>
          <w:szCs w:val="28"/>
          <w:shd w:val="clear" w:color="auto" w:fill="FFFFFF"/>
        </w:rPr>
        <w:t>验收依据：询价文件、询价响应文件、</w:t>
      </w:r>
      <w:r>
        <w:rPr>
          <w:rFonts w:hint="eastAsia" w:ascii="仿宋_GB2312" w:hAnsi="Calibri" w:eastAsia="仿宋_GB2312" w:cs="仿宋_GB2312"/>
          <w:sz w:val="28"/>
          <w:szCs w:val="28"/>
          <w:shd w:val="clear" w:color="auto" w:fill="FFFFFF"/>
        </w:rPr>
        <w:t>相关绿化园林</w:t>
      </w:r>
      <w:r>
        <w:rPr>
          <w:rFonts w:ascii="仿宋_GB2312" w:hAnsi="Calibri" w:eastAsia="仿宋_GB2312" w:cs="仿宋_GB2312"/>
          <w:sz w:val="28"/>
          <w:szCs w:val="28"/>
          <w:shd w:val="clear" w:color="auto" w:fill="FFFFFF"/>
        </w:rPr>
        <w:t>有关的质量标准规定，均为验收依据。</w:t>
      </w:r>
    </w:p>
    <w:p>
      <w:pPr>
        <w:pStyle w:val="22"/>
        <w:shd w:val="clear" w:color="auto" w:fill="FFFFFF"/>
        <w:spacing w:before="0" w:beforeAutospacing="0" w:after="0" w:afterAutospacing="0" w:line="360" w:lineRule="auto"/>
        <w:ind w:firstLine="560" w:firstLineChars="200"/>
        <w:rPr>
          <w:rFonts w:ascii="Calibri" w:hAnsi="Calibri" w:eastAsia="仿宋_GB2312" w:cs="Calibri"/>
          <w:sz w:val="21"/>
          <w:szCs w:val="21"/>
        </w:rPr>
      </w:pPr>
      <w:r>
        <w:rPr>
          <w:rFonts w:hint="eastAsia" w:ascii="仿宋_GB2312" w:hAnsi="Calibri" w:eastAsia="仿宋_GB2312" w:cs="仿宋_GB2312"/>
          <w:sz w:val="28"/>
          <w:szCs w:val="28"/>
          <w:shd w:val="clear" w:color="auto" w:fill="FFFFFF"/>
        </w:rPr>
        <w:t>（2）</w:t>
      </w:r>
      <w:r>
        <w:rPr>
          <w:rFonts w:ascii="仿宋_GB2312" w:hAnsi="Calibri" w:eastAsia="仿宋_GB2312" w:cs="仿宋_GB2312"/>
          <w:sz w:val="28"/>
          <w:szCs w:val="28"/>
          <w:shd w:val="clear" w:color="auto" w:fill="FFFFFF"/>
        </w:rPr>
        <w:t>承包单位根据要求进行</w:t>
      </w:r>
      <w:r>
        <w:rPr>
          <w:rFonts w:hint="eastAsia" w:ascii="仿宋_GB2312" w:eastAsia="仿宋_GB2312"/>
          <w:sz w:val="28"/>
          <w:szCs w:val="28"/>
          <w:lang w:val="en-US" w:eastAsia="zh-CN"/>
        </w:rPr>
        <w:t>一四期提升泵房</w:t>
      </w:r>
      <w:r>
        <w:rPr>
          <w:rFonts w:hint="eastAsia" w:ascii="仿宋_GB2312" w:eastAsia="仿宋_GB2312"/>
          <w:sz w:val="28"/>
          <w:szCs w:val="28"/>
        </w:rPr>
        <w:t>、</w:t>
      </w:r>
      <w:r>
        <w:rPr>
          <w:rFonts w:hint="eastAsia" w:ascii="仿宋_GB2312" w:eastAsia="仿宋_GB2312"/>
          <w:sz w:val="28"/>
          <w:szCs w:val="28"/>
          <w:lang w:val="en-US" w:eastAsia="zh-CN"/>
        </w:rPr>
        <w:t>自控楼楼顶</w:t>
      </w:r>
      <w:r>
        <w:rPr>
          <w:rFonts w:hint="eastAsia" w:ascii="仿宋_GB2312" w:eastAsia="仿宋_GB2312"/>
          <w:sz w:val="28"/>
          <w:szCs w:val="28"/>
        </w:rPr>
        <w:t>及</w:t>
      </w:r>
      <w:r>
        <w:rPr>
          <w:rFonts w:hint="eastAsia" w:ascii="仿宋_GB2312" w:eastAsia="仿宋_GB2312"/>
          <w:sz w:val="28"/>
          <w:szCs w:val="28"/>
          <w:lang w:val="en-US" w:eastAsia="zh-CN"/>
        </w:rPr>
        <w:t>应急</w:t>
      </w:r>
      <w:r>
        <w:rPr>
          <w:rFonts w:hint="eastAsia" w:ascii="仿宋_GB2312" w:eastAsia="仿宋_GB2312"/>
          <w:sz w:val="28"/>
          <w:szCs w:val="28"/>
        </w:rPr>
        <w:t>值班室楼顶复绿</w:t>
      </w:r>
      <w:r>
        <w:rPr>
          <w:rFonts w:hint="eastAsia" w:ascii="仿宋_GB2312" w:hAnsi="Calibri" w:eastAsia="仿宋_GB2312" w:cs="仿宋_GB2312"/>
          <w:sz w:val="28"/>
          <w:szCs w:val="28"/>
          <w:shd w:val="clear" w:color="auto" w:fill="FFFFFF"/>
        </w:rPr>
        <w:t>，</w:t>
      </w:r>
      <w:r>
        <w:rPr>
          <w:rFonts w:hint="eastAsia" w:ascii="仿宋_GB2312" w:eastAsia="仿宋_GB2312"/>
          <w:sz w:val="28"/>
          <w:szCs w:val="28"/>
        </w:rPr>
        <w:t>完成之后，改造区域绿植应达到整体美观感觉有序的要求。</w:t>
      </w:r>
    </w:p>
    <w:p>
      <w:pPr>
        <w:pStyle w:val="22"/>
        <w:shd w:val="clear" w:color="auto" w:fill="FFFFFF"/>
        <w:spacing w:before="0" w:beforeAutospacing="0" w:after="0" w:afterAutospacing="0" w:line="360" w:lineRule="auto"/>
        <w:ind w:firstLine="560" w:firstLineChars="200"/>
        <w:rPr>
          <w:rFonts w:ascii="Calibri" w:hAnsi="Calibri" w:cs="Calibri"/>
          <w:sz w:val="21"/>
          <w:szCs w:val="21"/>
        </w:rPr>
      </w:pPr>
      <w:r>
        <w:rPr>
          <w:rFonts w:hint="eastAsia" w:ascii="仿宋_GB2312" w:hAnsi="Calibri" w:eastAsia="仿宋_GB2312" w:cs="仿宋_GB2312"/>
          <w:sz w:val="28"/>
          <w:szCs w:val="28"/>
          <w:shd w:val="clear" w:color="auto" w:fill="FFFFFF"/>
        </w:rPr>
        <w:t>（3）</w:t>
      </w:r>
      <w:r>
        <w:rPr>
          <w:rFonts w:ascii="仿宋_GB2312" w:hAnsi="Calibri" w:eastAsia="仿宋_GB2312" w:cs="仿宋_GB2312"/>
          <w:sz w:val="28"/>
          <w:szCs w:val="28"/>
          <w:shd w:val="clear" w:color="auto" w:fill="FFFFFF"/>
        </w:rPr>
        <w:t>发包人有权委托我国相关具有检验资质的部门、单位、机构针对</w:t>
      </w:r>
      <w:r>
        <w:rPr>
          <w:rFonts w:hint="eastAsia" w:ascii="仿宋_GB2312" w:hAnsi="Calibri" w:eastAsia="仿宋_GB2312" w:cs="仿宋_GB2312"/>
          <w:sz w:val="28"/>
          <w:szCs w:val="28"/>
          <w:shd w:val="clear" w:color="auto" w:fill="FFFFFF"/>
        </w:rPr>
        <w:t>环境绿植及其种植情况</w:t>
      </w:r>
      <w:r>
        <w:rPr>
          <w:rFonts w:ascii="仿宋_GB2312" w:hAnsi="Calibri" w:eastAsia="仿宋_GB2312" w:cs="仿宋_GB2312"/>
          <w:sz w:val="28"/>
          <w:szCs w:val="28"/>
          <w:shd w:val="clear" w:color="auto" w:fill="FFFFFF"/>
        </w:rPr>
        <w:t>进行检验。其检验结果将作为验收标准的组成部分之一。</w:t>
      </w:r>
    </w:p>
    <w:p>
      <w:pPr>
        <w:pStyle w:val="22"/>
        <w:shd w:val="clear" w:color="auto" w:fill="FFFFFF"/>
        <w:spacing w:before="0" w:beforeAutospacing="0" w:after="0" w:afterAutospacing="0" w:line="360" w:lineRule="auto"/>
        <w:ind w:firstLine="560" w:firstLineChars="200"/>
        <w:rPr>
          <w:rFonts w:ascii="Calibri" w:hAnsi="Calibri" w:cs="Calibri"/>
          <w:sz w:val="21"/>
          <w:szCs w:val="21"/>
        </w:rPr>
      </w:pPr>
      <w:r>
        <w:rPr>
          <w:rFonts w:hint="eastAsia" w:ascii="仿宋_GB2312" w:hAnsi="Calibri" w:eastAsia="仿宋_GB2312" w:cs="仿宋_GB2312"/>
          <w:sz w:val="28"/>
          <w:szCs w:val="28"/>
          <w:shd w:val="clear" w:color="auto" w:fill="FFFFFF"/>
        </w:rPr>
        <w:t>（4）</w:t>
      </w:r>
      <w:r>
        <w:rPr>
          <w:rFonts w:ascii="仿宋_GB2312" w:hAnsi="Calibri" w:eastAsia="仿宋_GB2312" w:cs="仿宋_GB2312"/>
          <w:sz w:val="28"/>
          <w:szCs w:val="28"/>
          <w:shd w:val="clear" w:color="auto" w:fill="FFFFFF"/>
        </w:rPr>
        <w:t>验收时承包单位必须派代表参加。</w:t>
      </w:r>
    </w:p>
    <w:p>
      <w:pPr>
        <w:pStyle w:val="7"/>
        <w:spacing w:line="360" w:lineRule="auto"/>
        <w:ind w:firstLine="560" w:firstLineChars="200"/>
        <w:rPr>
          <w:rFonts w:ascii="仿宋_GB2312" w:hAnsi="仿宋_GB2312" w:eastAsia="仿宋_GB2312" w:cs="仿宋_GB2312"/>
          <w:sz w:val="28"/>
          <w:szCs w:val="28"/>
        </w:rPr>
      </w:pPr>
      <w:r>
        <w:rPr>
          <w:rFonts w:hint="eastAsia" w:ascii="仿宋_GB2312" w:hAnsi="Calibri" w:eastAsia="仿宋_GB2312" w:cs="仿宋_GB2312"/>
          <w:color w:val="000000"/>
          <w:sz w:val="28"/>
          <w:szCs w:val="28"/>
          <w:shd w:val="clear" w:color="auto" w:fill="FFFFFF"/>
        </w:rPr>
        <w:t>（5）</w:t>
      </w:r>
      <w:r>
        <w:rPr>
          <w:rFonts w:ascii="仿宋_GB2312" w:hAnsi="Calibri" w:eastAsia="仿宋_GB2312" w:cs="仿宋_GB2312"/>
          <w:color w:val="000000"/>
          <w:sz w:val="28"/>
          <w:szCs w:val="28"/>
          <w:shd w:val="clear" w:color="auto" w:fill="FFFFFF"/>
        </w:rPr>
        <w:t>验收过程所发生的一切费用由承包单位承担。</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7.付款方式：银行转账形式。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p>
    <w:p>
      <w:pPr>
        <w:pStyle w:val="2"/>
        <w:rPr>
          <w:rFonts w:hint="eastAsia"/>
          <w:lang w:val="en-US" w:eastAsia="zh-CN"/>
        </w:rPr>
      </w:pPr>
      <w:r>
        <w:rPr>
          <w:rFonts w:hint="eastAsia" w:ascii="仿宋_GB2312" w:hAnsi="仿宋_GB2312" w:eastAsia="仿宋_GB2312" w:cs="仿宋_GB2312"/>
          <w:sz w:val="28"/>
          <w:szCs w:val="28"/>
          <w:lang w:val="zh-CN"/>
        </w:rPr>
        <w:t>单价</w:t>
      </w:r>
      <w:r>
        <w:rPr>
          <w:rFonts w:hint="eastAsia" w:ascii="仿宋_GB2312" w:hAnsi="仿宋_GB2312" w:eastAsia="仿宋_GB2312" w:cs="仿宋_GB2312"/>
          <w:sz w:val="28"/>
          <w:szCs w:val="28"/>
        </w:rPr>
        <w:t>包干</w:t>
      </w:r>
      <w:r>
        <w:rPr>
          <w:rFonts w:hint="eastAsia" w:ascii="仿宋_GB2312" w:hAnsi="仿宋_GB2312" w:eastAsia="仿宋_GB2312" w:cs="仿宋_GB2312"/>
          <w:sz w:val="28"/>
          <w:szCs w:val="28"/>
          <w:lang w:val="zh-CN"/>
        </w:rPr>
        <w:t>：询价响应文件包含总价及综合单价时，综合单价为合同单价。合同单价在询价文件及施工合同约定的风险范围之内不可调整。</w:t>
      </w:r>
    </w:p>
    <w:p>
      <w:pPr>
        <w:pStyle w:val="2"/>
        <w:rPr>
          <w:rFonts w:hint="eastAsia"/>
          <w:lang w:val="en-US" w:eastAsia="zh-CN"/>
        </w:rPr>
      </w:pPr>
    </w:p>
    <w:p>
      <w:pPr>
        <w:pStyle w:val="2"/>
        <w:rPr>
          <w:rFonts w:hint="eastAsia"/>
          <w:lang w:val="en-US" w:eastAsia="zh-CN"/>
        </w:rPr>
      </w:pP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pPr>
      <w:bookmarkStart w:id="73" w:name="_Toc12135"/>
      <w:bookmarkStart w:id="74" w:name="_Toc15570"/>
      <w:bookmarkStart w:id="75" w:name="_Toc4680"/>
      <w:bookmarkStart w:id="76" w:name="_Toc1284"/>
      <w:bookmarkStart w:id="77" w:name="_Toc29835"/>
      <w:bookmarkStart w:id="78" w:name="_Toc25925"/>
      <w:bookmarkStart w:id="79" w:name="_Toc1496"/>
      <w:bookmarkStart w:id="80" w:name="_Toc537"/>
      <w:bookmarkStart w:id="81" w:name="_Toc18538"/>
      <w:bookmarkStart w:id="82" w:name="_Toc23330"/>
      <w:bookmarkStart w:id="83" w:name="_Toc23353"/>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8"/>
      </w:pPr>
    </w:p>
    <w:p>
      <w:pPr>
        <w:pStyle w:val="38"/>
      </w:pPr>
    </w:p>
    <w:p>
      <w:pPr>
        <w:pStyle w:val="38"/>
      </w:pPr>
    </w:p>
    <w:p>
      <w:pPr>
        <w:pStyle w:val="4"/>
        <w:rPr>
          <w:color w:val="auto"/>
          <w:highlight w:val="none"/>
        </w:rPr>
      </w:pPr>
      <w:bookmarkStart w:id="84" w:name="_Toc22501"/>
      <w:bookmarkStart w:id="85" w:name="_Toc1375"/>
      <w:bookmarkStart w:id="86" w:name="_Toc12721"/>
      <w:bookmarkStart w:id="87" w:name="_Toc87616386"/>
      <w:bookmarkStart w:id="88" w:name="_Toc22797"/>
      <w:bookmarkStart w:id="89" w:name="_Toc12968"/>
      <w:bookmarkStart w:id="90" w:name="_Toc8183"/>
      <w:bookmarkStart w:id="91" w:name="_Toc88209949"/>
      <w:bookmarkStart w:id="92" w:name="_Toc13309"/>
      <w:bookmarkStart w:id="93" w:name="_Toc19686"/>
      <w:bookmarkStart w:id="94" w:name="_Toc19088"/>
      <w:bookmarkStart w:id="95" w:name="_Toc323"/>
      <w:bookmarkStart w:id="96" w:name="_Toc12980"/>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小型建设工程修缮合同</w:t>
      </w: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both"/>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pStyle w:val="13"/>
        <w:snapToGrid w:val="0"/>
        <w:spacing w:line="400" w:lineRule="exact"/>
        <w:ind w:right="84" w:rightChars="40" w:firstLine="192" w:firstLineChars="80"/>
        <w:rPr>
          <w:rFonts w:hint="eastAsia" w:hAnsi="宋体" w:eastAsia="宋体"/>
          <w:bCs/>
          <w:color w:val="000000"/>
          <w:sz w:val="24"/>
          <w:highlight w:val="none"/>
        </w:rPr>
      </w:pPr>
    </w:p>
    <w:p>
      <w:pPr>
        <w:pStyle w:val="13"/>
        <w:snapToGrid w:val="0"/>
        <w:spacing w:line="400" w:lineRule="exact"/>
        <w:ind w:right="84" w:rightChars="40" w:firstLine="1506" w:firstLineChars="50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r>
        <w:rPr>
          <w:rFonts w:hint="eastAsia" w:hAnsi="宋体" w:eastAsia="宋体" w:cs="宋体"/>
          <w:b/>
          <w:color w:val="000000"/>
          <w:sz w:val="30"/>
          <w:szCs w:val="30"/>
          <w:highlight w:val="none"/>
          <w:lang w:val="en-US" w:eastAsia="zh-CN"/>
        </w:rPr>
        <w:t>广州市净水有限公司</w:t>
      </w:r>
      <w:r>
        <w:rPr>
          <w:rFonts w:hint="eastAsia" w:hAnsi="宋体" w:eastAsia="宋体" w:cs="宋体"/>
          <w:b/>
          <w:color w:val="000000"/>
          <w:sz w:val="30"/>
          <w:szCs w:val="30"/>
          <w:highlight w:val="none"/>
        </w:rPr>
        <w:t>石井分公司2022年</w:t>
      </w:r>
    </w:p>
    <w:p>
      <w:pPr>
        <w:pStyle w:val="13"/>
        <w:snapToGrid w:val="0"/>
        <w:spacing w:line="400" w:lineRule="exact"/>
        <w:ind w:right="84" w:rightChars="40" w:firstLine="1506" w:firstLineChars="50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综合广场地砖更换项目</w:t>
      </w:r>
    </w:p>
    <w:p>
      <w:pPr>
        <w:pStyle w:val="13"/>
        <w:snapToGrid w:val="0"/>
        <w:spacing w:line="400" w:lineRule="exact"/>
        <w:ind w:right="84" w:rightChars="40" w:firstLine="1506" w:firstLineChars="50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 xml:space="preserve">合同编号：穗净水合[  </w:t>
      </w:r>
      <w:r>
        <w:rPr>
          <w:rFonts w:hint="eastAsia" w:hAnsi="宋体" w:eastAsia="宋体" w:cs="宋体"/>
          <w:b/>
          <w:color w:val="000000"/>
          <w:sz w:val="30"/>
          <w:szCs w:val="30"/>
          <w:highlight w:val="none"/>
          <w:lang w:val="en-US" w:eastAsia="zh-CN"/>
        </w:rPr>
        <w:t xml:space="preserve"> </w:t>
      </w:r>
      <w:r>
        <w:rPr>
          <w:rFonts w:hint="eastAsia" w:hAnsi="宋体" w:eastAsia="宋体" w:cs="宋体"/>
          <w:b/>
          <w:color w:val="000000"/>
          <w:sz w:val="30"/>
          <w:szCs w:val="30"/>
          <w:highlight w:val="none"/>
        </w:rPr>
        <w:t xml:space="preserve">  ]    号</w:t>
      </w:r>
    </w:p>
    <w:p>
      <w:pPr>
        <w:pStyle w:val="13"/>
        <w:snapToGrid w:val="0"/>
        <w:spacing w:line="400" w:lineRule="exact"/>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w:t>
      </w: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3"/>
        <w:snapToGrid w:val="0"/>
        <w:ind w:right="84" w:rightChars="40" w:firstLine="1569" w:firstLineChars="521"/>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3"/>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3"/>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eastAsia="zh-CN"/>
        </w:rPr>
        <w:sectPr>
          <w:footerReference r:id="rId6" w:type="default"/>
          <w:pgSz w:w="11906" w:h="16838"/>
          <w:pgMar w:top="1644" w:right="1588" w:bottom="1644" w:left="1588" w:header="851" w:footer="992" w:gutter="0"/>
          <w:pgNumType w:fmt="numberInDash" w:start="1"/>
          <w:cols w:space="720" w:num="1"/>
          <w:docGrid w:type="lines" w:linePitch="312" w:charSpace="0"/>
        </w:sectPr>
      </w:pPr>
      <w:r>
        <w:rPr>
          <w:rFonts w:hint="eastAsia" w:ascii="宋体" w:hAnsi="宋体" w:eastAsia="宋体" w:cs="宋体"/>
          <w:b/>
          <w:color w:val="000000"/>
          <w:sz w:val="30"/>
          <w:szCs w:val="30"/>
          <w:highlight w:val="none"/>
        </w:rPr>
        <w:t>签订地点：广州市</w:t>
      </w:r>
    </w:p>
    <w:p>
      <w:pPr>
        <w:pStyle w:val="3"/>
        <w:keepNext w:val="0"/>
        <w:keepLines w:val="0"/>
        <w:pageBreakBefore w:val="0"/>
        <w:widowControl w:val="0"/>
        <w:kinsoku/>
        <w:wordWrap/>
        <w:overflowPunct/>
        <w:bidi w:val="0"/>
        <w:adjustRightInd w:val="0"/>
        <w:snapToGrid w:val="0"/>
        <w:spacing w:after="0" w:line="500" w:lineRule="exact"/>
        <w:ind w:left="0" w:leftChars="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rPr>
        <w:t xml:space="preserve"> </w:t>
      </w:r>
      <w:r>
        <w:rPr>
          <w:rFonts w:hint="eastAsia" w:eastAsia="宋体" w:cs="宋体"/>
          <w:color w:val="000000"/>
          <w:sz w:val="24"/>
          <w:highlight w:val="none"/>
          <w:u w:val="single"/>
          <w:lang w:val="en-US" w:eastAsia="zh-CN"/>
        </w:rPr>
        <w:t>广州市净水有限公司</w:t>
      </w:r>
      <w:r>
        <w:rPr>
          <w:rFonts w:hint="eastAsia" w:eastAsia="宋体" w:cs="宋体"/>
          <w:color w:val="000000"/>
          <w:sz w:val="24"/>
          <w:highlight w:val="none"/>
          <w:u w:val="single"/>
          <w:lang w:eastAsia="zh-CN"/>
        </w:rPr>
        <w:t>石井分公司</w:t>
      </w:r>
      <w:r>
        <w:rPr>
          <w:rFonts w:hint="eastAsia" w:eastAsia="宋体" w:cs="宋体"/>
          <w:color w:val="000000"/>
          <w:sz w:val="24"/>
          <w:highlight w:val="none"/>
          <w:u w:val="single"/>
          <w:lang w:val="en-US" w:eastAsia="zh-CN"/>
        </w:rPr>
        <w:t>2022年</w:t>
      </w:r>
      <w:r>
        <w:rPr>
          <w:rFonts w:hint="eastAsia" w:eastAsia="宋体" w:cs="宋体"/>
          <w:color w:val="000000"/>
          <w:sz w:val="24"/>
          <w:highlight w:val="none"/>
          <w:u w:val="single"/>
          <w:lang w:eastAsia="zh-CN"/>
        </w:rPr>
        <w:t>综合广场地砖更换</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修缮项目遵循平等、自愿、公平和诚实信用的原则，经双方协商一致，特订立本合同。</w:t>
      </w:r>
    </w:p>
    <w:p>
      <w:pPr>
        <w:pStyle w:val="10"/>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广州市净水有限公司</w:t>
      </w:r>
      <w:r>
        <w:rPr>
          <w:rFonts w:hint="eastAsia" w:ascii="宋体" w:hAnsi="宋体" w:eastAsia="宋体" w:cs="宋体"/>
          <w:color w:val="000000"/>
          <w:sz w:val="24"/>
          <w:szCs w:val="24"/>
          <w:highlight w:val="none"/>
          <w:u w:val="single"/>
          <w:lang w:eastAsia="zh-CN"/>
        </w:rPr>
        <w:t>石井分公司</w:t>
      </w:r>
      <w:r>
        <w:rPr>
          <w:rFonts w:hint="eastAsia" w:ascii="宋体" w:hAnsi="宋体" w:eastAsia="宋体" w:cs="宋体"/>
          <w:color w:val="000000"/>
          <w:sz w:val="24"/>
          <w:szCs w:val="24"/>
          <w:highlight w:val="none"/>
          <w:u w:val="single"/>
          <w:lang w:val="en-US" w:eastAsia="zh-CN"/>
        </w:rPr>
        <w:t>2022综合广场地砖更换项目</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石井分公司</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石井分公司综合广场地砖更换</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48</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w:t>
      </w:r>
      <w:r>
        <w:rPr>
          <w:rFonts w:hint="eastAsia" w:ascii="宋体" w:hAnsi="宋体" w:eastAsia="宋体" w:cs="宋体"/>
          <w:color w:val="000000"/>
          <w:sz w:val="24"/>
          <w:szCs w:val="24"/>
          <w:highlight w:val="none"/>
          <w:u w:val="single"/>
        </w:rPr>
        <w:t>绿色施工安全防护措施费为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21099.38元</w:t>
      </w:r>
      <w:r>
        <w:rPr>
          <w:rFonts w:hint="eastAsia" w:ascii="宋体" w:hAnsi="宋体" w:eastAsia="宋体" w:cs="宋体"/>
          <w:color w:val="000000"/>
          <w:sz w:val="24"/>
          <w:szCs w:val="24"/>
          <w:highlight w:val="none"/>
        </w:rPr>
        <w:t>（大写：人民币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贰万壹仟零玖拾玖元叁角捌分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，暂列金额为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39654.18元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叁万玖仟陆佰伍拾肆元壹角捌分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w:t>
      </w:r>
      <w:r>
        <w:rPr>
          <w:rFonts w:hint="eastAsia" w:ascii="宋体" w:hAnsi="宋体" w:eastAsia="宋体" w:cs="宋体"/>
          <w:color w:val="000000"/>
          <w:sz w:val="24"/>
          <w:szCs w:val="24"/>
          <w:highlight w:val="none"/>
          <w:lang w:val="en-US" w:eastAsia="zh-CN"/>
        </w:rPr>
        <w:t>附件8</w:t>
      </w:r>
      <w:r>
        <w:rPr>
          <w:rFonts w:hint="eastAsia" w:ascii="宋体" w:hAnsi="宋体" w:eastAsia="宋体" w:cs="宋体"/>
          <w:color w:val="000000"/>
          <w:sz w:val="24"/>
          <w:szCs w:val="24"/>
          <w:highlight w:val="none"/>
        </w:rPr>
        <w:t>工程量报价单。</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5"/>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97" w:name="OLE_LINK4"/>
      <w:bookmarkStart w:id="98" w:name="OLE_LINK5"/>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5.4工程完工前，乙方在每月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日前提交请款资料及等额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后，甲方支付至实际完成工作量的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后，甲方支付至合同结算价的97</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个工作日内，甲方支付合同结算价的3%（质保金）给乙方（无息）。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u w:val="single"/>
          <w:lang w:val="en-US" w:eastAsia="zh-CN"/>
        </w:rPr>
        <w:t>/普通发票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名称：广州市净水有限公司</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开户行：民生银行广州分行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账号：0301 0141 4000 6932</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color w:val="auto"/>
          <w:sz w:val="24"/>
          <w:szCs w:val="24"/>
          <w:highlight w:val="none"/>
        </w:rPr>
        <w:t>税号：</w:t>
      </w:r>
      <w:r>
        <w:rPr>
          <w:rFonts w:hint="eastAsia" w:ascii="宋体" w:hAnsi="宋体" w:eastAsia="宋体" w:cs="宋体"/>
          <w:sz w:val="24"/>
          <w:highlight w:val="none"/>
          <w:u w:val="single"/>
        </w:rPr>
        <w:t>91440101755584729Q</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联系电话：020-38890283</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sz w:val="24"/>
          <w:highlight w:val="none"/>
          <w:u w:val="single"/>
        </w:rPr>
        <w:t>广州市天河区临江大道501号</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highlight w:val="none"/>
          <w:u w:val="single"/>
        </w:rPr>
        <w:t>广州市净水有限公司</w:t>
      </w:r>
      <w:r>
        <w:rPr>
          <w:rFonts w:hint="eastAsia" w:ascii="宋体" w:hAnsi="宋体" w:cs="宋体"/>
          <w:color w:val="000000"/>
          <w:sz w:val="24"/>
          <w:highlight w:val="none"/>
          <w:u w:val="single"/>
          <w:lang w:val="en-US" w:eastAsia="zh-CN"/>
        </w:rPr>
        <w:t>石井</w:t>
      </w:r>
      <w:r>
        <w:rPr>
          <w:rFonts w:hint="eastAsia" w:ascii="宋体" w:hAnsi="宋体" w:cs="宋体"/>
          <w:color w:val="000000"/>
          <w:sz w:val="24"/>
          <w:highlight w:val="none"/>
          <w:u w:val="single"/>
        </w:rPr>
        <w:t>分公司</w:t>
      </w:r>
      <w:r>
        <w:rPr>
          <w:rFonts w:hint="eastAsia" w:ascii="宋体" w:hAnsi="宋体" w:eastAsia="宋体" w:cs="宋体"/>
          <w:color w:val="000000"/>
          <w:sz w:val="24"/>
          <w:szCs w:val="24"/>
          <w:highlight w:val="none"/>
          <w:u w:val="single"/>
          <w:lang w:val="en-US" w:eastAsia="zh-CN"/>
        </w:rPr>
        <w:t xml:space="preserve"> 。</w:t>
      </w:r>
    </w:p>
    <w:bookmarkEnd w:id="97"/>
    <w:bookmarkEnd w:id="98"/>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9"/>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0"/>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0"/>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0"/>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1000</w:t>
      </w:r>
      <w:r>
        <w:rPr>
          <w:rFonts w:hint="eastAsia" w:ascii="宋体" w:hAnsi="宋体" w:eastAsia="宋体" w:cs="宋体"/>
          <w:color w:val="000000"/>
          <w:kern w:val="2"/>
          <w:szCs w:val="24"/>
          <w:highlight w:val="none"/>
          <w:u w:val="single"/>
        </w:rPr>
        <w:t>元</w:t>
      </w:r>
      <w:r>
        <w:rPr>
          <w:rFonts w:hint="eastAsia" w:ascii="宋体" w:hAnsi="宋体" w:eastAsia="宋体" w:cs="宋体"/>
          <w:color w:val="000000"/>
          <w:kern w:val="2"/>
          <w:szCs w:val="24"/>
          <w:highlight w:val="none"/>
        </w:rPr>
        <w:t>作为违约金。</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两</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广州市净水有限公司石井分公司</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48"/>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5000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附件：1.发包通知书/</w:t>
      </w:r>
      <w:r>
        <w:rPr>
          <w:rFonts w:hint="eastAsia" w:ascii="宋体" w:hAnsi="宋体" w:eastAsia="宋体" w:cs="宋体"/>
          <w:color w:val="000000"/>
          <w:sz w:val="24"/>
          <w:szCs w:val="24"/>
          <w:highlight w:val="none"/>
          <w:lang w:val="en-US" w:eastAsia="zh-CN"/>
        </w:rPr>
        <w:t>成交通知书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.防疫管理协议书</w:t>
      </w:r>
    </w:p>
    <w:p>
      <w:pPr>
        <w:pStyle w:val="2"/>
        <w:rPr>
          <w:rFonts w:hint="eastAsia"/>
        </w:rPr>
      </w:pPr>
    </w:p>
    <w:p>
      <w:pPr>
        <w:pStyle w:val="2"/>
        <w:rPr>
          <w:rFonts w:hint="eastAsia" w:ascii="宋体" w:hAnsi="宋体" w:eastAsia="宋体" w:cs="宋体"/>
          <w:color w:val="000000"/>
          <w:sz w:val="24"/>
          <w:szCs w:val="24"/>
          <w:highlight w:val="none"/>
        </w:rPr>
      </w:pPr>
    </w:p>
    <w:p>
      <w:pPr>
        <w:pStyle w:val="2"/>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签署日期：    年    月    日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签署日期：    年    月    日</w:t>
      </w:r>
    </w:p>
    <w:p>
      <w:pPr>
        <w:pStyle w:val="2"/>
        <w:rPr>
          <w:rFonts w:hint="eastAsia"/>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lang w:val="en-US" w:eastAsia="zh-CN"/>
        </w:rPr>
      </w:pPr>
      <w:r>
        <w:rPr>
          <w:rFonts w:hint="eastAsia" w:ascii="宋体" w:hAnsi="宋体"/>
          <w:b/>
          <w:color w:val="000000"/>
          <w:sz w:val="24"/>
          <w:highlight w:val="none"/>
        </w:rPr>
        <w:t>附件</w:t>
      </w:r>
      <w:r>
        <w:rPr>
          <w:rFonts w:hint="eastAsia" w:ascii="宋体" w:hAnsi="宋体"/>
          <w:b/>
          <w:color w:val="000000"/>
          <w:sz w:val="24"/>
          <w:highlight w:val="none"/>
          <w:lang w:val="en-US" w:eastAsia="zh-CN"/>
        </w:rPr>
        <w:t>1</w:t>
      </w:r>
      <w:r>
        <w:rPr>
          <w:rFonts w:hint="eastAsia" w:ascii="宋体" w:hAnsi="宋体"/>
          <w:b/>
          <w:color w:val="000000"/>
          <w:sz w:val="24"/>
          <w:highlight w:val="none"/>
        </w:rPr>
        <w:t>：发包通知书</w:t>
      </w:r>
      <w:r>
        <w:rPr>
          <w:rFonts w:hint="eastAsia" w:ascii="宋体" w:hAnsi="宋体"/>
          <w:b/>
          <w:color w:val="000000"/>
          <w:sz w:val="24"/>
          <w:highlight w:val="none"/>
          <w:lang w:val="en-US" w:eastAsia="zh-CN"/>
        </w:rPr>
        <w:t>/成交通知书</w:t>
      </w:r>
    </w:p>
    <w:p>
      <w:pPr>
        <w:pStyle w:val="2"/>
        <w:rPr>
          <w:rFonts w:hint="eastAsia" w:ascii="宋体" w:hAnsi="宋体"/>
          <w:b/>
          <w:color w:val="000000"/>
          <w:sz w:val="24"/>
          <w:highlight w:val="none"/>
          <w:lang w:val="en-US" w:eastAsia="zh-CN"/>
        </w:rPr>
      </w:pPr>
    </w:p>
    <w:p>
      <w:pPr>
        <w:pStyle w:val="2"/>
        <w:rPr>
          <w:rFonts w:hint="eastAsia" w:ascii="宋体" w:hAnsi="宋体"/>
          <w:b/>
          <w:color w:val="000000"/>
          <w:sz w:val="24"/>
          <w:highlight w:val="none"/>
          <w:lang w:val="en-US" w:eastAsia="zh-CN"/>
        </w:rPr>
      </w:pPr>
    </w:p>
    <w:p>
      <w:pPr>
        <w:spacing w:before="156" w:beforeLines="50" w:line="580" w:lineRule="exact"/>
        <w:outlineLvl w:val="1"/>
      </w:pPr>
      <w:r>
        <w:rPr>
          <w:rFonts w:hint="eastAsia" w:ascii="宋体" w:hAnsi="宋体"/>
          <w:b/>
          <w:color w:val="000000"/>
          <w:sz w:val="24"/>
          <w:highlight w:val="none"/>
        </w:rPr>
        <w:t>附件2：</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本工程质量保修书作为施工合同附件，由甲方、乙方双方共同签署。</w:t>
      </w:r>
    </w:p>
    <w:p>
      <w:pPr>
        <w:pStyle w:val="2"/>
        <w:rPr>
          <w:rFonts w:hint="eastAsia"/>
        </w:rPr>
      </w:pPr>
    </w:p>
    <w:p>
      <w:pPr>
        <w:pStyle w:val="2"/>
        <w:rPr>
          <w:rFonts w:hint="eastAsia"/>
        </w:rPr>
      </w:pP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6"/>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20</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无</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pStyle w:val="48"/>
        <w:rPr>
          <w:rFonts w:hint="eastAsia" w:ascii="宋体" w:hAnsi="宋体" w:eastAsia="宋体" w:cs="宋体"/>
          <w:b/>
          <w:bCs/>
          <w:color w:val="000000"/>
          <w:kern w:val="0"/>
          <w:sz w:val="24"/>
          <w:szCs w:val="20"/>
          <w:highlight w:val="none"/>
          <w:lang w:val="en-US" w:eastAsia="zh-CN" w:bidi="ar-SA"/>
        </w:rPr>
      </w:pPr>
    </w:p>
    <w:p>
      <w:pPr>
        <w:pStyle w:val="48"/>
        <w:rPr>
          <w:rFonts w:hint="eastAsia" w:ascii="宋体" w:hAnsi="宋体" w:eastAsia="宋体" w:cs="宋体"/>
          <w:b/>
          <w:bCs/>
          <w:color w:val="000000"/>
          <w:kern w:val="0"/>
          <w:sz w:val="24"/>
          <w:szCs w:val="20"/>
          <w:highlight w:val="none"/>
          <w:lang w:val="en-US" w:eastAsia="zh-CN" w:bidi="ar-SA"/>
        </w:rPr>
      </w:pPr>
      <w:r>
        <w:rPr>
          <w:rFonts w:hint="eastAsia" w:ascii="宋体" w:hAnsi="宋体" w:eastAsia="宋体" w:cs="宋体"/>
          <w:b/>
          <w:bCs/>
          <w:color w:val="000000"/>
          <w:kern w:val="0"/>
          <w:sz w:val="24"/>
          <w:szCs w:val="20"/>
          <w:highlight w:val="none"/>
          <w:lang w:val="en-US" w:eastAsia="zh-CN" w:bidi="ar-SA"/>
        </w:rPr>
        <w:t>附件6：投入工程人员架构表</w:t>
      </w:r>
    </w:p>
    <w:p>
      <w:pPr>
        <w:pStyle w:val="48"/>
        <w:rPr>
          <w:rFonts w:hint="eastAsia" w:ascii="宋体" w:hAnsi="宋体" w:eastAsia="宋体" w:cs="宋体"/>
          <w:b/>
          <w:bCs/>
          <w:color w:val="000000"/>
          <w:kern w:val="0"/>
          <w:sz w:val="24"/>
          <w:szCs w:val="20"/>
          <w:highlight w:val="none"/>
          <w:lang w:val="en-US" w:eastAsia="zh-CN" w:bidi="ar-SA"/>
        </w:rPr>
      </w:pPr>
    </w:p>
    <w:p>
      <w:pPr>
        <w:spacing w:line="360" w:lineRule="auto"/>
        <w:jc w:val="center"/>
        <w:outlineLvl w:val="3"/>
        <w:rPr>
          <w:rFonts w:ascii="宋体" w:hAnsi="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lang w:eastAsia="zh-CN"/>
        </w:rPr>
      </w:pPr>
      <w:r>
        <w:rPr>
          <w:rFonts w:hint="eastAsia" w:ascii="宋体" w:hAnsi="宋体" w:cs="宋体"/>
          <w:b/>
          <w:sz w:val="24"/>
          <w:szCs w:val="24"/>
          <w:highlight w:val="none"/>
        </w:rPr>
        <w:t>投入工程人员</w:t>
      </w:r>
      <w:r>
        <w:rPr>
          <w:rFonts w:hint="eastAsia" w:ascii="宋体" w:hAnsi="宋体" w:cs="宋体"/>
          <w:b/>
          <w:sz w:val="24"/>
          <w:szCs w:val="24"/>
          <w:highlight w:val="none"/>
          <w:lang w:val="en-US" w:eastAsia="zh-CN"/>
        </w:rPr>
        <w:t>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11"/>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附件7：工程量报价单</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单位工程概算价汇总表</w:t>
            </w:r>
          </w:p>
        </w:tc>
      </w:tr>
    </w:tbl>
    <w:p>
      <w:pPr>
        <w:pStyle w:val="11"/>
        <w:rPr>
          <w:rFonts w:hint="eastAsia" w:ascii="宋体" w:hAnsi="宋体" w:eastAsia="宋体" w:cs="宋体"/>
          <w:b/>
          <w:color w:val="auto"/>
          <w:kern w:val="2"/>
          <w:sz w:val="21"/>
          <w:szCs w:val="21"/>
          <w:highlight w:val="yellow"/>
          <w:lang w:val="en-US" w:eastAsia="zh-CN" w:bidi="ar-SA"/>
        </w:rPr>
      </w:pP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3466"/>
        <w:gridCol w:w="2877"/>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1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汇总内容</w:t>
            </w:r>
          </w:p>
        </w:tc>
        <w:tc>
          <w:tcPr>
            <w:tcW w:w="158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21099.38</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39654.18</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11"/>
        <w:rPr>
          <w:rFonts w:hint="eastAsia" w:ascii="宋体" w:hAnsi="宋体" w:eastAsia="宋体" w:cs="宋体"/>
          <w:b/>
          <w:color w:val="auto"/>
          <w:kern w:val="2"/>
          <w:sz w:val="21"/>
          <w:szCs w:val="21"/>
          <w:highlight w:val="yellow"/>
          <w:lang w:val="en-US" w:eastAsia="zh-CN" w:bidi="ar-SA"/>
        </w:rPr>
      </w:pPr>
    </w:p>
    <w:p>
      <w:pPr>
        <w:pStyle w:val="11"/>
        <w:rPr>
          <w:rFonts w:hint="eastAsia" w:ascii="宋体" w:hAnsi="宋体" w:eastAsia="宋体" w:cs="宋体"/>
          <w:b/>
          <w:color w:val="auto"/>
          <w:kern w:val="2"/>
          <w:sz w:val="21"/>
          <w:szCs w:val="21"/>
          <w:highlight w:val="yellow"/>
          <w:lang w:val="en-US" w:eastAsia="zh-CN" w:bidi="ar-SA"/>
        </w:rPr>
      </w:pPr>
    </w:p>
    <w:p>
      <w:pPr>
        <w:pStyle w:val="11"/>
        <w:rPr>
          <w:rFonts w:hint="eastAsia" w:ascii="宋体" w:hAnsi="宋体" w:eastAsia="宋体" w:cs="宋体"/>
          <w:b/>
          <w:color w:val="auto"/>
          <w:kern w:val="2"/>
          <w:sz w:val="21"/>
          <w:szCs w:val="21"/>
          <w:highlight w:val="yellow"/>
          <w:lang w:val="en-US" w:eastAsia="zh-CN" w:bidi="ar-SA"/>
        </w:rPr>
      </w:pPr>
    </w:p>
    <w:p>
      <w:pPr>
        <w:pStyle w:val="11"/>
        <w:rPr>
          <w:rFonts w:hint="eastAsia" w:ascii="宋体" w:hAnsi="宋体" w:eastAsia="宋体" w:cs="宋体"/>
          <w:b/>
          <w:color w:val="auto"/>
          <w:kern w:val="2"/>
          <w:sz w:val="21"/>
          <w:szCs w:val="21"/>
          <w:highlight w:val="yellow"/>
          <w:lang w:val="en-US" w:eastAsia="zh-CN" w:bidi="ar-S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分部分项工程和单价措施项目清单与计价表</w:t>
            </w:r>
          </w:p>
        </w:tc>
      </w:tr>
    </w:tbl>
    <w:p>
      <w:pPr>
        <w:pStyle w:val="11"/>
        <w:rPr>
          <w:rFonts w:hint="eastAsia" w:ascii="宋体" w:hAnsi="宋体" w:eastAsia="宋体" w:cs="宋体"/>
          <w:b/>
          <w:color w:val="auto"/>
          <w:kern w:val="2"/>
          <w:sz w:val="21"/>
          <w:szCs w:val="21"/>
          <w:highlight w:val="yellow"/>
          <w:lang w:val="en-US" w:eastAsia="zh-CN" w:bidi="ar-SA"/>
        </w:rPr>
      </w:pPr>
    </w:p>
    <w:tbl>
      <w:tblPr>
        <w:tblStyle w:val="23"/>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1733"/>
        <w:gridCol w:w="3655"/>
        <w:gridCol w:w="717"/>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6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7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2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6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拆除原有300厚混凝土地面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1.拆除原有300厚混凝土地面</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砖砌体拆除</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1.拆除原有花池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2.部位:大门入口</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拆除原有广场砖及基础</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1.300X300X50厚广场砖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3.150厚C15混凝土</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铲除墙面油漆面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1.铲除墙面油漆面</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拆除平台及台阶面层</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1.拆除平台及台阶面层</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拆除原有花池四周立面层</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1.拆除原有花池四周立面层</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拆除花池1原有面层</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1.拆除花池1原有面层</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拆除花池1原有侧石</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1.拆除花池1原有侧石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2.部位:大门入口</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拆除废料外运</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1.废弃料品种:地面及花池拆除废料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2.运距:15km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1.挖一般土方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2.运距:15km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广场地面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1.深灰色大理石荔枝面600*600*50mm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4.300厚3:7灰土分层夯实</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广场边地面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1.25mm灰色大理石荔枝面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3.150厚C20混凝土</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大门入口地面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2.面层材料品种、规格:烧面白麻石800*800*30mm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石材台阶面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2.面层材料品种、规格:烧面灰麻石900*300*30mm（带防滑条）</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大门入口花池贴面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1.找平层厚度、砂浆配合比:8厚1:3水泥砂浆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2.结合层厚度、砂浆配合比:20厚1:2.5聚合物水泥砂浆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3.面层材料种类及规格：灰色大理石300*500*25mm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大门入口外墙漆</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1.喷或滚刷外墙底漆一遍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2.喷或滚刷白色面层外墙漆两遍</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大门入口新建花池</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1.大门入口新建花池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2.具体做法详见图纸005-2</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C30仿花岗岩侧石150*300mm</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1.C30仿花岗岩侧石150*300mm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花池1石材贴面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1.找平层厚度、砂浆配合比:8厚1:3水泥砂浆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2.结合层厚度、砂浆配合比:20厚1:2.5聚合物水泥砂浆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3.面层材料种类及规格：烧面黄锈石300*300*30mm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花池1外墙砖贴面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1.找平层厚度、砂浆配合比:8厚1:3水泥砂浆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2.结合层厚度、砂浆配合比:20厚1:2.5聚合物水泥砂浆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3.面层材料种类及规格：白色外墙砖145*45*10mm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30厚灰麻石</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1.30厚灰麻石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2.部位:花池1</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砍挖绿篱露地花卉</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1.原有植物保护性砍挖并堆放整齐</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原有植物重新种植</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1.回填种植物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2.原有植物重新种植</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水码围蔽</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1.水码围蔽</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垫层模板</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r>
    </w:tbl>
    <w:p>
      <w:pPr>
        <w:pStyle w:val="11"/>
        <w:rPr>
          <w:rFonts w:hint="eastAsia" w:ascii="宋体" w:hAnsi="宋体" w:eastAsia="宋体" w:cs="宋体"/>
          <w:b/>
          <w:color w:val="auto"/>
          <w:kern w:val="2"/>
          <w:sz w:val="21"/>
          <w:szCs w:val="21"/>
          <w:highlight w:val="yellow"/>
          <w:lang w:val="en-US" w:eastAsia="zh-CN" w:bidi="ar-S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296"/>
        <w:gridCol w:w="1496"/>
        <w:gridCol w:w="1196"/>
        <w:gridCol w:w="661"/>
        <w:gridCol w:w="154"/>
        <w:gridCol w:w="844"/>
        <w:gridCol w:w="863"/>
        <w:gridCol w:w="58"/>
        <w:gridCol w:w="949"/>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880"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工程名称：石井分公司2022年综合广场地砖更换项目</w:t>
            </w:r>
          </w:p>
        </w:tc>
        <w:tc>
          <w:tcPr>
            <w:tcW w:w="979"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u w:val="none"/>
              </w:rPr>
            </w:pPr>
          </w:p>
        </w:tc>
        <w:tc>
          <w:tcPr>
            <w:tcW w:w="113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5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84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3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58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54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费率(%)</w:t>
            </w:r>
          </w:p>
        </w:tc>
        <w:tc>
          <w:tcPr>
            <w:tcW w:w="5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金额(元)</w:t>
            </w:r>
          </w:p>
        </w:tc>
        <w:tc>
          <w:tcPr>
            <w:tcW w:w="55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LSSGCSF00001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21099.38</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区分不同费率计算；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单独场地平整工程费率为4.35%；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道路、管网工程费率为16.50%；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桥涵、隧道、水处理构筑物工程费率为14.50%；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粤041109009001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文明工地增加费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041109002001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041109005001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交通疏解员增加费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按照项目分部分项人工费的15%计算（有方案的按照方案计算），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041108001001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地下管线交叉降效费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7" w:hRule="atLeast"/>
        </w:trPr>
        <w:tc>
          <w:tcPr>
            <w:tcW w:w="33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粤041109008001</w:t>
            </w:r>
          </w:p>
        </w:tc>
        <w:tc>
          <w:tcPr>
            <w:tcW w:w="84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赶工措施费</w:t>
            </w:r>
          </w:p>
        </w:tc>
        <w:tc>
          <w:tcPr>
            <w:tcW w:w="67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3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QTFY00000001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按实际发生或经批准的施工组织设计方案计算</w:t>
            </w:r>
          </w:p>
        </w:tc>
      </w:tr>
    </w:tbl>
    <w:p>
      <w:pPr>
        <w:pStyle w:val="11"/>
        <w:rPr>
          <w:rFonts w:hint="eastAsia" w:ascii="宋体" w:hAnsi="宋体" w:eastAsia="宋体" w:cs="宋体"/>
          <w:b/>
          <w:color w:val="auto"/>
          <w:kern w:val="2"/>
          <w:sz w:val="21"/>
          <w:szCs w:val="21"/>
          <w:highlight w:val="yellow"/>
          <w:lang w:val="en-US" w:eastAsia="zh-CN" w:bidi="ar-S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70"/>
        <w:gridCol w:w="823"/>
        <w:gridCol w:w="821"/>
        <w:gridCol w:w="757"/>
        <w:gridCol w:w="718"/>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工程名称：石井分公司2022年综合广场地砖更换项目</w:t>
            </w:r>
          </w:p>
        </w:tc>
        <w:tc>
          <w:tcPr>
            <w:tcW w:w="87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39654.18</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098"/>
        <w:gridCol w:w="2325"/>
        <w:gridCol w:w="167"/>
        <w:gridCol w:w="1395"/>
        <w:gridCol w:w="16"/>
        <w:gridCol w:w="872"/>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工程名称：石井分公司2022年综合广场地砖更换项目</w:t>
            </w:r>
          </w:p>
        </w:tc>
        <w:tc>
          <w:tcPr>
            <w:tcW w:w="871" w:type="pct"/>
            <w:gridSpan w:val="3"/>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20"/>
                <w:szCs w:val="20"/>
                <w:u w:val="none"/>
              </w:rPr>
            </w:pP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计算费率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ascii="宋体" w:hAnsi="宋体" w:eastAsia="宋体" w:cs="宋体"/>
          <w:b/>
          <w:bCs/>
          <w:color w:val="000000"/>
          <w:sz w:val="21"/>
          <w:szCs w:val="21"/>
          <w:highlight w:val="none"/>
        </w:rPr>
      </w:pPr>
    </w:p>
    <w:p>
      <w:pPr>
        <w:pStyle w:val="2"/>
        <w:rPr>
          <w:rFonts w:hint="eastAsia" w:ascii="宋体" w:hAnsi="宋体" w:eastAsia="宋体" w:cs="宋体"/>
          <w:b/>
          <w:bCs/>
          <w:color w:val="000000"/>
          <w:sz w:val="21"/>
          <w:szCs w:val="21"/>
          <w:highlight w:val="none"/>
        </w:rPr>
      </w:pPr>
    </w:p>
    <w:p>
      <w:pPr>
        <w:pStyle w:val="2"/>
        <w:rPr>
          <w:rFonts w:hint="eastAsia" w:ascii="宋体" w:hAnsi="宋体" w:eastAsia="宋体" w:cs="宋体"/>
          <w:b/>
          <w:bCs/>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p>
      <w:pPr>
        <w:spacing w:line="360" w:lineRule="auto"/>
        <w:rPr>
          <w:rFonts w:ascii="宋体" w:hAnsi="宋体" w:cs="宋体"/>
          <w:b/>
          <w:szCs w:val="21"/>
          <w:highlight w:val="none"/>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8：</w:t>
      </w:r>
      <w:r>
        <w:rPr>
          <w:rFonts w:hint="eastAsia" w:ascii="宋体" w:hAnsi="宋体" w:cs="宋体"/>
          <w:b/>
          <w:szCs w:val="21"/>
          <w:highlight w:val="none"/>
        </w:rPr>
        <w:t>防疫管理协议书</w:t>
      </w:r>
    </w:p>
    <w:p>
      <w:pPr>
        <w:spacing w:line="440" w:lineRule="exact"/>
        <w:jc w:val="center"/>
        <w:rPr>
          <w:rFonts w:ascii="宋体" w:hAnsi="宋体"/>
          <w:b/>
          <w:bCs/>
          <w:sz w:val="28"/>
          <w:szCs w:val="28"/>
          <w:highlight w:val="none"/>
        </w:rPr>
      </w:pPr>
      <w:r>
        <w:rPr>
          <w:rFonts w:hint="eastAsia" w:ascii="宋体" w:hAnsi="宋体"/>
          <w:b/>
          <w:bCs/>
          <w:sz w:val="28"/>
          <w:szCs w:val="28"/>
          <w:highlight w:val="none"/>
        </w:rPr>
        <w:t>防疫管理协议书</w:t>
      </w:r>
    </w:p>
    <w:p>
      <w:pPr>
        <w:spacing w:line="440" w:lineRule="exact"/>
        <w:rPr>
          <w:rFonts w:ascii="宋体" w:hAnsi="宋体"/>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6"/>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38"/>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2"/>
        <w:ind w:left="0" w:leftChars="0" w:firstLine="0" w:firstLineChars="0"/>
        <w:rPr>
          <w:rFonts w:ascii="宋体" w:hAnsi="宋体" w:cs="宋体"/>
          <w:b/>
          <w:bCs/>
          <w:color w:val="000000"/>
          <w:sz w:val="24"/>
          <w:szCs w:val="24"/>
          <w:highlight w:val="none"/>
        </w:rPr>
      </w:pPr>
    </w:p>
    <w:p>
      <w:pPr>
        <w:rPr>
          <w:rFonts w:hint="eastAsia"/>
        </w:rPr>
      </w:pPr>
      <w:bookmarkStart w:id="99" w:name="_Toc5129"/>
      <w:bookmarkStart w:id="100" w:name="_Toc16552"/>
      <w:bookmarkStart w:id="101" w:name="_Toc6230"/>
      <w:bookmarkStart w:id="102" w:name="_Toc12169"/>
      <w:bookmarkStart w:id="103" w:name="_Toc3723"/>
      <w:bookmarkStart w:id="104" w:name="_Toc30824"/>
      <w:bookmarkStart w:id="105" w:name="_Toc28358"/>
      <w:bookmarkStart w:id="106" w:name="_Toc23515"/>
      <w:bookmarkStart w:id="107" w:name="_Toc8147"/>
      <w:bookmarkStart w:id="108" w:name="_Toc1563"/>
      <w:bookmarkStart w:id="109" w:name="_Toc21847"/>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pPr>
      <w:r>
        <mc:AlternateContent>
          <mc:Choice Requires="wps">
            <w:drawing>
              <wp:anchor distT="0" distB="0" distL="114300" distR="114300" simplePos="0" relativeHeight="251668480" behindDoc="0" locked="0" layoutInCell="1" allowOverlap="1">
                <wp:simplePos x="0" y="0"/>
                <wp:positionH relativeFrom="column">
                  <wp:posOffset>2366645</wp:posOffset>
                </wp:positionH>
                <wp:positionV relativeFrom="paragraph">
                  <wp:posOffset>275590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6.35pt;margin-top:21.7pt;height:0pt;width:75.5pt;z-index:251668480;mso-width-relative:page;mso-height-relative:page;" filled="f" stroked="t" coordsize="21600,21600" o:gfxdata="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qNk8L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2359025</wp:posOffset>
                </wp:positionH>
                <wp:positionV relativeFrom="paragraph">
                  <wp:posOffset>706120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75pt;margin-top:55.6pt;height:0pt;width:75.5pt;z-index:251669504;mso-width-relative:page;mso-height-relative:page;" filled="f" stroked="t" coordsize="21600,21600" o:gfxdata="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Og9UPWAAAACw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rPr>
        <w:t>第七章</w:t>
      </w:r>
      <w:bookmarkEnd w:id="99"/>
      <w:bookmarkEnd w:id="100"/>
      <w:bookmarkEnd w:id="101"/>
      <w:bookmarkEnd w:id="102"/>
      <w:bookmarkEnd w:id="103"/>
      <w:bookmarkEnd w:id="104"/>
      <w:bookmarkEnd w:id="105"/>
      <w:bookmarkEnd w:id="106"/>
      <w:bookmarkEnd w:id="107"/>
      <w:bookmarkEnd w:id="108"/>
      <w:bookmarkEnd w:id="109"/>
    </w:p>
    <w:p>
      <w:pPr>
        <w:pStyle w:val="38"/>
      </w:pPr>
    </w:p>
    <w:p>
      <w:pPr>
        <w:pStyle w:val="4"/>
      </w:pPr>
      <w:bookmarkStart w:id="110" w:name="_Toc21675"/>
      <w:bookmarkStart w:id="111" w:name="_Toc12610"/>
      <w:bookmarkStart w:id="112" w:name="_Toc30157"/>
      <w:bookmarkStart w:id="113" w:name="_Toc5342"/>
      <w:bookmarkStart w:id="114" w:name="_Toc10840"/>
      <w:bookmarkStart w:id="115" w:name="_Toc12769"/>
      <w:bookmarkStart w:id="116" w:name="_Toc17119"/>
      <w:bookmarkStart w:id="117" w:name="_Toc24815"/>
      <w:bookmarkStart w:id="118" w:name="_Toc31564"/>
      <w:bookmarkStart w:id="119" w:name="_Toc24490"/>
      <w:bookmarkStart w:id="120" w:name="_Toc88209951"/>
      <w:bookmarkStart w:id="121" w:name="_Toc22764"/>
      <w:bookmarkStart w:id="122" w:name="_Toc87616388"/>
      <w:r>
        <w:rPr>
          <w:rFonts w:hint="eastAsia"/>
        </w:rPr>
        <w:t>响应文件</w:t>
      </w:r>
      <w:r>
        <w:rPr>
          <w:rFonts w:hint="eastAsia"/>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3" w:name="_Toc88209952"/>
      <w:bookmarkStart w:id="124" w:name="_Toc87616389"/>
      <w:r>
        <w:rPr>
          <w:rFonts w:hint="eastAsia" w:ascii="仿宋_GB2312" w:eastAsia="仿宋_GB2312"/>
          <w:sz w:val="28"/>
          <w:szCs w:val="28"/>
        </w:rPr>
        <w:t>1.响应函</w:t>
      </w:r>
      <w:bookmarkEnd w:id="123"/>
      <w:bookmarkEnd w:id="124"/>
    </w:p>
    <w:p>
      <w:pPr>
        <w:spacing w:line="600" w:lineRule="exact"/>
        <w:rPr>
          <w:rFonts w:hint="eastAsia" w:ascii="仿宋_GB2312" w:eastAsia="仿宋_GB2312"/>
          <w:sz w:val="28"/>
          <w:szCs w:val="28"/>
        </w:rPr>
      </w:pPr>
      <w:bookmarkStart w:id="125" w:name="_Toc88209953"/>
      <w:bookmarkStart w:id="126" w:name="_Toc87616390"/>
      <w:r>
        <w:rPr>
          <w:rFonts w:hint="eastAsia" w:ascii="仿宋_GB2312" w:eastAsia="仿宋_GB2312"/>
          <w:sz w:val="28"/>
          <w:szCs w:val="28"/>
        </w:rPr>
        <w:t>2.法定代表人证明或授权委托书</w:t>
      </w:r>
      <w:bookmarkEnd w:id="125"/>
      <w:bookmarkEnd w:id="126"/>
      <w:bookmarkStart w:id="127" w:name="_Toc87616393"/>
      <w:bookmarkStart w:id="128"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7"/>
      <w:bookmarkEnd w:id="128"/>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asciiTheme="minorEastAsia" w:hAnsiTheme="minorEastAsia" w:eastAsiaTheme="minorEastAsia"/>
          <w:sz w:val="28"/>
          <w:szCs w:val="28"/>
        </w:rPr>
      </w:pPr>
      <w:bookmarkStart w:id="129" w:name="_Toc28619645"/>
      <w:bookmarkStart w:id="130" w:name="_Toc12665"/>
      <w:bookmarkStart w:id="131" w:name="_Toc6313"/>
      <w:bookmarkStart w:id="132" w:name="_Toc87616394"/>
      <w:bookmarkStart w:id="133" w:name="_Toc88209957"/>
      <w:r>
        <w:rPr>
          <w:rFonts w:hint="eastAsia" w:asciiTheme="minorEastAsia" w:hAnsiTheme="minorEastAsia" w:eastAsiaTheme="minorEastAsia"/>
          <w:sz w:val="28"/>
          <w:szCs w:val="28"/>
        </w:rPr>
        <w:t>1.响应函</w:t>
      </w:r>
      <w:bookmarkEnd w:id="129"/>
      <w:bookmarkEnd w:id="130"/>
      <w:bookmarkEnd w:id="131"/>
      <w:bookmarkEnd w:id="132"/>
      <w:bookmarkEnd w:id="133"/>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w:t>
      </w:r>
      <w:r>
        <w:rPr>
          <w:rFonts w:hint="eastAsia" w:ascii="仿宋_GB2312" w:hAnsi="黑体" w:eastAsia="仿宋_GB2312"/>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4" w:name="_Toc88209958"/>
      <w:bookmarkStart w:id="135" w:name="_Toc29833"/>
      <w:bookmarkStart w:id="136" w:name="_Toc22527"/>
      <w:bookmarkStart w:id="137" w:name="_Toc87616395"/>
    </w:p>
    <w:p>
      <w:pPr>
        <w:pStyle w:val="2"/>
        <w:rPr>
          <w:rFonts w:hint="eastAsia"/>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4"/>
      <w:bookmarkEnd w:id="135"/>
      <w:bookmarkEnd w:id="136"/>
      <w:bookmarkEnd w:id="137"/>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0"/>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4"/>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9"/>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rPr>
      </w:pPr>
    </w:p>
    <w:p>
      <w:pPr>
        <w:pStyle w:val="14"/>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8"/>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8" w:name="_Toc87616400"/>
      <w:bookmarkStart w:id="139" w:name="_Toc88209963"/>
      <w:bookmarkStart w:id="140" w:name="_Toc8086"/>
      <w:bookmarkStart w:id="141" w:name="_Toc1983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8"/>
      <w:bookmarkEnd w:id="139"/>
      <w:bookmarkEnd w:id="140"/>
      <w:bookmarkEnd w:id="141"/>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广州市净水有限公司石井分公司</w:t>
      </w:r>
      <w:r>
        <w:rPr>
          <w:rFonts w:hint="eastAsia" w:ascii="宋体" w:hAnsi="宋体" w:cs="宋体"/>
          <w:color w:val="auto"/>
          <w:kern w:val="2"/>
          <w:sz w:val="24"/>
          <w:szCs w:val="24"/>
          <w:highlight w:val="none"/>
          <w:lang w:val="en-US" w:eastAsia="zh-CN"/>
        </w:rPr>
        <w:t>2022年</w:t>
      </w:r>
      <w:r>
        <w:rPr>
          <w:rFonts w:hint="eastAsia" w:ascii="宋体" w:hAnsi="宋体" w:cs="宋体"/>
          <w:color w:val="auto"/>
          <w:kern w:val="2"/>
          <w:sz w:val="24"/>
          <w:szCs w:val="24"/>
          <w:highlight w:val="none"/>
          <w:lang w:val="en-GB" w:eastAsia="zh-CN"/>
        </w:rPr>
        <w:t>综合广场地砖更换项目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rPr>
          <w:rFonts w:hint="default" w:ascii="仿宋_GB2312" w:eastAsia="仿宋_GB2312" w:hAnsiTheme="minorEastAsia"/>
          <w:sz w:val="28"/>
          <w:szCs w:val="28"/>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Theme="minorEastAsia" w:hAnsiTheme="minorEastAsia" w:eastAsiaTheme="minorEastAsia"/>
          <w:sz w:val="28"/>
          <w:szCs w:val="28"/>
        </w:rPr>
      </w:pPr>
      <w:bookmarkStart w:id="143" w:name="_Toc32430"/>
      <w:bookmarkStart w:id="144"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43"/>
      <w:bookmarkEnd w:id="144"/>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（1）报价表说明</w:t>
      </w:r>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vAlign w:val="center"/>
          </w:tcPr>
          <w:p>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vAlign w:val="center"/>
          </w:tcPr>
          <w:p>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74" w:type="dxa"/>
            <w:vAlign w:val="center"/>
          </w:tcPr>
          <w:p>
            <w:pPr>
              <w:pStyle w:val="48"/>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4800" w:type="dxa"/>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cs="宋体"/>
                <w:color w:val="auto"/>
                <w:kern w:val="2"/>
                <w:sz w:val="24"/>
                <w:szCs w:val="24"/>
                <w:highlight w:val="none"/>
                <w:lang w:val="en-GB" w:eastAsia="zh-CN"/>
              </w:rPr>
              <w:t>广州市净水有限公司石井分公司</w:t>
            </w:r>
            <w:r>
              <w:rPr>
                <w:rFonts w:hint="eastAsia" w:ascii="宋体" w:hAnsi="宋体" w:cs="宋体"/>
                <w:color w:val="auto"/>
                <w:kern w:val="2"/>
                <w:sz w:val="24"/>
                <w:szCs w:val="24"/>
                <w:highlight w:val="none"/>
                <w:lang w:val="en-US" w:eastAsia="zh-CN"/>
              </w:rPr>
              <w:t>2022年</w:t>
            </w:r>
            <w:r>
              <w:rPr>
                <w:rFonts w:hint="eastAsia" w:ascii="宋体" w:hAnsi="宋体" w:cs="宋体"/>
                <w:color w:val="auto"/>
                <w:kern w:val="2"/>
                <w:sz w:val="24"/>
                <w:szCs w:val="24"/>
                <w:highlight w:val="none"/>
                <w:lang w:val="en-GB" w:eastAsia="zh-CN"/>
              </w:rPr>
              <w:t>综合广场地砖更换项目</w:t>
            </w:r>
          </w:p>
        </w:tc>
        <w:tc>
          <w:tcPr>
            <w:tcW w:w="2986" w:type="dxa"/>
            <w:vAlign w:val="center"/>
          </w:tcPr>
          <w:p>
            <w:pPr>
              <w:pStyle w:val="48"/>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74" w:type="dxa"/>
            <w:shd w:val="clear" w:color="auto" w:fill="auto"/>
            <w:vAlign w:val="center"/>
          </w:tcPr>
          <w:p>
            <w:pPr>
              <w:pStyle w:val="13"/>
              <w:spacing w:line="360" w:lineRule="auto"/>
              <w:jc w:val="center"/>
              <w:outlineLvl w:val="1"/>
              <w:rPr>
                <w:rFonts w:hint="eastAsia" w:ascii="宋体" w:hAnsi="宋体" w:eastAsia="宋体" w:cs="宋体"/>
                <w:b/>
                <w:bCs/>
                <w:color w:val="auto"/>
                <w:sz w:val="24"/>
                <w:szCs w:val="24"/>
                <w:highlight w:val="none"/>
              </w:rPr>
            </w:pPr>
          </w:p>
        </w:tc>
        <w:tc>
          <w:tcPr>
            <w:tcW w:w="4800" w:type="dxa"/>
            <w:shd w:val="clear" w:color="auto" w:fill="auto"/>
            <w:vAlign w:val="center"/>
          </w:tcPr>
          <w:p>
            <w:pPr>
              <w:pStyle w:val="13"/>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2986" w:type="dxa"/>
            <w:vAlign w:val="center"/>
          </w:tcPr>
          <w:p>
            <w:pPr>
              <w:pStyle w:val="48"/>
              <w:jc w:val="center"/>
              <w:rPr>
                <w:rFonts w:hint="eastAsia" w:ascii="宋体" w:hAnsi="宋体" w:eastAsia="宋体" w:cs="宋体"/>
                <w:color w:val="auto"/>
                <w:sz w:val="24"/>
                <w:szCs w:val="24"/>
                <w:highlight w:val="none"/>
              </w:rPr>
            </w:pPr>
          </w:p>
        </w:tc>
      </w:tr>
    </w:tbl>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单位工程概算价汇总表</w:t>
            </w:r>
          </w:p>
        </w:tc>
      </w:tr>
    </w:tbl>
    <w:p>
      <w:pPr>
        <w:pStyle w:val="11"/>
        <w:rPr>
          <w:rFonts w:hint="eastAsia" w:ascii="宋体" w:hAnsi="宋体" w:eastAsia="宋体" w:cs="宋体"/>
          <w:b/>
          <w:color w:val="auto"/>
          <w:kern w:val="2"/>
          <w:sz w:val="21"/>
          <w:szCs w:val="21"/>
          <w:highlight w:val="yellow"/>
          <w:lang w:val="en-US" w:eastAsia="zh-CN" w:bidi="ar-SA"/>
        </w:rPr>
      </w:pP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3466"/>
        <w:gridCol w:w="2877"/>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1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汇总内容</w:t>
            </w:r>
          </w:p>
        </w:tc>
        <w:tc>
          <w:tcPr>
            <w:tcW w:w="158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21099.38</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39654.18</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15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11"/>
        <w:rPr>
          <w:rFonts w:hint="eastAsia" w:ascii="宋体" w:hAnsi="宋体" w:eastAsia="宋体" w:cs="宋体"/>
          <w:b/>
          <w:color w:val="auto"/>
          <w:kern w:val="2"/>
          <w:sz w:val="21"/>
          <w:szCs w:val="21"/>
          <w:highlight w:val="yellow"/>
          <w:lang w:val="en-US" w:eastAsia="zh-CN" w:bidi="ar-S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分部分项工程和单价措施项目清单与计价表</w:t>
            </w:r>
          </w:p>
        </w:tc>
      </w:tr>
    </w:tbl>
    <w:p>
      <w:pPr>
        <w:pStyle w:val="11"/>
        <w:rPr>
          <w:rFonts w:hint="eastAsia" w:ascii="宋体" w:hAnsi="宋体" w:eastAsia="宋体" w:cs="宋体"/>
          <w:b/>
          <w:color w:val="auto"/>
          <w:kern w:val="2"/>
          <w:sz w:val="21"/>
          <w:szCs w:val="21"/>
          <w:highlight w:val="yellow"/>
          <w:lang w:val="en-US" w:eastAsia="zh-CN" w:bidi="ar-SA"/>
        </w:rPr>
      </w:pPr>
    </w:p>
    <w:tbl>
      <w:tblPr>
        <w:tblStyle w:val="23"/>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1733"/>
        <w:gridCol w:w="3655"/>
        <w:gridCol w:w="717"/>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6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7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2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6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拆除原有300厚混凝土地面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1.拆除原有300厚混凝土地面</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砖砌体拆除</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1.拆除原有花池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2.部位:大门入口</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拆除原有广场砖及基础</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1.300X300X50厚广场砖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3.150厚C15混凝土</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铲除墙面油漆面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1.铲除墙面油漆面</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拆除平台及台阶面层</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1.拆除平台及台阶面层</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拆除原有花池四周立面层</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1.拆除原有花池四周立面层</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拆除花池1原有面层</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1.拆除花池1原有面层</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拆除花池1原有侧石</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1.拆除花池1原有侧石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2.部位:大门入口</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拆除废料外运</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1.废弃料品种:地面及花池拆除废料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2.运距:15km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1.挖一般土方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2.运距:15km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广场地面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1.深灰色大理石荔枝面600*600*50mm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4.300厚3:7灰土分层夯实</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广场边地面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1.25mm灰色大理石荔枝面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3.150厚C20混凝土</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大门入口地面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2.面层材料品种、规格:烧面白麻石800*800*30mm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石材台阶面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2.面层材料品种、规格:烧面灰麻石900*300*30mm（带防滑条）</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大门入口花池贴面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1.找平层厚度、砂浆配合比:8厚1:3水泥砂浆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2.结合层厚度、砂浆配合比:20厚1:2.5聚合物水泥砂浆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3.面层材料种类及规格：灰色大理石300*500*25mm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大门入口外墙漆</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1.喷或滚刷外墙底漆一遍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2.喷或滚刷白色面层外墙漆两遍</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大门入口新建花池</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1.大门入口新建花池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2.具体做法详见图纸005-2</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C30仿花岗岩侧石150*300mm</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1.C30仿花岗岩侧石150*300mm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花池1石材贴面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1.找平层厚度、砂浆配合比:8厚1:3水泥砂浆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2.结合层厚度、砂浆配合比:20厚1:2.5聚合物水泥砂浆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3.面层材料种类及规格：烧面黄锈石300*300*30mm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花池1外墙砖贴面</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1.找平层厚度、砂浆配合比:8厚1:3水泥砂浆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2.结合层厚度、砂浆配合比:20厚1:2.5聚合物水泥砂浆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3.面层材料种类及规格：白色外墙砖145*45*10mm</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30厚灰麻石</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1.30厚灰麻石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2.部位:花池1</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砍挖绿篱露地花卉</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1.原有植物保护性砍挖并堆放整齐</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原有植物重新种植</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1.回填种植物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2.原有植物重新种植</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水码围蔽</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1.水码围蔽</w:t>
            </w: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垫层模板</w:t>
            </w:r>
          </w:p>
        </w:tc>
        <w:tc>
          <w:tcPr>
            <w:tcW w:w="36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r>
    </w:tbl>
    <w:p>
      <w:pPr>
        <w:pStyle w:val="11"/>
        <w:rPr>
          <w:rFonts w:hint="eastAsia" w:ascii="宋体" w:hAnsi="宋体" w:eastAsia="宋体" w:cs="宋体"/>
          <w:b/>
          <w:color w:val="auto"/>
          <w:kern w:val="2"/>
          <w:sz w:val="21"/>
          <w:szCs w:val="21"/>
          <w:highlight w:val="yellow"/>
          <w:lang w:val="en-US" w:eastAsia="zh-CN" w:bidi="ar-S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296"/>
        <w:gridCol w:w="1496"/>
        <w:gridCol w:w="1196"/>
        <w:gridCol w:w="661"/>
        <w:gridCol w:w="154"/>
        <w:gridCol w:w="844"/>
        <w:gridCol w:w="863"/>
        <w:gridCol w:w="58"/>
        <w:gridCol w:w="949"/>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880"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工程名称：石井分公司2022年综合广场地砖更换项目</w:t>
            </w:r>
          </w:p>
        </w:tc>
        <w:tc>
          <w:tcPr>
            <w:tcW w:w="979"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u w:val="none"/>
              </w:rPr>
            </w:pPr>
          </w:p>
        </w:tc>
        <w:tc>
          <w:tcPr>
            <w:tcW w:w="113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5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84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3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58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54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费率(%)</w:t>
            </w:r>
          </w:p>
        </w:tc>
        <w:tc>
          <w:tcPr>
            <w:tcW w:w="5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金额(元)</w:t>
            </w:r>
          </w:p>
        </w:tc>
        <w:tc>
          <w:tcPr>
            <w:tcW w:w="55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LSSGCSF00001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21099.38</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区分不同费率计算；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单独场地平整工程费率为4.35%；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道路、管网工程费率为16.50%；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桥涵、隧道、水处理构筑物工程费率为14.50%；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粤041109009001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文明工地增加费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041109002001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041109005001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交通疏解员增加费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按照项目分部分项人工费的15%计算（有方案的按照方案计算），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041108001001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地下管线交叉降效费</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7" w:hRule="atLeast"/>
        </w:trPr>
        <w:tc>
          <w:tcPr>
            <w:tcW w:w="33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粤041109008001</w:t>
            </w:r>
          </w:p>
        </w:tc>
        <w:tc>
          <w:tcPr>
            <w:tcW w:w="84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赶工措施费</w:t>
            </w:r>
          </w:p>
        </w:tc>
        <w:tc>
          <w:tcPr>
            <w:tcW w:w="67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3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QTFY00000001</w:t>
            </w:r>
          </w:p>
        </w:tc>
        <w:tc>
          <w:tcPr>
            <w:tcW w:w="8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按实际发生或经批准的施工组织设计方案计算</w:t>
            </w:r>
          </w:p>
        </w:tc>
      </w:tr>
    </w:tbl>
    <w:p>
      <w:pPr>
        <w:pStyle w:val="11"/>
        <w:rPr>
          <w:rFonts w:hint="eastAsia" w:ascii="宋体" w:hAnsi="宋体" w:eastAsia="宋体" w:cs="宋体"/>
          <w:b/>
          <w:color w:val="auto"/>
          <w:kern w:val="2"/>
          <w:sz w:val="21"/>
          <w:szCs w:val="21"/>
          <w:highlight w:val="yellow"/>
          <w:lang w:val="en-US" w:eastAsia="zh-CN" w:bidi="ar-S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70"/>
        <w:gridCol w:w="823"/>
        <w:gridCol w:w="821"/>
        <w:gridCol w:w="757"/>
        <w:gridCol w:w="718"/>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工程名称：石井分公司2022年综合广场地砖更换项目</w:t>
            </w:r>
          </w:p>
        </w:tc>
        <w:tc>
          <w:tcPr>
            <w:tcW w:w="87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39654.18</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098"/>
        <w:gridCol w:w="2325"/>
        <w:gridCol w:w="167"/>
        <w:gridCol w:w="1395"/>
        <w:gridCol w:w="16"/>
        <w:gridCol w:w="872"/>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工程名称：石井分公司2022年综合广场地砖更换项目</w:t>
            </w:r>
          </w:p>
        </w:tc>
        <w:tc>
          <w:tcPr>
            <w:tcW w:w="871" w:type="pct"/>
            <w:gridSpan w:val="3"/>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20"/>
                <w:szCs w:val="20"/>
                <w:u w:val="none"/>
              </w:rPr>
            </w:pP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计算费率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600" w:lineRule="exact"/>
        <w:ind w:firstLine="570"/>
        <w:rPr>
          <w:rFonts w:ascii="仿宋_GB2312" w:eastAsia="仿宋_GB2312" w:hAnsiTheme="minorEastAsia"/>
          <w:sz w:val="28"/>
          <w:szCs w:val="28"/>
        </w:rPr>
      </w:pPr>
      <w:r>
        <w:rPr>
          <w:rFonts w:hint="eastAsia" w:ascii="宋体" w:hAnsi="宋体" w:eastAsia="宋体" w:cs="宋体"/>
          <w:color w:val="auto"/>
          <w:kern w:val="2"/>
          <w:sz w:val="24"/>
          <w:szCs w:val="24"/>
          <w:highlight w:val="none"/>
          <w:lang w:val="en-GB"/>
        </w:rPr>
        <w:t>年  月  日</w:t>
      </w:r>
    </w:p>
    <w:p>
      <w:pPr>
        <w:pStyle w:val="2"/>
        <w:rPr>
          <w:rFonts w:ascii="仿宋_GB2312" w:eastAsia="仿宋_GB2312" w:hAnsiTheme="minorEastAsia"/>
          <w:sz w:val="28"/>
          <w:szCs w:val="28"/>
        </w:rPr>
      </w:pPr>
    </w:p>
    <w:p>
      <w:pPr>
        <w:pStyle w:val="2"/>
        <w:rPr>
          <w:rFonts w:hint="default"/>
          <w:lang w:val="en-US"/>
        </w:rPr>
      </w:pPr>
    </w:p>
    <w:p>
      <w:pPr>
        <w:pStyle w:val="6"/>
        <w:rPr>
          <w:rFonts w:asciiTheme="majorEastAsia" w:hAnsiTheme="majorEastAsia" w:eastAsiaTheme="majorEastAsia"/>
          <w:sz w:val="28"/>
          <w:szCs w:val="28"/>
        </w:rPr>
      </w:pPr>
      <w:bookmarkStart w:id="145" w:name="_Toc88209965"/>
      <w:bookmarkStart w:id="146" w:name="_Toc6058"/>
      <w:bookmarkStart w:id="147" w:name="_Toc16386"/>
      <w:bookmarkStart w:id="148" w:name="_Toc87616402"/>
      <w:r>
        <w:rPr>
          <w:rFonts w:hint="eastAsia" w:eastAsiaTheme="majorEastAsia"/>
          <w:lang w:val="en-US" w:eastAsia="zh-CN"/>
        </w:rPr>
        <w:t>6</w:t>
      </w:r>
      <w:r>
        <w:rPr>
          <w:rFonts w:hint="eastAsia" w:asciiTheme="majorEastAsia" w:hAnsiTheme="majorEastAsia" w:eastAsiaTheme="majorEastAsia"/>
          <w:sz w:val="28"/>
          <w:szCs w:val="28"/>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7"/>
      </w:rPr>
    </w:pPr>
    <w:r>
      <w:fldChar w:fldCharType="begin"/>
    </w:r>
    <w:r>
      <w:rPr>
        <w:rStyle w:val="27"/>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w:t>
    </w:r>
    <w:r>
      <w:t xml:space="preserve"> 1 -</w:t>
    </w:r>
    <w:r>
      <w:fldChar w:fldCharType="end"/>
    </w:r>
  </w:p>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E92AA0D"/>
    <w:multiLevelType w:val="singleLevel"/>
    <w:tmpl w:val="FE92AA0D"/>
    <w:lvl w:ilvl="0" w:tentative="0">
      <w:start w:val="1"/>
      <w:numFmt w:val="chineseCounting"/>
      <w:suff w:val="nothing"/>
      <w:lvlText w:val="%1、"/>
      <w:lvlJc w:val="left"/>
      <w:rPr>
        <w:rFonts w:hint="eastAsia"/>
      </w:r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A90D308"/>
    <w:multiLevelType w:val="singleLevel"/>
    <w:tmpl w:val="5A90D308"/>
    <w:lvl w:ilvl="0" w:tentative="0">
      <w:start w:val="1"/>
      <w:numFmt w:val="decimal"/>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CD33D3"/>
    <w:rsid w:val="00F83B64"/>
    <w:rsid w:val="02090C75"/>
    <w:rsid w:val="021A4ADB"/>
    <w:rsid w:val="02A23A3C"/>
    <w:rsid w:val="03AC246A"/>
    <w:rsid w:val="03B23056"/>
    <w:rsid w:val="03DC3EBA"/>
    <w:rsid w:val="03F9794D"/>
    <w:rsid w:val="046A2461"/>
    <w:rsid w:val="05995B49"/>
    <w:rsid w:val="06C64829"/>
    <w:rsid w:val="077D16D2"/>
    <w:rsid w:val="08675FC8"/>
    <w:rsid w:val="099928DC"/>
    <w:rsid w:val="09B713FD"/>
    <w:rsid w:val="09EF6ACC"/>
    <w:rsid w:val="0A315056"/>
    <w:rsid w:val="0A6A0048"/>
    <w:rsid w:val="0AFB45AD"/>
    <w:rsid w:val="0B351E9B"/>
    <w:rsid w:val="0B4C50D3"/>
    <w:rsid w:val="0B7B3209"/>
    <w:rsid w:val="0B806B92"/>
    <w:rsid w:val="0B827E94"/>
    <w:rsid w:val="0BD070E1"/>
    <w:rsid w:val="0C247926"/>
    <w:rsid w:val="0CC34B8B"/>
    <w:rsid w:val="0D5B011C"/>
    <w:rsid w:val="0D794204"/>
    <w:rsid w:val="0E2125D1"/>
    <w:rsid w:val="0E214211"/>
    <w:rsid w:val="0E5F2769"/>
    <w:rsid w:val="0F0A3BA7"/>
    <w:rsid w:val="0F4D75A3"/>
    <w:rsid w:val="0F5B2DCA"/>
    <w:rsid w:val="0F713C26"/>
    <w:rsid w:val="0FED051E"/>
    <w:rsid w:val="0FEE4C29"/>
    <w:rsid w:val="10046082"/>
    <w:rsid w:val="1092654A"/>
    <w:rsid w:val="10A44694"/>
    <w:rsid w:val="112B101A"/>
    <w:rsid w:val="11315192"/>
    <w:rsid w:val="11601662"/>
    <w:rsid w:val="119B53FC"/>
    <w:rsid w:val="11E32D6C"/>
    <w:rsid w:val="12424CDC"/>
    <w:rsid w:val="129A2738"/>
    <w:rsid w:val="12B56BF1"/>
    <w:rsid w:val="12CB1A89"/>
    <w:rsid w:val="131840FB"/>
    <w:rsid w:val="13467417"/>
    <w:rsid w:val="136E76CF"/>
    <w:rsid w:val="142078A9"/>
    <w:rsid w:val="15944EEB"/>
    <w:rsid w:val="15BC6B3C"/>
    <w:rsid w:val="163F682C"/>
    <w:rsid w:val="1694429A"/>
    <w:rsid w:val="17635326"/>
    <w:rsid w:val="18236EFD"/>
    <w:rsid w:val="182E0CB8"/>
    <w:rsid w:val="189D5B1F"/>
    <w:rsid w:val="18A34CD0"/>
    <w:rsid w:val="19291BFF"/>
    <w:rsid w:val="19B64DBC"/>
    <w:rsid w:val="1A373ACF"/>
    <w:rsid w:val="1A895341"/>
    <w:rsid w:val="1B0D071F"/>
    <w:rsid w:val="1B4568CE"/>
    <w:rsid w:val="1B9015B7"/>
    <w:rsid w:val="1BC04E70"/>
    <w:rsid w:val="1CBD494F"/>
    <w:rsid w:val="1CF103F8"/>
    <w:rsid w:val="1D5A79EE"/>
    <w:rsid w:val="1E0E2CD0"/>
    <w:rsid w:val="1E5D0E5D"/>
    <w:rsid w:val="1E831280"/>
    <w:rsid w:val="1EBC4704"/>
    <w:rsid w:val="1F172EB5"/>
    <w:rsid w:val="1F94592D"/>
    <w:rsid w:val="1FB860DE"/>
    <w:rsid w:val="203C5A02"/>
    <w:rsid w:val="209D4C94"/>
    <w:rsid w:val="20E84705"/>
    <w:rsid w:val="218400BA"/>
    <w:rsid w:val="21AB1E2F"/>
    <w:rsid w:val="21D40498"/>
    <w:rsid w:val="22767047"/>
    <w:rsid w:val="22F425EF"/>
    <w:rsid w:val="23A05588"/>
    <w:rsid w:val="25431AEB"/>
    <w:rsid w:val="25BF43FD"/>
    <w:rsid w:val="25F86BCD"/>
    <w:rsid w:val="26673907"/>
    <w:rsid w:val="269E416A"/>
    <w:rsid w:val="2716101F"/>
    <w:rsid w:val="272100D3"/>
    <w:rsid w:val="272C72FC"/>
    <w:rsid w:val="2749593C"/>
    <w:rsid w:val="27EB149D"/>
    <w:rsid w:val="27FD3E52"/>
    <w:rsid w:val="28E11370"/>
    <w:rsid w:val="294A756A"/>
    <w:rsid w:val="29D5322D"/>
    <w:rsid w:val="2A025DD9"/>
    <w:rsid w:val="2A7C2231"/>
    <w:rsid w:val="2A856479"/>
    <w:rsid w:val="2ABB753D"/>
    <w:rsid w:val="2ADA211C"/>
    <w:rsid w:val="2B7A49FA"/>
    <w:rsid w:val="2C4F039F"/>
    <w:rsid w:val="2C615D26"/>
    <w:rsid w:val="2CB679ED"/>
    <w:rsid w:val="2CE41A4F"/>
    <w:rsid w:val="2CFC6DCE"/>
    <w:rsid w:val="2D173C07"/>
    <w:rsid w:val="2D424A86"/>
    <w:rsid w:val="2E7B52DB"/>
    <w:rsid w:val="2F324CFE"/>
    <w:rsid w:val="2FBA09F1"/>
    <w:rsid w:val="2FD15B4A"/>
    <w:rsid w:val="2FEF2ACF"/>
    <w:rsid w:val="30134A3E"/>
    <w:rsid w:val="30540211"/>
    <w:rsid w:val="30CC4D09"/>
    <w:rsid w:val="312D7741"/>
    <w:rsid w:val="316F137F"/>
    <w:rsid w:val="31972F9E"/>
    <w:rsid w:val="31DF525F"/>
    <w:rsid w:val="32324C2E"/>
    <w:rsid w:val="327171DF"/>
    <w:rsid w:val="341E3434"/>
    <w:rsid w:val="35AC4DA2"/>
    <w:rsid w:val="35E460D6"/>
    <w:rsid w:val="360B7EBA"/>
    <w:rsid w:val="369C32FD"/>
    <w:rsid w:val="37666E72"/>
    <w:rsid w:val="38167A04"/>
    <w:rsid w:val="394B167A"/>
    <w:rsid w:val="3A4E4336"/>
    <w:rsid w:val="3A6007FE"/>
    <w:rsid w:val="3B7C2CE4"/>
    <w:rsid w:val="3C0B5355"/>
    <w:rsid w:val="3CD4176B"/>
    <w:rsid w:val="3D1F44D9"/>
    <w:rsid w:val="3D5C38CD"/>
    <w:rsid w:val="3D6114FE"/>
    <w:rsid w:val="3E5070F1"/>
    <w:rsid w:val="3F0A4E49"/>
    <w:rsid w:val="3F6C3589"/>
    <w:rsid w:val="3F737382"/>
    <w:rsid w:val="3F850180"/>
    <w:rsid w:val="3F9004D6"/>
    <w:rsid w:val="400E4D5E"/>
    <w:rsid w:val="402F7EFE"/>
    <w:rsid w:val="40E1138C"/>
    <w:rsid w:val="413814BA"/>
    <w:rsid w:val="41872511"/>
    <w:rsid w:val="42466655"/>
    <w:rsid w:val="42C82F57"/>
    <w:rsid w:val="43C76AF7"/>
    <w:rsid w:val="446828F0"/>
    <w:rsid w:val="45C13B4D"/>
    <w:rsid w:val="46054BCA"/>
    <w:rsid w:val="464C6AFC"/>
    <w:rsid w:val="468B0091"/>
    <w:rsid w:val="46A107C3"/>
    <w:rsid w:val="46B15CE2"/>
    <w:rsid w:val="46BE113D"/>
    <w:rsid w:val="46E44B13"/>
    <w:rsid w:val="47014FCC"/>
    <w:rsid w:val="4703508A"/>
    <w:rsid w:val="475023F8"/>
    <w:rsid w:val="479D361E"/>
    <w:rsid w:val="47B74789"/>
    <w:rsid w:val="480F2B9D"/>
    <w:rsid w:val="48282920"/>
    <w:rsid w:val="485321E0"/>
    <w:rsid w:val="48546AD3"/>
    <w:rsid w:val="48CA4868"/>
    <w:rsid w:val="48E24C72"/>
    <w:rsid w:val="48F005D3"/>
    <w:rsid w:val="498F4AF1"/>
    <w:rsid w:val="49C05787"/>
    <w:rsid w:val="49CF518D"/>
    <w:rsid w:val="4ADA1F63"/>
    <w:rsid w:val="4AE23D89"/>
    <w:rsid w:val="4B1D01E3"/>
    <w:rsid w:val="4B2038D0"/>
    <w:rsid w:val="4B296E7D"/>
    <w:rsid w:val="4B877F28"/>
    <w:rsid w:val="4CBD3C34"/>
    <w:rsid w:val="4D916BA6"/>
    <w:rsid w:val="4DC44169"/>
    <w:rsid w:val="4DE76A53"/>
    <w:rsid w:val="4EAC3B65"/>
    <w:rsid w:val="4EF0709E"/>
    <w:rsid w:val="513C6A7B"/>
    <w:rsid w:val="5333545B"/>
    <w:rsid w:val="5450213C"/>
    <w:rsid w:val="547808CF"/>
    <w:rsid w:val="54D24048"/>
    <w:rsid w:val="54D64CD5"/>
    <w:rsid w:val="554F6252"/>
    <w:rsid w:val="55887D69"/>
    <w:rsid w:val="561A0928"/>
    <w:rsid w:val="56423872"/>
    <w:rsid w:val="56B279F0"/>
    <w:rsid w:val="57362972"/>
    <w:rsid w:val="579D710E"/>
    <w:rsid w:val="57DB745C"/>
    <w:rsid w:val="581F22F6"/>
    <w:rsid w:val="586E1E17"/>
    <w:rsid w:val="58862C35"/>
    <w:rsid w:val="58C14957"/>
    <w:rsid w:val="59B4067F"/>
    <w:rsid w:val="5AE83A50"/>
    <w:rsid w:val="5AFA4FF6"/>
    <w:rsid w:val="5BAB2917"/>
    <w:rsid w:val="5BFC33FA"/>
    <w:rsid w:val="5C092028"/>
    <w:rsid w:val="5C3107A4"/>
    <w:rsid w:val="5C3B1B93"/>
    <w:rsid w:val="5C9220DF"/>
    <w:rsid w:val="5D4A15F3"/>
    <w:rsid w:val="5D69542A"/>
    <w:rsid w:val="5DDE3802"/>
    <w:rsid w:val="5E0930EF"/>
    <w:rsid w:val="5E3D4D53"/>
    <w:rsid w:val="5E4717E6"/>
    <w:rsid w:val="5E55774C"/>
    <w:rsid w:val="5F3705FF"/>
    <w:rsid w:val="60104DDC"/>
    <w:rsid w:val="605C0804"/>
    <w:rsid w:val="6189617B"/>
    <w:rsid w:val="61B52BB6"/>
    <w:rsid w:val="61B749C2"/>
    <w:rsid w:val="62280D20"/>
    <w:rsid w:val="62CA2457"/>
    <w:rsid w:val="63740FE2"/>
    <w:rsid w:val="638240A1"/>
    <w:rsid w:val="63A5257B"/>
    <w:rsid w:val="63BD3DCC"/>
    <w:rsid w:val="63C61741"/>
    <w:rsid w:val="63FE2C2C"/>
    <w:rsid w:val="64560967"/>
    <w:rsid w:val="656B1D10"/>
    <w:rsid w:val="66022B28"/>
    <w:rsid w:val="66581E87"/>
    <w:rsid w:val="66FA11D5"/>
    <w:rsid w:val="672D4BFB"/>
    <w:rsid w:val="674302C7"/>
    <w:rsid w:val="680A5986"/>
    <w:rsid w:val="680D5F4B"/>
    <w:rsid w:val="68113F51"/>
    <w:rsid w:val="68E94770"/>
    <w:rsid w:val="68F949C9"/>
    <w:rsid w:val="6916122F"/>
    <w:rsid w:val="695A4290"/>
    <w:rsid w:val="69884262"/>
    <w:rsid w:val="6A334932"/>
    <w:rsid w:val="6A3353FF"/>
    <w:rsid w:val="6A5D63E6"/>
    <w:rsid w:val="6A5F24D1"/>
    <w:rsid w:val="6A786D8C"/>
    <w:rsid w:val="6AE347EB"/>
    <w:rsid w:val="6B434AF0"/>
    <w:rsid w:val="6B57675A"/>
    <w:rsid w:val="6B971BD3"/>
    <w:rsid w:val="6BDD7B4D"/>
    <w:rsid w:val="6C240F7A"/>
    <w:rsid w:val="6EBC0B3A"/>
    <w:rsid w:val="6EC7159E"/>
    <w:rsid w:val="6EF51C7D"/>
    <w:rsid w:val="6F614293"/>
    <w:rsid w:val="6F8363E5"/>
    <w:rsid w:val="6FC746F5"/>
    <w:rsid w:val="70317AC6"/>
    <w:rsid w:val="70863262"/>
    <w:rsid w:val="70A1528F"/>
    <w:rsid w:val="70A76ED3"/>
    <w:rsid w:val="71860B17"/>
    <w:rsid w:val="723B27CC"/>
    <w:rsid w:val="72687227"/>
    <w:rsid w:val="72A03FD9"/>
    <w:rsid w:val="73406CFF"/>
    <w:rsid w:val="7383028C"/>
    <w:rsid w:val="73A25E44"/>
    <w:rsid w:val="73ED4347"/>
    <w:rsid w:val="741F68CF"/>
    <w:rsid w:val="75252DF3"/>
    <w:rsid w:val="75621536"/>
    <w:rsid w:val="75BF3154"/>
    <w:rsid w:val="764A07CF"/>
    <w:rsid w:val="764F6B3D"/>
    <w:rsid w:val="76CD2B7B"/>
    <w:rsid w:val="76D80645"/>
    <w:rsid w:val="76DE441B"/>
    <w:rsid w:val="76E03371"/>
    <w:rsid w:val="780E5898"/>
    <w:rsid w:val="782642CC"/>
    <w:rsid w:val="7894095E"/>
    <w:rsid w:val="79000679"/>
    <w:rsid w:val="79A416F0"/>
    <w:rsid w:val="79B03EB6"/>
    <w:rsid w:val="7AF37579"/>
    <w:rsid w:val="7AF87F64"/>
    <w:rsid w:val="7B1C0C84"/>
    <w:rsid w:val="7B5A62DF"/>
    <w:rsid w:val="7B7A04A8"/>
    <w:rsid w:val="7B9867A6"/>
    <w:rsid w:val="7BFF3B20"/>
    <w:rsid w:val="7C0C3F6D"/>
    <w:rsid w:val="7C22163C"/>
    <w:rsid w:val="7C595075"/>
    <w:rsid w:val="7C6B07B2"/>
    <w:rsid w:val="7D133243"/>
    <w:rsid w:val="7E394207"/>
    <w:rsid w:val="7E4007A2"/>
    <w:rsid w:val="7E791CAD"/>
    <w:rsid w:val="7EA50DFB"/>
    <w:rsid w:val="7EC07E21"/>
    <w:rsid w:val="7EC86878"/>
    <w:rsid w:val="7EED169F"/>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9"/>
    <w:semiHidden/>
    <w:qFormat/>
    <w:uiPriority w:val="99"/>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_Style 4"/>
    <w:basedOn w:val="4"/>
    <w:next w:val="1"/>
    <w:qFormat/>
    <w:uiPriority w:val="0"/>
    <w:pPr>
      <w:spacing w:line="576" w:lineRule="auto"/>
      <w:outlineLvl w:val="9"/>
    </w:pPr>
    <w:rPr>
      <w:rFonts w:ascii="Calibri" w:hAnsi="Calibri"/>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29869</Words>
  <Characters>32438</Characters>
  <Lines>300</Lines>
  <Paragraphs>84</Paragraphs>
  <TotalTime>15</TotalTime>
  <ScaleCrop>false</ScaleCrop>
  <LinksUpToDate>false</LinksUpToDate>
  <CharactersWithSpaces>35189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2022-11-03T07:22:00Z</cp:lastPrinted>
  <dcterms:modified xsi:type="dcterms:W3CDTF">2022-11-18T07:05:54Z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49944D323F3F4148B326C15FE7E69121</vt:lpwstr>
  </property>
</Properties>
</file>