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52"/>
          <w:szCs w:val="52"/>
          <w:highlight w:val="none"/>
        </w:rPr>
      </w:pPr>
      <w:bookmarkStart w:id="183" w:name="_GoBack"/>
      <w:bookmarkEnd w:id="183"/>
      <w:r>
        <w:rPr>
          <w:rFonts w:hint="eastAsia" w:ascii="方正小标宋简体" w:eastAsia="方正小标宋简体"/>
          <w:sz w:val="52"/>
          <w:szCs w:val="52"/>
          <w:highlight w:val="none"/>
          <w:lang w:val="en-US" w:eastAsia="zh-CN"/>
        </w:rPr>
        <w:t>广州市净水有限公司</w:t>
      </w:r>
      <w:r>
        <w:rPr>
          <w:rFonts w:hint="eastAsia" w:ascii="方正小标宋简体" w:eastAsia="方正小标宋简体"/>
          <w:sz w:val="52"/>
          <w:szCs w:val="52"/>
          <w:highlight w:val="none"/>
        </w:rPr>
        <w:t>石井净分</w:t>
      </w:r>
      <w:r>
        <w:rPr>
          <w:rFonts w:hint="eastAsia" w:ascii="方正小标宋简体" w:eastAsia="方正小标宋简体"/>
          <w:sz w:val="52"/>
          <w:szCs w:val="52"/>
          <w:highlight w:val="none"/>
          <w:lang w:val="en-US" w:eastAsia="zh-CN"/>
        </w:rPr>
        <w:t>公司</w:t>
      </w:r>
      <w:r>
        <w:rPr>
          <w:rFonts w:hint="eastAsia" w:ascii="方正小标宋简体" w:eastAsia="方正小标宋简体"/>
          <w:sz w:val="52"/>
          <w:szCs w:val="52"/>
          <w:highlight w:val="none"/>
        </w:rPr>
        <w:t>2022年厂区</w:t>
      </w:r>
      <w:r>
        <w:rPr>
          <w:rFonts w:hint="eastAsia" w:ascii="方正小标宋简体" w:eastAsia="方正小标宋简体"/>
          <w:sz w:val="52"/>
          <w:szCs w:val="52"/>
          <w:highlight w:val="none"/>
          <w:lang w:val="en-US" w:eastAsia="zh-CN"/>
        </w:rPr>
        <w:t>鼓风机</w:t>
      </w:r>
      <w:r>
        <w:rPr>
          <w:rFonts w:hint="eastAsia" w:ascii="方正小标宋简体" w:eastAsia="方正小标宋简体"/>
          <w:sz w:val="52"/>
          <w:szCs w:val="52"/>
          <w:highlight w:val="none"/>
        </w:rPr>
        <w:t>备件采购项目</w:t>
      </w:r>
    </w:p>
    <w:p>
      <w:pPr>
        <w:jc w:val="center"/>
        <w:rPr>
          <w:rFonts w:hint="eastAsia" w:ascii="方正小标宋简体" w:eastAsia="方正小标宋简体"/>
          <w:sz w:val="52"/>
          <w:szCs w:val="52"/>
          <w:highlight w:val="none"/>
        </w:rPr>
      </w:pP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both"/>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二二年</w:t>
      </w:r>
      <w:r>
        <w:rPr>
          <w:rFonts w:hint="eastAsia" w:ascii="黑体" w:hAnsi="黑体" w:eastAsia="黑体" w:cs="仿宋_GB2312"/>
          <w:sz w:val="32"/>
          <w:szCs w:val="32"/>
          <w:highlight w:val="none"/>
          <w:lang w:val="en-US" w:eastAsia="zh-CN"/>
        </w:rPr>
        <w:t>十一</w:t>
      </w:r>
      <w:r>
        <w:rPr>
          <w:rFonts w:hint="eastAsia" w:ascii="黑体" w:hAnsi="黑体" w:eastAsia="黑体" w:cs="仿宋_GB2312"/>
          <w:sz w:val="32"/>
          <w:szCs w:val="32"/>
          <w:highlight w:val="none"/>
        </w:rPr>
        <w:t>月</w:t>
      </w:r>
    </w:p>
    <w:p>
      <w:pPr>
        <w:rPr>
          <w:highlight w:val="none"/>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pStyle w:val="2"/>
        <w:rPr>
          <w:highlight w:val="none"/>
        </w:rPr>
      </w:pPr>
    </w:p>
    <w:p>
      <w:pPr>
        <w:pStyle w:val="3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19"/>
        <w:numPr>
          <w:ilvl w:val="0"/>
          <w:numId w:val="1"/>
        </w:numPr>
        <w:tabs>
          <w:tab w:val="right" w:pos="8844"/>
        </w:tabs>
        <w:rPr>
          <w:highlight w:val="none"/>
        </w:rPr>
      </w:pPr>
      <w:r>
        <w:rPr>
          <w:rFonts w:hint="eastAsia"/>
          <w:highlight w:val="none"/>
        </w:rPr>
        <w:t>采购公告</w:t>
      </w:r>
    </w:p>
    <w:p>
      <w:pPr>
        <w:pStyle w:val="19"/>
        <w:numPr>
          <w:ilvl w:val="0"/>
          <w:numId w:val="1"/>
        </w:numPr>
        <w:tabs>
          <w:tab w:val="right" w:pos="8844"/>
        </w:tabs>
        <w:rPr>
          <w:highlight w:val="none"/>
        </w:rPr>
      </w:pPr>
      <w:r>
        <w:rPr>
          <w:rFonts w:hint="eastAsia"/>
          <w:highlight w:val="none"/>
        </w:rPr>
        <w:t>供应商须知</w:t>
      </w:r>
    </w:p>
    <w:p>
      <w:pPr>
        <w:pStyle w:val="19"/>
        <w:numPr>
          <w:ilvl w:val="0"/>
          <w:numId w:val="1"/>
        </w:numPr>
        <w:tabs>
          <w:tab w:val="right" w:pos="8844"/>
        </w:tabs>
        <w:rPr>
          <w:highlight w:val="none"/>
        </w:rPr>
      </w:pPr>
      <w:r>
        <w:rPr>
          <w:rFonts w:hint="eastAsia"/>
          <w:highlight w:val="none"/>
        </w:rPr>
        <w:t>采购方法</w:t>
      </w:r>
    </w:p>
    <w:p>
      <w:pPr>
        <w:pStyle w:val="19"/>
        <w:numPr>
          <w:ilvl w:val="0"/>
          <w:numId w:val="1"/>
        </w:numPr>
        <w:tabs>
          <w:tab w:val="right" w:pos="8844"/>
        </w:tabs>
        <w:rPr>
          <w:highlight w:val="none"/>
        </w:rPr>
      </w:pPr>
      <w:r>
        <w:rPr>
          <w:rFonts w:hint="eastAsia"/>
          <w:highlight w:val="none"/>
        </w:rPr>
        <w:t>评审方法</w:t>
      </w:r>
    </w:p>
    <w:p>
      <w:pPr>
        <w:pStyle w:val="19"/>
        <w:numPr>
          <w:ilvl w:val="0"/>
          <w:numId w:val="1"/>
        </w:numPr>
        <w:tabs>
          <w:tab w:val="right" w:pos="8844"/>
        </w:tabs>
        <w:rPr>
          <w:highlight w:val="none"/>
        </w:rPr>
      </w:pPr>
      <w:r>
        <w:rPr>
          <w:rFonts w:hint="eastAsia"/>
          <w:highlight w:val="none"/>
        </w:rPr>
        <w:t>采购需求</w:t>
      </w:r>
    </w:p>
    <w:p>
      <w:pPr>
        <w:pStyle w:val="19"/>
        <w:numPr>
          <w:ilvl w:val="0"/>
          <w:numId w:val="1"/>
        </w:numPr>
        <w:tabs>
          <w:tab w:val="right" w:pos="8844"/>
        </w:tabs>
        <w:rPr>
          <w:highlight w:val="none"/>
        </w:rPr>
      </w:pPr>
      <w:r>
        <w:rPr>
          <w:rFonts w:hint="eastAsia"/>
          <w:highlight w:val="none"/>
        </w:rPr>
        <w:t>合同草案</w:t>
      </w:r>
    </w:p>
    <w:p>
      <w:pPr>
        <w:pStyle w:val="19"/>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9"/>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9"/>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highlight w:val="none"/>
        </w:rPr>
      </w:pPr>
      <w:r>
        <w:rPr>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0" w:name="_Toc26148"/>
      <w:bookmarkStart w:id="1" w:name="_Toc18145"/>
    </w:p>
    <w:p>
      <w:pPr>
        <w:rPr>
          <w:highlight w:val="none"/>
        </w:rPr>
      </w:pPr>
    </w:p>
    <w:p>
      <w:pPr>
        <w:pStyle w:val="4"/>
        <w:rPr>
          <w:highlight w:val="none"/>
        </w:rPr>
      </w:pPr>
      <w:bookmarkStart w:id="2" w:name="_Toc1711"/>
      <w:bookmarkStart w:id="3" w:name="_Toc17696"/>
    </w:p>
    <w:p>
      <w:pPr>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4"/>
        <w:rPr>
          <w:highlight w:val="none"/>
        </w:rPr>
      </w:pPr>
      <w:bookmarkStart w:id="4" w:name="_Toc31938"/>
      <w:bookmarkStart w:id="5" w:name="_Toc1669"/>
      <w:bookmarkStart w:id="6" w:name="_Toc4275"/>
      <w:bookmarkStart w:id="7" w:name="_Toc11322"/>
      <w:bookmarkStart w:id="8" w:name="_Toc7519"/>
      <w:bookmarkStart w:id="9" w:name="_Toc17801"/>
      <w:bookmarkStart w:id="10" w:name="_Toc19609"/>
    </w:p>
    <w:p>
      <w:pPr>
        <w:pStyle w:val="4"/>
        <w:rPr>
          <w:highlight w:val="none"/>
        </w:rPr>
      </w:pPr>
    </w:p>
    <w:p>
      <w:pPr>
        <w:pStyle w:val="4"/>
        <w:rPr>
          <w:highlight w:val="none"/>
        </w:rPr>
      </w:pPr>
    </w:p>
    <w:p>
      <w:pPr>
        <w:pStyle w:val="4"/>
        <w:rPr>
          <w:highlight w:val="none"/>
        </w:rPr>
      </w:pPr>
      <w:r>
        <w:rPr>
          <w:highlight w:val="none"/>
        </w:rPr>
        <mc:AlternateContent>
          <mc:Choice Requires="wps">
            <w:drawing>
              <wp:anchor distT="0" distB="0" distL="114300" distR="114300" simplePos="0" relativeHeight="251671552" behindDoc="0" locked="0" layoutInCell="1" allowOverlap="1">
                <wp:simplePos x="0" y="0"/>
                <wp:positionH relativeFrom="column">
                  <wp:posOffset>2362835</wp:posOffset>
                </wp:positionH>
                <wp:positionV relativeFrom="paragraph">
                  <wp:posOffset>459740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05pt;margin-top:36.2pt;height:0pt;width:75.5pt;z-index:251671552;mso-width-relative:page;mso-height-relative:page;" filled="f" stroked="t" coordsize="21600,21600" o:gfxdata="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71tR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lang w:val="en-US" w:eastAsia="zh-CN"/>
        </w:rPr>
        <w:t xml:space="preserve">  </w: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6"/>
        <w:rPr>
          <w:highlight w:val="none"/>
        </w:rPr>
      </w:pPr>
    </w:p>
    <w:p>
      <w:pPr>
        <w:pStyle w:val="4"/>
        <w:rPr>
          <w:highlight w:val="none"/>
        </w:rPr>
      </w:pPr>
      <w:bookmarkStart w:id="11" w:name="_Toc30989"/>
      <w:bookmarkStart w:id="12" w:name="_Toc30131"/>
      <w:bookmarkStart w:id="13" w:name="_Toc14238"/>
      <w:bookmarkStart w:id="14" w:name="_Toc5230"/>
      <w:bookmarkStart w:id="15" w:name="_Toc28995"/>
      <w:bookmarkStart w:id="16" w:name="_Toc10122"/>
      <w:bookmarkStart w:id="17" w:name="_Toc999"/>
      <w:bookmarkStart w:id="18" w:name="_Toc88209924"/>
      <w:bookmarkStart w:id="19" w:name="_Toc8201"/>
      <w:bookmarkStart w:id="20" w:name="_Toc15709"/>
      <w:bookmarkStart w:id="21" w:name="_Toc26363"/>
      <w:bookmarkStart w:id="22" w:name="_Toc2659"/>
      <w:r>
        <w:rPr>
          <w:rFonts w:hint="eastAsia"/>
          <w:highlight w:val="none"/>
          <w:lang w:val="en-US" w:eastAsia="zh-CN"/>
        </w:rPr>
        <w:t xml:space="preserve">  </w:t>
      </w:r>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仿宋_GB2312" w:eastAsia="仿宋_GB2312"/>
          <w:sz w:val="28"/>
          <w:szCs w:val="28"/>
          <w:highlight w:val="none"/>
        </w:rPr>
      </w:pPr>
    </w:p>
    <w:p>
      <w:pPr>
        <w:adjustRightInd w:val="0"/>
        <w:snapToGrid w:val="0"/>
        <w:spacing w:before="156" w:beforeLines="50" w:after="156"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5"/>
        <w:spacing w:line="600" w:lineRule="exact"/>
        <w:rPr>
          <w:highlight w:val="none"/>
        </w:rPr>
      </w:pPr>
      <w:bookmarkStart w:id="23" w:name="_Toc9680"/>
      <w:bookmarkStart w:id="24" w:name="_Toc21373"/>
      <w:r>
        <w:rPr>
          <w:rFonts w:hint="eastAsia"/>
          <w:highlight w:val="none"/>
          <w:u w:val="single"/>
          <w:lang w:val="en-US" w:eastAsia="zh-CN"/>
        </w:rPr>
        <w:t>广州市净水有限公司</w:t>
      </w:r>
      <w:r>
        <w:rPr>
          <w:rFonts w:hint="eastAsia"/>
          <w:highlight w:val="none"/>
          <w:u w:val="single"/>
        </w:rPr>
        <w:t>石井净分</w:t>
      </w:r>
      <w:r>
        <w:rPr>
          <w:rFonts w:hint="eastAsia"/>
          <w:highlight w:val="none"/>
          <w:u w:val="single"/>
          <w:lang w:val="en-US" w:eastAsia="zh-CN"/>
        </w:rPr>
        <w:t>公司</w:t>
      </w:r>
      <w:r>
        <w:rPr>
          <w:rFonts w:hint="eastAsia"/>
          <w:highlight w:val="none"/>
          <w:u w:val="single"/>
        </w:rPr>
        <w:t>2022年厂区</w:t>
      </w:r>
      <w:r>
        <w:rPr>
          <w:rFonts w:hint="eastAsia"/>
          <w:highlight w:val="none"/>
          <w:u w:val="single"/>
          <w:lang w:val="en-US" w:eastAsia="zh-CN"/>
        </w:rPr>
        <w:t>鼓风机</w:t>
      </w:r>
      <w:r>
        <w:rPr>
          <w:rFonts w:hint="eastAsia"/>
          <w:highlight w:val="none"/>
          <w:u w:val="single"/>
        </w:rPr>
        <w:t>备件采购项目</w:t>
      </w:r>
      <w:r>
        <w:rPr>
          <w:rFonts w:hint="eastAsia"/>
          <w:highlight w:val="none"/>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lang w:val="en-US" w:eastAsia="zh-CN"/>
        </w:rPr>
        <w:t>广州市净水有限公司</w:t>
      </w:r>
      <w:r>
        <w:rPr>
          <w:rFonts w:hint="eastAsia" w:ascii="仿宋_GB2312" w:eastAsia="仿宋_GB2312"/>
          <w:sz w:val="28"/>
          <w:szCs w:val="28"/>
          <w:highlight w:val="none"/>
          <w:u w:val="single"/>
        </w:rPr>
        <w:t>石井净分</w:t>
      </w:r>
      <w:r>
        <w:rPr>
          <w:rFonts w:hint="eastAsia" w:ascii="仿宋_GB2312" w:eastAsia="仿宋_GB2312"/>
          <w:sz w:val="28"/>
          <w:szCs w:val="28"/>
          <w:highlight w:val="none"/>
          <w:u w:val="single"/>
          <w:lang w:val="en-US" w:eastAsia="zh-CN"/>
        </w:rPr>
        <w:t>公司</w:t>
      </w:r>
      <w:r>
        <w:rPr>
          <w:rFonts w:hint="eastAsia" w:ascii="仿宋_GB2312" w:eastAsia="仿宋_GB2312"/>
          <w:sz w:val="28"/>
          <w:szCs w:val="28"/>
          <w:highlight w:val="none"/>
          <w:u w:val="single"/>
        </w:rPr>
        <w:t>2022年厂区</w:t>
      </w:r>
      <w:r>
        <w:rPr>
          <w:rFonts w:hint="eastAsia" w:ascii="仿宋_GB2312" w:eastAsia="仿宋_GB2312"/>
          <w:sz w:val="28"/>
          <w:szCs w:val="28"/>
          <w:highlight w:val="none"/>
          <w:u w:val="single"/>
          <w:lang w:val="en-US" w:eastAsia="zh-CN"/>
        </w:rPr>
        <w:t>鼓风机</w:t>
      </w:r>
      <w:r>
        <w:rPr>
          <w:rFonts w:hint="eastAsia" w:ascii="仿宋_GB2312" w:eastAsia="仿宋_GB2312"/>
          <w:sz w:val="28"/>
          <w:szCs w:val="28"/>
          <w:highlight w:val="none"/>
          <w:u w:val="single"/>
        </w:rPr>
        <w:t>备件采购项目</w:t>
      </w:r>
      <w:r>
        <w:rPr>
          <w:rFonts w:hint="eastAsia" w:ascii="仿宋_GB2312" w:eastAsia="仿宋_GB2312"/>
          <w:sz w:val="28"/>
          <w:szCs w:val="28"/>
          <w:highlight w:val="none"/>
        </w:rPr>
        <w:t xml:space="preserve">已具备采购条件，现对该□施工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□服务项目实施公开采购活动，采用</w:t>
      </w:r>
      <w:r>
        <w:rPr>
          <w:rFonts w:hint="eastAsia" w:ascii="仿宋_GB2312" w:eastAsia="仿宋_GB2312"/>
          <w:sz w:val="28"/>
          <w:szCs w:val="28"/>
          <w:highlight w:val="none"/>
          <w:u w:val="single"/>
        </w:rPr>
        <w:t>询比采购</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val="en-US" w:eastAsia="zh-CN"/>
        </w:rPr>
        <w:t>广州市净水有限公司</w:t>
      </w:r>
      <w:r>
        <w:rPr>
          <w:rFonts w:hint="eastAsia" w:ascii="仿宋_GB2312" w:eastAsia="仿宋_GB2312"/>
          <w:sz w:val="28"/>
          <w:szCs w:val="28"/>
          <w:highlight w:val="none"/>
          <w:u w:val="single"/>
        </w:rPr>
        <w:t>石井净分</w:t>
      </w:r>
      <w:r>
        <w:rPr>
          <w:rFonts w:hint="eastAsia" w:ascii="仿宋_GB2312" w:eastAsia="仿宋_GB2312"/>
          <w:sz w:val="28"/>
          <w:szCs w:val="28"/>
          <w:highlight w:val="none"/>
          <w:u w:val="single"/>
          <w:lang w:val="en-US" w:eastAsia="zh-CN"/>
        </w:rPr>
        <w:t>公司</w:t>
      </w:r>
      <w:r>
        <w:rPr>
          <w:rFonts w:hint="eastAsia" w:ascii="仿宋_GB2312" w:eastAsia="仿宋_GB2312"/>
          <w:sz w:val="28"/>
          <w:szCs w:val="28"/>
          <w:highlight w:val="none"/>
          <w:u w:val="single"/>
        </w:rPr>
        <w:t>2022年厂区</w:t>
      </w:r>
      <w:r>
        <w:rPr>
          <w:rFonts w:hint="eastAsia" w:ascii="仿宋_GB2312" w:eastAsia="仿宋_GB2312"/>
          <w:sz w:val="28"/>
          <w:szCs w:val="28"/>
          <w:highlight w:val="none"/>
          <w:u w:val="single"/>
          <w:lang w:val="en-US" w:eastAsia="zh-CN"/>
        </w:rPr>
        <w:t>鼓风机</w:t>
      </w:r>
      <w:r>
        <w:rPr>
          <w:rFonts w:hint="eastAsia" w:ascii="仿宋_GB2312" w:eastAsia="仿宋_GB2312"/>
          <w:sz w:val="28"/>
          <w:szCs w:val="28"/>
          <w:highlight w:val="none"/>
          <w:u w:val="single"/>
        </w:rPr>
        <w:t xml:space="preserve">备件采购项目 </w:t>
      </w:r>
      <w:r>
        <w:rPr>
          <w:rFonts w:hint="eastAsia" w:ascii="仿宋_GB2312" w:eastAsia="仿宋_GB2312"/>
          <w:sz w:val="28"/>
          <w:szCs w:val="28"/>
          <w:highlight w:val="none"/>
        </w:rPr>
        <w:t xml:space="preserve"> </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 xml:space="preserve"> XJ-20221117-1</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 xml:space="preserve">  自有资金  </w:t>
      </w:r>
    </w:p>
    <w:p>
      <w:pPr>
        <w:adjustRightInd w:val="0"/>
        <w:snapToGrid w:val="0"/>
        <w:spacing w:line="600" w:lineRule="exact"/>
        <w:jc w:val="left"/>
        <w:rPr>
          <w:rFonts w:hint="eastAsia" w:ascii="仿宋_GB2312" w:eastAsia="仿宋_GB2312"/>
          <w:sz w:val="28"/>
          <w:szCs w:val="28"/>
          <w:highlight w:val="none"/>
          <w:u w:val="single"/>
          <w:lang w:eastAsia="zh-CN"/>
        </w:rPr>
      </w:pPr>
      <w:r>
        <w:rPr>
          <w:rFonts w:hint="eastAsia" w:ascii="仿宋_GB2312" w:eastAsia="仿宋_GB2312"/>
          <w:sz w:val="28"/>
          <w:szCs w:val="28"/>
          <w:highlight w:val="none"/>
        </w:rPr>
        <w:t>1.4最高限价（元）：</w:t>
      </w:r>
      <w:r>
        <w:rPr>
          <w:rFonts w:hint="eastAsia" w:ascii="仿宋_GB2312" w:eastAsia="仿宋_GB2312"/>
          <w:sz w:val="28"/>
          <w:szCs w:val="28"/>
          <w:highlight w:val="none"/>
          <w:u w:val="single"/>
          <w:lang w:val="en-US" w:eastAsia="zh-CN"/>
        </w:rPr>
        <w:t>鼓风机类备件为62.9158万元</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无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hint="eastAsia" w:ascii="仿宋" w:hAnsi="仿宋" w:eastAsia="仿宋" w:cs="仿宋"/>
          <w:sz w:val="28"/>
          <w:szCs w:val="28"/>
          <w:highlight w:val="none"/>
          <w:lang w:val="en-US" w:eastAsia="zh-CN"/>
        </w:rPr>
      </w:pPr>
      <w:r>
        <w:rPr>
          <w:rFonts w:hint="eastAsia" w:ascii="仿宋_GB2312" w:eastAsia="仿宋_GB2312"/>
          <w:sz w:val="28"/>
          <w:szCs w:val="28"/>
          <w:highlight w:val="none"/>
        </w:rPr>
        <w:t>2.1采购内容和范围：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鼓风机类备件参数及需求情况表</w:t>
      </w:r>
    </w:p>
    <w:tbl>
      <w:tblPr>
        <w:tblStyle w:val="22"/>
        <w:tblW w:w="84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51"/>
        <w:gridCol w:w="3001"/>
        <w:gridCol w:w="319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序号</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名称</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鼓风机空气过滤器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AIR FIL TER 640*570*70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YLS风扇用三相异步电动机（一期）</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YLS-1100-4 380V 3.2A  功率1100W B级</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呼吸器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SOLBERG WP274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鼓风机入风滤棉</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厚度1cm 宽度1m 长20m</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Beijer(二期鼓风机触摸屏）</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X2pro10-B2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FramoMorat</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IGV定位器 FramoMorat D/A 3500-2,5-150(8-2010-ET02)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FramoMorat</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VVD定位器 FramoMorat D/A 3500-2,5-150(8-2010-ET02)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8</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齿轮箱供油温度变送器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TT121  248HANANOXA 10142131（温度变送器）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9</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齿轮供油压力变送器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PT103 fartag 605071-008（压力变送器）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出风口压力变送器（防喘震）</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ROSEMOUNT 2088G2S22A2Q4HR5 PT110 （压力变送器）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11</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高速轴承叶轮端温度</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TT122（温度变送器）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12</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高速轴电机端轴承温度</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TT123（温度变送器）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13</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高速轴震动传感器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VT503（振动变送器）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14</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进口空气温度</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TT125（温度变送器）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15</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主电机驱动端轴承温度</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TE128（测温元件）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16</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主电机非驱动端轴承温度</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TE127（测温元件）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17</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调温器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KTO 01142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18</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施耐德接触器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LC1-DT25BDC+触点LADN11C</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19</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BUSSMANN 熔断器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CHM1DNS 10*38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SCHLEICHER安全继电器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Wieland (SN04062K)</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OMRON时间继电器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H3DK-M2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22</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PR跳闸放大器（一期）</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PR4131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23</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AB 直流电源（一期）</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1606-XLE120EE 120W</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24</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鼓风机触摸屏（一期）</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EXTER K70 Beijer</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25</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STEGO</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温控器KTO 01142.0-00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26</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施耐德3极接触器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LC1-D098BDC</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27</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施耐德3极接触器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LC1-D12BDC</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28</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双层端子</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Weidmuller A2T2.5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29</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保险端子</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 xml:space="preserve"> Weidmuller ASK 1EN 2个+WDU2.5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30</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温度变送器（二期）</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PR3331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31</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熔断器开关</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194R-J60-1753-PYS2，60A</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32</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断路器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ic65N C6A 2P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33</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断路器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ic65N C6A 1P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34</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熔断器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CHM1DNS 10*38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35</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时间继电器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H3DK-M2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36</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通用变送器（二期）</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PR4114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37</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直流电源（二期）</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SIMATIC PM207 5A</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38</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断路器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 lc65N C16A 4P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39</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AB-PLC组件</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1769系列</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bl>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2.2项目工期：□计划工期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交货期  □服务期为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 xml:space="preserve">0天          </w:t>
      </w:r>
      <w:r>
        <w:rPr>
          <w:rFonts w:hint="eastAsia" w:ascii="仿宋_GB2312" w:eastAsia="仿宋_GB2312"/>
          <w:sz w:val="28"/>
          <w:szCs w:val="28"/>
          <w:highlight w:val="non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2.3地点：□建设地点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交货地点  □服务地点位于</w:t>
      </w:r>
      <w:r>
        <w:rPr>
          <w:rFonts w:hint="eastAsia" w:ascii="仿宋_GB2312" w:eastAsia="仿宋_GB2312"/>
          <w:sz w:val="28"/>
          <w:szCs w:val="28"/>
          <w:highlight w:val="none"/>
          <w:u w:val="single"/>
        </w:rPr>
        <w:t xml:space="preserve"> 广州市净水有限公司石井净水分公司 </w:t>
      </w:r>
    </w:p>
    <w:p>
      <w:pPr>
        <w:adjustRightInd w:val="0"/>
        <w:snapToGrid w:val="0"/>
        <w:spacing w:line="600" w:lineRule="exact"/>
        <w:ind w:left="420" w:right="-369"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 xml:space="preserve">2.4质量要求：□施工质量要求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货物质量标准或主要技术性能指标  □服务质量要求或服务标准如下：</w:t>
      </w:r>
    </w:p>
    <w:p>
      <w:pPr>
        <w:adjustRightInd w:val="0"/>
        <w:snapToGrid w:val="0"/>
        <w:spacing w:line="600" w:lineRule="exact"/>
        <w:ind w:right="-369" w:rightChars="-176" w:firstLine="280" w:firstLineChars="100"/>
        <w:jc w:val="left"/>
        <w:rPr>
          <w:rFonts w:ascii="仿宋_GB2312" w:eastAsia="仿宋_GB2312"/>
          <w:sz w:val="28"/>
          <w:szCs w:val="28"/>
          <w:highlight w:val="none"/>
          <w:u w:val="none"/>
        </w:rPr>
      </w:pPr>
      <w:r>
        <w:rPr>
          <w:rFonts w:hint="eastAsia" w:ascii="仿宋_GB2312" w:eastAsia="仿宋_GB2312"/>
          <w:sz w:val="28"/>
          <w:szCs w:val="28"/>
          <w:highlight w:val="none"/>
          <w:u w:val="none"/>
        </w:rPr>
        <w:t>1.以上需求的配件对应设备的使用地点为广州市净水有限公司石井净水分公司</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所提供的产品必须与现有设备的所有参数相匹配</w:t>
      </w:r>
      <w:r>
        <w:rPr>
          <w:rFonts w:hint="eastAsia" w:ascii="仿宋_GB2312" w:eastAsia="仿宋_GB2312"/>
          <w:sz w:val="28"/>
          <w:szCs w:val="28"/>
          <w:highlight w:val="none"/>
          <w:u w:val="none"/>
        </w:rPr>
        <w:t>。</w:t>
      </w:r>
    </w:p>
    <w:p>
      <w:pPr>
        <w:adjustRightInd w:val="0"/>
        <w:snapToGrid w:val="0"/>
        <w:spacing w:line="600" w:lineRule="exact"/>
        <w:ind w:right="-369" w:rightChars="-176" w:firstLine="280" w:firstLineChars="100"/>
        <w:jc w:val="left"/>
        <w:rPr>
          <w:rFonts w:ascii="仿宋_GB2312" w:eastAsia="仿宋_GB2312"/>
          <w:sz w:val="28"/>
          <w:szCs w:val="28"/>
          <w:highlight w:val="none"/>
          <w:u w:val="none"/>
        </w:rPr>
      </w:pPr>
      <w:r>
        <w:rPr>
          <w:rFonts w:hint="eastAsia" w:ascii="仿宋_GB2312" w:eastAsia="仿宋_GB2312"/>
          <w:sz w:val="28"/>
          <w:szCs w:val="28"/>
          <w:highlight w:val="none"/>
          <w:u w:val="none"/>
        </w:rPr>
        <w:t>2.中选单位需按采购清单的型号、数量要求进行供货，货物必须符合国家法律法规规定的标准、行业标准。</w:t>
      </w:r>
    </w:p>
    <w:p>
      <w:pPr>
        <w:pStyle w:val="12"/>
        <w:adjustRightInd w:val="0"/>
        <w:snapToGrid w:val="0"/>
        <w:spacing w:line="560" w:lineRule="exact"/>
        <w:ind w:firstLine="280" w:firstLineChars="100"/>
        <w:rPr>
          <w:rFonts w:ascii="仿宋" w:hAnsi="仿宋" w:eastAsia="仿宋" w:cs="仿宋"/>
          <w:sz w:val="28"/>
          <w:szCs w:val="28"/>
          <w:highlight w:val="none"/>
          <w:u w:val="none"/>
        </w:rPr>
      </w:pPr>
      <w:r>
        <w:rPr>
          <w:rFonts w:hint="eastAsia" w:ascii="仿宋" w:hAnsi="仿宋" w:eastAsia="仿宋" w:cs="仿宋"/>
          <w:sz w:val="28"/>
          <w:szCs w:val="28"/>
          <w:highlight w:val="none"/>
          <w:u w:val="none"/>
        </w:rPr>
        <w:t>3.</w:t>
      </w:r>
      <w:r>
        <w:rPr>
          <w:rFonts w:hint="eastAsia" w:ascii="仿宋" w:hAnsi="仿宋" w:eastAsia="仿宋" w:cs="仿宋"/>
          <w:sz w:val="28"/>
          <w:szCs w:val="28"/>
          <w:highlight w:val="none"/>
          <w:u w:val="none"/>
          <w:lang w:eastAsia="zh-CN"/>
        </w:rPr>
        <w:t>所有货物必须有原厂产品合格证并</w:t>
      </w:r>
      <w:r>
        <w:rPr>
          <w:rFonts w:hint="eastAsia" w:ascii="仿宋" w:hAnsi="仿宋" w:eastAsia="仿宋" w:cs="仿宋"/>
          <w:sz w:val="28"/>
          <w:szCs w:val="28"/>
          <w:highlight w:val="none"/>
          <w:u w:val="none"/>
          <w:lang w:val="en-US" w:eastAsia="zh-CN"/>
        </w:rPr>
        <w:t>于</w:t>
      </w:r>
      <w:r>
        <w:rPr>
          <w:rFonts w:hint="eastAsia" w:ascii="仿宋" w:hAnsi="仿宋" w:eastAsia="仿宋" w:cs="仿宋"/>
          <w:sz w:val="28"/>
          <w:szCs w:val="28"/>
          <w:highlight w:val="none"/>
          <w:u w:val="none"/>
          <w:lang w:eastAsia="zh-CN"/>
        </w:rPr>
        <w:t>送货之日移交广州市净水有限公司石井净水分公司</w:t>
      </w:r>
      <w:r>
        <w:rPr>
          <w:rFonts w:hint="eastAsia" w:ascii="仿宋" w:hAnsi="仿宋" w:eastAsia="仿宋" w:cs="仿宋"/>
          <w:sz w:val="28"/>
          <w:szCs w:val="28"/>
          <w:highlight w:val="none"/>
          <w:u w:val="none"/>
        </w:rPr>
        <w:t>。</w:t>
      </w:r>
    </w:p>
    <w:p>
      <w:pPr>
        <w:adjustRightInd w:val="0"/>
        <w:snapToGrid w:val="0"/>
        <w:spacing w:line="600" w:lineRule="exact"/>
        <w:ind w:left="420" w:right="-369"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安全目标如下：</w:t>
      </w:r>
      <w:r>
        <w:rPr>
          <w:rFonts w:hint="eastAsia" w:ascii="仿宋_GB2312" w:eastAsia="仿宋_GB2312"/>
          <w:sz w:val="28"/>
          <w:szCs w:val="28"/>
          <w:highlight w:val="none"/>
          <w:u w:val="single"/>
        </w:rPr>
        <w:t xml:space="preserve">  无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（2）供应商应当具备</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资质。</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（3）</w:t>
      </w:r>
      <w:r>
        <w:rPr>
          <w:rFonts w:hint="eastAsia" w:ascii="仿宋_GB2312" w:eastAsia="仿宋_GB2312"/>
          <w:sz w:val="28"/>
          <w:szCs w:val="28"/>
          <w:highlight w:val="none"/>
          <w:u w:val="single"/>
        </w:rPr>
        <w:t>2019</w:t>
      </w:r>
      <w:r>
        <w:rPr>
          <w:rFonts w:hint="eastAsia" w:ascii="仿宋_GB2312" w:eastAsia="仿宋_GB2312"/>
          <w:sz w:val="28"/>
          <w:szCs w:val="28"/>
          <w:highlight w:val="none"/>
        </w:rPr>
        <w:t>年1月1日至今，供应商最少具有一项采购清单内备品备件之一</w:t>
      </w:r>
      <w:r>
        <w:rPr>
          <w:rFonts w:hint="eastAsia" w:ascii="仿宋_GB2312" w:eastAsia="仿宋_GB2312"/>
          <w:sz w:val="28"/>
          <w:szCs w:val="28"/>
          <w:highlight w:val="none"/>
          <w:lang w:val="en-US" w:eastAsia="zh-CN"/>
        </w:rPr>
        <w:t>的供货</w:t>
      </w:r>
      <w:r>
        <w:rPr>
          <w:rFonts w:hint="eastAsia" w:ascii="仿宋_GB2312" w:eastAsia="仿宋_GB2312"/>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（4）项目负责人应当具备</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资格条件。</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（5）其他要求：</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(1)提交响应文件时供应商需出具承诺函，承诺中选后所提供的货物均为制造商全新原装产品，所提供的产品必须与现有设备的所有参数相匹配且完全兼容（加盖单位公章）。</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(2)中选后合同签订前须提供拟供货产品的制造商（厂商）授权书或正品证明文件。</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 xml:space="preserve">(3)交货时，供应商需提供须出具厂家出厂合格证明及其他应提供的文件资料（其他特殊需求详见技术需求）。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仿宋_GB2312" w:eastAsia="仿宋_GB2312"/>
          <w:sz w:val="28"/>
          <w:szCs w:val="28"/>
          <w:highlight w:val="none"/>
        </w:rPr>
        <w:t>（12）其他禁止情形：</w:t>
      </w:r>
      <w:r>
        <w:rPr>
          <w:rFonts w:hint="eastAsia" w:ascii="仿宋_GB2312" w:eastAsia="仿宋_GB2312"/>
          <w:sz w:val="28"/>
          <w:szCs w:val="28"/>
          <w:highlight w:val="none"/>
          <w:u w:val="single"/>
        </w:rPr>
        <w:t xml:space="preserve">  无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11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18</w:t>
      </w:r>
      <w:r>
        <w:rPr>
          <w:rFonts w:hint="eastAsia" w:ascii="仿宋_GB2312" w:eastAsia="仿宋_GB2312"/>
          <w:sz w:val="28"/>
          <w:szCs w:val="28"/>
          <w:highlight w:val="none"/>
        </w:rPr>
        <w:t>日至</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asciiTheme="minorEastAsia" w:hAnsiTheme="minorEastAsia"/>
          <w:b/>
          <w:sz w:val="32"/>
          <w:szCs w:val="32"/>
          <w:highlight w:val="none"/>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组织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6.1递交响应文件截止时间：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11</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23</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rPr>
        <w:t>分前（北京时间）。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6.2递交及快递地址：广州市天河区临江大道501号</w:t>
      </w:r>
      <w:r>
        <w:rPr>
          <w:rFonts w:hint="eastAsia" w:ascii="仿宋_GB2312" w:eastAsia="仿宋_GB2312"/>
          <w:sz w:val="28"/>
          <w:szCs w:val="28"/>
          <w:highlight w:val="none"/>
          <w:u w:val="single"/>
        </w:rPr>
        <w:t>广州市净水有限公司6楼招标部</w:t>
      </w:r>
      <w:r>
        <w:rPr>
          <w:rFonts w:hint="eastAsia" w:ascii="仿宋_GB2312" w:eastAsia="仿宋_GB2312"/>
          <w:sz w:val="28"/>
          <w:szCs w:val="28"/>
          <w:highlight w:val="none"/>
        </w:rPr>
        <w:t>。</w:t>
      </w:r>
    </w:p>
    <w:p>
      <w:pPr>
        <w:pStyle w:val="2"/>
        <w:ind w:firstLine="560" w:firstLineChars="200"/>
        <w:rPr>
          <w:rFonts w:eastAsia="仿宋_GB2312"/>
          <w:highlight w:val="none"/>
        </w:rPr>
      </w:pPr>
      <w:r>
        <w:rPr>
          <w:rFonts w:hint="eastAsia" w:ascii="仿宋_GB2312" w:eastAsia="仿宋_GB2312"/>
          <w:sz w:val="28"/>
          <w:szCs w:val="28"/>
          <w:highlight w:val="none"/>
        </w:rPr>
        <w:t>防疫要求：</w:t>
      </w:r>
      <w:r>
        <w:rPr>
          <w:rFonts w:hint="eastAsia" w:ascii="仿宋_GB2312" w:eastAsia="仿宋_GB2312"/>
          <w:color w:val="auto"/>
          <w:sz w:val="28"/>
          <w:szCs w:val="28"/>
          <w:highlight w:val="none"/>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7.其他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u w:val="single"/>
          <w14:textFill>
            <w14:solidFill>
              <w14:schemeClr w14:val="tx1"/>
            </w14:solidFill>
          </w14:textFill>
        </w:rPr>
        <w:t>38890</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467</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序号</w:t>
            </w:r>
          </w:p>
        </w:tc>
        <w:tc>
          <w:tcPr>
            <w:tcW w:w="3402"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单位名称</w:t>
            </w:r>
          </w:p>
        </w:tc>
        <w:tc>
          <w:tcPr>
            <w:tcW w:w="4557"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3402" w:type="dxa"/>
            <w:vAlign w:val="center"/>
          </w:tcPr>
          <w:p>
            <w:pPr>
              <w:jc w:val="center"/>
              <w:rPr>
                <w:rFonts w:ascii="宋体" w:hAnsi="宋体" w:cs="宋体"/>
                <w:sz w:val="24"/>
                <w:highlight w:val="none"/>
              </w:rPr>
            </w:pPr>
            <w:r>
              <w:rPr>
                <w:rFonts w:hint="eastAsia" w:ascii="宋体" w:hAnsi="宋体" w:eastAsia="宋体" w:cs="宋体"/>
                <w:sz w:val="24"/>
                <w:highlight w:val="none"/>
              </w:rPr>
              <w:t>广州市水电建设工程有限公司</w:t>
            </w:r>
          </w:p>
        </w:tc>
        <w:tc>
          <w:tcPr>
            <w:tcW w:w="4557" w:type="dxa"/>
            <w:vAlign w:val="center"/>
          </w:tcPr>
          <w:p>
            <w:pPr>
              <w:jc w:val="center"/>
              <w:rPr>
                <w:rFonts w:ascii="宋体" w:hAnsi="宋体" w:cs="宋体"/>
                <w:sz w:val="24"/>
                <w:highlight w:val="none"/>
              </w:rPr>
            </w:pPr>
            <w:r>
              <w:rPr>
                <w:rFonts w:hint="eastAsia" w:ascii="宋体" w:hAnsi="宋体" w:eastAsia="宋体" w:cs="宋体"/>
                <w:sz w:val="24"/>
                <w:highlight w:val="none"/>
              </w:rPr>
              <w:t>2021年11月18至202</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年</w:t>
            </w:r>
            <w:r>
              <w:rPr>
                <w:rFonts w:hint="eastAsia" w:ascii="宋体" w:hAnsi="宋体" w:cs="宋体"/>
                <w:sz w:val="24"/>
                <w:highlight w:val="none"/>
              </w:rPr>
              <w:t>5</w:t>
            </w:r>
            <w:r>
              <w:rPr>
                <w:rFonts w:hint="eastAsia" w:ascii="宋体" w:hAnsi="宋体" w:eastAsia="宋体" w:cs="宋体"/>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3402" w:type="dxa"/>
            <w:vAlign w:val="center"/>
          </w:tcPr>
          <w:p>
            <w:pPr>
              <w:jc w:val="center"/>
              <w:rPr>
                <w:rFonts w:ascii="宋体" w:hAnsi="宋体" w:cs="宋体"/>
                <w:sz w:val="24"/>
                <w:highlight w:val="none"/>
              </w:rPr>
            </w:pPr>
            <w:r>
              <w:rPr>
                <w:rFonts w:hint="eastAsia" w:ascii="宋体" w:hAnsi="宋体" w:eastAsia="宋体" w:cs="宋体"/>
                <w:sz w:val="24"/>
                <w:highlight w:val="none"/>
              </w:rPr>
              <w:t>广州市南粤工程建设监理有限公司</w:t>
            </w:r>
          </w:p>
        </w:tc>
        <w:tc>
          <w:tcPr>
            <w:tcW w:w="4557" w:type="dxa"/>
            <w:vAlign w:val="center"/>
          </w:tcPr>
          <w:p>
            <w:pPr>
              <w:jc w:val="center"/>
              <w:rPr>
                <w:rFonts w:ascii="宋体" w:hAnsi="宋体" w:cs="宋体"/>
                <w:sz w:val="24"/>
                <w:highlight w:val="none"/>
              </w:rPr>
            </w:pPr>
            <w:r>
              <w:rPr>
                <w:rFonts w:hint="eastAsia" w:ascii="宋体" w:hAnsi="宋体" w:eastAsia="宋体" w:cs="宋体"/>
                <w:sz w:val="24"/>
                <w:highlight w:val="none"/>
              </w:rPr>
              <w:t>2021年11月18至20</w:t>
            </w:r>
            <w:r>
              <w:rPr>
                <w:rFonts w:hint="eastAsia" w:ascii="宋体" w:hAnsi="宋体" w:cs="宋体"/>
                <w:sz w:val="24"/>
                <w:highlight w:val="none"/>
              </w:rPr>
              <w:t>23</w:t>
            </w:r>
            <w:r>
              <w:rPr>
                <w:rFonts w:hint="eastAsia" w:ascii="宋体" w:hAnsi="宋体" w:eastAsia="宋体" w:cs="宋体"/>
                <w:sz w:val="24"/>
                <w:highlight w:val="none"/>
              </w:rPr>
              <w:t>年</w:t>
            </w:r>
            <w:r>
              <w:rPr>
                <w:rFonts w:hint="eastAsia" w:ascii="宋体" w:hAnsi="宋体" w:cs="宋体"/>
                <w:sz w:val="24"/>
                <w:highlight w:val="none"/>
              </w:rPr>
              <w:t>5</w:t>
            </w:r>
            <w:r>
              <w:rPr>
                <w:rFonts w:hint="eastAsia" w:ascii="宋体" w:hAnsi="宋体" w:eastAsia="宋体" w:cs="宋体"/>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highlight w:val="none"/>
              </w:rPr>
            </w:pPr>
            <w:r>
              <w:rPr>
                <w:rFonts w:hint="eastAsia" w:ascii="宋体" w:hAnsi="宋体" w:cs="宋体"/>
                <w:sz w:val="24"/>
                <w:highlight w:val="none"/>
              </w:rPr>
              <w:t>3</w:t>
            </w:r>
          </w:p>
        </w:tc>
        <w:tc>
          <w:tcPr>
            <w:tcW w:w="3402" w:type="dxa"/>
            <w:vAlign w:val="center"/>
          </w:tcPr>
          <w:p>
            <w:pPr>
              <w:jc w:val="center"/>
              <w:rPr>
                <w:rFonts w:ascii="宋体" w:hAnsi="宋体" w:eastAsia="宋体" w:cs="宋体"/>
                <w:sz w:val="24"/>
                <w:highlight w:val="none"/>
              </w:rPr>
            </w:pPr>
            <w:r>
              <w:rPr>
                <w:rFonts w:ascii="宋体" w:hAnsi="宋体" w:eastAsia="宋体" w:cs="宋体"/>
                <w:sz w:val="24"/>
                <w:szCs w:val="24"/>
                <w:highlight w:val="none"/>
              </w:rPr>
              <w:t>广州市自来水工程有限公司</w:t>
            </w:r>
          </w:p>
        </w:tc>
        <w:tc>
          <w:tcPr>
            <w:tcW w:w="4557"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202</w:t>
            </w:r>
            <w:r>
              <w:rPr>
                <w:rFonts w:hint="eastAsia" w:ascii="宋体" w:hAnsi="宋体" w:cs="宋体"/>
                <w:sz w:val="24"/>
                <w:highlight w:val="none"/>
              </w:rPr>
              <w:t>2</w:t>
            </w:r>
            <w:r>
              <w:rPr>
                <w:rFonts w:hint="eastAsia" w:ascii="宋体" w:hAnsi="宋体" w:eastAsia="宋体" w:cs="宋体"/>
                <w:sz w:val="24"/>
                <w:highlight w:val="none"/>
              </w:rPr>
              <w:t>年1月</w:t>
            </w:r>
            <w:r>
              <w:rPr>
                <w:rFonts w:hint="eastAsia" w:ascii="宋体" w:hAnsi="宋体" w:cs="宋体"/>
                <w:sz w:val="24"/>
                <w:highlight w:val="none"/>
              </w:rPr>
              <w:t>1</w:t>
            </w:r>
            <w:r>
              <w:rPr>
                <w:rFonts w:hint="eastAsia" w:ascii="宋体" w:hAnsi="宋体" w:eastAsia="宋体" w:cs="宋体"/>
                <w:sz w:val="24"/>
                <w:highlight w:val="none"/>
              </w:rPr>
              <w:t>至2022年</w:t>
            </w:r>
            <w:r>
              <w:rPr>
                <w:rFonts w:hint="eastAsia" w:ascii="宋体" w:hAnsi="宋体" w:cs="宋体"/>
                <w:sz w:val="24"/>
                <w:highlight w:val="none"/>
              </w:rPr>
              <w:t>12</w:t>
            </w:r>
            <w:r>
              <w:rPr>
                <w:rFonts w:hint="eastAsia" w:ascii="宋体" w:hAnsi="宋体" w:eastAsia="宋体" w:cs="宋体"/>
                <w:sz w:val="24"/>
                <w:highlight w:val="none"/>
              </w:rPr>
              <w:t>月</w:t>
            </w:r>
            <w:r>
              <w:rPr>
                <w:rFonts w:hint="eastAsia" w:ascii="宋体" w:hAnsi="宋体" w:cs="宋体"/>
                <w:sz w:val="24"/>
                <w:highlight w:val="none"/>
              </w:rPr>
              <w:t>31</w:t>
            </w:r>
            <w:r>
              <w:rPr>
                <w:rFonts w:hint="eastAsia" w:ascii="宋体" w:hAnsi="宋体" w:eastAsia="宋体" w:cs="宋体"/>
                <w:sz w:val="24"/>
                <w:highlight w:val="none"/>
              </w:rPr>
              <w:t>日</w:t>
            </w:r>
          </w:p>
        </w:tc>
      </w:tr>
    </w:tbl>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11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17</w:t>
            </w:r>
            <w:r>
              <w:rPr>
                <w:rFonts w:hint="eastAsia" w:ascii="仿宋_GB2312" w:eastAsia="仿宋_GB2312"/>
                <w:sz w:val="28"/>
                <w:szCs w:val="28"/>
                <w:highlight w:val="none"/>
              </w:rPr>
              <w:t>日</w:t>
            </w:r>
          </w:p>
        </w:tc>
      </w:tr>
    </w:tbl>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pStyle w:val="2"/>
        <w:rPr>
          <w:rFonts w:hint="eastAsia" w:asciiTheme="minorEastAsia" w:hAnsiTheme="minorEastAsia"/>
          <w:sz w:val="24"/>
          <w:szCs w:val="24"/>
          <w:highlight w:val="none"/>
        </w:rPr>
      </w:pPr>
    </w:p>
    <w:p>
      <w:pPr>
        <w:pStyle w:val="2"/>
        <w:rPr>
          <w:rFonts w:hint="eastAsia" w:asciiTheme="minorEastAsia" w:hAnsiTheme="minorEastAsia"/>
          <w:sz w:val="24"/>
          <w:szCs w:val="24"/>
          <w:highlight w:val="none"/>
        </w:rPr>
      </w:pPr>
    </w:p>
    <w:p>
      <w:pPr>
        <w:pStyle w:val="2"/>
        <w:rPr>
          <w:rFonts w:hint="eastAsia" w:asciiTheme="minorEastAsia" w:hAnsiTheme="minorEastAsia"/>
          <w:sz w:val="24"/>
          <w:szCs w:val="24"/>
          <w:highlight w:val="none"/>
        </w:rPr>
      </w:pPr>
    </w:p>
    <w:p>
      <w:pPr>
        <w:pStyle w:val="2"/>
        <w:rPr>
          <w:rFonts w:hint="eastAsia" w:asciiTheme="minorEastAsia" w:hAnsiTheme="minorEastAsia"/>
          <w:sz w:val="24"/>
          <w:szCs w:val="24"/>
          <w:highlight w:val="none"/>
        </w:rPr>
      </w:pPr>
    </w:p>
    <w:p>
      <w:pPr>
        <w:pStyle w:val="2"/>
        <w:rPr>
          <w:rFonts w:hint="eastAsia" w:asciiTheme="minorEastAsia" w:hAnsiTheme="minorEastAsia"/>
          <w:sz w:val="24"/>
          <w:szCs w:val="24"/>
          <w:highlight w:val="none"/>
        </w:rPr>
      </w:pPr>
    </w:p>
    <w:p>
      <w:pPr>
        <w:pStyle w:val="2"/>
        <w:rPr>
          <w:rFonts w:hint="eastAsia" w:asciiTheme="minorEastAsia" w:hAnsiTheme="minorEastAsia"/>
          <w:sz w:val="24"/>
          <w:szCs w:val="24"/>
          <w:highlight w:val="none"/>
        </w:rPr>
      </w:pPr>
    </w:p>
    <w:p>
      <w:pPr>
        <w:pStyle w:val="2"/>
        <w:rPr>
          <w:rFonts w:hint="eastAsia" w:asciiTheme="minorEastAsia" w:hAnsiTheme="minorEastAsia"/>
          <w:sz w:val="24"/>
          <w:szCs w:val="24"/>
          <w:highlight w:val="none"/>
        </w:rPr>
      </w:pPr>
    </w:p>
    <w:p>
      <w:pPr>
        <w:pStyle w:val="2"/>
        <w:rPr>
          <w:rFonts w:hint="eastAsia" w:asciiTheme="minorEastAsia" w:hAnsiTheme="minorEastAsia"/>
          <w:sz w:val="24"/>
          <w:szCs w:val="24"/>
          <w:highlight w:val="none"/>
        </w:rPr>
      </w:pPr>
    </w:p>
    <w:p>
      <w:pPr>
        <w:pStyle w:val="2"/>
        <w:rPr>
          <w:rFonts w:hint="eastAsia" w:asciiTheme="minorEastAsia" w:hAnsiTheme="minorEastAsia"/>
          <w:sz w:val="24"/>
          <w:szCs w:val="24"/>
          <w:highlight w:val="none"/>
        </w:rPr>
      </w:pPr>
    </w:p>
    <w:p>
      <w:pPr>
        <w:pStyle w:val="2"/>
        <w:rPr>
          <w:rFonts w:hint="eastAsia" w:asciiTheme="minorEastAsia" w:hAnsiTheme="minorEastAsia"/>
          <w:sz w:val="24"/>
          <w:szCs w:val="24"/>
          <w:highlight w:val="none"/>
        </w:rPr>
      </w:pPr>
    </w:p>
    <w:p>
      <w:pPr>
        <w:pStyle w:val="2"/>
        <w:rPr>
          <w:rFonts w:hint="eastAsia" w:asciiTheme="minorEastAsia" w:hAnsiTheme="minorEastAsia"/>
          <w:sz w:val="24"/>
          <w:szCs w:val="24"/>
          <w:highlight w:val="none"/>
        </w:rPr>
      </w:pPr>
    </w:p>
    <w:p>
      <w:pPr>
        <w:pStyle w:val="2"/>
        <w:rPr>
          <w:rFonts w:hint="eastAsia" w:asciiTheme="minorEastAsia" w:hAnsiTheme="minorEastAsia"/>
          <w:sz w:val="24"/>
          <w:szCs w:val="24"/>
          <w:highlight w:val="none"/>
        </w:rPr>
      </w:pPr>
    </w:p>
    <w:p>
      <w:pPr>
        <w:pStyle w:val="2"/>
        <w:rPr>
          <w:rFonts w:hint="eastAsia" w:asciiTheme="minorEastAsia" w:hAnsiTheme="minorEastAsia"/>
          <w:sz w:val="24"/>
          <w:szCs w:val="24"/>
          <w:highlight w:val="none"/>
        </w:rPr>
      </w:pPr>
    </w:p>
    <w:p>
      <w:pPr>
        <w:pStyle w:val="2"/>
        <w:rPr>
          <w:rFonts w:hint="eastAsia" w:asciiTheme="minorEastAsia" w:hAnsiTheme="minorEastAsia"/>
          <w:sz w:val="24"/>
          <w:szCs w:val="24"/>
          <w:highlight w:val="none"/>
        </w:rPr>
      </w:pPr>
    </w:p>
    <w:p>
      <w:pPr>
        <w:pStyle w:val="2"/>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4"/>
        <w:rPr>
          <w:highlight w:val="none"/>
        </w:rPr>
      </w:pPr>
      <w:bookmarkStart w:id="25" w:name="_Toc10891"/>
    </w:p>
    <w:p>
      <w:pPr>
        <w:pStyle w:val="4"/>
        <w:rPr>
          <w:highlight w:val="none"/>
        </w:rPr>
      </w:pPr>
      <w:bookmarkStart w:id="26" w:name="_Toc19295"/>
      <w:bookmarkStart w:id="27" w:name="_Toc16557"/>
      <w:bookmarkStart w:id="28" w:name="_Toc32588"/>
      <w:bookmarkStart w:id="29" w:name="_Toc2324"/>
      <w:bookmarkStart w:id="30" w:name="_Toc7340"/>
      <w:bookmarkStart w:id="31" w:name="_Toc9448"/>
      <w:bookmarkStart w:id="32" w:name="_Toc23749"/>
      <w:bookmarkStart w:id="33" w:name="_Toc16705"/>
      <w:bookmarkStart w:id="34" w:name="_Toc25603"/>
      <w:bookmarkStart w:id="35" w:name="_Toc2331"/>
      <w:r>
        <w:rPr>
          <w:highlight w:val="none"/>
        </w:rPr>
        <mc:AlternateContent>
          <mc:Choice Requires="wps">
            <w:drawing>
              <wp:anchor distT="0" distB="0" distL="114300" distR="114300" simplePos="0" relativeHeight="251673600" behindDoc="0" locked="0" layoutInCell="1" allowOverlap="1">
                <wp:simplePos x="0" y="0"/>
                <wp:positionH relativeFrom="column">
                  <wp:posOffset>2362835</wp:posOffset>
                </wp:positionH>
                <wp:positionV relativeFrom="paragraph">
                  <wp:posOffset>538480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6.05pt;margin-top:42.4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lang w:val="en-US" w:eastAsia="zh-CN"/>
        </w:rPr>
        <w:t xml:space="preserve">  </w:t>
      </w:r>
      <w:r>
        <w:rPr>
          <w:rFonts w:hint="eastAsia"/>
          <w:highlight w:val="none"/>
        </w:rPr>
        <w:t>第二章</w:t>
      </w:r>
      <w:bookmarkEnd w:id="25"/>
      <w:bookmarkEnd w:id="26"/>
      <w:bookmarkEnd w:id="27"/>
      <w:bookmarkEnd w:id="28"/>
      <w:bookmarkEnd w:id="29"/>
      <w:bookmarkEnd w:id="30"/>
      <w:bookmarkEnd w:id="31"/>
      <w:bookmarkEnd w:id="32"/>
      <w:bookmarkEnd w:id="33"/>
      <w:bookmarkEnd w:id="34"/>
      <w:bookmarkEnd w:id="35"/>
    </w:p>
    <w:p>
      <w:pPr>
        <w:pStyle w:val="5"/>
        <w:rPr>
          <w:highlight w:val="none"/>
        </w:rPr>
      </w:pPr>
    </w:p>
    <w:p>
      <w:pPr>
        <w:pStyle w:val="5"/>
        <w:rPr>
          <w:highlight w:val="none"/>
        </w:rPr>
      </w:pPr>
      <w:bookmarkStart w:id="36" w:name="_Toc2339"/>
      <w:bookmarkStart w:id="37" w:name="_Toc3416"/>
      <w:r>
        <w:rPr>
          <w:rFonts w:hint="eastAsia"/>
          <w:highlight w:val="none"/>
          <w:lang w:val="en-US" w:eastAsia="zh-CN"/>
        </w:rPr>
        <w:t xml:space="preserve"> </w:t>
      </w:r>
      <w:r>
        <w:rPr>
          <w:rFonts w:hint="eastAsia"/>
          <w:highlight w:val="none"/>
        </w:rPr>
        <w:t>供应商须知</w:t>
      </w:r>
      <w:bookmarkEnd w:id="36"/>
      <w:bookmarkEnd w:id="37"/>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
        <w:rPr>
          <w:rFonts w:asciiTheme="minorEastAsia" w:hAnsiTheme="minorEastAsia"/>
          <w:b/>
          <w:sz w:val="32"/>
          <w:szCs w:val="32"/>
          <w:highlight w:val="none"/>
        </w:rPr>
      </w:pPr>
    </w:p>
    <w:p>
      <w:pPr>
        <w:pStyle w:val="2"/>
        <w:rPr>
          <w:rFonts w:asciiTheme="minorEastAsia" w:hAnsiTheme="minorEastAsia"/>
          <w:b/>
          <w:sz w:val="32"/>
          <w:szCs w:val="32"/>
          <w:highlight w:val="none"/>
        </w:rPr>
      </w:pPr>
    </w:p>
    <w:p>
      <w:pPr>
        <w:pStyle w:val="2"/>
        <w:rPr>
          <w:rFonts w:asciiTheme="minorEastAsia" w:hAnsiTheme="minorEastAsia"/>
          <w:b/>
          <w:sz w:val="32"/>
          <w:szCs w:val="32"/>
          <w:highlight w:val="none"/>
        </w:rPr>
      </w:pPr>
    </w:p>
    <w:p>
      <w:pPr>
        <w:pStyle w:val="2"/>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
        <w:rPr>
          <w:highlight w:val="none"/>
        </w:rPr>
      </w:pPr>
    </w:p>
    <w:p>
      <w:pPr>
        <w:numPr>
          <w:ilvl w:val="0"/>
          <w:numId w:val="3"/>
        </w:numPr>
        <w:adjustRightInd w:val="0"/>
        <w:snapToGrid w:val="0"/>
        <w:spacing w:before="156" w:beforeLines="50" w:after="156" w:afterLines="50" w:line="50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
        <w:numPr>
          <w:ilvl w:val="255"/>
          <w:numId w:val="0"/>
        </w:numPr>
        <w:rPr>
          <w:highlight w:val="none"/>
        </w:rPr>
      </w:pPr>
      <w:r>
        <w:rPr>
          <w:rFonts w:hint="eastAsia"/>
          <w:highlight w:val="none"/>
        </w:rPr>
        <w:t>详见第一章采购公告3.供应商资格要求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5.响应保证金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6.响应文件要求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7.异议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8.本章附件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6"/>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6"/>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6"/>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36"/>
        <w:rPr>
          <w:highlight w:val="none"/>
        </w:rPr>
      </w:pPr>
    </w:p>
    <w:p>
      <w:pPr>
        <w:pStyle w:val="36"/>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5"/>
        <w:rPr>
          <w:rFonts w:hint="eastAsia" w:asciiTheme="minorHAnsi" w:hAnsiTheme="minorHAnsi" w:cstheme="minorBidi"/>
          <w:kern w:val="44"/>
          <w:sz w:val="44"/>
          <w:szCs w:val="44"/>
          <w:highlight w:val="none"/>
        </w:rPr>
      </w:pPr>
      <w:bookmarkStart w:id="38" w:name="_Toc2867"/>
      <w:bookmarkStart w:id="39" w:name="_Toc21455"/>
    </w:p>
    <w:p>
      <w:pPr>
        <w:pStyle w:val="5"/>
        <w:rPr>
          <w:rFonts w:asciiTheme="minorHAnsi" w:hAnsiTheme="minorHAnsi" w:cstheme="minorBidi"/>
          <w:kern w:val="44"/>
          <w:sz w:val="44"/>
          <w:szCs w:val="44"/>
          <w:highlight w:val="none"/>
        </w:rPr>
      </w:pP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2312670</wp:posOffset>
                </wp:positionH>
                <wp:positionV relativeFrom="paragraph">
                  <wp:posOffset>430530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1pt;margin-top:33.9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2297430</wp:posOffset>
                </wp:positionH>
                <wp:positionV relativeFrom="paragraph">
                  <wp:posOffset>48260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0.9pt;margin-top:3.8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lang w:val="en-US" w:eastAsia="zh-CN"/>
        </w:rPr>
        <w:t xml:space="preserve">  </w:t>
      </w:r>
      <w:r>
        <w:rPr>
          <w:rFonts w:hint="eastAsia" w:asciiTheme="minorHAnsi" w:hAnsiTheme="minorHAnsi" w:cstheme="minorBidi"/>
          <w:kern w:val="44"/>
          <w:sz w:val="44"/>
          <w:szCs w:val="44"/>
          <w:highlight w:val="none"/>
        </w:rPr>
        <w:t>第三章</w:t>
      </w:r>
      <w:bookmarkEnd w:id="38"/>
      <w:bookmarkEnd w:id="39"/>
    </w:p>
    <w:p>
      <w:pPr>
        <w:pStyle w:val="36"/>
        <w:rPr>
          <w:highlight w:val="none"/>
        </w:rPr>
      </w:pPr>
    </w:p>
    <w:p>
      <w:pPr>
        <w:pStyle w:val="5"/>
        <w:rPr>
          <w:highlight w:val="none"/>
        </w:rPr>
      </w:pPr>
      <w:bookmarkStart w:id="40" w:name="_Toc7303"/>
      <w:bookmarkStart w:id="41" w:name="_Toc88209934"/>
      <w:bookmarkStart w:id="42" w:name="_Toc87616371"/>
      <w:bookmarkStart w:id="43" w:name="_Toc7040"/>
      <w:r>
        <w:rPr>
          <w:rFonts w:hint="eastAsia"/>
          <w:highlight w:val="none"/>
        </w:rPr>
        <w:t>采购方法</w:t>
      </w:r>
      <w:bookmarkEnd w:id="40"/>
      <w:bookmarkEnd w:id="41"/>
      <w:bookmarkEnd w:id="42"/>
      <w:bookmarkEnd w:id="43"/>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ind w:firstLine="0"/>
        <w:rPr>
          <w:rFonts w:ascii="方正小标宋简体" w:eastAsia="方正小标宋简体"/>
          <w:sz w:val="44"/>
          <w:szCs w:val="44"/>
          <w:highlight w:val="none"/>
        </w:rPr>
      </w:pPr>
    </w:p>
    <w:p>
      <w:pPr>
        <w:pStyle w:val="5"/>
        <w:rPr>
          <w:highlight w:val="none"/>
        </w:rPr>
      </w:pPr>
      <w:bookmarkStart w:id="44" w:name="_Toc3789"/>
      <w:bookmarkStart w:id="45" w:name="_Toc24895"/>
      <w:r>
        <w:rPr>
          <w:rFonts w:hint="eastAsia"/>
          <w:highlight w:val="none"/>
        </w:rPr>
        <w:t>询比采购</w:t>
      </w:r>
      <w:bookmarkEnd w:id="44"/>
      <w:bookmarkEnd w:id="45"/>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w:t>
            </w:r>
            <w:r>
              <w:rPr>
                <w:rFonts w:hint="eastAsia" w:ascii="仿宋_GB2312" w:eastAsia="仿宋_GB2312" w:hAnsiTheme="minorEastAsia"/>
                <w:sz w:val="24"/>
                <w:szCs w:val="24"/>
                <w:highlight w:val="none"/>
                <w:u w:val="single"/>
              </w:rPr>
              <w:t xml:space="preserve"> </w:t>
            </w:r>
            <w:r>
              <w:rPr>
                <w:rFonts w:hint="eastAsia" w:ascii="仿宋_GB2312" w:eastAsia="仿宋_GB2312" w:hAnsiTheme="minorEastAsia"/>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5"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snapToGri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4"/>
        <w:rPr>
          <w:highlight w:val="none"/>
        </w:rPr>
      </w:pPr>
      <w:bookmarkStart w:id="46" w:name="_Toc23581"/>
      <w:bookmarkStart w:id="47" w:name="_Toc7118"/>
      <w:bookmarkStart w:id="48" w:name="_Toc19050"/>
      <w:bookmarkStart w:id="49" w:name="_Toc3156"/>
      <w:bookmarkStart w:id="50" w:name="_Toc20594"/>
      <w:bookmarkStart w:id="51" w:name="_Toc14552"/>
      <w:bookmarkStart w:id="52" w:name="_Toc14870"/>
      <w:bookmarkStart w:id="53" w:name="_Toc10930"/>
      <w:bookmarkStart w:id="54" w:name="_Toc4952"/>
      <w:bookmarkStart w:id="55" w:name="_Toc19759"/>
      <w:bookmarkStart w:id="56" w:name="_Toc7437"/>
      <w:r>
        <w:rPr>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lang w:val="en-US" w:eastAsia="zh-CN"/>
        </w:rPr>
        <w:t xml:space="preserve"> </w:t>
      </w:r>
      <w:r>
        <w:rPr>
          <w:rFonts w:hint="eastAsia"/>
          <w:highlight w:val="none"/>
        </w:rPr>
        <w:t>第四章</w:t>
      </w:r>
      <w:bookmarkEnd w:id="46"/>
      <w:bookmarkEnd w:id="47"/>
      <w:bookmarkEnd w:id="48"/>
      <w:bookmarkEnd w:id="49"/>
      <w:bookmarkEnd w:id="50"/>
      <w:bookmarkEnd w:id="51"/>
      <w:bookmarkEnd w:id="52"/>
      <w:bookmarkEnd w:id="53"/>
      <w:bookmarkEnd w:id="54"/>
      <w:bookmarkEnd w:id="55"/>
      <w:bookmarkEnd w:id="56"/>
    </w:p>
    <w:p>
      <w:pPr>
        <w:pStyle w:val="36"/>
        <w:rPr>
          <w:highlight w:val="none"/>
        </w:rPr>
      </w:pPr>
    </w:p>
    <w:p>
      <w:pPr>
        <w:pStyle w:val="4"/>
        <w:rPr>
          <w:highlight w:val="none"/>
        </w:rPr>
      </w:pPr>
      <w:bookmarkStart w:id="57" w:name="_Toc29484"/>
      <w:bookmarkStart w:id="58" w:name="_Toc88209941"/>
      <w:bookmarkStart w:id="59" w:name="_Toc22212"/>
      <w:bookmarkStart w:id="60" w:name="_Toc87616378"/>
      <w:bookmarkStart w:id="61" w:name="_Toc30530"/>
      <w:bookmarkStart w:id="62" w:name="_Toc13898"/>
      <w:bookmarkStart w:id="63" w:name="_Toc21840"/>
      <w:bookmarkStart w:id="64" w:name="_Toc21079"/>
      <w:bookmarkStart w:id="65" w:name="_Toc7831"/>
      <w:bookmarkStart w:id="66" w:name="_Toc12177"/>
      <w:bookmarkStart w:id="67" w:name="_Toc6308"/>
      <w:bookmarkStart w:id="68" w:name="_Toc32607"/>
      <w:bookmarkStart w:id="69" w:name="_Toc29345"/>
      <w:r>
        <w:rPr>
          <w:rFonts w:hint="eastAsia"/>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ind w:firstLine="0"/>
        <w:rPr>
          <w:rFonts w:ascii="方正小标宋简体" w:eastAsia="方正小标宋简体"/>
          <w:sz w:val="44"/>
          <w:szCs w:val="44"/>
          <w:highlight w:val="none"/>
        </w:rPr>
      </w:pPr>
    </w:p>
    <w:p>
      <w:pPr>
        <w:pStyle w:val="5"/>
        <w:rPr>
          <w:highlight w:val="none"/>
        </w:rPr>
      </w:pPr>
      <w:bookmarkStart w:id="70" w:name="_Toc23033"/>
      <w:bookmarkStart w:id="71" w:name="_Toc26826"/>
      <w:r>
        <w:rPr>
          <w:rFonts w:hint="eastAsia"/>
          <w:highlight w:val="none"/>
        </w:rPr>
        <w:t>经评审的最低价法</w:t>
      </w:r>
      <w:bookmarkEnd w:id="70"/>
      <w:bookmarkEnd w:id="71"/>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p>
            <w:pPr>
              <w:adjustRightInd w:val="0"/>
              <w:snapToGrid w:val="0"/>
              <w:jc w:val="center"/>
              <w:rPr>
                <w:rFonts w:ascii="仿宋_GB2312" w:eastAsia="仿宋_GB2312"/>
                <w:sz w:val="24"/>
                <w:szCs w:val="24"/>
                <w:highlight w:val="none"/>
              </w:rPr>
            </w:pP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p>
            <w:pPr>
              <w:adjustRightInd w:val="0"/>
              <w:snapToGrid w:val="0"/>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rPr>
        <w:t>或否决其响应</w:t>
      </w:r>
      <w:r>
        <w:rPr>
          <w:rFonts w:hint="eastAsia" w:ascii="仿宋_GB2312" w:eastAsia="仿宋_GB2312" w:hAnsiTheme="minorEastAsia"/>
          <w:sz w:val="28"/>
          <w:szCs w:val="28"/>
          <w:highlight w:val="none"/>
        </w:rPr>
        <w:t>。</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rPr>
        <w:t>或否决其响应</w:t>
      </w:r>
      <w:r>
        <w:rPr>
          <w:rFonts w:hint="eastAsia" w:ascii="仿宋_GB2312" w:eastAsia="仿宋_GB2312" w:hAnsiTheme="minorEastAsia"/>
          <w:sz w:val="28"/>
          <w:szCs w:val="28"/>
          <w:highlight w:val="none"/>
        </w:rPr>
        <w:t>。</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4"/>
        <w:rPr>
          <w:highlight w:val="none"/>
        </w:rPr>
      </w:pPr>
      <w:bookmarkStart w:id="72" w:name="_Toc88209947"/>
      <w:r>
        <w:rPr>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highlight w:val="none"/>
          <w:lang w:val="en-US" w:eastAsia="zh-CN"/>
        </w:rPr>
        <w:t xml:space="preserve">  </w:t>
      </w:r>
      <w:r>
        <w:rPr>
          <w:rFonts w:hint="eastAsia"/>
          <w:highlight w:val="none"/>
        </w:rPr>
        <w:t>第五章</w:t>
      </w:r>
    </w:p>
    <w:p>
      <w:pPr>
        <w:pStyle w:val="5"/>
        <w:rPr>
          <w:highlight w:val="none"/>
        </w:rPr>
      </w:pPr>
    </w:p>
    <w:p>
      <w:pPr>
        <w:pStyle w:val="5"/>
        <w:rPr>
          <w:szCs w:val="44"/>
          <w:highlight w:val="none"/>
        </w:rPr>
      </w:pPr>
      <w:r>
        <w:rPr>
          <w:rFonts w:hint="eastAsia"/>
          <w:szCs w:val="44"/>
          <w:highlight w:val="none"/>
        </w:rPr>
        <w:t>采购需求</w:t>
      </w:r>
    </w:p>
    <w:p>
      <w:pPr>
        <w:pStyle w:val="5"/>
        <w:rPr>
          <w:szCs w:val="44"/>
          <w:highlight w:val="none"/>
        </w:rPr>
      </w:pPr>
    </w:p>
    <w:bookmarkEnd w:id="72"/>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adjustRightInd w:val="0"/>
        <w:snapToGrid w:val="0"/>
        <w:spacing w:line="600" w:lineRule="exact"/>
        <w:jc w:val="left"/>
        <w:rPr>
          <w:rFonts w:hint="eastAsia" w:ascii="仿宋" w:hAnsi="仿宋" w:eastAsia="仿宋" w:cs="仿宋"/>
          <w:sz w:val="28"/>
          <w:szCs w:val="28"/>
          <w:highlight w:val="none"/>
          <w:lang w:val="en-US" w:eastAsia="zh-CN"/>
        </w:rPr>
      </w:pP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采购内容和范围：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鼓风机类备件参数及需求情况表</w:t>
      </w:r>
    </w:p>
    <w:tbl>
      <w:tblPr>
        <w:tblStyle w:val="22"/>
        <w:tblW w:w="84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51"/>
        <w:gridCol w:w="3001"/>
        <w:gridCol w:w="319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序号</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名称</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鼓风机空气过滤器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AIR FIL TER 640*570*70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YLS风扇用三相异步电动机（一期）</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YLS-1100-4 380V 3.2A  功率1100W B级</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呼吸器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SOLBERG WP274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鼓风机入风滤棉</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厚度1cm 宽度1m 长20m</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Beijer(二期鼓风机触摸屏）</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X2pro10-B2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FramoMorat</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IGV定位器 FramoMorat D/A 3500-2,5-150(8-2010-ET02)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FramoMorat</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VVD定位器 FramoMorat D/A 3500-2,5-150(8-2010-ET02)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8</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齿轮箱供油温度变送器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TT121  248HANANOXA 10142131（温度变送器）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9</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齿轮供油压力变送器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PT103 fartag 605071-008（压力变送器）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出风口压力变送器（防喘震）</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ROSEMOUNT 2088G2S22A2Q4HR5 PT110 （压力变送器）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11</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高速轴承叶轮端温度</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TT122（温度变送器）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12</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高速轴电机端轴承温度</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TT123（温度变送器）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13</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高速轴震动传感器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VT503（振动变送器）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14</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进口空气温度</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TT125（温度变送器）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15</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主电机驱动端轴承温度</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TE128（测温元件）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16</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主电机非驱动端轴承温度</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TE127（测温元件）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17</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调温器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KTO 01142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18</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施耐德接触器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LC1-DT25BDC+触点LADN11C</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19</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BUSSMANN 熔断器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CHM1DNS 10*38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SCHLEICHER安全继电器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Wieland (SN04062K)</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OMRON时间继电器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H3DK-M2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22</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PR跳闸放大器（一期）</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PR4131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23</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AB 直流电源（一期）</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1606-XLE120EE 120W</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24</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鼓风机触摸屏（一期）</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EXTER K70 Beijer</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25</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STEGO</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温控器KTO 01142.0-00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26</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施耐德3极接触器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LC1-D098BDC</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27</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施耐德3极接触器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LC1-D12BDC</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28</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双层端子</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Weidmuller A2T2.5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29</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保险端子</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 xml:space="preserve"> Weidmuller ASK 1EN 2个+WDU2.5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30</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温度变送器（二期）</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PR3331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31</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熔断器开关</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194R-J60-1753-PYS2，60A</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32</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断路器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ic65N C6A 2P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33</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断路器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ic65N C6A 1P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34</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熔断器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CHM1DNS 10*38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35</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时间继电器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H3DK-M2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36</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通用变送器（二期）</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PR4114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37</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直流电源（二期）</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SIMATIC PM207 5A</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38</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断路器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 lc65N C16A 4P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39</w:t>
            </w:r>
          </w:p>
        </w:tc>
        <w:tc>
          <w:tcPr>
            <w:tcW w:w="3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AB-PLC组件</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1769系列</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r>
    </w:tbl>
    <w:p>
      <w:pPr>
        <w:pStyle w:val="2"/>
        <w:rPr>
          <w:rFonts w:hint="eastAsia"/>
          <w:highlight w:val="none"/>
          <w:lang w:val="en-US" w:eastAsia="zh-CN"/>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项目工期：交货期</w:t>
      </w:r>
      <w:r>
        <w:rPr>
          <w:rFonts w:hint="eastAsia" w:ascii="仿宋_GB2312" w:eastAsia="仿宋_GB2312"/>
          <w:sz w:val="28"/>
          <w:szCs w:val="28"/>
          <w:highlight w:val="none"/>
          <w:lang w:val="en-US" w:eastAsia="zh-CN"/>
        </w:rPr>
        <w:t>为</w:t>
      </w:r>
      <w:r>
        <w:rPr>
          <w:rFonts w:hint="eastAsia" w:ascii="仿宋_GB2312" w:eastAsia="仿宋_GB2312"/>
          <w:sz w:val="28"/>
          <w:szCs w:val="28"/>
          <w:highlight w:val="none"/>
          <w:u w:val="none"/>
          <w:lang w:val="en-US" w:eastAsia="zh-CN"/>
        </w:rPr>
        <w:t>3</w:t>
      </w:r>
      <w:r>
        <w:rPr>
          <w:rFonts w:hint="eastAsia" w:ascii="仿宋_GB2312" w:eastAsia="仿宋_GB2312"/>
          <w:sz w:val="28"/>
          <w:szCs w:val="28"/>
          <w:highlight w:val="none"/>
          <w:u w:val="none"/>
        </w:rPr>
        <w:t xml:space="preserve">0天          </w:t>
      </w:r>
      <w:r>
        <w:rPr>
          <w:rFonts w:hint="eastAsia" w:ascii="仿宋_GB2312" w:eastAsia="仿宋_GB2312"/>
          <w:sz w:val="28"/>
          <w:szCs w:val="28"/>
          <w:highlight w:val="non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lang w:val="en-US" w:eastAsia="zh-CN"/>
        </w:rPr>
        <w:t>3、交货</w:t>
      </w:r>
      <w:r>
        <w:rPr>
          <w:rFonts w:hint="eastAsia" w:ascii="仿宋_GB2312" w:eastAsia="仿宋_GB2312"/>
          <w:sz w:val="28"/>
          <w:szCs w:val="28"/>
          <w:highlight w:val="none"/>
        </w:rPr>
        <w:t>地点：</w:t>
      </w:r>
      <w:r>
        <w:rPr>
          <w:rFonts w:hint="eastAsia" w:ascii="仿宋_GB2312" w:eastAsia="仿宋_GB2312"/>
          <w:sz w:val="28"/>
          <w:szCs w:val="28"/>
          <w:highlight w:val="none"/>
          <w:u w:val="none"/>
        </w:rPr>
        <w:t xml:space="preserve">广州市净水有限公司石井净水分公司 </w:t>
      </w:r>
    </w:p>
    <w:p>
      <w:pPr>
        <w:adjustRightInd w:val="0"/>
        <w:snapToGrid w:val="0"/>
        <w:spacing w:line="600" w:lineRule="exact"/>
        <w:ind w:left="420" w:right="-369"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货物质量标准或主要技术性能指标：</w:t>
      </w:r>
    </w:p>
    <w:p>
      <w:pPr>
        <w:adjustRightInd w:val="0"/>
        <w:snapToGrid w:val="0"/>
        <w:spacing w:line="600" w:lineRule="exact"/>
        <w:ind w:right="-369" w:rightChars="-176" w:firstLine="280" w:firstLineChars="100"/>
        <w:jc w:val="left"/>
        <w:rPr>
          <w:rFonts w:hint="eastAsia" w:ascii="仿宋_GB2312" w:eastAsia="仿宋_GB2312"/>
          <w:sz w:val="28"/>
          <w:szCs w:val="28"/>
          <w:highlight w:val="none"/>
          <w:u w:val="none"/>
        </w:rPr>
      </w:pP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rPr>
        <w:t>1</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rPr>
        <w:t>以上需求的配件对应设备的使用地点为广州市净水有限公司石井净水分公司</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所提供的产品必须与现有设备的所有参数相匹配</w:t>
      </w:r>
      <w:r>
        <w:rPr>
          <w:rFonts w:hint="eastAsia" w:ascii="仿宋_GB2312" w:eastAsia="仿宋_GB2312"/>
          <w:sz w:val="28"/>
          <w:szCs w:val="28"/>
          <w:highlight w:val="none"/>
          <w:u w:val="none"/>
        </w:rPr>
        <w:t>。</w:t>
      </w:r>
    </w:p>
    <w:p>
      <w:pPr>
        <w:adjustRightInd w:val="0"/>
        <w:snapToGrid w:val="0"/>
        <w:spacing w:line="600" w:lineRule="exact"/>
        <w:ind w:right="-369" w:rightChars="-176" w:firstLine="280" w:firstLineChars="100"/>
        <w:jc w:val="left"/>
        <w:rPr>
          <w:rFonts w:hint="eastAsia" w:ascii="仿宋_GB2312" w:eastAsia="仿宋_GB2312"/>
          <w:sz w:val="28"/>
          <w:szCs w:val="28"/>
          <w:highlight w:val="none"/>
          <w:u w:val="none"/>
        </w:rPr>
      </w:pP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2</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rPr>
        <w:t>中选单位需按采购清单的型号、数量要求进行供货，货物必须符合国家法律法规规定的标准、行业标准。</w:t>
      </w:r>
    </w:p>
    <w:p>
      <w:pPr>
        <w:spacing w:line="600" w:lineRule="exact"/>
        <w:ind w:right="-369" w:rightChars="-176" w:firstLine="280" w:firstLineChars="100"/>
        <w:jc w:val="left"/>
        <w:rPr>
          <w:rFonts w:hint="eastAsia" w:ascii="仿宋_GB2312" w:eastAsia="仿宋_GB2312"/>
          <w:sz w:val="28"/>
          <w:szCs w:val="28"/>
          <w:highlight w:val="none"/>
          <w:u w:val="none"/>
        </w:rPr>
      </w:pP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3</w:t>
      </w:r>
      <w:r>
        <w:rPr>
          <w:rFonts w:hint="eastAsia" w:ascii="仿宋_GB2312" w:eastAsia="仿宋_GB2312"/>
          <w:sz w:val="28"/>
          <w:szCs w:val="28"/>
          <w:highlight w:val="none"/>
          <w:u w:val="none"/>
          <w:lang w:eastAsia="zh-CN"/>
        </w:rPr>
        <w:t>）</w:t>
      </w:r>
      <w:r>
        <w:rPr>
          <w:rFonts w:hint="eastAsia" w:ascii="仿宋_GB2312" w:eastAsia="仿宋_GB2312" w:hAnsiTheme="minorHAnsi" w:cstheme="minorBidi"/>
          <w:sz w:val="28"/>
          <w:szCs w:val="28"/>
          <w:highlight w:val="none"/>
          <w:u w:val="none"/>
          <w:lang w:eastAsia="zh-CN"/>
        </w:rPr>
        <w:t>所有货物必须有原厂产品合格证并</w:t>
      </w:r>
      <w:r>
        <w:rPr>
          <w:rFonts w:hint="eastAsia" w:ascii="仿宋_GB2312" w:eastAsia="仿宋_GB2312" w:hAnsiTheme="minorHAnsi" w:cstheme="minorBidi"/>
          <w:sz w:val="28"/>
          <w:szCs w:val="28"/>
          <w:highlight w:val="none"/>
          <w:u w:val="none"/>
          <w:lang w:val="en-US" w:eastAsia="zh-CN"/>
        </w:rPr>
        <w:t>于</w:t>
      </w:r>
      <w:r>
        <w:rPr>
          <w:rFonts w:hint="eastAsia" w:ascii="仿宋_GB2312" w:eastAsia="仿宋_GB2312" w:hAnsiTheme="minorHAnsi" w:cstheme="minorBidi"/>
          <w:sz w:val="28"/>
          <w:szCs w:val="28"/>
          <w:highlight w:val="none"/>
          <w:u w:val="none"/>
          <w:lang w:eastAsia="zh-CN"/>
        </w:rPr>
        <w:t>送货之日移交广州市净水有限公司石井净水分公司</w:t>
      </w:r>
      <w:r>
        <w:rPr>
          <w:rFonts w:hint="eastAsia" w:ascii="仿宋_GB2312" w:eastAsia="仿宋_GB2312" w:hAnsiTheme="minorHAnsi" w:cstheme="minorBidi"/>
          <w:sz w:val="28"/>
          <w:szCs w:val="28"/>
          <w:highlight w:val="none"/>
          <w:u w:val="none"/>
        </w:rPr>
        <w:t>。</w:t>
      </w: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4"/>
        <w:jc w:val="both"/>
        <w:rPr>
          <w:rFonts w:hint="eastAsia"/>
          <w:highlight w:val="none"/>
        </w:rPr>
      </w:pPr>
      <w:bookmarkStart w:id="73" w:name="_Toc23353"/>
      <w:bookmarkStart w:id="74" w:name="_Toc29835"/>
      <w:bookmarkStart w:id="75" w:name="_Toc12135"/>
      <w:bookmarkStart w:id="76" w:name="_Toc15570"/>
      <w:bookmarkStart w:id="77" w:name="_Toc23330"/>
      <w:bookmarkStart w:id="78" w:name="_Toc25925"/>
      <w:bookmarkStart w:id="79" w:name="_Toc1496"/>
      <w:bookmarkStart w:id="80" w:name="_Toc4680"/>
      <w:bookmarkStart w:id="81" w:name="_Toc1284"/>
      <w:bookmarkStart w:id="82" w:name="_Toc537"/>
      <w:bookmarkStart w:id="83" w:name="_Toc18538"/>
    </w:p>
    <w:p>
      <w:pPr>
        <w:rPr>
          <w:rFonts w:hint="eastAsia"/>
          <w:highlight w:val="none"/>
        </w:rPr>
      </w:pPr>
    </w:p>
    <w:p>
      <w:pPr>
        <w:pStyle w:val="2"/>
        <w:rPr>
          <w:rFonts w:hint="eastAsia"/>
          <w:highlight w:val="none"/>
        </w:rPr>
      </w:pPr>
    </w:p>
    <w:p>
      <w:pPr>
        <w:pStyle w:val="2"/>
        <w:rPr>
          <w:rFonts w:hint="eastAsia"/>
          <w:highlight w:val="none"/>
        </w:rPr>
      </w:pPr>
    </w:p>
    <w:bookmarkEnd w:id="73"/>
    <w:bookmarkEnd w:id="74"/>
    <w:bookmarkEnd w:id="75"/>
    <w:bookmarkEnd w:id="76"/>
    <w:bookmarkEnd w:id="77"/>
    <w:bookmarkEnd w:id="78"/>
    <w:bookmarkEnd w:id="79"/>
    <w:bookmarkEnd w:id="80"/>
    <w:bookmarkEnd w:id="81"/>
    <w:bookmarkEnd w:id="82"/>
    <w:bookmarkEnd w:id="83"/>
    <w:p>
      <w:pPr>
        <w:pStyle w:val="4"/>
        <w:rPr>
          <w:rFonts w:hint="eastAsia"/>
          <w:color w:val="auto"/>
          <w:highlight w:val="none"/>
          <w:lang w:val="en-US" w:eastAsia="zh-CN"/>
        </w:rPr>
      </w:pPr>
      <w:r>
        <w:rPr>
          <w:rFonts w:hint="eastAsia"/>
          <w:color w:val="auto"/>
          <w:highlight w:val="none"/>
          <w:lang w:val="en-US" w:eastAsia="zh-CN"/>
        </w:rPr>
        <w:t xml:space="preserve"> </w: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2223770</wp:posOffset>
                </wp:positionH>
                <wp:positionV relativeFrom="paragraph">
                  <wp:posOffset>775335</wp:posOffset>
                </wp:positionV>
                <wp:extent cx="958850" cy="0"/>
                <wp:effectExtent l="0" t="0" r="0" b="0"/>
                <wp:wrapNone/>
                <wp:docPr id="22" name="直接箭头连接符 2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5.1pt;margin-top:61.05pt;height:0pt;width:75.5pt;z-index:251677696;mso-width-relative:page;mso-height-relative:page;" filled="f" stroked="t" coordsize="21600,21600" o:gfxdata="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tMpZxYM&#10;vfjth+uf7z/ffv/249P1r5uPyf76hZGfxOo9lhSzsptw3KHfhMR83wST/sSJ7bPAh5PAch+ZoMNn&#10;s/l8RtKLO1dxH+cDxhfSGZaMimMMoNourpy19IouTLK+sHuJkTJT4F1ASqot6xP8dEbgQF3ZUDeQ&#10;aTwxQ9vmWHRa1ZdK6xSBod2udGA7SJ2Rv8SPcP+6lpKsAbvhXnYNPdNJqJ/bmsWDJ8ksjQpPJRhZ&#10;c6YlTVayCBDKCEqfc5NSa0sVJIkHUZO1dfUha53PqQtyjceOTW325z5H30/p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PlXkV1wAAAAkBAAAPAAAAAAAAAAEAIAAAACIAAABkcnMvZG93bnJldi54&#10;bWxQSwECFAAUAAAACACHTuJA5d6TIPsBAADtAwAADgAAAAAAAAABACAAAAAmAQAAZHJzL2Uyb0Rv&#10;Yy54bWxQSwUGAAAAAAYABgBZAQAAkwUAAAAA&#10;">
                <v:fill on="f" focussize="0,0"/>
                <v:stroke color="#000000" joinstyle="round"/>
                <v:imagedata o:title=""/>
                <o:lock v:ext="edit" aspectratio="f"/>
              </v:shape>
            </w:pict>
          </mc:Fallback>
        </mc:AlternateContent>
      </w:r>
    </w:p>
    <w:p>
      <w:pPr>
        <w:pStyle w:val="4"/>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2225675</wp:posOffset>
                </wp:positionH>
                <wp:positionV relativeFrom="paragraph">
                  <wp:posOffset>552450</wp:posOffset>
                </wp:positionV>
                <wp:extent cx="958850" cy="0"/>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5.25pt;margin-top:43.5pt;height:0pt;width:75.5pt;z-index:251676672;mso-width-relative:page;mso-height-relative:page;" filled="f" stroked="t" coordsize="21600,21600" o:gfxdata="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mKt/LWAAAACQEAAA8AAAAAAAAAAQAgAAAAIgAAAGRycy9kb3ducmV2Lnht&#10;bFBLAQIUABQAAAAIAIdO4kC8lPe8+wEAAO0DAAAOAAAAAAAAAAEAIAAAACU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第六章</w:t>
      </w:r>
    </w:p>
    <w:p>
      <w:pPr>
        <w:pStyle w:val="36"/>
        <w:rPr>
          <w:color w:val="auto"/>
          <w:highlight w:val="none"/>
        </w:rPr>
      </w:pPr>
    </w:p>
    <w:p>
      <w:pPr>
        <w:pStyle w:val="4"/>
        <w:rPr>
          <w:color w:val="auto"/>
          <w:highlight w:val="none"/>
        </w:rPr>
      </w:pPr>
      <w:bookmarkStart w:id="84" w:name="_Toc12968"/>
      <w:bookmarkStart w:id="85" w:name="_Toc19088"/>
      <w:bookmarkStart w:id="86" w:name="_Toc8183"/>
      <w:bookmarkStart w:id="87" w:name="_Toc323"/>
      <w:bookmarkStart w:id="88" w:name="_Toc22797"/>
      <w:bookmarkStart w:id="89" w:name="_Toc1375"/>
      <w:bookmarkStart w:id="90" w:name="_Toc12980"/>
      <w:bookmarkStart w:id="91" w:name="_Toc19686"/>
      <w:bookmarkStart w:id="92" w:name="_Toc13309"/>
      <w:bookmarkStart w:id="93" w:name="_Toc22501"/>
      <w:bookmarkStart w:id="94" w:name="_Toc87616386"/>
      <w:bookmarkStart w:id="95" w:name="_Toc12721"/>
      <w:bookmarkStart w:id="96" w:name="_Toc88209949"/>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pStyle w:val="27"/>
        <w:rPr>
          <w:rFonts w:ascii="仿宋_GB2312" w:eastAsia="仿宋_GB2312" w:hAnsiTheme="minorEastAsia"/>
          <w:sz w:val="28"/>
          <w:szCs w:val="28"/>
          <w:highlight w:val="none"/>
        </w:rPr>
      </w:pPr>
    </w:p>
    <w:p>
      <w:pPr>
        <w:pStyle w:val="27"/>
        <w:rPr>
          <w:rFonts w:ascii="仿宋_GB2312" w:eastAsia="仿宋_GB2312" w:hAnsiTheme="minorEastAsia"/>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ind w:firstLine="0"/>
        <w:rPr>
          <w:rFonts w:ascii="仿宋_GB2312" w:eastAsia="仿宋_GB2312"/>
          <w:sz w:val="28"/>
          <w:szCs w:val="28"/>
          <w:highlight w:val="none"/>
        </w:rPr>
      </w:pPr>
    </w:p>
    <w:p>
      <w:pPr>
        <w:spacing w:after="0" w:line="240" w:lineRule="auto"/>
        <w:jc w:val="right"/>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shadow w14:blurRad="50800" w14:dist="38100" w14:dir="2700000" w14:sx="100000" w14:sy="100000" w14:kx="0" w14:ky="0" w14:algn="tl">
            <w14:srgbClr w14:val="000000">
              <w14:alpha w14:val="60000"/>
            </w14:srgbClr>
          </w14:shadow>
          <w14:textFill>
            <w14:solidFill>
              <w14:schemeClr w14:val="tx1"/>
            </w14:solidFill>
          </w14:textFill>
        </w:rPr>
        <w:t>2022年8月版</w:t>
      </w:r>
      <w:r>
        <w:rPr>
          <w:rFonts w:hint="eastAsia" w:ascii="宋体" w:hAnsi="宋体" w:eastAsia="宋体" w:cs="宋体"/>
          <w:b/>
          <w:bCs w:val="0"/>
          <w:color w:val="000000" w:themeColor="text1"/>
          <w:sz w:val="21"/>
          <w:szCs w:val="21"/>
          <w:highlight w:val="none"/>
          <w14:shadow w14:blurRad="50800" w14:dist="38100" w14:dir="2700000" w14:sx="100000" w14:sy="100000" w14:kx="0" w14:ky="0" w14:algn="tl">
            <w14:srgbClr w14:val="000000">
              <w14:alpha w14:val="60000"/>
            </w14:srgbClr>
          </w14:shadow>
          <w14:textFill>
            <w14:solidFill>
              <w14:schemeClr w14:val="tx1"/>
            </w14:solidFill>
          </w14:textFill>
        </w:rPr>
        <w:t xml:space="preserve"> </w:t>
      </w:r>
    </w:p>
    <w:p>
      <w:pPr>
        <w:jc w:val="center"/>
        <w:rPr>
          <w:b/>
          <w:color w:val="000000" w:themeColor="text1"/>
          <w:sz w:val="52"/>
          <w:szCs w:val="84"/>
          <w:highlight w:val="none"/>
          <w14:textFill>
            <w14:solidFill>
              <w14:schemeClr w14:val="tx1"/>
            </w14:solidFill>
          </w14:textFill>
        </w:rPr>
      </w:pPr>
    </w:p>
    <w:p>
      <w:pPr>
        <w:jc w:val="center"/>
        <w:rPr>
          <w:b/>
          <w:color w:val="000000" w:themeColor="text1"/>
          <w:sz w:val="52"/>
          <w:szCs w:val="84"/>
          <w:highlight w:val="none"/>
          <w14:textFill>
            <w14:solidFill>
              <w14:schemeClr w14:val="tx1"/>
            </w14:solidFill>
          </w14:textFill>
        </w:rPr>
      </w:pPr>
    </w:p>
    <w:p>
      <w:pPr>
        <w:jc w:val="center"/>
        <w:rPr>
          <w:b/>
          <w:bCs w:val="0"/>
          <w:color w:val="000000" w:themeColor="text1"/>
          <w:sz w:val="48"/>
          <w:szCs w:val="48"/>
          <w:highlight w:val="none"/>
          <w14:textFill>
            <w14:solidFill>
              <w14:schemeClr w14:val="tx1"/>
            </w14:solidFill>
          </w14:textFill>
        </w:rPr>
      </w:pPr>
      <w:r>
        <w:rPr>
          <w:rFonts w:hint="eastAsia"/>
          <w:b/>
          <w:bCs w:val="0"/>
          <w:color w:val="000000" w:themeColor="text1"/>
          <w:sz w:val="48"/>
          <w:szCs w:val="48"/>
          <w:highlight w:val="none"/>
          <w14:textFill>
            <w14:solidFill>
              <w14:schemeClr w14:val="tx1"/>
            </w14:solidFill>
          </w14:textFill>
        </w:rPr>
        <w:t>广州市净水有限公司</w:t>
      </w:r>
    </w:p>
    <w:p>
      <w:pPr>
        <w:jc w:val="center"/>
        <w:rPr>
          <w:b/>
          <w:bCs w:val="0"/>
          <w:color w:val="000000" w:themeColor="text1"/>
          <w:sz w:val="48"/>
          <w:szCs w:val="48"/>
          <w:highlight w:val="none"/>
          <w14:textFill>
            <w14:solidFill>
              <w14:schemeClr w14:val="tx1"/>
            </w14:solidFill>
          </w14:textFill>
        </w:rPr>
      </w:pPr>
      <w:r>
        <w:rPr>
          <w:rFonts w:hint="eastAsia"/>
          <w:b/>
          <w:bCs w:val="0"/>
          <w:color w:val="000000" w:themeColor="text1"/>
          <w:sz w:val="48"/>
          <w:szCs w:val="48"/>
          <w:highlight w:val="none"/>
          <w:u w:val="single"/>
          <w:lang w:val="en-US" w:eastAsia="zh-CN"/>
          <w14:textFill>
            <w14:solidFill>
              <w14:schemeClr w14:val="tx1"/>
            </w14:solidFill>
          </w14:textFill>
        </w:rPr>
        <w:t>厂区设备</w:t>
      </w:r>
      <w:r>
        <w:rPr>
          <w:rFonts w:hint="eastAsia"/>
          <w:b/>
          <w:bCs w:val="0"/>
          <w:color w:val="000000" w:themeColor="text1"/>
          <w:sz w:val="48"/>
          <w:szCs w:val="48"/>
          <w:highlight w:val="none"/>
          <w:u w:val="single"/>
          <w:lang w:eastAsia="zh-CN"/>
          <w14:textFill>
            <w14:solidFill>
              <w14:schemeClr w14:val="tx1"/>
            </w14:solidFill>
          </w14:textFill>
        </w:rPr>
        <w:t>备件</w:t>
      </w:r>
      <w:r>
        <w:rPr>
          <w:rFonts w:hint="eastAsia"/>
          <w:b/>
          <w:bCs w:val="0"/>
          <w:color w:val="000000" w:themeColor="text1"/>
          <w:sz w:val="48"/>
          <w:szCs w:val="48"/>
          <w:highlight w:val="none"/>
          <w14:textFill>
            <w14:solidFill>
              <w14:schemeClr w14:val="tx1"/>
            </w14:solidFill>
          </w14:textFill>
        </w:rPr>
        <w:t>采购合同</w:t>
      </w:r>
    </w:p>
    <w:p>
      <w:pPr>
        <w:widowControl w:val="0"/>
        <w:spacing w:after="0" w:line="360" w:lineRule="auto"/>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（示范文本）</w:t>
      </w:r>
    </w:p>
    <w:p>
      <w:pPr>
        <w:jc w:val="center"/>
        <w:rPr>
          <w:b/>
          <w:bCs w:val="0"/>
          <w:color w:val="000000" w:themeColor="text1"/>
          <w:sz w:val="28"/>
          <w:szCs w:val="28"/>
          <w:highlight w:val="none"/>
          <w14:textFill>
            <w14:solidFill>
              <w14:schemeClr w14:val="tx1"/>
            </w14:solidFill>
          </w14:textFill>
        </w:rPr>
      </w:pPr>
    </w:p>
    <w:p>
      <w:pPr>
        <w:jc w:val="center"/>
        <w:rPr>
          <w:b/>
          <w:bCs w:val="0"/>
          <w:color w:val="000000" w:themeColor="text1"/>
          <w:sz w:val="30"/>
          <w:highlight w:val="none"/>
          <w14:textFill>
            <w14:solidFill>
              <w14:schemeClr w14:val="tx1"/>
            </w14:solidFill>
          </w14:textFill>
        </w:rPr>
      </w:pPr>
    </w:p>
    <w:p>
      <w:pPr>
        <w:rPr>
          <w:rFonts w:hint="eastAsia"/>
          <w:b/>
          <w:bCs w:val="0"/>
          <w:color w:val="000000" w:themeColor="text1"/>
          <w:sz w:val="30"/>
          <w:highlight w:val="none"/>
          <w14:textFill>
            <w14:solidFill>
              <w14:schemeClr w14:val="tx1"/>
            </w14:solidFill>
          </w14:textFill>
        </w:rPr>
      </w:pPr>
      <w:r>
        <w:rPr>
          <w:rFonts w:hint="eastAsia"/>
          <w:b/>
          <w:bCs w:val="0"/>
          <w:color w:val="000000" w:themeColor="text1"/>
          <w:sz w:val="30"/>
          <w:highlight w:val="none"/>
          <w14:textFill>
            <w14:solidFill>
              <w14:schemeClr w14:val="tx1"/>
            </w14:solidFill>
          </w14:textFill>
        </w:rPr>
        <w:t>项目名称：</w:t>
      </w:r>
      <w:r>
        <w:rPr>
          <w:rFonts w:hint="eastAsia"/>
          <w:b/>
          <w:bCs w:val="0"/>
          <w:color w:val="000000" w:themeColor="text1"/>
          <w:sz w:val="30"/>
          <w:highlight w:val="none"/>
          <w:lang w:val="en-US" w:eastAsia="zh-CN"/>
          <w14:textFill>
            <w14:solidFill>
              <w14:schemeClr w14:val="tx1"/>
            </w14:solidFill>
          </w14:textFill>
        </w:rPr>
        <w:t>广州市净水有限公司</w:t>
      </w:r>
      <w:r>
        <w:rPr>
          <w:rFonts w:hint="eastAsia"/>
          <w:b/>
          <w:bCs w:val="0"/>
          <w:color w:val="000000" w:themeColor="text1"/>
          <w:sz w:val="30"/>
          <w:highlight w:val="none"/>
          <w14:textFill>
            <w14:solidFill>
              <w14:schemeClr w14:val="tx1"/>
            </w14:solidFill>
          </w14:textFill>
        </w:rPr>
        <w:t>石井净分</w:t>
      </w:r>
      <w:r>
        <w:rPr>
          <w:rFonts w:hint="eastAsia"/>
          <w:b/>
          <w:bCs w:val="0"/>
          <w:color w:val="000000" w:themeColor="text1"/>
          <w:sz w:val="30"/>
          <w:highlight w:val="none"/>
          <w:lang w:val="en-US" w:eastAsia="zh-CN"/>
          <w14:textFill>
            <w14:solidFill>
              <w14:schemeClr w14:val="tx1"/>
            </w14:solidFill>
          </w14:textFill>
        </w:rPr>
        <w:t>公司</w:t>
      </w:r>
      <w:r>
        <w:rPr>
          <w:rFonts w:hint="eastAsia"/>
          <w:b/>
          <w:bCs w:val="0"/>
          <w:color w:val="000000" w:themeColor="text1"/>
          <w:sz w:val="30"/>
          <w:highlight w:val="none"/>
          <w14:textFill>
            <w14:solidFill>
              <w14:schemeClr w14:val="tx1"/>
            </w14:solidFill>
          </w14:textFill>
        </w:rPr>
        <w:t>2022年厂区</w:t>
      </w:r>
      <w:r>
        <w:rPr>
          <w:rFonts w:hint="eastAsia"/>
          <w:b/>
          <w:bCs w:val="0"/>
          <w:color w:val="000000" w:themeColor="text1"/>
          <w:sz w:val="30"/>
          <w:highlight w:val="none"/>
          <w:lang w:val="en-US" w:eastAsia="zh-CN"/>
          <w14:textFill>
            <w14:solidFill>
              <w14:schemeClr w14:val="tx1"/>
            </w14:solidFill>
          </w14:textFill>
        </w:rPr>
        <w:t>鼓风机</w:t>
      </w:r>
      <w:r>
        <w:rPr>
          <w:rFonts w:hint="eastAsia"/>
          <w:b/>
          <w:bCs w:val="0"/>
          <w:color w:val="000000" w:themeColor="text1"/>
          <w:sz w:val="30"/>
          <w:highlight w:val="none"/>
          <w14:textFill>
            <w14:solidFill>
              <w14:schemeClr w14:val="tx1"/>
            </w14:solidFill>
          </w14:textFill>
        </w:rPr>
        <w:t>备件采购项目</w:t>
      </w:r>
    </w:p>
    <w:p>
      <w:pPr>
        <w:rPr>
          <w:rFonts w:hint="eastAsia"/>
          <w:b/>
          <w:bCs w:val="0"/>
          <w:color w:val="000000" w:themeColor="text1"/>
          <w:sz w:val="30"/>
          <w:highlight w:val="none"/>
          <w:lang w:val="en-US" w:eastAsia="zh-CN"/>
          <w14:textFill>
            <w14:solidFill>
              <w14:schemeClr w14:val="tx1"/>
            </w14:solidFill>
          </w14:textFill>
        </w:rPr>
      </w:pPr>
    </w:p>
    <w:p>
      <w:pPr>
        <w:rPr>
          <w:rFonts w:hint="eastAsia"/>
          <w:b/>
          <w:bCs w:val="0"/>
          <w:color w:val="000000" w:themeColor="text1"/>
          <w:sz w:val="30"/>
          <w:highlight w:val="none"/>
          <w:lang w:val="en-US" w:eastAsia="zh-CN"/>
          <w14:textFill>
            <w14:solidFill>
              <w14:schemeClr w14:val="tx1"/>
            </w14:solidFill>
          </w14:textFill>
        </w:rPr>
      </w:pPr>
      <w:r>
        <w:rPr>
          <w:rFonts w:hint="eastAsia"/>
          <w:b/>
          <w:bCs w:val="0"/>
          <w:color w:val="000000" w:themeColor="text1"/>
          <w:sz w:val="30"/>
          <w:highlight w:val="none"/>
          <w:lang w:val="en-US" w:eastAsia="zh-CN"/>
          <w14:textFill>
            <w14:solidFill>
              <w14:schemeClr w14:val="tx1"/>
            </w14:solidFill>
          </w14:textFill>
        </w:rPr>
        <w:t>项目编号：</w:t>
      </w:r>
    </w:p>
    <w:p>
      <w:pPr>
        <w:rPr>
          <w:rFonts w:hint="eastAsia"/>
          <w:b/>
          <w:bCs w:val="0"/>
          <w:color w:val="000000" w:themeColor="text1"/>
          <w:sz w:val="30"/>
          <w:highlight w:val="none"/>
          <w:lang w:val="en-US" w:eastAsia="zh-CN"/>
          <w14:textFill>
            <w14:solidFill>
              <w14:schemeClr w14:val="tx1"/>
            </w14:solidFill>
          </w14:textFill>
        </w:rPr>
      </w:pPr>
    </w:p>
    <w:p>
      <w:pPr>
        <w:rPr>
          <w:b/>
          <w:bCs w:val="0"/>
          <w:color w:val="000000" w:themeColor="text1"/>
          <w:sz w:val="30"/>
          <w:szCs w:val="30"/>
          <w:highlight w:val="none"/>
          <w14:textFill>
            <w14:solidFill>
              <w14:schemeClr w14:val="tx1"/>
            </w14:solidFill>
          </w14:textFill>
        </w:rPr>
      </w:pPr>
      <w:r>
        <w:rPr>
          <w:rFonts w:hint="eastAsia"/>
          <w:b/>
          <w:bCs w:val="0"/>
          <w:color w:val="000000" w:themeColor="text1"/>
          <w:sz w:val="30"/>
          <w:highlight w:val="none"/>
          <w14:textFill>
            <w14:solidFill>
              <w14:schemeClr w14:val="tx1"/>
            </w14:solidFill>
          </w14:textFill>
        </w:rPr>
        <w:t>合同编号：</w:t>
      </w:r>
      <w:r>
        <w:rPr>
          <w:rFonts w:hint="eastAsia" w:ascii="宋体" w:hAnsi="宋体" w:cs="宋体"/>
          <w:b/>
          <w:bCs w:val="0"/>
          <w:color w:val="000000" w:themeColor="text1"/>
          <w:sz w:val="30"/>
          <w:szCs w:val="30"/>
          <w:highlight w:val="none"/>
          <w14:textFill>
            <w14:solidFill>
              <w14:schemeClr w14:val="tx1"/>
            </w14:solidFill>
          </w14:textFill>
        </w:rPr>
        <w:t>穗净水合</w:t>
      </w:r>
      <w:r>
        <w:rPr>
          <w:rFonts w:ascii="宋体" w:hAnsi="宋体" w:cs="宋体"/>
          <w:b/>
          <w:bCs w:val="0"/>
          <w:color w:val="000000" w:themeColor="text1"/>
          <w:sz w:val="30"/>
          <w:szCs w:val="30"/>
          <w:highlight w:val="none"/>
          <w14:textFill>
            <w14:solidFill>
              <w14:schemeClr w14:val="tx1"/>
            </w14:solidFill>
          </w14:textFill>
        </w:rPr>
        <w:t xml:space="preserve">[     ]    </w:t>
      </w:r>
      <w:r>
        <w:rPr>
          <w:rFonts w:hint="eastAsia" w:ascii="宋体" w:hAnsi="宋体" w:cs="宋体"/>
          <w:b/>
          <w:bCs w:val="0"/>
          <w:color w:val="000000" w:themeColor="text1"/>
          <w:sz w:val="30"/>
          <w:szCs w:val="30"/>
          <w:highlight w:val="none"/>
          <w14:textFill>
            <w14:solidFill>
              <w14:schemeClr w14:val="tx1"/>
            </w14:solidFill>
          </w14:textFill>
        </w:rPr>
        <w:t>号</w:t>
      </w:r>
    </w:p>
    <w:p>
      <w:pPr>
        <w:rPr>
          <w:b/>
          <w:bCs w:val="0"/>
          <w:color w:val="000000" w:themeColor="text1"/>
          <w:sz w:val="30"/>
          <w:szCs w:val="30"/>
          <w:highlight w:val="none"/>
          <w14:textFill>
            <w14:solidFill>
              <w14:schemeClr w14:val="tx1"/>
            </w14:solidFill>
          </w14:textFill>
        </w:rPr>
      </w:pPr>
    </w:p>
    <w:p>
      <w:pPr>
        <w:rPr>
          <w:b/>
          <w:bCs w:val="0"/>
          <w:color w:val="000000" w:themeColor="text1"/>
          <w:sz w:val="30"/>
          <w:highlight w:val="none"/>
          <w:u w:val="single"/>
          <w14:textFill>
            <w14:solidFill>
              <w14:schemeClr w14:val="tx1"/>
            </w14:solidFill>
          </w14:textFill>
        </w:rPr>
      </w:pPr>
      <w:r>
        <w:rPr>
          <w:rFonts w:hint="eastAsia"/>
          <w:b/>
          <w:bCs w:val="0"/>
          <w:color w:val="000000" w:themeColor="text1"/>
          <w:sz w:val="30"/>
          <w:highlight w:val="none"/>
          <w14:textFill>
            <w14:solidFill>
              <w14:schemeClr w14:val="tx1"/>
            </w14:solidFill>
          </w14:textFill>
        </w:rPr>
        <w:t>甲方（买方）：</w:t>
      </w:r>
      <w:r>
        <w:rPr>
          <w:rFonts w:hint="eastAsia"/>
          <w:b/>
          <w:bCs w:val="0"/>
          <w:color w:val="000000" w:themeColor="text1"/>
          <w:sz w:val="30"/>
          <w:highlight w:val="none"/>
          <w:u w:val="none"/>
          <w14:textFill>
            <w14:solidFill>
              <w14:schemeClr w14:val="tx1"/>
            </w14:solidFill>
          </w14:textFill>
        </w:rPr>
        <w:t>广州市净水有限公司</w:t>
      </w:r>
    </w:p>
    <w:p>
      <w:pPr>
        <w:rPr>
          <w:rFonts w:hint="eastAsia"/>
          <w:b/>
          <w:bCs w:val="0"/>
          <w:color w:val="000000" w:themeColor="text1"/>
          <w:sz w:val="30"/>
          <w:highlight w:val="none"/>
          <w14:textFill>
            <w14:solidFill>
              <w14:schemeClr w14:val="tx1"/>
            </w14:solidFill>
          </w14:textFill>
        </w:rPr>
      </w:pPr>
    </w:p>
    <w:p>
      <w:pPr>
        <w:rPr>
          <w:b/>
          <w:bCs w:val="0"/>
          <w:color w:val="000000" w:themeColor="text1"/>
          <w:sz w:val="30"/>
          <w:highlight w:val="none"/>
          <w:u w:val="single"/>
          <w14:textFill>
            <w14:solidFill>
              <w14:schemeClr w14:val="tx1"/>
            </w14:solidFill>
          </w14:textFill>
        </w:rPr>
      </w:pPr>
      <w:r>
        <w:rPr>
          <w:rFonts w:hint="eastAsia"/>
          <w:b/>
          <w:bCs w:val="0"/>
          <w:color w:val="000000" w:themeColor="text1"/>
          <w:sz w:val="30"/>
          <w:highlight w:val="none"/>
          <w14:textFill>
            <w14:solidFill>
              <w14:schemeClr w14:val="tx1"/>
            </w14:solidFill>
          </w14:textFill>
        </w:rPr>
        <w:t>乙方（卖方）：</w:t>
      </w:r>
      <w:r>
        <w:rPr>
          <w:b/>
          <w:bCs w:val="0"/>
          <w:color w:val="000000" w:themeColor="text1"/>
          <w:sz w:val="30"/>
          <w:highlight w:val="none"/>
          <w:u w:val="none"/>
          <w14:textFill>
            <w14:solidFill>
              <w14:schemeClr w14:val="tx1"/>
            </w14:solidFill>
          </w14:textFill>
        </w:rPr>
        <w:t xml:space="preserve">                  </w:t>
      </w:r>
    </w:p>
    <w:p>
      <w:pPr>
        <w:pStyle w:val="2"/>
        <w:rPr>
          <w:rFonts w:hint="eastAsia"/>
          <w:b/>
          <w:bCs w:val="0"/>
          <w:color w:val="000000" w:themeColor="text1"/>
          <w:highlight w:val="none"/>
          <w14:textFill>
            <w14:solidFill>
              <w14:schemeClr w14:val="tx1"/>
            </w14:solidFill>
          </w14:textFill>
        </w:rPr>
      </w:pPr>
    </w:p>
    <w:p>
      <w:pPr>
        <w:spacing w:line="500" w:lineRule="exact"/>
        <w:jc w:val="both"/>
        <w:rPr>
          <w:rFonts w:hint="eastAsia"/>
          <w:b/>
          <w:bCs w:val="0"/>
          <w:color w:val="000000" w:themeColor="text1"/>
          <w:sz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签订日期：       年   月   日   </w:t>
      </w:r>
    </w:p>
    <w:p>
      <w:pPr>
        <w:spacing w:line="500" w:lineRule="exact"/>
        <w:jc w:val="left"/>
        <w:rPr>
          <w:rFonts w:hint="eastAsia"/>
          <w:b/>
          <w:bCs w:val="0"/>
          <w:color w:val="000000" w:themeColor="text1"/>
          <w:sz w:val="30"/>
          <w:highlight w:val="none"/>
          <w14:textFill>
            <w14:solidFill>
              <w14:schemeClr w14:val="tx1"/>
            </w14:solidFill>
          </w14:textFill>
        </w:rPr>
      </w:pPr>
    </w:p>
    <w:p>
      <w:pPr>
        <w:spacing w:line="500" w:lineRule="exact"/>
        <w:jc w:val="left"/>
        <w:rPr>
          <w:rFonts w:ascii="宋体" w:hAnsi="宋体" w:eastAsia="宋体" w:cs="宋体"/>
          <w:b/>
          <w:bCs w:val="0"/>
          <w:color w:val="000000" w:themeColor="text1"/>
          <w:sz w:val="36"/>
          <w:szCs w:val="36"/>
          <w:highlight w:val="none"/>
          <w:lang w:val="zh-CN" w:eastAsia="zh-CN"/>
          <w14:textFill>
            <w14:solidFill>
              <w14:schemeClr w14:val="tx1"/>
            </w14:solidFill>
          </w14:textFill>
        </w:rPr>
      </w:pPr>
      <w:r>
        <w:rPr>
          <w:rFonts w:hint="eastAsia"/>
          <w:b/>
          <w:bCs w:val="0"/>
          <w:color w:val="000000" w:themeColor="text1"/>
          <w:sz w:val="30"/>
          <w:highlight w:val="none"/>
          <w14:textFill>
            <w14:solidFill>
              <w14:schemeClr w14:val="tx1"/>
            </w14:solidFill>
          </w14:textFill>
        </w:rPr>
        <w:t>签约地点：广州市</w:t>
      </w:r>
    </w:p>
    <w:p>
      <w:pPr>
        <w:spacing w:line="360" w:lineRule="auto"/>
        <w:ind w:firstLine="0" w:firstLineChars="0"/>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b/>
          <w:bCs w:val="0"/>
          <w:color w:val="000000" w:themeColor="text1"/>
          <w:highlight w:val="none"/>
          <w:lang w:val="en-US" w:eastAsia="zh-CN"/>
          <w14:textFill>
            <w14:solidFill>
              <w14:schemeClr w14:val="tx1"/>
            </w14:solidFill>
          </w14:textFill>
        </w:rPr>
        <w:t xml:space="preserve">    </w:t>
      </w:r>
    </w:p>
    <w:p>
      <w:pPr>
        <w:jc w:val="center"/>
        <w:rPr>
          <w:rFonts w:hint="eastAsia" w:ascii="宋体" w:hAnsi="宋体" w:cs="宋体"/>
          <w:b/>
          <w:bCs/>
          <w:color w:val="000000" w:themeColor="text1"/>
          <w:sz w:val="24"/>
          <w:szCs w:val="24"/>
          <w:highlight w:val="none"/>
          <w:lang w:val="zh-CN"/>
          <w14:textFill>
            <w14:solidFill>
              <w14:schemeClr w14:val="tx1"/>
            </w14:solidFill>
          </w14:textFill>
        </w:rPr>
      </w:pPr>
    </w:p>
    <w:p>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说</w:t>
      </w:r>
      <w:r>
        <w:rPr>
          <w:rFonts w:hint="eastAsia"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lang w:val="zh-CN"/>
          <w14:textFill>
            <w14:solidFill>
              <w14:schemeClr w14:val="tx1"/>
            </w14:solidFill>
          </w14:textFill>
        </w:rPr>
        <w:t>明</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为指导广州市净水有限公司合同承办部门（单位）的签约行为，维护公司的合法权益，依据《中华人民共和国</w:t>
      </w:r>
      <w:r>
        <w:rPr>
          <w:rFonts w:hint="eastAsia" w:ascii="宋体" w:hAnsi="宋体" w:cs="宋体"/>
          <w:color w:val="000000" w:themeColor="text1"/>
          <w:szCs w:val="21"/>
          <w:highlight w:val="none"/>
          <w:lang w:val="en-US" w:eastAsia="zh-CN"/>
          <w14:textFill>
            <w14:solidFill>
              <w14:schemeClr w14:val="tx1"/>
            </w14:solidFill>
          </w14:textFill>
        </w:rPr>
        <w:t>民法典</w:t>
      </w:r>
      <w:r>
        <w:rPr>
          <w:rFonts w:hint="eastAsia" w:ascii="宋体" w:hAnsi="宋体" w:cs="宋体"/>
          <w:color w:val="000000" w:themeColor="text1"/>
          <w:szCs w:val="21"/>
          <w:highlight w:val="none"/>
          <w14:textFill>
            <w14:solidFill>
              <w14:schemeClr w14:val="tx1"/>
            </w14:solidFill>
          </w14:textFill>
        </w:rPr>
        <w:t>》以及相关法律法规，制定《广州市净水有限公司</w:t>
      </w:r>
      <w:r>
        <w:rPr>
          <w:rFonts w:hint="eastAsia" w:ascii="宋体" w:hAnsi="宋体" w:cs="宋体"/>
          <w:color w:val="000000" w:themeColor="text1"/>
          <w:szCs w:val="21"/>
          <w:highlight w:val="none"/>
          <w:lang w:val="en-US" w:eastAsia="zh-CN"/>
          <w14:textFill>
            <w14:solidFill>
              <w14:schemeClr w14:val="tx1"/>
            </w14:solidFill>
          </w14:textFill>
        </w:rPr>
        <w:t>厂区设备备件</w:t>
      </w:r>
      <w:r>
        <w:rPr>
          <w:rFonts w:hint="eastAsia" w:ascii="宋体" w:hAnsi="宋体" w:cs="宋体"/>
          <w:color w:val="000000" w:themeColor="text1"/>
          <w:szCs w:val="21"/>
          <w:highlight w:val="none"/>
          <w14:textFill>
            <w14:solidFill>
              <w14:schemeClr w14:val="tx1"/>
            </w14:solidFill>
          </w14:textFill>
        </w:rPr>
        <w:t>采购合同（示范文本）》（以下简称《</w:t>
      </w:r>
      <w:r>
        <w:rPr>
          <w:rFonts w:hint="eastAsia" w:ascii="宋体" w:hAnsi="宋体" w:cs="宋体"/>
          <w:color w:val="000000" w:themeColor="text1"/>
          <w:szCs w:val="21"/>
          <w:highlight w:val="none"/>
          <w:lang w:val="en-US" w:eastAsia="zh-CN"/>
          <w14:textFill>
            <w14:solidFill>
              <w14:schemeClr w14:val="tx1"/>
            </w14:solidFill>
          </w14:textFill>
        </w:rPr>
        <w:t>备件采购</w:t>
      </w:r>
      <w:r>
        <w:rPr>
          <w:rFonts w:hint="eastAsia" w:ascii="宋体" w:hAnsi="宋体" w:cs="宋体"/>
          <w:color w:val="000000" w:themeColor="text1"/>
          <w:szCs w:val="21"/>
          <w:highlight w:val="none"/>
          <w14:textFill>
            <w14:solidFill>
              <w14:schemeClr w14:val="tx1"/>
            </w14:solidFill>
          </w14:textFill>
        </w:rPr>
        <w:t>合同》），现就有关问题说明如下：</w:t>
      </w:r>
    </w:p>
    <w:p>
      <w:pPr>
        <w:spacing w:after="0"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一、适用范围</w:t>
      </w:r>
    </w:p>
    <w:p>
      <w:pPr>
        <w:spacing w:after="0"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备件</w:t>
      </w:r>
      <w:r>
        <w:rPr>
          <w:rFonts w:hint="eastAsia" w:ascii="宋体" w:hAnsi="宋体" w:cs="宋体"/>
          <w:color w:val="000000" w:themeColor="text1"/>
          <w:szCs w:val="21"/>
          <w:highlight w:val="none"/>
          <w14:textFill>
            <w14:solidFill>
              <w14:schemeClr w14:val="tx1"/>
            </w14:solidFill>
          </w14:textFill>
        </w:rPr>
        <w:t>合同》适用于广州市净水有限公司</w:t>
      </w:r>
      <w:r>
        <w:rPr>
          <w:rFonts w:hint="eastAsia" w:ascii="宋体" w:hAnsi="宋体" w:cs="宋体"/>
          <w:b/>
          <w:bCs/>
          <w:color w:val="000000" w:themeColor="text1"/>
          <w:szCs w:val="21"/>
          <w:highlight w:val="none"/>
          <w:lang w:eastAsia="zh-CN"/>
          <w14:textFill>
            <w14:solidFill>
              <w14:schemeClr w14:val="tx1"/>
            </w14:solidFill>
          </w14:textFill>
        </w:rPr>
        <w:t>（营运期间）厂区</w:t>
      </w:r>
      <w:r>
        <w:rPr>
          <w:rFonts w:hint="eastAsia" w:ascii="宋体" w:hAnsi="宋体" w:cs="宋体"/>
          <w:b/>
          <w:bCs/>
          <w:color w:val="000000" w:themeColor="text1"/>
          <w:szCs w:val="21"/>
          <w:highlight w:val="none"/>
          <w:lang w:val="en-US" w:eastAsia="zh-CN"/>
          <w14:textFill>
            <w14:solidFill>
              <w14:schemeClr w14:val="tx1"/>
            </w14:solidFill>
          </w14:textFill>
        </w:rPr>
        <w:t>设备易耗备件</w:t>
      </w:r>
      <w:r>
        <w:rPr>
          <w:rFonts w:hint="eastAsia" w:ascii="宋体" w:hAnsi="宋体" w:cs="宋体"/>
          <w:b/>
          <w:bCs/>
          <w:color w:val="000000" w:themeColor="text1"/>
          <w:szCs w:val="21"/>
          <w:highlight w:val="none"/>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（已另行印发专项合同示范文本的除外）。</w:t>
      </w:r>
    </w:p>
    <w:p>
      <w:pPr>
        <w:spacing w:after="0"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二、组成及使用说明</w:t>
      </w:r>
    </w:p>
    <w:p>
      <w:pPr>
        <w:spacing w:after="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w:t>
      </w:r>
      <w:r>
        <w:rPr>
          <w:rFonts w:hint="eastAsia" w:ascii="宋体" w:hAnsi="宋体" w:cs="宋体"/>
          <w:color w:val="000000" w:themeColor="text1"/>
          <w:szCs w:val="21"/>
          <w:highlight w:val="none"/>
          <w:lang w:val="en-US" w:eastAsia="zh-CN"/>
          <w14:textFill>
            <w14:solidFill>
              <w14:schemeClr w14:val="tx1"/>
            </w14:solidFill>
          </w14:textFill>
        </w:rPr>
        <w:t>备品备件</w:t>
      </w:r>
      <w:r>
        <w:rPr>
          <w:rFonts w:hint="eastAsia" w:ascii="宋体" w:hAnsi="宋体" w:cs="宋体"/>
          <w:color w:val="000000" w:themeColor="text1"/>
          <w:szCs w:val="21"/>
          <w:highlight w:val="none"/>
          <w14:textFill>
            <w14:solidFill>
              <w14:schemeClr w14:val="tx1"/>
            </w14:solidFill>
          </w14:textFill>
        </w:rPr>
        <w:t>合同》由合同条款、附件两部分组成。</w:t>
      </w:r>
    </w:p>
    <w:p>
      <w:pPr>
        <w:spacing w:after="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（二）文本中以“</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”标示及表格（已填写具体内容的仅供参考），由合同承办部门（单位）根据项目具体特点和实际情况进行细化、完善、补充、修改或另行约定，但不得与公司制度相违背。如无需填写的，则填写“无”或划“</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pPr>
        <w:spacing w:after="0"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（三）文本开头带“□”的条款为选择性条款，由合同承办部门（单位）根据项目具体特点和实际情况在相应“□”内打“√”。</w:t>
      </w:r>
    </w:p>
    <w:p>
      <w:pPr>
        <w:rPr>
          <w:color w:val="000000" w:themeColor="text1"/>
          <w:highlight w:val="none"/>
          <w14:textFill>
            <w14:solidFill>
              <w14:schemeClr w14:val="tx1"/>
            </w14:solidFill>
          </w14:textFill>
        </w:rPr>
        <w:sectPr>
          <w:footerReference r:id="rId6" w:type="default"/>
          <w:pgSz w:w="11907" w:h="16840"/>
          <w:pgMar w:top="1440" w:right="1746" w:bottom="1440" w:left="1746" w:header="851" w:footer="992" w:gutter="0"/>
          <w:pgNumType w:start="1"/>
          <w:cols w:space="0" w:num="1"/>
          <w:docGrid w:type="linesAndChars" w:linePitch="381" w:charSpace="0"/>
        </w:sectPr>
      </w:pP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根据《中华人民共和国</w:t>
      </w:r>
      <w:r>
        <w:rPr>
          <w:rFonts w:hint="eastAsia" w:ascii="宋体" w:hAnsi="宋体" w:eastAsia="宋体" w:cs="宋体"/>
          <w:color w:val="000000" w:themeColor="text1"/>
          <w:sz w:val="28"/>
          <w:szCs w:val="28"/>
          <w:highlight w:val="none"/>
          <w:lang w:val="en-US" w:eastAsia="zh-CN"/>
          <w14:textFill>
            <w14:solidFill>
              <w14:schemeClr w14:val="tx1"/>
            </w14:solidFill>
          </w14:textFill>
        </w:rPr>
        <w:t>民法典</w:t>
      </w:r>
      <w:r>
        <w:rPr>
          <w:rFonts w:hint="eastAsia" w:ascii="宋体" w:hAnsi="宋体" w:eastAsia="宋体" w:cs="宋体"/>
          <w:color w:val="000000" w:themeColor="text1"/>
          <w:sz w:val="28"/>
          <w:szCs w:val="28"/>
          <w:highlight w:val="none"/>
          <w14:textFill>
            <w14:solidFill>
              <w14:schemeClr w14:val="tx1"/>
            </w14:solidFill>
          </w14:textFill>
        </w:rPr>
        <w:t>》及其他有关法律、行政法规，</w:t>
      </w:r>
      <w:r>
        <w:rPr>
          <w:rFonts w:hint="eastAsia" w:ascii="宋体" w:hAnsi="宋体" w:eastAsia="宋体" w:cs="宋体"/>
          <w:color w:val="000000" w:themeColor="text1"/>
          <w:sz w:val="28"/>
          <w:szCs w:val="28"/>
          <w:highlight w:val="none"/>
          <w:u w:val="single"/>
          <w14:textFill>
            <w14:solidFill>
              <w14:schemeClr w14:val="tx1"/>
            </w14:solidFill>
          </w14:textFill>
        </w:rPr>
        <w:t>广州市净水有限公司</w:t>
      </w:r>
      <w:r>
        <w:rPr>
          <w:rFonts w:hint="eastAsia" w:ascii="宋体" w:hAnsi="宋体" w:eastAsia="宋体" w:cs="宋体"/>
          <w:color w:val="000000" w:themeColor="text1"/>
          <w:sz w:val="28"/>
          <w:szCs w:val="28"/>
          <w:highlight w:val="none"/>
          <w14:textFill>
            <w14:solidFill>
              <w14:schemeClr w14:val="tx1"/>
            </w14:solidFill>
          </w14:textFill>
        </w:rPr>
        <w:t xml:space="preserve"> （以下简称“甲方”）与</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（以下简称“乙方”）就</w:t>
      </w:r>
      <w:r>
        <w:rPr>
          <w:rFonts w:hint="eastAsia" w:ascii="宋体" w:hAnsi="宋体" w:eastAsia="宋体" w:cs="宋体"/>
          <w:color w:val="000000" w:themeColor="text1"/>
          <w:sz w:val="28"/>
          <w:szCs w:val="28"/>
          <w:highlight w:val="none"/>
          <w:u w:val="single"/>
          <w14:textFill>
            <w14:solidFill>
              <w14:schemeClr w14:val="tx1"/>
            </w14:solidFill>
          </w14:textFill>
        </w:rPr>
        <w:t xml:space="preserve"> 石井净分公司2022年厂区鼓风机备件</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采购</w:t>
      </w:r>
      <w:r>
        <w:rPr>
          <w:rFonts w:hint="eastAsia" w:ascii="宋体" w:hAnsi="宋体" w:eastAsia="宋体" w:cs="宋体"/>
          <w:color w:val="000000" w:themeColor="text1"/>
          <w:sz w:val="28"/>
          <w:szCs w:val="28"/>
          <w:highlight w:val="none"/>
          <w14:textFill>
            <w14:solidFill>
              <w14:schemeClr w14:val="tx1"/>
            </w14:solidFill>
          </w14:textFill>
        </w:rPr>
        <w:t>和相应技术服务事宜，遵循平等、自愿、公平和诚实信用的原则，双方协商一致，订立本合同。</w:t>
      </w:r>
    </w:p>
    <w:p>
      <w:pPr>
        <w:keepNext w:val="0"/>
        <w:keepLines w:val="0"/>
        <w:pageBreakBefore w:val="0"/>
        <w:kinsoku/>
        <w:wordWrap/>
        <w:overflowPunct/>
        <w:topLinePunct w:val="0"/>
        <w:bidi w:val="0"/>
        <w:snapToGrid/>
        <w:spacing w:line="520" w:lineRule="exact"/>
        <w:ind w:firstLine="54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 xml:space="preserve">⑴ </w:t>
      </w:r>
      <w:r>
        <w:rPr>
          <w:rFonts w:hint="eastAsia" w:ascii="宋体" w:hAnsi="宋体" w:eastAsia="宋体" w:cs="宋体"/>
          <w:color w:val="000000" w:themeColor="text1"/>
          <w:sz w:val="28"/>
          <w:szCs w:val="28"/>
          <w:highlight w:val="none"/>
          <w14:textFill>
            <w14:solidFill>
              <w14:schemeClr w14:val="tx1"/>
            </w14:solidFill>
          </w14:textFill>
        </w:rPr>
        <w:t>在本合同实施过程双方签署的补充与修正文件</w:t>
      </w:r>
      <w:r>
        <w:rPr>
          <w:rFonts w:hint="eastAsia" w:ascii="宋体" w:hAnsi="宋体" w:eastAsia="宋体" w:cs="宋体"/>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⑵ 本合同书</w:t>
      </w:r>
      <w:r>
        <w:rPr>
          <w:rFonts w:hint="eastAsia" w:ascii="宋体" w:hAnsi="宋体" w:cs="宋体"/>
          <w:bCs/>
          <w:color w:val="000000" w:themeColor="text1"/>
          <w:sz w:val="28"/>
          <w:szCs w:val="28"/>
          <w:highlight w:val="none"/>
          <w:lang w:val="en-US" w:eastAsia="zh-CN"/>
          <w14:textFill>
            <w14:solidFill>
              <w14:schemeClr w14:val="tx1"/>
            </w14:solidFill>
          </w14:textFill>
        </w:rPr>
        <w:t>及附件</w:t>
      </w:r>
      <w:r>
        <w:rPr>
          <w:rFonts w:hint="eastAsia" w:ascii="宋体" w:hAnsi="宋体" w:eastAsia="宋体" w:cs="宋体"/>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⑶ 中标通知书/发包通知书/</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成交通知书</w:t>
      </w:r>
      <w:r>
        <w:rPr>
          <w:rFonts w:hint="eastAsia" w:ascii="宋体" w:hAnsi="宋体" w:eastAsia="宋体" w:cs="宋体"/>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⑷ 招标文件/询价文件；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⑸ 投标文件/响应文件；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⑹ 标准、规范及有关技术性文件；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⑺ 图纸；</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⑻ 工程量清单/</w:t>
      </w:r>
      <w:r>
        <w:rPr>
          <w:rFonts w:hint="eastAsia" w:ascii="宋体" w:hAnsi="宋体" w:eastAsia="宋体" w:cs="宋体"/>
          <w:color w:val="000000" w:themeColor="text1"/>
          <w:sz w:val="28"/>
          <w:szCs w:val="28"/>
          <w:highlight w:val="none"/>
          <w14:textFill>
            <w14:solidFill>
              <w14:schemeClr w14:val="tx1"/>
            </w14:solidFill>
          </w14:textFill>
        </w:rPr>
        <w:t>工程报价单或预算书；</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b/>
          <w:bCs/>
          <w:color w:val="000000" w:themeColor="text1"/>
          <w:sz w:val="28"/>
          <w:szCs w:val="28"/>
          <w:highlight w:val="none"/>
          <w14:textFill>
            <w14:solidFill>
              <w14:schemeClr w14:val="tx1"/>
            </w14:solidFill>
          </w14:textFill>
        </w:rPr>
        <w:t xml:space="preserve"> 第二条 </w:t>
      </w:r>
      <w:r>
        <w:rPr>
          <w:rFonts w:hint="eastAsia" w:ascii="宋体" w:hAnsi="宋体" w:eastAsia="宋体" w:cs="宋体"/>
          <w:b/>
          <w:color w:val="000000" w:themeColor="text1"/>
          <w:sz w:val="28"/>
          <w:szCs w:val="28"/>
          <w:highlight w:val="none"/>
          <w14:textFill>
            <w14:solidFill>
              <w14:schemeClr w14:val="tx1"/>
            </w14:solidFill>
          </w14:textFill>
        </w:rPr>
        <w:t>合同标的</w:t>
      </w:r>
    </w:p>
    <w:p>
      <w:pPr>
        <w:autoSpaceDE w:val="0"/>
        <w:autoSpaceDN w:val="0"/>
        <w:snapToGrid/>
        <w:spacing w:line="520" w:lineRule="exact"/>
        <w:ind w:firstLine="560" w:firstLineChars="200"/>
        <w:textAlignment w:val="auto"/>
        <w:rPr>
          <w:rFonts w:hint="default"/>
          <w:highlight w:val="none"/>
          <w:lang w:val="en-US"/>
        </w:rPr>
      </w:pPr>
      <w:r>
        <w:rPr>
          <w:rFonts w:hint="eastAsia" w:ascii="宋体" w:hAnsi="宋体" w:eastAsia="宋体" w:cs="宋体"/>
          <w:color w:val="000000" w:themeColor="text1"/>
          <w:kern w:val="0"/>
          <w:sz w:val="28"/>
          <w:szCs w:val="28"/>
          <w:highlight w:val="none"/>
          <w:lang w:val="zh-CN"/>
          <w14:textFill>
            <w14:solidFill>
              <w14:schemeClr w14:val="tx1"/>
            </w14:solidFill>
          </w14:textFill>
        </w:rPr>
        <w:t>本合同所指</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货物</w:t>
      </w:r>
      <w:r>
        <w:rPr>
          <w:rFonts w:hint="eastAsia" w:ascii="宋体" w:hAnsi="宋体" w:eastAsia="宋体" w:cs="宋体"/>
          <w:color w:val="000000" w:themeColor="text1"/>
          <w:kern w:val="0"/>
          <w:sz w:val="28"/>
          <w:szCs w:val="28"/>
          <w:highlight w:val="none"/>
          <w:lang w:val="zh-CN"/>
          <w14:textFill>
            <w14:solidFill>
              <w14:schemeClr w14:val="tx1"/>
            </w14:solidFill>
          </w14:textFill>
        </w:rPr>
        <w:t>为</w:t>
      </w:r>
      <w:r>
        <w:rPr>
          <w:rFonts w:hint="eastAsia" w:ascii="宋体" w:hAnsi="宋体" w:eastAsia="宋体" w:cs="宋体"/>
          <w:color w:val="000000" w:themeColor="text1"/>
          <w:kern w:val="0"/>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highlight w:val="none"/>
          <w:u w:val="single"/>
          <w:lang w:val="zh-CN"/>
          <w14:textFill>
            <w14:solidFill>
              <w14:schemeClr w14:val="tx1"/>
            </w14:solidFill>
          </w14:textFill>
        </w:rPr>
        <w:t>备件</w:t>
      </w:r>
      <w:r>
        <w:rPr>
          <w:rFonts w:hint="eastAsia" w:ascii="宋体" w:hAnsi="宋体" w:eastAsia="宋体" w:cs="宋体"/>
          <w:color w:val="000000" w:themeColor="text1"/>
          <w:kern w:val="0"/>
          <w:sz w:val="28"/>
          <w:szCs w:val="28"/>
          <w:highlight w:val="none"/>
          <w:lang w:val="zh-CN"/>
          <w14:textFill>
            <w14:solidFill>
              <w14:schemeClr w14:val="tx1"/>
            </w14:solidFill>
          </w14:textFill>
        </w:rPr>
        <w:t>全新的原装产品，</w:t>
      </w:r>
      <w:r>
        <w:rPr>
          <w:rFonts w:hint="eastAsia" w:ascii="宋体" w:hAnsi="宋体" w:eastAsia="宋体" w:cs="宋体"/>
          <w:color w:val="000000" w:themeColor="text1"/>
          <w:kern w:val="0"/>
          <w:sz w:val="28"/>
          <w:szCs w:val="28"/>
          <w:highlight w:val="none"/>
          <w14:textFill>
            <w14:solidFill>
              <w14:schemeClr w14:val="tx1"/>
            </w14:solidFill>
          </w14:textFill>
        </w:rPr>
        <w:t>其</w:t>
      </w:r>
      <w:r>
        <w:rPr>
          <w:rFonts w:hint="eastAsia" w:ascii="宋体" w:hAnsi="宋体" w:eastAsia="宋体" w:cs="宋体"/>
          <w:color w:val="000000" w:themeColor="text1"/>
          <w:kern w:val="0"/>
          <w:sz w:val="28"/>
          <w:szCs w:val="28"/>
          <w:highlight w:val="none"/>
          <w:lang w:val="zh-CN"/>
          <w14:textFill>
            <w14:solidFill>
              <w14:schemeClr w14:val="tx1"/>
            </w14:solidFill>
          </w14:textFill>
        </w:rPr>
        <w:t>名称、型号、规格、数量、</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品牌</w:t>
      </w:r>
      <w:r>
        <w:rPr>
          <w:rFonts w:hint="eastAsia" w:ascii="宋体" w:hAnsi="宋体" w:eastAsia="宋体" w:cs="宋体"/>
          <w:color w:val="000000" w:themeColor="text1"/>
          <w:kern w:val="0"/>
          <w:sz w:val="28"/>
          <w:szCs w:val="28"/>
          <w:highlight w:val="none"/>
          <w:lang w:val="zh-CN"/>
          <w14:textFill>
            <w14:solidFill>
              <w14:schemeClr w14:val="tx1"/>
            </w14:solidFill>
          </w14:textFill>
        </w:rPr>
        <w:t>详见</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附件报价清单。</w:t>
      </w:r>
      <w:bookmarkStart w:id="97" w:name="_Toc17140"/>
      <w:bookmarkStart w:id="98" w:name="_Toc518992987"/>
      <w:bookmarkStart w:id="99" w:name="_Toc474245211"/>
      <w:bookmarkStart w:id="100" w:name="_Toc520190027"/>
      <w:r>
        <w:rPr>
          <w:rFonts w:hint="eastAsia" w:eastAsia="宋体" w:cs="宋体"/>
          <w:color w:val="000000" w:themeColor="text1"/>
          <w:kern w:val="0"/>
          <w:sz w:val="28"/>
          <w:szCs w:val="28"/>
          <w:highlight w:val="none"/>
          <w:lang w:val="en-US" w:eastAsia="zh-CN"/>
          <w14:textFill>
            <w14:solidFill>
              <w14:schemeClr w14:val="tx1"/>
            </w14:solidFill>
          </w14:textFill>
        </w:rPr>
        <w:t xml:space="preserve"> </w:t>
      </w:r>
    </w:p>
    <w:tbl>
      <w:tblPr>
        <w:tblStyle w:val="22"/>
        <w:tblpPr w:leftFromText="180" w:rightFromText="180" w:vertAnchor="text" w:horzAnchor="page" w:tblpX="1354" w:tblpY="568"/>
        <w:tblOverlap w:val="never"/>
        <w:tblW w:w="9508" w:type="dxa"/>
        <w:tblInd w:w="0" w:type="dxa"/>
        <w:tblLayout w:type="fixed"/>
        <w:tblCellMar>
          <w:top w:w="0" w:type="dxa"/>
          <w:left w:w="108" w:type="dxa"/>
          <w:bottom w:w="0" w:type="dxa"/>
          <w:right w:w="108" w:type="dxa"/>
        </w:tblCellMar>
      </w:tblPr>
      <w:tblGrid>
        <w:gridCol w:w="508"/>
        <w:gridCol w:w="568"/>
        <w:gridCol w:w="116"/>
        <w:gridCol w:w="947"/>
        <w:gridCol w:w="1200"/>
        <w:gridCol w:w="769"/>
        <w:gridCol w:w="675"/>
        <w:gridCol w:w="928"/>
        <w:gridCol w:w="778"/>
        <w:gridCol w:w="1050"/>
        <w:gridCol w:w="994"/>
        <w:gridCol w:w="975"/>
      </w:tblGrid>
      <w:tr>
        <w:tblPrEx>
          <w:tblCellMar>
            <w:top w:w="0" w:type="dxa"/>
            <w:left w:w="108" w:type="dxa"/>
            <w:bottom w:w="0" w:type="dxa"/>
            <w:right w:w="108" w:type="dxa"/>
          </w:tblCellMar>
        </w:tblPrEx>
        <w:trPr>
          <w:trHeight w:val="517" w:hRule="atLeast"/>
        </w:trPr>
        <w:tc>
          <w:tcPr>
            <w:tcW w:w="50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684" w:type="dxa"/>
            <w:gridSpan w:val="2"/>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94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zh-CN"/>
              </w:rPr>
              <w:t>生产厂家及品牌</w:t>
            </w:r>
          </w:p>
        </w:tc>
        <w:tc>
          <w:tcPr>
            <w:tcW w:w="12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型号</w:t>
            </w:r>
          </w:p>
        </w:tc>
        <w:tc>
          <w:tcPr>
            <w:tcW w:w="76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706"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4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trPr>
        <w:tc>
          <w:tcPr>
            <w:tcW w:w="50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84" w:type="dxa"/>
            <w:gridSpan w:val="2"/>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4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2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6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9508" w:type="dxa"/>
            <w:gridSpan w:val="1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鼓风机</w:t>
            </w:r>
            <w:r>
              <w:rPr>
                <w:rFonts w:hint="eastAsia" w:ascii="宋体" w:hAnsi="宋体" w:cs="宋体"/>
                <w:color w:val="auto"/>
                <w:kern w:val="0"/>
                <w:sz w:val="24"/>
                <w:szCs w:val="24"/>
                <w:highlight w:val="none"/>
                <w:lang w:val="zh-CN"/>
              </w:rPr>
              <w:t>类备件</w:t>
            </w: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鼓风机空气过滤器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AIR FIL TER 640*570*70</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YLS风扇用三相异步电动机（一期）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YLS-1100-4 380V 3.2A  功率1100W B级</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呼吸器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SOLBERG WP274</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鼓风机入风滤棉</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厚度1cm 宽度1m 长20m</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Beijer(二期鼓风机触摸屏）</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X2pro10-B2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FramoMorat</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IGV定位器 FramoMorat D/A 3500-2,5-150(8-2010-ET02)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FramoMorat</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VVD定位器 FramoMorat D/A 3500-2,5-150(8-2010-ET02)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8</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齿轮箱供油温度变送器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TT121  248HANANOXA 10142131（温度变送器）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9</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齿轮供油压力变送器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PT103 fartag 605071-008（压力变送器）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出风口压力变送器（防喘震）</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ROSEMOUNT 2088G2S22A2Q4HR5 PT110 （压力变送器）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11</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高速轴承叶轮端温度</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TT122（温度变送器）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12</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高速轴电机端轴承温度</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TT123（温度变送器）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13</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高速轴震动传感器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VT503（振动变送器）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14</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进口空气温度</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TT125（温度变送器）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15</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主电机驱动端轴承温度</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TE128（测温元件）</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16</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主电机非驱动端轴承温度</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TE127（测温元件）</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17</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调温器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KTO 01142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18</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施耐德接触器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LC1-DT25BDC+触点LADN11C</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19</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BUSSMANN 熔断器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CHM1DNS 10*38</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SCHLEICHER安全继电器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Wieland (SN04062K)</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OMRON时间继电器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H3DK-M2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22</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PR跳闸放大器（一期）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PR4131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23</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AB 直流电源（一期）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1606-XLE120EE 120W</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24</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鼓风机触摸屏（一期）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EXTER K70 Beijer</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25</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STEGO</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温控器KTO 01142.0-00</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26</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施耐德3极接触器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LC1-D098BDC</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27</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施耐德3极接触器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LC1-D12BDC</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28</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双层端子</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Weidmuller A2T2.5</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29</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保险端子</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 xml:space="preserve"> Weidmuller ASK 1EN 2个+WDU2.5</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30</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温度变送器（二期）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PR3331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31</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熔断器开关</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194R-J60-1753-PYS2，60A</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32</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断路器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ic65N C6A 2P</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33</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断路器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ic65N C6A 1P</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34</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熔断器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CHM1DNS 10*38</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8</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35</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时间继电器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H3DK-M2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36</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通用变送器（二期）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PR4114</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37</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直流电源（二期）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SIMATIC PM207 5A</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38</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断路器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 lc65N C16A 4P</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39</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AB-PLC组件</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1769系列</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套</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849" w:hRule="atLeast"/>
        </w:trPr>
        <w:tc>
          <w:tcPr>
            <w:tcW w:w="1076"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rPr>
            </w:pPr>
          </w:p>
        </w:tc>
        <w:tc>
          <w:tcPr>
            <w:tcW w:w="3707"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pStyle w:val="2"/>
        <w:rPr>
          <w:rFonts w:hint="default"/>
          <w:highlight w:val="none"/>
          <w:lang w:val="en-US"/>
        </w:rPr>
      </w:pPr>
    </w:p>
    <w:p>
      <w:pPr>
        <w:pStyle w:val="2"/>
        <w:rPr>
          <w:rFonts w:hint="default"/>
          <w:highlight w:val="none"/>
          <w:lang w:val="en-US"/>
        </w:rPr>
      </w:pPr>
    </w:p>
    <w:bookmarkEnd w:id="97"/>
    <w:p>
      <w:pPr>
        <w:keepNext w:val="0"/>
        <w:keepLines w:val="0"/>
        <w:pageBreakBefore w:val="0"/>
        <w:kinsoku/>
        <w:wordWrap/>
        <w:overflowPunct/>
        <w:topLinePunct w:val="0"/>
        <w:bidi w:val="0"/>
        <w:snapToGrid/>
        <w:spacing w:after="120" w:afterLines="50" w:line="520" w:lineRule="exact"/>
        <w:ind w:firstLine="562"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101" w:name="_Toc107446842"/>
      <w:bookmarkStart w:id="102" w:name="_Toc26357"/>
      <w:bookmarkStart w:id="103" w:name="_Toc183666514"/>
      <w:bookmarkStart w:id="104" w:name="_Toc107447235"/>
      <w:r>
        <w:rPr>
          <w:rFonts w:hint="eastAsia" w:ascii="宋体" w:hAnsi="宋体" w:eastAsia="宋体" w:cs="宋体"/>
          <w:b/>
          <w:color w:val="000000" w:themeColor="text1"/>
          <w:sz w:val="28"/>
          <w:szCs w:val="28"/>
          <w:highlight w:val="none"/>
          <w14:textFill>
            <w14:solidFill>
              <w14:schemeClr w14:val="tx1"/>
            </w14:solidFill>
          </w14:textFill>
        </w:rPr>
        <w:t>第三条 交货日期及地点</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default" w:ascii="宋体" w:hAnsi="宋体" w:eastAsia="宋体" w:cs="宋体"/>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3.1</w:t>
      </w:r>
      <w:r>
        <w:rPr>
          <w:rFonts w:hint="eastAsia" w:ascii="宋体" w:hAnsi="宋体" w:eastAsia="宋体" w:cs="宋体"/>
          <w:color w:val="000000" w:themeColor="text1"/>
          <w:sz w:val="28"/>
          <w:szCs w:val="28"/>
          <w:highlight w:val="none"/>
          <w:lang w:val="en-US" w:eastAsia="zh-CN"/>
          <w14:textFill>
            <w14:solidFill>
              <w14:schemeClr w14:val="tx1"/>
            </w14:solidFill>
          </w14:textFill>
        </w:rPr>
        <w:t>交货日期：</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自签订合同之日起30日历天</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3.2交货地点：</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 xml:space="preserve">广州市净水有限公司石井净水分公司 </w:t>
      </w:r>
      <w:r>
        <w:rPr>
          <w:rFonts w:hint="eastAsia" w:ascii="宋体" w:hAnsi="宋体" w:eastAsia="宋体" w:cs="宋体"/>
          <w:bCs/>
          <w:color w:val="000000" w:themeColor="text1"/>
          <w:sz w:val="28"/>
          <w:szCs w:val="28"/>
          <w:highlight w:val="none"/>
          <w:u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最终具体交货地点以甲方通知为准。</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3.3 其他：</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 xml:space="preserve"> … </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4.1 </w:t>
      </w:r>
      <w:r>
        <w:rPr>
          <w:rFonts w:hint="eastAsia" w:ascii="宋体" w:hAnsi="宋体" w:eastAsia="宋体" w:cs="宋体"/>
          <w:color w:val="000000" w:themeColor="text1"/>
          <w:kern w:val="0"/>
          <w:sz w:val="28"/>
          <w:szCs w:val="28"/>
          <w:highlight w:val="none"/>
          <w:lang w:val="zh-CN"/>
          <w14:textFill>
            <w14:solidFill>
              <w14:schemeClr w14:val="tx1"/>
            </w14:solidFill>
          </w14:textFill>
        </w:rPr>
        <w:t>本合同</w:t>
      </w:r>
      <w:r>
        <w:rPr>
          <w:rFonts w:hint="eastAsia" w:ascii="宋体" w:hAnsi="宋体" w:eastAsia="宋体" w:cs="宋体"/>
          <w:color w:val="000000" w:themeColor="text1"/>
          <w:kern w:val="0"/>
          <w:sz w:val="28"/>
          <w:szCs w:val="28"/>
          <w:highlight w:val="none"/>
          <w14:textFill>
            <w14:solidFill>
              <w14:schemeClr w14:val="tx1"/>
            </w14:solidFill>
          </w14:textFill>
        </w:rPr>
        <w:t>暂定</w:t>
      </w:r>
      <w:r>
        <w:rPr>
          <w:rFonts w:hint="eastAsia" w:ascii="宋体" w:hAnsi="宋体" w:eastAsia="宋体" w:cs="宋体"/>
          <w:color w:val="000000" w:themeColor="text1"/>
          <w:kern w:val="0"/>
          <w:sz w:val="28"/>
          <w:szCs w:val="28"/>
          <w:highlight w:val="none"/>
          <w:lang w:val="zh-CN"/>
          <w14:textFill>
            <w14:solidFill>
              <w14:schemeClr w14:val="tx1"/>
            </w14:solidFill>
          </w14:textFill>
        </w:rPr>
        <w:t>总价为</w:t>
      </w:r>
      <w:r>
        <w:rPr>
          <w:rFonts w:hint="eastAsia" w:ascii="宋体" w:hAnsi="宋体" w:eastAsia="宋体" w:cs="宋体"/>
          <w:color w:val="000000" w:themeColor="text1"/>
          <w:kern w:val="0"/>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zh-CN"/>
          <w14:textFill>
            <w14:solidFill>
              <w14:schemeClr w14:val="tx1"/>
            </w14:solidFill>
          </w14:textFill>
        </w:rPr>
        <w:t>万元，（人民币）大写：</w:t>
      </w:r>
      <w:r>
        <w:rPr>
          <w:rFonts w:hint="eastAsia" w:ascii="宋体" w:hAnsi="宋体" w:eastAsia="宋体" w:cs="宋体"/>
          <w:color w:val="000000" w:themeColor="text1"/>
          <w:kern w:val="0"/>
          <w:sz w:val="28"/>
          <w:szCs w:val="28"/>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kern w:val="0"/>
          <w:sz w:val="28"/>
          <w:szCs w:val="28"/>
          <w:highlight w:val="none"/>
          <w:lang w:val="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w:t>
      </w:r>
      <w:r>
        <w:rPr>
          <w:rFonts w:hint="eastAsia" w:ascii="宋体" w:hAnsi="宋体" w:eastAsia="宋体" w:cs="宋体"/>
          <w:color w:val="000000" w:themeColor="text1"/>
          <w:kern w:val="0"/>
          <w:sz w:val="28"/>
          <w:szCs w:val="28"/>
          <w:highlight w:val="none"/>
          <w:lang w:val="zh-CN"/>
          <w14:textFill>
            <w14:solidFill>
              <w14:schemeClr w14:val="tx1"/>
            </w14:solidFill>
          </w14:textFill>
        </w:rPr>
        <w:t>.2</w:t>
      </w:r>
      <w:r>
        <w:rPr>
          <w:rFonts w:hint="eastAsia" w:ascii="宋体" w:hAnsi="宋体" w:eastAsia="宋体" w:cs="宋体"/>
          <w:color w:val="000000" w:themeColor="text1"/>
          <w:kern w:val="0"/>
          <w:sz w:val="28"/>
          <w:szCs w:val="28"/>
          <w:highlight w:val="none"/>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zh-CN"/>
          <w14:textFill>
            <w14:solidFill>
              <w14:schemeClr w14:val="tx1"/>
            </w14:solidFill>
          </w14:textFill>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000000" w:themeColor="text1"/>
          <w:kern w:val="0"/>
          <w:sz w:val="28"/>
          <w:szCs w:val="28"/>
          <w:highlight w:val="none"/>
          <w:u w:val="single"/>
          <w:lang w:val="zh-CN"/>
          <w14:textFill>
            <w14:solidFill>
              <w14:schemeClr w14:val="tx1"/>
            </w14:solidFill>
          </w14:textFill>
        </w:rPr>
        <w:t>安装调试或指导安装调试运行</w:t>
      </w:r>
      <w:r>
        <w:rPr>
          <w:rFonts w:hint="eastAsia" w:ascii="宋体" w:hAnsi="宋体" w:eastAsia="宋体" w:cs="宋体"/>
          <w:color w:val="000000" w:themeColor="text1"/>
          <w:kern w:val="0"/>
          <w:sz w:val="28"/>
          <w:szCs w:val="28"/>
          <w:highlight w:val="none"/>
          <w:u w:val="none"/>
          <w:lang w:val="zh-CN"/>
          <w14:textFill>
            <w14:solidFill>
              <w14:schemeClr w14:val="tx1"/>
            </w14:solidFill>
          </w14:textFill>
        </w:rPr>
        <w:t>（</w:t>
      </w:r>
      <w:r>
        <w:rPr>
          <w:rFonts w:hint="eastAsia" w:ascii="宋体" w:hAnsi="宋体" w:eastAsia="宋体" w:cs="宋体"/>
          <w:color w:val="000000" w:themeColor="text1"/>
          <w:kern w:val="0"/>
          <w:sz w:val="28"/>
          <w:szCs w:val="28"/>
          <w:highlight w:val="none"/>
          <w:lang w:val="zh-CN"/>
          <w14:textFill>
            <w14:solidFill>
              <w14:schemeClr w14:val="tx1"/>
            </w14:solidFill>
          </w14:textFill>
        </w:rPr>
        <w:t>具体按“采购需求”）、质量抽检、培训、相关税费、保险费、物货伴随服务（包括安装使用说明书、图纸的提供、质保期服务）等全部费用。</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w:t>
      </w:r>
      <w:r>
        <w:rPr>
          <w:rFonts w:hint="eastAsia" w:ascii="宋体" w:hAnsi="宋体" w:eastAsia="宋体" w:cs="宋体"/>
          <w:color w:val="000000" w:themeColor="text1"/>
          <w:kern w:val="0"/>
          <w:sz w:val="28"/>
          <w:szCs w:val="28"/>
          <w:highlight w:val="none"/>
          <w:lang w:val="zh-CN"/>
          <w14:textFill>
            <w14:solidFill>
              <w14:schemeClr w14:val="tx1"/>
            </w14:solidFill>
          </w14:textFill>
        </w:rPr>
        <w:t>.3</w:t>
      </w:r>
      <w:r>
        <w:rPr>
          <w:rFonts w:hint="eastAsia" w:ascii="宋体" w:hAnsi="宋体" w:eastAsia="宋体" w:cs="宋体"/>
          <w:color w:val="000000" w:themeColor="text1"/>
          <w:kern w:val="0"/>
          <w:sz w:val="28"/>
          <w:szCs w:val="28"/>
          <w:highlight w:val="none"/>
          <w14:textFill>
            <w14:solidFill>
              <w14:schemeClr w14:val="tx1"/>
            </w14:solidFill>
          </w14:textFill>
        </w:rPr>
        <w:t xml:space="preserve"> 本合同约定的价格为含税价价格</w:t>
      </w:r>
      <w:r>
        <w:rPr>
          <w:rFonts w:hint="eastAsia" w:ascii="宋体" w:hAnsi="宋体" w:eastAsia="宋体" w:cs="宋体"/>
          <w:color w:val="000000" w:themeColor="text1"/>
          <w:sz w:val="28"/>
          <w:szCs w:val="28"/>
          <w:highlight w:val="none"/>
          <w14:textFill>
            <w14:solidFill>
              <w14:schemeClr w14:val="tx1"/>
            </w14:solidFill>
          </w14:textFill>
        </w:rPr>
        <w:t>（税率</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第五条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5.1</w:t>
      </w:r>
      <w:r>
        <w:rPr>
          <w:rFonts w:hint="eastAsia" w:ascii="宋体" w:hAnsi="宋体" w:eastAsia="宋体" w:cs="宋体"/>
          <w:bCs/>
          <w:color w:val="000000" w:themeColor="text1"/>
          <w:sz w:val="28"/>
          <w:szCs w:val="28"/>
          <w:highlight w:val="none"/>
          <w14:textFill>
            <w14:solidFill>
              <w14:schemeClr w14:val="tx1"/>
            </w14:solidFill>
          </w14:textFill>
        </w:rPr>
        <w:t>预付款的支付：</w:t>
      </w:r>
      <w:r>
        <w:rPr>
          <w:rFonts w:hint="eastAsia" w:ascii="宋体" w:hAnsi="宋体" w:eastAsia="宋体" w:cs="宋体"/>
          <w:color w:val="000000" w:themeColor="text1"/>
          <w:sz w:val="28"/>
          <w:szCs w:val="28"/>
          <w:highlight w:val="none"/>
          <w14:textFill>
            <w14:solidFill>
              <w14:schemeClr w14:val="tx1"/>
            </w14:solidFill>
          </w14:textFill>
        </w:rPr>
        <w:sym w:font="Wingdings 2" w:char="0052"/>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sym w:font="Wingdings 2" w:char="00A3"/>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合同签订后，乙方开具等额的增值税专用发票</w:t>
      </w:r>
      <w:r>
        <w:rPr>
          <w:rFonts w:hint="eastAsia" w:ascii="宋体" w:hAnsi="宋体" w:eastAsia="宋体" w:cs="宋体"/>
          <w:bCs/>
          <w:color w:val="000000" w:themeColor="text1"/>
          <w:sz w:val="28"/>
          <w:szCs w:val="28"/>
          <w:highlight w:val="none"/>
          <w:u w:val="single"/>
          <w14:textFill>
            <w14:solidFill>
              <w14:schemeClr w14:val="tx1"/>
            </w14:solidFill>
          </w14:textFill>
        </w:rPr>
        <w:t>及</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提交预付款担保</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/履约担保（如需）</w:t>
      </w:r>
      <w:r>
        <w:rPr>
          <w:rFonts w:hint="eastAsia" w:ascii="宋体" w:hAnsi="宋体" w:eastAsia="宋体" w:cs="宋体"/>
          <w:bCs/>
          <w:color w:val="000000" w:themeColor="text1"/>
          <w:sz w:val="28"/>
          <w:szCs w:val="28"/>
          <w:highlight w:val="none"/>
          <w14:textFill>
            <w14:solidFill>
              <w14:schemeClr w14:val="tx1"/>
            </w14:solidFill>
          </w14:textFill>
        </w:rPr>
        <w:t>后</w:t>
      </w:r>
      <w:r>
        <w:rPr>
          <w:rFonts w:hint="eastAsia" w:ascii="宋体" w:hAnsi="宋体" w:eastAsia="宋体" w:cs="宋体"/>
          <w:bCs/>
          <w:color w:val="000000" w:themeColor="text1"/>
          <w:sz w:val="28"/>
          <w:szCs w:val="28"/>
          <w:highlight w:val="none"/>
          <w:u w:val="single"/>
          <w14:textFill>
            <w14:solidFill>
              <w14:schemeClr w14:val="tx1"/>
            </w14:solidFill>
          </w14:textFill>
        </w:rPr>
        <w:t>10</w:t>
      </w:r>
      <w:r>
        <w:rPr>
          <w:rFonts w:hint="eastAsia" w:ascii="宋体" w:hAnsi="宋体" w:eastAsia="宋体" w:cs="宋体"/>
          <w:bCs/>
          <w:color w:val="000000" w:themeColor="text1"/>
          <w:sz w:val="28"/>
          <w:szCs w:val="28"/>
          <w:highlight w:val="none"/>
          <w14:textFill>
            <w14:solidFill>
              <w14:schemeClr w14:val="tx1"/>
            </w14:solidFill>
          </w14:textFill>
        </w:rPr>
        <w:t>个工作日内，</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甲方</w:t>
      </w:r>
      <w:r>
        <w:rPr>
          <w:rFonts w:hint="eastAsia" w:ascii="宋体" w:hAnsi="宋体" w:eastAsia="宋体" w:cs="宋体"/>
          <w:i w:val="0"/>
          <w:iCs w:val="0"/>
          <w:color w:val="000000" w:themeColor="text1"/>
          <w:sz w:val="28"/>
          <w:szCs w:val="28"/>
          <w:highlight w:val="none"/>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属下分公司</w:t>
      </w:r>
      <w:r>
        <w:rPr>
          <w:rFonts w:hint="eastAsia" w:ascii="宋体" w:hAnsi="宋体" w:eastAsia="宋体" w:cs="宋体"/>
          <w:bCs/>
          <w:color w:val="000000" w:themeColor="text1"/>
          <w:sz w:val="28"/>
          <w:szCs w:val="28"/>
          <w:highlight w:val="none"/>
          <w14:textFill>
            <w14:solidFill>
              <w14:schemeClr w14:val="tx1"/>
            </w14:solidFill>
          </w14:textFill>
        </w:rPr>
        <w:t xml:space="preserve">支付合同暂定总价的 </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即</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highlight w:val="none"/>
          <w:u w:val="none"/>
          <w14:textFill>
            <w14:solidFill>
              <w14:schemeClr w14:val="tx1"/>
            </w14:solidFill>
          </w14:textFill>
        </w:rPr>
        <w:t>元，（大写：</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作为预付款</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（合并项目需补充各项目支付比例及金额）</w:t>
      </w:r>
      <w:r>
        <w:rPr>
          <w:rFonts w:hint="eastAsia" w:ascii="宋体" w:hAnsi="宋体" w:eastAsia="宋体" w:cs="宋体"/>
          <w:bCs/>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若合同解除或终止，乙方在</w:t>
      </w:r>
      <w:r>
        <w:rPr>
          <w:rFonts w:hint="eastAsia" w:ascii="宋体" w:hAnsi="宋体" w:eastAsia="宋体" w:cs="宋体"/>
          <w:color w:val="000000" w:themeColor="text1"/>
          <w:sz w:val="28"/>
          <w:szCs w:val="28"/>
          <w:highlight w:val="none"/>
          <w:u w:val="single"/>
          <w14:textFill>
            <w14:solidFill>
              <w14:schemeClr w14:val="tx1"/>
            </w14:solidFill>
          </w14:textFill>
        </w:rPr>
        <w:t xml:space="preserve"> 5 </w:t>
      </w:r>
      <w:r>
        <w:rPr>
          <w:rFonts w:hint="eastAsia" w:ascii="宋体" w:hAnsi="宋体" w:eastAsia="宋体" w:cs="宋体"/>
          <w:color w:val="000000" w:themeColor="text1"/>
          <w:sz w:val="28"/>
          <w:szCs w:val="28"/>
          <w:highlight w:val="none"/>
          <w14:textFill>
            <w14:solidFill>
              <w14:schemeClr w14:val="tx1"/>
            </w14:solidFill>
          </w14:textFill>
        </w:rPr>
        <w:t>个工作日内返还预付款（无息）。</w:t>
      </w:r>
      <w:r>
        <w:rPr>
          <w:rFonts w:hint="eastAsia" w:ascii="宋体" w:hAnsi="宋体" w:eastAsia="宋体" w:cs="宋体"/>
          <w:bCs/>
          <w:color w:val="000000" w:themeColor="text1"/>
          <w:kern w:val="0"/>
          <w:sz w:val="28"/>
          <w:szCs w:val="28"/>
          <w:highlight w:val="none"/>
          <w14:textFill>
            <w14:solidFill>
              <w14:schemeClr w14:val="tx1"/>
            </w14:solidFill>
          </w14:textFill>
        </w:rPr>
        <w:t>逾期未返还，每逾期一天，乙方应按合同暂定总价的</w:t>
      </w:r>
      <w:r>
        <w:rPr>
          <w:rFonts w:hint="eastAsia" w:ascii="宋体" w:hAnsi="宋体" w:eastAsia="宋体" w:cs="宋体"/>
          <w:bCs/>
          <w:color w:val="000000" w:themeColor="text1"/>
          <w:kern w:val="0"/>
          <w:sz w:val="28"/>
          <w:szCs w:val="28"/>
          <w:highlight w:val="none"/>
          <w:u w:val="single"/>
          <w14:textFill>
            <w14:solidFill>
              <w14:schemeClr w14:val="tx1"/>
            </w14:solidFill>
          </w14:textFill>
        </w:rPr>
        <w:t>万分之五/天</w:t>
      </w:r>
      <w:r>
        <w:rPr>
          <w:rFonts w:hint="eastAsia" w:ascii="宋体" w:hAnsi="宋体" w:eastAsia="宋体" w:cs="宋体"/>
          <w:bCs/>
          <w:color w:val="000000" w:themeColor="text1"/>
          <w:kern w:val="0"/>
          <w:sz w:val="28"/>
          <w:szCs w:val="28"/>
          <w:highlight w:val="none"/>
          <w14:textFill>
            <w14:solidFill>
              <w14:schemeClr w14:val="tx1"/>
            </w14:solidFill>
          </w14:textFill>
        </w:rPr>
        <w:t>支付违约金</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5.2.1乙方按时交付合同货物后，</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甲方</w:t>
      </w:r>
      <w:r>
        <w:rPr>
          <w:rFonts w:hint="eastAsia" w:ascii="宋体" w:hAnsi="宋体" w:eastAsia="宋体" w:cs="宋体"/>
          <w:i w:val="0"/>
          <w:iCs w:val="0"/>
          <w:color w:val="000000" w:themeColor="text1"/>
          <w:sz w:val="28"/>
          <w:szCs w:val="28"/>
          <w:highlight w:val="none"/>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属下分公司</w:t>
      </w:r>
      <w:r>
        <w:rPr>
          <w:rFonts w:hint="eastAsia" w:ascii="宋体" w:hAnsi="宋体" w:eastAsia="宋体" w:cs="宋体"/>
          <w:color w:val="000000" w:themeColor="text1"/>
          <w:sz w:val="28"/>
          <w:szCs w:val="28"/>
          <w:highlight w:val="none"/>
          <w:u w:val="single"/>
          <w14:textFill>
            <w14:solidFill>
              <w14:schemeClr w14:val="tx1"/>
            </w14:solidFill>
          </w14:textFill>
        </w:rPr>
        <w:t>分别</w:t>
      </w:r>
      <w:r>
        <w:rPr>
          <w:rFonts w:hint="eastAsia" w:ascii="宋体" w:hAnsi="宋体" w:eastAsia="宋体" w:cs="宋体"/>
          <w:color w:val="000000" w:themeColor="text1"/>
          <w:sz w:val="28"/>
          <w:szCs w:val="28"/>
          <w:highlight w:val="none"/>
          <w14:textFill>
            <w14:solidFill>
              <w14:schemeClr w14:val="tx1"/>
            </w14:solidFill>
          </w14:textFill>
        </w:rPr>
        <w:t>向乙方支付至该批次设备合同价格的</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80</w:t>
      </w:r>
      <w:r>
        <w:rPr>
          <w:rFonts w:hint="eastAsia" w:ascii="宋体" w:hAnsi="宋体" w:eastAsia="宋体" w:cs="宋体"/>
          <w:color w:val="000000" w:themeColor="text1"/>
          <w:sz w:val="28"/>
          <w:szCs w:val="28"/>
          <w:highlight w:val="none"/>
          <w:u w:val="singl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。当预付款不足抵扣时，</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甲方</w:t>
      </w:r>
      <w:r>
        <w:rPr>
          <w:rFonts w:hint="eastAsia" w:ascii="宋体" w:hAnsi="宋体" w:eastAsia="宋体" w:cs="宋体"/>
          <w:i w:val="0"/>
          <w:iCs w:val="0"/>
          <w:color w:val="000000" w:themeColor="text1"/>
          <w:sz w:val="28"/>
          <w:szCs w:val="28"/>
          <w:highlight w:val="none"/>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属下分公司</w:t>
      </w:r>
      <w:r>
        <w:rPr>
          <w:rFonts w:hint="eastAsia" w:ascii="宋体" w:hAnsi="宋体" w:eastAsia="宋体" w:cs="宋体"/>
          <w:color w:val="000000" w:themeColor="text1"/>
          <w:sz w:val="28"/>
          <w:szCs w:val="28"/>
          <w:highlight w:val="none"/>
          <w:u w:val="single"/>
          <w14:textFill>
            <w14:solidFill>
              <w14:schemeClr w14:val="tx1"/>
            </w14:solidFill>
          </w14:textFill>
        </w:rPr>
        <w:t>分别</w:t>
      </w:r>
      <w:r>
        <w:rPr>
          <w:rFonts w:hint="eastAsia" w:ascii="宋体" w:hAnsi="宋体" w:eastAsia="宋体" w:cs="宋体"/>
          <w:color w:val="000000" w:themeColor="text1"/>
          <w:sz w:val="28"/>
          <w:szCs w:val="28"/>
          <w:highlight w:val="none"/>
          <w14:textFill>
            <w14:solidFill>
              <w14:schemeClr w14:val="tx1"/>
            </w14:solidFill>
          </w14:textFill>
        </w:rPr>
        <w:t>在该部分设备经检验合格及收到等额的增值税专用发票后</w:t>
      </w:r>
      <w:r>
        <w:rPr>
          <w:rFonts w:hint="eastAsia" w:ascii="宋体" w:hAnsi="宋体" w:eastAsia="宋体" w:cs="宋体"/>
          <w:color w:val="000000" w:themeColor="text1"/>
          <w:sz w:val="28"/>
          <w:szCs w:val="28"/>
          <w:highlight w:val="none"/>
          <w:u w:val="single"/>
          <w14:textFill>
            <w14:solidFill>
              <w14:schemeClr w14:val="tx1"/>
            </w14:solidFill>
          </w14:textFill>
        </w:rPr>
        <w:t> 28 </w:t>
      </w:r>
      <w:r>
        <w:rPr>
          <w:rFonts w:hint="eastAsia" w:ascii="宋体" w:hAnsi="宋体" w:eastAsia="宋体" w:cs="宋体"/>
          <w:color w:val="000000" w:themeColor="text1"/>
          <w:sz w:val="28"/>
          <w:szCs w:val="28"/>
          <w:highlight w:val="none"/>
          <w14:textFill>
            <w14:solidFill>
              <w14:schemeClr w14:val="tx1"/>
            </w14:solidFill>
          </w14:textFill>
        </w:rPr>
        <w:t>日内向乙方支付至该批次设备合同价格的</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80</w:t>
      </w:r>
      <w:r>
        <w:rPr>
          <w:rFonts w:hint="eastAsia" w:ascii="宋体" w:hAnsi="宋体" w:eastAsia="宋体" w:cs="宋体"/>
          <w:color w:val="000000" w:themeColor="text1"/>
          <w:sz w:val="28"/>
          <w:szCs w:val="28"/>
          <w:highlight w:val="none"/>
          <w:u w:val="singl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5.2.2乙方按合同约定交付全部合同设备后，经甲方结算审核后，</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甲方</w:t>
      </w:r>
      <w:r>
        <w:rPr>
          <w:rFonts w:hint="eastAsia" w:ascii="宋体" w:hAnsi="宋体" w:eastAsia="宋体" w:cs="宋体"/>
          <w:i w:val="0"/>
          <w:iCs w:val="0"/>
          <w:color w:val="000000" w:themeColor="text1"/>
          <w:sz w:val="28"/>
          <w:szCs w:val="28"/>
          <w:highlight w:val="none"/>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属下分公司</w:t>
      </w:r>
      <w:r>
        <w:rPr>
          <w:rFonts w:hint="eastAsia" w:ascii="宋体" w:hAnsi="宋体" w:eastAsia="宋体" w:cs="宋体"/>
          <w:color w:val="000000" w:themeColor="text1"/>
          <w:sz w:val="28"/>
          <w:szCs w:val="28"/>
          <w:highlight w:val="none"/>
          <w:u w:val="single"/>
          <w14:textFill>
            <w14:solidFill>
              <w14:schemeClr w14:val="tx1"/>
            </w14:solidFill>
          </w14:textFill>
        </w:rPr>
        <w:t>分别</w:t>
      </w:r>
      <w:r>
        <w:rPr>
          <w:rFonts w:hint="eastAsia" w:ascii="宋体" w:hAnsi="宋体" w:eastAsia="宋体" w:cs="宋体"/>
          <w:color w:val="000000" w:themeColor="text1"/>
          <w:sz w:val="28"/>
          <w:szCs w:val="28"/>
          <w:highlight w:val="none"/>
          <w14:textFill>
            <w14:solidFill>
              <w14:schemeClr w14:val="tx1"/>
            </w14:solidFill>
          </w14:textFill>
        </w:rPr>
        <w:t>收到等额的增值税专用发票后</w:t>
      </w:r>
      <w:r>
        <w:rPr>
          <w:rFonts w:hint="eastAsia" w:ascii="宋体" w:hAnsi="宋体" w:eastAsia="宋体" w:cs="宋体"/>
          <w:color w:val="000000" w:themeColor="text1"/>
          <w:sz w:val="28"/>
          <w:szCs w:val="28"/>
          <w:highlight w:val="none"/>
          <w:u w:val="single"/>
          <w14:textFill>
            <w14:solidFill>
              <w14:schemeClr w14:val="tx1"/>
            </w14:solidFill>
          </w14:textFill>
        </w:rPr>
        <w:t> 15 </w:t>
      </w:r>
      <w:r>
        <w:rPr>
          <w:rFonts w:hint="eastAsia" w:ascii="宋体" w:hAnsi="宋体" w:eastAsia="宋体" w:cs="宋体"/>
          <w:color w:val="000000" w:themeColor="text1"/>
          <w:sz w:val="28"/>
          <w:szCs w:val="28"/>
          <w:highlight w:val="none"/>
          <w14:textFill>
            <w14:solidFill>
              <w14:schemeClr w14:val="tx1"/>
            </w14:solidFill>
          </w14:textFill>
        </w:rPr>
        <w:t>个工作日内，支付至合同结算</w:t>
      </w:r>
      <w:r>
        <w:rPr>
          <w:rFonts w:hint="eastAsia" w:ascii="宋体" w:hAnsi="宋体" w:cs="宋体"/>
          <w:color w:val="000000" w:themeColor="text1"/>
          <w:sz w:val="28"/>
          <w:szCs w:val="28"/>
          <w:highlight w:val="none"/>
          <w:lang w:val="en-US" w:eastAsia="zh-CN"/>
          <w14:textFill>
            <w14:solidFill>
              <w14:schemeClr w14:val="tx1"/>
            </w14:solidFill>
          </w14:textFill>
        </w:rPr>
        <w:t>审定</w:t>
      </w:r>
      <w:r>
        <w:rPr>
          <w:rFonts w:hint="eastAsia" w:ascii="宋体" w:hAnsi="宋体" w:eastAsia="宋体" w:cs="宋体"/>
          <w:color w:val="000000" w:themeColor="text1"/>
          <w:sz w:val="28"/>
          <w:szCs w:val="28"/>
          <w:highlight w:val="none"/>
          <w14:textFill>
            <w14:solidFill>
              <w14:schemeClr w14:val="tx1"/>
            </w14:solidFill>
          </w14:textFill>
        </w:rPr>
        <w:t>价的95%（含预付款）（若</w:t>
      </w:r>
      <w:r>
        <w:rPr>
          <w:rFonts w:hint="eastAsia" w:ascii="宋体" w:hAnsi="宋体" w:cs="宋体"/>
          <w:color w:val="000000" w:themeColor="text1"/>
          <w:sz w:val="28"/>
          <w:szCs w:val="28"/>
          <w:highlight w:val="none"/>
          <w:lang w:val="en-US" w:eastAsia="zh-CN"/>
          <w14:textFill>
            <w14:solidFill>
              <w14:schemeClr w14:val="tx1"/>
            </w14:solidFill>
          </w14:textFill>
        </w:rPr>
        <w:t>结算</w:t>
      </w:r>
      <w:r>
        <w:rPr>
          <w:rFonts w:hint="eastAsia" w:ascii="宋体" w:hAnsi="宋体" w:eastAsia="宋体" w:cs="宋体"/>
          <w:color w:val="000000" w:themeColor="text1"/>
          <w:sz w:val="28"/>
          <w:szCs w:val="28"/>
          <w:highlight w:val="none"/>
          <w14:textFill>
            <w14:solidFill>
              <w14:schemeClr w14:val="tx1"/>
            </w14:solidFill>
          </w14:textFill>
        </w:rPr>
        <w:t>审核价低于合同暂定总价，则以</w:t>
      </w:r>
      <w:r>
        <w:rPr>
          <w:rFonts w:hint="eastAsia" w:ascii="宋体" w:hAnsi="宋体" w:cs="宋体"/>
          <w:color w:val="000000" w:themeColor="text1"/>
          <w:sz w:val="28"/>
          <w:szCs w:val="28"/>
          <w:highlight w:val="none"/>
          <w:lang w:val="en-US" w:eastAsia="zh-CN"/>
          <w14:textFill>
            <w14:solidFill>
              <w14:schemeClr w14:val="tx1"/>
            </w14:solidFill>
          </w14:textFill>
        </w:rPr>
        <w:t>结算</w:t>
      </w:r>
      <w:r>
        <w:rPr>
          <w:rFonts w:hint="eastAsia" w:ascii="宋体" w:hAnsi="宋体" w:eastAsia="宋体" w:cs="宋体"/>
          <w:color w:val="000000" w:themeColor="text1"/>
          <w:sz w:val="28"/>
          <w:szCs w:val="28"/>
          <w:highlight w:val="none"/>
          <w14:textFill>
            <w14:solidFill>
              <w14:schemeClr w14:val="tx1"/>
            </w14:solidFill>
          </w14:textFill>
        </w:rPr>
        <w:t>审核价作为合同结算价，否则以合同暂定总价为合同结算价），合同结算价的5%作为质保金留存。</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5.2.3质保期按合同规定执行，质保期满且乙方不存在违约情形，乙方提交请款资料及等额增值税专用发票，甲方审核无误后在</w:t>
      </w:r>
      <w:r>
        <w:rPr>
          <w:rFonts w:hint="eastAsia" w:ascii="宋体" w:hAnsi="宋体" w:eastAsia="宋体" w:cs="宋体"/>
          <w:color w:val="000000" w:themeColor="text1"/>
          <w:sz w:val="28"/>
          <w:szCs w:val="28"/>
          <w:highlight w:val="none"/>
          <w:u w:val="single"/>
          <w14:textFill>
            <w14:solidFill>
              <w14:schemeClr w14:val="tx1"/>
            </w14:solidFill>
          </w14:textFill>
        </w:rPr>
        <w:t> 15 </w:t>
      </w:r>
      <w:r>
        <w:rPr>
          <w:rFonts w:hint="eastAsia" w:ascii="宋体" w:hAnsi="宋体" w:eastAsia="宋体" w:cs="宋体"/>
          <w:color w:val="000000" w:themeColor="text1"/>
          <w:sz w:val="28"/>
          <w:szCs w:val="28"/>
          <w:highlight w:val="none"/>
          <w14:textFill>
            <w14:solidFill>
              <w14:schemeClr w14:val="tx1"/>
            </w14:solidFill>
          </w14:textFill>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乙方收款账户：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收款账号：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开户行：</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税号：</w:t>
      </w:r>
      <w:r>
        <w:rPr>
          <w:rFonts w:hint="eastAsia" w:ascii="宋体" w:hAnsi="宋体" w:eastAsia="宋体" w:cs="宋体"/>
          <w:color w:val="000000" w:themeColor="text1"/>
          <w:sz w:val="28"/>
          <w:szCs w:val="28"/>
          <w:highlight w:val="none"/>
          <w:u w:val="single"/>
          <w14:textFill>
            <w14:solidFill>
              <w14:schemeClr w14:val="tx1"/>
            </w14:solidFill>
          </w14:textFill>
        </w:rPr>
        <w:t>91440101755584729Q</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地址及电话：</w:t>
      </w:r>
      <w:r>
        <w:rPr>
          <w:rFonts w:hint="eastAsia" w:ascii="宋体" w:hAnsi="宋体" w:eastAsia="宋体" w:cs="宋体"/>
          <w:color w:val="000000" w:themeColor="text1"/>
          <w:sz w:val="28"/>
          <w:szCs w:val="28"/>
          <w:highlight w:val="none"/>
          <w:u w:val="single"/>
          <w14:textFill>
            <w14:solidFill>
              <w14:schemeClr w14:val="tx1"/>
            </w14:solidFill>
          </w14:textFill>
        </w:rPr>
        <w:t>广州市天河区临江大道501号 020-38890283</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开户行/账号：</w:t>
      </w:r>
      <w:r>
        <w:rPr>
          <w:rFonts w:hint="eastAsia" w:ascii="宋体" w:hAnsi="宋体" w:eastAsia="宋体" w:cs="宋体"/>
          <w:color w:val="000000" w:themeColor="text1"/>
          <w:sz w:val="28"/>
          <w:szCs w:val="28"/>
          <w:highlight w:val="none"/>
          <w:u w:val="single"/>
          <w14:textFill>
            <w14:solidFill>
              <w14:schemeClr w14:val="tx1"/>
            </w14:solidFill>
          </w14:textFill>
        </w:rPr>
        <w:t>民生银行广州分行0301014140006932</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1"/>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5.3付款方式： </w:t>
      </w:r>
      <w:r>
        <w:rPr>
          <w:rFonts w:hint="eastAsia" w:ascii="宋体" w:hAnsi="宋体" w:eastAsia="宋体" w:cs="宋体"/>
          <w:color w:val="000000" w:themeColor="text1"/>
          <w:sz w:val="28"/>
          <w:szCs w:val="28"/>
          <w:highlight w:val="none"/>
          <w14:textFill>
            <w14:solidFill>
              <w14:schemeClr w14:val="tx1"/>
            </w14:solidFill>
          </w14:textFill>
        </w:rPr>
        <w:sym w:font="Wingdings" w:char="00FE"/>
      </w:r>
      <w:r>
        <w:rPr>
          <w:rFonts w:hint="eastAsia" w:ascii="宋体" w:hAnsi="宋体" w:eastAsia="宋体" w:cs="宋体"/>
          <w:color w:val="000000" w:themeColor="text1"/>
          <w:sz w:val="28"/>
          <w:szCs w:val="28"/>
          <w:highlight w:val="none"/>
          <w14:textFill>
            <w14:solidFill>
              <w14:schemeClr w14:val="tx1"/>
            </w14:solidFill>
          </w14:textFill>
        </w:rPr>
        <w:t xml:space="preserve">网银支付；  </w:t>
      </w:r>
      <w:r>
        <w:rPr>
          <w:rFonts w:hint="eastAsia" w:ascii="宋体" w:hAnsi="宋体" w:eastAsia="宋体" w:cs="宋体"/>
          <w:color w:val="000000" w:themeColor="text1"/>
          <w:sz w:val="28"/>
          <w:szCs w:val="28"/>
          <w:highlight w:val="none"/>
          <w14:textFill>
            <w14:solidFill>
              <w14:schemeClr w14:val="tx1"/>
            </w14:solidFill>
          </w14:textFill>
        </w:rPr>
        <w:sym w:font="Wingdings" w:char="00A8"/>
      </w:r>
      <w:r>
        <w:rPr>
          <w:rFonts w:hint="eastAsia" w:ascii="宋体" w:hAnsi="宋体" w:eastAsia="宋体" w:cs="宋体"/>
          <w:color w:val="000000" w:themeColor="text1"/>
          <w:sz w:val="28"/>
          <w:szCs w:val="28"/>
          <w:highlight w:val="none"/>
          <w14:textFill>
            <w14:solidFill>
              <w14:schemeClr w14:val="tx1"/>
            </w14:solidFill>
          </w14:textFill>
        </w:rPr>
        <w:t xml:space="preserve">支票；   </w:t>
      </w:r>
      <w:r>
        <w:rPr>
          <w:rFonts w:hint="eastAsia" w:ascii="宋体" w:hAnsi="宋体" w:eastAsia="宋体" w:cs="宋体"/>
          <w:color w:val="000000" w:themeColor="text1"/>
          <w:sz w:val="28"/>
          <w:szCs w:val="28"/>
          <w:highlight w:val="none"/>
          <w14:textFill>
            <w14:solidFill>
              <w14:schemeClr w14:val="tx1"/>
            </w14:solidFill>
          </w14:textFill>
        </w:rPr>
        <w:sym w:font="Wingdings" w:char="00A8"/>
      </w:r>
      <w:r>
        <w:rPr>
          <w:rFonts w:hint="eastAsia" w:ascii="宋体" w:hAnsi="宋体" w:eastAsia="宋体" w:cs="宋体"/>
          <w:color w:val="000000" w:themeColor="text1"/>
          <w:sz w:val="28"/>
          <w:szCs w:val="28"/>
          <w:highlight w:val="none"/>
          <w14:textFill>
            <w14:solidFill>
              <w14:schemeClr w14:val="tx1"/>
            </w14:solidFill>
          </w14:textFill>
        </w:rPr>
        <w:t xml:space="preserve">其他：       </w:t>
      </w:r>
    </w:p>
    <w:p>
      <w:pPr>
        <w:keepNext w:val="0"/>
        <w:keepLines w:val="0"/>
        <w:pageBreakBefore w:val="0"/>
        <w:numPr>
          <w:ilvl w:val="0"/>
          <w:numId w:val="4"/>
        </w:numPr>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履约担保</w:t>
      </w:r>
      <w:r>
        <w:rPr>
          <w:rFonts w:hint="eastAsia" w:ascii="宋体" w:hAnsi="宋体" w:cs="宋体"/>
          <w:b/>
          <w:color w:val="000000" w:themeColor="text1"/>
          <w:sz w:val="28"/>
          <w:szCs w:val="28"/>
          <w:highlight w:val="none"/>
          <w:lang w:val="en-US" w:eastAsia="zh-CN"/>
          <w14:textFill>
            <w14:solidFill>
              <w14:schemeClr w14:val="tx1"/>
            </w14:solidFill>
          </w14:textFill>
        </w:rPr>
        <w:t>及预付款保函</w:t>
      </w:r>
    </w:p>
    <w:p>
      <w:pPr>
        <w:keepNext w:val="0"/>
        <w:keepLines w:val="0"/>
        <w:pageBreakBefore w:val="0"/>
        <w:kinsoku/>
        <w:wordWrap/>
        <w:overflowPunct/>
        <w:topLinePunct w:val="0"/>
        <w:bidi w:val="0"/>
        <w:snapToGrid/>
        <w:spacing w:after="0" w:line="520" w:lineRule="exact"/>
        <w:ind w:firstLine="560" w:firstLineChars="200"/>
        <w:textAlignment w:val="auto"/>
        <w:outlineLvl w:val="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履约担保：</w:t>
      </w:r>
      <w:r>
        <w:rPr>
          <w:rFonts w:hint="eastAsia" w:ascii="宋体" w:hAnsi="宋体" w:eastAsia="宋体" w:cs="宋体"/>
          <w:color w:val="000000" w:themeColor="text1"/>
          <w:sz w:val="28"/>
          <w:szCs w:val="28"/>
          <w:highlight w:val="none"/>
          <w14:textFill>
            <w14:solidFill>
              <w14:schemeClr w14:val="tx1"/>
            </w14:solidFill>
          </w14:textFill>
        </w:rPr>
        <w:sym w:font="Wingdings" w:char="00FE"/>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highlight w:val="none"/>
          <w14:textFill>
            <w14:solidFill>
              <w14:schemeClr w14:val="tx1"/>
            </w14:solidFill>
          </w14:textFill>
        </w:rPr>
        <w:sym w:font="Wingdings" w:char="00A8"/>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本合同签订后10日内</w:t>
      </w:r>
      <w:r>
        <w:rPr>
          <w:rFonts w:hint="eastAsia" w:ascii="宋体" w:hAnsi="宋体" w:eastAsia="宋体" w:cs="宋体"/>
          <w:color w:val="000000" w:themeColor="text1"/>
          <w:sz w:val="28"/>
          <w:szCs w:val="28"/>
          <w:highlight w:val="none"/>
          <w:u w:val="single"/>
          <w14:textFill>
            <w14:solidFill>
              <w14:schemeClr w14:val="tx1"/>
            </w14:solidFill>
          </w14:textFill>
        </w:rPr>
        <w:t>以合同暂定总价的10%作为履约保证金，</w:t>
      </w:r>
      <w:r>
        <w:rPr>
          <w:rFonts w:hint="eastAsia" w:ascii="宋体" w:hAnsi="宋体" w:eastAsia="宋体" w:cs="宋体"/>
          <w:color w:val="000000" w:themeColor="text1"/>
          <w:sz w:val="28"/>
          <w:szCs w:val="28"/>
          <w:highlight w:val="none"/>
          <w14:textFill>
            <w14:solidFill>
              <w14:schemeClr w14:val="tx1"/>
            </w14:solidFill>
          </w14:textFill>
        </w:rPr>
        <w:t>金额为：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highlight w:val="none"/>
          <w:u w:val="none"/>
          <w14:textFill>
            <w14:solidFill>
              <w14:schemeClr w14:val="tx1"/>
            </w14:solidFill>
          </w14:textFill>
        </w:rPr>
        <w:t>（大写人民币：</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highlight w:val="none"/>
          <w:u w:val="none"/>
          <w14:textFill>
            <w14:solidFill>
              <w14:schemeClr w14:val="tx1"/>
            </w14:solidFill>
          </w14:textFill>
        </w:rPr>
        <w:t>）。</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6.2履约担保按以下任一种形式提供：</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1、符合甲方要求（详见附件保函格式）的银行独立保函，</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6.6</w:t>
      </w:r>
      <w:r>
        <w:rPr>
          <w:rFonts w:hint="eastAsia" w:ascii="宋体" w:hAnsi="宋体" w:eastAsia="宋体" w:cs="宋体"/>
          <w:color w:val="000000" w:themeColor="text1"/>
          <w:sz w:val="28"/>
          <w:szCs w:val="28"/>
          <w:highlight w:val="none"/>
          <w14:textFill>
            <w14:solidFill>
              <w14:schemeClr w14:val="tx1"/>
            </w14:solidFill>
          </w14:textFill>
        </w:rPr>
        <w:t>延长担保期限</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履约银行保函形式提交履约保证金的，在银行保函到期前，乙方应提前</w:t>
      </w:r>
      <w:r>
        <w:rPr>
          <w:rFonts w:hint="eastAsia" w:ascii="宋体" w:hAnsi="宋体" w:eastAsia="宋体" w:cs="宋体"/>
          <w:color w:val="000000" w:themeColor="text1"/>
          <w:sz w:val="28"/>
          <w:szCs w:val="28"/>
          <w:highlight w:val="none"/>
          <w:u w:val="single"/>
          <w14:textFill>
            <w14:solidFill>
              <w14:schemeClr w14:val="tx1"/>
            </w14:solidFill>
          </w14:textFill>
        </w:rPr>
        <w:t xml:space="preserve"> 7 </w:t>
      </w:r>
      <w:r>
        <w:rPr>
          <w:rFonts w:hint="eastAsia" w:ascii="宋体" w:hAnsi="宋体" w:eastAsia="宋体" w:cs="宋体"/>
          <w:color w:val="000000" w:themeColor="text1"/>
          <w:sz w:val="28"/>
          <w:szCs w:val="28"/>
          <w:highlight w:val="none"/>
          <w14:textFill>
            <w14:solidFill>
              <w14:schemeClr w14:val="tx1"/>
            </w14:solidFill>
          </w14:textFill>
        </w:rPr>
        <w:t>天向甲方提交新的保函以替换即将到期的保函。如乙方未及时提交的，甲方有权直接要求担保银行支付其担保的全部金额并解除合同。</w:t>
      </w:r>
    </w:p>
    <w:p>
      <w:pPr>
        <w:pStyle w:val="21"/>
        <w:keepNext w:val="0"/>
        <w:keepLines w:val="0"/>
        <w:pageBreakBefore w:val="0"/>
        <w:kinsoku/>
        <w:wordWrap/>
        <w:overflowPunct/>
        <w:topLinePunct w:val="0"/>
        <w:bidi w:val="0"/>
        <w:snapToGrid/>
        <w:spacing w:before="0" w:beforeAutospacing="0" w:after="0" w:afterAutospacing="0" w:line="520" w:lineRule="exact"/>
        <w:ind w:firstLine="525"/>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6.7</w:t>
      </w:r>
      <w:r>
        <w:rPr>
          <w:rFonts w:hint="eastAsia" w:ascii="宋体" w:hAnsi="宋体" w:eastAsia="宋体" w:cs="宋体"/>
          <w:color w:val="000000" w:themeColor="text1"/>
          <w:sz w:val="28"/>
          <w:szCs w:val="28"/>
          <w:highlight w:val="none"/>
          <w14:textFill>
            <w14:solidFill>
              <w14:schemeClr w14:val="tx1"/>
            </w14:solidFill>
          </w14:textFill>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6.8</w:t>
      </w:r>
      <w:r>
        <w:rPr>
          <w:rFonts w:hint="eastAsia" w:ascii="宋体" w:hAnsi="宋体" w:eastAsia="宋体" w:cs="宋体"/>
          <w:color w:val="000000" w:themeColor="text1"/>
          <w:sz w:val="28"/>
          <w:szCs w:val="28"/>
          <w:highlight w:val="none"/>
          <w14:textFill>
            <w14:solidFill>
              <w14:schemeClr w14:val="tx1"/>
            </w14:solidFill>
          </w14:textFill>
        </w:rPr>
        <w:t>甲方按合同约定提取履约担保金额后，乙方应在收到甲方通知后</w:t>
      </w:r>
      <w:r>
        <w:rPr>
          <w:rFonts w:hint="eastAsia" w:ascii="宋体" w:hAnsi="宋体" w:eastAsia="宋体" w:cs="宋体"/>
          <w:color w:val="000000" w:themeColor="text1"/>
          <w:sz w:val="28"/>
          <w:szCs w:val="28"/>
          <w:highlight w:val="none"/>
          <w:u w:val="single"/>
          <w14:textFill>
            <w14:solidFill>
              <w14:schemeClr w14:val="tx1"/>
            </w14:solidFill>
          </w14:textFill>
        </w:rPr>
        <w:t xml:space="preserve"> 7 </w:t>
      </w:r>
      <w:r>
        <w:rPr>
          <w:rFonts w:hint="eastAsia" w:ascii="宋体" w:hAnsi="宋体" w:eastAsia="宋体" w:cs="宋体"/>
          <w:color w:val="000000" w:themeColor="text1"/>
          <w:sz w:val="28"/>
          <w:szCs w:val="28"/>
          <w:highlight w:val="none"/>
          <w14:textFill>
            <w14:solidFill>
              <w14:schemeClr w14:val="tx1"/>
            </w14:solidFill>
          </w14:textFill>
        </w:rPr>
        <w:t>天内补足数额，逾期未补足，则甲方有权提取履约担保的全部余额并解除合同。</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6.9预付款保函</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6.9.1预付款保函的担保金额应与预付款金额相同。预付款保函的担保金额可根据完成的工作量的金额相应递减。</w:t>
      </w:r>
    </w:p>
    <w:p>
      <w:pPr>
        <w:pStyle w:val="7"/>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6.9.2预付款保函应与甲方确认相应完成的工作量后</w:t>
      </w:r>
      <w:r>
        <w:rPr>
          <w:rFonts w:hint="eastAsia" w:ascii="宋体" w:hAnsi="宋体" w:eastAsia="宋体" w:cs="宋体"/>
          <w:sz w:val="28"/>
          <w:szCs w:val="28"/>
          <w:highlight w:val="none"/>
          <w:u w:val="single"/>
          <w:lang w:val="en-US" w:eastAsia="zh-CN"/>
        </w:rPr>
        <w:t>14天</w:t>
      </w:r>
      <w:r>
        <w:rPr>
          <w:rFonts w:hint="eastAsia" w:ascii="宋体" w:hAnsi="宋体" w:eastAsia="宋体" w:cs="宋体"/>
          <w:sz w:val="28"/>
          <w:szCs w:val="28"/>
          <w:highlight w:val="none"/>
          <w:lang w:val="en-US" w:eastAsia="zh-CN"/>
        </w:rPr>
        <w:t>内退还给乙方。甲方不承当乙方与预付款保函有关的任何利息或其他类似的费用或收益。</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 xml:space="preserve">第七条 </w:t>
      </w:r>
      <w:r>
        <w:rPr>
          <w:rFonts w:hint="eastAsia" w:ascii="宋体" w:hAnsi="宋体" w:eastAsia="宋体" w:cs="宋体"/>
          <w:b/>
          <w:color w:val="000000" w:themeColor="text1"/>
          <w:sz w:val="28"/>
          <w:szCs w:val="28"/>
          <w:highlight w:val="none"/>
          <w14:textFill>
            <w14:solidFill>
              <w14:schemeClr w14:val="tx1"/>
            </w14:solidFill>
          </w14:textFill>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7.1 交货要求：乙方应在交货时向甲方提供出厂合格证、</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厂家品牌授权（如需）</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产品质量证明文件、操作维修手册等（手册应包含</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7.2外观验收：</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运抵交货地点后，甲乙双方根据合同约定对合同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的包装、外观与件数进行清点检查，并共同签署合同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7.3 开箱验收：开箱检验在合同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交付地点进行，</w:t>
      </w:r>
      <w:r>
        <w:rPr>
          <w:rFonts w:hint="eastAsia" w:ascii="宋体" w:hAnsi="宋体" w:eastAsia="宋体" w:cs="宋体"/>
          <w:color w:val="000000" w:themeColor="text1"/>
          <w:sz w:val="28"/>
          <w:szCs w:val="28"/>
          <w:highlight w:val="none"/>
          <w14:textFill>
            <w14:solidFill>
              <w14:schemeClr w14:val="tx1"/>
            </w14:solidFill>
          </w14:textFill>
        </w:rPr>
        <w:t>包括但不限于对合同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数量、规格、外观完好性进行检验。经验收合格后，甲方签发开箱检验合格证明。开箱验收合格前，</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的损坏风险由乙方承担。</w:t>
      </w:r>
    </w:p>
    <w:p>
      <w:pPr>
        <w:keepNext w:val="0"/>
        <w:keepLines w:val="0"/>
        <w:pageBreakBefore w:val="0"/>
        <w:kinsoku/>
        <w:wordWrap/>
        <w:overflowPunct/>
        <w:topLinePunct w:val="0"/>
        <w:bidi w:val="0"/>
        <w:adjustRightInd w:val="0"/>
        <w:snapToGrid/>
        <w:spacing w:after="0"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7.4如双方对合同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7.5对</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外观检查与开箱检查发现的问题，如数量、规格、外表质量等与合同约定不符，</w:t>
      </w:r>
      <w:r>
        <w:rPr>
          <w:rFonts w:hint="eastAsia" w:ascii="宋体" w:hAnsi="宋体" w:eastAsia="宋体" w:cs="宋体"/>
          <w:color w:val="000000" w:themeColor="text1"/>
          <w:sz w:val="28"/>
          <w:szCs w:val="28"/>
          <w:highlight w:val="none"/>
          <w:lang w:eastAsia="zh-CN"/>
          <w14:textFill>
            <w14:solidFill>
              <w14:schemeClr w14:val="tx1"/>
            </w14:solidFill>
          </w14:textFill>
        </w:rPr>
        <w:t>货物或部件</w:t>
      </w:r>
      <w:r>
        <w:rPr>
          <w:rFonts w:hint="eastAsia" w:ascii="宋体" w:hAnsi="宋体" w:eastAsia="宋体" w:cs="宋体"/>
          <w:color w:val="000000" w:themeColor="text1"/>
          <w:sz w:val="28"/>
          <w:szCs w:val="28"/>
          <w:highlight w:val="none"/>
          <w14:textFill>
            <w14:solidFill>
              <w14:schemeClr w14:val="tx1"/>
            </w14:solidFill>
          </w14:textFill>
        </w:rPr>
        <w:t>因包装、运输、装卸问题造成的任何损坏、丢失，装箱文件短缺等，乙方应在不影响甲方生产运营的前提下，在甲方规定期限内消除合同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中存在的缺陷，用合格的新</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更换有缺陷的</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、退货或补发，并自行承担费用。甲方有权在</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缺陷消除或</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7.6 甲方有权对合同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进行原厂正品验证，若合同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无法获原厂验证，甲方有权退回</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，要求乙方在</w:t>
      </w:r>
      <w:r>
        <w:rPr>
          <w:rFonts w:hint="eastAsia" w:ascii="宋体" w:hAnsi="宋体" w:eastAsia="宋体" w:cs="宋体"/>
          <w:color w:val="000000" w:themeColor="text1"/>
          <w:sz w:val="28"/>
          <w:szCs w:val="28"/>
          <w:highlight w:val="none"/>
          <w:u w:val="single"/>
          <w14:textFill>
            <w14:solidFill>
              <w14:schemeClr w14:val="tx1"/>
            </w14:solidFill>
          </w14:textFill>
        </w:rPr>
        <w:t xml:space="preserve"> 5 </w:t>
      </w:r>
      <w:r>
        <w:rPr>
          <w:rFonts w:hint="eastAsia" w:ascii="宋体" w:hAnsi="宋体" w:eastAsia="宋体" w:cs="宋体"/>
          <w:color w:val="000000" w:themeColor="text1"/>
          <w:sz w:val="28"/>
          <w:szCs w:val="28"/>
          <w:highlight w:val="none"/>
          <w14:textFill>
            <w14:solidFill>
              <w14:schemeClr w14:val="tx1"/>
            </w14:solidFill>
          </w14:textFill>
        </w:rPr>
        <w:t>个工作日内退回已支付款项并按</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价格的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u w:val="singl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支付违约金。</w:t>
      </w:r>
    </w:p>
    <w:bookmarkEnd w:id="98"/>
    <w:bookmarkEnd w:id="99"/>
    <w:bookmarkEnd w:id="100"/>
    <w:bookmarkEnd w:id="101"/>
    <w:bookmarkEnd w:id="102"/>
    <w:bookmarkEnd w:id="103"/>
    <w:bookmarkEnd w:id="104"/>
    <w:p>
      <w:pPr>
        <w:keepNext w:val="0"/>
        <w:keepLines w:val="0"/>
        <w:pageBreakBefore w:val="0"/>
        <w:kinsoku/>
        <w:wordWrap/>
        <w:overflowPunct/>
        <w:topLinePunct w:val="0"/>
        <w:bidi w:val="0"/>
        <w:snapToGrid/>
        <w:spacing w:before="120" w:after="120"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bookmarkStart w:id="105" w:name="_Toc520190030"/>
      <w:bookmarkStart w:id="106" w:name="_Toc474245215"/>
      <w:bookmarkStart w:id="107" w:name="_Toc518992990"/>
      <w:r>
        <w:rPr>
          <w:rFonts w:hint="eastAsia" w:ascii="宋体" w:hAnsi="宋体" w:eastAsia="宋体" w:cs="宋体"/>
          <w:b/>
          <w:color w:val="000000" w:themeColor="text1"/>
          <w:sz w:val="28"/>
          <w:szCs w:val="28"/>
          <w:highlight w:val="none"/>
          <w14:textFill>
            <w14:solidFill>
              <w14:schemeClr w14:val="tx1"/>
            </w14:solidFill>
          </w14:textFill>
        </w:rPr>
        <w:t>第八条 包装</w:t>
      </w:r>
      <w:bookmarkEnd w:id="105"/>
      <w:bookmarkEnd w:id="106"/>
      <w:bookmarkEnd w:id="107"/>
      <w:r>
        <w:rPr>
          <w:rFonts w:hint="eastAsia" w:ascii="宋体" w:hAnsi="宋体" w:eastAsia="宋体" w:cs="宋体"/>
          <w:b/>
          <w:color w:val="000000" w:themeColor="text1"/>
          <w:sz w:val="28"/>
          <w:szCs w:val="28"/>
          <w:highlight w:val="none"/>
          <w14:textFill>
            <w14:solidFill>
              <w14:schemeClr w14:val="tx1"/>
            </w14:solidFill>
          </w14:textFill>
        </w:rPr>
        <w:t>、标示及运输要求</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8.1 包装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8.1.1乙方根据</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的特点，按照有关国家、行业标准要求，对</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及其零配件进行适合长途运输、多次搬运与装卸、防震、防水、防潮、防霉、防锈、防腐蚀等的坚固可靠包装，确保</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8.1.2超限</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的包装要求：</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  </w:t>
      </w:r>
      <w:r>
        <w:rPr>
          <w:rFonts w:hint="eastAsia" w:ascii="宋体" w:hAnsi="宋体" w:eastAsia="宋体" w:cs="宋体"/>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 xml:space="preserve">8.2 </w:t>
      </w:r>
      <w:bookmarkStart w:id="108" w:name="_Toc107446851"/>
      <w:bookmarkStart w:id="109" w:name="_Toc107447244"/>
      <w:r>
        <w:rPr>
          <w:rFonts w:hint="eastAsia" w:ascii="宋体" w:hAnsi="宋体" w:eastAsia="宋体" w:cs="宋体"/>
          <w:bCs/>
          <w:color w:val="000000" w:themeColor="text1"/>
          <w:sz w:val="28"/>
          <w:szCs w:val="28"/>
          <w:highlight w:val="none"/>
          <w14:textFill>
            <w14:solidFill>
              <w14:schemeClr w14:val="tx1"/>
            </w14:solidFill>
          </w14:textFill>
        </w:rPr>
        <w:t>标志</w:t>
      </w:r>
    </w:p>
    <w:bookmarkEnd w:id="108"/>
    <w:bookmarkEnd w:id="109"/>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8.2.1乙方应按照国家标准对</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8.2.2根据合同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8.2.3  如由于包装不当或包装箱内部保护措施不符合要求而导致在装车或运输中发生</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或其任何部件的损坏或遗失，乙方应自费对缺损的</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、部件进行修理、更换或补供。</w:t>
      </w:r>
      <w:bookmarkStart w:id="110" w:name="_Toc520190032"/>
      <w:bookmarkStart w:id="111" w:name="_Toc474245218"/>
      <w:bookmarkStart w:id="112" w:name="_Toc9269"/>
      <w:bookmarkStart w:id="113" w:name="_Toc518992992"/>
      <w:bookmarkStart w:id="114" w:name="_Toc306350457"/>
      <w:bookmarkStart w:id="115" w:name="_Toc183666521"/>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8.3.1乙方应自行选择适宜的运输工具及线路安排合同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8.3.2 除合同条款另有约定外，每件</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8.3.3 除合同条款另有约定外，乙方应在合同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预计启运7日前，将合同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名称、数量、箱数、总毛重、每箱尺寸、装运合同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总金额、运输方式、预计交付日期和合同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启运后 24 小时之内正式通知甲方。</w:t>
      </w:r>
    </w:p>
    <w:bookmarkEnd w:id="110"/>
    <w:bookmarkEnd w:id="111"/>
    <w:bookmarkEnd w:id="112"/>
    <w:bookmarkEnd w:id="113"/>
    <w:bookmarkEnd w:id="114"/>
    <w:bookmarkEnd w:id="115"/>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116" w:name="_Toc183666522"/>
      <w:bookmarkStart w:id="117" w:name="_Toc18496"/>
      <w:bookmarkStart w:id="118" w:name="_Toc306350458"/>
      <w:r>
        <w:rPr>
          <w:rFonts w:hint="eastAsia" w:ascii="宋体" w:hAnsi="宋体" w:eastAsia="宋体" w:cs="宋体"/>
          <w:b/>
          <w:color w:val="000000" w:themeColor="text1"/>
          <w:sz w:val="28"/>
          <w:szCs w:val="28"/>
          <w:highlight w:val="none"/>
          <w14:textFill>
            <w14:solidFill>
              <w14:schemeClr w14:val="tx1"/>
            </w14:solidFill>
          </w14:textFill>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9.1  乙方应按甲方需求，派遣技术熟练、称职的技术人员到现场为甲方提供</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16"/>
    <w:bookmarkEnd w:id="117"/>
    <w:bookmarkEnd w:id="118"/>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bookmarkStart w:id="119" w:name="_Toc518992994"/>
      <w:bookmarkStart w:id="120" w:name="_Toc474245220"/>
      <w:bookmarkStart w:id="121" w:name="_Toc520190034"/>
      <w:bookmarkStart w:id="122" w:name="_Toc183666523"/>
      <w:bookmarkStart w:id="123" w:name="_Toc4682"/>
      <w:bookmarkStart w:id="124" w:name="_Toc306350459"/>
      <w:r>
        <w:rPr>
          <w:rFonts w:hint="eastAsia" w:ascii="宋体" w:hAnsi="宋体" w:eastAsia="宋体" w:cs="宋体"/>
          <w:b/>
          <w:color w:val="000000" w:themeColor="text1"/>
          <w:sz w:val="28"/>
          <w:szCs w:val="28"/>
          <w:highlight w:val="none"/>
          <w14:textFill>
            <w14:solidFill>
              <w14:schemeClr w14:val="tx1"/>
            </w14:solidFill>
          </w14:textFill>
        </w:rPr>
        <w:t>第十条 质量保</w:t>
      </w:r>
      <w:bookmarkEnd w:id="119"/>
      <w:bookmarkEnd w:id="120"/>
      <w:bookmarkEnd w:id="121"/>
      <w:r>
        <w:rPr>
          <w:rFonts w:hint="eastAsia" w:ascii="宋体" w:hAnsi="宋体" w:eastAsia="宋体" w:cs="宋体"/>
          <w:b/>
          <w:color w:val="000000" w:themeColor="text1"/>
          <w:sz w:val="28"/>
          <w:szCs w:val="28"/>
          <w:highlight w:val="none"/>
          <w14:textFill>
            <w14:solidFill>
              <w14:schemeClr w14:val="tx1"/>
            </w14:solidFill>
          </w14:textFill>
        </w:rPr>
        <w:t>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10.1保修期：</w:t>
      </w:r>
      <w:r>
        <w:rPr>
          <w:rFonts w:hint="eastAsia" w:ascii="宋体" w:hAnsi="宋体" w:eastAsia="宋体" w:cs="宋体"/>
          <w:color w:val="000000" w:themeColor="text1"/>
          <w:sz w:val="28"/>
          <w:szCs w:val="28"/>
          <w:highlight w:val="none"/>
          <w14:textFill>
            <w14:solidFill>
              <w14:schemeClr w14:val="tx1"/>
            </w14:solidFill>
          </w14:textFill>
        </w:rPr>
        <w:t>自</w:t>
      </w:r>
      <w:r>
        <w:rPr>
          <w:rFonts w:hint="eastAsia" w:ascii="宋体" w:hAnsi="宋体" w:eastAsia="宋体" w:cs="宋体"/>
          <w:color w:val="000000" w:themeColor="text1"/>
          <w:kern w:val="0"/>
          <w:sz w:val="28"/>
          <w:szCs w:val="28"/>
          <w:highlight w:val="none"/>
          <w:lang w:val="zh-CN"/>
          <w14:textFill>
            <w14:solidFill>
              <w14:schemeClr w14:val="tx1"/>
            </w14:solidFill>
          </w14:textFill>
        </w:rPr>
        <w:t>货物</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安装调试</w:t>
      </w:r>
      <w:r>
        <w:rPr>
          <w:rFonts w:hint="eastAsia" w:ascii="宋体" w:hAnsi="宋体" w:eastAsia="宋体" w:cs="宋体"/>
          <w:color w:val="000000" w:themeColor="text1"/>
          <w:kern w:val="0"/>
          <w:sz w:val="28"/>
          <w:szCs w:val="28"/>
          <w:highlight w:val="none"/>
          <w:lang w:val="zh-CN"/>
          <w14:textFill>
            <w14:solidFill>
              <w14:schemeClr w14:val="tx1"/>
            </w14:solidFill>
          </w14:textFill>
        </w:rPr>
        <w:t>验收合格之日起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壹</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年</w:t>
      </w:r>
      <w:r>
        <w:rPr>
          <w:rFonts w:hint="eastAsia" w:ascii="宋体" w:hAnsi="宋体" w:eastAsia="宋体" w:cs="宋体"/>
          <w:color w:val="000000" w:themeColor="text1"/>
          <w:sz w:val="28"/>
          <w:szCs w:val="28"/>
          <w:highlight w:val="none"/>
          <w:u w:val="none"/>
          <w:lang w:eastAsia="zh-CN"/>
          <w14:textFill>
            <w14:solidFill>
              <w14:schemeClr w14:val="tx1"/>
            </w14:solidFill>
          </w14:textFill>
        </w:rPr>
        <w:t>且不得低于法定规定保修时间</w:t>
      </w:r>
      <w:r>
        <w:rPr>
          <w:rFonts w:hint="eastAsia" w:ascii="宋体" w:hAnsi="宋体" w:eastAsia="宋体" w:cs="宋体"/>
          <w:color w:val="000000" w:themeColor="text1"/>
          <w:sz w:val="28"/>
          <w:szCs w:val="28"/>
          <w:highlight w:val="none"/>
          <w14:textFill>
            <w14:solidFill>
              <w14:schemeClr w14:val="tx1"/>
            </w14:solidFill>
          </w14:textFill>
        </w:rPr>
        <w:t>。保修期内乙方应免费对</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10.2</w:t>
      </w:r>
      <w:r>
        <w:rPr>
          <w:rFonts w:hint="eastAsia" w:ascii="宋体" w:hAnsi="宋体" w:eastAsia="宋体" w:cs="宋体"/>
          <w:color w:val="000000" w:themeColor="text1"/>
          <w:kern w:val="0"/>
          <w:sz w:val="28"/>
          <w:szCs w:val="28"/>
          <w:highlight w:val="none"/>
          <w14:textFill>
            <w14:solidFill>
              <w14:schemeClr w14:val="tx1"/>
            </w14:solidFill>
          </w14:textFill>
        </w:rPr>
        <w:t>保修</w:t>
      </w:r>
      <w:r>
        <w:rPr>
          <w:rFonts w:hint="eastAsia" w:ascii="宋体" w:hAnsi="宋体" w:eastAsia="宋体" w:cs="宋体"/>
          <w:color w:val="000000" w:themeColor="text1"/>
          <w:kern w:val="0"/>
          <w:sz w:val="28"/>
          <w:szCs w:val="28"/>
          <w:highlight w:val="none"/>
          <w:lang w:val="zh-CN"/>
          <w14:textFill>
            <w14:solidFill>
              <w14:schemeClr w14:val="tx1"/>
            </w14:solidFill>
          </w14:textFill>
        </w:rPr>
        <w:t>期内，乙方应对货物质量问题负责。如货物质量问题导致处理水量、出水水质达不到合同要求的，乙方需无条件免费更换货物并支付合</w:t>
      </w:r>
      <w:r>
        <w:rPr>
          <w:rFonts w:hint="eastAsia" w:ascii="宋体" w:hAnsi="宋体" w:eastAsia="宋体" w:cs="宋体"/>
          <w:color w:val="000000" w:themeColor="text1"/>
          <w:kern w:val="0"/>
          <w:sz w:val="28"/>
          <w:szCs w:val="28"/>
          <w:highlight w:val="none"/>
          <w:u w:val="single"/>
          <w:lang w:val="zh-CN"/>
          <w14:textFill>
            <w14:solidFill>
              <w14:schemeClr w14:val="tx1"/>
            </w14:solidFill>
          </w14:textFill>
        </w:rPr>
        <w:t>同暂定总价的10%作为</w:t>
      </w:r>
      <w:r>
        <w:rPr>
          <w:rFonts w:hint="eastAsia" w:ascii="宋体" w:hAnsi="宋体" w:eastAsia="宋体" w:cs="宋体"/>
          <w:color w:val="000000" w:themeColor="text1"/>
          <w:kern w:val="0"/>
          <w:sz w:val="28"/>
          <w:szCs w:val="28"/>
          <w:highlight w:val="none"/>
          <w:lang w:val="zh-CN"/>
          <w14:textFill>
            <w14:solidFill>
              <w14:schemeClr w14:val="tx1"/>
            </w14:solidFill>
          </w14:textFill>
        </w:rPr>
        <w:t>违约金，</w:t>
      </w:r>
      <w:r>
        <w:rPr>
          <w:rFonts w:hint="eastAsia" w:ascii="宋体" w:hAnsi="宋体" w:eastAsia="宋体" w:cs="宋体"/>
          <w:color w:val="000000" w:themeColor="text1"/>
          <w:kern w:val="0"/>
          <w:sz w:val="28"/>
          <w:szCs w:val="28"/>
          <w:highlight w:val="none"/>
          <w14:textFill>
            <w14:solidFill>
              <w14:schemeClr w14:val="tx1"/>
            </w14:solidFill>
          </w14:textFill>
        </w:rPr>
        <w:t>由此产生的</w:t>
      </w:r>
      <w:r>
        <w:rPr>
          <w:rFonts w:hint="eastAsia" w:ascii="宋体" w:hAnsi="宋体" w:eastAsia="宋体" w:cs="宋体"/>
          <w:color w:val="000000" w:themeColor="text1"/>
          <w:kern w:val="0"/>
          <w:sz w:val="28"/>
          <w:szCs w:val="28"/>
          <w:highlight w:val="none"/>
          <w:lang w:val="zh-CN"/>
          <w14:textFill>
            <w14:solidFill>
              <w14:schemeClr w14:val="tx1"/>
            </w14:solidFill>
          </w14:textFill>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10.3 保修期间由于</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10.4 质量保修期间，如合同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出现故障，乙方应在接到甲方通知后</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8"/>
          <w:szCs w:val="28"/>
          <w:highlight w:val="none"/>
          <w14:textFill>
            <w14:solidFill>
              <w14:schemeClr w14:val="tx1"/>
            </w14:solidFill>
          </w14:textFill>
        </w:rPr>
        <w:t xml:space="preserve"> 小时内通过电话、网络等提供远程技术指导，如甲方需要乙方到场的，乙方应在收到甲方通知后</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小时内派专业技术人员到场负责解决及维修故障。</w:t>
      </w:r>
      <w:bookmarkEnd w:id="122"/>
      <w:bookmarkEnd w:id="123"/>
      <w:bookmarkEnd w:id="124"/>
      <w:bookmarkStart w:id="125" w:name="_Toc474245223"/>
      <w:bookmarkStart w:id="126" w:name="_Toc107446857"/>
      <w:bookmarkStart w:id="127" w:name="_Toc518992997"/>
      <w:bookmarkStart w:id="128" w:name="_Toc306350464"/>
      <w:bookmarkStart w:id="129" w:name="_Toc107447250"/>
      <w:bookmarkStart w:id="130" w:name="_Toc27734"/>
      <w:bookmarkStart w:id="131" w:name="_Toc183666528"/>
      <w:bookmarkStart w:id="132" w:name="_Toc520190037"/>
      <w:r>
        <w:rPr>
          <w:rFonts w:hint="eastAsia" w:ascii="宋体" w:hAnsi="宋体" w:eastAsia="宋体" w:cs="宋体"/>
          <w:bCs/>
          <w:color w:val="000000" w:themeColor="text1"/>
          <w:sz w:val="28"/>
          <w:szCs w:val="28"/>
          <w:highlight w:val="none"/>
          <w14:textFill>
            <w14:solidFill>
              <w14:schemeClr w14:val="tx1"/>
            </w14:solidFill>
          </w14:textFill>
        </w:rPr>
        <w:t>如果乙方不按时到场维修或到场后不能修复的，甲方有权委托他人予以维修，乙方承担由此发生的费用并支付</w:t>
      </w:r>
      <w:r>
        <w:rPr>
          <w:rFonts w:hint="eastAsia" w:ascii="宋体" w:hAnsi="宋体" w:eastAsia="宋体" w:cs="宋体"/>
          <w:bCs/>
          <w:color w:val="000000" w:themeColor="text1"/>
          <w:sz w:val="28"/>
          <w:szCs w:val="28"/>
          <w:highlight w:val="none"/>
          <w:u w:val="single"/>
          <w14:textFill>
            <w14:solidFill>
              <w14:schemeClr w14:val="tx1"/>
            </w14:solidFill>
          </w14:textFill>
        </w:rPr>
        <w:t>合同暂定总价10%/次</w:t>
      </w:r>
      <w:r>
        <w:rPr>
          <w:rFonts w:hint="eastAsia" w:ascii="宋体" w:hAnsi="宋体" w:eastAsia="宋体" w:cs="宋体"/>
          <w:bCs/>
          <w:color w:val="000000" w:themeColor="text1"/>
          <w:sz w:val="28"/>
          <w:szCs w:val="28"/>
          <w:highlight w:val="none"/>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第十一条 违约责任</w:t>
      </w:r>
      <w:bookmarkEnd w:id="125"/>
      <w:bookmarkEnd w:id="126"/>
      <w:bookmarkEnd w:id="127"/>
      <w:bookmarkEnd w:id="128"/>
      <w:bookmarkEnd w:id="129"/>
      <w:bookmarkEnd w:id="130"/>
      <w:bookmarkEnd w:id="131"/>
      <w:bookmarkEnd w:id="132"/>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11.1 延期交货的违约责任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11.1.1 乙方应按照本合同约定的时间交货。如乙方因客观情况导致无法按时交货，乙方应在交货期前</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11.1.2乙方未能在合同规定期限内交货并交付完整技术资料的，每逾期一天，甲方有权按迟</w:t>
      </w:r>
      <w:r>
        <w:rPr>
          <w:rFonts w:hint="eastAsia" w:ascii="宋体" w:hAnsi="宋体" w:eastAsia="宋体" w:cs="宋体"/>
          <w:bCs/>
          <w:color w:val="000000" w:themeColor="text1"/>
          <w:sz w:val="28"/>
          <w:szCs w:val="28"/>
          <w:highlight w:val="none"/>
          <w:u w:val="single"/>
          <w14:textFill>
            <w14:solidFill>
              <w14:schemeClr w14:val="tx1"/>
            </w14:solidFill>
          </w14:textFill>
        </w:rPr>
        <w:t>交货</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u w:val="single"/>
          <w14:textFill>
            <w14:solidFill>
              <w14:schemeClr w14:val="tx1"/>
            </w14:solidFill>
          </w14:textFill>
        </w:rPr>
        <w:t>价格的1%/天</w:t>
      </w:r>
      <w:r>
        <w:rPr>
          <w:rFonts w:hint="eastAsia" w:ascii="宋体" w:hAnsi="宋体" w:eastAsia="宋体" w:cs="宋体"/>
          <w:bCs/>
          <w:color w:val="000000" w:themeColor="text1"/>
          <w:sz w:val="28"/>
          <w:szCs w:val="28"/>
          <w:highlight w:val="none"/>
          <w14:textFill>
            <w14:solidFill>
              <w14:schemeClr w14:val="tx1"/>
            </w14:solidFill>
          </w14:textFill>
        </w:rPr>
        <w:t>要求乙方支付违约金。逾期超过</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15 </w:t>
      </w:r>
      <w:r>
        <w:rPr>
          <w:rFonts w:hint="eastAsia" w:ascii="宋体" w:hAnsi="宋体" w:eastAsia="宋体" w:cs="宋体"/>
          <w:bCs/>
          <w:color w:val="000000" w:themeColor="text1"/>
          <w:sz w:val="28"/>
          <w:szCs w:val="28"/>
          <w:highlight w:val="none"/>
          <w14:textFill>
            <w14:solidFill>
              <w14:schemeClr w14:val="tx1"/>
            </w14:solidFill>
          </w14:textFill>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 质量问题的违约责任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11.2.1 自乙方交货后至质量保修期满的期间内，甲方经检查发现或合同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经安装、调试、试车或运行显示，合同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（1）乙方承担费用，用合格的新</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更换有缺陷的</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或修补缺陷部分；</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（2）退还</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所需的其他费用。</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（3）按不合格</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价格的</w:t>
      </w:r>
      <w:r>
        <w:rPr>
          <w:rFonts w:hint="eastAsia" w:ascii="宋体" w:hAnsi="宋体" w:eastAsia="宋体" w:cs="宋体"/>
          <w:bCs/>
          <w:color w:val="000000" w:themeColor="text1"/>
          <w:sz w:val="28"/>
          <w:szCs w:val="28"/>
          <w:highlight w:val="none"/>
          <w:u w:val="single"/>
          <w14:textFill>
            <w14:solidFill>
              <w14:schemeClr w14:val="tx1"/>
            </w14:solidFill>
          </w14:textFill>
        </w:rPr>
        <w:t>50</w:t>
      </w:r>
      <w:r>
        <w:rPr>
          <w:rFonts w:hint="eastAsia" w:ascii="宋体" w:hAnsi="宋体" w:eastAsia="宋体" w:cs="宋体"/>
          <w:bCs/>
          <w:color w:val="000000" w:themeColor="text1"/>
          <w:sz w:val="28"/>
          <w:szCs w:val="28"/>
          <w:highlight w:val="none"/>
          <w14:textFill>
            <w14:solidFill>
              <w14:schemeClr w14:val="tx1"/>
            </w14:solidFill>
          </w14:textFill>
        </w:rPr>
        <w:t>%支付违约金。</w:t>
      </w:r>
    </w:p>
    <w:p>
      <w:pPr>
        <w:keepNext w:val="0"/>
        <w:keepLines w:val="0"/>
        <w:pageBreakBefore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（4）赔偿甲方因</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质量问题导致的一切损失。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11.2.2 如果乙方提供的技术资料有错误，或者由于乙方技术人员原因造成</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安装、调试不成功和（或）造成合同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损坏的情况，乙方应在</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14:textFill>
            <w14:solidFill>
              <w14:schemeClr w14:val="tx1"/>
            </w14:solidFill>
          </w14:textFill>
        </w:rPr>
        <w:t>小时内采取修理、更换、退货等补救措施并负担因此发生的费用，同时需向甲方支付</w:t>
      </w:r>
      <w:r>
        <w:rPr>
          <w:rFonts w:hint="eastAsia" w:ascii="宋体" w:hAnsi="宋体" w:eastAsia="宋体" w:cs="宋体"/>
          <w:bCs/>
          <w:color w:val="000000" w:themeColor="text1"/>
          <w:sz w:val="28"/>
          <w:szCs w:val="28"/>
          <w:highlight w:val="none"/>
          <w:u w:val="single"/>
          <w14:textFill>
            <w14:solidFill>
              <w14:schemeClr w14:val="tx1"/>
            </w14:solidFill>
          </w14:textFill>
        </w:rPr>
        <w:t>不合格</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价格的 50 </w:t>
      </w:r>
      <w:r>
        <w:rPr>
          <w:rFonts w:hint="eastAsia" w:ascii="宋体" w:hAnsi="宋体" w:eastAsia="宋体" w:cs="宋体"/>
          <w:bCs/>
          <w:color w:val="000000" w:themeColor="text1"/>
          <w:sz w:val="28"/>
          <w:szCs w:val="28"/>
          <w:highlight w:val="none"/>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11.2.3 在开箱检验、或使用过程中发现乙方提交的合同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为贴牌、假冒、伪劣、翻新产品，或生产组成合同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的原材料、配件是贴牌、假冒、伪劣货物时，乙方应在甲方通知之日自行收回</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，甲方不负保管责任，</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毁损灭失风险自甲方通知之时起由乙方承担，乙方将已支付款项（含预付款）退还甲方，并按</w:t>
      </w:r>
      <w:r>
        <w:rPr>
          <w:rFonts w:hint="eastAsia" w:ascii="宋体" w:hAnsi="宋体" w:eastAsia="宋体" w:cs="宋体"/>
          <w:bCs/>
          <w:color w:val="000000" w:themeColor="text1"/>
          <w:sz w:val="28"/>
          <w:szCs w:val="28"/>
          <w:highlight w:val="none"/>
          <w:u w:val="single"/>
          <w14:textFill>
            <w14:solidFill>
              <w14:schemeClr w14:val="tx1"/>
            </w14:solidFill>
          </w14:textFill>
        </w:rPr>
        <w:t>合同暂定总价的 100 %</w:t>
      </w:r>
      <w:r>
        <w:rPr>
          <w:rFonts w:hint="eastAsia" w:ascii="宋体" w:hAnsi="宋体" w:eastAsia="宋体" w:cs="宋体"/>
          <w:bCs/>
          <w:color w:val="000000" w:themeColor="text1"/>
          <w:sz w:val="28"/>
          <w:szCs w:val="28"/>
          <w:highlight w:val="none"/>
          <w14:textFill>
            <w14:solidFill>
              <w14:schemeClr w14:val="tx1"/>
            </w14:solidFill>
          </w14:textFill>
        </w:rPr>
        <w:t>支付违约金。</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11.2.4 在合同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设计使用寿命期内，如果乙方发现合同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由于设计、制造、标识等原因存在足以危及人身、财产安全的缺陷，应及时通知甲方并采取修正或者补充标识、修理、更换等措施消除缺陷，因</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11.3 如乙方未按合同六条约定递交履约保证金，甲方有权解除合同并要求乙方支付</w:t>
      </w:r>
      <w:r>
        <w:rPr>
          <w:rFonts w:hint="eastAsia" w:ascii="宋体" w:hAnsi="宋体" w:eastAsia="宋体" w:cs="宋体"/>
          <w:bCs/>
          <w:color w:val="000000" w:themeColor="text1"/>
          <w:sz w:val="28"/>
          <w:szCs w:val="28"/>
          <w:highlight w:val="none"/>
          <w:u w:val="single"/>
          <w14:textFill>
            <w14:solidFill>
              <w14:schemeClr w14:val="tx1"/>
            </w14:solidFill>
          </w14:textFill>
        </w:rPr>
        <w:t>合同暂定总价的20%</w:t>
      </w:r>
      <w:r>
        <w:rPr>
          <w:rFonts w:hint="eastAsia" w:ascii="宋体" w:hAnsi="宋体" w:eastAsia="宋体" w:cs="宋体"/>
          <w:bCs/>
          <w:color w:val="000000" w:themeColor="text1"/>
          <w:sz w:val="28"/>
          <w:szCs w:val="28"/>
          <w:highlight w:val="none"/>
          <w14:textFill>
            <w14:solidFill>
              <w14:schemeClr w14:val="tx1"/>
            </w14:solidFill>
          </w14:textFill>
        </w:rPr>
        <w:t xml:space="preserve">作为违约金。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11.4 如双方对质量责任认定有争议，</w:t>
      </w:r>
      <w:r>
        <w:rPr>
          <w:rFonts w:hint="eastAsia" w:ascii="宋体" w:hAnsi="宋体" w:eastAsia="宋体" w:cs="宋体"/>
          <w:color w:val="000000" w:themeColor="text1"/>
          <w:sz w:val="28"/>
          <w:szCs w:val="28"/>
          <w:highlight w:val="none"/>
          <w14:textFill>
            <w14:solidFill>
              <w14:schemeClr w14:val="tx1"/>
            </w14:solidFill>
          </w14:textFill>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11.5乙方不履行合同义务、或履行合同义务不符合合同约定、或违反国家、省、市行业标准的，甲方有权要</w:t>
      </w:r>
      <w:r>
        <w:rPr>
          <w:rFonts w:hint="eastAsia" w:ascii="宋体" w:hAnsi="宋体" w:eastAsia="宋体" w:cs="宋体"/>
          <w:bCs/>
          <w:color w:val="000000" w:themeColor="text1"/>
          <w:sz w:val="28"/>
          <w:szCs w:val="28"/>
          <w:highlight w:val="none"/>
          <w14:textFill>
            <w14:solidFill>
              <w14:schemeClr w14:val="tx1"/>
            </w14:solidFill>
          </w14:textFill>
        </w:rPr>
        <w:t>求乙方限期整改。乙方逾期未完成整改的，每项每超过1日支付违约金人民币1万元，超过</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14:textFill>
            <w14:solidFill>
              <w14:schemeClr w14:val="tx1"/>
            </w14:solidFill>
          </w14:textFill>
        </w:rPr>
        <w:t>日</w:t>
      </w:r>
      <w:r>
        <w:rPr>
          <w:rFonts w:hint="eastAsia" w:ascii="宋体" w:hAnsi="宋体" w:eastAsia="宋体" w:cs="宋体"/>
          <w:bCs/>
          <w:color w:val="000000" w:themeColor="text1"/>
          <w:sz w:val="28"/>
          <w:szCs w:val="28"/>
          <w:highlight w:val="none"/>
          <w14:textFill>
            <w14:solidFill>
              <w14:schemeClr w14:val="tx1"/>
            </w14:solidFill>
          </w14:textFill>
        </w:rPr>
        <w:t>，甲方有权解除合同并要求乙方支付</w:t>
      </w:r>
      <w:r>
        <w:rPr>
          <w:rFonts w:hint="eastAsia" w:ascii="宋体" w:hAnsi="宋体" w:eastAsia="宋体" w:cs="宋体"/>
          <w:bCs/>
          <w:color w:val="000000" w:themeColor="text1"/>
          <w:sz w:val="28"/>
          <w:szCs w:val="28"/>
          <w:highlight w:val="none"/>
          <w:u w:val="single"/>
          <w14:textFill>
            <w14:solidFill>
              <w14:schemeClr w14:val="tx1"/>
            </w14:solidFill>
          </w14:textFill>
        </w:rPr>
        <w:t>合同暂定总价的20%</w:t>
      </w:r>
      <w:r>
        <w:rPr>
          <w:rFonts w:hint="eastAsia" w:ascii="宋体" w:hAnsi="宋体" w:eastAsia="宋体" w:cs="宋体"/>
          <w:bCs/>
          <w:color w:val="000000" w:themeColor="text1"/>
          <w:sz w:val="28"/>
          <w:szCs w:val="28"/>
          <w:highlight w:val="none"/>
          <w14:textFill>
            <w14:solidFill>
              <w14:schemeClr w14:val="tx1"/>
            </w14:solidFill>
          </w14:textFill>
        </w:rPr>
        <w:t>作为违约金（</w:t>
      </w:r>
      <w:r>
        <w:rPr>
          <w:rFonts w:hint="eastAsia" w:ascii="宋体" w:hAnsi="宋体" w:eastAsia="宋体" w:cs="宋体"/>
          <w:color w:val="000000" w:themeColor="text1"/>
          <w:sz w:val="28"/>
          <w:szCs w:val="28"/>
          <w:highlight w:val="none"/>
          <w14:textFill>
            <w14:solidFill>
              <w14:schemeClr w14:val="tx1"/>
            </w14:solidFill>
          </w14:textFill>
        </w:rPr>
        <w:t>如合同另行约定违约责任，从其约定</w:t>
      </w:r>
      <w:r>
        <w:rPr>
          <w:rFonts w:hint="eastAsia" w:ascii="宋体" w:hAnsi="宋体" w:eastAsia="宋体" w:cs="宋体"/>
          <w:bCs/>
          <w:color w:val="000000" w:themeColor="text1"/>
          <w:sz w:val="28"/>
          <w:szCs w:val="28"/>
          <w:highlight w:val="none"/>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第十二条 变更或解除</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12.1 甲方解除合同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12.1.1 乙方未能在本合同约定或甲方另行指定的期限内提供部分或全部</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12.1.2乙方交付的</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12.2 乙方解除合同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如甲方无正当理由未能按本合同约定期限向乙方支付合同款，并经乙方催告后超过</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天仍未支付，乙方有权以书面通知解除本合同。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14.1 因本合同引起的或与本合同有关的任何争议，甲乙双方应友好协商解决，如协商不成，任何一方均可依法向</w:t>
      </w:r>
      <w:r>
        <w:rPr>
          <w:rFonts w:hint="eastAsia" w:ascii="宋体" w:hAnsi="宋体" w:eastAsia="宋体" w:cs="宋体"/>
          <w:color w:val="000000" w:themeColor="text1"/>
          <w:sz w:val="28"/>
          <w:szCs w:val="28"/>
          <w:highlight w:val="none"/>
          <w:u w:val="single"/>
          <w14:textFill>
            <w14:solidFill>
              <w14:schemeClr w14:val="tx1"/>
            </w14:solidFill>
          </w14:textFill>
        </w:rPr>
        <w:t>甲方所在地人民法院</w:t>
      </w:r>
      <w:r>
        <w:rPr>
          <w:rFonts w:hint="eastAsia" w:ascii="宋体" w:hAnsi="宋体" w:eastAsia="宋体" w:cs="宋体"/>
          <w:color w:val="000000" w:themeColor="text1"/>
          <w:sz w:val="28"/>
          <w:szCs w:val="28"/>
          <w:highlight w:val="none"/>
          <w14:textFill>
            <w14:solidFill>
              <w14:schemeClr w14:val="tx1"/>
            </w14:solidFill>
          </w14:textFill>
        </w:rPr>
        <w:t>提起诉讼。</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第十五条 其他：</w:t>
      </w:r>
    </w:p>
    <w:p>
      <w:pPr>
        <w:keepNext w:val="0"/>
        <w:keepLines w:val="0"/>
        <w:pageBreakBefore w:val="0"/>
        <w:kinsoku/>
        <w:wordWrap/>
        <w:overflowPunct/>
        <w:topLinePunct w:val="0"/>
        <w:bidi w:val="0"/>
        <w:snapToGrid/>
        <w:spacing w:line="520" w:lineRule="exact"/>
        <w:ind w:firstLine="694" w:firstLineChars="248"/>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15.1</w:t>
      </w:r>
      <w:r>
        <w:rPr>
          <w:rFonts w:hint="eastAsia" w:ascii="宋体" w:hAnsi="宋体" w:eastAsia="宋体" w:cs="宋体"/>
          <w:color w:val="000000" w:themeColor="text1"/>
          <w:sz w:val="28"/>
          <w:szCs w:val="28"/>
          <w:highlight w:val="none"/>
          <w14:textFill>
            <w14:solidFill>
              <w14:schemeClr w14:val="tx1"/>
            </w14:solidFill>
          </w14:textFill>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15.3本合同一式</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份，甲方执</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份，乙方执</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15.4补充条款：</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附件：1.中标通知书</w:t>
      </w:r>
      <w:r>
        <w:rPr>
          <w:rFonts w:hint="eastAsia" w:ascii="宋体" w:hAnsi="宋体" w:eastAsia="宋体" w:cs="宋体"/>
          <w:color w:val="000000" w:themeColor="text1"/>
          <w:sz w:val="28"/>
          <w:szCs w:val="28"/>
          <w:highlight w:val="none"/>
          <w:lang w:val="en-US" w:eastAsia="zh-CN"/>
          <w14:textFill>
            <w14:solidFill>
              <w14:schemeClr w14:val="tx1"/>
            </w14:solidFill>
          </w14:textFill>
        </w:rPr>
        <w:t>/成交通知书</w:t>
      </w:r>
    </w:p>
    <w:p>
      <w:pPr>
        <w:keepNext w:val="0"/>
        <w:keepLines w:val="0"/>
        <w:pageBreakBefore w:val="0"/>
        <w:numPr>
          <w:ilvl w:val="0"/>
          <w:numId w:val="0"/>
        </w:numPr>
        <w:kinsoku/>
        <w:wordWrap/>
        <w:overflowPunct/>
        <w:topLinePunct w:val="0"/>
        <w:bidi w:val="0"/>
        <w:snapToGrid/>
        <w:spacing w:line="520" w:lineRule="exact"/>
        <w:ind w:left="0" w:leftChars="0" w:firstLine="840" w:firstLineChars="3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廉洁协议</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物品采购</w:t>
      </w:r>
      <w:r>
        <w:rPr>
          <w:rFonts w:hint="eastAsia" w:ascii="宋体" w:hAnsi="宋体" w:eastAsia="宋体" w:cs="宋体"/>
          <w:color w:val="000000" w:themeColor="text1"/>
          <w:sz w:val="28"/>
          <w:szCs w:val="28"/>
          <w:highlight w:val="none"/>
          <w14:textFill>
            <w14:solidFill>
              <w14:schemeClr w14:val="tx1"/>
            </w14:solidFill>
          </w14:textFill>
        </w:rPr>
        <w:t>安全协议书</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cs="宋体"/>
          <w:color w:val="000000" w:themeColor="text1"/>
          <w:kern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kern w:val="0"/>
          <w:sz w:val="28"/>
          <w:szCs w:val="28"/>
          <w:highlight w:val="none"/>
          <w:lang w:val="zh-CN"/>
          <w14:textFill>
            <w14:solidFill>
              <w14:schemeClr w14:val="tx1"/>
            </w14:solidFill>
          </w14:textFill>
        </w:rPr>
        <w:t>.</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报价清单</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lang w:val="en-US" w:eastAsia="zh-CN"/>
          <w14:textFill>
            <w14:solidFill>
              <w14:schemeClr w14:val="tx1"/>
            </w14:solidFill>
          </w14:textFill>
        </w:rPr>
        <w:t>5</w:t>
      </w:r>
      <w:r>
        <w:rPr>
          <w:rFonts w:hint="eastAsia" w:ascii="宋体" w:hAnsi="宋体" w:eastAsia="宋体" w:cs="宋体"/>
          <w:color w:val="000000" w:themeColor="text1"/>
          <w:kern w:val="0"/>
          <w:sz w:val="28"/>
          <w:szCs w:val="28"/>
          <w:highlight w:val="none"/>
          <w14:textFill>
            <w14:solidFill>
              <w14:schemeClr w14:val="tx1"/>
            </w14:solidFill>
          </w14:textFill>
        </w:rPr>
        <w:t>.履约保函（模板）</w:t>
      </w:r>
    </w:p>
    <w:p>
      <w:pPr>
        <w:pStyle w:val="2"/>
        <w:ind w:firstLine="840" w:firstLineChars="300"/>
        <w:rPr>
          <w:rFonts w:hint="default" w:eastAsia="宋体"/>
          <w:highlight w:val="none"/>
          <w:lang w:val="en-US" w:eastAsia="zh-CN"/>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6.预付款保函（模板）</w:t>
      </w:r>
    </w:p>
    <w:p>
      <w:pPr>
        <w:pStyle w:val="7"/>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甲方</w:t>
            </w:r>
            <w:r>
              <w:rPr>
                <w:rFonts w:hint="eastAsia" w:ascii="宋体" w:hAnsi="宋体" w:eastAsia="宋体" w:cs="宋体"/>
                <w:color w:val="000000" w:themeColor="text1"/>
                <w:sz w:val="28"/>
                <w:szCs w:val="28"/>
                <w:highlight w:val="none"/>
                <w14:textFill>
                  <w14:solidFill>
                    <w14:schemeClr w14:val="tx1"/>
                  </w14:solidFill>
                </w14:textFill>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乙方</w:t>
            </w:r>
            <w:r>
              <w:rPr>
                <w:rFonts w:hint="eastAsia" w:ascii="宋体" w:hAnsi="宋体" w:eastAsia="宋体" w:cs="宋体"/>
                <w:color w:val="000000" w:themeColor="text1"/>
                <w:sz w:val="28"/>
                <w:szCs w:val="28"/>
                <w:highlight w:val="none"/>
                <w14:textFill>
                  <w14:solidFill>
                    <w14:schemeClr w14:val="tx1"/>
                  </w14:solidFill>
                </w14:textFill>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签订日期:</w:t>
            </w:r>
          </w:p>
        </w:tc>
      </w:tr>
    </w:tbl>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jc w:val="both"/>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pStyle w:val="2"/>
        <w:ind w:firstLine="0"/>
        <w:rPr>
          <w:rFonts w:hint="eastAsia" w:ascii="宋体" w:hAnsi="宋体" w:cs="宋体"/>
          <w:b/>
          <w:bCs/>
          <w:color w:val="000000" w:themeColor="text1"/>
          <w:szCs w:val="21"/>
          <w:highlight w:val="none"/>
          <w14:textFill>
            <w14:solidFill>
              <w14:schemeClr w14:val="tx1"/>
            </w14:solidFill>
          </w14:textFill>
        </w:rPr>
      </w:pPr>
    </w:p>
    <w:p>
      <w:pPr>
        <w:pStyle w:val="2"/>
        <w:ind w:firstLine="0"/>
        <w:rPr>
          <w:rFonts w:hint="eastAsia" w:ascii="宋体" w:hAnsi="宋体" w:cs="宋体"/>
          <w:b/>
          <w:bCs/>
          <w:color w:val="000000" w:themeColor="text1"/>
          <w:szCs w:val="21"/>
          <w:highlight w:val="none"/>
          <w14:textFill>
            <w14:solidFill>
              <w14:schemeClr w14:val="tx1"/>
            </w14:solidFill>
          </w14:textFill>
        </w:rPr>
      </w:pPr>
    </w:p>
    <w:p>
      <w:pPr>
        <w:pStyle w:val="2"/>
        <w:ind w:firstLine="0"/>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附件1  中标通知书</w:t>
      </w: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附件2  </w:t>
      </w:r>
      <w:r>
        <w:rPr>
          <w:rFonts w:hint="eastAsia" w:ascii="宋体" w:hAnsi="宋体" w:eastAsia="宋体" w:cs="宋体"/>
          <w:b/>
          <w:bCs/>
          <w:color w:val="000000" w:themeColor="text1"/>
          <w:szCs w:val="21"/>
          <w:highlight w:val="none"/>
          <w14:textFill>
            <w14:solidFill>
              <w14:schemeClr w14:val="tx1"/>
            </w14:solidFill>
          </w14:textFill>
        </w:rPr>
        <w:t>廉洁协议</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000000" w:themeColor="text1"/>
          <w:sz w:val="28"/>
          <w:szCs w:val="28"/>
          <w:highlight w:val="none"/>
          <w:u w:val="single"/>
          <w14:textFill>
            <w14:solidFill>
              <w14:schemeClr w14:val="tx1"/>
            </w14:solidFill>
          </w14:textFill>
        </w:rPr>
        <w:t>广州市净水有限公司</w:t>
      </w:r>
      <w:r>
        <w:rPr>
          <w:rFonts w:hint="eastAsia" w:ascii="宋体" w:hAnsi="宋体" w:eastAsia="宋体" w:cs="宋体"/>
          <w:b w:val="0"/>
          <w:bCs/>
          <w:color w:val="000000" w:themeColor="text1"/>
          <w:sz w:val="28"/>
          <w:szCs w:val="28"/>
          <w:highlight w:val="none"/>
          <w14:textFill>
            <w14:solidFill>
              <w14:schemeClr w14:val="tx1"/>
            </w14:solidFill>
          </w14:textFill>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（二）严格执行</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14:textFill>
            <w14:solidFill>
              <w14:schemeClr w14:val="tx1"/>
            </w14:solidFill>
          </w14:textFill>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（五）乙方不得擅自与甲方工作人员就</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主</w:t>
      </w:r>
      <w:r>
        <w:rPr>
          <w:rFonts w:hint="eastAsia" w:ascii="宋体" w:hAnsi="宋体" w:eastAsia="宋体" w:cs="宋体"/>
          <w:b w:val="0"/>
          <w:bCs/>
          <w:color w:val="000000" w:themeColor="text1"/>
          <w:sz w:val="28"/>
          <w:szCs w:val="28"/>
          <w:highlight w:val="none"/>
          <w14:textFill>
            <w14:solidFill>
              <w14:schemeClr w14:val="tx1"/>
            </w14:solidFill>
          </w14:textFill>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甲方举报投诉联系部门：广州市净水有限公司</w:t>
      </w:r>
      <w:r>
        <w:rPr>
          <w:rFonts w:hint="eastAsia" w:ascii="宋体" w:hAnsi="宋体" w:eastAsia="宋体" w:cs="宋体"/>
          <w:b w:val="0"/>
          <w:bCs/>
          <w:color w:val="000000" w:themeColor="text1"/>
          <w:sz w:val="28"/>
          <w:szCs w:val="28"/>
          <w:highlight w:val="none"/>
          <w:u w:val="single"/>
          <w14:textFill>
            <w14:solidFill>
              <w14:schemeClr w14:val="tx1"/>
            </w14:solidFill>
          </w14:textFill>
        </w:rPr>
        <w:t>纪检室</w:t>
      </w:r>
      <w:r>
        <w:rPr>
          <w:rFonts w:hint="eastAsia" w:ascii="宋体" w:hAnsi="宋体" w:eastAsia="宋体" w:cs="宋体"/>
          <w:b w:val="0"/>
          <w:bCs/>
          <w:color w:val="000000" w:themeColor="text1"/>
          <w:sz w:val="28"/>
          <w:szCs w:val="28"/>
          <w:highlight w:val="none"/>
          <w14:textFill>
            <w14:solidFill>
              <w14:schemeClr w14:val="tx1"/>
            </w14:solidFill>
          </w14:textFill>
        </w:rPr>
        <w:t>，联系电话：</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020-38890265 </w:t>
      </w:r>
      <w:r>
        <w:rPr>
          <w:rFonts w:hint="eastAsia" w:ascii="宋体" w:hAnsi="宋体" w:eastAsia="宋体" w:cs="宋体"/>
          <w:b w:val="0"/>
          <w:bCs/>
          <w:color w:val="000000" w:themeColor="text1"/>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甲方</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2、解除</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000000" w:themeColor="text1"/>
          <w:kern w:val="0"/>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 xml:space="preserve">第五条 </w:t>
      </w:r>
      <w:r>
        <w:rPr>
          <w:rFonts w:hint="eastAsia" w:ascii="宋体" w:hAnsi="宋体" w:eastAsia="宋体" w:cs="宋体"/>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第六条本协议作为</w:t>
      </w:r>
      <w:r>
        <w:rPr>
          <w:rFonts w:hint="eastAsia" w:ascii="宋体" w:hAnsi="宋体" w:eastAsia="宋体" w:cs="宋体"/>
          <w:b w:val="0"/>
          <w:bCs/>
          <w:color w:val="000000" w:themeColor="text1"/>
          <w:sz w:val="28"/>
          <w:szCs w:val="28"/>
          <w:highlight w:val="none"/>
          <w:u w:val="single"/>
          <w14:textFill>
            <w14:solidFill>
              <w14:schemeClr w14:val="tx1"/>
            </w14:solidFill>
          </w14:textFill>
        </w:rPr>
        <w:t>（合同名称）+（合同编号）</w:t>
      </w:r>
      <w:r>
        <w:rPr>
          <w:rFonts w:hint="eastAsia" w:ascii="宋体" w:hAnsi="宋体" w:eastAsia="宋体" w:cs="宋体"/>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第七条本协议一式</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份，甲方</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份，乙方</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甲方（盖章）：                     乙方（盖章）：</w:t>
      </w:r>
    </w:p>
    <w:p>
      <w:pPr>
        <w:pStyle w:val="33"/>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r>
        <w:rPr>
          <w:rFonts w:hint="eastAsia" w:ascii="宋体" w:hAnsi="宋体" w:eastAsia="宋体" w:cs="宋体"/>
          <w:b w:val="0"/>
          <w:bCs/>
          <w:color w:val="000000" w:themeColor="text1"/>
          <w:sz w:val="28"/>
          <w:szCs w:val="28"/>
          <w:highlight w:val="none"/>
          <w14:textFill>
            <w14:solidFill>
              <w14:schemeClr w14:val="tx1"/>
            </w14:solidFill>
          </w14:textFill>
        </w:rPr>
        <w:tab/>
      </w: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p>
    <w:p>
      <w:pPr>
        <w:pStyle w:val="2"/>
        <w:spacing w:line="520" w:lineRule="exact"/>
        <w:ind w:left="0" w:leftChars="0"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
        <w:spacing w:line="520" w:lineRule="exact"/>
        <w:ind w:left="0" w:leftChars="0"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
        <w:spacing w:line="520" w:lineRule="exact"/>
        <w:ind w:left="0" w:leftChars="0"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
        <w:spacing w:line="520" w:lineRule="exact"/>
        <w:ind w:left="0" w:leftChars="0"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
        <w:spacing w:line="520" w:lineRule="exact"/>
        <w:ind w:left="0" w:leftChars="0"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
        <w:spacing w:line="520" w:lineRule="exact"/>
        <w:ind w:left="0" w:leftChars="0"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
        <w:spacing w:line="520" w:lineRule="exact"/>
        <w:ind w:left="0" w:leftChars="0"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
        <w:spacing w:line="520" w:lineRule="exact"/>
        <w:ind w:left="0" w:leftChars="0"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
        <w:spacing w:line="520" w:lineRule="exact"/>
        <w:ind w:left="0" w:leftChars="0"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
        <w:spacing w:line="520" w:lineRule="exact"/>
        <w:ind w:left="0" w:leftChars="0"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
        <w:spacing w:line="520" w:lineRule="exact"/>
        <w:ind w:left="0" w:leftChars="0"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
        <w:spacing w:line="520" w:lineRule="exact"/>
        <w:ind w:left="0" w:leftChars="0"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
        <w:spacing w:line="520" w:lineRule="exact"/>
        <w:ind w:left="0" w:leftChars="0"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
        <w:spacing w:line="520" w:lineRule="exact"/>
        <w:ind w:left="0" w:leftChars="0"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
        <w:spacing w:line="520" w:lineRule="exact"/>
        <w:ind w:left="0" w:leftChars="0"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
        <w:spacing w:line="520" w:lineRule="exact"/>
        <w:ind w:left="0" w:leftChars="0" w:firstLine="0" w:firstLineChars="0"/>
        <w:rPr>
          <w:rFonts w:hint="eastAsia" w:ascii="宋体" w:hAnsi="宋体" w:eastAsia="宋体" w:cs="宋体"/>
          <w:b/>
          <w:color w:val="000000" w:themeColor="text1"/>
          <w:szCs w:val="21"/>
          <w:highlight w:val="none"/>
          <w14:textFill>
            <w14:solidFill>
              <w14:schemeClr w14:val="tx1"/>
            </w14:solidFill>
          </w14:textFill>
        </w:rPr>
      </w:pPr>
    </w:p>
    <w:p>
      <w:pPr>
        <w:spacing w:line="360" w:lineRule="auto"/>
        <w:rPr>
          <w:rFonts w:hint="eastAsia" w:ascii="黑体" w:hAnsi="宋体" w:eastAsia="黑体" w:cs="宋体"/>
          <w:bCs/>
          <w:color w:val="000000" w:themeColor="text1"/>
          <w:kern w:val="0"/>
          <w:sz w:val="44"/>
          <w:szCs w:val="44"/>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附件3：安全管理协议书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000000" w:themeColor="text1"/>
          <w:kern w:val="0"/>
          <w:sz w:val="24"/>
          <w:highlight w:val="none"/>
          <w14:textFill>
            <w14:solidFill>
              <w14:schemeClr w14:val="tx1"/>
            </w14:solidFill>
          </w14:textFill>
        </w:rPr>
      </w:pPr>
      <w:r>
        <w:rPr>
          <w:rFonts w:hint="eastAsia" w:ascii="黑体" w:hAnsi="宋体" w:eastAsia="黑体" w:cs="宋体"/>
          <w:bCs/>
          <w:color w:val="000000" w:themeColor="text1"/>
          <w:kern w:val="0"/>
          <w:sz w:val="44"/>
          <w:szCs w:val="44"/>
          <w:highlight w:val="none"/>
          <w14:textFill>
            <w14:solidFill>
              <w14:schemeClr w14:val="tx1"/>
            </w14:solidFill>
          </w14:textFill>
        </w:rPr>
        <w:t>物品采购</w:t>
      </w:r>
      <w:r>
        <w:rPr>
          <w:rFonts w:hint="eastAsia" w:ascii="黑体" w:hAnsi="Batang" w:eastAsia="黑体" w:cs="Batang"/>
          <w:bCs/>
          <w:color w:val="000000" w:themeColor="text1"/>
          <w:kern w:val="0"/>
          <w:sz w:val="44"/>
          <w:szCs w:val="44"/>
          <w:highlight w:val="none"/>
          <w14:textFill>
            <w14:solidFill>
              <w14:schemeClr w14:val="tx1"/>
            </w14:solidFill>
          </w14:textFill>
        </w:rPr>
        <w:t>安全协议</w:t>
      </w:r>
      <w:r>
        <w:rPr>
          <w:rFonts w:hint="eastAsia" w:ascii="黑体" w:hAnsi="宋体" w:eastAsia="黑体" w:cs="宋体"/>
          <w:bCs/>
          <w:color w:val="000000" w:themeColor="text1"/>
          <w:kern w:val="0"/>
          <w:sz w:val="44"/>
          <w:szCs w:val="44"/>
          <w:highlight w:val="none"/>
          <w14:textFill>
            <w14:solidFill>
              <w14:schemeClr w14:val="tx1"/>
            </w14:solidFill>
          </w14:textFill>
        </w:rPr>
        <w:t>书</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甲方：</w:t>
      </w:r>
      <w:r>
        <w:rPr>
          <w:rFonts w:hint="eastAsia"/>
          <w:color w:val="000000" w:themeColor="text1"/>
          <w:sz w:val="24"/>
          <w:highlight w:val="none"/>
          <w14:textFill>
            <w14:solidFill>
              <w14:schemeClr w14:val="tx1"/>
            </w14:solidFill>
          </w14:textFill>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为加强物品采购过程安全管理，根据《中华人民共和国安全生产法》、《生产安全事故报告和调查处理条例》等国家及地方有关安全生产法律法规</w:t>
      </w:r>
      <w:r>
        <w:rPr>
          <w:rFonts w:ascii="宋体" w:hAnsi="宋体" w:cs="Arial"/>
          <w:color w:val="000000" w:themeColor="text1"/>
          <w:kern w:val="0"/>
          <w:sz w:val="24"/>
          <w:highlight w:val="none"/>
          <w14:textFill>
            <w14:solidFill>
              <w14:schemeClr w14:val="tx1"/>
            </w14:solidFill>
          </w14:textFill>
        </w:rPr>
        <w:t>，甲乙双方就</w:t>
      </w:r>
      <w:r>
        <w:rPr>
          <w:rFonts w:hint="eastAsia" w:ascii="宋体" w:hAnsi="宋体" w:cs="Arial"/>
          <w:color w:val="000000" w:themeColor="text1"/>
          <w:kern w:val="0"/>
          <w:sz w:val="24"/>
          <w:highlight w:val="none"/>
          <w14:textFill>
            <w14:solidFill>
              <w14:schemeClr w14:val="tx1"/>
            </w14:solidFill>
          </w14:textFill>
        </w:rPr>
        <w:t>物品采购的安全</w:t>
      </w:r>
      <w:r>
        <w:rPr>
          <w:rFonts w:ascii="宋体" w:hAnsi="宋体" w:cs="Arial"/>
          <w:color w:val="000000" w:themeColor="text1"/>
          <w:kern w:val="0"/>
          <w:sz w:val="24"/>
          <w:highlight w:val="none"/>
          <w14:textFill>
            <w14:solidFill>
              <w14:schemeClr w14:val="tx1"/>
            </w14:solidFill>
          </w14:textFill>
        </w:rPr>
        <w:t>事宜，</w:t>
      </w:r>
      <w:r>
        <w:rPr>
          <w:rFonts w:ascii="宋体" w:hAnsi="宋体" w:cs="Arial"/>
          <w:color w:val="000000" w:themeColor="text1"/>
          <w:sz w:val="24"/>
          <w:highlight w:val="none"/>
          <w14:textFill>
            <w14:solidFill>
              <w14:schemeClr w14:val="tx1"/>
            </w14:solidFill>
          </w14:textFill>
        </w:rPr>
        <w:t>经双方友好协商，达成如下协议</w:t>
      </w:r>
      <w:r>
        <w:rPr>
          <w:rFonts w:ascii="宋体" w:hAnsi="宋体" w:cs="Arial"/>
          <w:color w:val="000000" w:themeColor="text1"/>
          <w:kern w:val="0"/>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本协议作为</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highlight w:val="none"/>
          <w14:textFill>
            <w14:solidFill>
              <w14:schemeClr w14:val="tx1"/>
            </w14:solidFill>
          </w14:textFill>
        </w:rPr>
      </w:pPr>
      <w:r>
        <w:rPr>
          <w:rFonts w:hint="eastAsia" w:ascii="宋体" w:hAnsi="宋体" w:cs="Arial"/>
          <w:b/>
          <w:color w:val="000000" w:themeColor="text1"/>
          <w:kern w:val="0"/>
          <w:sz w:val="24"/>
          <w:highlight w:val="none"/>
          <w14:textFill>
            <w14:solidFill>
              <w14:schemeClr w14:val="tx1"/>
            </w14:solidFill>
          </w14:textFill>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highlight w:val="none"/>
          <w14:textFill>
            <w14:solidFill>
              <w14:schemeClr w14:val="tx1"/>
            </w14:solidFill>
          </w14:textFill>
        </w:rPr>
      </w:pPr>
      <w:r>
        <w:rPr>
          <w:rFonts w:hint="eastAsia" w:ascii="宋体" w:hAnsi="宋体" w:cs="Arial"/>
          <w:b/>
          <w:color w:val="000000" w:themeColor="text1"/>
          <w:kern w:val="0"/>
          <w:sz w:val="24"/>
          <w:highlight w:val="none"/>
          <w14:textFill>
            <w14:solidFill>
              <w14:schemeClr w14:val="tx1"/>
            </w14:solidFill>
          </w14:textFill>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（二）</w:t>
      </w:r>
      <w:r>
        <w:rPr>
          <w:rFonts w:hint="eastAsia" w:ascii="宋体" w:hAnsi="宋体" w:cs="宋体"/>
          <w:color w:val="000000" w:themeColor="text1"/>
          <w:kern w:val="0"/>
          <w:sz w:val="24"/>
          <w:highlight w:val="none"/>
          <w14:textFill>
            <w14:solidFill>
              <w14:schemeClr w14:val="tx1"/>
            </w14:solidFill>
          </w14:textFill>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000000" w:themeColor="text1"/>
          <w:kern w:val="0"/>
          <w:sz w:val="24"/>
          <w:highlight w:val="none"/>
          <w14:textFill>
            <w14:solidFill>
              <w14:schemeClr w14:val="tx1"/>
            </w14:solidFill>
          </w14:textFill>
        </w:rPr>
        <w:t>物品</w:t>
      </w:r>
      <w:r>
        <w:rPr>
          <w:rFonts w:hint="eastAsia" w:ascii="宋体" w:hAnsi="宋体" w:cs="宋体"/>
          <w:color w:val="000000" w:themeColor="text1"/>
          <w:kern w:val="0"/>
          <w:sz w:val="24"/>
          <w:highlight w:val="none"/>
          <w14:textFill>
            <w14:solidFill>
              <w14:schemeClr w14:val="tx1"/>
            </w14:solidFill>
          </w14:textFill>
        </w:rPr>
        <w:t>安全运输责任人，负责安全运输和装卸及安全教育工作，同时督促检查，确保</w:t>
      </w:r>
      <w:r>
        <w:rPr>
          <w:rFonts w:hint="eastAsia" w:ascii="宋体" w:hAnsi="宋体" w:cs="Arial"/>
          <w:color w:val="000000" w:themeColor="text1"/>
          <w:kern w:val="0"/>
          <w:sz w:val="24"/>
          <w:highlight w:val="none"/>
          <w14:textFill>
            <w14:solidFill>
              <w14:schemeClr w14:val="tx1"/>
            </w14:solidFill>
          </w14:textFill>
        </w:rPr>
        <w:t>物品</w:t>
      </w:r>
      <w:r>
        <w:rPr>
          <w:rFonts w:hint="eastAsia" w:ascii="宋体" w:hAnsi="宋体" w:cs="宋体"/>
          <w:color w:val="000000" w:themeColor="text1"/>
          <w:kern w:val="0"/>
          <w:sz w:val="24"/>
          <w:highlight w:val="none"/>
          <w14:textFill>
            <w14:solidFill>
              <w14:schemeClr w14:val="tx1"/>
            </w14:solidFill>
          </w14:textFill>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（三）乙方应承诺所售</w:t>
      </w:r>
      <w:r>
        <w:rPr>
          <w:rFonts w:hint="eastAsia" w:ascii="宋体" w:hAnsi="宋体" w:cs="Arial"/>
          <w:color w:val="000000" w:themeColor="text1"/>
          <w:kern w:val="0"/>
          <w:sz w:val="24"/>
          <w:highlight w:val="none"/>
          <w14:textFill>
            <w14:solidFill>
              <w14:schemeClr w14:val="tx1"/>
            </w14:solidFill>
          </w14:textFill>
        </w:rPr>
        <w:t>物品</w:t>
      </w:r>
      <w:r>
        <w:rPr>
          <w:rFonts w:hint="eastAsia" w:ascii="宋体" w:hAnsi="宋体" w:cs="宋体"/>
          <w:color w:val="000000" w:themeColor="text1"/>
          <w:kern w:val="0"/>
          <w:sz w:val="24"/>
          <w:highlight w:val="none"/>
          <w14:textFill>
            <w14:solidFill>
              <w14:schemeClr w14:val="tx1"/>
            </w14:solidFill>
          </w14:textFill>
        </w:rPr>
        <w:t>质量符合现行国家规范要求，保证</w:t>
      </w:r>
      <w:r>
        <w:rPr>
          <w:rFonts w:hint="eastAsia" w:ascii="宋体" w:hAnsi="宋体" w:cs="Arial"/>
          <w:color w:val="000000" w:themeColor="text1"/>
          <w:kern w:val="0"/>
          <w:sz w:val="24"/>
          <w:highlight w:val="none"/>
          <w14:textFill>
            <w14:solidFill>
              <w14:schemeClr w14:val="tx1"/>
            </w14:solidFill>
          </w14:textFill>
        </w:rPr>
        <w:t>所售物品为正品。</w:t>
      </w:r>
      <w:r>
        <w:rPr>
          <w:rFonts w:hint="eastAsia" w:ascii="宋体" w:hAnsi="宋体" w:cs="Arial"/>
          <w:color w:val="000000" w:themeColor="text1"/>
          <w:kern w:val="0"/>
          <w:sz w:val="24"/>
          <w:highlight w:val="none"/>
          <w:lang w:eastAsia="zh-CN"/>
          <w14:textFill>
            <w14:solidFill>
              <w14:schemeClr w14:val="tx1"/>
            </w14:solidFill>
          </w14:textFill>
        </w:rPr>
        <w:t>货物</w:t>
      </w:r>
      <w:r>
        <w:rPr>
          <w:rFonts w:hint="eastAsia" w:ascii="宋体" w:hAnsi="宋体" w:cs="Arial"/>
          <w:color w:val="000000" w:themeColor="text1"/>
          <w:kern w:val="0"/>
          <w:sz w:val="24"/>
          <w:highlight w:val="none"/>
          <w14:textFill>
            <w14:solidFill>
              <w14:schemeClr w14:val="tx1"/>
            </w14:solidFill>
          </w14:textFill>
        </w:rPr>
        <w:t>类物品应提供与</w:t>
      </w:r>
      <w:r>
        <w:rPr>
          <w:rFonts w:hint="eastAsia" w:ascii="宋体" w:hAnsi="宋体" w:cs="Arial"/>
          <w:color w:val="000000" w:themeColor="text1"/>
          <w:kern w:val="0"/>
          <w:sz w:val="24"/>
          <w:highlight w:val="none"/>
          <w:lang w:eastAsia="zh-CN"/>
          <w14:textFill>
            <w14:solidFill>
              <w14:schemeClr w14:val="tx1"/>
            </w14:solidFill>
          </w14:textFill>
        </w:rPr>
        <w:t>货物</w:t>
      </w:r>
      <w:r>
        <w:rPr>
          <w:rFonts w:hint="eastAsia" w:ascii="宋体" w:hAnsi="宋体" w:cs="Arial"/>
          <w:color w:val="000000" w:themeColor="text1"/>
          <w:kern w:val="0"/>
          <w:sz w:val="24"/>
          <w:highlight w:val="none"/>
          <w14:textFill>
            <w14:solidFill>
              <w14:schemeClr w14:val="tx1"/>
            </w14:solidFill>
          </w14:textFill>
        </w:rPr>
        <w:t>型号一致的使用说明书（进口</w:t>
      </w:r>
      <w:r>
        <w:rPr>
          <w:rFonts w:hint="eastAsia" w:ascii="宋体" w:hAnsi="宋体" w:cs="Arial"/>
          <w:color w:val="000000" w:themeColor="text1"/>
          <w:kern w:val="0"/>
          <w:sz w:val="24"/>
          <w:highlight w:val="none"/>
          <w:lang w:eastAsia="zh-CN"/>
          <w14:textFill>
            <w14:solidFill>
              <w14:schemeClr w14:val="tx1"/>
            </w14:solidFill>
          </w14:textFill>
        </w:rPr>
        <w:t>货物</w:t>
      </w:r>
      <w:r>
        <w:rPr>
          <w:rFonts w:hint="eastAsia" w:ascii="宋体" w:hAnsi="宋体" w:cs="Arial"/>
          <w:color w:val="000000" w:themeColor="text1"/>
          <w:kern w:val="0"/>
          <w:sz w:val="24"/>
          <w:highlight w:val="none"/>
          <w14:textFill>
            <w14:solidFill>
              <w14:schemeClr w14:val="tx1"/>
            </w14:solidFill>
          </w14:textFill>
        </w:rPr>
        <w:t>应有中文说明书），如物品有保质期要求的应在保质期范围内，</w:t>
      </w:r>
      <w:r>
        <w:rPr>
          <w:rFonts w:hint="eastAsia" w:ascii="宋体" w:hAnsi="宋体" w:cs="宋体"/>
          <w:color w:val="000000" w:themeColor="text1"/>
          <w:kern w:val="0"/>
          <w:sz w:val="24"/>
          <w:highlight w:val="none"/>
          <w14:textFill>
            <w14:solidFill>
              <w14:schemeClr w14:val="tx1"/>
            </w14:solidFill>
          </w14:textFill>
        </w:rPr>
        <w:t>特殊</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（四）乙方对</w:t>
      </w:r>
      <w:r>
        <w:rPr>
          <w:rFonts w:hint="eastAsia" w:ascii="宋体" w:hAnsi="宋体" w:cs="Arial"/>
          <w:color w:val="000000" w:themeColor="text1"/>
          <w:kern w:val="0"/>
          <w:sz w:val="24"/>
          <w:highlight w:val="none"/>
          <w14:textFill>
            <w14:solidFill>
              <w14:schemeClr w14:val="tx1"/>
            </w14:solidFill>
          </w14:textFill>
        </w:rPr>
        <w:t>物品</w:t>
      </w:r>
      <w:r>
        <w:rPr>
          <w:rFonts w:hint="eastAsia" w:ascii="宋体" w:hAnsi="宋体" w:cs="宋体"/>
          <w:color w:val="000000" w:themeColor="text1"/>
          <w:kern w:val="0"/>
          <w:sz w:val="24"/>
          <w:highlight w:val="none"/>
          <w14:textFill>
            <w14:solidFill>
              <w14:schemeClr w14:val="tx1"/>
            </w14:solidFill>
          </w14:textFill>
        </w:rPr>
        <w:t>的运输、装卸、</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（五）乙方须加强物品运输车辆的安全管理，用于运输</w:t>
      </w:r>
      <w:r>
        <w:rPr>
          <w:rFonts w:hint="eastAsia" w:ascii="宋体" w:hAnsi="宋体" w:cs="Arial"/>
          <w:color w:val="000000" w:themeColor="text1"/>
          <w:kern w:val="0"/>
          <w:sz w:val="24"/>
          <w:highlight w:val="none"/>
          <w14:textFill>
            <w14:solidFill>
              <w14:schemeClr w14:val="tx1"/>
            </w14:solidFill>
          </w14:textFill>
        </w:rPr>
        <w:t>物品</w:t>
      </w:r>
      <w:r>
        <w:rPr>
          <w:rFonts w:hint="eastAsia" w:ascii="宋体" w:hAnsi="宋体" w:cs="宋体"/>
          <w:color w:val="000000" w:themeColor="text1"/>
          <w:kern w:val="0"/>
          <w:sz w:val="24"/>
          <w:highlight w:val="none"/>
          <w14:textFill>
            <w14:solidFill>
              <w14:schemeClr w14:val="tx1"/>
            </w14:solidFill>
          </w14:textFill>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5"/>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4.如</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类物品需进行安装、调试，乙方应安排熟悉</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或有</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操作相关资质的专业人员与甲方进行</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验收及培训等工作，确保操作</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（十）乙方委托的第三方运输单位或个人，违反本协议的，全部责任均由乙方承担。</w:t>
      </w:r>
    </w:p>
    <w:p>
      <w:pPr>
        <w:pStyle w:val="36"/>
        <w:keepNext w:val="0"/>
        <w:keepLines w:val="0"/>
        <w:pageBreakBefore w:val="0"/>
        <w:kinsoku/>
        <w:wordWrap/>
        <w:overflowPunct/>
        <w:topLinePunct w:val="0"/>
        <w:autoSpaceDE/>
        <w:autoSpaceDN/>
        <w:bidi w:val="0"/>
        <w:spacing w:line="520" w:lineRule="exact"/>
        <w:ind w:firstLine="482"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四、补充条款：</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（二）本协议与主合同同时签订、同时终止、同时生效，具有相同的法律效力，自甲方、乙方双方签字、盖章生效，甲方、乙方双方执持数量与主合同一致。</w:t>
      </w:r>
    </w:p>
    <w:tbl>
      <w:tblPr>
        <w:tblStyle w:val="23"/>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月</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月</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日</w:t>
            </w:r>
          </w:p>
        </w:tc>
      </w:tr>
    </w:tbl>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附件4 报价清单</w:t>
      </w:r>
    </w:p>
    <w:tbl>
      <w:tblPr>
        <w:tblStyle w:val="22"/>
        <w:tblpPr w:leftFromText="180" w:rightFromText="180" w:vertAnchor="text" w:horzAnchor="page" w:tblpX="1354" w:tblpY="568"/>
        <w:tblOverlap w:val="never"/>
        <w:tblW w:w="9508" w:type="dxa"/>
        <w:tblInd w:w="0" w:type="dxa"/>
        <w:tblLayout w:type="fixed"/>
        <w:tblCellMar>
          <w:top w:w="0" w:type="dxa"/>
          <w:left w:w="108" w:type="dxa"/>
          <w:bottom w:w="0" w:type="dxa"/>
          <w:right w:w="108" w:type="dxa"/>
        </w:tblCellMar>
      </w:tblPr>
      <w:tblGrid>
        <w:gridCol w:w="508"/>
        <w:gridCol w:w="568"/>
        <w:gridCol w:w="116"/>
        <w:gridCol w:w="947"/>
        <w:gridCol w:w="1200"/>
        <w:gridCol w:w="769"/>
        <w:gridCol w:w="675"/>
        <w:gridCol w:w="928"/>
        <w:gridCol w:w="778"/>
        <w:gridCol w:w="1050"/>
        <w:gridCol w:w="994"/>
        <w:gridCol w:w="975"/>
      </w:tblGrid>
      <w:tr>
        <w:tblPrEx>
          <w:tblCellMar>
            <w:top w:w="0" w:type="dxa"/>
            <w:left w:w="108" w:type="dxa"/>
            <w:bottom w:w="0" w:type="dxa"/>
            <w:right w:w="108" w:type="dxa"/>
          </w:tblCellMar>
        </w:tblPrEx>
        <w:trPr>
          <w:trHeight w:val="517" w:hRule="atLeast"/>
        </w:trPr>
        <w:tc>
          <w:tcPr>
            <w:tcW w:w="50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684" w:type="dxa"/>
            <w:gridSpan w:val="2"/>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947" w:type="dxa"/>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rPr>
            </w:pPr>
          </w:p>
        </w:tc>
        <w:tc>
          <w:tcPr>
            <w:tcW w:w="12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型号</w:t>
            </w:r>
          </w:p>
        </w:tc>
        <w:tc>
          <w:tcPr>
            <w:tcW w:w="76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706"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4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trPr>
        <w:tc>
          <w:tcPr>
            <w:tcW w:w="50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84" w:type="dxa"/>
            <w:gridSpan w:val="2"/>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47"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zh-CN"/>
              </w:rPr>
              <w:t>生产厂家及品牌</w:t>
            </w:r>
          </w:p>
        </w:tc>
        <w:tc>
          <w:tcPr>
            <w:tcW w:w="12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6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9508" w:type="dxa"/>
            <w:gridSpan w:val="1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鼓风机</w:t>
            </w:r>
            <w:r>
              <w:rPr>
                <w:rFonts w:hint="eastAsia" w:ascii="宋体" w:hAnsi="宋体" w:cs="宋体"/>
                <w:color w:val="auto"/>
                <w:kern w:val="0"/>
                <w:sz w:val="24"/>
                <w:szCs w:val="24"/>
                <w:highlight w:val="none"/>
                <w:lang w:val="zh-CN"/>
              </w:rPr>
              <w:t>类备件</w:t>
            </w: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鼓风机空气过滤器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AIR FIL TER 640*570*70</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YLS风扇用三相异步电动机（一期）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YLS-1100-4 380V 3.2A  功率1100W B级</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呼吸器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SOLBERG WP274</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鼓风机入风滤棉</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厚度1cm 宽度1m 长20m</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Beijer(二期鼓风机触摸屏）</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X2pro10-B2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FramoMorat</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IGV定位器 FramoMorat D/A 3500-2,5-150(8-2010-ET02)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FramoMorat</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VVD定位器 FramoMorat D/A 3500-2,5-150(8-2010-ET02)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8</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齿轮箱供油温度变送器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TT121  248HANANOXA 10142131（温度变送器）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9</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齿轮供油压力变送器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PT103 fartag 605071-008（压力变送器）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出风口压力变送器（防喘震）</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ROSEMOUNT 2088G2S22A2Q4HR5 PT110 （压力变送器）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11</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高速轴承叶轮端温度</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TT122（温度变送器）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12</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高速轴电机端轴承温度</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TT123（温度变送器）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13</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高速轴震动传感器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VT503（振动变送器）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14</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进口空气温度</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TT125（温度变送器）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15</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主电机驱动端轴承温度</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TE128（测温元件）</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16</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主电机非驱动端轴承温度</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TE127（测温元件）</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17</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调温器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KTO 01142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18</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施耐德接触器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LC1-DT25BDC+触点LADN11C</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19</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BUSSMANN 熔断器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CHM1DNS 10*38</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SCHLEICHER安全继电器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Wieland (SN04062K)</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OMRON时间继电器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H3DK-M2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22</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PR跳闸放大器（一期）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PR4131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23</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AB 直流电源（一期）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1606-XLE120EE 120W</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24</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鼓风机触摸屏（一期）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EXTER K70 Beijer</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25</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STEGO</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温控器KTO 01142.0-00</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26</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施耐德3极接触器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LC1-D098BDC</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27</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施耐德3极接触器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LC1-D12BDC</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28</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双层端子</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Weidmuller A2T2.5</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29</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保险端子</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 xml:space="preserve"> Weidmuller ASK 1EN 2个+WDU2.5</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30</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温度变送器（二期）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PR3331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31</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熔断器开关</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194R-J60-1753-PYS2，60A</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32</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断路器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ic65N C6A 2P</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33</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断路器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ic65N C6A 1P</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34</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熔断器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CHM1DNS 10*38</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8</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35</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时间继电器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H3DK-M2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36</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通用变送器（二期）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PR4114</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37</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直流电源（二期）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SIMATIC PM207 5A</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38</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断路器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 lc65N C16A 4P</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39</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AB-PLC组件</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1769系列</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套</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849" w:hRule="atLeast"/>
        </w:trPr>
        <w:tc>
          <w:tcPr>
            <w:tcW w:w="1076"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rPr>
            </w:pPr>
          </w:p>
        </w:tc>
        <w:tc>
          <w:tcPr>
            <w:tcW w:w="3707"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pStyle w:val="2"/>
        <w:rPr>
          <w:rFonts w:hint="eastAsia"/>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ind w:firstLine="0"/>
        <w:rPr>
          <w:rFonts w:hint="default"/>
          <w:color w:val="000000" w:themeColor="text1"/>
          <w:highlight w:val="none"/>
          <w:lang w:val="en-US" w:eastAsia="zh-CN"/>
          <w14:textFill>
            <w14:solidFill>
              <w14:schemeClr w14:val="tx1"/>
            </w14:solidFill>
          </w14:textFill>
        </w:rPr>
      </w:pPr>
    </w:p>
    <w:p>
      <w:pPr>
        <w:spacing w:line="560" w:lineRule="exact"/>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附件</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履约保函模板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履约保函模板</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致：               （受益人）</w:t>
      </w:r>
    </w:p>
    <w:p>
      <w:pPr>
        <w:pStyle w:val="2"/>
        <w:rPr>
          <w:rFonts w:hint="eastAsia"/>
          <w:highlight w:val="none"/>
          <w:lang w:eastAsia="zh-CN"/>
        </w:rPr>
      </w:pP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二、贵单位的索赔申请应符合下述条件：</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（一）贵单位法定代表人或其授权代表签字并加盖单位公章；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（二）在保函有效期内送达我行；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（三）明确的索赔金额（不得超过本保函第一条所列之限额）。</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三、本保函自签发之日起生效，有效期至  年  月  日。本保函于下述任一事项发生之时立即失效，我行在本保函项下的保证义务即刻解除：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（一）本保函有效期限届满；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（二）我行保证的义务履行完毕。</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五、我行向你方支付索赔金额后，本保函担保金额即按贵方通知的索赔金额予以递减。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六、保函失效后请将保函退回我行注销，无论正本最终退回与否，不影响本保函依上述约定自动失效。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落款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保函说明：</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保函不得有下列或类似含义的表述：</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1.银行承担的为连带责任保证、一般保证。</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2.未经银行书面同意，受益人与申请人修改合同或其项下附件时，银行的保证义务解除。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3.合同撤销或无效的，保函失效。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4.申请人对受益人的抗辩，银行有权向受益人主张。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5.受益人请求付款的请款单据包含法院裁判文书、仲裁裁决、第三方单位出具的鉴定书等申请人违约的证明材料。</w:t>
      </w: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附件</w:t>
      </w:r>
      <w:r>
        <w:rPr>
          <w:rFonts w:hint="eastAsia" w:hAnsi="宋体" w:eastAsia="宋体" w:cs="宋体"/>
          <w:b/>
          <w:bCs/>
          <w:color w:val="000000" w:themeColor="text1"/>
          <w:sz w:val="24"/>
          <w:szCs w:val="24"/>
          <w:highlight w:val="none"/>
          <w:lang w:val="en-US" w:eastAsia="zh-CN"/>
          <w14:textFill>
            <w14:solidFill>
              <w14:schemeClr w14:val="tx1"/>
            </w14:solidFill>
          </w14:textFill>
        </w:rPr>
        <w:t>6预付款</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保函模板    </w:t>
      </w:r>
    </w:p>
    <w:p>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预付款保函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模板</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（受益人）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鉴于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（以下简称“委托人”）与你方于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年  月  日</w:t>
      </w:r>
      <w:r>
        <w:rPr>
          <w:rFonts w:hint="eastAsia" w:ascii="宋体" w:hAnsi="宋体" w:eastAsia="宋体" w:cs="宋体"/>
          <w:color w:val="000000" w:themeColor="text1"/>
          <w:sz w:val="24"/>
          <w:szCs w:val="24"/>
          <w:highlight w:val="none"/>
          <w14:textFill>
            <w14:solidFill>
              <w14:schemeClr w14:val="tx1"/>
            </w14:solidFill>
          </w14:textFill>
        </w:rPr>
        <w:t>签订了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（以下简称“合同”），你方将按上述基础交易合同约定向委托人支付预付款人民币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）。我行接受委托人的申请，特此开立以你方为受益人的最高金额为人民币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）（以下称“保函金额”）的保函。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二、在本保函的有效期内，如委托人违反上述基础交易合同约定的义务而未向你方退还预付款，我行将在收到你方提交的符合下述要求的索赔通知书后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日内，以上述保函金额为限向你方支付相应款项。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（一）索赔通知书须写明请求付款的金额，并声明该款项并未由委托人或其代理人直接或间接地支付给你方；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（二）索赔通知书应由你方法定代表人签字并加盖公章；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（三）索赔通知书必须于本保函有效期截止日前送达我行。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三、合同的任何修改、变更、解释或不可执行都不能削弱或免除我行按本保函应承担的义务。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本保函金额将随我行已向你方支付的金额而自动作相应递减。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四、本保函未经我行书面同意不得转让。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五、本保函自签发之日起生效，有效期至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止。在上述期限内若累计赔偿额达到前述保函金额，本保函提前失效。本保函到期后，无论保函原件是否退回我行，皆告失效。</w:t>
      </w:r>
    </w:p>
    <w:p>
      <w:pPr>
        <w:keepNext w:val="0"/>
        <w:keepLines w:val="0"/>
        <w:pageBreakBefore w:val="0"/>
        <w:widowControl w:val="0"/>
        <w:kinsoku/>
        <w:wordWrap/>
        <w:overflowPunct/>
        <w:topLinePunct w:val="0"/>
        <w:bidi w:val="0"/>
        <w:snapToGrid/>
        <w:spacing w:line="400" w:lineRule="exact"/>
        <w:ind w:firstLine="540" w:firstLineChars="2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备注：</w:t>
      </w:r>
      <w:r>
        <w:rPr>
          <w:rFonts w:hint="eastAsia" w:ascii="宋体" w:hAnsi="宋体" w:eastAsia="宋体" w:cs="宋体"/>
          <w:color w:val="000000" w:themeColor="text1"/>
          <w:sz w:val="24"/>
          <w:szCs w:val="24"/>
          <w:highlight w:val="none"/>
          <w14:textFill>
            <w14:solidFill>
              <w14:schemeClr w14:val="tx1"/>
            </w14:solidFill>
          </w14:textFill>
        </w:rPr>
        <w:t>本预付款担保格式可采用经</w:t>
      </w:r>
      <w:r>
        <w:rPr>
          <w:rFonts w:hint="eastAsia" w:ascii="宋体" w:hAnsi="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认可的其他格式，但相关内容不得违背合同文件约定的实质性内容。</w:t>
      </w: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lang w:eastAsia="zh-CN"/>
        </w:rPr>
      </w:pPr>
    </w:p>
    <w:p>
      <w:pPr>
        <w:pStyle w:val="2"/>
        <w:ind w:firstLine="0"/>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4"/>
        <w:rPr>
          <w:highlight w:val="none"/>
        </w:rPr>
      </w:pPr>
      <w:bookmarkStart w:id="133" w:name="_Toc21847"/>
      <w:bookmarkStart w:id="134" w:name="_Toc5129"/>
      <w:bookmarkStart w:id="135" w:name="_Toc16552"/>
      <w:bookmarkStart w:id="136" w:name="_Toc12169"/>
      <w:bookmarkStart w:id="137" w:name="_Toc6230"/>
      <w:bookmarkStart w:id="138" w:name="_Toc3723"/>
      <w:bookmarkStart w:id="139" w:name="_Toc23515"/>
      <w:bookmarkStart w:id="140" w:name="_Toc28358"/>
      <w:bookmarkStart w:id="141" w:name="_Toc30824"/>
      <w:bookmarkStart w:id="142" w:name="_Toc8147"/>
      <w:bookmarkStart w:id="143" w:name="_Toc1563"/>
      <w:r>
        <w:rPr>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highlight w:val="none"/>
        </w:rPr>
        <w:t>第七章</w:t>
      </w:r>
      <w:bookmarkEnd w:id="133"/>
      <w:bookmarkEnd w:id="134"/>
      <w:bookmarkEnd w:id="135"/>
      <w:bookmarkEnd w:id="136"/>
      <w:bookmarkEnd w:id="137"/>
      <w:bookmarkEnd w:id="138"/>
      <w:bookmarkEnd w:id="139"/>
      <w:bookmarkEnd w:id="140"/>
      <w:bookmarkEnd w:id="141"/>
      <w:bookmarkEnd w:id="142"/>
      <w:bookmarkEnd w:id="143"/>
    </w:p>
    <w:p>
      <w:pPr>
        <w:pStyle w:val="36"/>
        <w:rPr>
          <w:highlight w:val="none"/>
        </w:rPr>
      </w:pPr>
    </w:p>
    <w:p>
      <w:pPr>
        <w:pStyle w:val="4"/>
        <w:rPr>
          <w:highlight w:val="none"/>
        </w:rPr>
      </w:pPr>
      <w:bookmarkStart w:id="144" w:name="_Toc24815"/>
      <w:bookmarkStart w:id="145" w:name="_Toc30157"/>
      <w:bookmarkStart w:id="146" w:name="_Toc22764"/>
      <w:bookmarkStart w:id="147" w:name="_Toc12769"/>
      <w:bookmarkStart w:id="148" w:name="_Toc31564"/>
      <w:bookmarkStart w:id="149" w:name="_Toc24490"/>
      <w:bookmarkStart w:id="150" w:name="_Toc17119"/>
      <w:bookmarkStart w:id="151" w:name="_Toc5342"/>
      <w:bookmarkStart w:id="152" w:name="_Toc10840"/>
      <w:bookmarkStart w:id="153" w:name="_Toc88209951"/>
      <w:bookmarkStart w:id="154" w:name="_Toc12610"/>
      <w:bookmarkStart w:id="155" w:name="_Toc87616388"/>
      <w:bookmarkStart w:id="156" w:name="_Toc21675"/>
      <w:r>
        <w:rPr>
          <w:rFonts w:hint="eastAsia"/>
          <w:highlight w:val="none"/>
        </w:rPr>
        <w:t>响应文件格式要求</w:t>
      </w:r>
      <w:bookmarkEnd w:id="144"/>
      <w:bookmarkEnd w:id="145"/>
      <w:bookmarkEnd w:id="146"/>
      <w:bookmarkEnd w:id="147"/>
      <w:bookmarkEnd w:id="148"/>
      <w:bookmarkEnd w:id="149"/>
      <w:bookmarkEnd w:id="150"/>
      <w:bookmarkEnd w:id="151"/>
      <w:bookmarkEnd w:id="152"/>
      <w:bookmarkEnd w:id="153"/>
      <w:bookmarkEnd w:id="154"/>
      <w:bookmarkEnd w:id="155"/>
      <w:bookmarkEnd w:id="156"/>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highlight w:val="none"/>
        </w:rPr>
      </w:pP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jc w:val="center"/>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30"/>
          <w:szCs w:val="30"/>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57" w:name="_Toc87616389"/>
      <w:bookmarkStart w:id="158" w:name="_Toc88209952"/>
      <w:r>
        <w:rPr>
          <w:rFonts w:hint="eastAsia" w:ascii="仿宋_GB2312" w:eastAsia="仿宋_GB2312"/>
          <w:sz w:val="28"/>
          <w:szCs w:val="28"/>
          <w:highlight w:val="none"/>
        </w:rPr>
        <w:t>1.响应函</w:t>
      </w:r>
      <w:bookmarkEnd w:id="157"/>
      <w:bookmarkEnd w:id="158"/>
    </w:p>
    <w:p>
      <w:pPr>
        <w:spacing w:line="600" w:lineRule="exact"/>
        <w:rPr>
          <w:rFonts w:ascii="仿宋_GB2312" w:eastAsia="仿宋_GB2312"/>
          <w:sz w:val="28"/>
          <w:szCs w:val="28"/>
          <w:highlight w:val="none"/>
        </w:rPr>
      </w:pPr>
      <w:bookmarkStart w:id="159" w:name="_Toc88209953"/>
      <w:bookmarkStart w:id="160" w:name="_Toc87616390"/>
      <w:r>
        <w:rPr>
          <w:rFonts w:hint="eastAsia" w:ascii="仿宋_GB2312" w:eastAsia="仿宋_GB2312"/>
          <w:sz w:val="28"/>
          <w:szCs w:val="28"/>
          <w:highlight w:val="none"/>
        </w:rPr>
        <w:t>2.法定代表人证明或授权委托书</w:t>
      </w:r>
      <w:bookmarkEnd w:id="159"/>
      <w:bookmarkEnd w:id="160"/>
      <w:bookmarkStart w:id="161" w:name="_Toc87616393"/>
      <w:bookmarkStart w:id="162" w:name="_Toc88209956"/>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61"/>
      <w:bookmarkEnd w:id="162"/>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pStyle w:val="2"/>
        <w:rPr>
          <w:highlight w:val="none"/>
        </w:rPr>
      </w:pPr>
    </w:p>
    <w:p>
      <w:pPr>
        <w:pStyle w:val="6"/>
        <w:rPr>
          <w:rFonts w:asciiTheme="minorEastAsia" w:hAnsiTheme="minorEastAsia" w:eastAsiaTheme="minorEastAsia"/>
          <w:sz w:val="28"/>
          <w:szCs w:val="28"/>
          <w:highlight w:val="none"/>
        </w:rPr>
      </w:pPr>
      <w:bookmarkStart w:id="163" w:name="_Toc6313"/>
      <w:bookmarkStart w:id="164" w:name="_Toc87616394"/>
      <w:bookmarkStart w:id="165" w:name="_Toc28619645"/>
      <w:bookmarkStart w:id="166" w:name="_Toc88209957"/>
      <w:bookmarkStart w:id="167" w:name="_Toc12665"/>
      <w:r>
        <w:rPr>
          <w:rFonts w:hint="eastAsia" w:asciiTheme="minorEastAsia" w:hAnsiTheme="minorEastAsia" w:eastAsiaTheme="minorEastAsia"/>
          <w:sz w:val="28"/>
          <w:szCs w:val="28"/>
          <w:highlight w:val="none"/>
        </w:rPr>
        <w:t>1.响应函</w:t>
      </w:r>
      <w:bookmarkEnd w:id="163"/>
      <w:bookmarkEnd w:id="164"/>
      <w:bookmarkEnd w:id="165"/>
      <w:bookmarkEnd w:id="166"/>
      <w:bookmarkEnd w:id="167"/>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sym w:font="Wingdings 2" w:char="0052"/>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.承诺中选后所提供的货物均为制造商全新原装产品，所提供的产品与现有设备的所有参数相匹配且完全兼容。</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asciiTheme="minorEastAsia" w:hAnsiTheme="minorEastAsia"/>
          <w:sz w:val="28"/>
          <w:szCs w:val="28"/>
          <w:highlight w:val="none"/>
        </w:rPr>
      </w:pPr>
      <w:bookmarkStart w:id="168" w:name="_Toc29833"/>
      <w:bookmarkStart w:id="169" w:name="_Toc87616395"/>
      <w:bookmarkStart w:id="170" w:name="_Toc22527"/>
      <w:bookmarkStart w:id="171" w:name="_Toc88209958"/>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68"/>
      <w:bookmarkEnd w:id="169"/>
      <w:bookmarkEnd w:id="170"/>
      <w:bookmarkEnd w:id="171"/>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38"/>
        <w:keepNext w:val="0"/>
        <w:keepLines w:val="0"/>
        <w:pageBreakBefore w:val="0"/>
        <w:widowControl w:val="0"/>
        <w:kinsoku/>
        <w:wordWrap/>
        <w:overflowPunct/>
        <w:topLinePunct w:val="0"/>
        <w:autoSpaceDE w:val="0"/>
        <w:autoSpaceDN w:val="0"/>
        <w:bidi w:val="0"/>
        <w:adjustRightInd w:val="0"/>
        <w:snapToGrid w:val="0"/>
        <w:spacing w:after="0" w:line="520" w:lineRule="exact"/>
        <w:jc w:val="both"/>
        <w:textAlignment w:val="auto"/>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37"/>
        <w:keepNext w:val="0"/>
        <w:keepLines w:val="0"/>
        <w:pageBreakBefore w:val="0"/>
        <w:widowControl w:val="0"/>
        <w:kinsoku/>
        <w:wordWrap/>
        <w:overflowPunct/>
        <w:topLinePunct w:val="0"/>
        <w:autoSpaceDE w:val="0"/>
        <w:autoSpaceDN w:val="0"/>
        <w:bidi w:val="0"/>
        <w:adjustRightInd w:val="0"/>
        <w:snapToGrid w:val="0"/>
        <w:spacing w:after="0" w:line="520" w:lineRule="exact"/>
        <w:ind w:firstLine="750" w:firstLineChars="250"/>
        <w:textAlignment w:val="auto"/>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highlight w:val="none"/>
        </w:rPr>
      </w:pPr>
    </w:p>
    <w:p>
      <w:pPr>
        <w:pStyle w:val="13"/>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附：1.委托代理人身份证(正反两面)复印件</w:t>
      </w:r>
    </w:p>
    <w:p>
      <w:pPr>
        <w:pStyle w:val="36"/>
        <w:ind w:firstLine="1200" w:firstLineChars="4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
        <w:rPr>
          <w:rFonts w:ascii="仿宋_GB2312" w:eastAsia="仿宋_GB2312"/>
          <w:sz w:val="30"/>
          <w:szCs w:val="30"/>
          <w:highlight w:val="none"/>
        </w:rPr>
      </w:pPr>
    </w:p>
    <w:p>
      <w:pPr>
        <w:pStyle w:val="2"/>
        <w:rPr>
          <w:rFonts w:ascii="仿宋_GB2312" w:eastAsia="仿宋_GB2312"/>
          <w:sz w:val="30"/>
          <w:szCs w:val="30"/>
          <w:highlight w:val="none"/>
        </w:rPr>
      </w:pPr>
    </w:p>
    <w:p>
      <w:pPr>
        <w:pStyle w:val="2"/>
        <w:rPr>
          <w:rFonts w:ascii="仿宋_GB2312" w:eastAsia="仿宋_GB2312"/>
          <w:sz w:val="30"/>
          <w:szCs w:val="30"/>
          <w:highlight w:val="none"/>
        </w:rPr>
      </w:pPr>
    </w:p>
    <w:p>
      <w:pPr>
        <w:pStyle w:val="2"/>
        <w:rPr>
          <w:rFonts w:ascii="仿宋_GB2312" w:eastAsia="仿宋_GB2312"/>
          <w:sz w:val="30"/>
          <w:szCs w:val="30"/>
          <w:highlight w:val="none"/>
        </w:rPr>
      </w:pPr>
    </w:p>
    <w:p>
      <w:pPr>
        <w:pStyle w:val="7"/>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highlight w:val="none"/>
        </w:rPr>
      </w:pPr>
    </w:p>
    <w:p>
      <w:pPr>
        <w:pStyle w:val="7"/>
        <w:spacing w:after="0" w:line="600" w:lineRule="exact"/>
        <w:rPr>
          <w:rFonts w:ascii="仿宋_GB2312" w:eastAsia="仿宋_GB2312"/>
          <w:highlight w:val="none"/>
        </w:rPr>
      </w:pPr>
    </w:p>
    <w:p>
      <w:pPr>
        <w:pStyle w:val="7"/>
        <w:spacing w:after="0" w:line="600" w:lineRule="exact"/>
        <w:ind w:firstLine="0"/>
        <w:rPr>
          <w:rFonts w:ascii="仿宋_GB2312" w:eastAsia="仿宋_GB2312"/>
          <w:highlight w:val="none"/>
        </w:rPr>
      </w:pPr>
    </w:p>
    <w:p>
      <w:pPr>
        <w:pStyle w:val="7"/>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72" w:name="_Toc19830"/>
      <w:bookmarkStart w:id="173" w:name="_Toc87616400"/>
      <w:bookmarkStart w:id="174" w:name="_Toc8086"/>
      <w:bookmarkStart w:id="175" w:name="_Toc88209963"/>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72"/>
      <w:bookmarkEnd w:id="173"/>
      <w:bookmarkEnd w:id="174"/>
      <w:bookmarkEnd w:id="175"/>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cs="Times New Roman" w:asciiTheme="minorEastAsia" w:hAnsiTheme="minorEastAsia"/>
          <w:b/>
          <w:bCs/>
          <w:sz w:val="28"/>
          <w:szCs w:val="28"/>
          <w:highlight w:val="none"/>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rPr>
        <w:t>。</w:t>
      </w:r>
      <w:r>
        <w:rPr>
          <w:rFonts w:hint="eastAsia" w:cs="Times New Roman" w:asciiTheme="minorEastAsia" w:hAnsiTheme="minorEastAsia"/>
          <w:b/>
          <w:bCs/>
          <w:sz w:val="28"/>
          <w:szCs w:val="28"/>
          <w:highlight w:val="none"/>
        </w:rPr>
        <w:t>（相关证明文件附后）</w:t>
      </w:r>
    </w:p>
    <w:p>
      <w:pPr>
        <w:adjustRightInd w:val="0"/>
        <w:snapToGrid w:val="0"/>
        <w:spacing w:line="360" w:lineRule="auto"/>
        <w:jc w:val="left"/>
        <w:rPr>
          <w:rFonts w:cs="Times New Roman" w:asciiTheme="minorEastAsia" w:hAnsiTheme="minorEastAsia"/>
          <w:b/>
          <w:bCs/>
          <w:sz w:val="28"/>
          <w:szCs w:val="28"/>
          <w:highlight w:val="none"/>
        </w:rPr>
      </w:pPr>
      <w:bookmarkStart w:id="176" w:name="_Hlk59025866"/>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76"/>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cs="宋体"/>
          <w:sz w:val="24"/>
          <w:szCs w:val="24"/>
          <w:highlight w:val="none"/>
          <w:lang w:val="en-GB"/>
        </w:rPr>
        <w:t>广州市净水有限公司</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（11）其他违法违纪行为，经审查认为不宜被邀请参加采购活动的。</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
        <w:ind w:firstLine="0"/>
        <w:rPr>
          <w:highlight w:val="none"/>
        </w:rPr>
      </w:pPr>
    </w:p>
    <w:p>
      <w:pPr>
        <w:pStyle w:val="2"/>
        <w:ind w:firstLine="0"/>
        <w:rPr>
          <w:highlight w:val="none"/>
        </w:rPr>
      </w:pPr>
    </w:p>
    <w:p>
      <w:pPr>
        <w:pStyle w:val="2"/>
        <w:ind w:firstLine="0"/>
        <w:rPr>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
        <w:rPr>
          <w:rFonts w:ascii="仿宋_GB2312" w:eastAsia="仿宋_GB2312" w:hAnsiTheme="minorEastAsia"/>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tcPr>
          <w:p>
            <w:pPr>
              <w:jc w:val="center"/>
              <w:rPr>
                <w:rFonts w:ascii="仿宋" w:hAnsi="仿宋" w:eastAsia="仿宋" w:cs="仿宋_GB2312"/>
                <w:b/>
                <w:sz w:val="28"/>
                <w:szCs w:val="28"/>
                <w:highlight w:val="none"/>
              </w:rPr>
            </w:pPr>
          </w:p>
        </w:tc>
        <w:tc>
          <w:tcPr>
            <w:tcW w:w="161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bl>
    <w:p>
      <w:pPr>
        <w:pStyle w:val="2"/>
        <w:rPr>
          <w:rFonts w:ascii="仿宋_GB2312" w:eastAsia="仿宋_GB2312" w:hAnsiTheme="minorEastAsia"/>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600" w:lineRule="exact"/>
        <w:ind w:firstLine="570"/>
        <w:jc w:val="right"/>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6"/>
        <w:rPr>
          <w:rFonts w:asciiTheme="minorEastAsia" w:hAnsiTheme="minorEastAsia" w:eastAsiaTheme="minorEastAsia"/>
          <w:sz w:val="28"/>
          <w:szCs w:val="28"/>
          <w:highlight w:val="none"/>
        </w:rPr>
      </w:pPr>
      <w:bookmarkStart w:id="177" w:name="_Toc32430"/>
      <w:bookmarkStart w:id="178" w:name="_Toc19423"/>
      <w:r>
        <w:rPr>
          <w:rFonts w:hint="eastAsia" w:ascii="仿宋_GB2312" w:eastAsia="仿宋_GB2312" w:hAnsiTheme="minorEastAsia"/>
          <w:sz w:val="28"/>
          <w:szCs w:val="28"/>
          <w:highlight w:val="none"/>
        </w:rPr>
        <w:t>5</w:t>
      </w:r>
      <w:r>
        <w:rPr>
          <w:rFonts w:hint="eastAsia" w:asciiTheme="minorEastAsia" w:hAnsiTheme="minorEastAsia" w:eastAsiaTheme="minorEastAsia"/>
          <w:sz w:val="28"/>
          <w:szCs w:val="28"/>
          <w:highlight w:val="none"/>
        </w:rPr>
        <w:t>.报价表</w:t>
      </w:r>
      <w:bookmarkEnd w:id="177"/>
      <w:bookmarkEnd w:id="178"/>
    </w:p>
    <w:tbl>
      <w:tblPr>
        <w:tblStyle w:val="22"/>
        <w:tblW w:w="9508" w:type="dxa"/>
        <w:jc w:val="center"/>
        <w:tblLayout w:type="fixed"/>
        <w:tblCellMar>
          <w:top w:w="0" w:type="dxa"/>
          <w:left w:w="108" w:type="dxa"/>
          <w:bottom w:w="0" w:type="dxa"/>
          <w:right w:w="108" w:type="dxa"/>
        </w:tblCellMar>
      </w:tblPr>
      <w:tblGrid>
        <w:gridCol w:w="508"/>
        <w:gridCol w:w="568"/>
        <w:gridCol w:w="116"/>
        <w:gridCol w:w="947"/>
        <w:gridCol w:w="1200"/>
        <w:gridCol w:w="769"/>
        <w:gridCol w:w="675"/>
        <w:gridCol w:w="928"/>
        <w:gridCol w:w="778"/>
        <w:gridCol w:w="1050"/>
        <w:gridCol w:w="994"/>
        <w:gridCol w:w="975"/>
      </w:tblGrid>
      <w:tr>
        <w:tblPrEx>
          <w:tblCellMar>
            <w:top w:w="0" w:type="dxa"/>
            <w:left w:w="108" w:type="dxa"/>
            <w:bottom w:w="0" w:type="dxa"/>
            <w:right w:w="108" w:type="dxa"/>
          </w:tblCellMar>
        </w:tblPrEx>
        <w:trPr>
          <w:trHeight w:val="517" w:hRule="atLeast"/>
          <w:jc w:val="center"/>
        </w:trPr>
        <w:tc>
          <w:tcPr>
            <w:tcW w:w="50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684" w:type="dxa"/>
            <w:gridSpan w:val="2"/>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947" w:type="dxa"/>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rPr>
            </w:pPr>
          </w:p>
        </w:tc>
        <w:tc>
          <w:tcPr>
            <w:tcW w:w="12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型号</w:t>
            </w:r>
          </w:p>
        </w:tc>
        <w:tc>
          <w:tcPr>
            <w:tcW w:w="76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706"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4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50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84" w:type="dxa"/>
            <w:gridSpan w:val="2"/>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47"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zh-CN"/>
              </w:rPr>
              <w:t>生产厂家及品牌</w:t>
            </w:r>
          </w:p>
        </w:tc>
        <w:tc>
          <w:tcPr>
            <w:tcW w:w="12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6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9508" w:type="dxa"/>
            <w:gridSpan w:val="1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鼓风机</w:t>
            </w:r>
            <w:r>
              <w:rPr>
                <w:rFonts w:hint="eastAsia" w:ascii="宋体" w:hAnsi="宋体" w:cs="宋体"/>
                <w:color w:val="auto"/>
                <w:kern w:val="0"/>
                <w:sz w:val="24"/>
                <w:szCs w:val="24"/>
                <w:highlight w:val="none"/>
                <w:lang w:val="zh-CN"/>
              </w:rPr>
              <w:t>类备件</w:t>
            </w: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鼓风机空气过滤器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AIR FIL TER 640*570*70</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YLS风扇用三相异步电动机（一期）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YLS-1100-4 380V 3.2A  功率1100W B级</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呼吸器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SOLBERG WP274</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鼓风机入风滤棉</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厚度1cm 宽度1m 长20m</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Beijer(二期鼓风机触摸屏）</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X2pro10-B2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FramoMorat</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IGV定位器 FramoMorat D/A 3500-2,5-150(8-2010-ET02)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FramoMorat</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VVD定位器 FramoMorat D/A 3500-2,5-150(8-2010-ET02)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8</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齿轮箱供油温度变送器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TT121  248HANANOXA 10142131（温度变送器）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9</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齿轮供油压力变送器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PT103 fartag 605071-008（压力变送器）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出风口压力变送器（防喘震）</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ROSEMOUNT 2088G2S22A2Q4HR5 PT110 （压力变送器）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11</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高速轴承叶轮端温度</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TT122（温度变送器）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12</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高速轴电机端轴承温度</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TT123（温度变送器）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13</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高速轴震动传感器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VT503（振动变送器）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14</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进口空气温度</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TT125（温度变送器）</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15</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主电机驱动端轴承温度</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TE128（测温元件）</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16</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主电机非驱动端轴承温度</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TE127（测温元件）</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17</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调温器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KTO 01142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18</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施耐德接触器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LC1-DT25BDC+触点LADN11C</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19</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BUSSMANN 熔断器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CHM1DNS 10*38</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SCHLEICHER安全继电器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Wieland (SN04062K)</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OMRON时间继电器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H3DK-M2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22</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PR跳闸放大器（一期）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PR4131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23</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AB 直流电源（一期）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1606-XLE120EE 120W</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24</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鼓风机触摸屏（一期）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EXTER K70 Beijer</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25</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STEGO</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温控器KTO 01142.0-00</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26</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施耐德3极接触器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LC1-D098BDC</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27</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施耐德3极接触器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LC1-D12BDC</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28</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双层端子</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Weidmuller A2T2.5</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29</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保险端子</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 xml:space="preserve"> Weidmuller ASK 1EN 2个+WDU2.5</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30</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温度变送器（二期）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PR3331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31</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熔断器开关</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194R-J60-1753-PYS2，60A</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32</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断路器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ic65N C6A 2P</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33</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断路器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ic65N C6A 1P</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34</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熔断器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CHM1DNS 10*38</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8</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35</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时间继电器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H3DK-M2</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36</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通用变送器（二期）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PR4114</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37</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直流电源（二期）</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SIMATIC PM207 5A</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38</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断路器</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施耐德 lc65N C16A 4P</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39</w:t>
            </w:r>
          </w:p>
        </w:tc>
        <w:tc>
          <w:tcPr>
            <w:tcW w:w="6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AB-PLC组件</w:t>
            </w:r>
          </w:p>
        </w:tc>
        <w:tc>
          <w:tcPr>
            <w:tcW w:w="9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2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1769系列</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套</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849" w:hRule="atLeast"/>
          <w:jc w:val="center"/>
        </w:trPr>
        <w:tc>
          <w:tcPr>
            <w:tcW w:w="1076"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highlight w:val="none"/>
                <w:lang w:val="zh-CN"/>
              </w:rPr>
            </w:pPr>
          </w:p>
        </w:tc>
        <w:tc>
          <w:tcPr>
            <w:tcW w:w="3707"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7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adjustRightInd w:val="0"/>
        <w:snapToGrid w:val="0"/>
        <w:spacing w:line="360" w:lineRule="auto"/>
        <w:jc w:val="right"/>
        <w:rPr>
          <w:rFonts w:hint="eastAsia"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600" w:lineRule="exact"/>
        <w:ind w:firstLine="570"/>
        <w:jc w:val="right"/>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adjustRightInd w:val="0"/>
        <w:snapToGrid w:val="0"/>
        <w:spacing w:line="600" w:lineRule="exact"/>
        <w:ind w:firstLine="570"/>
        <w:rPr>
          <w:rFonts w:ascii="仿宋_GB2312" w:eastAsia="仿宋_GB2312" w:hAnsiTheme="minorEastAsia"/>
          <w:sz w:val="28"/>
          <w:szCs w:val="28"/>
          <w:highlight w:val="none"/>
        </w:rPr>
      </w:pPr>
    </w:p>
    <w:p>
      <w:pPr>
        <w:adjustRightInd w:val="0"/>
        <w:snapToGrid w:val="0"/>
        <w:spacing w:line="600" w:lineRule="exact"/>
        <w:ind w:firstLine="570"/>
        <w:rPr>
          <w:rFonts w:ascii="仿宋_GB2312" w:eastAsia="仿宋_GB2312" w:hAnsiTheme="minorEastAsia"/>
          <w:sz w:val="28"/>
          <w:szCs w:val="28"/>
          <w:highlight w:val="none"/>
        </w:rPr>
      </w:pPr>
    </w:p>
    <w:p>
      <w:pPr>
        <w:pStyle w:val="2"/>
        <w:rPr>
          <w:highlight w:val="none"/>
        </w:rPr>
      </w:pPr>
    </w:p>
    <w:p>
      <w:pPr>
        <w:pStyle w:val="6"/>
        <w:rPr>
          <w:rFonts w:asciiTheme="majorEastAsia" w:hAnsiTheme="majorEastAsia" w:eastAsiaTheme="majorEastAsia"/>
          <w:sz w:val="28"/>
          <w:szCs w:val="28"/>
          <w:highlight w:val="none"/>
        </w:rPr>
      </w:pPr>
      <w:bookmarkStart w:id="179" w:name="_Toc87616402"/>
      <w:bookmarkStart w:id="180" w:name="_Toc88209965"/>
      <w:bookmarkStart w:id="181" w:name="_Toc6058"/>
      <w:bookmarkStart w:id="182" w:name="_Toc16386"/>
      <w:r>
        <w:rPr>
          <w:rFonts w:hint="eastAsia" w:eastAsiaTheme="majorEastAsia"/>
          <w:highlight w:val="none"/>
        </w:rPr>
        <w:t>6</w:t>
      </w:r>
      <w:r>
        <w:rPr>
          <w:rFonts w:hint="eastAsia" w:asciiTheme="majorEastAsia" w:hAnsiTheme="majorEastAsia" w:eastAsiaTheme="majorEastAsia"/>
          <w:sz w:val="28"/>
          <w:szCs w:val="28"/>
          <w:highlight w:val="none"/>
        </w:rPr>
        <w:t>.其他资料</w:t>
      </w:r>
      <w:bookmarkEnd w:id="179"/>
      <w:bookmarkEnd w:id="180"/>
      <w:bookmarkEnd w:id="181"/>
      <w:bookmarkEnd w:id="182"/>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separate"/>
    </w:r>
    <w:r>
      <w:rPr>
        <w:rStyle w:val="25"/>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ZY8IBAACO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Mv2WP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odEc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FwDwu0xYeHST0YdoaZiOKbCaFqpvAeP7yXr4Tfa/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n4odEcEBAACOAwAADgAAAAAAAAABACAAAAAeAQAAZHJzL2Uyb0RvYy54bWxQSwUG&#10;AAAAAAYABgBZAQAAUQ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86B6C30"/>
    <w:multiLevelType w:val="singleLevel"/>
    <w:tmpl w:val="F86B6C30"/>
    <w:lvl w:ilvl="0" w:tentative="0">
      <w:start w:val="6"/>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D076128"/>
    <w:multiLevelType w:val="singleLevel"/>
    <w:tmpl w:val="5D076128"/>
    <w:lvl w:ilvl="0" w:tentative="0">
      <w:start w:val="2"/>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446E8"/>
    <w:rsid w:val="00054D4F"/>
    <w:rsid w:val="00156EA9"/>
    <w:rsid w:val="0029051C"/>
    <w:rsid w:val="00304035"/>
    <w:rsid w:val="00305173"/>
    <w:rsid w:val="003A2CD8"/>
    <w:rsid w:val="003A57BA"/>
    <w:rsid w:val="003D60BA"/>
    <w:rsid w:val="00411689"/>
    <w:rsid w:val="00416B4D"/>
    <w:rsid w:val="005D618A"/>
    <w:rsid w:val="006F2596"/>
    <w:rsid w:val="00886B24"/>
    <w:rsid w:val="00911ECD"/>
    <w:rsid w:val="0099022E"/>
    <w:rsid w:val="009B2A98"/>
    <w:rsid w:val="00A042E0"/>
    <w:rsid w:val="00B26BB1"/>
    <w:rsid w:val="00B26E21"/>
    <w:rsid w:val="00CC4056"/>
    <w:rsid w:val="00E66530"/>
    <w:rsid w:val="00F83B64"/>
    <w:rsid w:val="02090C75"/>
    <w:rsid w:val="027613D4"/>
    <w:rsid w:val="02A23A3C"/>
    <w:rsid w:val="03AC246A"/>
    <w:rsid w:val="03B23056"/>
    <w:rsid w:val="03DC3EBA"/>
    <w:rsid w:val="03F9794D"/>
    <w:rsid w:val="046A2461"/>
    <w:rsid w:val="04D74496"/>
    <w:rsid w:val="05101435"/>
    <w:rsid w:val="05B37842"/>
    <w:rsid w:val="05B724A2"/>
    <w:rsid w:val="05C13158"/>
    <w:rsid w:val="060379C8"/>
    <w:rsid w:val="066A0280"/>
    <w:rsid w:val="06C64829"/>
    <w:rsid w:val="06D4545B"/>
    <w:rsid w:val="07285AA6"/>
    <w:rsid w:val="077D16D2"/>
    <w:rsid w:val="08675FC8"/>
    <w:rsid w:val="09B713FD"/>
    <w:rsid w:val="09EF6ACC"/>
    <w:rsid w:val="0A315056"/>
    <w:rsid w:val="0AFB45AD"/>
    <w:rsid w:val="0B351E9B"/>
    <w:rsid w:val="0B4C50D3"/>
    <w:rsid w:val="0B806B92"/>
    <w:rsid w:val="0B827E94"/>
    <w:rsid w:val="0BD070E1"/>
    <w:rsid w:val="0C247926"/>
    <w:rsid w:val="0C7A753A"/>
    <w:rsid w:val="0D6C641B"/>
    <w:rsid w:val="0D794204"/>
    <w:rsid w:val="0E2125D1"/>
    <w:rsid w:val="0E214211"/>
    <w:rsid w:val="0E5F2769"/>
    <w:rsid w:val="0F4D75A3"/>
    <w:rsid w:val="0F5B2DCA"/>
    <w:rsid w:val="0FED051E"/>
    <w:rsid w:val="0FEE4C29"/>
    <w:rsid w:val="10046082"/>
    <w:rsid w:val="112B101A"/>
    <w:rsid w:val="119B53FC"/>
    <w:rsid w:val="12424CDC"/>
    <w:rsid w:val="129A2738"/>
    <w:rsid w:val="12B56BF1"/>
    <w:rsid w:val="12BB472D"/>
    <w:rsid w:val="12CB1A89"/>
    <w:rsid w:val="131840FB"/>
    <w:rsid w:val="13467417"/>
    <w:rsid w:val="136E76CF"/>
    <w:rsid w:val="13897C21"/>
    <w:rsid w:val="15BC6B3C"/>
    <w:rsid w:val="1694429A"/>
    <w:rsid w:val="17635326"/>
    <w:rsid w:val="17B133ED"/>
    <w:rsid w:val="17FA40F5"/>
    <w:rsid w:val="18236EFD"/>
    <w:rsid w:val="189D5B1F"/>
    <w:rsid w:val="18A34CD0"/>
    <w:rsid w:val="19B64DBC"/>
    <w:rsid w:val="1A373ACF"/>
    <w:rsid w:val="1A895341"/>
    <w:rsid w:val="1B0D071F"/>
    <w:rsid w:val="1B4568CE"/>
    <w:rsid w:val="1B9015B7"/>
    <w:rsid w:val="1B950DA6"/>
    <w:rsid w:val="1D5A79EE"/>
    <w:rsid w:val="1E0E2CD0"/>
    <w:rsid w:val="1E831280"/>
    <w:rsid w:val="1EBC4704"/>
    <w:rsid w:val="1F172EB5"/>
    <w:rsid w:val="1F94592D"/>
    <w:rsid w:val="1FB860DE"/>
    <w:rsid w:val="1FD0186E"/>
    <w:rsid w:val="203C5A02"/>
    <w:rsid w:val="209D4C94"/>
    <w:rsid w:val="20E84705"/>
    <w:rsid w:val="218400BA"/>
    <w:rsid w:val="21AB1E2F"/>
    <w:rsid w:val="21D40498"/>
    <w:rsid w:val="22767047"/>
    <w:rsid w:val="23A05588"/>
    <w:rsid w:val="24C6011E"/>
    <w:rsid w:val="25431AEB"/>
    <w:rsid w:val="25BF43FD"/>
    <w:rsid w:val="25F86BCD"/>
    <w:rsid w:val="269E416A"/>
    <w:rsid w:val="272100D3"/>
    <w:rsid w:val="272C72FC"/>
    <w:rsid w:val="27EB149D"/>
    <w:rsid w:val="27FD3E52"/>
    <w:rsid w:val="289F2F53"/>
    <w:rsid w:val="28E11370"/>
    <w:rsid w:val="29387C52"/>
    <w:rsid w:val="294A756A"/>
    <w:rsid w:val="29D5322D"/>
    <w:rsid w:val="2A025DD9"/>
    <w:rsid w:val="2A3F0957"/>
    <w:rsid w:val="2A7C2231"/>
    <w:rsid w:val="2A831882"/>
    <w:rsid w:val="2ABB753D"/>
    <w:rsid w:val="2B7A49FA"/>
    <w:rsid w:val="2BBA685F"/>
    <w:rsid w:val="2C615D26"/>
    <w:rsid w:val="2CB679ED"/>
    <w:rsid w:val="2D173C07"/>
    <w:rsid w:val="2D424A86"/>
    <w:rsid w:val="2DA873C2"/>
    <w:rsid w:val="2E7B52DB"/>
    <w:rsid w:val="2EE41014"/>
    <w:rsid w:val="2F324CFE"/>
    <w:rsid w:val="2FBA09F1"/>
    <w:rsid w:val="2FEF2ACF"/>
    <w:rsid w:val="30540211"/>
    <w:rsid w:val="3091336A"/>
    <w:rsid w:val="312D7741"/>
    <w:rsid w:val="316F137F"/>
    <w:rsid w:val="317E1D05"/>
    <w:rsid w:val="31DF525F"/>
    <w:rsid w:val="320B0D3A"/>
    <w:rsid w:val="32324C2E"/>
    <w:rsid w:val="327171DF"/>
    <w:rsid w:val="341E3434"/>
    <w:rsid w:val="345B0E06"/>
    <w:rsid w:val="360B7EBA"/>
    <w:rsid w:val="369C32FD"/>
    <w:rsid w:val="37666E72"/>
    <w:rsid w:val="38167A04"/>
    <w:rsid w:val="390931E6"/>
    <w:rsid w:val="394B167A"/>
    <w:rsid w:val="39910DCF"/>
    <w:rsid w:val="3A4E4336"/>
    <w:rsid w:val="3A523A6C"/>
    <w:rsid w:val="3A6007FE"/>
    <w:rsid w:val="3B7C2CE4"/>
    <w:rsid w:val="3B7D798B"/>
    <w:rsid w:val="3C0B5355"/>
    <w:rsid w:val="3CA57600"/>
    <w:rsid w:val="3CD4176B"/>
    <w:rsid w:val="3D1F44D9"/>
    <w:rsid w:val="3D5C38CD"/>
    <w:rsid w:val="3D860A04"/>
    <w:rsid w:val="3E5070F1"/>
    <w:rsid w:val="3EFE197E"/>
    <w:rsid w:val="3F6C3589"/>
    <w:rsid w:val="3F850180"/>
    <w:rsid w:val="3F9004D6"/>
    <w:rsid w:val="400E4D5E"/>
    <w:rsid w:val="40E1138C"/>
    <w:rsid w:val="413814BA"/>
    <w:rsid w:val="41872511"/>
    <w:rsid w:val="41997EF3"/>
    <w:rsid w:val="41BA0F55"/>
    <w:rsid w:val="42466655"/>
    <w:rsid w:val="42C82F57"/>
    <w:rsid w:val="430C3641"/>
    <w:rsid w:val="43C76AF7"/>
    <w:rsid w:val="446828F0"/>
    <w:rsid w:val="457D1A75"/>
    <w:rsid w:val="45C13B4D"/>
    <w:rsid w:val="46054BCA"/>
    <w:rsid w:val="464C6AFC"/>
    <w:rsid w:val="468B0091"/>
    <w:rsid w:val="46A107C3"/>
    <w:rsid w:val="46B15CE2"/>
    <w:rsid w:val="46BE113D"/>
    <w:rsid w:val="46E44B13"/>
    <w:rsid w:val="4703508A"/>
    <w:rsid w:val="4727512A"/>
    <w:rsid w:val="475023F8"/>
    <w:rsid w:val="479D361E"/>
    <w:rsid w:val="47B74789"/>
    <w:rsid w:val="47FE7A46"/>
    <w:rsid w:val="480F2B9D"/>
    <w:rsid w:val="48282920"/>
    <w:rsid w:val="485321E0"/>
    <w:rsid w:val="48546AD3"/>
    <w:rsid w:val="48CA4868"/>
    <w:rsid w:val="48F005D3"/>
    <w:rsid w:val="498F4AF1"/>
    <w:rsid w:val="49C05787"/>
    <w:rsid w:val="49CF518D"/>
    <w:rsid w:val="4ADA1F63"/>
    <w:rsid w:val="4AE1158F"/>
    <w:rsid w:val="4AE23D89"/>
    <w:rsid w:val="4B2038D0"/>
    <w:rsid w:val="4B296E7D"/>
    <w:rsid w:val="4B877F28"/>
    <w:rsid w:val="4C757683"/>
    <w:rsid w:val="4C7E0947"/>
    <w:rsid w:val="4CA0483D"/>
    <w:rsid w:val="4D916BA6"/>
    <w:rsid w:val="4DC44169"/>
    <w:rsid w:val="4EF0709E"/>
    <w:rsid w:val="513C6A7B"/>
    <w:rsid w:val="5333545B"/>
    <w:rsid w:val="5450213C"/>
    <w:rsid w:val="54896E0A"/>
    <w:rsid w:val="54D24048"/>
    <w:rsid w:val="54D64CD5"/>
    <w:rsid w:val="55887D69"/>
    <w:rsid w:val="561A0928"/>
    <w:rsid w:val="56423872"/>
    <w:rsid w:val="56B279F0"/>
    <w:rsid w:val="579D710E"/>
    <w:rsid w:val="581F22F6"/>
    <w:rsid w:val="586E1E17"/>
    <w:rsid w:val="58862C35"/>
    <w:rsid w:val="58C14957"/>
    <w:rsid w:val="590A59B6"/>
    <w:rsid w:val="5AE83A50"/>
    <w:rsid w:val="5BAB2917"/>
    <w:rsid w:val="5BFC33FA"/>
    <w:rsid w:val="5C1324AA"/>
    <w:rsid w:val="5C3107A4"/>
    <w:rsid w:val="5C3B1B93"/>
    <w:rsid w:val="5C9220DF"/>
    <w:rsid w:val="5D4A15F3"/>
    <w:rsid w:val="5D69542A"/>
    <w:rsid w:val="5DA74140"/>
    <w:rsid w:val="5E0930EF"/>
    <w:rsid w:val="5E096DC6"/>
    <w:rsid w:val="5E3D4D53"/>
    <w:rsid w:val="5E4717E6"/>
    <w:rsid w:val="5E55774C"/>
    <w:rsid w:val="60104DDC"/>
    <w:rsid w:val="605C0804"/>
    <w:rsid w:val="6189617B"/>
    <w:rsid w:val="61B52BB6"/>
    <w:rsid w:val="61B749C2"/>
    <w:rsid w:val="62104A7B"/>
    <w:rsid w:val="62224971"/>
    <w:rsid w:val="62280D20"/>
    <w:rsid w:val="62A41995"/>
    <w:rsid w:val="62CA2457"/>
    <w:rsid w:val="63082C95"/>
    <w:rsid w:val="638240A1"/>
    <w:rsid w:val="63A5257B"/>
    <w:rsid w:val="63BD3DCC"/>
    <w:rsid w:val="63C61741"/>
    <w:rsid w:val="64560967"/>
    <w:rsid w:val="65134782"/>
    <w:rsid w:val="652A088D"/>
    <w:rsid w:val="656B1D10"/>
    <w:rsid w:val="66022B28"/>
    <w:rsid w:val="663E784C"/>
    <w:rsid w:val="66581E87"/>
    <w:rsid w:val="66FA11D5"/>
    <w:rsid w:val="674302C7"/>
    <w:rsid w:val="680A5986"/>
    <w:rsid w:val="680D5F4B"/>
    <w:rsid w:val="68113F51"/>
    <w:rsid w:val="68E94770"/>
    <w:rsid w:val="68F949C9"/>
    <w:rsid w:val="695A4290"/>
    <w:rsid w:val="69C16000"/>
    <w:rsid w:val="6A334932"/>
    <w:rsid w:val="6A3353FF"/>
    <w:rsid w:val="6A5D63E6"/>
    <w:rsid w:val="6A5F24D1"/>
    <w:rsid w:val="6AE347EB"/>
    <w:rsid w:val="6B434AF0"/>
    <w:rsid w:val="6B57675A"/>
    <w:rsid w:val="6BDD7B4D"/>
    <w:rsid w:val="6C726189"/>
    <w:rsid w:val="6D6E765E"/>
    <w:rsid w:val="6EBC0B3A"/>
    <w:rsid w:val="6EF51C7D"/>
    <w:rsid w:val="6F8363E5"/>
    <w:rsid w:val="6FC746F5"/>
    <w:rsid w:val="70161DF0"/>
    <w:rsid w:val="70317AC6"/>
    <w:rsid w:val="70863262"/>
    <w:rsid w:val="70A76ED3"/>
    <w:rsid w:val="71860B17"/>
    <w:rsid w:val="723B27CC"/>
    <w:rsid w:val="72687227"/>
    <w:rsid w:val="72A03FD9"/>
    <w:rsid w:val="72EB3F66"/>
    <w:rsid w:val="73406CFF"/>
    <w:rsid w:val="7383028C"/>
    <w:rsid w:val="73A25E44"/>
    <w:rsid w:val="741F68CF"/>
    <w:rsid w:val="75252DF3"/>
    <w:rsid w:val="75621536"/>
    <w:rsid w:val="75BF3154"/>
    <w:rsid w:val="764A07CF"/>
    <w:rsid w:val="764F6B3D"/>
    <w:rsid w:val="76CD2B7B"/>
    <w:rsid w:val="76D80645"/>
    <w:rsid w:val="76E03371"/>
    <w:rsid w:val="780E5898"/>
    <w:rsid w:val="782642CC"/>
    <w:rsid w:val="7894095E"/>
    <w:rsid w:val="79000679"/>
    <w:rsid w:val="79A416F0"/>
    <w:rsid w:val="79AC4AD7"/>
    <w:rsid w:val="79B037EF"/>
    <w:rsid w:val="79B03EB6"/>
    <w:rsid w:val="7ABE258D"/>
    <w:rsid w:val="7AF37579"/>
    <w:rsid w:val="7AF87F64"/>
    <w:rsid w:val="7B1C0C84"/>
    <w:rsid w:val="7B5A62DF"/>
    <w:rsid w:val="7B7A04A8"/>
    <w:rsid w:val="7C0C3F6D"/>
    <w:rsid w:val="7C22163C"/>
    <w:rsid w:val="7C595075"/>
    <w:rsid w:val="7C6B07B2"/>
    <w:rsid w:val="7CB9633C"/>
    <w:rsid w:val="7D133243"/>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8">
    <w:name w:val="页眉 Char"/>
    <w:basedOn w:val="24"/>
    <w:link w:val="18"/>
    <w:semiHidden/>
    <w:qFormat/>
    <w:uiPriority w:val="99"/>
    <w:rPr>
      <w:sz w:val="18"/>
      <w:szCs w:val="18"/>
    </w:rPr>
  </w:style>
  <w:style w:type="character" w:customStyle="1" w:styleId="29">
    <w:name w:val="页脚 Char"/>
    <w:basedOn w:val="24"/>
    <w:link w:val="17"/>
    <w:qFormat/>
    <w:uiPriority w:val="99"/>
    <w:rPr>
      <w:sz w:val="18"/>
      <w:szCs w:val="18"/>
    </w:rPr>
  </w:style>
  <w:style w:type="character" w:customStyle="1" w:styleId="30">
    <w:name w:val="标题 1 Char"/>
    <w:basedOn w:val="24"/>
    <w:link w:val="4"/>
    <w:qFormat/>
    <w:uiPriority w:val="9"/>
    <w:rPr>
      <w:rFonts w:eastAsia="方正小标宋简体"/>
      <w:bCs/>
      <w:kern w:val="44"/>
      <w:sz w:val="44"/>
      <w:szCs w:val="44"/>
    </w:rPr>
  </w:style>
  <w:style w:type="character" w:customStyle="1" w:styleId="31">
    <w:name w:val="标题 2 Char"/>
    <w:basedOn w:val="24"/>
    <w:link w:val="5"/>
    <w:qFormat/>
    <w:uiPriority w:val="9"/>
    <w:rPr>
      <w:rFonts w:eastAsia="方正小标宋简体" w:asciiTheme="majorHAnsi" w:hAnsiTheme="majorHAnsi" w:cstheme="majorBidi"/>
      <w:bCs/>
      <w:sz w:val="36"/>
      <w:szCs w:val="32"/>
    </w:rPr>
  </w:style>
  <w:style w:type="character" w:customStyle="1" w:styleId="32">
    <w:name w:val="标题 3 Char"/>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Char1"/>
    <w:basedOn w:val="24"/>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22601</Words>
  <Characters>26089</Characters>
  <Lines>87</Lines>
  <Paragraphs>24</Paragraphs>
  <TotalTime>2</TotalTime>
  <ScaleCrop>false</ScaleCrop>
  <LinksUpToDate>false</LinksUpToDate>
  <CharactersWithSpaces>28509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2022-11-17T07:49:06Z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664066396926439793A306097B648471</vt:lpwstr>
  </property>
</Properties>
</file>