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pStyle w:val="23"/>
        <w:rPr>
          <w:color w:val="auto"/>
          <w:highlight w:val="none"/>
        </w:rPr>
      </w:pPr>
    </w:p>
    <w:p>
      <w:pP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广州市净水有限公司白云区初雨泵站南侧地块安全围蔽工程项目</w:t>
      </w:r>
    </w:p>
    <w:p>
      <w:pPr>
        <w:jc w:val="center"/>
        <w:rPr>
          <w:rFonts w:hint="eastAsia" w:ascii="方正小标宋简体" w:eastAsia="方正小标宋简体"/>
          <w:color w:val="auto"/>
          <w:sz w:val="52"/>
          <w:szCs w:val="52"/>
          <w:highlight w:val="none"/>
          <w:lang w:val="en-US" w:eastAsia="zh-CN"/>
        </w:rPr>
      </w:pP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pStyle w:val="23"/>
        <w:rPr>
          <w:rFonts w:ascii="仿宋_GB2312" w:eastAsia="仿宋_GB2312"/>
          <w:color w:val="auto"/>
          <w:sz w:val="32"/>
          <w:szCs w:val="32"/>
          <w:highlight w:val="none"/>
        </w:rPr>
      </w:pPr>
    </w:p>
    <w:p>
      <w:pPr>
        <w:pStyle w:val="23"/>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pStyle w:val="2"/>
        <w:rPr>
          <w:color w:val="auto"/>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二二年</w:t>
      </w:r>
      <w:r>
        <w:rPr>
          <w:rFonts w:hint="eastAsia" w:ascii="黑体" w:hAnsi="黑体" w:eastAsia="黑体" w:cs="仿宋_GB2312"/>
          <w:color w:val="auto"/>
          <w:sz w:val="32"/>
          <w:szCs w:val="32"/>
          <w:highlight w:val="none"/>
          <w:lang w:val="en-US" w:eastAsia="zh-CN"/>
        </w:rPr>
        <w:t>十一</w:t>
      </w:r>
      <w:r>
        <w:rPr>
          <w:rFonts w:hint="eastAsia" w:ascii="黑体" w:hAnsi="黑体" w:eastAsia="黑体" w:cs="仿宋_GB2312"/>
          <w:color w:val="auto"/>
          <w:sz w:val="32"/>
          <w:szCs w:val="32"/>
          <w:highlight w:val="none"/>
        </w:rPr>
        <w:t>月</w:t>
      </w:r>
    </w:p>
    <w:p>
      <w:pPr>
        <w:rPr>
          <w:color w:val="auto"/>
          <w:highlight w:val="none"/>
        </w:rPr>
        <w:sectPr>
          <w:headerReference r:id="rId3" w:type="default"/>
          <w:footerReference r:id="rId4" w:type="default"/>
          <w:footerReference r:id="rId5" w:type="even"/>
          <w:pgSz w:w="11906" w:h="16838"/>
          <w:pgMar w:top="1644" w:right="1588" w:bottom="1644" w:left="1588" w:header="851" w:footer="992" w:gutter="0"/>
          <w:pgNumType w:fmt="numberInDash"/>
          <w:cols w:space="720" w:num="1"/>
          <w:docGrid w:type="lines" w:linePitch="312" w:charSpace="0"/>
        </w:sectPr>
      </w:pPr>
    </w:p>
    <w:p>
      <w:pPr>
        <w:pStyle w:val="2"/>
        <w:rPr>
          <w:color w:val="auto"/>
          <w:highlight w:val="none"/>
        </w:rPr>
      </w:pPr>
    </w:p>
    <w:p>
      <w:pPr>
        <w:pStyle w:val="37"/>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20"/>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20"/>
        <w:numPr>
          <w:ilvl w:val="0"/>
          <w:numId w:val="1"/>
        </w:numPr>
        <w:tabs>
          <w:tab w:val="right" w:pos="8844"/>
        </w:tabs>
        <w:rPr>
          <w:color w:val="auto"/>
          <w:highlight w:val="none"/>
        </w:rPr>
      </w:pPr>
      <w:r>
        <w:rPr>
          <w:rFonts w:hint="eastAsia"/>
          <w:color w:val="auto"/>
          <w:highlight w:val="none"/>
          <w:lang w:val="en-US" w:eastAsia="zh-CN"/>
        </w:rPr>
        <w:t>供应商须知</w:t>
      </w:r>
    </w:p>
    <w:p>
      <w:pPr>
        <w:pStyle w:val="20"/>
        <w:numPr>
          <w:ilvl w:val="0"/>
          <w:numId w:val="1"/>
        </w:numPr>
        <w:tabs>
          <w:tab w:val="right" w:pos="8844"/>
        </w:tabs>
        <w:rPr>
          <w:color w:val="auto"/>
          <w:highlight w:val="none"/>
        </w:rPr>
      </w:pPr>
      <w:r>
        <w:rPr>
          <w:rFonts w:hint="eastAsia"/>
          <w:color w:val="auto"/>
          <w:highlight w:val="none"/>
          <w:lang w:val="en-US" w:eastAsia="zh-CN"/>
        </w:rPr>
        <w:t>采购方法</w:t>
      </w:r>
    </w:p>
    <w:p>
      <w:pPr>
        <w:pStyle w:val="20"/>
        <w:numPr>
          <w:ilvl w:val="0"/>
          <w:numId w:val="1"/>
        </w:numPr>
        <w:tabs>
          <w:tab w:val="right" w:pos="8844"/>
        </w:tabs>
        <w:rPr>
          <w:color w:val="auto"/>
          <w:highlight w:val="none"/>
        </w:rPr>
      </w:pPr>
      <w:r>
        <w:rPr>
          <w:rFonts w:hint="eastAsia"/>
          <w:color w:val="auto"/>
          <w:highlight w:val="none"/>
          <w:lang w:val="en-US" w:eastAsia="zh-CN"/>
        </w:rPr>
        <w:t>评审方法</w:t>
      </w:r>
    </w:p>
    <w:p>
      <w:pPr>
        <w:pStyle w:val="20"/>
        <w:numPr>
          <w:ilvl w:val="0"/>
          <w:numId w:val="1"/>
        </w:numPr>
        <w:tabs>
          <w:tab w:val="right" w:pos="8844"/>
        </w:tabs>
        <w:rPr>
          <w:color w:val="auto"/>
          <w:highlight w:val="none"/>
        </w:rPr>
      </w:pPr>
      <w:r>
        <w:rPr>
          <w:rFonts w:hint="eastAsia"/>
          <w:color w:val="auto"/>
          <w:highlight w:val="none"/>
          <w:lang w:val="en-US" w:eastAsia="zh-CN"/>
        </w:rPr>
        <w:t>采购需求</w:t>
      </w:r>
    </w:p>
    <w:p>
      <w:pPr>
        <w:pStyle w:val="20"/>
        <w:numPr>
          <w:ilvl w:val="0"/>
          <w:numId w:val="1"/>
        </w:numPr>
        <w:tabs>
          <w:tab w:val="right" w:pos="8844"/>
        </w:tabs>
        <w:rPr>
          <w:color w:val="auto"/>
          <w:highlight w:val="none"/>
        </w:rPr>
      </w:pPr>
      <w:r>
        <w:rPr>
          <w:rFonts w:hint="eastAsia"/>
          <w:color w:val="auto"/>
          <w:highlight w:val="none"/>
        </w:rPr>
        <w:t>合同草案</w:t>
      </w:r>
    </w:p>
    <w:p>
      <w:pPr>
        <w:pStyle w:val="20"/>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3"/>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rFonts w:hint="eastAsia"/>
          <w:color w:val="auto"/>
          <w:highlight w:val="none"/>
        </w:rPr>
      </w:pPr>
      <w:bookmarkStart w:id="0" w:name="_Toc26148"/>
      <w:bookmarkStart w:id="1" w:name="_Toc18145"/>
    </w:p>
    <w:p>
      <w:pPr>
        <w:rPr>
          <w:rFonts w:hint="eastAsia"/>
          <w:color w:val="auto"/>
          <w:highlight w:val="none"/>
        </w:rPr>
      </w:pPr>
    </w:p>
    <w:p>
      <w:pPr>
        <w:pStyle w:val="3"/>
        <w:rPr>
          <w:rFonts w:hint="eastAsia"/>
          <w:color w:val="auto"/>
          <w:highlight w:val="none"/>
        </w:rPr>
      </w:pPr>
      <w:bookmarkStart w:id="2" w:name="_Toc17696"/>
      <w:bookmarkStart w:id="3" w:name="_Toc1711"/>
    </w:p>
    <w:p>
      <w:pPr>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3"/>
        <w:jc w:val="both"/>
        <w:rPr>
          <w:rFonts w:hint="eastAsia"/>
          <w:color w:val="auto"/>
          <w:highlight w:val="none"/>
        </w:rPr>
      </w:pPr>
      <w:bookmarkStart w:id="4" w:name="_Toc19609"/>
      <w:bookmarkStart w:id="5" w:name="_Toc11322"/>
      <w:bookmarkStart w:id="6" w:name="_Toc31938"/>
      <w:bookmarkStart w:id="7" w:name="_Toc17801"/>
      <w:bookmarkStart w:id="8" w:name="_Toc4275"/>
      <w:bookmarkStart w:id="9" w:name="_Toc7519"/>
      <w:bookmarkStart w:id="10" w:name="_Toc1669"/>
    </w:p>
    <w:p>
      <w:pPr>
        <w:pStyle w:val="3"/>
        <w:rPr>
          <w:color w:val="auto"/>
          <w:highlight w:val="none"/>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2372360</wp:posOffset>
                </wp:positionH>
                <wp:positionV relativeFrom="paragraph">
                  <wp:posOffset>483235</wp:posOffset>
                </wp:positionV>
                <wp:extent cx="958850" cy="0"/>
                <wp:effectExtent l="0" t="0" r="0" b="0"/>
                <wp:wrapNone/>
                <wp:docPr id="14"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6.8pt;margin-top:38.05pt;height:0pt;width:75.5pt;z-index:251673600;mso-width-relative:page;mso-height-relative:page;" filled="f" stroked="t" coordsize="21600,21600" o:gfxdata="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WfdQdcAAAAJAQAADwAAAAAAAAABACAAAAAiAAAAZHJzL2Rvd25yZXYueG1sUEsBAhQA&#10;FAAAAAgAh07iQGSpgtf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3"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4.9pt;margin-top:8.5pt;height:0pt;width:75.5pt;z-index:251672576;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BWw65/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9"/>
        <w:rPr>
          <w:color w:val="auto"/>
          <w:highlight w:val="none"/>
        </w:rPr>
      </w:pPr>
    </w:p>
    <w:p>
      <w:pPr>
        <w:pStyle w:val="3"/>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3"/>
        <w:rPr>
          <w:rFonts w:hint="eastAsia" w:eastAsia="方正小标宋简体"/>
          <w:color w:val="auto"/>
          <w:highlight w:val="none"/>
          <w:lang w:eastAsia="zh-CN"/>
        </w:rPr>
      </w:pPr>
      <w:bookmarkStart w:id="11" w:name="_Toc9680"/>
      <w:bookmarkStart w:id="12" w:name="_Toc21373"/>
      <w:r>
        <w:rPr>
          <w:rFonts w:hint="eastAsia"/>
          <w:color w:val="auto"/>
          <w:highlight w:val="none"/>
          <w:lang w:eastAsia="zh-CN"/>
        </w:rPr>
        <w:t>采购公告（采购邀请书）</w:t>
      </w:r>
    </w:p>
    <w:bookmarkEnd w:id="11"/>
    <w:bookmarkEnd w:id="12"/>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广州市净水有限公司白云区初雨泵站南侧地块安全围蔽工程项目</w:t>
      </w:r>
      <w:r>
        <w:rPr>
          <w:rFonts w:hint="eastAsia" w:ascii="仿宋_GB2312" w:eastAsia="仿宋_GB2312"/>
          <w:color w:val="auto"/>
          <w:sz w:val="28"/>
          <w:szCs w:val="28"/>
          <w:highlight w:val="none"/>
        </w:rPr>
        <w:t>已具备采购条件，现</w:t>
      </w:r>
      <w:r>
        <w:rPr>
          <w:rFonts w:hint="eastAsia" w:ascii="仿宋_GB2312" w:eastAsia="仿宋_GB2312"/>
          <w:color w:val="auto"/>
          <w:sz w:val="28"/>
          <w:szCs w:val="28"/>
          <w:highlight w:val="none"/>
          <w:lang w:val="en-US" w:eastAsia="zh-CN"/>
        </w:rPr>
        <w:t>邀请合格</w:t>
      </w:r>
      <w:r>
        <w:rPr>
          <w:rFonts w:hint="eastAsia" w:ascii="仿宋_GB2312" w:eastAsia="仿宋_GB2312"/>
          <w:color w:val="auto"/>
          <w:sz w:val="28"/>
          <w:szCs w:val="28"/>
          <w:highlight w:val="none"/>
          <w:u w:val="none"/>
          <w:lang w:val="en-US" w:eastAsia="zh-CN"/>
        </w:rPr>
        <w:t>单位</w:t>
      </w:r>
      <w:r>
        <w:rPr>
          <w:rFonts w:hint="eastAsia" w:ascii="仿宋_GB2312" w:eastAsia="仿宋_GB2312"/>
          <w:color w:val="auto"/>
          <w:sz w:val="28"/>
          <w:szCs w:val="28"/>
          <w:highlight w:val="none"/>
        </w:rPr>
        <w:t>参加本</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施工  □货物 □服务项目采购活动，采用</w:t>
      </w:r>
      <w:r>
        <w:rPr>
          <w:rFonts w:hint="eastAsia" w:ascii="仿宋_GB2312" w:eastAsia="仿宋_GB2312"/>
          <w:color w:val="auto"/>
          <w:sz w:val="28"/>
          <w:szCs w:val="28"/>
          <w:highlight w:val="none"/>
          <w:u w:val="single"/>
        </w:rPr>
        <w:sym w:font="Wingdings 2" w:char="00A3"/>
      </w:r>
      <w:r>
        <w:rPr>
          <w:rFonts w:hint="eastAsia" w:ascii="仿宋_GB2312" w:eastAsia="仿宋_GB2312"/>
          <w:color w:val="auto"/>
          <w:sz w:val="28"/>
          <w:szCs w:val="28"/>
          <w:highlight w:val="none"/>
          <w:u w:val="single"/>
          <w:lang w:val="en-US" w:eastAsia="zh-CN"/>
        </w:rPr>
        <w:t>邀请</w:t>
      </w:r>
      <w:r>
        <w:rPr>
          <w:rFonts w:hint="eastAsia" w:ascii="仿宋_GB2312" w:eastAsia="仿宋_GB2312"/>
          <w:color w:val="auto"/>
          <w:sz w:val="28"/>
          <w:szCs w:val="28"/>
          <w:highlight w:val="none"/>
          <w:u w:val="single"/>
        </w:rPr>
        <w:t>询比</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lang w:val="en-US" w:eastAsia="zh-CN"/>
        </w:rPr>
        <w:sym w:font="Wingdings 2" w:char="0052"/>
      </w:r>
      <w:r>
        <w:rPr>
          <w:rFonts w:hint="eastAsia" w:ascii="仿宋_GB2312" w:eastAsia="仿宋_GB2312"/>
          <w:color w:val="auto"/>
          <w:sz w:val="28"/>
          <w:szCs w:val="28"/>
          <w:highlight w:val="none"/>
          <w:u w:val="single"/>
          <w:lang w:val="en-US" w:eastAsia="zh-CN"/>
        </w:rPr>
        <w:t>公开询比</w:t>
      </w:r>
      <w:r>
        <w:rPr>
          <w:rFonts w:hint="eastAsia" w:ascii="仿宋_GB2312" w:eastAsia="仿宋_GB2312"/>
          <w:color w:val="auto"/>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eastAsia="zh-CN"/>
        </w:rPr>
        <w:t>广州市净水有限公司白云区初雨泵站南侧地块安全围蔽工程项目</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default" w:ascii="仿宋_GB2312" w:eastAsia="仿宋_GB2312"/>
          <w:color w:val="auto"/>
          <w:sz w:val="28"/>
          <w:szCs w:val="28"/>
          <w:highlight w:val="none"/>
          <w:u w:val="single"/>
          <w:lang w:val="en-US"/>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lang w:val="en-US" w:eastAsia="zh-CN"/>
        </w:rPr>
        <w:t xml:space="preserve"> XJ-20221109-1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自有资金</w:t>
      </w:r>
    </w:p>
    <w:p>
      <w:pPr>
        <w:autoSpaceDE w:val="0"/>
        <w:autoSpaceDN w:val="0"/>
        <w:adjustRightInd/>
        <w:snapToGrid/>
        <w:spacing w:line="52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75276.43元 </w:t>
      </w:r>
      <w:r>
        <w:rPr>
          <w:rFonts w:hint="eastAsia" w:ascii="仿宋_GB2312" w:hAnsi="仿宋_GB2312" w:eastAsia="仿宋_GB2312" w:cs="仿宋_GB2312"/>
          <w:color w:val="auto"/>
          <w:sz w:val="28"/>
          <w:szCs w:val="28"/>
          <w:highlight w:val="none"/>
          <w:lang w:val="zh-CN" w:eastAsia="zh-CN"/>
        </w:rPr>
        <w:t>（其中税前造价</w:t>
      </w:r>
      <w:r>
        <w:rPr>
          <w:rFonts w:hint="eastAsia" w:ascii="仿宋_GB2312" w:hAnsi="仿宋_GB2312" w:eastAsia="仿宋_GB2312" w:cs="仿宋_GB2312"/>
          <w:color w:val="auto"/>
          <w:sz w:val="28"/>
          <w:szCs w:val="28"/>
          <w:highlight w:val="none"/>
          <w:lang w:val="en-US" w:eastAsia="zh-CN"/>
        </w:rPr>
        <w:t>69060.94</w:t>
      </w:r>
      <w:r>
        <w:rPr>
          <w:rFonts w:hint="eastAsia" w:ascii="仿宋_GB2312" w:hAnsi="仿宋_GB2312" w:eastAsia="仿宋_GB2312" w:cs="仿宋_GB2312"/>
          <w:color w:val="auto"/>
          <w:sz w:val="28"/>
          <w:szCs w:val="28"/>
          <w:highlight w:val="none"/>
          <w:lang w:val="zh-CN" w:eastAsia="zh-CN"/>
        </w:rPr>
        <w:t>元，税率为9%；</w:t>
      </w:r>
      <w:r>
        <w:rPr>
          <w:rFonts w:hint="eastAsia" w:ascii="仿宋_GB2312" w:hAnsi="仿宋_GB2312" w:eastAsia="仿宋_GB2312" w:cs="仿宋_GB2312"/>
          <w:color w:val="auto"/>
          <w:sz w:val="28"/>
          <w:szCs w:val="28"/>
          <w:highlight w:val="none"/>
          <w:lang w:val="en-US" w:eastAsia="zh-CN"/>
        </w:rPr>
        <w:t>其中</w:t>
      </w:r>
      <w:r>
        <w:rPr>
          <w:rFonts w:hint="eastAsia" w:ascii="仿宋_GB2312" w:hAnsi="仿宋_GB2312" w:eastAsia="仿宋_GB2312" w:cs="仿宋_GB2312"/>
          <w:color w:val="auto"/>
          <w:sz w:val="28"/>
          <w:szCs w:val="28"/>
          <w:highlight w:val="none"/>
          <w:lang w:val="zh-CN" w:eastAsia="zh-CN"/>
        </w:rPr>
        <w:t>绿色</w:t>
      </w:r>
      <w:r>
        <w:rPr>
          <w:rFonts w:hint="eastAsia" w:ascii="仿宋_GB2312" w:hAnsi="仿宋_GB2312" w:eastAsia="仿宋_GB2312" w:cs="仿宋_GB2312"/>
          <w:color w:val="auto"/>
          <w:sz w:val="28"/>
          <w:szCs w:val="28"/>
          <w:highlight w:val="none"/>
        </w:rPr>
        <w:t>施工安全防护措施</w:t>
      </w:r>
      <w:r>
        <w:rPr>
          <w:rFonts w:hint="eastAsia" w:ascii="仿宋_GB2312" w:hAnsi="仿宋_GB2312" w:eastAsia="仿宋_GB2312" w:cs="仿宋_GB2312"/>
          <w:color w:val="auto"/>
          <w:sz w:val="28"/>
          <w:szCs w:val="28"/>
          <w:highlight w:val="none"/>
          <w:lang w:val="zh-CN" w:eastAsia="zh-CN"/>
        </w:rPr>
        <w:t>费</w:t>
      </w:r>
      <w:r>
        <w:rPr>
          <w:rFonts w:hint="eastAsia" w:ascii="仿宋_GB2312" w:hAnsi="仿宋_GB2312" w:eastAsia="仿宋_GB2312" w:cs="仿宋_GB2312"/>
          <w:color w:val="auto"/>
          <w:sz w:val="28"/>
          <w:szCs w:val="28"/>
          <w:highlight w:val="none"/>
          <w:lang w:val="en-US" w:eastAsia="zh-CN"/>
        </w:rPr>
        <w:t>2353.44</w:t>
      </w:r>
      <w:r>
        <w:rPr>
          <w:rFonts w:hint="eastAsia" w:ascii="仿宋_GB2312" w:hAnsi="仿宋_GB2312" w:eastAsia="仿宋_GB2312" w:cs="仿宋_GB2312"/>
          <w:color w:val="auto"/>
          <w:sz w:val="28"/>
          <w:szCs w:val="28"/>
          <w:highlight w:val="none"/>
          <w:lang w:val="zh-CN" w:eastAsia="zh-CN"/>
        </w:rPr>
        <w:t>元）。</w:t>
      </w:r>
      <w:r>
        <w:rPr>
          <w:rFonts w:hint="eastAsia" w:ascii="仿宋_GB2312" w:hAnsi="仿宋_GB2312" w:eastAsia="仿宋_GB2312" w:cs="仿宋_GB2312"/>
          <w:color w:val="auto"/>
          <w:sz w:val="28"/>
          <w:szCs w:val="28"/>
          <w:highlight w:val="none"/>
        </w:rPr>
        <w:t>绿色施工安全防护措施费为非竞争性费用，报价时须按询价文件规定的金额填写，不得参与竞争，否则按无效报价处理。</w:t>
      </w:r>
      <w:r>
        <w:rPr>
          <w:rFonts w:hint="eastAsia" w:ascii="仿宋_GB2312" w:hAnsi="仿宋_GB2312" w:eastAsia="仿宋_GB2312" w:cs="仿宋_GB2312"/>
          <w:color w:val="auto"/>
          <w:sz w:val="28"/>
          <w:szCs w:val="28"/>
          <w:highlight w:val="none"/>
          <w:lang w:val="zh-CN" w:eastAsia="zh-CN"/>
        </w:rPr>
        <w:t>）</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lang w:val="en-US" w:eastAsia="zh-CN"/>
        </w:rPr>
        <w:t>无。</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2.1采购内容和范围：本工程项目对</w:t>
      </w:r>
      <w:r>
        <w:rPr>
          <w:rFonts w:hint="eastAsia" w:ascii="仿宋_GB2312" w:eastAsia="仿宋_GB2312"/>
          <w:color w:val="auto"/>
          <w:sz w:val="28"/>
          <w:szCs w:val="28"/>
          <w:highlight w:val="none"/>
          <w:lang w:val="en-US" w:eastAsia="zh-CN"/>
        </w:rPr>
        <w:t>我公司位于白云区初雨泵站南侧地块采用隔离栅进行安全围蔽，隔离栅高度不少于1.8米，合计围蔽总长度约250米，包括但不限于：部分红线区域测量放线、场地内废弃建筑垃圾和生活垃圾清理、设置警示牌</w:t>
      </w:r>
      <w:r>
        <w:rPr>
          <w:rFonts w:hint="eastAsia" w:ascii="仿宋_GB2312" w:eastAsia="仿宋_GB2312"/>
          <w:color w:val="auto"/>
          <w:sz w:val="28"/>
          <w:szCs w:val="28"/>
          <w:highlight w:val="none"/>
        </w:rPr>
        <w:t>等。</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计划工期   □交货期  □服务期为</w:t>
      </w:r>
      <w:r>
        <w:rPr>
          <w:rFonts w:hint="eastAsia" w:ascii="仿宋_GB2312" w:eastAsia="仿宋_GB2312"/>
          <w:color w:val="auto"/>
          <w:sz w:val="28"/>
          <w:szCs w:val="28"/>
          <w:highlight w:val="none"/>
          <w:u w:val="single"/>
          <w:lang w:val="en-US" w:eastAsia="zh-CN"/>
        </w:rPr>
        <w:t>暂定2022年11月21日-2022年12月31日</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建设地点  □交货地点  □服务地点位于</w:t>
      </w:r>
      <w:r>
        <w:rPr>
          <w:rFonts w:hint="eastAsia" w:ascii="仿宋_GB2312" w:eastAsia="仿宋_GB2312" w:hAnsiTheme="minorHAnsi" w:cstheme="minorBidi"/>
          <w:color w:val="auto"/>
          <w:sz w:val="28"/>
          <w:szCs w:val="28"/>
          <w:highlight w:val="none"/>
          <w:u w:val="single"/>
          <w:lang w:val="en-US" w:eastAsia="zh-CN"/>
        </w:rPr>
        <w:t>白云区初雨泵站南侧地块</w:t>
      </w:r>
      <w:r>
        <w:rPr>
          <w:rFonts w:hint="eastAsia" w:ascii="仿宋_GB2312" w:eastAsia="仿宋_GB2312" w:cstheme="minorBidi"/>
          <w:color w:val="auto"/>
          <w:sz w:val="28"/>
          <w:szCs w:val="28"/>
          <w:highlight w:val="none"/>
          <w:u w:val="single"/>
          <w:lang w:val="en-US" w:eastAsia="zh-CN"/>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2.4质量要求：</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施工质量要求   □货物质量标准或主要技术性能指标  □服务质量要求或服务标准如下：</w:t>
      </w:r>
      <w:r>
        <w:rPr>
          <w:rFonts w:hint="eastAsia" w:ascii="仿宋_GB2312" w:eastAsia="仿宋_GB2312"/>
          <w:color w:val="auto"/>
          <w:sz w:val="28"/>
          <w:szCs w:val="28"/>
          <w:highlight w:val="none"/>
          <w:u w:val="single"/>
          <w:lang w:val="en-US" w:eastAsia="zh-CN"/>
        </w:rPr>
        <w:t>符合国家相关工程施工质量验收规范的合格标准</w:t>
      </w:r>
      <w:r>
        <w:rPr>
          <w:rFonts w:hint="eastAsia" w:ascii="仿宋_GB2312" w:eastAsia="仿宋_GB2312"/>
          <w:color w:val="auto"/>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安全目标如下：</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供应商应当具备</w:t>
      </w:r>
      <w:r>
        <w:rPr>
          <w:rFonts w:hint="eastAsia" w:ascii="仿宋_GB2312" w:eastAsia="仿宋_GB2312"/>
          <w:color w:val="auto"/>
          <w:sz w:val="28"/>
          <w:szCs w:val="28"/>
          <w:highlight w:val="none"/>
          <w:u w:val="none"/>
        </w:rPr>
        <w:t>建设主管部门颁发且在有效期内的《安全生产许可证》</w:t>
      </w:r>
      <w:r>
        <w:rPr>
          <w:rFonts w:hint="eastAsia" w:ascii="仿宋_GB2312" w:eastAsia="仿宋_GB2312"/>
          <w:color w:val="auto"/>
          <w:sz w:val="28"/>
          <w:szCs w:val="28"/>
          <w:highlight w:val="none"/>
        </w:rPr>
        <w:t>资质。</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lang w:val="en-US" w:eastAsia="zh-CN"/>
        </w:rPr>
        <w:t>年1月1日至今，</w:t>
      </w:r>
      <w:r>
        <w:rPr>
          <w:rFonts w:hint="eastAsia" w:ascii="仿宋_GB2312" w:eastAsia="仿宋_GB2312"/>
          <w:color w:val="auto"/>
          <w:sz w:val="28"/>
          <w:szCs w:val="28"/>
          <w:highlight w:val="none"/>
        </w:rPr>
        <w:t>供应商</w:t>
      </w:r>
      <w:r>
        <w:rPr>
          <w:rFonts w:hint="eastAsia" w:ascii="仿宋_GB2312" w:eastAsia="仿宋_GB2312"/>
          <w:color w:val="auto"/>
          <w:sz w:val="28"/>
          <w:szCs w:val="28"/>
          <w:highlight w:val="none"/>
          <w:lang w:val="en-US" w:eastAsia="zh-CN"/>
        </w:rPr>
        <w:t>最少</w:t>
      </w:r>
      <w:r>
        <w:rPr>
          <w:rFonts w:hint="eastAsia" w:ascii="仿宋_GB2312" w:eastAsia="仿宋_GB2312"/>
          <w:color w:val="auto"/>
          <w:sz w:val="28"/>
          <w:szCs w:val="28"/>
          <w:highlight w:val="none"/>
        </w:rPr>
        <w:t>具有</w:t>
      </w:r>
      <w:r>
        <w:rPr>
          <w:rFonts w:hint="eastAsia" w:ascii="仿宋_GB2312" w:eastAsia="仿宋_GB2312"/>
          <w:color w:val="auto"/>
          <w:sz w:val="28"/>
          <w:szCs w:val="28"/>
          <w:highlight w:val="none"/>
          <w:lang w:val="en-US" w:eastAsia="zh-CN"/>
        </w:rPr>
        <w:t>一项</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rPr>
        <w:t>项目的业绩。（提供合同复印件证明，包括但不限于项目名称、金额及实施内容、合同签字盖章、签订日期，加盖单位公章）</w:t>
      </w:r>
    </w:p>
    <w:p>
      <w:pPr>
        <w:adjustRightInd w:val="0"/>
        <w:snapToGrid w:val="0"/>
        <w:spacing w:line="600" w:lineRule="exact"/>
        <w:ind w:firstLine="0" w:firstLineChars="0"/>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）项目负责人应</w:t>
      </w:r>
      <w:r>
        <w:rPr>
          <w:rFonts w:hint="eastAsia" w:ascii="仿宋_GB2312" w:eastAsia="仿宋_GB2312" w:hAnsiTheme="minorHAnsi" w:cstheme="minorBidi"/>
          <w:color w:val="auto"/>
          <w:sz w:val="28"/>
          <w:szCs w:val="28"/>
          <w:highlight w:val="none"/>
          <w:u w:val="none"/>
          <w:lang w:val="en-US" w:eastAsia="zh-CN"/>
        </w:rPr>
        <w:t>持有项目负责人安全生产考核合格证（B类）（或能够提供广东省建筑施工企业管理人员安全生产考核信息系统安全生产管理人员证书信息的网页截图）；</w:t>
      </w:r>
    </w:p>
    <w:p>
      <w:pPr>
        <w:adjustRightInd w:val="0"/>
        <w:snapToGrid w:val="0"/>
        <w:spacing w:line="600" w:lineRule="exact"/>
        <w:ind w:firstLine="560" w:firstLineChars="200"/>
        <w:jc w:val="left"/>
        <w:rPr>
          <w:rFonts w:hint="eastAsia" w:ascii="仿宋_GB2312" w:eastAsia="仿宋_GB2312"/>
          <w:color w:val="auto"/>
          <w:sz w:val="28"/>
          <w:szCs w:val="28"/>
          <w:highlight w:val="none"/>
          <w:u w:val="none"/>
          <w:lang w:eastAsia="zh-CN"/>
        </w:rPr>
      </w:pPr>
      <w:r>
        <w:rPr>
          <w:rFonts w:hint="eastAsia" w:ascii="仿宋_GB2312" w:eastAsia="仿宋_GB2312"/>
          <w:color w:val="auto"/>
          <w:sz w:val="28"/>
          <w:szCs w:val="28"/>
          <w:highlight w:val="none"/>
          <w:u w:val="none"/>
        </w:rPr>
        <w:t>专职安全人员要求：须具有安全生产考核合格证（C类）（或能够提供广东省建筑施工企业管理人员安全生产考核信息系统安全生产管理人员证书信息的网页截图）</w:t>
      </w:r>
      <w:r>
        <w:rPr>
          <w:rFonts w:hint="eastAsia" w:ascii="仿宋_GB2312" w:eastAsia="仿宋_GB2312"/>
          <w:color w:val="auto"/>
          <w:sz w:val="28"/>
          <w:szCs w:val="28"/>
          <w:highlight w:val="none"/>
          <w:u w:val="none"/>
          <w:lang w:eastAsia="zh-CN"/>
        </w:rPr>
        <w:t>。</w:t>
      </w:r>
    </w:p>
    <w:p>
      <w:pPr>
        <w:pStyle w:val="23"/>
        <w:adjustRightInd w:val="0"/>
        <w:snapToGrid w:val="0"/>
        <w:spacing w:line="600" w:lineRule="exact"/>
        <w:ind w:firstLine="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）其他要求：</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须出具不得存在情形承诺函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（2）与本项目其他供应商存在控股或管理关系。</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（3）被本项目所在地省级以上行业主管部门依法暂停、取消投标或禁止参加采购活动且处于有效期内的。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（4）处于被责令停产停业、暂扣或者吊销执照、暂扣或者吊销许可证、吊销资质证书状态。</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（5）进入清算程序，或被宣告破产，或其他丧失履约能力情形的。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（6）近三年内因发生质量或安全生产事故等受到行政处罚且在处罚期内的。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（7）被最高人民法院在“信用中国”网站（www.creditchina.gov.cn）或各级信用信息共享平台中列入失信被执行人名单。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（8）被“全国企业信用信息公示系统”（网址：http://www.gsxt.gov.cn/）</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列入经营异常名录和严重违法企业名单。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（10）被纳入本项目采购人（包括市水投集团及相关所属企业）书面限制参与采购活动且处于有效期内的。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（11）其他违法违纪行为，经审查认为不宜被邀请参加采购活动的。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（12）其他禁止情形：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color w:val="auto"/>
          <w:sz w:val="28"/>
          <w:szCs w:val="28"/>
          <w:highlight w:val="none"/>
        </w:rPr>
        <w:t>不组织</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.1递交响应文件截止时间：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15</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00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val="en-US" w:eastAsia="zh-CN"/>
        </w:rPr>
        <w:t>前</w:t>
      </w:r>
      <w:r>
        <w:rPr>
          <w:rFonts w:hint="eastAsia" w:ascii="仿宋_GB2312" w:eastAsia="仿宋_GB2312"/>
          <w:color w:val="auto"/>
          <w:sz w:val="28"/>
          <w:szCs w:val="28"/>
          <w:highlight w:val="none"/>
        </w:rPr>
        <w:t>（北京时间）。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.2递交</w:t>
      </w:r>
      <w:r>
        <w:rPr>
          <w:rFonts w:hint="eastAsia" w:ascii="仿宋_GB2312" w:eastAsia="仿宋_GB2312"/>
          <w:color w:val="auto"/>
          <w:sz w:val="28"/>
          <w:szCs w:val="28"/>
          <w:highlight w:val="none"/>
          <w:lang w:val="en-US" w:eastAsia="zh-CN"/>
        </w:rPr>
        <w:t>及快递</w:t>
      </w:r>
      <w:r>
        <w:rPr>
          <w:rFonts w:hint="eastAsia" w:ascii="仿宋_GB2312" w:eastAsia="仿宋_GB2312"/>
          <w:color w:val="auto"/>
          <w:sz w:val="28"/>
          <w:szCs w:val="28"/>
          <w:highlight w:val="none"/>
        </w:rPr>
        <w:t>地址：</w:t>
      </w:r>
      <w:r>
        <w:rPr>
          <w:rFonts w:hint="eastAsia" w:ascii="仿宋_GB2312" w:eastAsia="仿宋_GB2312"/>
          <w:color w:val="auto"/>
          <w:sz w:val="28"/>
          <w:szCs w:val="28"/>
          <w:highlight w:val="none"/>
          <w:lang w:val="en-US" w:eastAsia="zh-CN"/>
        </w:rPr>
        <w:t>广州市天河区临江大道501号</w:t>
      </w:r>
      <w:r>
        <w:rPr>
          <w:rFonts w:hint="eastAsia" w:ascii="仿宋_GB2312" w:eastAsia="仿宋_GB2312"/>
          <w:color w:val="auto"/>
          <w:sz w:val="28"/>
          <w:szCs w:val="28"/>
          <w:highlight w:val="none"/>
          <w:u w:val="single"/>
          <w:lang w:val="en-US" w:eastAsia="zh-CN"/>
        </w:rPr>
        <w:t>广州市净水有限公司6楼招标部</w:t>
      </w:r>
      <w:r>
        <w:rPr>
          <w:rFonts w:hint="eastAsia" w:ascii="仿宋_GB2312" w:eastAsia="仿宋_GB2312"/>
          <w:color w:val="auto"/>
          <w:sz w:val="28"/>
          <w:szCs w:val="28"/>
          <w:highlight w:val="none"/>
        </w:rPr>
        <w:t>。</w:t>
      </w:r>
    </w:p>
    <w:p>
      <w:pPr>
        <w:pStyle w:val="23"/>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基于目前疫情防控形势，我公司仅接受快递或自行送达形式递交响应文件，响应文件须于递交截止时间前送达，并放置于公司正门保安处。</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020-38890841</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 被书面限制参与采购活动的企业名单</w:t>
      </w:r>
    </w:p>
    <w:p>
      <w:pPr>
        <w:adjustRightInd w:val="0"/>
        <w:snapToGrid w:val="0"/>
        <w:spacing w:line="600" w:lineRule="exact"/>
        <w:ind w:firstLine="560" w:firstLine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本项目采购人（包括市水投集团及其属下子公司）书面限制参与采购活动的企业名单：</w:t>
      </w:r>
    </w:p>
    <w:tbl>
      <w:tblPr>
        <w:tblStyle w:val="2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092"/>
        <w:gridCol w:w="3357"/>
        <w:gridCol w:w="449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3402"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单位名称</w:t>
            </w:r>
          </w:p>
        </w:tc>
        <w:tc>
          <w:tcPr>
            <w:tcW w:w="4557"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被书面限制参与采购活动的期限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6" w:hRule="atLeast"/>
        </w:trPr>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1</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广州市水电建设工程有限公司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2</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广州市南粤工程建设监理有限公司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w:t>
            </w:r>
            <w:r>
              <w:rPr>
                <w:rFonts w:hint="eastAsia" w:ascii="宋体" w:hAnsi="宋体" w:cs="宋体"/>
                <w:color w:val="auto"/>
                <w:sz w:val="24"/>
                <w:highlight w:val="none"/>
                <w:lang w:val="en-US" w:eastAsia="zh-CN"/>
              </w:rPr>
              <w:t>23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8" w:hRule="atLeast"/>
        </w:trPr>
        <w:tc>
          <w:tcPr>
            <w:tcW w:w="1101"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cs="宋体"/>
                <w:color w:val="auto"/>
                <w:sz w:val="24"/>
                <w:highlight w:val="none"/>
                <w:lang w:val="en-US" w:eastAsia="zh-CN"/>
              </w:rPr>
              <w:t>3</w:t>
            </w:r>
          </w:p>
        </w:tc>
        <w:tc>
          <w:tcPr>
            <w:tcW w:w="3402" w:type="dxa"/>
            <w:vAlign w:val="center"/>
          </w:tcPr>
          <w:p>
            <w:pPr>
              <w:jc w:val="center"/>
              <w:rPr>
                <w:rFonts w:hint="eastAsia" w:ascii="宋体" w:hAnsi="宋体" w:eastAsia="宋体" w:cs="宋体"/>
                <w:color w:val="auto"/>
                <w:kern w:val="2"/>
                <w:sz w:val="24"/>
                <w:szCs w:val="22"/>
                <w:highlight w:val="none"/>
                <w:lang w:val="en-US" w:eastAsia="zh-CN" w:bidi="ar-SA"/>
              </w:rPr>
            </w:pPr>
            <w:r>
              <w:rPr>
                <w:rFonts w:ascii="宋体" w:hAnsi="宋体" w:eastAsia="宋体" w:cs="宋体"/>
                <w:color w:val="auto"/>
                <w:sz w:val="24"/>
                <w:szCs w:val="24"/>
                <w:highlight w:val="none"/>
              </w:rPr>
              <w:t>广州市自来水工程有限公司</w:t>
            </w:r>
          </w:p>
        </w:tc>
        <w:tc>
          <w:tcPr>
            <w:tcW w:w="4557"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lang w:val="en-US" w:eastAsia="zh-CN"/>
              </w:rPr>
              <w:t>年1月</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至2022年</w:t>
            </w:r>
            <w:r>
              <w:rPr>
                <w:rFonts w:hint="eastAsia" w:ascii="宋体" w:hAnsi="宋体" w:cs="宋体"/>
                <w:color w:val="auto"/>
                <w:sz w:val="24"/>
                <w:highlight w:val="none"/>
                <w:lang w:val="en-US" w:eastAsia="zh-CN"/>
              </w:rPr>
              <w:t>12</w:t>
            </w:r>
            <w:r>
              <w:rPr>
                <w:rFonts w:hint="eastAsia" w:ascii="宋体" w:hAnsi="宋体" w:eastAsia="宋体" w:cs="宋体"/>
                <w:color w:val="auto"/>
                <w:sz w:val="24"/>
                <w:highlight w:val="none"/>
              </w:rPr>
              <w:t>月</w:t>
            </w:r>
            <w:r>
              <w:rPr>
                <w:rFonts w:hint="eastAsia" w:ascii="宋体" w:hAnsi="宋体" w:cs="宋体"/>
                <w:color w:val="auto"/>
                <w:sz w:val="24"/>
                <w:highlight w:val="none"/>
                <w:lang w:val="en-US" w:eastAsia="zh-CN"/>
              </w:rPr>
              <w:t>31</w:t>
            </w:r>
            <w:r>
              <w:rPr>
                <w:rFonts w:hint="eastAsia" w:ascii="宋体" w:hAnsi="宋体" w:eastAsia="宋体" w:cs="宋体"/>
                <w:color w:val="auto"/>
                <w:sz w:val="24"/>
                <w:highlight w:val="none"/>
              </w:rPr>
              <w:t>日</w:t>
            </w:r>
          </w:p>
        </w:tc>
      </w:tr>
    </w:tbl>
    <w:p>
      <w:pPr>
        <w:adjustRightInd w:val="0"/>
        <w:snapToGrid w:val="0"/>
        <w:spacing w:beforeLines="50" w:afterLines="50" w:line="600" w:lineRule="exact"/>
        <w:jc w:val="left"/>
        <w:rPr>
          <w:rFonts w:hint="eastAsia" w:asciiTheme="minorEastAsia" w:hAnsiTheme="minorEastAsia"/>
          <w:b/>
          <w:color w:val="auto"/>
          <w:sz w:val="32"/>
          <w:szCs w:val="32"/>
          <w:highlight w:val="none"/>
          <w:lang w:val="en-US" w:eastAsia="zh-CN"/>
        </w:rPr>
      </w:pPr>
    </w:p>
    <w:p>
      <w:pPr>
        <w:adjustRightInd w:val="0"/>
        <w:snapToGrid w:val="0"/>
        <w:spacing w:beforeLines="50" w:afterLines="50" w:line="600" w:lineRule="exact"/>
        <w:jc w:val="left"/>
        <w:rPr>
          <w:rFonts w:hint="eastAsia" w:asciiTheme="minorEastAsia" w:hAnsiTheme="minorEastAsia"/>
          <w:b/>
          <w:color w:val="auto"/>
          <w:sz w:val="32"/>
          <w:szCs w:val="32"/>
          <w:highlight w:val="none"/>
          <w:lang w:val="en-US" w:eastAsia="zh-CN"/>
        </w:rPr>
      </w:pPr>
    </w:p>
    <w:p>
      <w:pPr>
        <w:adjustRightInd w:val="0"/>
        <w:snapToGrid w:val="0"/>
        <w:spacing w:beforeLines="50" w:afterLines="50" w:line="600" w:lineRule="exact"/>
        <w:jc w:val="left"/>
        <w:rPr>
          <w:rFonts w:hint="eastAsia" w:asciiTheme="minorEastAsia" w:hAnsiTheme="minorEastAsia"/>
          <w:b/>
          <w:color w:val="auto"/>
          <w:sz w:val="32"/>
          <w:szCs w:val="32"/>
          <w:highlight w:val="none"/>
          <w:lang w:val="en-US" w:eastAsia="zh-CN"/>
        </w:rPr>
      </w:pPr>
    </w:p>
    <w:p>
      <w:pPr>
        <w:adjustRightInd w:val="0"/>
        <w:snapToGrid w:val="0"/>
        <w:spacing w:beforeLines="50" w:afterLines="50" w:line="600" w:lineRule="exact"/>
        <w:jc w:val="left"/>
        <w:rPr>
          <w:rFonts w:hint="eastAsia" w:asciiTheme="minorEastAsia" w:hAnsiTheme="minorEastAsia"/>
          <w:b/>
          <w:color w:val="auto"/>
          <w:sz w:val="32"/>
          <w:szCs w:val="32"/>
          <w:highlight w:val="none"/>
          <w:lang w:val="en-US" w:eastAsia="zh-CN"/>
        </w:rPr>
      </w:pPr>
    </w:p>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10</w:t>
      </w:r>
      <w:r>
        <w:rPr>
          <w:rFonts w:hint="eastAsia" w:asciiTheme="minorEastAsia" w:hAnsiTheme="minorEastAsia"/>
          <w:b/>
          <w:color w:val="auto"/>
          <w:sz w:val="32"/>
          <w:szCs w:val="32"/>
          <w:highlight w:val="none"/>
        </w:rPr>
        <w:t>.联系方式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林工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rPr>
              <w:t>日</w:t>
            </w:r>
          </w:p>
        </w:tc>
      </w:tr>
    </w:tbl>
    <w:p>
      <w:pPr>
        <w:adjustRightInd/>
        <w:snapToGrid/>
        <w:spacing w:line="240" w:lineRule="auto"/>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br w:type="page"/>
      </w:r>
    </w:p>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3"/>
        <w:rPr>
          <w:rFonts w:hint="eastAsia"/>
          <w:color w:val="auto"/>
          <w:highlight w:val="none"/>
        </w:rPr>
      </w:pPr>
      <w:bookmarkStart w:id="13" w:name="_Toc10891"/>
    </w:p>
    <w:p>
      <w:pPr>
        <w:pStyle w:val="3"/>
        <w:rPr>
          <w:rFonts w:hint="eastAsia"/>
          <w:color w:val="auto"/>
          <w:highlight w:val="none"/>
        </w:rPr>
      </w:pPr>
      <w:bookmarkStart w:id="14" w:name="_Toc9448"/>
      <w:bookmarkStart w:id="15" w:name="_Toc19295"/>
      <w:bookmarkStart w:id="16" w:name="_Toc2331"/>
      <w:bookmarkStart w:id="17" w:name="_Toc23749"/>
      <w:bookmarkStart w:id="18" w:name="_Toc25603"/>
      <w:bookmarkStart w:id="19" w:name="_Toc16705"/>
      <w:bookmarkStart w:id="20" w:name="_Toc32588"/>
      <w:bookmarkStart w:id="21" w:name="_Toc16557"/>
      <w:bookmarkStart w:id="22" w:name="_Toc7340"/>
      <w:bookmarkStart w:id="23" w:name="_Toc2324"/>
    </w:p>
    <w:p>
      <w:pPr>
        <w:pStyle w:val="3"/>
        <w:rPr>
          <w:color w:val="auto"/>
          <w:highlight w:val="none"/>
        </w:rPr>
      </w:pP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6"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4.3pt;margin-top:58.7pt;height:0pt;width:75.5pt;z-index:251675648;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J1n6LX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5"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4.9pt;margin-top:8.5pt;height:0pt;width:75.5pt;z-index:251674624;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6CIrWv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4"/>
        <w:rPr>
          <w:rFonts w:hint="eastAsia"/>
          <w:color w:val="auto"/>
          <w:highlight w:val="none"/>
        </w:rPr>
      </w:pPr>
    </w:p>
    <w:p>
      <w:pPr>
        <w:pStyle w:val="4"/>
        <w:rPr>
          <w:color w:val="auto"/>
          <w:highlight w:val="none"/>
        </w:rPr>
      </w:pPr>
      <w:bookmarkStart w:id="24" w:name="_Toc2339"/>
      <w:bookmarkStart w:id="25" w:name="_Toc3416"/>
      <w:r>
        <w:rPr>
          <w:rFonts w:hint="eastAsia"/>
          <w:color w:val="auto"/>
          <w:highlight w:val="none"/>
        </w:rPr>
        <w:t>供应商须知</w:t>
      </w:r>
      <w:bookmarkEnd w:id="24"/>
      <w:bookmarkEnd w:id="25"/>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ind w:firstLine="0"/>
        <w:rPr>
          <w:rFonts w:hint="eastAsia"/>
          <w:color w:val="auto"/>
          <w:highlight w:val="none"/>
        </w:rPr>
      </w:pPr>
    </w:p>
    <w:p>
      <w:pPr>
        <w:pStyle w:val="23"/>
        <w:ind w:firstLine="0"/>
        <w:rPr>
          <w:rFonts w:hint="eastAsia"/>
          <w:color w:val="auto"/>
          <w:highlight w:val="none"/>
        </w:rPr>
      </w:pPr>
    </w:p>
    <w:p>
      <w:pPr>
        <w:pStyle w:val="23"/>
        <w:ind w:firstLine="0"/>
        <w:rPr>
          <w:rFonts w:hint="eastAsia"/>
          <w:color w:val="auto"/>
          <w:highlight w:val="none"/>
        </w:rPr>
      </w:pPr>
    </w:p>
    <w:p>
      <w:pPr>
        <w:numPr>
          <w:ilvl w:val="0"/>
          <w:numId w:val="3"/>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3"/>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 供应商或其他利害关系人可以对</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rPr>
        <w:t>、采购文件、预成交结果提出异议。异议应在采购公告或文件规定的时间内、预成交结果公示期间通过规定的异议渠道提出，并递交异议函和必要的证明材料。异议函包括但不限于下列内容：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3"/>
        <w:rPr>
          <w:rFonts w:asciiTheme="majorEastAsia" w:hAnsiTheme="majorEastAsia" w:eastAsiaTheme="majorEastAsia"/>
          <w:b/>
          <w:color w:val="auto"/>
          <w:sz w:val="28"/>
          <w:szCs w:val="28"/>
          <w:highlight w:val="none"/>
        </w:rPr>
      </w:pPr>
    </w:p>
    <w:p>
      <w:pPr>
        <w:pStyle w:val="23"/>
        <w:rPr>
          <w:rFonts w:asciiTheme="majorEastAsia" w:hAnsiTheme="majorEastAsia" w:eastAsiaTheme="majorEastAsia"/>
          <w:b/>
          <w:color w:val="auto"/>
          <w:sz w:val="28"/>
          <w:szCs w:val="28"/>
          <w:highlight w:val="none"/>
        </w:rPr>
      </w:pPr>
    </w:p>
    <w:p>
      <w:pPr>
        <w:pStyle w:val="23"/>
        <w:rPr>
          <w:rFonts w:asciiTheme="majorEastAsia" w:hAnsiTheme="majorEastAsia" w:eastAsiaTheme="majorEastAsia"/>
          <w:b/>
          <w:color w:val="auto"/>
          <w:sz w:val="28"/>
          <w:szCs w:val="28"/>
          <w:highlight w:val="none"/>
        </w:rPr>
      </w:pPr>
    </w:p>
    <w:p>
      <w:pPr>
        <w:pStyle w:val="23"/>
        <w:rPr>
          <w:rFonts w:asciiTheme="majorEastAsia" w:hAnsiTheme="majorEastAsia" w:eastAsiaTheme="majorEastAsia"/>
          <w:b/>
          <w:color w:val="auto"/>
          <w:sz w:val="28"/>
          <w:szCs w:val="28"/>
          <w:highlight w:val="none"/>
        </w:rPr>
      </w:pPr>
    </w:p>
    <w:p>
      <w:pPr>
        <w:pStyle w:val="23"/>
        <w:rPr>
          <w:rFonts w:asciiTheme="majorEastAsia" w:hAnsiTheme="majorEastAsia" w:eastAsiaTheme="majorEastAsia"/>
          <w:b/>
          <w:color w:val="auto"/>
          <w:sz w:val="28"/>
          <w:szCs w:val="28"/>
          <w:highlight w:val="none"/>
        </w:rPr>
      </w:pPr>
    </w:p>
    <w:p>
      <w:pPr>
        <w:pStyle w:val="23"/>
        <w:rPr>
          <w:rFonts w:asciiTheme="majorEastAsia" w:hAnsiTheme="majorEastAsia" w:eastAsiaTheme="majorEastAsia"/>
          <w:b/>
          <w:color w:val="auto"/>
          <w:sz w:val="28"/>
          <w:szCs w:val="28"/>
          <w:highlight w:val="none"/>
        </w:rPr>
      </w:pPr>
    </w:p>
    <w:p>
      <w:pPr>
        <w:pStyle w:val="23"/>
        <w:rPr>
          <w:rFonts w:asciiTheme="majorEastAsia" w:hAnsiTheme="majorEastAsia" w:eastAsiaTheme="majorEastAsia"/>
          <w:b/>
          <w:color w:val="auto"/>
          <w:sz w:val="28"/>
          <w:szCs w:val="28"/>
          <w:highlight w:val="none"/>
        </w:rPr>
      </w:pPr>
    </w:p>
    <w:p>
      <w:pPr>
        <w:pStyle w:val="23"/>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9"/>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5"/>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9"/>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3"/>
        <w:rPr>
          <w:rFonts w:asciiTheme="majorEastAsia" w:hAnsiTheme="majorEastAsia" w:eastAsiaTheme="majorEastAsia"/>
          <w:b/>
          <w:color w:val="auto"/>
          <w:sz w:val="28"/>
          <w:szCs w:val="28"/>
          <w:highlight w:val="none"/>
        </w:rPr>
      </w:pPr>
    </w:p>
    <w:p>
      <w:pPr>
        <w:pStyle w:val="23"/>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3"/>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9"/>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ind w:firstLine="0" w:firstLineChars="0"/>
        <w:jc w:val="left"/>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9"/>
        <w:rPr>
          <w:color w:val="auto"/>
          <w:highlight w:val="none"/>
        </w:rPr>
      </w:pPr>
    </w:p>
    <w:p>
      <w:pPr>
        <w:pStyle w:val="39"/>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rFonts w:hint="eastAsia" w:asciiTheme="minorHAnsi" w:hAnsiTheme="minorHAnsi" w:cstheme="minorBidi"/>
          <w:color w:val="auto"/>
          <w:kern w:val="44"/>
          <w:sz w:val="44"/>
          <w:szCs w:val="44"/>
          <w:highlight w:val="none"/>
        </w:rPr>
      </w:pPr>
      <w:bookmarkStart w:id="26" w:name="_Toc2867"/>
      <w:bookmarkStart w:id="27" w:name="_Toc21455"/>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3360" behindDoc="0" locked="0" layoutInCell="1" allowOverlap="1">
                <wp:simplePos x="0" y="0"/>
                <wp:positionH relativeFrom="column">
                  <wp:posOffset>2286635</wp:posOffset>
                </wp:positionH>
                <wp:positionV relativeFrom="paragraph">
                  <wp:posOffset>666750</wp:posOffset>
                </wp:positionV>
                <wp:extent cx="958850" cy="0"/>
                <wp:effectExtent l="0" t="0" r="0" b="0"/>
                <wp:wrapNone/>
                <wp:docPr id="4"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0.05pt;margin-top:52.5pt;height:0pt;width:75.5pt;z-index:251663360;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M5RUqPyAQAA4gMAAA4AAABkcnMvZTJvRG9jLnhtbK1TvY4T&#10;MRDukXgHyz3ZJCI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DX/OmQNLF373&#10;+fuvT19uv/68/fGNzbJCfcCaAlduE087DJuY6R7aaPOfiLBDUfV4VlUdEhN0+HI2n89Ib3Hvqh7y&#10;QsT0WnnLstFwTBH0rksr7xxdnY+TIirs32CiypR4n5CLGsf6DD+dETjQKLY0AmTaQHTQ7UoueqPl&#10;tTYmZ2DcbVcmsj3kcShf5ke4f4XlImvAbogrrmFQOgXylZMsHQMJ5eh98NyCVZIzo+g5ZYsAoU6g&#10;zSWRVNo46iBLPIiara2Xx6J1OaerLz2exjTP1p/7kv3wNJ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lhFO3WAAAACQEAAA8AAAAAAAAAAQAgAAAAIgAAAGRycy9kb3ducmV2LnhtbFBLAQIUABQA&#10;AAAIAIdO4kDOUVKj8gEAAOIDAAAOAAAAAAAAAAEAIAAAACUBAABkcnMvZTJvRG9jLnhtbFBLBQYA&#10;AAAABgAGAFkBAACJBQ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2336" behindDoc="0" locked="0" layoutInCell="1" allowOverlap="1">
                <wp:simplePos x="0" y="0"/>
                <wp:positionH relativeFrom="column">
                  <wp:posOffset>2325370</wp:posOffset>
                </wp:positionH>
                <wp:positionV relativeFrom="paragraph">
                  <wp:posOffset>137795</wp:posOffset>
                </wp:positionV>
                <wp:extent cx="958850" cy="0"/>
                <wp:effectExtent l="0" t="0" r="0" b="0"/>
                <wp:wrapNone/>
                <wp:docPr id="3"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10.85pt;height:0pt;width:75.5pt;z-index:251662336;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AtD8rWAAAACQEAAA8AAAAAAAAAAQAgAAAAIgAAAGRycy9kb3ducmV2LnhtbFBLAQIUABQA&#10;AAAIAIdO4kDBy3K08gEAAOIDAAAOAAAAAAAAAAEAIAAAACUBAABkcnMvZTJvRG9jLnhtbFBLBQYA&#10;AAAABgAGAFkBAACJBQ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9"/>
        <w:rPr>
          <w:color w:val="auto"/>
          <w:highlight w:val="none"/>
        </w:rPr>
      </w:pPr>
    </w:p>
    <w:p>
      <w:pPr>
        <w:pStyle w:val="4"/>
        <w:rPr>
          <w:color w:val="auto"/>
          <w:highlight w:val="none"/>
        </w:rPr>
      </w:pPr>
      <w:bookmarkStart w:id="28" w:name="_Toc7303"/>
      <w:bookmarkStart w:id="29" w:name="_Toc7040"/>
      <w:bookmarkStart w:id="30" w:name="_Toc87616371"/>
      <w:bookmarkStart w:id="31" w:name="_Toc88209934"/>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color w:val="auto"/>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4"/>
        <w:rPr>
          <w:color w:val="auto"/>
          <w:highlight w:val="none"/>
        </w:rPr>
      </w:pPr>
      <w:bookmarkStart w:id="32" w:name="_Toc24895"/>
      <w:bookmarkStart w:id="33" w:name="_Toc3789"/>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5"/>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color w:val="auto"/>
          <w:highlight w:val="none"/>
        </w:rPr>
      </w:pPr>
      <w:bookmarkStart w:id="34" w:name="_Toc23581"/>
      <w:bookmarkStart w:id="35" w:name="_Toc19759"/>
      <w:bookmarkStart w:id="36" w:name="_Toc19050"/>
      <w:bookmarkStart w:id="37" w:name="_Toc7437"/>
      <w:bookmarkStart w:id="38" w:name="_Toc14552"/>
      <w:bookmarkStart w:id="39" w:name="_Toc10930"/>
      <w:bookmarkStart w:id="40" w:name="_Toc4952"/>
      <w:bookmarkStart w:id="41" w:name="_Toc3156"/>
      <w:bookmarkStart w:id="42" w:name="_Toc14870"/>
      <w:bookmarkStart w:id="43" w:name="_Toc20594"/>
      <w:bookmarkStart w:id="44" w:name="_Toc7118"/>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6"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5408;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rXbUGv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5"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4384;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6g0Ypv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9"/>
        <w:rPr>
          <w:color w:val="auto"/>
          <w:highlight w:val="none"/>
        </w:rPr>
      </w:pPr>
    </w:p>
    <w:p>
      <w:pPr>
        <w:pStyle w:val="3"/>
        <w:rPr>
          <w:color w:val="auto"/>
          <w:highlight w:val="none"/>
        </w:rPr>
      </w:pPr>
      <w:bookmarkStart w:id="45" w:name="_Toc30530"/>
      <w:bookmarkStart w:id="46" w:name="_Toc29484"/>
      <w:bookmarkStart w:id="47" w:name="_Toc21079"/>
      <w:bookmarkStart w:id="48" w:name="_Toc7831"/>
      <w:bookmarkStart w:id="49" w:name="_Toc32607"/>
      <w:bookmarkStart w:id="50" w:name="_Toc12177"/>
      <w:bookmarkStart w:id="51" w:name="_Toc87616378"/>
      <w:bookmarkStart w:id="52" w:name="_Toc88209941"/>
      <w:bookmarkStart w:id="53" w:name="_Toc22212"/>
      <w:bookmarkStart w:id="54" w:name="_Toc6308"/>
      <w:bookmarkStart w:id="55" w:name="_Toc29345"/>
      <w:bookmarkStart w:id="56" w:name="_Toc21840"/>
      <w:bookmarkStart w:id="57" w:name="_Toc13898"/>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4"/>
        <w:rPr>
          <w:color w:val="auto"/>
          <w:highlight w:val="none"/>
        </w:rPr>
      </w:pPr>
      <w:bookmarkStart w:id="58" w:name="_Toc26826"/>
      <w:bookmarkStart w:id="59" w:name="_Toc23033"/>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8"/>
        <w:gridCol w:w="2112"/>
        <w:gridCol w:w="5486"/>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rPr>
          <w:rFonts w:ascii="仿宋_GB2312" w:eastAsia="仿宋_GB2312" w:hAnsiTheme="minorEastAsia"/>
          <w:color w:val="auto"/>
          <w:szCs w:val="21"/>
          <w:highlight w:val="none"/>
        </w:rPr>
      </w:pPr>
      <w:r>
        <w:rPr>
          <w:rFonts w:ascii="仿宋_GB2312" w:eastAsia="仿宋_GB2312" w:hAnsiTheme="minorEastAsia"/>
          <w:color w:val="auto"/>
          <w:szCs w:val="21"/>
          <w:highlight w:val="none"/>
        </w:rPr>
        <w:br w:type="page"/>
      </w: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3"/>
        <w:rPr>
          <w:color w:val="auto"/>
          <w:highlight w:val="none"/>
        </w:rPr>
      </w:pPr>
      <w:bookmarkStart w:id="60" w:name="_Toc88209947"/>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8"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4.3pt;margin-top:58.7pt;height:0pt;width:75.5pt;z-index:251677696;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F7INmX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7"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4.9pt;margin-top:8.5pt;height:0pt;width:75.5pt;z-index:251676672;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VgsIMP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4"/>
        <w:rPr>
          <w:rFonts w:hint="eastAsia"/>
          <w:color w:val="auto"/>
          <w:highlight w:val="none"/>
        </w:rPr>
      </w:pPr>
    </w:p>
    <w:p>
      <w:pPr>
        <w:pStyle w:val="4"/>
        <w:rPr>
          <w:rFonts w:hint="eastAsia"/>
          <w:color w:val="auto"/>
          <w:szCs w:val="44"/>
          <w:highlight w:val="none"/>
        </w:rPr>
      </w:pPr>
      <w:r>
        <w:rPr>
          <w:rFonts w:hint="eastAsia"/>
          <w:color w:val="auto"/>
          <w:szCs w:val="44"/>
          <w:highlight w:val="none"/>
        </w:rPr>
        <w:t>采购需求</w:t>
      </w:r>
    </w:p>
    <w:p>
      <w:pPr>
        <w:pStyle w:val="4"/>
        <w:rPr>
          <w:rFonts w:hint="eastAsia"/>
          <w:color w:val="auto"/>
          <w:szCs w:val="44"/>
          <w:highlight w:val="none"/>
        </w:rPr>
      </w:pPr>
    </w:p>
    <w:p>
      <w:pPr>
        <w:rPr>
          <w:rFonts w:hint="eastAsia"/>
          <w:color w:val="auto"/>
          <w:szCs w:val="44"/>
          <w:highlight w:val="none"/>
        </w:rPr>
      </w:pPr>
    </w:p>
    <w:p>
      <w:pPr>
        <w:pStyle w:val="23"/>
        <w:rPr>
          <w:rFonts w:hint="eastAsia"/>
          <w:color w:val="auto"/>
          <w:szCs w:val="44"/>
          <w:highlight w:val="none"/>
        </w:rPr>
      </w:pPr>
    </w:p>
    <w:p>
      <w:pPr>
        <w:pStyle w:val="23"/>
        <w:rPr>
          <w:rFonts w:hint="eastAsia"/>
          <w:color w:val="auto"/>
          <w:szCs w:val="44"/>
          <w:highlight w:val="none"/>
        </w:rPr>
      </w:pPr>
    </w:p>
    <w:p>
      <w:pPr>
        <w:pStyle w:val="23"/>
        <w:rPr>
          <w:rFonts w:hint="eastAsia"/>
          <w:color w:val="auto"/>
          <w:szCs w:val="44"/>
          <w:highlight w:val="none"/>
        </w:rPr>
      </w:pPr>
    </w:p>
    <w:p>
      <w:pPr>
        <w:pStyle w:val="23"/>
        <w:rPr>
          <w:rFonts w:hint="eastAsia"/>
          <w:color w:val="auto"/>
          <w:szCs w:val="44"/>
          <w:highlight w:val="none"/>
        </w:rPr>
      </w:pPr>
    </w:p>
    <w:p>
      <w:pPr>
        <w:pStyle w:val="23"/>
        <w:rPr>
          <w:rFonts w:hint="eastAsia"/>
          <w:color w:val="auto"/>
          <w:szCs w:val="44"/>
          <w:highlight w:val="none"/>
        </w:rPr>
      </w:pPr>
    </w:p>
    <w:p>
      <w:pPr>
        <w:pStyle w:val="23"/>
        <w:rPr>
          <w:rFonts w:hint="eastAsia"/>
          <w:color w:val="auto"/>
          <w:szCs w:val="44"/>
          <w:highlight w:val="none"/>
        </w:rPr>
      </w:pPr>
    </w:p>
    <w:p>
      <w:pPr>
        <w:pStyle w:val="23"/>
        <w:rPr>
          <w:rFonts w:hint="eastAsia"/>
          <w:color w:val="auto"/>
          <w:szCs w:val="44"/>
          <w:highlight w:val="none"/>
        </w:rPr>
      </w:pPr>
    </w:p>
    <w:p>
      <w:pPr>
        <w:pStyle w:val="23"/>
        <w:rPr>
          <w:rFonts w:hint="eastAsia"/>
          <w:color w:val="auto"/>
          <w:szCs w:val="44"/>
          <w:highlight w:val="none"/>
        </w:rPr>
      </w:pPr>
    </w:p>
    <w:p>
      <w:pPr>
        <w:pStyle w:val="23"/>
        <w:rPr>
          <w:rFonts w:hint="eastAsia"/>
          <w:color w:val="auto"/>
          <w:szCs w:val="44"/>
          <w:highlight w:val="none"/>
        </w:rPr>
      </w:pPr>
    </w:p>
    <w:p>
      <w:pPr>
        <w:pStyle w:val="23"/>
        <w:rPr>
          <w:rFonts w:hint="eastAsia"/>
          <w:color w:val="auto"/>
          <w:szCs w:val="44"/>
          <w:highlight w:val="none"/>
        </w:rPr>
      </w:pPr>
    </w:p>
    <w:p>
      <w:pPr>
        <w:pStyle w:val="23"/>
        <w:rPr>
          <w:rFonts w:hint="eastAsia"/>
          <w:color w:val="auto"/>
          <w:szCs w:val="44"/>
          <w:highlight w:val="none"/>
        </w:rPr>
      </w:pPr>
    </w:p>
    <w:p>
      <w:pPr>
        <w:pStyle w:val="23"/>
        <w:rPr>
          <w:rFonts w:hint="eastAsia"/>
          <w:color w:val="auto"/>
          <w:szCs w:val="44"/>
          <w:highlight w:val="none"/>
        </w:rPr>
      </w:pPr>
    </w:p>
    <w:p>
      <w:pPr>
        <w:pStyle w:val="23"/>
        <w:rPr>
          <w:rFonts w:hint="eastAsia"/>
          <w:color w:val="auto"/>
          <w:szCs w:val="44"/>
          <w:highlight w:val="none"/>
        </w:rPr>
      </w:pPr>
    </w:p>
    <w:p>
      <w:pPr>
        <w:pStyle w:val="4"/>
        <w:rPr>
          <w:color w:val="auto"/>
          <w:szCs w:val="44"/>
          <w:highlight w:val="none"/>
        </w:rPr>
      </w:pPr>
      <w:r>
        <w:rPr>
          <w:rFonts w:hint="eastAsia"/>
          <w:color w:val="auto"/>
          <w:szCs w:val="44"/>
          <w:highlight w:val="none"/>
        </w:rPr>
        <w:t>采购需求编制说明</w:t>
      </w:r>
      <w:bookmarkEnd w:id="60"/>
    </w:p>
    <w:p>
      <w:pPr>
        <w:pageBreakBefore w:val="0"/>
        <w:widowControl w:val="0"/>
        <w:kinsoku/>
        <w:wordWrap/>
        <w:overflowPunct/>
        <w:topLinePunct w:val="0"/>
        <w:autoSpaceDE/>
        <w:autoSpaceDN/>
        <w:bidi w:val="0"/>
        <w:spacing w:line="500" w:lineRule="exact"/>
        <w:ind w:firstLine="560" w:firstLineChars="200"/>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本</w:t>
      </w:r>
      <w:r>
        <w:rPr>
          <w:rFonts w:hint="eastAsia" w:ascii="Times New Roman" w:hAnsi="Times New Roman" w:eastAsia="仿宋_GB2312" w:cs="Times New Roman"/>
          <w:color w:val="auto"/>
          <w:sz w:val="28"/>
          <w:szCs w:val="28"/>
          <w:highlight w:val="none"/>
          <w:lang w:val="en-US" w:eastAsia="zh-CN"/>
        </w:rPr>
        <w:t>项目的</w:t>
      </w:r>
      <w:r>
        <w:rPr>
          <w:rFonts w:hint="eastAsia" w:ascii="Times New Roman" w:hAnsi="Times New Roman" w:eastAsia="仿宋_GB2312" w:cs="Times New Roman"/>
          <w:color w:val="auto"/>
          <w:sz w:val="28"/>
          <w:szCs w:val="28"/>
          <w:highlight w:val="none"/>
        </w:rPr>
        <w:t>工作范围应包括提供所有需要的材料、机械、劳力、以及其他设施、完成合同文件里规定的工作和服务，并达到预期的目标。报价人向询价人承诺按照合同约定进行施工、竣工并在质量保修期内承担工程质量保修责任。</w:t>
      </w:r>
    </w:p>
    <w:p>
      <w:pPr>
        <w:widowControl w:val="0"/>
        <w:adjustRightInd w:val="0"/>
        <w:snapToGrid w:val="0"/>
        <w:spacing w:line="500" w:lineRule="exact"/>
        <w:ind w:firstLine="560" w:firstLineChars="200"/>
        <w:rPr>
          <w:rFonts w:hint="eastAsia"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项目说明：对我公司位于白云区初雨泵站南侧地块块采用隔离栅进行安全围蔽，隔离栅高度不少于1.8米，合计围蔽总长度约250米，包括但不限于：部分红线区域测量放线、场地内废弃建筑垃圾和生活垃圾清理、设置警示牌等。</w:t>
      </w:r>
    </w:p>
    <w:p>
      <w:pPr>
        <w:widowControl w:val="0"/>
        <w:adjustRightInd w:val="0"/>
        <w:snapToGrid w:val="0"/>
        <w:spacing w:line="500" w:lineRule="exact"/>
        <w:ind w:firstLine="560" w:firstLineChars="200"/>
        <w:rPr>
          <w:rFonts w:hint="eastAsia"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地块边界大部分为泥地，局部区域地面已硬化，具体情况如下图所示。</w:t>
      </w:r>
    </w:p>
    <w:p>
      <w:pPr>
        <w:pStyle w:val="2"/>
        <w:rPr>
          <w:rFonts w:hint="default"/>
          <w:color w:val="auto"/>
          <w:highlight w:val="none"/>
          <w:lang w:val="en-US" w:eastAsia="zh-CN"/>
        </w:rPr>
      </w:pPr>
    </w:p>
    <w:p>
      <w:pPr>
        <w:widowControl w:val="0"/>
        <w:adjustRightInd w:val="0"/>
        <w:snapToGrid w:val="0"/>
        <w:spacing w:line="240" w:lineRule="auto"/>
        <w:ind w:firstLine="0" w:firstLineChars="0"/>
        <w:rPr>
          <w:rFonts w:hint="eastAsia" w:ascii="Times New Roman" w:hAnsi="Times New Roman" w:cs="Times New Roman" w:eastAsiaTheme="minorEastAsia"/>
          <w:color w:val="auto"/>
          <w:sz w:val="28"/>
          <w:szCs w:val="28"/>
          <w:highlight w:val="none"/>
          <w:lang w:val="en-US" w:eastAsia="zh-CN"/>
        </w:rPr>
      </w:pPr>
      <w:r>
        <w:rPr>
          <w:color w:val="auto"/>
          <w:highlight w:val="none"/>
        </w:rPr>
        <w:drawing>
          <wp:inline distT="0" distB="0" distL="114300" distR="114300">
            <wp:extent cx="2736215" cy="3644265"/>
            <wp:effectExtent l="0" t="0" r="6985" b="1333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7"/>
                    <a:stretch>
                      <a:fillRect/>
                    </a:stretch>
                  </pic:blipFill>
                  <pic:spPr>
                    <a:xfrm>
                      <a:off x="0" y="0"/>
                      <a:ext cx="2736215" cy="3644265"/>
                    </a:xfrm>
                    <a:prstGeom prst="rect">
                      <a:avLst/>
                    </a:prstGeom>
                    <a:noFill/>
                    <a:ln>
                      <a:noFill/>
                    </a:ln>
                  </pic:spPr>
                </pic:pic>
              </a:graphicData>
            </a:graphic>
          </wp:inline>
        </w:drawing>
      </w:r>
      <w:r>
        <w:rPr>
          <w:color w:val="auto"/>
          <w:highlight w:val="none"/>
        </w:rPr>
        <w:drawing>
          <wp:inline distT="0" distB="0" distL="114300" distR="114300">
            <wp:extent cx="2736215" cy="3646170"/>
            <wp:effectExtent l="0" t="0" r="6985" b="1143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8"/>
                    <a:stretch>
                      <a:fillRect/>
                    </a:stretch>
                  </pic:blipFill>
                  <pic:spPr>
                    <a:xfrm>
                      <a:off x="0" y="0"/>
                      <a:ext cx="2736215" cy="3646170"/>
                    </a:xfrm>
                    <a:prstGeom prst="rect">
                      <a:avLst/>
                    </a:prstGeom>
                    <a:noFill/>
                    <a:ln>
                      <a:noFill/>
                    </a:ln>
                  </pic:spPr>
                </pic:pic>
              </a:graphicData>
            </a:graphic>
          </wp:inline>
        </w:drawing>
      </w:r>
    </w:p>
    <w:p>
      <w:pPr>
        <w:widowControl w:val="0"/>
        <w:adjustRightInd w:val="0"/>
        <w:snapToGrid w:val="0"/>
        <w:spacing w:line="240" w:lineRule="auto"/>
        <w:ind w:firstLine="0"/>
        <w:jc w:val="center"/>
        <w:rPr>
          <w:rFonts w:hint="eastAsia"/>
          <w:color w:val="auto"/>
          <w:highlight w:val="none"/>
          <w:lang w:val="en-US" w:eastAsia="zh-CN"/>
        </w:rPr>
      </w:pPr>
      <w:r>
        <w:rPr>
          <w:color w:val="auto"/>
          <w:highlight w:val="none"/>
        </w:rPr>
        <w:drawing>
          <wp:inline distT="0" distB="0" distL="114300" distR="114300">
            <wp:extent cx="4608195" cy="3463290"/>
            <wp:effectExtent l="0" t="0" r="1905" b="381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9"/>
                    <a:stretch>
                      <a:fillRect/>
                    </a:stretch>
                  </pic:blipFill>
                  <pic:spPr>
                    <a:xfrm>
                      <a:off x="0" y="0"/>
                      <a:ext cx="4608195" cy="3463290"/>
                    </a:xfrm>
                    <a:prstGeom prst="rect">
                      <a:avLst/>
                    </a:prstGeom>
                    <a:noFill/>
                    <a:ln>
                      <a:noFill/>
                    </a:ln>
                  </pic:spPr>
                </pic:pic>
              </a:graphicData>
            </a:graphic>
          </wp:inline>
        </w:drawing>
      </w:r>
    </w:p>
    <w:p>
      <w:pPr>
        <w:widowControl w:val="0"/>
        <w:adjustRightInd w:val="0"/>
        <w:snapToGrid w:val="0"/>
        <w:spacing w:line="500" w:lineRule="exact"/>
        <w:ind w:firstLine="560" w:firstLineChars="200"/>
        <w:rPr>
          <w:rFonts w:hint="default"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具体要求如下：</w:t>
      </w:r>
    </w:p>
    <w:p>
      <w:pPr>
        <w:widowControl w:val="0"/>
        <w:numPr>
          <w:ilvl w:val="0"/>
          <w:numId w:val="4"/>
        </w:numPr>
        <w:adjustRightInd w:val="0"/>
        <w:snapToGrid w:val="0"/>
        <w:spacing w:line="500" w:lineRule="exact"/>
        <w:ind w:firstLine="560" w:firstLineChars="200"/>
        <w:rPr>
          <w:rFonts w:hint="eastAsia"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隔离栅采用焊接网型隔离栅，焊接网采用片网型式。隔离栅安装后需稳固牢靠，并实现场地可靠围蔽要求，隔离栅高度不少于1.8米。泥地区域上的隔离栅，其立柱位置需设置混凝土基础。隔离栅样式可参考下图样式，若采用其他样式须征得询价人同意。</w:t>
      </w:r>
    </w:p>
    <w:p>
      <w:pPr>
        <w:pStyle w:val="23"/>
        <w:widowControl/>
        <w:adjustRightInd w:val="0"/>
        <w:snapToGrid w:val="0"/>
        <w:spacing w:line="300" w:lineRule="auto"/>
        <w:ind w:firstLine="0"/>
        <w:jc w:val="center"/>
        <w:rPr>
          <w:rFonts w:hint="eastAsia" w:ascii="Times New Roman" w:hAnsi="Times New Roman" w:eastAsia="仿宋_GB2312" w:cs="Times New Roman"/>
          <w:color w:val="auto"/>
          <w:sz w:val="28"/>
          <w:szCs w:val="28"/>
          <w:highlight w:val="none"/>
          <w:lang w:val="en-US" w:eastAsia="zh-CN"/>
        </w:rPr>
      </w:pPr>
      <w:r>
        <w:rPr>
          <w:color w:val="auto"/>
          <w:highlight w:val="none"/>
        </w:rPr>
        <w:drawing>
          <wp:inline distT="0" distB="0" distL="114300" distR="114300">
            <wp:extent cx="4608195" cy="3446145"/>
            <wp:effectExtent l="0" t="0" r="1905"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0"/>
                    <a:stretch>
                      <a:fillRect/>
                    </a:stretch>
                  </pic:blipFill>
                  <pic:spPr>
                    <a:xfrm>
                      <a:off x="0" y="0"/>
                      <a:ext cx="4608195" cy="3446145"/>
                    </a:xfrm>
                    <a:prstGeom prst="rect">
                      <a:avLst/>
                    </a:prstGeom>
                    <a:noFill/>
                    <a:ln>
                      <a:noFill/>
                    </a:ln>
                  </pic:spPr>
                </pic:pic>
              </a:graphicData>
            </a:graphic>
          </wp:inline>
        </w:drawing>
      </w:r>
    </w:p>
    <w:p>
      <w:pPr>
        <w:widowControl w:val="0"/>
        <w:numPr>
          <w:ilvl w:val="0"/>
          <w:numId w:val="4"/>
        </w:numPr>
        <w:adjustRightInd w:val="0"/>
        <w:snapToGrid w:val="0"/>
        <w:spacing w:line="500" w:lineRule="exact"/>
        <w:ind w:firstLine="560" w:firstLineChars="200"/>
        <w:rPr>
          <w:rFonts w:hint="eastAsia"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隔离栅应符合《</w:t>
      </w:r>
      <w:r>
        <w:rPr>
          <w:rFonts w:hint="eastAsia" w:ascii="Times New Roman" w:hAnsi="Times New Roman" w:eastAsia="仿宋_GB2312" w:cs="Times New Roman"/>
          <w:b w:val="0"/>
          <w:bCs w:val="0"/>
          <w:i w:val="0"/>
          <w:iCs w:val="0"/>
          <w:caps w:val="0"/>
          <w:color w:val="auto"/>
          <w:spacing w:val="0"/>
          <w:sz w:val="28"/>
          <w:szCs w:val="28"/>
          <w:highlight w:val="none"/>
          <w:shd w:val="clear" w:fill="FFFFFF"/>
        </w:rPr>
        <w:t>隔离栅 第1部分：通则</w:t>
      </w:r>
      <w:r>
        <w:rPr>
          <w:rFonts w:hint="eastAsia" w:ascii="Times New Roman" w:hAnsi="Times New Roman" w:eastAsia="仿宋_GB2312" w:cs="Times New Roman"/>
          <w:color w:val="auto"/>
          <w:sz w:val="28"/>
          <w:szCs w:val="28"/>
          <w:highlight w:val="none"/>
          <w:lang w:val="en-US" w:eastAsia="zh-CN"/>
        </w:rPr>
        <w:t>》（</w:t>
      </w:r>
      <w:r>
        <w:rPr>
          <w:rFonts w:hint="eastAsia" w:ascii="Times New Roman" w:hAnsi="Times New Roman" w:eastAsia="仿宋_GB2312" w:cs="Times New Roman"/>
          <w:b w:val="0"/>
          <w:bCs w:val="0"/>
          <w:i w:val="0"/>
          <w:iCs w:val="0"/>
          <w:caps w:val="0"/>
          <w:color w:val="auto"/>
          <w:spacing w:val="0"/>
          <w:sz w:val="28"/>
          <w:szCs w:val="28"/>
          <w:highlight w:val="none"/>
          <w:shd w:val="clear" w:fill="FFFFFF"/>
        </w:rPr>
        <w:t>GB/T 26941.1-2011</w:t>
      </w:r>
      <w:r>
        <w:rPr>
          <w:rFonts w:hint="eastAsia" w:ascii="Times New Roman" w:hAnsi="Times New Roman" w:eastAsia="仿宋_GB2312" w:cs="Times New Roman"/>
          <w:color w:val="auto"/>
          <w:sz w:val="28"/>
          <w:szCs w:val="28"/>
          <w:highlight w:val="none"/>
          <w:lang w:val="en-US" w:eastAsia="zh-CN"/>
        </w:rPr>
        <w:t>）、《</w:t>
      </w:r>
      <w:r>
        <w:rPr>
          <w:rFonts w:hint="eastAsia" w:ascii="Times New Roman" w:hAnsi="Times New Roman" w:eastAsia="仿宋_GB2312" w:cs="Times New Roman"/>
          <w:b w:val="0"/>
          <w:bCs w:val="0"/>
          <w:i w:val="0"/>
          <w:iCs w:val="0"/>
          <w:caps w:val="0"/>
          <w:color w:val="auto"/>
          <w:spacing w:val="0"/>
          <w:sz w:val="28"/>
          <w:szCs w:val="28"/>
          <w:highlight w:val="none"/>
          <w:shd w:val="clear" w:fill="FFFFFF"/>
        </w:rPr>
        <w:t>隔离栅 第2部分：立柱、斜撑和门</w:t>
      </w:r>
      <w:r>
        <w:rPr>
          <w:rFonts w:hint="eastAsia" w:ascii="Times New Roman" w:hAnsi="Times New Roman" w:eastAsia="仿宋_GB2312" w:cs="Times New Roman"/>
          <w:color w:val="auto"/>
          <w:sz w:val="28"/>
          <w:szCs w:val="28"/>
          <w:highlight w:val="none"/>
          <w:lang w:val="en-US" w:eastAsia="zh-CN"/>
        </w:rPr>
        <w:t>》（</w:t>
      </w:r>
      <w:r>
        <w:rPr>
          <w:rFonts w:hint="eastAsia" w:ascii="Times New Roman" w:hAnsi="Times New Roman" w:eastAsia="仿宋_GB2312" w:cs="Times New Roman"/>
          <w:b w:val="0"/>
          <w:bCs w:val="0"/>
          <w:i w:val="0"/>
          <w:iCs w:val="0"/>
          <w:caps w:val="0"/>
          <w:color w:val="auto"/>
          <w:spacing w:val="0"/>
          <w:sz w:val="28"/>
          <w:szCs w:val="28"/>
          <w:highlight w:val="none"/>
          <w:shd w:val="clear" w:fill="FFFFFF"/>
        </w:rPr>
        <w:t>GB/T 26941.2-2011</w:t>
      </w:r>
      <w:r>
        <w:rPr>
          <w:rFonts w:hint="eastAsia" w:ascii="Times New Roman" w:hAnsi="Times New Roman" w:eastAsia="仿宋_GB2312" w:cs="Times New Roman"/>
          <w:color w:val="auto"/>
          <w:sz w:val="28"/>
          <w:szCs w:val="28"/>
          <w:highlight w:val="none"/>
          <w:lang w:val="en-US" w:eastAsia="zh-CN"/>
        </w:rPr>
        <w:t>）、《</w:t>
      </w:r>
      <w:r>
        <w:rPr>
          <w:rFonts w:hint="eastAsia" w:ascii="Times New Roman" w:hAnsi="Times New Roman" w:eastAsia="仿宋_GB2312" w:cs="Times New Roman"/>
          <w:b w:val="0"/>
          <w:bCs w:val="0"/>
          <w:i w:val="0"/>
          <w:iCs w:val="0"/>
          <w:caps w:val="0"/>
          <w:color w:val="auto"/>
          <w:spacing w:val="0"/>
          <w:sz w:val="28"/>
          <w:szCs w:val="28"/>
          <w:highlight w:val="none"/>
          <w:shd w:val="clear" w:fill="FFFFFF"/>
        </w:rPr>
        <w:t>隔离栅 第3部分：焊接网</w:t>
      </w:r>
      <w:r>
        <w:rPr>
          <w:rFonts w:hint="eastAsia" w:ascii="Times New Roman" w:hAnsi="Times New Roman" w:eastAsia="仿宋_GB2312" w:cs="Times New Roman"/>
          <w:color w:val="auto"/>
          <w:sz w:val="28"/>
          <w:szCs w:val="28"/>
          <w:highlight w:val="none"/>
          <w:lang w:val="en-US" w:eastAsia="zh-CN"/>
        </w:rPr>
        <w:t>》（</w:t>
      </w:r>
      <w:r>
        <w:rPr>
          <w:rFonts w:hint="eastAsia" w:ascii="Times New Roman" w:hAnsi="Times New Roman" w:eastAsia="仿宋_GB2312" w:cs="Times New Roman"/>
          <w:b w:val="0"/>
          <w:bCs w:val="0"/>
          <w:i w:val="0"/>
          <w:iCs w:val="0"/>
          <w:caps w:val="0"/>
          <w:color w:val="auto"/>
          <w:spacing w:val="0"/>
          <w:sz w:val="28"/>
          <w:szCs w:val="28"/>
          <w:highlight w:val="none"/>
          <w:shd w:val="clear"/>
        </w:rPr>
        <w:t>GB/T 26941.3-2011</w:t>
      </w:r>
      <w:r>
        <w:rPr>
          <w:rFonts w:hint="eastAsia" w:ascii="Times New Roman" w:hAnsi="Times New Roman" w:eastAsia="仿宋_GB2312" w:cs="Times New Roman"/>
          <w:color w:val="auto"/>
          <w:sz w:val="28"/>
          <w:szCs w:val="28"/>
          <w:highlight w:val="none"/>
          <w:lang w:val="en-US" w:eastAsia="zh-CN"/>
        </w:rPr>
        <w:t>）等相关规范要求。</w:t>
      </w:r>
    </w:p>
    <w:p>
      <w:pPr>
        <w:widowControl w:val="0"/>
        <w:numPr>
          <w:ilvl w:val="0"/>
          <w:numId w:val="4"/>
        </w:numPr>
        <w:adjustRightInd w:val="0"/>
        <w:snapToGrid w:val="0"/>
        <w:spacing w:line="500" w:lineRule="exact"/>
        <w:ind w:firstLine="560" w:firstLineChars="200"/>
        <w:rPr>
          <w:rFonts w:hint="eastAsia"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设置一个大门，宽度不少于2.5米，大门型式与结构尺寸应符合《</w:t>
      </w:r>
      <w:r>
        <w:rPr>
          <w:rFonts w:hint="eastAsia" w:ascii="Times New Roman" w:hAnsi="Times New Roman" w:eastAsia="仿宋_GB2312" w:cs="Times New Roman"/>
          <w:b w:val="0"/>
          <w:bCs w:val="0"/>
          <w:i w:val="0"/>
          <w:iCs w:val="0"/>
          <w:caps w:val="0"/>
          <w:color w:val="auto"/>
          <w:spacing w:val="0"/>
          <w:sz w:val="28"/>
          <w:szCs w:val="28"/>
          <w:highlight w:val="none"/>
          <w:shd w:val="clear" w:fill="FFFFFF"/>
        </w:rPr>
        <w:t>隔离栅 第2部分：立柱、斜撑和门</w:t>
      </w:r>
      <w:r>
        <w:rPr>
          <w:rFonts w:hint="eastAsia" w:ascii="Times New Roman" w:hAnsi="Times New Roman" w:eastAsia="仿宋_GB2312" w:cs="Times New Roman"/>
          <w:color w:val="auto"/>
          <w:sz w:val="28"/>
          <w:szCs w:val="28"/>
          <w:highlight w:val="none"/>
          <w:lang w:val="en-US" w:eastAsia="zh-CN"/>
        </w:rPr>
        <w:t>》（</w:t>
      </w:r>
      <w:r>
        <w:rPr>
          <w:rFonts w:hint="eastAsia" w:ascii="Times New Roman" w:hAnsi="Times New Roman" w:eastAsia="仿宋_GB2312" w:cs="Times New Roman"/>
          <w:b w:val="0"/>
          <w:bCs w:val="0"/>
          <w:i w:val="0"/>
          <w:iCs w:val="0"/>
          <w:caps w:val="0"/>
          <w:color w:val="auto"/>
          <w:spacing w:val="0"/>
          <w:sz w:val="28"/>
          <w:szCs w:val="28"/>
          <w:highlight w:val="none"/>
          <w:shd w:val="clear" w:fill="FFFFFF"/>
        </w:rPr>
        <w:t>GB/T 26941.2-2011</w:t>
      </w:r>
      <w:r>
        <w:rPr>
          <w:rFonts w:hint="eastAsia" w:ascii="Times New Roman" w:hAnsi="Times New Roman" w:eastAsia="仿宋_GB2312" w:cs="Times New Roman"/>
          <w:color w:val="auto"/>
          <w:sz w:val="28"/>
          <w:szCs w:val="28"/>
          <w:highlight w:val="none"/>
          <w:lang w:val="en-US" w:eastAsia="zh-CN"/>
        </w:rPr>
        <w:t>）的相关要求。大门需配有门锁，并提供钥匙10条。</w:t>
      </w:r>
    </w:p>
    <w:p>
      <w:pPr>
        <w:widowControl w:val="0"/>
        <w:numPr>
          <w:ilvl w:val="0"/>
          <w:numId w:val="4"/>
        </w:numPr>
        <w:adjustRightInd w:val="0"/>
        <w:snapToGrid w:val="0"/>
        <w:spacing w:line="500" w:lineRule="exact"/>
        <w:ind w:firstLine="560" w:firstLineChars="200"/>
        <w:rPr>
          <w:rFonts w:hint="eastAsia"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清理地块内已倒塌围墙的砖块，以及清理地块内废弃建筑垃圾（若有）和生活垃圾（若有）。</w:t>
      </w:r>
    </w:p>
    <w:p>
      <w:pPr>
        <w:widowControl w:val="0"/>
        <w:numPr>
          <w:ilvl w:val="0"/>
          <w:numId w:val="4"/>
        </w:numPr>
        <w:adjustRightInd w:val="0"/>
        <w:snapToGrid w:val="0"/>
        <w:spacing w:line="500" w:lineRule="exact"/>
        <w:ind w:firstLine="560" w:firstLineChars="200"/>
        <w:rPr>
          <w:rFonts w:hint="eastAsia"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在隔离栅上设置金属警示牌，警示牌数量不少于20块，警示牌尺寸约A1大小。警示牌安装需牢固结实，不易被破坏和损坏。</w:t>
      </w:r>
    </w:p>
    <w:p>
      <w:pPr>
        <w:widowControl w:val="0"/>
        <w:numPr>
          <w:ilvl w:val="0"/>
          <w:numId w:val="4"/>
        </w:numPr>
        <w:adjustRightInd w:val="0"/>
        <w:snapToGrid w:val="0"/>
        <w:spacing w:line="500" w:lineRule="exact"/>
        <w:ind w:firstLine="560" w:firstLineChars="200"/>
        <w:rPr>
          <w:rFonts w:hint="eastAsia"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地块部分边界需根据询价人提供的红线图进行测量放线，以确定隔离栅的实际安装位置。</w:t>
      </w:r>
    </w:p>
    <w:p>
      <w:pPr>
        <w:keepNext w:val="0"/>
        <w:keepLines w:val="0"/>
        <w:pageBreakBefore w:val="0"/>
        <w:widowControl w:val="0"/>
        <w:numPr>
          <w:ilvl w:val="0"/>
          <w:numId w:val="4"/>
        </w:numPr>
        <w:kinsoku/>
        <w:wordWrap/>
        <w:overflowPunct/>
        <w:topLinePunct w:val="0"/>
        <w:autoSpaceDE/>
        <w:autoSpaceDN/>
        <w:bidi w:val="0"/>
        <w:adjustRightInd w:val="0"/>
        <w:snapToGrid w:val="0"/>
        <w:spacing w:line="500" w:lineRule="exact"/>
        <w:ind w:left="0" w:firstLine="560" w:firstLineChars="200"/>
        <w:textAlignment w:val="auto"/>
        <w:rPr>
          <w:rFonts w:hint="eastAsia" w:ascii="Times New Roman" w:hAnsi="Times New Roman" w:eastAsia="仿宋_GB2312" w:cs="Times New Roman"/>
          <w:color w:val="auto"/>
          <w:sz w:val="28"/>
          <w:szCs w:val="28"/>
          <w:highlight w:val="none"/>
          <w:lang w:val="en-US"/>
        </w:rPr>
      </w:pPr>
      <w:r>
        <w:rPr>
          <w:rFonts w:hint="eastAsia" w:ascii="Times New Roman" w:hAnsi="Times New Roman" w:eastAsia="仿宋_GB2312" w:cs="Times New Roman"/>
          <w:color w:val="auto"/>
          <w:sz w:val="28"/>
          <w:szCs w:val="28"/>
          <w:highlight w:val="none"/>
          <w:lang w:val="en-US" w:eastAsia="zh-CN"/>
        </w:rPr>
        <w:t>报价人</w:t>
      </w:r>
      <w:r>
        <w:rPr>
          <w:rFonts w:hint="eastAsia" w:ascii="Times New Roman" w:hAnsi="Times New Roman" w:eastAsia="仿宋_GB2312" w:cs="Times New Roman"/>
          <w:color w:val="auto"/>
          <w:sz w:val="28"/>
          <w:szCs w:val="28"/>
          <w:highlight w:val="none"/>
          <w:lang w:val="en-US"/>
        </w:rPr>
        <w:t>必须提供施工期间的全面的、周密的、符合安全技术规范的施工方案，包括施工组织安排，现场管理人员、技术人员、施工人员配置及安排，应急防范措施，工程计划进度，</w:t>
      </w:r>
      <w:r>
        <w:rPr>
          <w:rFonts w:hint="eastAsia" w:ascii="Times New Roman" w:hAnsi="Times New Roman" w:eastAsia="仿宋_GB2312" w:cs="Times New Roman"/>
          <w:color w:val="auto"/>
          <w:sz w:val="28"/>
          <w:szCs w:val="28"/>
          <w:highlight w:val="none"/>
          <w:lang w:val="en-US" w:eastAsia="zh-CN"/>
        </w:rPr>
        <w:t>安全风险辨识</w:t>
      </w:r>
      <w:r>
        <w:rPr>
          <w:rFonts w:hint="eastAsia" w:ascii="Times New Roman" w:hAnsi="Times New Roman" w:eastAsia="仿宋_GB2312" w:cs="Times New Roman"/>
          <w:color w:val="auto"/>
          <w:sz w:val="28"/>
          <w:szCs w:val="28"/>
          <w:highlight w:val="none"/>
          <w:lang w:val="en-US"/>
        </w:rPr>
        <w:t>及应急方案等等。具体方案，以</w:t>
      </w:r>
      <w:r>
        <w:rPr>
          <w:rFonts w:hint="eastAsia" w:ascii="Times New Roman" w:hAnsi="Times New Roman" w:eastAsia="仿宋_GB2312" w:cs="Times New Roman"/>
          <w:color w:val="auto"/>
          <w:sz w:val="28"/>
          <w:szCs w:val="28"/>
          <w:highlight w:val="none"/>
          <w:lang w:val="en-US" w:eastAsia="zh-CN"/>
        </w:rPr>
        <w:t>询价人</w:t>
      </w:r>
      <w:r>
        <w:rPr>
          <w:rFonts w:hint="eastAsia" w:ascii="Times New Roman" w:hAnsi="Times New Roman" w:eastAsia="仿宋_GB2312" w:cs="Times New Roman"/>
          <w:color w:val="auto"/>
          <w:sz w:val="28"/>
          <w:szCs w:val="28"/>
          <w:highlight w:val="none"/>
          <w:lang w:val="en-US"/>
        </w:rPr>
        <w:t>最后审核确认为准。</w:t>
      </w:r>
      <w:r>
        <w:rPr>
          <w:rFonts w:hint="eastAsia" w:ascii="仿宋_GB2312" w:hAnsi="仿宋_GB2312" w:eastAsia="仿宋_GB2312" w:cs="仿宋_GB2312"/>
          <w:color w:val="auto"/>
          <w:sz w:val="28"/>
          <w:szCs w:val="28"/>
          <w:highlight w:val="none"/>
          <w:lang w:val="zh-CN"/>
        </w:rPr>
        <w:t>报价人须派技术人员到施工现场</w:t>
      </w:r>
      <w:r>
        <w:rPr>
          <w:rFonts w:hint="eastAsia" w:ascii="仿宋_GB2312" w:hAnsi="仿宋_GB2312" w:eastAsia="仿宋_GB2312" w:cs="仿宋_GB2312"/>
          <w:color w:val="auto"/>
          <w:sz w:val="28"/>
          <w:szCs w:val="28"/>
          <w:highlight w:val="none"/>
          <w:lang w:val="en-US" w:eastAsia="zh-CN"/>
        </w:rPr>
        <w:t>监管</w:t>
      </w:r>
      <w:r>
        <w:rPr>
          <w:rFonts w:hint="eastAsia" w:ascii="仿宋_GB2312" w:hAnsi="仿宋_GB2312" w:eastAsia="仿宋_GB2312" w:cs="仿宋_GB2312"/>
          <w:color w:val="auto"/>
          <w:sz w:val="28"/>
          <w:szCs w:val="28"/>
          <w:highlight w:val="none"/>
          <w:lang w:val="zh-CN"/>
        </w:rPr>
        <w:t>。</w:t>
      </w:r>
    </w:p>
    <w:p>
      <w:pPr>
        <w:keepNext w:val="0"/>
        <w:keepLines w:val="0"/>
        <w:pageBreakBefore w:val="0"/>
        <w:widowControl w:val="0"/>
        <w:numPr>
          <w:ilvl w:val="0"/>
          <w:numId w:val="4"/>
        </w:numPr>
        <w:kinsoku/>
        <w:wordWrap/>
        <w:overflowPunct/>
        <w:topLinePunct w:val="0"/>
        <w:autoSpaceDE/>
        <w:autoSpaceDN/>
        <w:bidi w:val="0"/>
        <w:adjustRightInd w:val="0"/>
        <w:snapToGrid w:val="0"/>
        <w:spacing w:line="500" w:lineRule="exact"/>
        <w:ind w:left="0" w:firstLine="560" w:firstLineChars="200"/>
        <w:textAlignment w:val="auto"/>
        <w:rPr>
          <w:rFonts w:hint="eastAsia" w:ascii="Times New Roman" w:hAnsi="Times New Roman" w:eastAsia="仿宋_GB2312" w:cs="Times New Roman"/>
          <w:color w:val="auto"/>
          <w:sz w:val="28"/>
          <w:szCs w:val="28"/>
          <w:highlight w:val="none"/>
          <w:lang w:val="en-US"/>
        </w:rPr>
      </w:pPr>
      <w:r>
        <w:rPr>
          <w:rFonts w:hint="eastAsia" w:ascii="Times New Roman" w:hAnsi="Times New Roman" w:eastAsia="仿宋_GB2312" w:cs="Times New Roman"/>
          <w:color w:val="auto"/>
          <w:sz w:val="28"/>
          <w:szCs w:val="28"/>
          <w:highlight w:val="none"/>
          <w:lang w:val="en-US" w:eastAsia="zh-CN"/>
        </w:rPr>
        <w:t>除项目负责人外，报价人须另外配备专职安全人员，并做好本工程项目的安全管理工作。</w:t>
      </w:r>
    </w:p>
    <w:p>
      <w:pPr>
        <w:widowControl w:val="0"/>
        <w:numPr>
          <w:ilvl w:val="0"/>
          <w:numId w:val="4"/>
        </w:numPr>
        <w:adjustRightInd w:val="0"/>
        <w:snapToGrid w:val="0"/>
        <w:spacing w:line="500" w:lineRule="exact"/>
        <w:ind w:firstLine="560" w:firstLineChars="200"/>
        <w:rPr>
          <w:rFonts w:hint="default" w:ascii="Times New Roman" w:hAnsi="Times New Roman" w:eastAsia="仿宋_GB2312" w:cs="Times New Roman"/>
          <w:color w:val="auto"/>
          <w:sz w:val="28"/>
          <w:szCs w:val="28"/>
          <w:highlight w:val="none"/>
          <w:lang w:val="en-US" w:eastAsia="zh-CN"/>
        </w:rPr>
      </w:pPr>
      <w:r>
        <w:rPr>
          <w:rFonts w:hint="eastAsia" w:ascii="仿宋_GB2312" w:eastAsia="仿宋_GB2312"/>
          <w:color w:val="auto"/>
          <w:sz w:val="28"/>
          <w:szCs w:val="28"/>
          <w:highlight w:val="none"/>
          <w:u w:val="none"/>
          <w:lang w:val="en-US" w:eastAsia="zh-CN"/>
        </w:rPr>
        <w:t>工程质量应符合国家相关工程施工质量验收规范的合格标准。</w:t>
      </w:r>
      <w:r>
        <w:rPr>
          <w:rFonts w:hint="eastAsia" w:ascii="Times New Roman" w:hAnsi="Times New Roman" w:eastAsia="仿宋_GB2312" w:cs="Times New Roman"/>
          <w:color w:val="auto"/>
          <w:sz w:val="28"/>
          <w:szCs w:val="28"/>
          <w:highlight w:val="none"/>
          <w:u w:val="none"/>
          <w:lang w:val="en-US" w:eastAsia="zh-CN"/>
        </w:rPr>
        <w:t>报价人需提供至少</w:t>
      </w:r>
      <w:r>
        <w:rPr>
          <w:rFonts w:hint="eastAsia" w:ascii="Times New Roman" w:hAnsi="Times New Roman" w:eastAsia="仿宋_GB2312" w:cs="Times New Roman"/>
          <w:color w:val="auto"/>
          <w:sz w:val="28"/>
          <w:szCs w:val="28"/>
          <w:highlight w:val="none"/>
          <w:lang w:val="en-US" w:eastAsia="zh-CN"/>
        </w:rPr>
        <w:t>1年的保修期。</w:t>
      </w:r>
    </w:p>
    <w:p>
      <w:pPr>
        <w:widowControl w:val="0"/>
        <w:adjustRightInd w:val="0"/>
        <w:snapToGrid w:val="0"/>
        <w:spacing w:line="240" w:lineRule="auto"/>
        <w:ind w:firstLine="0" w:firstLineChars="0"/>
        <w:jc w:val="center"/>
        <w:rPr>
          <w:rFonts w:hint="eastAsia" w:ascii="仿宋" w:hAnsi="仿宋" w:eastAsia="仿宋" w:cs="仿宋"/>
          <w:color w:val="auto"/>
          <w:sz w:val="28"/>
          <w:szCs w:val="28"/>
          <w:highlight w:val="none"/>
          <w:lang w:val="en-US" w:eastAsia="zh-CN"/>
        </w:rPr>
      </w:pPr>
    </w:p>
    <w:p>
      <w:pPr>
        <w:widowControl w:val="0"/>
        <w:adjustRightInd w:val="0"/>
        <w:snapToGrid w:val="0"/>
        <w:spacing w:line="500" w:lineRule="exact"/>
        <w:ind w:firstLine="560" w:firstLineChars="200"/>
        <w:rPr>
          <w:rFonts w:hint="eastAsia" w:ascii="仿宋" w:hAnsi="仿宋" w:eastAsia="仿宋" w:cs="仿宋"/>
          <w:color w:val="auto"/>
          <w:sz w:val="28"/>
          <w:szCs w:val="28"/>
          <w:highlight w:val="none"/>
          <w:lang w:val="en-US" w:eastAsia="zh-CN"/>
        </w:rPr>
      </w:pPr>
    </w:p>
    <w:p>
      <w:pPr>
        <w:pStyle w:val="23"/>
        <w:rPr>
          <w:color w:val="auto"/>
          <w:highlight w:val="none"/>
        </w:rPr>
      </w:pPr>
    </w:p>
    <w:p>
      <w:pPr>
        <w:pStyle w:val="23"/>
        <w:rPr>
          <w:color w:val="auto"/>
          <w:highlight w:val="none"/>
        </w:rPr>
      </w:pPr>
    </w:p>
    <w:p>
      <w:pPr>
        <w:rPr>
          <w:color w:val="auto"/>
          <w:highlight w:val="none"/>
        </w:rPr>
      </w:pPr>
      <w:r>
        <w:rPr>
          <w:color w:val="auto"/>
          <w:highlight w:val="none"/>
        </w:rPr>
        <w:br w:type="page"/>
      </w:r>
    </w:p>
    <w:p>
      <w:pPr>
        <w:pStyle w:val="3"/>
        <w:rPr>
          <w:rFonts w:hint="eastAsia"/>
          <w:color w:val="auto"/>
          <w:highlight w:val="none"/>
        </w:rPr>
      </w:pPr>
      <w:bookmarkStart w:id="61" w:name="_Toc23353"/>
      <w:bookmarkStart w:id="62" w:name="_Toc537"/>
      <w:bookmarkStart w:id="63" w:name="_Toc25925"/>
      <w:bookmarkStart w:id="64" w:name="_Toc1496"/>
      <w:bookmarkStart w:id="65" w:name="_Toc4680"/>
      <w:bookmarkStart w:id="66" w:name="_Toc23330"/>
      <w:bookmarkStart w:id="67" w:name="_Toc1284"/>
      <w:bookmarkStart w:id="68" w:name="_Toc12135"/>
      <w:bookmarkStart w:id="69" w:name="_Toc18538"/>
      <w:bookmarkStart w:id="70" w:name="_Toc15570"/>
      <w:bookmarkStart w:id="71" w:name="_Toc29835"/>
    </w:p>
    <w:p>
      <w:pPr>
        <w:pStyle w:val="3"/>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2306320</wp:posOffset>
                </wp:positionH>
                <wp:positionV relativeFrom="paragraph">
                  <wp:posOffset>615315</wp:posOffset>
                </wp:positionV>
                <wp:extent cx="958850" cy="0"/>
                <wp:effectExtent l="0" t="0" r="0" b="0"/>
                <wp:wrapNone/>
                <wp:docPr id="8"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1.6pt;margin-top:48.45pt;height:0pt;width:75.5pt;z-index:251667456;mso-width-relative:page;mso-height-relative:page;" filled="f" stroked="t" coordsize="21600,21600" o:gfxdata="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ER4LU1wAAAAkBAAAPAAAAAAAAAAEAIAAAACIAAABkcnMvZG93bnJldi54bWxQSwECFAAU&#10;AAAACACHTuJABo6kgP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2325370</wp:posOffset>
                </wp:positionH>
                <wp:positionV relativeFrom="paragraph">
                  <wp:posOffset>41910</wp:posOffset>
                </wp:positionV>
                <wp:extent cx="958850" cy="0"/>
                <wp:effectExtent l="0" t="0" r="0" b="0"/>
                <wp:wrapNone/>
                <wp:docPr id="7"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3.1pt;margin-top:3.3pt;height:0pt;width:75.5pt;z-index:251666432;mso-width-relative:page;mso-height-relative:page;" filled="f" stroked="t" coordsize="21600,21600" o:gfxdata="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4pubjTAAAABwEAAA8AAAAAAAAAAQAgAAAAIgAAAGRycy9kb3ducmV2LnhtbFBLAQIUABQAAAAI&#10;AIdO4kC1jdgR8gEAAOIDAAAOAAAAAAAAAAEAIAAAACIBAABkcnMvZTJvRG9jLnhtbFBLBQYAAAAA&#10;BgAGAFkBAACGBQAAAAA=&#10;">
                <v:fill on="f" focussize="0,0"/>
                <v:stroke color="#000000" joinstyle="round"/>
                <v:imagedata o:title=""/>
                <o:lock v:ext="edit" aspectratio="f"/>
              </v:shape>
            </w:pict>
          </mc:Fallback>
        </mc:AlternateContent>
      </w:r>
      <w:r>
        <w:rPr>
          <w:rFonts w:hint="eastAsia"/>
          <w:color w:val="auto"/>
          <w:highlight w:val="none"/>
        </w:rPr>
        <w:t>第六章</w:t>
      </w:r>
      <w:bookmarkEnd w:id="61"/>
      <w:bookmarkEnd w:id="62"/>
      <w:bookmarkEnd w:id="63"/>
      <w:bookmarkEnd w:id="64"/>
      <w:bookmarkEnd w:id="65"/>
      <w:bookmarkEnd w:id="66"/>
      <w:bookmarkEnd w:id="67"/>
      <w:bookmarkEnd w:id="68"/>
      <w:bookmarkEnd w:id="69"/>
      <w:bookmarkEnd w:id="70"/>
      <w:bookmarkEnd w:id="71"/>
    </w:p>
    <w:p>
      <w:pPr>
        <w:pStyle w:val="39"/>
        <w:rPr>
          <w:color w:val="auto"/>
          <w:highlight w:val="none"/>
        </w:rPr>
      </w:pPr>
    </w:p>
    <w:p>
      <w:pPr>
        <w:pStyle w:val="3"/>
        <w:rPr>
          <w:color w:val="auto"/>
          <w:highlight w:val="none"/>
        </w:rPr>
      </w:pPr>
      <w:bookmarkStart w:id="72" w:name="_Toc13309"/>
      <w:bookmarkStart w:id="73" w:name="_Toc12968"/>
      <w:bookmarkStart w:id="74" w:name="_Toc22797"/>
      <w:bookmarkStart w:id="75" w:name="_Toc12721"/>
      <w:bookmarkStart w:id="76" w:name="_Toc1375"/>
      <w:bookmarkStart w:id="77" w:name="_Toc88209949"/>
      <w:bookmarkStart w:id="78" w:name="_Toc323"/>
      <w:bookmarkStart w:id="79" w:name="_Toc12980"/>
      <w:bookmarkStart w:id="80" w:name="_Toc19686"/>
      <w:bookmarkStart w:id="81" w:name="_Toc87616386"/>
      <w:bookmarkStart w:id="82" w:name="_Toc22501"/>
      <w:bookmarkStart w:id="83" w:name="_Toc8183"/>
      <w:bookmarkStart w:id="84" w:name="_Toc19088"/>
      <w:r>
        <w:rPr>
          <w:rFonts w:hint="eastAsia"/>
          <w:color w:val="auto"/>
          <w:highlight w:val="none"/>
        </w:rPr>
        <w:t>合同</w:t>
      </w:r>
      <w:bookmarkEnd w:id="72"/>
      <w:bookmarkEnd w:id="73"/>
      <w:bookmarkEnd w:id="74"/>
      <w:bookmarkEnd w:id="75"/>
      <w:bookmarkEnd w:id="76"/>
      <w:bookmarkEnd w:id="77"/>
      <w:bookmarkEnd w:id="78"/>
      <w:bookmarkEnd w:id="79"/>
      <w:bookmarkEnd w:id="80"/>
      <w:bookmarkEnd w:id="81"/>
      <w:bookmarkEnd w:id="82"/>
      <w:bookmarkEnd w:id="83"/>
      <w:bookmarkEnd w:id="84"/>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3"/>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rPr>
          <w:rFonts w:hint="eastAsia"/>
          <w:color w:val="auto"/>
          <w:highlight w:val="none"/>
        </w:rPr>
      </w:pPr>
      <w:r>
        <w:rPr>
          <w:rFonts w:hint="eastAsia"/>
          <w:color w:val="auto"/>
          <w:highlight w:val="none"/>
        </w:rPr>
        <w:br w:type="page"/>
      </w:r>
    </w:p>
    <w:p>
      <w:pPr>
        <w:autoSpaceDE w:val="0"/>
        <w:autoSpaceDN w:val="0"/>
        <w:adjustRightInd w:val="0"/>
        <w:snapToGrid w:val="0"/>
        <w:spacing w:line="300" w:lineRule="auto"/>
        <w:ind w:right="32"/>
        <w:jc w:val="right"/>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2021年</w:t>
      </w:r>
      <w:r>
        <w:rPr>
          <w:rFonts w:hint="eastAsia" w:ascii="宋体" w:hAnsi="宋体" w:eastAsia="宋体" w:cs="宋体"/>
          <w:b/>
          <w:color w:val="auto"/>
          <w:sz w:val="21"/>
          <w:szCs w:val="21"/>
          <w:highlight w:val="none"/>
          <w:lang w:val="en-US" w:eastAsia="zh-CN"/>
        </w:rPr>
        <w:t>8</w:t>
      </w:r>
      <w:r>
        <w:rPr>
          <w:rFonts w:hint="eastAsia" w:ascii="宋体" w:hAnsi="宋体" w:eastAsia="宋体" w:cs="宋体"/>
          <w:b/>
          <w:color w:val="auto"/>
          <w:sz w:val="21"/>
          <w:szCs w:val="21"/>
          <w:highlight w:val="none"/>
        </w:rPr>
        <w:t>月版</w:t>
      </w:r>
    </w:p>
    <w:p>
      <w:pPr>
        <w:jc w:val="right"/>
        <w:rPr>
          <w:rFonts w:hint="eastAsia" w:hAnsi="宋体"/>
          <w:bCs/>
          <w:color w:val="auto"/>
          <w:sz w:val="24"/>
          <w:highlight w:val="none"/>
        </w:rPr>
      </w:pPr>
    </w:p>
    <w:p>
      <w:pPr>
        <w:ind w:firstLine="5520" w:firstLineChars="2300"/>
        <w:rPr>
          <w:rFonts w:hint="eastAsia" w:hAnsi="宋体"/>
          <w:bCs/>
          <w:color w:val="auto"/>
          <w:sz w:val="24"/>
          <w:highlight w:val="none"/>
        </w:rPr>
      </w:pPr>
    </w:p>
    <w:p>
      <w:pPr>
        <w:ind w:firstLine="5520" w:firstLineChars="2300"/>
        <w:rPr>
          <w:rFonts w:hint="eastAsia" w:hAnsi="宋体"/>
          <w:bCs/>
          <w:color w:val="auto"/>
          <w:sz w:val="24"/>
          <w:highlight w:val="none"/>
        </w:rPr>
      </w:pPr>
    </w:p>
    <w:p>
      <w:pPr>
        <w:jc w:val="center"/>
        <w:rPr>
          <w:rFonts w:hint="eastAsia" w:ascii="宋体" w:hAnsi="宋体" w:eastAsia="宋体" w:cs="宋体"/>
          <w:b/>
          <w:bCs/>
          <w:color w:val="auto"/>
          <w:sz w:val="48"/>
          <w:szCs w:val="48"/>
          <w:highlight w:val="none"/>
          <w:lang w:val="en-GB"/>
        </w:rPr>
      </w:pPr>
      <w:r>
        <w:rPr>
          <w:rFonts w:hint="eastAsia" w:ascii="宋体" w:hAnsi="宋体" w:eastAsia="宋体" w:cs="宋体"/>
          <w:b/>
          <w:bCs/>
          <w:color w:val="auto"/>
          <w:sz w:val="48"/>
          <w:szCs w:val="48"/>
          <w:highlight w:val="none"/>
          <w:lang w:val="en-GB"/>
        </w:rPr>
        <w:t>广州市净水有限公司</w:t>
      </w:r>
    </w:p>
    <w:p>
      <w:pPr>
        <w:jc w:val="center"/>
        <w:rPr>
          <w:b/>
          <w:bCs/>
          <w:color w:val="auto"/>
          <w:sz w:val="48"/>
          <w:szCs w:val="48"/>
          <w:highlight w:val="none"/>
          <w:lang w:val="en-GB"/>
        </w:rPr>
      </w:pPr>
      <w:r>
        <w:rPr>
          <w:rFonts w:hint="eastAsia" w:ascii="宋体" w:hAnsi="宋体" w:eastAsia="宋体" w:cs="宋体"/>
          <w:b/>
          <w:bCs/>
          <w:color w:val="auto"/>
          <w:sz w:val="48"/>
          <w:szCs w:val="48"/>
          <w:highlight w:val="none"/>
          <w:lang w:val="en-GB"/>
        </w:rPr>
        <w:t>小型建设工程</w:t>
      </w:r>
      <w:r>
        <w:rPr>
          <w:rFonts w:hint="eastAsia" w:ascii="宋体" w:hAnsi="宋体" w:eastAsia="宋体" w:cs="宋体"/>
          <w:b/>
          <w:bCs/>
          <w:color w:val="auto"/>
          <w:sz w:val="48"/>
          <w:szCs w:val="48"/>
          <w:highlight w:val="none"/>
          <w:u w:val="single"/>
          <w:lang w:val="en-GB"/>
        </w:rPr>
        <w:t>施工/修缮</w:t>
      </w:r>
      <w:r>
        <w:rPr>
          <w:rFonts w:hint="eastAsia" w:ascii="宋体" w:hAnsi="宋体" w:eastAsia="宋体" w:cs="宋体"/>
          <w:b/>
          <w:bCs/>
          <w:color w:val="auto"/>
          <w:sz w:val="48"/>
          <w:szCs w:val="48"/>
          <w:highlight w:val="none"/>
          <w:lang w:val="en-GB"/>
        </w:rPr>
        <w:t>合同</w:t>
      </w:r>
    </w:p>
    <w:p>
      <w:pPr>
        <w:jc w:val="center"/>
        <w:rPr>
          <w:rFonts w:hint="eastAsia" w:ascii="宋体" w:hAnsi="宋体" w:eastAsia="宋体" w:cs="宋体"/>
          <w:color w:val="auto"/>
          <w:sz w:val="28"/>
          <w:szCs w:val="28"/>
          <w:highlight w:val="none"/>
        </w:rPr>
      </w:pPr>
      <w:r>
        <w:rPr>
          <w:rFonts w:hint="eastAsia" w:ascii="宋体" w:hAnsi="宋体" w:eastAsia="宋体"/>
          <w:bCs/>
          <w:color w:val="auto"/>
          <w:sz w:val="28"/>
          <w:szCs w:val="28"/>
          <w:highlight w:val="none"/>
          <w:lang w:val="en-GB"/>
        </w:rPr>
        <w:t>（示范文本）</w:t>
      </w:r>
    </w:p>
    <w:p>
      <w:pPr>
        <w:ind w:left="1449" w:leftChars="690" w:firstLine="4785" w:firstLineChars="1994"/>
        <w:rPr>
          <w:rFonts w:hint="eastAsia"/>
          <w:color w:val="auto"/>
          <w:sz w:val="24"/>
          <w:highlight w:val="none"/>
        </w:rPr>
      </w:pPr>
    </w:p>
    <w:p>
      <w:pPr>
        <w:ind w:left="1449" w:leftChars="690" w:firstLine="4785" w:firstLineChars="1994"/>
        <w:rPr>
          <w:rFonts w:hint="eastAsia"/>
          <w:color w:val="auto"/>
          <w:sz w:val="24"/>
          <w:highlight w:val="none"/>
        </w:rPr>
      </w:pPr>
    </w:p>
    <w:p>
      <w:pPr>
        <w:ind w:left="1449" w:leftChars="690" w:firstLine="4785" w:firstLineChars="1994"/>
        <w:rPr>
          <w:rFonts w:hint="eastAsia"/>
          <w:color w:val="auto"/>
          <w:sz w:val="24"/>
          <w:highlight w:val="none"/>
        </w:rPr>
      </w:pPr>
    </w:p>
    <w:p>
      <w:pPr>
        <w:pStyle w:val="13"/>
        <w:snapToGrid w:val="0"/>
        <w:spacing w:line="400" w:lineRule="exact"/>
        <w:ind w:right="84" w:rightChars="40" w:firstLine="193" w:firstLineChars="80"/>
        <w:rPr>
          <w:rFonts w:hint="eastAsia" w:hAnsi="宋体" w:eastAsia="宋体"/>
          <w:b/>
          <w:color w:val="auto"/>
          <w:sz w:val="24"/>
          <w:highlight w:val="none"/>
        </w:rPr>
      </w:pPr>
    </w:p>
    <w:p>
      <w:pPr>
        <w:pStyle w:val="13"/>
        <w:snapToGrid w:val="0"/>
        <w:spacing w:line="400" w:lineRule="exact"/>
        <w:ind w:right="84" w:rightChars="40" w:firstLine="192" w:firstLineChars="80"/>
        <w:rPr>
          <w:rFonts w:hint="eastAsia" w:hAnsi="宋体" w:eastAsia="宋体"/>
          <w:bCs/>
          <w:color w:val="auto"/>
          <w:sz w:val="24"/>
          <w:highlight w:val="none"/>
        </w:rPr>
      </w:pPr>
    </w:p>
    <w:p>
      <w:pPr>
        <w:pStyle w:val="13"/>
        <w:snapToGrid w:val="0"/>
        <w:spacing w:line="400" w:lineRule="exact"/>
        <w:ind w:left="2997" w:leftChars="710" w:right="84" w:rightChars="40" w:hanging="1506" w:hangingChars="500"/>
        <w:rPr>
          <w:rFonts w:hint="eastAsia" w:ascii="宋体" w:hAnsi="宋体" w:eastAsia="宋体" w:cs="宋体"/>
          <w:b/>
          <w:color w:val="auto"/>
          <w:sz w:val="30"/>
          <w:szCs w:val="30"/>
          <w:highlight w:val="none"/>
        </w:rPr>
      </w:pPr>
      <w:r>
        <w:rPr>
          <w:rFonts w:hint="eastAsia" w:hAnsi="宋体" w:eastAsia="宋体" w:cs="宋体"/>
          <w:b/>
          <w:color w:val="auto"/>
          <w:sz w:val="30"/>
          <w:szCs w:val="30"/>
          <w:highlight w:val="none"/>
        </w:rPr>
        <w:t>项目名称：</w:t>
      </w:r>
      <w:r>
        <w:rPr>
          <w:rFonts w:hint="eastAsia" w:ascii="宋体" w:hAnsi="宋体" w:eastAsia="宋体" w:cs="宋体"/>
          <w:b/>
          <w:color w:val="auto"/>
          <w:sz w:val="30"/>
          <w:szCs w:val="30"/>
          <w:highlight w:val="none"/>
        </w:rPr>
        <w:t>广州</w:t>
      </w:r>
      <w:r>
        <w:rPr>
          <w:rFonts w:hint="eastAsia" w:ascii="宋体" w:hAnsi="宋体" w:eastAsia="宋体" w:cs="宋体"/>
          <w:b/>
          <w:color w:val="auto"/>
          <w:sz w:val="30"/>
          <w:szCs w:val="30"/>
          <w:highlight w:val="none"/>
          <w:lang w:val="en-US" w:eastAsia="zh-CN"/>
        </w:rPr>
        <w:t>市</w:t>
      </w:r>
      <w:r>
        <w:rPr>
          <w:rFonts w:hint="eastAsia" w:ascii="宋体" w:hAnsi="宋体" w:eastAsia="宋体" w:cs="宋体"/>
          <w:b/>
          <w:color w:val="auto"/>
          <w:sz w:val="30"/>
          <w:szCs w:val="30"/>
          <w:highlight w:val="none"/>
        </w:rPr>
        <w:t>净水有限公司</w:t>
      </w:r>
      <w:r>
        <w:rPr>
          <w:rFonts w:hint="eastAsia" w:ascii="宋体" w:hAnsi="宋体" w:eastAsia="宋体" w:cs="宋体"/>
          <w:b/>
          <w:color w:val="auto"/>
          <w:sz w:val="30"/>
          <w:szCs w:val="30"/>
          <w:highlight w:val="none"/>
          <w:lang w:val="en-US" w:eastAsia="zh-CN"/>
        </w:rPr>
        <w:t>白云区初雨泵站南侧</w:t>
      </w:r>
      <w:r>
        <w:rPr>
          <w:rFonts w:hint="eastAsia" w:hAnsi="宋体" w:eastAsia="宋体" w:cs="宋体"/>
          <w:b/>
          <w:color w:val="auto"/>
          <w:sz w:val="30"/>
          <w:szCs w:val="30"/>
          <w:highlight w:val="none"/>
          <w:lang w:val="en-US" w:eastAsia="zh-CN"/>
        </w:rPr>
        <w:t xml:space="preserve"> </w:t>
      </w:r>
      <w:r>
        <w:rPr>
          <w:rFonts w:hint="eastAsia" w:ascii="宋体" w:hAnsi="宋体" w:eastAsia="宋体" w:cs="宋体"/>
          <w:b/>
          <w:color w:val="auto"/>
          <w:sz w:val="30"/>
          <w:szCs w:val="30"/>
          <w:highlight w:val="none"/>
          <w:lang w:val="en-US" w:eastAsia="zh-CN"/>
        </w:rPr>
        <w:t>地块安全围蔽工程</w:t>
      </w:r>
    </w:p>
    <w:p>
      <w:pPr>
        <w:pStyle w:val="13"/>
        <w:snapToGrid w:val="0"/>
        <w:ind w:right="84" w:rightChars="40"/>
        <w:rPr>
          <w:rFonts w:hint="eastAsia" w:hAnsi="宋体" w:eastAsia="宋体" w:cs="宋体"/>
          <w:b/>
          <w:color w:val="auto"/>
          <w:sz w:val="30"/>
          <w:szCs w:val="30"/>
          <w:highlight w:val="none"/>
        </w:rPr>
      </w:pPr>
    </w:p>
    <w:p>
      <w:pPr>
        <w:pStyle w:val="13"/>
        <w:snapToGrid w:val="0"/>
        <w:ind w:right="84" w:rightChars="40"/>
        <w:rPr>
          <w:rFonts w:hint="eastAsia" w:hAnsi="宋体" w:eastAsia="宋体" w:cs="宋体"/>
          <w:b/>
          <w:color w:val="auto"/>
          <w:sz w:val="30"/>
          <w:szCs w:val="30"/>
          <w:highlight w:val="none"/>
        </w:rPr>
      </w:pPr>
    </w:p>
    <w:p>
      <w:pPr>
        <w:pStyle w:val="13"/>
        <w:snapToGrid w:val="0"/>
        <w:ind w:right="84" w:rightChars="40"/>
        <w:rPr>
          <w:rFonts w:hint="eastAsia" w:hAnsi="宋体" w:eastAsia="宋体" w:cs="宋体"/>
          <w:b/>
          <w:color w:val="auto"/>
          <w:sz w:val="30"/>
          <w:szCs w:val="30"/>
          <w:highlight w:val="none"/>
        </w:rPr>
      </w:pPr>
    </w:p>
    <w:p>
      <w:pPr>
        <w:pStyle w:val="13"/>
        <w:snapToGrid w:val="0"/>
        <w:ind w:right="84" w:rightChars="40"/>
        <w:rPr>
          <w:rFonts w:hint="eastAsia" w:hAnsi="宋体" w:eastAsia="宋体" w:cs="宋体"/>
          <w:b/>
          <w:color w:val="auto"/>
          <w:sz w:val="30"/>
          <w:szCs w:val="30"/>
          <w:highlight w:val="none"/>
        </w:rPr>
      </w:pPr>
    </w:p>
    <w:p>
      <w:pPr>
        <w:pStyle w:val="13"/>
        <w:snapToGrid w:val="0"/>
        <w:ind w:right="84" w:rightChars="40" w:firstLine="1506" w:firstLineChars="500"/>
        <w:rPr>
          <w:rFonts w:hAnsi="宋体" w:eastAsia="宋体" w:cs="宋体"/>
          <w:b/>
          <w:color w:val="auto"/>
          <w:sz w:val="30"/>
          <w:szCs w:val="30"/>
          <w:highlight w:val="none"/>
        </w:rPr>
      </w:pPr>
      <w:r>
        <w:rPr>
          <w:rFonts w:hint="eastAsia" w:hAnsi="宋体" w:eastAsia="宋体" w:cs="宋体"/>
          <w:b/>
          <w:color w:val="auto"/>
          <w:sz w:val="30"/>
          <w:szCs w:val="30"/>
          <w:highlight w:val="none"/>
        </w:rPr>
        <w:t>合同编号：穗净水合[    ]    号</w:t>
      </w:r>
    </w:p>
    <w:p>
      <w:pPr>
        <w:pStyle w:val="13"/>
        <w:snapToGrid w:val="0"/>
        <w:spacing w:line="400" w:lineRule="exact"/>
        <w:ind w:right="84" w:rightChars="40" w:firstLine="1569" w:firstLineChars="521"/>
        <w:rPr>
          <w:rFonts w:hint="eastAsia" w:hAnsi="宋体" w:eastAsia="宋体" w:cs="宋体"/>
          <w:b/>
          <w:color w:val="auto"/>
          <w:sz w:val="30"/>
          <w:szCs w:val="30"/>
          <w:highlight w:val="none"/>
        </w:rPr>
      </w:pPr>
      <w:r>
        <w:rPr>
          <w:rFonts w:hint="eastAsia" w:hAnsi="宋体" w:eastAsia="宋体" w:cs="宋体"/>
          <w:b/>
          <w:color w:val="auto"/>
          <w:sz w:val="30"/>
          <w:szCs w:val="30"/>
          <w:highlight w:val="none"/>
        </w:rPr>
        <w:t>项目编号：</w:t>
      </w:r>
    </w:p>
    <w:p>
      <w:pPr>
        <w:pStyle w:val="13"/>
        <w:snapToGrid w:val="0"/>
        <w:ind w:right="84" w:rightChars="40" w:firstLine="1569"/>
        <w:rPr>
          <w:rFonts w:hint="eastAsia" w:hAnsi="宋体" w:eastAsia="宋体" w:cs="宋体"/>
          <w:b/>
          <w:color w:val="auto"/>
          <w:sz w:val="30"/>
          <w:szCs w:val="30"/>
          <w:highlight w:val="none"/>
        </w:rPr>
      </w:pPr>
    </w:p>
    <w:p>
      <w:pPr>
        <w:pStyle w:val="13"/>
        <w:snapToGrid w:val="0"/>
        <w:ind w:right="84" w:rightChars="40" w:firstLine="1569"/>
        <w:rPr>
          <w:rFonts w:hint="eastAsia" w:hAnsi="宋体" w:eastAsia="宋体" w:cs="宋体"/>
          <w:b/>
          <w:color w:val="auto"/>
          <w:sz w:val="30"/>
          <w:szCs w:val="30"/>
          <w:highlight w:val="none"/>
        </w:rPr>
      </w:pPr>
    </w:p>
    <w:p>
      <w:pPr>
        <w:pStyle w:val="13"/>
        <w:snapToGrid w:val="0"/>
        <w:ind w:right="84" w:rightChars="40" w:firstLine="1569"/>
        <w:rPr>
          <w:rFonts w:hint="eastAsia" w:hAnsi="宋体" w:eastAsia="宋体" w:cs="宋体"/>
          <w:b/>
          <w:color w:val="auto"/>
          <w:sz w:val="30"/>
          <w:szCs w:val="30"/>
          <w:highlight w:val="none"/>
        </w:rPr>
      </w:pPr>
    </w:p>
    <w:p>
      <w:pPr>
        <w:pStyle w:val="13"/>
        <w:snapToGrid w:val="0"/>
        <w:ind w:right="84" w:rightChars="40" w:firstLine="1569"/>
        <w:rPr>
          <w:rFonts w:hint="eastAsia" w:hAnsi="宋体" w:eastAsia="宋体" w:cs="宋体"/>
          <w:b/>
          <w:color w:val="auto"/>
          <w:sz w:val="30"/>
          <w:szCs w:val="30"/>
          <w:highlight w:val="none"/>
        </w:rPr>
      </w:pPr>
    </w:p>
    <w:p>
      <w:pPr>
        <w:pStyle w:val="13"/>
        <w:snapToGrid w:val="0"/>
        <w:ind w:right="84" w:rightChars="40" w:firstLine="1569"/>
        <w:rPr>
          <w:rFonts w:hint="eastAsia" w:hAnsi="宋体" w:eastAsia="宋体" w:cs="宋体"/>
          <w:b/>
          <w:color w:val="auto"/>
          <w:sz w:val="30"/>
          <w:szCs w:val="30"/>
          <w:highlight w:val="none"/>
        </w:rPr>
      </w:pPr>
      <w:r>
        <w:rPr>
          <w:rFonts w:hint="eastAsia" w:hAnsi="宋体" w:eastAsia="宋体" w:cs="宋体"/>
          <w:b/>
          <w:color w:val="auto"/>
          <w:sz w:val="30"/>
          <w:szCs w:val="30"/>
          <w:highlight w:val="none"/>
        </w:rPr>
        <w:t>甲方：广州市净水有限公司</w:t>
      </w:r>
    </w:p>
    <w:p>
      <w:pPr>
        <w:pStyle w:val="13"/>
        <w:snapToGrid w:val="0"/>
        <w:ind w:right="84" w:rightChars="40" w:firstLine="1569" w:firstLineChars="521"/>
        <w:rPr>
          <w:rFonts w:hint="eastAsia" w:hAnsi="宋体" w:eastAsia="宋体" w:cs="宋体"/>
          <w:b/>
          <w:color w:val="auto"/>
          <w:sz w:val="30"/>
          <w:szCs w:val="30"/>
          <w:highlight w:val="none"/>
        </w:rPr>
      </w:pPr>
    </w:p>
    <w:p>
      <w:pPr>
        <w:pStyle w:val="13"/>
        <w:snapToGrid w:val="0"/>
        <w:ind w:right="84" w:rightChars="40" w:firstLine="1569"/>
        <w:rPr>
          <w:rFonts w:hint="eastAsia" w:hAnsi="宋体" w:eastAsia="宋体" w:cs="宋体"/>
          <w:b/>
          <w:color w:val="auto"/>
          <w:sz w:val="30"/>
          <w:szCs w:val="30"/>
          <w:highlight w:val="none"/>
        </w:rPr>
      </w:pPr>
    </w:p>
    <w:p>
      <w:pPr>
        <w:pStyle w:val="13"/>
        <w:snapToGrid w:val="0"/>
        <w:ind w:right="84" w:rightChars="40" w:firstLine="1569"/>
        <w:rPr>
          <w:rFonts w:hint="eastAsia" w:hAnsi="宋体" w:eastAsia="宋体" w:cs="宋体"/>
          <w:b/>
          <w:color w:val="auto"/>
          <w:sz w:val="30"/>
          <w:szCs w:val="30"/>
          <w:highlight w:val="none"/>
        </w:rPr>
      </w:pPr>
      <w:r>
        <w:rPr>
          <w:rFonts w:hint="eastAsia" w:hAnsi="宋体" w:eastAsia="宋体" w:cs="宋体"/>
          <w:b/>
          <w:color w:val="auto"/>
          <w:sz w:val="30"/>
          <w:szCs w:val="30"/>
          <w:highlight w:val="none"/>
        </w:rPr>
        <w:t>乙方：</w:t>
      </w:r>
    </w:p>
    <w:p>
      <w:pPr>
        <w:pStyle w:val="13"/>
        <w:snapToGrid w:val="0"/>
        <w:ind w:right="84" w:rightChars="40" w:firstLine="1569" w:firstLineChars="521"/>
        <w:rPr>
          <w:rFonts w:hint="eastAsia" w:hAnsi="宋体" w:eastAsia="宋体" w:cs="宋体"/>
          <w:b/>
          <w:color w:val="auto"/>
          <w:sz w:val="30"/>
          <w:szCs w:val="30"/>
          <w:highlight w:val="none"/>
        </w:rPr>
      </w:pPr>
      <w:r>
        <w:rPr>
          <w:rFonts w:hint="eastAsia" w:hAnsi="宋体" w:eastAsia="宋体" w:cs="宋体"/>
          <w:b/>
          <w:color w:val="auto"/>
          <w:sz w:val="30"/>
          <w:szCs w:val="30"/>
          <w:highlight w:val="none"/>
        </w:rPr>
        <w:t xml:space="preserve"> </w:t>
      </w:r>
    </w:p>
    <w:p>
      <w:pPr>
        <w:pStyle w:val="13"/>
        <w:snapToGrid w:val="0"/>
        <w:spacing w:line="400" w:lineRule="exact"/>
        <w:ind w:right="84" w:rightChars="40" w:firstLine="1569" w:firstLineChars="521"/>
        <w:rPr>
          <w:rFonts w:hint="eastAsia" w:hAnsi="宋体" w:eastAsia="宋体" w:cs="宋体"/>
          <w:b/>
          <w:color w:val="auto"/>
          <w:sz w:val="30"/>
          <w:szCs w:val="30"/>
          <w:highlight w:val="none"/>
        </w:rPr>
      </w:pPr>
    </w:p>
    <w:p>
      <w:pPr>
        <w:ind w:firstLine="1656"/>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签订日期：       年   月   日</w:t>
      </w:r>
    </w:p>
    <w:p>
      <w:pPr>
        <w:ind w:firstLine="1656" w:firstLineChars="550"/>
        <w:rPr>
          <w:rFonts w:hint="eastAsia" w:ascii="宋体" w:hAnsi="宋体" w:eastAsia="宋体" w:cs="宋体"/>
          <w:b/>
          <w:color w:val="auto"/>
          <w:sz w:val="30"/>
          <w:szCs w:val="30"/>
          <w:highlight w:val="none"/>
          <w:lang w:val="zh-CN"/>
        </w:rPr>
      </w:pPr>
      <w:r>
        <w:rPr>
          <w:rFonts w:hint="eastAsia" w:ascii="宋体" w:hAnsi="宋体" w:eastAsia="宋体" w:cs="宋体"/>
          <w:b/>
          <w:color w:val="auto"/>
          <w:sz w:val="30"/>
          <w:szCs w:val="30"/>
          <w:highlight w:val="none"/>
        </w:rPr>
        <w:t>签订地点：广州市</w:t>
      </w:r>
    </w:p>
    <w:p>
      <w:pPr>
        <w:pStyle w:val="50"/>
        <w:spacing w:line="500" w:lineRule="exact"/>
        <w:jc w:val="both"/>
        <w:rPr>
          <w:rFonts w:hint="eastAsia" w:ascii="宋体" w:hAnsi="宋体" w:eastAsia="宋体" w:cs="宋体"/>
          <w:b/>
          <w:color w:val="auto"/>
          <w:sz w:val="30"/>
          <w:szCs w:val="30"/>
          <w:highlight w:val="none"/>
          <w:lang w:val="zh-CN" w:eastAsia="zh-CN"/>
        </w:rPr>
        <w:sectPr>
          <w:footerReference r:id="rId6" w:type="default"/>
          <w:pgSz w:w="11906" w:h="16838"/>
          <w:pgMar w:top="1644" w:right="1588" w:bottom="1644" w:left="1588" w:header="851" w:footer="992" w:gutter="0"/>
          <w:pgNumType w:fmt="numberInDash" w:start="1"/>
          <w:cols w:space="720" w:num="1"/>
          <w:docGrid w:type="lines" w:linePitch="312" w:charSpace="0"/>
        </w:sectPr>
      </w:pPr>
    </w:p>
    <w:p>
      <w:pPr>
        <w:pStyle w:val="11"/>
        <w:keepNext w:val="0"/>
        <w:keepLines w:val="0"/>
        <w:pageBreakBefore w:val="0"/>
        <w:widowControl w:val="0"/>
        <w:kinsoku/>
        <w:wordWrap/>
        <w:overflowPunct/>
        <w:bidi w:val="0"/>
        <w:adjustRightInd w:val="0"/>
        <w:snapToGrid w:val="0"/>
        <w:spacing w:after="0" w:line="500" w:lineRule="exact"/>
        <w:ind w:left="0" w:leftChars="0" w:firstLine="720" w:firstLineChars="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广州市净水有限公司</w:t>
      </w:r>
      <w:r>
        <w:rPr>
          <w:rFonts w:hint="eastAsia" w:ascii="宋体" w:hAnsi="宋体" w:eastAsia="宋体" w:cs="宋体"/>
          <w:color w:val="auto"/>
          <w:sz w:val="24"/>
          <w:highlight w:val="none"/>
        </w:rPr>
        <w:t>（以下简称“甲方”）与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（以下简称“乙方”）依照《中华人民共和国建筑法》及其它有关法律、行政法规，就</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施工/修缮项目遵循平等、自愿、公平和诚实信用的原则，经双方协商一致，特订立本合同。</w:t>
      </w:r>
    </w:p>
    <w:p>
      <w:pPr>
        <w:pStyle w:val="9"/>
        <w:keepNext w:val="0"/>
        <w:keepLines w:val="0"/>
        <w:pageBreakBefore w:val="0"/>
        <w:widowControl w:val="0"/>
        <w:kinsoku/>
        <w:wordWrap/>
        <w:overflowPunct/>
        <w:bidi w:val="0"/>
        <w:spacing w:line="5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第一条</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组成合同的文件及优先顺序</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下列文件（如有）均为本合同的组成部分，可视为能相互说明和补充的，如果合同文件存在歧义或相矛盾的地方，则根据以下次序判断：</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⑴ </w:t>
      </w:r>
      <w:r>
        <w:rPr>
          <w:rFonts w:hint="eastAsia" w:ascii="宋体" w:hAnsi="宋体" w:eastAsia="宋体" w:cs="宋体"/>
          <w:color w:val="auto"/>
          <w:sz w:val="24"/>
          <w:szCs w:val="24"/>
          <w:highlight w:val="none"/>
        </w:rPr>
        <w:t>在本合同实施过程双方签署的补充与修正文件</w:t>
      </w:r>
      <w:r>
        <w:rPr>
          <w:rFonts w:hint="eastAsia" w:ascii="宋体" w:hAnsi="宋体" w:eastAsia="宋体" w:cs="宋体"/>
          <w:bCs/>
          <w:color w:val="auto"/>
          <w:sz w:val="24"/>
          <w:szCs w:val="24"/>
          <w:highlight w:val="none"/>
        </w:rPr>
        <w:t>；</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⑵ 本合同书；</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⑶ 中标通知书/发包通知书/</w:t>
      </w:r>
      <w:r>
        <w:rPr>
          <w:rFonts w:hint="eastAsia" w:ascii="宋体" w:hAnsi="宋体" w:eastAsia="宋体" w:cs="宋体"/>
          <w:bCs/>
          <w:color w:val="auto"/>
          <w:sz w:val="24"/>
          <w:szCs w:val="24"/>
          <w:highlight w:val="none"/>
          <w:lang w:val="en-US" w:eastAsia="zh-CN"/>
        </w:rPr>
        <w:t>成交通知书/</w:t>
      </w:r>
      <w:r>
        <w:rPr>
          <w:rFonts w:hint="eastAsia" w:ascii="宋体" w:hAnsi="宋体" w:eastAsia="宋体" w:cs="宋体"/>
          <w:bCs/>
          <w:color w:val="auto"/>
          <w:sz w:val="24"/>
          <w:szCs w:val="24"/>
          <w:highlight w:val="none"/>
        </w:rPr>
        <w:t>委托函；</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⑷ 招标文件/询价文件；</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⑸ 投标文件/响应文件；</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⑹ 标准、规范及有关技术性文件；</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⑺ 图纸；</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⑻ 工程量清单</w:t>
      </w:r>
      <w:r>
        <w:rPr>
          <w:rFonts w:hint="eastAsia" w:ascii="宋体" w:hAnsi="宋体" w:eastAsia="宋体" w:cs="宋体"/>
          <w:color w:val="auto"/>
          <w:sz w:val="24"/>
          <w:szCs w:val="24"/>
          <w:highlight w:val="none"/>
        </w:rPr>
        <w:t>报价单或预算书；</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⑼ 本合同其他附件；</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第二条  工程概况</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2.1工程名称：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广州市净水有限公司白云区初雨泵站南侧地块安全围蔽工程项目 </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2.2工程地点：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白云区初雨泵站南侧地块</w:t>
      </w:r>
      <w:r>
        <w:rPr>
          <w:rFonts w:hint="eastAsia" w:ascii="宋体" w:hAnsi="宋体" w:eastAsia="宋体" w:cs="宋体"/>
          <w:color w:val="auto"/>
          <w:sz w:val="24"/>
          <w:szCs w:val="24"/>
          <w:highlight w:val="none"/>
          <w:u w:val="single"/>
        </w:rPr>
        <w:t xml:space="preserve"> </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2.3承包内容：</w:t>
      </w:r>
      <w:r>
        <w:rPr>
          <w:rFonts w:hint="eastAsia" w:ascii="宋体" w:hAnsi="宋体" w:eastAsia="宋体" w:cs="宋体"/>
          <w:color w:val="auto"/>
          <w:sz w:val="24"/>
          <w:szCs w:val="24"/>
          <w:highlight w:val="none"/>
          <w:u w:val="single"/>
        </w:rPr>
        <w:t xml:space="preserve"> 本工程项目对</w:t>
      </w:r>
      <w:r>
        <w:rPr>
          <w:rFonts w:hint="eastAsia" w:ascii="宋体" w:hAnsi="宋体" w:eastAsia="宋体" w:cs="宋体"/>
          <w:color w:val="auto"/>
          <w:sz w:val="24"/>
          <w:szCs w:val="24"/>
          <w:highlight w:val="none"/>
          <w:u w:val="single"/>
          <w:lang w:val="en-US" w:eastAsia="zh-CN"/>
        </w:rPr>
        <w:t>我公司位于白云区初雨泵站南侧地块采用隔离栅进行安全围蔽，隔离栅高度不少于1.8米，合计围蔽总长度约250米，包括但不限于：部分红线区域测量放线、场地内废弃建筑垃圾和生活垃圾清理、设置警示牌</w:t>
      </w:r>
      <w:r>
        <w:rPr>
          <w:rFonts w:hint="eastAsia" w:ascii="宋体" w:hAnsi="宋体" w:eastAsia="宋体" w:cs="宋体"/>
          <w:color w:val="auto"/>
          <w:sz w:val="24"/>
          <w:szCs w:val="24"/>
          <w:highlight w:val="none"/>
          <w:u w:val="single"/>
        </w:rPr>
        <w:t xml:space="preserve">等。 </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2.4承包方式：  </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□按施工图、施工方案内容，以综合单价包干形式，包人工、包材料、包安装、包质量、包工期、包安全、包文明施工，</w:t>
      </w:r>
      <w:r>
        <w:rPr>
          <w:rFonts w:hint="eastAsia" w:ascii="宋体" w:hAnsi="宋体" w:eastAsia="宋体" w:cs="宋体"/>
          <w:color w:val="auto"/>
          <w:sz w:val="24"/>
          <w:szCs w:val="24"/>
          <w:highlight w:val="none"/>
          <w:u w:val="single"/>
        </w:rPr>
        <w:t>项目措施费</w:t>
      </w:r>
      <w:r>
        <w:rPr>
          <w:rFonts w:hint="eastAsia" w:ascii="宋体" w:hAnsi="宋体" w:eastAsia="宋体" w:cs="宋体"/>
          <w:color w:val="auto"/>
          <w:sz w:val="24"/>
          <w:szCs w:val="24"/>
          <w:highlight w:val="none"/>
          <w:u w:val="single"/>
          <w:lang w:val="en-US" w:eastAsia="zh-CN"/>
        </w:rPr>
        <w:t>包干/</w:t>
      </w:r>
      <w:r>
        <w:rPr>
          <w:rFonts w:hint="eastAsia" w:ascii="宋体" w:hAnsi="宋体" w:eastAsia="宋体" w:cs="宋体"/>
          <w:color w:val="auto"/>
          <w:sz w:val="24"/>
          <w:szCs w:val="24"/>
          <w:highlight w:val="none"/>
          <w:u w:val="single"/>
        </w:rPr>
        <w:t>按实计量</w:t>
      </w:r>
      <w:r>
        <w:rPr>
          <w:rFonts w:hint="eastAsia" w:ascii="宋体" w:hAnsi="宋体" w:eastAsia="宋体" w:cs="宋体"/>
          <w:color w:val="auto"/>
          <w:sz w:val="24"/>
          <w:szCs w:val="24"/>
          <w:highlight w:val="none"/>
        </w:rPr>
        <w:t>。（单价包干要求附工程量报价/工程预算书）</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2" w:char="0052"/>
      </w:r>
      <w:r>
        <w:rPr>
          <w:rFonts w:hint="eastAsia" w:ascii="宋体" w:hAnsi="宋体" w:eastAsia="宋体" w:cs="宋体"/>
          <w:color w:val="auto"/>
          <w:sz w:val="24"/>
          <w:szCs w:val="24"/>
          <w:highlight w:val="none"/>
        </w:rPr>
        <w:t>按施工图、施工方案内容，以固定总价包干形式，包人工、包材料、包安装、包质量、包工期、包安全、包文明施工，</w:t>
      </w:r>
      <w:r>
        <w:rPr>
          <w:rFonts w:hint="eastAsia" w:ascii="宋体" w:hAnsi="宋体" w:eastAsia="宋体" w:cs="宋体"/>
          <w:color w:val="auto"/>
          <w:sz w:val="24"/>
          <w:szCs w:val="24"/>
          <w:highlight w:val="none"/>
          <w:u w:val="single"/>
        </w:rPr>
        <w:t>项目措施</w:t>
      </w:r>
      <w:r>
        <w:rPr>
          <w:rFonts w:hint="eastAsia" w:ascii="宋体" w:hAnsi="宋体" w:eastAsia="宋体" w:cs="宋体"/>
          <w:strike w:val="0"/>
          <w:dstrike w:val="0"/>
          <w:color w:val="auto"/>
          <w:sz w:val="24"/>
          <w:szCs w:val="24"/>
          <w:highlight w:val="none"/>
          <w:u w:val="single"/>
        </w:rPr>
        <w:t>费</w:t>
      </w:r>
      <w:r>
        <w:rPr>
          <w:rFonts w:hint="eastAsia" w:ascii="宋体" w:hAnsi="宋体" w:eastAsia="宋体" w:cs="宋体"/>
          <w:strike w:val="0"/>
          <w:dstrike w:val="0"/>
          <w:color w:val="auto"/>
          <w:sz w:val="24"/>
          <w:szCs w:val="24"/>
          <w:highlight w:val="none"/>
          <w:u w:val="single"/>
          <w:lang w:val="en-US" w:eastAsia="zh-CN"/>
        </w:rPr>
        <w:t>包干</w:t>
      </w:r>
      <w:r>
        <w:rPr>
          <w:rFonts w:hint="eastAsia" w:ascii="宋体" w:hAnsi="宋体" w:eastAsia="宋体" w:cs="宋体"/>
          <w:strike w:val="0"/>
          <w:dstrike w:val="0"/>
          <w:color w:val="auto"/>
          <w:sz w:val="24"/>
          <w:szCs w:val="24"/>
          <w:highlight w:val="none"/>
          <w:u w:val="single"/>
        </w:rPr>
        <w:t>计</w:t>
      </w:r>
      <w:r>
        <w:rPr>
          <w:rFonts w:hint="eastAsia" w:ascii="宋体" w:hAnsi="宋体" w:eastAsia="宋体" w:cs="宋体"/>
          <w:color w:val="auto"/>
          <w:sz w:val="24"/>
          <w:szCs w:val="24"/>
          <w:highlight w:val="none"/>
          <w:u w:val="single"/>
        </w:rPr>
        <w:t>量</w:t>
      </w:r>
      <w:r>
        <w:rPr>
          <w:rFonts w:hint="eastAsia" w:ascii="宋体" w:hAnsi="宋体" w:eastAsia="宋体" w:cs="宋体"/>
          <w:color w:val="auto"/>
          <w:sz w:val="24"/>
          <w:szCs w:val="24"/>
          <w:highlight w:val="none"/>
        </w:rPr>
        <w:t>。（附工程量清单）</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2.5质量标准：</w:t>
      </w:r>
      <w:r>
        <w:rPr>
          <w:rFonts w:hint="eastAsia" w:ascii="宋体" w:hAnsi="宋体" w:eastAsia="宋体" w:cs="宋体"/>
          <w:color w:val="auto"/>
          <w:sz w:val="24"/>
          <w:szCs w:val="24"/>
          <w:highlight w:val="none"/>
          <w:u w:val="single"/>
          <w:lang w:val="en-US" w:eastAsia="zh-CN"/>
        </w:rPr>
        <w:t>符合国家相关工程施工质量验收规范的合格标准</w:t>
      </w:r>
      <w:r>
        <w:rPr>
          <w:rFonts w:hint="eastAsia" w:ascii="宋体" w:hAnsi="宋体" w:eastAsia="宋体" w:cs="宋体"/>
          <w:color w:val="auto"/>
          <w:sz w:val="24"/>
          <w:szCs w:val="24"/>
          <w:highlight w:val="none"/>
          <w:u w:val="single"/>
        </w:rPr>
        <w:t>。</w:t>
      </w:r>
    </w:p>
    <w:p>
      <w:pPr>
        <w:keepNext w:val="0"/>
        <w:keepLines w:val="0"/>
        <w:pageBreakBefore w:val="0"/>
        <w:widowControl w:val="0"/>
        <w:tabs>
          <w:tab w:val="left" w:pos="851"/>
        </w:tabs>
        <w:kinsoku/>
        <w:wordWrap/>
        <w:overflowPunct/>
        <w:bidi w:val="0"/>
        <w:adjustRightInd w:val="0"/>
        <w:snapToGrid w:val="0"/>
        <w:spacing w:line="500" w:lineRule="exact"/>
        <w:ind w:firstLine="472" w:firstLineChars="196"/>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第三条  工期</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计划开工日期：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2022</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11</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21</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日（具体以甲方开工报告中载明的开工日期为准）。</w:t>
      </w:r>
    </w:p>
    <w:p>
      <w:pPr>
        <w:keepNext w:val="0"/>
        <w:keepLines w:val="0"/>
        <w:pageBreakBefore w:val="0"/>
        <w:widowControl w:val="0"/>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合同工期日历天数为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40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天。</w:t>
      </w:r>
    </w:p>
    <w:p>
      <w:pPr>
        <w:keepNext w:val="0"/>
        <w:keepLines w:val="0"/>
        <w:pageBreakBefore w:val="0"/>
        <w:widowControl w:val="0"/>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（工期以总日历天数为准）</w:t>
      </w:r>
    </w:p>
    <w:p>
      <w:pPr>
        <w:keepNext w:val="0"/>
        <w:keepLines w:val="0"/>
        <w:pageBreakBefore w:val="0"/>
        <w:widowControl w:val="0"/>
        <w:tabs>
          <w:tab w:val="left" w:pos="851"/>
        </w:tabs>
        <w:kinsoku/>
        <w:wordWrap/>
        <w:overflowPunct/>
        <w:bidi w:val="0"/>
        <w:adjustRightInd w:val="0"/>
        <w:snapToGrid w:val="0"/>
        <w:spacing w:line="500" w:lineRule="exact"/>
        <w:ind w:firstLine="472" w:firstLineChars="196"/>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第四条  工期延误与工期奖罚</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4.1延期开工</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乙方不能按时开工，应在约定的开工日期提前</w:t>
      </w:r>
      <w:r>
        <w:rPr>
          <w:rFonts w:hint="eastAsia" w:ascii="宋体" w:hAnsi="宋体" w:eastAsia="宋体" w:cs="宋体"/>
          <w:color w:val="auto"/>
          <w:sz w:val="24"/>
          <w:szCs w:val="24"/>
          <w:highlight w:val="none"/>
          <w:u w:val="single"/>
        </w:rPr>
        <w:t xml:space="preserve"> 5</w:t>
      </w:r>
      <w:r>
        <w:rPr>
          <w:rFonts w:hint="eastAsia" w:ascii="宋体" w:hAnsi="宋体" w:eastAsia="宋体" w:cs="宋体"/>
          <w:color w:val="auto"/>
          <w:sz w:val="24"/>
          <w:szCs w:val="24"/>
          <w:highlight w:val="none"/>
        </w:rPr>
        <w:t>日，向甲方书面申请延期开工并说明延期理由。甲方代表应在收到后</w:t>
      </w:r>
      <w:r>
        <w:rPr>
          <w:rFonts w:hint="eastAsia" w:ascii="宋体" w:hAnsi="宋体" w:eastAsia="宋体" w:cs="宋体"/>
          <w:color w:val="auto"/>
          <w:sz w:val="24"/>
          <w:szCs w:val="24"/>
          <w:highlight w:val="none"/>
          <w:u w:val="single"/>
        </w:rPr>
        <w:t xml:space="preserve"> 3</w:t>
      </w:r>
      <w:r>
        <w:rPr>
          <w:rFonts w:hint="eastAsia" w:ascii="宋体" w:hAnsi="宋体" w:eastAsia="宋体" w:cs="宋体"/>
          <w:color w:val="auto"/>
          <w:sz w:val="24"/>
          <w:szCs w:val="24"/>
          <w:highlight w:val="none"/>
        </w:rPr>
        <w:t>日内书面答复乙方。甲方同意延期要求或</w:t>
      </w:r>
      <w:r>
        <w:rPr>
          <w:rFonts w:hint="eastAsia" w:ascii="宋体" w:hAnsi="宋体" w:eastAsia="宋体" w:cs="宋体"/>
          <w:color w:val="auto"/>
          <w:sz w:val="24"/>
          <w:szCs w:val="24"/>
          <w:highlight w:val="none"/>
          <w:u w:val="single"/>
        </w:rPr>
        <w:t xml:space="preserve"> 3</w:t>
      </w:r>
      <w:r>
        <w:rPr>
          <w:rFonts w:hint="eastAsia" w:ascii="宋体" w:hAnsi="宋体" w:eastAsia="宋体" w:cs="宋体"/>
          <w:color w:val="auto"/>
          <w:sz w:val="24"/>
          <w:szCs w:val="24"/>
          <w:highlight w:val="none"/>
        </w:rPr>
        <w:t>日内不予答复，工期相应顺延。甲方不同意延期或乙方未在规定时间内提出延期开工要求，工期不予顺延。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4.2工期顺延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下列情况造成竣工日期推迟的，经甲方代表书面确认，工期相应顺延。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4.2.1 工程量变化和设计变更增加超过原工程量的</w:t>
      </w:r>
      <w:r>
        <w:rPr>
          <w:rFonts w:hint="eastAsia" w:ascii="宋体" w:hAnsi="宋体" w:eastAsia="宋体" w:cs="宋体"/>
          <w:color w:val="auto"/>
          <w:sz w:val="24"/>
          <w:szCs w:val="24"/>
          <w:highlight w:val="none"/>
          <w:u w:val="single"/>
        </w:rPr>
        <w:t>10％</w:t>
      </w:r>
      <w:r>
        <w:rPr>
          <w:rFonts w:hint="eastAsia" w:ascii="宋体" w:hAnsi="宋体" w:eastAsia="宋体" w:cs="宋体"/>
          <w:color w:val="auto"/>
          <w:sz w:val="24"/>
          <w:szCs w:val="24"/>
          <w:highlight w:val="none"/>
        </w:rPr>
        <w:t>以上。</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4.2.2 甲方未能按第七条的约定提供图纸。</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4.2.3 甲方未能按约定日期支付工程预付款、进度款，致使施工不能正常进行。</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4.2.4 施工中遇到不可预见障碍物或古墓、文物、流沙等需处理时。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4.2.5 乙方应在不可抗力发生后</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日内向甲方申请顺延工期并提交有关证明，逾期未申请，视为不影响工期；甲方在收到申请后</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日内予以书面回复，逾期不回复，视为同意延期要求。</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 暂停施工</w:t>
      </w:r>
    </w:p>
    <w:p>
      <w:pPr>
        <w:keepNext w:val="0"/>
        <w:keepLines w:val="0"/>
        <w:pageBreakBefore w:val="0"/>
        <w:widowControl w:val="0"/>
        <w:tabs>
          <w:tab w:val="left" w:pos="851"/>
        </w:tabs>
        <w:kinsoku/>
        <w:wordWrap/>
        <w:overflowPunct/>
        <w:bidi w:val="0"/>
        <w:adjustRightInd w:val="0"/>
        <w:snapToGrid w:val="0"/>
        <w:spacing w:line="500" w:lineRule="exact"/>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甲方代表认为必要时，有权要求暂停施工并在停工后</w:t>
      </w:r>
      <w:r>
        <w:rPr>
          <w:rFonts w:hint="eastAsia" w:ascii="宋体" w:hAnsi="宋体" w:eastAsia="宋体" w:cs="宋体"/>
          <w:color w:val="auto"/>
          <w:sz w:val="24"/>
          <w:szCs w:val="24"/>
          <w:highlight w:val="none"/>
          <w:u w:val="single"/>
        </w:rPr>
        <w:t xml:space="preserve"> 48</w:t>
      </w:r>
      <w:r>
        <w:rPr>
          <w:rFonts w:hint="eastAsia" w:ascii="宋体" w:hAnsi="宋体" w:eastAsia="宋体" w:cs="宋体"/>
          <w:color w:val="auto"/>
          <w:sz w:val="24"/>
          <w:szCs w:val="24"/>
          <w:highlight w:val="none"/>
        </w:rPr>
        <w:t>小时内提出处理意见。乙方在实施甲方代表处理意见后，应在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24</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小时内提出复工要求，甲方代表在 </w:t>
      </w:r>
      <w:r>
        <w:rPr>
          <w:rFonts w:hint="eastAsia" w:ascii="宋体" w:hAnsi="宋体" w:eastAsia="宋体" w:cs="宋体"/>
          <w:color w:val="auto"/>
          <w:sz w:val="24"/>
          <w:szCs w:val="24"/>
          <w:highlight w:val="none"/>
          <w:u w:val="single"/>
        </w:rPr>
        <w:t>24</w:t>
      </w:r>
      <w:r>
        <w:rPr>
          <w:rFonts w:hint="eastAsia" w:ascii="宋体" w:hAnsi="宋体" w:eastAsia="宋体" w:cs="宋体"/>
          <w:color w:val="auto"/>
          <w:sz w:val="24"/>
          <w:szCs w:val="24"/>
          <w:highlight w:val="none"/>
        </w:rPr>
        <w:t>小时内予以答复。甲方未能在规定时间提出处理意见，或收到乙方复工要求未在规定时限内予答复，乙方可自行复工。</w:t>
      </w:r>
    </w:p>
    <w:p>
      <w:pPr>
        <w:keepNext w:val="0"/>
        <w:keepLines w:val="0"/>
        <w:pageBreakBefore w:val="0"/>
        <w:widowControl w:val="0"/>
        <w:tabs>
          <w:tab w:val="left" w:pos="851"/>
        </w:tabs>
        <w:kinsoku/>
        <w:wordWrap/>
        <w:overflowPunct/>
        <w:bidi w:val="0"/>
        <w:adjustRightInd w:val="0"/>
        <w:snapToGrid w:val="0"/>
        <w:spacing w:line="500" w:lineRule="exact"/>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 工期奖罚</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4.4.1 因甲方原因延误工期，造成经济损失，由甲方承担，工期相应顺延。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4.4.2 因乙方原因延误工期，造成经济损失，由乙方承担，工期不予顺延。      </w:t>
      </w:r>
    </w:p>
    <w:p>
      <w:pPr>
        <w:keepNext w:val="0"/>
        <w:keepLines w:val="0"/>
        <w:pageBreakBefore w:val="0"/>
        <w:widowControl w:val="0"/>
        <w:tabs>
          <w:tab w:val="left" w:pos="851"/>
        </w:tabs>
        <w:kinsoku/>
        <w:wordWrap/>
        <w:overflowPunct/>
        <w:bidi w:val="0"/>
        <w:adjustRightInd w:val="0"/>
        <w:snapToGrid w:val="0"/>
        <w:spacing w:line="500" w:lineRule="exact"/>
        <w:ind w:firstLine="472" w:firstLineChars="196"/>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第五条  合同价款及支付</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bCs/>
          <w:color w:val="auto"/>
          <w:sz w:val="24"/>
          <w:szCs w:val="24"/>
          <w:highlight w:val="none"/>
          <w:bdr w:val="single" w:color="auto" w:sz="4" w:space="0"/>
        </w:rPr>
      </w:pPr>
      <w:r>
        <w:rPr>
          <w:rFonts w:hint="eastAsia" w:ascii="宋体" w:hAnsi="宋体" w:eastAsia="宋体" w:cs="宋体"/>
          <w:color w:val="auto"/>
          <w:sz w:val="24"/>
          <w:szCs w:val="24"/>
          <w:highlight w:val="none"/>
        </w:rPr>
        <w:t>5.1合同价款按以下</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2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执行。</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color w:val="auto"/>
          <w:sz w:val="24"/>
          <w:szCs w:val="24"/>
          <w:highlight w:val="none"/>
        </w:rPr>
        <w:t>合同暂定总价为：</w:t>
      </w:r>
      <w:r>
        <w:rPr>
          <w:rFonts w:hint="eastAsia" w:ascii="宋体" w:hAnsi="宋体" w:eastAsia="宋体" w:cs="宋体"/>
          <w:b/>
          <w:color w:val="auto"/>
          <w:sz w:val="24"/>
          <w:szCs w:val="24"/>
          <w:highlight w:val="none"/>
          <w:u w:val="single"/>
        </w:rPr>
        <w:t xml:space="preserve">人民币 </w:t>
      </w:r>
      <w:r>
        <w:rPr>
          <w:rFonts w:hint="eastAsia" w:ascii="宋体" w:hAnsi="宋体" w:eastAsia="宋体" w:cs="宋体"/>
          <w:color w:val="auto"/>
          <w:sz w:val="24"/>
          <w:szCs w:val="24"/>
          <w:highlight w:val="none"/>
          <w:u w:val="single"/>
        </w:rPr>
        <w:t>…</w:t>
      </w:r>
      <w:r>
        <w:rPr>
          <w:rFonts w:hint="eastAsia" w:ascii="宋体" w:hAnsi="宋体" w:eastAsia="宋体" w:cs="宋体"/>
          <w:b/>
          <w:color w:val="auto"/>
          <w:sz w:val="24"/>
          <w:szCs w:val="24"/>
          <w:highlight w:val="none"/>
          <w:u w:val="single"/>
        </w:rPr>
        <w:t xml:space="preserve">  元</w:t>
      </w: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），其中：项目措施费暂定为￥</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元（大写：人民币</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）。经甲方或甲方委托有资质第三方机构审核后，结算审核价作为合同结算价。若结算审核价超合同暂定总价，双方另行签订补充协议。</w:t>
      </w:r>
    </w:p>
    <w:p>
      <w:pPr>
        <w:keepNext w:val="0"/>
        <w:keepLines w:val="0"/>
        <w:pageBreakBefore w:val="0"/>
        <w:widowControl w:val="0"/>
        <w:kinsoku/>
        <w:wordWrap/>
        <w:overflowPunct/>
        <w:autoSpaceDE w:val="0"/>
        <w:autoSpaceDN w:val="0"/>
        <w:bidi w:val="0"/>
        <w:adjustRightIn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综合单价：详见经甲方确认的工程量报价单或施工图预算书。</w:t>
      </w:r>
    </w:p>
    <w:p>
      <w:pPr>
        <w:keepNext w:val="0"/>
        <w:keepLines w:val="0"/>
        <w:pageBreakBefore w:val="0"/>
        <w:widowControl w:val="0"/>
        <w:kinsoku/>
        <w:wordWrap/>
        <w:overflowPunct/>
        <w:autoSpaceDE w:val="0"/>
        <w:autoSpaceDN w:val="0"/>
        <w:bidi w:val="0"/>
        <w:adjustRightIn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keepNext w:val="0"/>
        <w:keepLines w:val="0"/>
        <w:pageBreakBefore w:val="0"/>
        <w:widowControl w:val="0"/>
        <w:numPr>
          <w:ilvl w:val="0"/>
          <w:numId w:val="5"/>
        </w:numPr>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合同以固定总价包干形式，合同暂定总价为：</w:t>
      </w:r>
      <w:r>
        <w:rPr>
          <w:rFonts w:hint="eastAsia" w:ascii="宋体" w:hAnsi="宋体" w:eastAsia="宋体" w:cs="宋体"/>
          <w:b/>
          <w:color w:val="auto"/>
          <w:sz w:val="24"/>
          <w:szCs w:val="24"/>
          <w:highlight w:val="none"/>
          <w:u w:val="single"/>
        </w:rPr>
        <w:t xml:space="preserve">人民币 </w:t>
      </w:r>
      <w:r>
        <w:rPr>
          <w:rFonts w:hint="eastAsia" w:ascii="宋体" w:hAnsi="宋体" w:eastAsia="宋体" w:cs="宋体"/>
          <w:color w:val="auto"/>
          <w:sz w:val="24"/>
          <w:szCs w:val="24"/>
          <w:highlight w:val="none"/>
          <w:u w:val="single"/>
        </w:rPr>
        <w:t>…</w:t>
      </w:r>
      <w:r>
        <w:rPr>
          <w:rFonts w:hint="eastAsia" w:ascii="宋体" w:hAnsi="宋体" w:eastAsia="宋体" w:cs="宋体"/>
          <w:b/>
          <w:color w:val="auto"/>
          <w:sz w:val="24"/>
          <w:szCs w:val="24"/>
          <w:highlight w:val="none"/>
          <w:u w:val="single"/>
        </w:rPr>
        <w:t xml:space="preserve">   元</w:t>
      </w: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），其中：项目措施费暂定为￥</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元（大写：人民币</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）。经甲方或甲方委托有资质第三方机构审核后，若结算审核价比合同暂定总价低，则以结算审核价作为合同结算价，否则以合同暂定总价为合同结算价。</w:t>
      </w:r>
    </w:p>
    <w:p>
      <w:pPr>
        <w:keepNext w:val="0"/>
        <w:keepLines w:val="0"/>
        <w:pageBreakBefore w:val="0"/>
        <w:widowControl w:val="0"/>
        <w:kinsoku/>
        <w:wordWrap/>
        <w:overflowPunct/>
        <w:bidi w:val="0"/>
        <w:spacing w:line="500" w:lineRule="exact"/>
        <w:ind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此费用在项目实施期间费用均不得调整（如项目实施内容变更，需调整合同暂定价，双方另行协商签订补充协议）。</w:t>
      </w:r>
    </w:p>
    <w:p>
      <w:pPr>
        <w:keepNext w:val="0"/>
        <w:keepLines w:val="0"/>
        <w:pageBreakBefore w:val="0"/>
        <w:tabs>
          <w:tab w:val="left" w:pos="851"/>
        </w:tabs>
        <w:kinsoku/>
        <w:wordWrap/>
        <w:overflowPunct/>
        <w:autoSpaceDE/>
        <w:autoSpaceDN/>
        <w:bidi w:val="0"/>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5.2</w:t>
      </w:r>
      <w:r>
        <w:rPr>
          <w:rFonts w:hint="eastAsia" w:ascii="宋体" w:hAnsi="宋体" w:eastAsia="宋体" w:cs="宋体"/>
          <w:color w:val="auto"/>
          <w:kern w:val="0"/>
          <w:sz w:val="24"/>
          <w:szCs w:val="24"/>
          <w:highlight w:val="none"/>
        </w:rPr>
        <w:t>本合同约定的价格为含税价价格</w:t>
      </w:r>
      <w:r>
        <w:rPr>
          <w:rFonts w:hint="eastAsia" w:ascii="宋体" w:hAnsi="宋体" w:eastAsia="宋体" w:cs="宋体"/>
          <w:color w:val="auto"/>
          <w:sz w:val="24"/>
          <w:szCs w:val="24"/>
          <w:highlight w:val="none"/>
        </w:rPr>
        <w:t>（税率</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9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），合同履行期间国家税率调整或乙方开票的实际税率与前述税率不一致的，不含税价不变，价税合计按实际税率相应调整，以开具发票时间为准。</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rPr>
        <w:t>5.3 预付款：</w:t>
      </w:r>
      <w:r>
        <w:rPr>
          <w:rFonts w:hint="eastAsia" w:ascii="宋体" w:hAnsi="宋体" w:eastAsia="宋体" w:cs="宋体"/>
          <w:bCs/>
          <w:color w:val="auto"/>
          <w:sz w:val="24"/>
          <w:szCs w:val="24"/>
          <w:highlight w:val="none"/>
        </w:rPr>
        <w:sym w:font="Wingdings" w:char="00FE"/>
      </w:r>
      <w:r>
        <w:rPr>
          <w:rFonts w:hint="eastAsia" w:ascii="宋体" w:hAnsi="宋体" w:eastAsia="宋体" w:cs="宋体"/>
          <w:bCs/>
          <w:color w:val="auto"/>
          <w:sz w:val="24"/>
          <w:szCs w:val="24"/>
          <w:highlight w:val="none"/>
        </w:rPr>
        <w:t xml:space="preserve">无     </w:t>
      </w:r>
      <w:r>
        <w:rPr>
          <w:rFonts w:hint="eastAsia" w:ascii="宋体" w:hAnsi="宋体" w:eastAsia="宋体" w:cs="宋体"/>
          <w:bCs/>
          <w:color w:val="auto"/>
          <w:sz w:val="24"/>
          <w:szCs w:val="24"/>
          <w:highlight w:val="none"/>
        </w:rPr>
        <w:sym w:font="Wingdings" w:char="F0A8"/>
      </w:r>
      <w:r>
        <w:rPr>
          <w:rFonts w:hint="eastAsia" w:ascii="宋体" w:hAnsi="宋体" w:eastAsia="宋体" w:cs="宋体"/>
          <w:bCs/>
          <w:color w:val="auto"/>
          <w:sz w:val="24"/>
          <w:szCs w:val="24"/>
          <w:highlight w:val="none"/>
        </w:rPr>
        <w:t>有，合同签订后，乙方开具等额的</w:t>
      </w:r>
      <w:r>
        <w:rPr>
          <w:rFonts w:hint="eastAsia" w:ascii="宋体" w:hAnsi="宋体" w:eastAsia="宋体" w:cs="宋体"/>
          <w:bCs/>
          <w:color w:val="auto"/>
          <w:sz w:val="24"/>
          <w:szCs w:val="24"/>
          <w:highlight w:val="none"/>
          <w:u w:val="single"/>
        </w:rPr>
        <w:t>增值税专用发票</w:t>
      </w:r>
      <w:r>
        <w:rPr>
          <w:rFonts w:hint="eastAsia" w:ascii="宋体" w:hAnsi="宋体" w:eastAsia="宋体" w:cs="宋体"/>
          <w:bCs/>
          <w:color w:val="auto"/>
          <w:sz w:val="24"/>
          <w:szCs w:val="24"/>
          <w:highlight w:val="none"/>
          <w:u w:val="single"/>
          <w:lang w:val="en-US" w:eastAsia="zh-CN"/>
        </w:rPr>
        <w:t>/普通发票</w:t>
      </w:r>
      <w:r>
        <w:rPr>
          <w:rFonts w:hint="eastAsia" w:ascii="宋体" w:hAnsi="宋体" w:eastAsia="宋体" w:cs="宋体"/>
          <w:bCs/>
          <w:color w:val="auto"/>
          <w:sz w:val="24"/>
          <w:szCs w:val="24"/>
          <w:highlight w:val="none"/>
        </w:rPr>
        <w:t>及提交履约担保（如有）后10个工作日内，甲方支付合同暂定总价的</w:t>
      </w:r>
      <w:r>
        <w:rPr>
          <w:rFonts w:hint="eastAsia" w:ascii="宋体" w:hAnsi="宋体" w:eastAsia="宋体" w:cs="宋体"/>
          <w:bCs/>
          <w:color w:val="auto"/>
          <w:sz w:val="24"/>
          <w:szCs w:val="24"/>
          <w:highlight w:val="none"/>
          <w:u w:val="single"/>
        </w:rPr>
        <w:t>（不得超过</w:t>
      </w:r>
      <w:r>
        <w:rPr>
          <w:rFonts w:hint="eastAsia" w:ascii="宋体" w:hAnsi="宋体" w:eastAsia="宋体" w:cs="宋体"/>
          <w:color w:val="auto"/>
          <w:sz w:val="24"/>
          <w:szCs w:val="24"/>
          <w:highlight w:val="none"/>
          <w:u w:val="single"/>
        </w:rPr>
        <w:t>30%）</w:t>
      </w:r>
      <w:r>
        <w:rPr>
          <w:rFonts w:hint="eastAsia" w:ascii="宋体" w:hAnsi="宋体" w:eastAsia="宋体" w:cs="宋体"/>
          <w:color w:val="auto"/>
          <w:sz w:val="24"/>
          <w:szCs w:val="24"/>
          <w:highlight w:val="none"/>
        </w:rPr>
        <w:t>作为预付款。若合同解除或终止，乙方在</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个工作日内返还预付款（无息）。</w:t>
      </w:r>
      <w:r>
        <w:rPr>
          <w:rFonts w:hint="eastAsia" w:ascii="宋体" w:hAnsi="宋体" w:eastAsia="宋体" w:cs="宋体"/>
          <w:bCs/>
          <w:color w:val="auto"/>
          <w:kern w:val="0"/>
          <w:sz w:val="24"/>
          <w:szCs w:val="24"/>
          <w:highlight w:val="none"/>
        </w:rPr>
        <w:t>逾期未返还，每逾期一日，乙方应按合同暂定总价的</w:t>
      </w:r>
      <w:r>
        <w:rPr>
          <w:rFonts w:hint="eastAsia" w:ascii="宋体" w:hAnsi="宋体" w:eastAsia="宋体" w:cs="宋体"/>
          <w:bCs/>
          <w:color w:val="auto"/>
          <w:kern w:val="0"/>
          <w:sz w:val="24"/>
          <w:szCs w:val="24"/>
          <w:highlight w:val="none"/>
          <w:u w:val="single"/>
        </w:rPr>
        <w:t>万分之五/日</w:t>
      </w:r>
      <w:r>
        <w:rPr>
          <w:rFonts w:hint="eastAsia" w:ascii="宋体" w:hAnsi="宋体" w:eastAsia="宋体" w:cs="宋体"/>
          <w:bCs/>
          <w:color w:val="auto"/>
          <w:kern w:val="0"/>
          <w:sz w:val="24"/>
          <w:szCs w:val="24"/>
          <w:highlight w:val="none"/>
        </w:rPr>
        <w:t>支付违约金</w:t>
      </w:r>
      <w:r>
        <w:rPr>
          <w:rFonts w:hint="eastAsia" w:ascii="宋体" w:hAnsi="宋体" w:eastAsia="宋体" w:cs="宋体"/>
          <w:color w:val="auto"/>
          <w:sz w:val="24"/>
          <w:szCs w:val="24"/>
          <w:highlight w:val="none"/>
        </w:rPr>
        <w:t>。</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5.4工程完工前，乙方在每月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15</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日前提交请款资料及等额</w:t>
      </w:r>
      <w:r>
        <w:rPr>
          <w:rFonts w:hint="eastAsia" w:ascii="宋体" w:hAnsi="宋体" w:eastAsia="宋体" w:cs="宋体"/>
          <w:bCs/>
          <w:color w:val="auto"/>
          <w:sz w:val="24"/>
          <w:szCs w:val="24"/>
          <w:highlight w:val="none"/>
          <w:u w:val="single"/>
        </w:rPr>
        <w:t>增值税专用发票</w:t>
      </w:r>
      <w:r>
        <w:rPr>
          <w:rFonts w:hint="eastAsia" w:ascii="宋体" w:hAnsi="宋体" w:eastAsia="宋体" w:cs="宋体"/>
          <w:bCs/>
          <w:color w:val="auto"/>
          <w:sz w:val="24"/>
          <w:szCs w:val="24"/>
          <w:highlight w:val="none"/>
        </w:rPr>
        <w:t>后，甲方支付至实际完成工作量的</w:t>
      </w:r>
      <w:r>
        <w:rPr>
          <w:rFonts w:hint="eastAsia" w:ascii="宋体" w:hAnsi="宋体" w:eastAsia="宋体" w:cs="宋体"/>
          <w:bCs/>
          <w:color w:val="auto"/>
          <w:sz w:val="24"/>
          <w:szCs w:val="24"/>
          <w:highlight w:val="none"/>
          <w:u w:val="single"/>
        </w:rPr>
        <w:t>60%</w:t>
      </w:r>
      <w:r>
        <w:rPr>
          <w:rFonts w:hint="eastAsia" w:ascii="宋体" w:hAnsi="宋体" w:eastAsia="宋体" w:cs="宋体"/>
          <w:bCs/>
          <w:color w:val="auto"/>
          <w:sz w:val="24"/>
          <w:szCs w:val="24"/>
          <w:highlight w:val="none"/>
        </w:rPr>
        <w:t>；</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5.5工程完工验收合格后，经甲方或甲方委托的第三方造价咨询单位结算审核且乙方提交请款资料及等额</w:t>
      </w:r>
      <w:r>
        <w:rPr>
          <w:rFonts w:hint="eastAsia" w:ascii="宋体" w:hAnsi="宋体" w:eastAsia="宋体" w:cs="宋体"/>
          <w:bCs/>
          <w:color w:val="auto"/>
          <w:sz w:val="24"/>
          <w:szCs w:val="24"/>
          <w:highlight w:val="none"/>
          <w:u w:val="single"/>
        </w:rPr>
        <w:t>增值税专用发票</w:t>
      </w:r>
      <w:r>
        <w:rPr>
          <w:rFonts w:hint="eastAsia" w:ascii="宋体" w:hAnsi="宋体" w:eastAsia="宋体" w:cs="宋体"/>
          <w:bCs/>
          <w:color w:val="auto"/>
          <w:sz w:val="24"/>
          <w:szCs w:val="24"/>
          <w:highlight w:val="none"/>
        </w:rPr>
        <w:t>后，甲方支付至合同结算价的97</w:t>
      </w:r>
      <w:r>
        <w:rPr>
          <w:rFonts w:hint="eastAsia" w:ascii="宋体" w:hAnsi="宋体" w:eastAsia="宋体" w:cs="宋体"/>
          <w:b/>
          <w:color w:val="auto"/>
          <w:sz w:val="24"/>
          <w:szCs w:val="24"/>
          <w:highlight w:val="none"/>
        </w:rPr>
        <w:t>%</w:t>
      </w:r>
      <w:r>
        <w:rPr>
          <w:rFonts w:hint="eastAsia" w:ascii="宋体" w:hAnsi="宋体" w:eastAsia="宋体" w:cs="宋体"/>
          <w:color w:val="auto"/>
          <w:sz w:val="24"/>
          <w:szCs w:val="24"/>
          <w:highlight w:val="none"/>
        </w:rPr>
        <w:t>(含因乙方未按规定履行合同约定而产生的各种违约金、扣罚金、赔偿金以及应由乙方交纳的各种费用等)。</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5.6质保期按合同第十四条约定执行，质保期满后且乙方不存在违约情形，由乙方提交申请质保金退还资料</w:t>
      </w:r>
      <w:r>
        <w:rPr>
          <w:rFonts w:hint="eastAsia" w:ascii="宋体" w:hAnsi="宋体" w:eastAsia="宋体" w:cs="宋体"/>
          <w:color w:val="auto"/>
          <w:sz w:val="24"/>
          <w:szCs w:val="24"/>
          <w:highlight w:val="none"/>
          <w:u w:val="single"/>
        </w:rPr>
        <w:t>15</w:t>
      </w:r>
      <w:r>
        <w:rPr>
          <w:rFonts w:hint="eastAsia" w:ascii="宋体" w:hAnsi="宋体" w:eastAsia="宋体" w:cs="宋体"/>
          <w:color w:val="auto"/>
          <w:sz w:val="24"/>
          <w:szCs w:val="24"/>
          <w:highlight w:val="none"/>
        </w:rPr>
        <w:t>个工作日内，甲方支付合同结算价的3%（质保金）给乙方（无息）。</w:t>
      </w:r>
    </w:p>
    <w:p>
      <w:pPr>
        <w:pStyle w:val="13"/>
        <w:keepNext w:val="0"/>
        <w:keepLines w:val="0"/>
        <w:pageBreakBefore w:val="0"/>
        <w:widowControl w:val="0"/>
        <w:kinsoku/>
        <w:wordWrap/>
        <w:overflowPunct/>
        <w:bidi w:val="0"/>
        <w:spacing w:line="500" w:lineRule="exact"/>
        <w:ind w:firstLine="480" w:firstLineChars="200"/>
        <w:outlineLvl w:val="1"/>
        <w:rPr>
          <w:rFonts w:hint="eastAsia" w:ascii="宋体" w:hAnsi="宋体" w:eastAsia="宋体" w:cs="宋体"/>
          <w:color w:val="auto"/>
          <w:sz w:val="24"/>
          <w:highlight w:val="none"/>
        </w:rPr>
      </w:pPr>
      <w:r>
        <w:rPr>
          <w:rFonts w:hint="eastAsia" w:ascii="宋体" w:hAnsi="宋体" w:eastAsia="宋体" w:cs="宋体"/>
          <w:color w:val="auto"/>
          <w:sz w:val="24"/>
          <w:highlight w:val="none"/>
        </w:rPr>
        <w:t>5.7 乙方收款账户：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keepNext w:val="0"/>
        <w:keepLines w:val="0"/>
        <w:pageBreakBefore w:val="0"/>
        <w:widowControl w:val="0"/>
        <w:kinsoku/>
        <w:wordWrap/>
        <w:overflowPunct/>
        <w:bidi w:val="0"/>
        <w:spacing w:line="500" w:lineRule="exact"/>
        <w:ind w:firstLine="1080" w:firstLineChars="4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收款账号：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bidi w:val="0"/>
        <w:spacing w:line="500" w:lineRule="exact"/>
        <w:ind w:firstLine="1080" w:firstLineChars="4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开户行：</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乙方在收款前需提交相应金额</w:t>
      </w:r>
      <w:r>
        <w:rPr>
          <w:rFonts w:hint="eastAsia" w:ascii="宋体" w:hAnsi="宋体" w:eastAsia="宋体" w:cs="宋体"/>
          <w:color w:val="auto"/>
          <w:sz w:val="24"/>
          <w:szCs w:val="24"/>
          <w:highlight w:val="none"/>
          <w:u w:val="single"/>
        </w:rPr>
        <w:t>增值税专用发票</w:t>
      </w:r>
      <w:r>
        <w:rPr>
          <w:rFonts w:hint="eastAsia" w:ascii="宋体" w:hAnsi="宋体" w:eastAsia="宋体" w:cs="宋体"/>
          <w:color w:val="auto"/>
          <w:sz w:val="24"/>
          <w:szCs w:val="24"/>
          <w:highlight w:val="none"/>
        </w:rPr>
        <w:t>给甲方。（具体按甲方财务要求提供）</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发票信息：</w:t>
      </w:r>
      <w:r>
        <w:rPr>
          <w:rFonts w:hint="eastAsia" w:ascii="宋体" w:hAnsi="宋体" w:eastAsia="宋体" w:cs="宋体"/>
          <w:color w:val="auto"/>
          <w:sz w:val="24"/>
          <w:szCs w:val="24"/>
          <w:highlight w:val="none"/>
          <w:u w:val="single"/>
          <w:lang w:val="en-US" w:eastAsia="zh-CN"/>
        </w:rPr>
        <w:t xml:space="preserve">         </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outlineLvl w:val="1"/>
        <w:rPr>
          <w:rFonts w:hint="eastAsia" w:ascii="宋体" w:hAnsi="宋体" w:eastAsia="宋体" w:cs="宋体"/>
          <w:bCs/>
          <w:color w:val="auto"/>
          <w:sz w:val="24"/>
          <w:szCs w:val="24"/>
          <w:highlight w:val="none"/>
          <w:bdr w:val="single" w:color="auto" w:sz="4" w:space="0"/>
        </w:rPr>
      </w:pPr>
      <w:r>
        <w:rPr>
          <w:rFonts w:hint="eastAsia" w:ascii="宋体" w:hAnsi="宋体" w:eastAsia="宋体" w:cs="宋体"/>
          <w:color w:val="auto"/>
          <w:sz w:val="24"/>
          <w:szCs w:val="24"/>
          <w:highlight w:val="none"/>
        </w:rPr>
        <w:t xml:space="preserve">5.8付款方式： </w:t>
      </w:r>
      <w:r>
        <w:rPr>
          <w:rFonts w:hint="eastAsia" w:ascii="宋体" w:hAnsi="宋体" w:eastAsia="宋体" w:cs="宋体"/>
          <w:color w:val="auto"/>
          <w:sz w:val="24"/>
          <w:szCs w:val="24"/>
          <w:highlight w:val="none"/>
        </w:rPr>
        <w:sym w:font="Wingdings" w:char="F0A8"/>
      </w:r>
      <w:r>
        <w:rPr>
          <w:rFonts w:hint="eastAsia" w:ascii="宋体" w:hAnsi="宋体" w:eastAsia="宋体" w:cs="宋体"/>
          <w:color w:val="auto"/>
          <w:sz w:val="24"/>
          <w:szCs w:val="24"/>
          <w:highlight w:val="none"/>
        </w:rPr>
        <w:t xml:space="preserve">网银支付；  </w:t>
      </w:r>
      <w:r>
        <w:rPr>
          <w:rFonts w:hint="eastAsia" w:ascii="宋体" w:hAnsi="宋体" w:eastAsia="宋体" w:cs="宋体"/>
          <w:color w:val="auto"/>
          <w:sz w:val="24"/>
          <w:szCs w:val="24"/>
          <w:highlight w:val="none"/>
        </w:rPr>
        <w:sym w:font="Wingdings" w:char="F0A8"/>
      </w:r>
      <w:r>
        <w:rPr>
          <w:rFonts w:hint="eastAsia" w:ascii="宋体" w:hAnsi="宋体" w:eastAsia="宋体" w:cs="宋体"/>
          <w:color w:val="auto"/>
          <w:sz w:val="24"/>
          <w:szCs w:val="24"/>
          <w:highlight w:val="none"/>
        </w:rPr>
        <w:t xml:space="preserve">支票；   </w:t>
      </w:r>
      <w:r>
        <w:rPr>
          <w:rFonts w:hint="eastAsia" w:ascii="宋体" w:hAnsi="宋体" w:eastAsia="宋体" w:cs="宋体"/>
          <w:color w:val="auto"/>
          <w:sz w:val="24"/>
          <w:szCs w:val="24"/>
          <w:highlight w:val="none"/>
        </w:rPr>
        <w:sym w:font="Wingdings" w:char="F0A8"/>
      </w:r>
      <w:r>
        <w:rPr>
          <w:rFonts w:hint="eastAsia" w:ascii="宋体" w:hAnsi="宋体" w:eastAsia="宋体" w:cs="宋体"/>
          <w:color w:val="auto"/>
          <w:sz w:val="24"/>
          <w:szCs w:val="24"/>
          <w:highlight w:val="none"/>
        </w:rPr>
        <w:t>其他：</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pPr>
        <w:pStyle w:val="13"/>
        <w:keepNext w:val="0"/>
        <w:keepLines w:val="0"/>
        <w:pageBreakBefore w:val="0"/>
        <w:widowControl w:val="0"/>
        <w:kinsoku/>
        <w:wordWrap/>
        <w:overflowPunct/>
        <w:bidi w:val="0"/>
        <w:spacing w:line="500" w:lineRule="exact"/>
        <w:ind w:firstLine="720" w:firstLineChars="300"/>
        <w:outlineLvl w:val="1"/>
        <w:rPr>
          <w:rFonts w:hint="eastAsia" w:ascii="宋体" w:hAnsi="宋体" w:eastAsia="宋体" w:cs="宋体"/>
          <w:color w:val="auto"/>
          <w:sz w:val="24"/>
          <w:highlight w:val="none"/>
        </w:rPr>
      </w:pPr>
      <w:r>
        <w:rPr>
          <w:rFonts w:hint="eastAsia" w:ascii="宋体" w:hAnsi="宋体" w:eastAsia="宋体" w:cs="宋体"/>
          <w:color w:val="auto"/>
          <w:sz w:val="24"/>
          <w:highlight w:val="none"/>
        </w:rPr>
        <w:t>（建议采用网银支付、支票两种形式中之一）。</w:t>
      </w:r>
    </w:p>
    <w:p>
      <w:pPr>
        <w:keepNext w:val="0"/>
        <w:keepLines w:val="0"/>
        <w:pageBreakBefore w:val="0"/>
        <w:widowControl w:val="0"/>
        <w:kinsoku/>
        <w:wordWrap/>
        <w:overflowPunct/>
        <w:bidi w:val="0"/>
        <w:spacing w:line="500" w:lineRule="exact"/>
        <w:ind w:firstLine="46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5.9如出现合同费用超付，乙方应在获知超付之日起7个工作日内返还超付款项（无息）。</w:t>
      </w:r>
      <w:r>
        <w:rPr>
          <w:rFonts w:hint="eastAsia" w:ascii="宋体" w:hAnsi="宋体" w:eastAsia="宋体" w:cs="宋体"/>
          <w:color w:val="auto"/>
          <w:sz w:val="24"/>
          <w:szCs w:val="24"/>
          <w:highlight w:val="none"/>
        </w:rPr>
        <w:t>每逾期一周乙方承担超付款项的</w:t>
      </w:r>
      <w:r>
        <w:rPr>
          <w:rFonts w:hint="eastAsia" w:ascii="宋体" w:hAnsi="宋体" w:eastAsia="宋体" w:cs="宋体"/>
          <w:color w:val="auto"/>
          <w:sz w:val="24"/>
          <w:szCs w:val="24"/>
          <w:highlight w:val="none"/>
          <w:u w:val="single"/>
        </w:rPr>
        <w:t>1%</w:t>
      </w:r>
      <w:r>
        <w:rPr>
          <w:rFonts w:hint="eastAsia" w:ascii="宋体" w:hAnsi="宋体" w:eastAsia="宋体" w:cs="宋体"/>
          <w:color w:val="auto"/>
          <w:sz w:val="24"/>
          <w:szCs w:val="24"/>
          <w:highlight w:val="none"/>
        </w:rPr>
        <w:t>的逾期违约金，且支付超付款项相应存款利息。</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5.10结算审定价超过合同暂定总价时，暂停合同的工程款支付程序，签订补充协议后支付。</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5.11本项目工程款的支付单位为：</w:t>
      </w:r>
      <w:r>
        <w:rPr>
          <w:rFonts w:hint="eastAsia" w:ascii="宋体" w:hAnsi="宋体" w:eastAsia="宋体" w:cs="宋体"/>
          <w:color w:val="auto"/>
          <w:sz w:val="24"/>
          <w:szCs w:val="24"/>
          <w:highlight w:val="none"/>
          <w:u w:val="single"/>
          <w:lang w:val="en-US" w:eastAsia="zh-CN"/>
        </w:rPr>
        <w:t xml:space="preserve">   …    。</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第六条  履约担保</w:t>
      </w:r>
    </w:p>
    <w:p>
      <w:pPr>
        <w:keepNext w:val="0"/>
        <w:keepLines w:val="0"/>
        <w:pageBreakBefore w:val="0"/>
        <w:widowControl w:val="0"/>
        <w:kinsoku/>
        <w:wordWrap/>
        <w:overflowPunct/>
        <w:bidi w:val="0"/>
        <w:spacing w:line="500" w:lineRule="exact"/>
        <w:ind w:firstLine="480" w:firstLineChars="200"/>
        <w:outlineLvl w:val="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履约担保：</w:t>
      </w:r>
      <w:r>
        <w:rPr>
          <w:rFonts w:hint="eastAsia" w:ascii="宋体" w:hAnsi="宋体" w:eastAsia="宋体" w:cs="宋体"/>
          <w:color w:val="auto"/>
          <w:sz w:val="24"/>
          <w:szCs w:val="24"/>
          <w:highlight w:val="none"/>
        </w:rPr>
        <w:sym w:font="Times New Roman" w:char="0000"/>
      </w:r>
      <w:r>
        <w:rPr>
          <w:rFonts w:hint="eastAsia" w:ascii="宋体" w:hAnsi="宋体" w:eastAsia="宋体" w:cs="宋体"/>
          <w:color w:val="auto"/>
          <w:sz w:val="24"/>
          <w:szCs w:val="24"/>
          <w:highlight w:val="none"/>
        </w:rPr>
        <w:sym w:font="Times New Roman" w:char="0000"/>
      </w:r>
      <w:r>
        <w:rPr>
          <w:rFonts w:hint="eastAsia" w:ascii="宋体" w:hAnsi="宋体" w:eastAsia="宋体" w:cs="宋体"/>
          <w:color w:val="auto"/>
          <w:sz w:val="24"/>
          <w:szCs w:val="24"/>
          <w:highlight w:val="none"/>
        </w:rPr>
        <w:sym w:font="Wingdings" w:char="00FE"/>
      </w:r>
      <w:r>
        <w:rPr>
          <w:rFonts w:hint="eastAsia" w:ascii="宋体" w:hAnsi="宋体" w:eastAsia="宋体" w:cs="宋体"/>
          <w:bCs/>
          <w:color w:val="auto"/>
          <w:sz w:val="24"/>
          <w:szCs w:val="24"/>
          <w:highlight w:val="none"/>
        </w:rPr>
        <w:t xml:space="preserve">无；    </w:t>
      </w:r>
      <w:r>
        <w:rPr>
          <w:rFonts w:hint="eastAsia" w:ascii="宋体" w:hAnsi="宋体" w:eastAsia="宋体" w:cs="宋体"/>
          <w:bCs/>
          <w:color w:val="auto"/>
          <w:sz w:val="24"/>
          <w:szCs w:val="24"/>
          <w:highlight w:val="none"/>
        </w:rPr>
        <w:sym w:font="Times New Roman" w:char="0000"/>
      </w:r>
      <w:r>
        <w:rPr>
          <w:rFonts w:hint="eastAsia" w:ascii="宋体" w:hAnsi="宋体" w:eastAsia="宋体" w:cs="宋体"/>
          <w:bCs/>
          <w:color w:val="auto"/>
          <w:sz w:val="24"/>
          <w:szCs w:val="24"/>
          <w:highlight w:val="none"/>
        </w:rPr>
        <w:sym w:font="Times New Roman" w:char="0000"/>
      </w:r>
      <w:r>
        <w:rPr>
          <w:rFonts w:hint="eastAsia" w:ascii="宋体" w:hAnsi="宋体" w:eastAsia="宋体" w:cs="宋体"/>
          <w:bCs/>
          <w:color w:val="auto"/>
          <w:sz w:val="24"/>
          <w:szCs w:val="24"/>
          <w:highlight w:val="none"/>
        </w:rPr>
        <w:sym w:font="Wingdings" w:char="F0A8"/>
      </w:r>
      <w:r>
        <w:rPr>
          <w:rFonts w:hint="eastAsia" w:ascii="宋体" w:hAnsi="宋体" w:eastAsia="宋体" w:cs="宋体"/>
          <w:bCs/>
          <w:color w:val="auto"/>
          <w:sz w:val="24"/>
          <w:szCs w:val="24"/>
          <w:highlight w:val="none"/>
        </w:rPr>
        <w:t>有，</w:t>
      </w:r>
      <w:r>
        <w:rPr>
          <w:rFonts w:hint="eastAsia" w:ascii="宋体" w:hAnsi="宋体" w:eastAsia="宋体" w:cs="宋体"/>
          <w:bCs/>
          <w:color w:val="auto"/>
          <w:sz w:val="24"/>
          <w:szCs w:val="24"/>
          <w:highlight w:val="none"/>
          <w:lang w:val="en-US" w:eastAsia="zh-CN"/>
        </w:rPr>
        <w:t>乙方于</w:t>
      </w:r>
      <w:r>
        <w:rPr>
          <w:rFonts w:hint="eastAsia" w:ascii="宋体" w:hAnsi="宋体" w:eastAsia="宋体" w:cs="宋体"/>
          <w:color w:val="auto"/>
          <w:sz w:val="24"/>
          <w:szCs w:val="24"/>
          <w:highlight w:val="none"/>
        </w:rPr>
        <w:t>本合同签订后</w:t>
      </w:r>
      <w:r>
        <w:rPr>
          <w:rFonts w:hint="eastAsia" w:ascii="宋体" w:hAnsi="宋体" w:eastAsia="宋体" w:cs="宋体"/>
          <w:color w:val="auto"/>
          <w:sz w:val="24"/>
          <w:szCs w:val="24"/>
          <w:highlight w:val="none"/>
          <w:u w:val="single"/>
        </w:rPr>
        <w:t>10</w:t>
      </w:r>
      <w:r>
        <w:rPr>
          <w:rFonts w:hint="eastAsia" w:ascii="宋体" w:hAnsi="宋体" w:eastAsia="宋体" w:cs="宋体"/>
          <w:color w:val="auto"/>
          <w:sz w:val="24"/>
          <w:szCs w:val="24"/>
          <w:highlight w:val="none"/>
        </w:rPr>
        <w:t>日内</w:t>
      </w:r>
      <w:r>
        <w:rPr>
          <w:rFonts w:hint="eastAsia" w:ascii="宋体" w:hAnsi="宋体" w:eastAsia="宋体" w:cs="宋体"/>
          <w:color w:val="auto"/>
          <w:sz w:val="24"/>
          <w:szCs w:val="24"/>
          <w:highlight w:val="none"/>
          <w:u w:val="single"/>
          <w:lang w:val="en-US" w:eastAsia="zh-CN"/>
        </w:rPr>
        <w:t>按照</w:t>
      </w:r>
      <w:r>
        <w:rPr>
          <w:rFonts w:hint="eastAsia" w:ascii="宋体" w:hAnsi="宋体" w:eastAsia="宋体" w:cs="宋体"/>
          <w:color w:val="auto"/>
          <w:sz w:val="24"/>
          <w:szCs w:val="24"/>
          <w:highlight w:val="none"/>
          <w:u w:val="single"/>
        </w:rPr>
        <w:t>合同暂定价的10%</w:t>
      </w:r>
      <w:r>
        <w:rPr>
          <w:rFonts w:hint="eastAsia" w:ascii="宋体" w:hAnsi="宋体" w:eastAsia="宋体" w:cs="宋体"/>
          <w:color w:val="auto"/>
          <w:sz w:val="24"/>
          <w:szCs w:val="24"/>
          <w:highlight w:val="none"/>
          <w:u w:val="single"/>
          <w:lang w:val="en-US" w:eastAsia="zh-CN"/>
        </w:rPr>
        <w:t>提交</w:t>
      </w:r>
      <w:r>
        <w:rPr>
          <w:rFonts w:hint="eastAsia" w:ascii="宋体" w:hAnsi="宋体" w:eastAsia="宋体" w:cs="宋体"/>
          <w:color w:val="auto"/>
          <w:sz w:val="24"/>
          <w:szCs w:val="24"/>
          <w:highlight w:val="none"/>
          <w:u w:val="single"/>
        </w:rPr>
        <w:t>履约保证金，</w:t>
      </w:r>
      <w:r>
        <w:rPr>
          <w:rFonts w:hint="eastAsia" w:ascii="宋体" w:hAnsi="宋体" w:eastAsia="宋体" w:cs="宋体"/>
          <w:color w:val="auto"/>
          <w:sz w:val="24"/>
          <w:szCs w:val="24"/>
          <w:highlight w:val="none"/>
        </w:rPr>
        <w:t xml:space="preserve">金额为： </w:t>
      </w:r>
      <w:r>
        <w:rPr>
          <w:rFonts w:hint="eastAsia" w:ascii="宋体" w:hAnsi="宋体" w:eastAsia="宋体" w:cs="宋体"/>
          <w:color w:val="auto"/>
          <w:sz w:val="24"/>
          <w:szCs w:val="24"/>
          <w:highlight w:val="none"/>
          <w:u w:val="single"/>
        </w:rPr>
        <w:t xml:space="preserve">   （大写人民币：            ）</w:t>
      </w:r>
      <w:r>
        <w:rPr>
          <w:rFonts w:hint="eastAsia" w:ascii="宋体" w:hAnsi="宋体" w:eastAsia="宋体" w:cs="宋体"/>
          <w:color w:val="auto"/>
          <w:sz w:val="24"/>
          <w:szCs w:val="24"/>
          <w:highlight w:val="none"/>
        </w:rPr>
        <w:t>未按时提供履约担保的，甲方有权解除合同并要求乙方支付</w:t>
      </w:r>
      <w:r>
        <w:rPr>
          <w:rFonts w:hint="eastAsia" w:ascii="宋体" w:hAnsi="宋体" w:eastAsia="宋体" w:cs="宋体"/>
          <w:color w:val="auto"/>
          <w:sz w:val="24"/>
          <w:szCs w:val="24"/>
          <w:highlight w:val="none"/>
          <w:u w:val="single"/>
        </w:rPr>
        <w:t>合同暂定总价20%</w:t>
      </w:r>
      <w:r>
        <w:rPr>
          <w:rFonts w:hint="eastAsia" w:ascii="宋体" w:hAnsi="宋体" w:eastAsia="宋体" w:cs="宋体"/>
          <w:color w:val="auto"/>
          <w:sz w:val="24"/>
          <w:szCs w:val="24"/>
          <w:highlight w:val="none"/>
        </w:rPr>
        <w:t>作为违约金。</w:t>
      </w:r>
    </w:p>
    <w:p>
      <w:pPr>
        <w:pStyle w:val="22"/>
        <w:keepNext w:val="0"/>
        <w:keepLines w:val="0"/>
        <w:pageBreakBefore w:val="0"/>
        <w:widowControl w:val="0"/>
        <w:kinsoku/>
        <w:wordWrap/>
        <w:overflowPunct/>
        <w:bidi w:val="0"/>
        <w:spacing w:before="0" w:beforeAutospacing="0" w:after="0" w:afterAutospacing="0" w:line="500" w:lineRule="exact"/>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6.1履约担保按以下任一种形式提供：</w:t>
      </w:r>
    </w:p>
    <w:p>
      <w:pPr>
        <w:pStyle w:val="22"/>
        <w:keepNext w:val="0"/>
        <w:keepLines w:val="0"/>
        <w:pageBreakBefore w:val="0"/>
        <w:widowControl w:val="0"/>
        <w:kinsoku/>
        <w:wordWrap/>
        <w:overflowPunct/>
        <w:bidi w:val="0"/>
        <w:spacing w:before="0" w:beforeAutospacing="0" w:after="0" w:afterAutospacing="0" w:line="500" w:lineRule="exact"/>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（1）符合甲方要求（详见附件8保函格式）的银行独立保函，</w:t>
      </w:r>
    </w:p>
    <w:p>
      <w:pPr>
        <w:pStyle w:val="22"/>
        <w:keepNext w:val="0"/>
        <w:keepLines w:val="0"/>
        <w:pageBreakBefore w:val="0"/>
        <w:widowControl w:val="0"/>
        <w:kinsoku/>
        <w:wordWrap/>
        <w:overflowPunct/>
        <w:bidi w:val="0"/>
        <w:spacing w:before="0" w:beforeAutospacing="0" w:after="0" w:afterAutospacing="0" w:line="500" w:lineRule="exact"/>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（2）现金转账至甲方以下指定账户：</w:t>
      </w:r>
    </w:p>
    <w:p>
      <w:pPr>
        <w:keepNext w:val="0"/>
        <w:keepLines w:val="0"/>
        <w:pageBreakBefore w:val="0"/>
        <w:widowControl w:val="0"/>
        <w:tabs>
          <w:tab w:val="left" w:pos="1995"/>
        </w:tabs>
        <w:kinsoku/>
        <w:wordWrap/>
        <w:overflowPunct/>
        <w:bidi w:val="0"/>
        <w:spacing w:line="5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户名：广州市净水有限公司</w:t>
      </w:r>
    </w:p>
    <w:p>
      <w:pPr>
        <w:keepNext w:val="0"/>
        <w:keepLines w:val="0"/>
        <w:pageBreakBefore w:val="0"/>
        <w:widowControl w:val="0"/>
        <w:tabs>
          <w:tab w:val="left" w:pos="1995"/>
        </w:tabs>
        <w:kinsoku/>
        <w:wordWrap/>
        <w:overflowPunct/>
        <w:bidi w:val="0"/>
        <w:spacing w:line="5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账号：82010154900000342</w:t>
      </w:r>
    </w:p>
    <w:p>
      <w:pPr>
        <w:keepNext w:val="0"/>
        <w:keepLines w:val="0"/>
        <w:pageBreakBefore w:val="0"/>
        <w:widowControl w:val="0"/>
        <w:tabs>
          <w:tab w:val="left" w:pos="1995"/>
        </w:tabs>
        <w:kinsoku/>
        <w:wordWrap/>
        <w:overflowPunct/>
        <w:bidi w:val="0"/>
        <w:spacing w:line="5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开户行：浦发银行广州分行</w:t>
      </w:r>
    </w:p>
    <w:p>
      <w:pPr>
        <w:keepNext w:val="0"/>
        <w:keepLines w:val="0"/>
        <w:pageBreakBefore w:val="0"/>
        <w:widowControl w:val="0"/>
        <w:kinsoku/>
        <w:wordWrap/>
        <w:overflowPunct/>
        <w:bidi w:val="0"/>
        <w:spacing w:line="500" w:lineRule="exact"/>
        <w:ind w:firstLine="480" w:firstLineChars="200"/>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6.2履约担保的担保期限和返还</w:t>
      </w:r>
    </w:p>
    <w:p>
      <w:pPr>
        <w:keepNext w:val="0"/>
        <w:keepLines w:val="0"/>
        <w:pageBreakBefore w:val="0"/>
        <w:widowControl w:val="0"/>
        <w:kinsoku/>
        <w:wordWrap/>
        <w:overflowPunct/>
        <w:bidi w:val="0"/>
        <w:spacing w:line="500" w:lineRule="exact"/>
        <w:ind w:firstLine="480"/>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⑴履约银行保函（或现金履约保证金）的担保期限：从提供履约担保（或转账成功）之日起至合同履行完成。</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⑵履约银行保函在合同履行完成后，由乙方提出申请，甲方在28日内返还，不支付利息：</w:t>
      </w:r>
    </w:p>
    <w:p>
      <w:pPr>
        <w:keepNext w:val="0"/>
        <w:keepLines w:val="0"/>
        <w:pageBreakBefore w:val="0"/>
        <w:widowControl w:val="0"/>
        <w:kinsoku/>
        <w:wordWrap/>
        <w:overflowPunct/>
        <w:bidi w:val="0"/>
        <w:spacing w:line="500" w:lineRule="exact"/>
        <w:ind w:firstLine="480" w:firstLineChars="200"/>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⑶延长担保期限。乙方以履约银行保函形式提交履约保证金的，在银行保函到期前，乙方应提前</w:t>
      </w:r>
      <w:r>
        <w:rPr>
          <w:rFonts w:hint="eastAsia" w:ascii="宋体" w:hAnsi="宋体" w:eastAsia="宋体" w:cs="宋体"/>
          <w:color w:val="auto"/>
          <w:sz w:val="24"/>
          <w:szCs w:val="24"/>
          <w:highlight w:val="none"/>
          <w:u w:val="single"/>
        </w:rPr>
        <w:t xml:space="preserve"> 7 </w:t>
      </w:r>
      <w:r>
        <w:rPr>
          <w:rFonts w:hint="eastAsia" w:ascii="宋体" w:hAnsi="宋体" w:eastAsia="宋体" w:cs="宋体"/>
          <w:color w:val="auto"/>
          <w:sz w:val="24"/>
          <w:szCs w:val="24"/>
          <w:highlight w:val="none"/>
        </w:rPr>
        <w:t>日向甲方提交新的保函以替换即将到期的保函。如乙方未及时提交的，甲方有权直接要求担保银行支付其担保的全部金额并解除合同。</w:t>
      </w:r>
    </w:p>
    <w:p>
      <w:pPr>
        <w:pStyle w:val="22"/>
        <w:keepNext w:val="0"/>
        <w:keepLines w:val="0"/>
        <w:pageBreakBefore w:val="0"/>
        <w:widowControl w:val="0"/>
        <w:kinsoku/>
        <w:wordWrap/>
        <w:overflowPunct/>
        <w:bidi w:val="0"/>
        <w:spacing w:before="0" w:beforeAutospacing="0" w:after="0" w:afterAutospacing="0" w:line="500" w:lineRule="exact"/>
        <w:ind w:firstLine="480" w:firstLineChars="200"/>
        <w:rPr>
          <w:rFonts w:hint="eastAsia" w:ascii="宋体" w:hAnsi="宋体" w:eastAsia="宋体" w:cs="宋体"/>
          <w:color w:val="auto"/>
          <w:szCs w:val="24"/>
          <w:highlight w:val="none"/>
          <w:u w:val="single"/>
        </w:rPr>
      </w:pPr>
      <w:r>
        <w:rPr>
          <w:rFonts w:hint="eastAsia" w:ascii="宋体" w:hAnsi="宋体" w:eastAsia="宋体" w:cs="宋体"/>
          <w:color w:val="auto"/>
          <w:szCs w:val="24"/>
          <w:highlight w:val="none"/>
        </w:rPr>
        <w:t>⑷现金履约保证金的退还：合同履行完成后，由乙方提出申请，甲方在</w:t>
      </w:r>
      <w:r>
        <w:rPr>
          <w:rFonts w:hint="eastAsia" w:ascii="宋体" w:hAnsi="宋体" w:eastAsia="宋体" w:cs="宋体"/>
          <w:color w:val="auto"/>
          <w:szCs w:val="24"/>
          <w:highlight w:val="none"/>
          <w:u w:val="single"/>
        </w:rPr>
        <w:t>28日</w:t>
      </w:r>
      <w:r>
        <w:rPr>
          <w:rFonts w:hint="eastAsia" w:ascii="宋体" w:hAnsi="宋体" w:eastAsia="宋体" w:cs="宋体"/>
          <w:color w:val="auto"/>
          <w:szCs w:val="24"/>
          <w:highlight w:val="none"/>
        </w:rPr>
        <w:t>内将剩余保证金（无息）返还。</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6.3甲方按本合同规定提取履约担保金额后，乙方应在收到甲方通知后</w:t>
      </w:r>
    </w:p>
    <w:p>
      <w:pPr>
        <w:keepNext w:val="0"/>
        <w:keepLines w:val="0"/>
        <w:pageBreakBefore w:val="0"/>
        <w:widowControl w:val="0"/>
        <w:kinsoku/>
        <w:wordWrap/>
        <w:overflowPunct/>
        <w:bidi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7  </w:t>
      </w:r>
      <w:r>
        <w:rPr>
          <w:rFonts w:hint="eastAsia" w:ascii="宋体" w:hAnsi="宋体" w:eastAsia="宋体" w:cs="宋体"/>
          <w:color w:val="auto"/>
          <w:sz w:val="24"/>
          <w:szCs w:val="24"/>
          <w:highlight w:val="none"/>
        </w:rPr>
        <w:t>日内补足数额，逾期未补足的，则甲方有权提取履约担保的全部余额并解除合同。</w:t>
      </w:r>
    </w:p>
    <w:p>
      <w:pPr>
        <w:pStyle w:val="22"/>
        <w:keepNext w:val="0"/>
        <w:keepLines w:val="0"/>
        <w:pageBreakBefore w:val="0"/>
        <w:widowControl w:val="0"/>
        <w:kinsoku/>
        <w:wordWrap/>
        <w:overflowPunct/>
        <w:bidi w:val="0"/>
        <w:spacing w:before="0" w:beforeAutospacing="0" w:after="0" w:afterAutospacing="0" w:line="500" w:lineRule="exact"/>
        <w:ind w:firstLine="482" w:firstLineChars="20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第七条  图纸</w:t>
      </w:r>
    </w:p>
    <w:p>
      <w:pPr>
        <w:keepNext w:val="0"/>
        <w:keepLines w:val="0"/>
        <w:pageBreakBefore w:val="0"/>
        <w:widowControl w:val="0"/>
        <w:tabs>
          <w:tab w:val="left" w:pos="1276"/>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7.1甲方于开工前向乙方提供技术要求或施工图纸及相关资料。（不包括竣工图纸）</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7.2乙方未经甲方书面同意，不得将本工程图纸</w:t>
      </w:r>
      <w:r>
        <w:rPr>
          <w:rStyle w:val="30"/>
          <w:rFonts w:hint="eastAsia" w:ascii="宋体" w:hAnsi="宋体" w:eastAsia="宋体" w:cs="宋体"/>
          <w:color w:val="auto"/>
          <w:sz w:val="24"/>
          <w:szCs w:val="24"/>
          <w:highlight w:val="none"/>
        </w:rPr>
        <w:t>出示、</w:t>
      </w:r>
      <w:r>
        <w:rPr>
          <w:rFonts w:hint="eastAsia" w:ascii="宋体" w:hAnsi="宋体" w:eastAsia="宋体" w:cs="宋体"/>
          <w:color w:val="auto"/>
          <w:sz w:val="24"/>
          <w:szCs w:val="24"/>
          <w:highlight w:val="none"/>
        </w:rPr>
        <w:t>泄露或以任何其他方式提供给第三人或使第三人知悉。除乙方存档需要的图纸外，乙方应在工程质量保修期满后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7</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日内将全部图纸退还给甲方。</w:t>
      </w:r>
    </w:p>
    <w:p>
      <w:pPr>
        <w:keepNext w:val="0"/>
        <w:keepLines w:val="0"/>
        <w:pageBreakBefore w:val="0"/>
        <w:widowControl w:val="0"/>
        <w:tabs>
          <w:tab w:val="left" w:pos="360"/>
        </w:tabs>
        <w:kinsoku/>
        <w:wordWrap/>
        <w:overflowPunct/>
        <w:bidi w:val="0"/>
        <w:adjustRightInd w:val="0"/>
        <w:snapToGrid w:val="0"/>
        <w:spacing w:line="50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第八条  甲方代表、乙方驻场代表</w:t>
      </w:r>
    </w:p>
    <w:p>
      <w:pPr>
        <w:keepNext w:val="0"/>
        <w:keepLines w:val="0"/>
        <w:pageBreakBefore w:val="0"/>
        <w:widowControl w:val="0"/>
        <w:tabs>
          <w:tab w:val="left" w:pos="1276"/>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甲方代表：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pPr>
        <w:pStyle w:val="51"/>
        <w:keepNext w:val="0"/>
        <w:keepLines w:val="0"/>
        <w:pageBreakBefore w:val="0"/>
        <w:widowControl w:val="0"/>
        <w:tabs>
          <w:tab w:val="left" w:pos="1276"/>
        </w:tabs>
        <w:kinsoku/>
        <w:wordWrap/>
        <w:overflowPunct/>
        <w:bidi w:val="0"/>
        <w:snapToGrid w:val="0"/>
        <w:spacing w:before="0" w:after="0" w:line="500" w:lineRule="exact"/>
        <w:ind w:left="0" w:right="0" w:firstLine="480" w:firstLineChars="200"/>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乙方驻场代表（项目经理）：_______________ 。</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第九条  甲方责任</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9.1 开工前办理土地征用，青苗、树木赔偿，坟地迁移，房屋、构筑物拆迁（如有），地上及架空、地下障碍物清除，保证施工期间的用地需要。</w:t>
      </w:r>
    </w:p>
    <w:p>
      <w:pPr>
        <w:keepNext w:val="0"/>
        <w:keepLines w:val="0"/>
        <w:pageBreakBefore w:val="0"/>
        <w:widowControl w:val="0"/>
        <w:tabs>
          <w:tab w:val="left" w:pos="-180"/>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9.2 办理施工许可证和临时用地、停水、停电、中断道路交通、爆破作业等的申请批准手续（证明乙方自身资质的证件及应由乙方办理的手续除外）。</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9.3 协调、处理施工现场周围建筑物、构筑物(含文物保护建筑)、古树名木和地下管线的保护，并承担有关费用。</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9.4 按照合同条款第七条约定及时将施工图纸及有关技术资料提供给乙方，并组织设计单位、乙方会审图纸和设计交底，在收到乙方提供的施工组织设计(或施工方案)和进度计划后</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日内予以确认。</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第十条  乙方责任</w:t>
      </w:r>
    </w:p>
    <w:p>
      <w:pPr>
        <w:keepNext w:val="0"/>
        <w:keepLines w:val="0"/>
        <w:pageBreakBefore w:val="0"/>
        <w:widowControl w:val="0"/>
        <w:kinsoku/>
        <w:wordWrap/>
        <w:overflowPunct/>
        <w:bidi w:val="0"/>
        <w:spacing w:line="500" w:lineRule="exact"/>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10.1施工用水用电采用以下</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方式执行。</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（1）由甲方提供施工用水用电。</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（2）由甲方提供施工用水用电接口，费用按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月/项目）结算，由乙方向</w:t>
      </w:r>
      <w:r>
        <w:rPr>
          <w:rFonts w:hint="eastAsia" w:ascii="宋体" w:hAnsi="宋体" w:eastAsia="宋体" w:cs="宋体"/>
          <w:color w:val="auto"/>
          <w:sz w:val="24"/>
          <w:szCs w:val="24"/>
          <w:highlight w:val="none"/>
          <w:u w:val="single"/>
        </w:rPr>
        <w:t>甲方或甲方XX分公司</w:t>
      </w:r>
      <w:r>
        <w:rPr>
          <w:rFonts w:hint="eastAsia" w:ascii="宋体" w:hAnsi="宋体" w:eastAsia="宋体" w:cs="宋体"/>
          <w:color w:val="auto"/>
          <w:sz w:val="24"/>
          <w:szCs w:val="24"/>
          <w:highlight w:val="none"/>
        </w:rPr>
        <w:t>支付。水电费用按所属供电局、自来水公司收费标准，按实计算。</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（3）由乙方自行负责。</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 根据甲方要求提交施工计划、已完工进度统计报表和工程事故报告。</w:t>
      </w:r>
    </w:p>
    <w:p>
      <w:pPr>
        <w:keepNext w:val="0"/>
        <w:keepLines w:val="0"/>
        <w:pageBreakBefore w:val="0"/>
        <w:widowControl w:val="0"/>
        <w:kinsoku/>
        <w:wordWrap/>
        <w:overflowPunct/>
        <w:bidi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10.3 遵守国家及本市有关部门对施工现场环境保护，做好施工噪声、废气、废水、安全、防火、保卫、并按照国家及广州市相关规定做好建筑垃圾的处理等各项工作。</w:t>
      </w:r>
    </w:p>
    <w:p>
      <w:pPr>
        <w:keepNext w:val="0"/>
        <w:keepLines w:val="0"/>
        <w:pageBreakBefore w:val="0"/>
        <w:widowControl w:val="0"/>
        <w:tabs>
          <w:tab w:val="left" w:pos="851"/>
        </w:tabs>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10.4 建立健全安全防护措施和文明施工的制度，完善安全防护和文明施工条件，严格按照安全防护和文明施工的规定组织施工，采取必要的安全防护措施，消除事故隐患，自觉接受和配合行政主管部门依法实施的监督检查。乙方在施工过程中必须按照相关规定进行围蔽。</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10.5 做好施工现场周围建筑物、构筑物(含文物保护建筑)、古树名木和地下管线的保护。发现地下障碍和文物时，及时报告甲方及有关部门并采取有效保护措施，按有关具体规定处置，甲方承担由此发生的费用，延误的工期相应顺延。                                                          </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需在施工组织设计(或施工方案)中列明管线保护的详细措施，经甲方确认后才能进行施工，在施工过程中严格按照管线保护措施保护好管线，相关费用按实计量。由于措施不当或没有做好保护措施便开工导致挖断管线的，乙方承担所有责任及相应费用。当现场施工发生管线损坏事故时，乙方必须立即报告甲方、管线产权单位及建设行政主管部门。</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10.6 在图纸会审和设计交底后</w:t>
      </w:r>
      <w:r>
        <w:rPr>
          <w:rFonts w:hint="eastAsia" w:ascii="宋体" w:hAnsi="宋体" w:eastAsia="宋体" w:cs="宋体"/>
          <w:color w:val="auto"/>
          <w:sz w:val="24"/>
          <w:szCs w:val="24"/>
          <w:highlight w:val="none"/>
          <w:u w:val="single"/>
        </w:rPr>
        <w:t xml:space="preserve"> 7 </w:t>
      </w:r>
      <w:r>
        <w:rPr>
          <w:rFonts w:hint="eastAsia" w:ascii="宋体" w:hAnsi="宋体" w:eastAsia="宋体" w:cs="宋体"/>
          <w:color w:val="auto"/>
          <w:sz w:val="24"/>
          <w:szCs w:val="24"/>
          <w:highlight w:val="none"/>
        </w:rPr>
        <w:t>日内向甲方提交施工组织设计(或施工方案)和进度计划，经甲方批准后依照计划组织施工，接受甲方对进度的检查监督。</w:t>
      </w:r>
    </w:p>
    <w:p>
      <w:pPr>
        <w:pStyle w:val="51"/>
        <w:keepNext w:val="0"/>
        <w:keepLines w:val="0"/>
        <w:pageBreakBefore w:val="0"/>
        <w:widowControl w:val="0"/>
        <w:tabs>
          <w:tab w:val="left" w:pos="851"/>
        </w:tabs>
        <w:kinsoku/>
        <w:wordWrap/>
        <w:overflowPunct/>
        <w:bidi w:val="0"/>
        <w:snapToGrid w:val="0"/>
        <w:spacing w:before="0" w:after="0" w:line="500" w:lineRule="exact"/>
        <w:ind w:left="0" w:right="0" w:firstLine="480" w:firstLineChars="200"/>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10.7 乙方严格遵守建设工程余泥渣土运输与排放管理制度，选择合法的余泥渣土运输单位及排放点，确保余泥渣土合法处置。</w:t>
      </w:r>
    </w:p>
    <w:p>
      <w:pPr>
        <w:pStyle w:val="51"/>
        <w:keepNext w:val="0"/>
        <w:keepLines w:val="0"/>
        <w:pageBreakBefore w:val="0"/>
        <w:widowControl w:val="0"/>
        <w:tabs>
          <w:tab w:val="left" w:pos="851"/>
        </w:tabs>
        <w:kinsoku/>
        <w:wordWrap/>
        <w:overflowPunct/>
        <w:bidi w:val="0"/>
        <w:snapToGrid w:val="0"/>
        <w:spacing w:before="0" w:after="0" w:line="500" w:lineRule="exact"/>
        <w:ind w:left="435" w:leftChars="150" w:right="0" w:hanging="120" w:hangingChars="50"/>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10.8 乙方应按时参加甲方召开的施工调度会议，严格执行会议纪要的决定</w:t>
      </w:r>
    </w:p>
    <w:p>
      <w:pPr>
        <w:pStyle w:val="51"/>
        <w:keepNext w:val="0"/>
        <w:keepLines w:val="0"/>
        <w:pageBreakBefore w:val="0"/>
        <w:widowControl w:val="0"/>
        <w:tabs>
          <w:tab w:val="left" w:pos="851"/>
        </w:tabs>
        <w:kinsoku/>
        <w:wordWrap/>
        <w:overflowPunct/>
        <w:bidi w:val="0"/>
        <w:snapToGrid w:val="0"/>
        <w:spacing w:before="0" w:after="0" w:line="500" w:lineRule="exact"/>
        <w:ind w:left="0" w:right="0"/>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每缺席一次，甲方有权要求乙方支付</w:t>
      </w:r>
      <w:r>
        <w:rPr>
          <w:rFonts w:hint="eastAsia" w:ascii="宋体" w:hAnsi="宋体" w:eastAsia="宋体" w:cs="宋体"/>
          <w:color w:val="auto"/>
          <w:kern w:val="2"/>
          <w:szCs w:val="24"/>
          <w:highlight w:val="none"/>
          <w:u w:val="single"/>
        </w:rPr>
        <w:t xml:space="preserve"> </w:t>
      </w:r>
      <w:r>
        <w:rPr>
          <w:rFonts w:hint="eastAsia" w:ascii="宋体" w:hAnsi="宋体" w:cs="宋体"/>
          <w:color w:val="auto"/>
          <w:szCs w:val="24"/>
          <w:highlight w:val="none"/>
          <w:u w:val="single"/>
          <w:lang w:val="en-US" w:eastAsia="zh-CN"/>
        </w:rPr>
        <w:t>1000</w:t>
      </w:r>
      <w:r>
        <w:rPr>
          <w:rFonts w:hint="eastAsia" w:ascii="宋体" w:hAnsi="宋体" w:eastAsia="宋体" w:cs="宋体"/>
          <w:color w:val="auto"/>
          <w:kern w:val="2"/>
          <w:szCs w:val="24"/>
          <w:highlight w:val="none"/>
          <w:u w:val="single"/>
        </w:rPr>
        <w:t xml:space="preserve"> 元</w:t>
      </w:r>
      <w:r>
        <w:rPr>
          <w:rFonts w:hint="eastAsia" w:ascii="宋体" w:hAnsi="宋体" w:eastAsia="宋体" w:cs="宋体"/>
          <w:color w:val="auto"/>
          <w:kern w:val="2"/>
          <w:szCs w:val="24"/>
          <w:highlight w:val="none"/>
        </w:rPr>
        <w:t>作为违约金。</w:t>
      </w:r>
    </w:p>
    <w:p>
      <w:pPr>
        <w:pStyle w:val="51"/>
        <w:keepNext w:val="0"/>
        <w:keepLines w:val="0"/>
        <w:pageBreakBefore w:val="0"/>
        <w:widowControl w:val="0"/>
        <w:tabs>
          <w:tab w:val="left" w:pos="851"/>
        </w:tabs>
        <w:kinsoku/>
        <w:wordWrap/>
        <w:overflowPunct/>
        <w:bidi w:val="0"/>
        <w:snapToGrid w:val="0"/>
        <w:spacing w:before="0" w:after="0" w:line="500" w:lineRule="exact"/>
        <w:ind w:left="0" w:right="0" w:firstLine="480" w:firstLineChars="200"/>
        <w:rPr>
          <w:rFonts w:hint="eastAsia" w:ascii="宋体" w:hAnsi="宋体" w:eastAsia="宋体" w:cs="宋体"/>
          <w:color w:val="auto"/>
          <w:kern w:val="2"/>
          <w:szCs w:val="24"/>
          <w:highlight w:val="none"/>
        </w:rPr>
      </w:pPr>
      <w:r>
        <w:rPr>
          <w:rFonts w:hint="eastAsia" w:ascii="宋体" w:hAnsi="宋体" w:eastAsia="宋体" w:cs="宋体"/>
          <w:color w:val="auto"/>
          <w:szCs w:val="24"/>
          <w:highlight w:val="none"/>
        </w:rPr>
        <w:t>10.9 乙方应在施工现场保留施工相关资料（如施工图、技术需求书等）、安全审批过程材料，供甲方进行工程检查时使用。</w:t>
      </w:r>
    </w:p>
    <w:p>
      <w:pPr>
        <w:pStyle w:val="51"/>
        <w:keepNext w:val="0"/>
        <w:keepLines w:val="0"/>
        <w:pageBreakBefore w:val="0"/>
        <w:widowControl w:val="0"/>
        <w:tabs>
          <w:tab w:val="left" w:pos="851"/>
        </w:tabs>
        <w:kinsoku/>
        <w:wordWrap/>
        <w:overflowPunct/>
        <w:bidi w:val="0"/>
        <w:snapToGrid w:val="0"/>
        <w:spacing w:before="0" w:after="0" w:line="500" w:lineRule="exact"/>
        <w:ind w:left="0" w:right="0"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10.10 乙方应严格按《广州市建设工程文明施工管理规定》、</w:t>
      </w:r>
      <w:r>
        <w:rPr>
          <w:rFonts w:hint="eastAsia" w:hAnsi="宋体" w:eastAsia="宋体"/>
          <w:color w:val="auto"/>
          <w:sz w:val="24"/>
          <w:highlight w:val="none"/>
          <w:lang w:eastAsia="zh-CN"/>
        </w:rPr>
        <w:t>《</w:t>
      </w:r>
      <w:r>
        <w:rPr>
          <w:rFonts w:hint="eastAsia" w:hAnsi="宋体" w:eastAsia="宋体"/>
          <w:color w:val="auto"/>
          <w:sz w:val="24"/>
          <w:highlight w:val="none"/>
          <w:lang w:val="en-US" w:eastAsia="zh-CN"/>
        </w:rPr>
        <w:t>广州市建设工程扬尘防治“6个100%”管理标准图集（V2.0版）</w:t>
      </w:r>
      <w:r>
        <w:rPr>
          <w:rFonts w:hint="eastAsia" w:hAnsi="宋体" w:eastAsia="宋体"/>
          <w:color w:val="auto"/>
          <w:sz w:val="24"/>
          <w:highlight w:val="none"/>
          <w:lang w:eastAsia="zh-CN"/>
        </w:rPr>
        <w:t>》</w:t>
      </w:r>
      <w:r>
        <w:rPr>
          <w:rFonts w:hint="eastAsia" w:ascii="宋体" w:hAnsi="宋体" w:eastAsia="宋体" w:cs="宋体"/>
          <w:color w:val="auto"/>
          <w:szCs w:val="24"/>
          <w:highlight w:val="none"/>
        </w:rPr>
        <w:t>要求实施。（如有出台新文件，按新文件执行）</w:t>
      </w:r>
    </w:p>
    <w:p>
      <w:pPr>
        <w:pStyle w:val="51"/>
        <w:keepNext w:val="0"/>
        <w:keepLines w:val="0"/>
        <w:pageBreakBefore w:val="0"/>
        <w:widowControl w:val="0"/>
        <w:tabs>
          <w:tab w:val="left" w:pos="851"/>
        </w:tabs>
        <w:kinsoku/>
        <w:wordWrap/>
        <w:overflowPunct/>
        <w:bidi w:val="0"/>
        <w:snapToGrid w:val="0"/>
        <w:spacing w:before="0" w:after="0" w:line="500" w:lineRule="exact"/>
        <w:ind w:left="0" w:right="0"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10.11 乙方应做好施工现场100%围蔽、工地砂土100%覆盖、工地路面100%硬地化、拆除工程100%洒水压尘、出工地车辆100%冲净车轮车身、暂不开发的场地100%绿化等工作。</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10.12 如厂区内施工，施工人员必须严格遵守</w:t>
      </w:r>
      <w:r>
        <w:rPr>
          <w:rFonts w:hint="eastAsia" w:ascii="宋体" w:hAnsi="宋体" w:eastAsia="宋体" w:cs="宋体"/>
          <w:color w:val="auto"/>
          <w:kern w:val="10"/>
          <w:sz w:val="24"/>
          <w:szCs w:val="24"/>
          <w:highlight w:val="none"/>
        </w:rPr>
        <w:t>污水处理厂</w:t>
      </w:r>
      <w:r>
        <w:rPr>
          <w:rFonts w:hint="eastAsia" w:ascii="宋体" w:hAnsi="宋体" w:eastAsia="宋体" w:cs="宋体"/>
          <w:color w:val="auto"/>
          <w:sz w:val="24"/>
          <w:szCs w:val="24"/>
          <w:highlight w:val="none"/>
        </w:rPr>
        <w:t>一切规章制度。进入施工现场人员必须佩戴出入证，并自觉接受门岗检查。</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10.13 乙方做好施工人员的安全防护措施，施工人员安全责任由乙方承担。</w:t>
      </w:r>
    </w:p>
    <w:p>
      <w:pPr>
        <w:keepNext w:val="0"/>
        <w:keepLines w:val="0"/>
        <w:pageBreakBefore w:val="0"/>
        <w:widowControl w:val="0"/>
        <w:kinsoku/>
        <w:wordWrap/>
        <w:overflowPunct/>
        <w:bidi w:val="0"/>
        <w:adjustRightInd w:val="0"/>
        <w:snapToGrid w:val="0"/>
        <w:spacing w:line="500" w:lineRule="exact"/>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10.14 乙方特种作业人员必须持证上岗。</w:t>
      </w:r>
    </w:p>
    <w:p>
      <w:pPr>
        <w:keepNext w:val="0"/>
        <w:keepLines w:val="0"/>
        <w:pageBreakBefore w:val="0"/>
        <w:widowControl w:val="0"/>
        <w:kinsoku/>
        <w:wordWrap/>
        <w:overflowPunct/>
        <w:bidi w:val="0"/>
        <w:adjustRightInd w:val="0"/>
        <w:snapToGrid w:val="0"/>
        <w:spacing w:line="500" w:lineRule="exact"/>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10.15 乙方应注意安全施工，在施工过程中出现的伤亡事故及工作过程以外出现的一切事故由乙方承担责任，并负责处理善后工作，负责伤亡者一切费用。  </w:t>
      </w:r>
    </w:p>
    <w:p>
      <w:pPr>
        <w:keepNext w:val="0"/>
        <w:keepLines w:val="0"/>
        <w:pageBreakBefore w:val="0"/>
        <w:widowControl w:val="0"/>
        <w:kinsoku/>
        <w:wordWrap/>
        <w:overflowPunct/>
        <w:bidi w:val="0"/>
        <w:adjustRightInd w:val="0"/>
        <w:snapToGrid w:val="0"/>
        <w:spacing w:line="500" w:lineRule="exact"/>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lang w:val="en-US" w:eastAsia="zh-CN"/>
        </w:rPr>
        <w:t>10.16施工过程中，乙方应负责配备现场的应急物资。具体应急物资配备详见附件。</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en-US" w:eastAsia="zh-CN"/>
        </w:rPr>
        <w:t>（如需）</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第十一条 工程质量检查及验收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11.1乙方应认真按照国家颁布的施工验收规范及工程设计图纸要求进行施工，且接受甲方监督，质量验收必须达到合格。</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 隐蔽工程验收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当工程具备覆盖、掩盖条件或达到中间验收部位后，乙方自检，并提前</w:t>
      </w:r>
      <w:r>
        <w:rPr>
          <w:rFonts w:hint="eastAsia" w:ascii="宋体" w:hAnsi="宋体" w:eastAsia="宋体" w:cs="宋体"/>
          <w:color w:val="auto"/>
          <w:sz w:val="24"/>
          <w:szCs w:val="24"/>
          <w:highlight w:val="none"/>
          <w:u w:val="single"/>
        </w:rPr>
        <w:t>48</w:t>
      </w:r>
      <w:r>
        <w:rPr>
          <w:rFonts w:hint="eastAsia" w:ascii="宋体" w:hAnsi="宋体" w:eastAsia="宋体" w:cs="宋体"/>
          <w:color w:val="auto"/>
          <w:sz w:val="24"/>
          <w:szCs w:val="24"/>
          <w:highlight w:val="none"/>
        </w:rPr>
        <w:t xml:space="preserve">小时以书面形式通知甲方参加验收，经甲方验收合格并在验收记录上签字后，方可进行隐蔽和继续施工。    </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 乙方应在工程完工后</w:t>
      </w:r>
      <w:r>
        <w:rPr>
          <w:rFonts w:hint="eastAsia" w:ascii="宋体" w:hAnsi="宋体" w:eastAsia="宋体" w:cs="宋体"/>
          <w:color w:val="auto"/>
          <w:sz w:val="24"/>
          <w:szCs w:val="24"/>
          <w:highlight w:val="none"/>
          <w:u w:val="single"/>
        </w:rPr>
        <w:t>28</w:t>
      </w:r>
      <w:r>
        <w:rPr>
          <w:rFonts w:hint="eastAsia" w:ascii="宋体" w:hAnsi="宋体" w:eastAsia="宋体" w:cs="宋体"/>
          <w:color w:val="auto"/>
          <w:sz w:val="24"/>
          <w:szCs w:val="24"/>
          <w:highlight w:val="none"/>
        </w:rPr>
        <w:t>日内，按甲方要求将竣工资料和竣工验收报告各一式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四</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份提交甲方进行资料预验收,每逾期一日，乙方需支付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1000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元作为违约金。</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甲方在收到上述资料后</w:t>
      </w:r>
      <w:r>
        <w:rPr>
          <w:rFonts w:hint="eastAsia" w:ascii="宋体" w:hAnsi="宋体" w:eastAsia="宋体" w:cs="宋体"/>
          <w:color w:val="auto"/>
          <w:sz w:val="24"/>
          <w:szCs w:val="24"/>
          <w:highlight w:val="none"/>
          <w:u w:val="single"/>
        </w:rPr>
        <w:t>28</w:t>
      </w:r>
      <w:r>
        <w:rPr>
          <w:rFonts w:hint="eastAsia" w:ascii="宋体" w:hAnsi="宋体" w:eastAsia="宋体" w:cs="宋体"/>
          <w:color w:val="auto"/>
          <w:sz w:val="24"/>
          <w:szCs w:val="24"/>
          <w:highlight w:val="none"/>
        </w:rPr>
        <w:t>日内组织有关单位进行验收，并在验收后10日内给予认可或提出修改意见。乙方按要求修改，并承担修改的费用。</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11.4工程竣工验收通过，乙方送交竣工资料和竣工验收报告的日期为实际竣工日期。工程按甲方要求修改后通过竣工验收的，实际竣工日期为乙方修改后提请甲方验收的日期。</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11.5 竣工资料</w:t>
      </w:r>
    </w:p>
    <w:p>
      <w:pPr>
        <w:keepNext w:val="0"/>
        <w:keepLines w:val="0"/>
        <w:pageBreakBefore w:val="0"/>
        <w:widowControl w:val="0"/>
        <w:kinsoku/>
        <w:wordWrap/>
        <w:overflowPunct/>
        <w:bidi w:val="0"/>
        <w:spacing w:line="500" w:lineRule="exact"/>
        <w:ind w:firstLine="600" w:firstLineChars="2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乙方应按甲方的要求，在工程施工期间及时收集、汇总、整理、编制竣工档案，并于工程竣工验收后按下款约定向甲方完整移交如下竣工资料（包括且不限于）：</w:t>
      </w:r>
    </w:p>
    <w:p>
      <w:pPr>
        <w:keepNext w:val="0"/>
        <w:keepLines w:val="0"/>
        <w:pageBreakBefore w:val="0"/>
        <w:widowControl w:val="0"/>
        <w:kinsoku/>
        <w:wordWrap/>
        <w:overflowPunct/>
        <w:bidi w:val="0"/>
        <w:spacing w:line="500" w:lineRule="exact"/>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（a）竣工文件资料、竣工图资料（原件）各一式</w:t>
      </w:r>
      <w:r>
        <w:rPr>
          <w:rFonts w:hint="eastAsia" w:ascii="宋体" w:hAnsi="宋体" w:eastAsia="宋体" w:cs="宋体"/>
          <w:color w:val="auto"/>
          <w:sz w:val="24"/>
          <w:szCs w:val="24"/>
          <w:highlight w:val="none"/>
          <w:u w:val="single"/>
        </w:rPr>
        <w:t>四</w:t>
      </w:r>
      <w:r>
        <w:rPr>
          <w:rFonts w:hint="eastAsia" w:ascii="宋体" w:hAnsi="宋体" w:eastAsia="宋体" w:cs="宋体"/>
          <w:color w:val="auto"/>
          <w:sz w:val="24"/>
          <w:szCs w:val="24"/>
          <w:highlight w:val="none"/>
        </w:rPr>
        <w:t>份；</w:t>
      </w:r>
    </w:p>
    <w:p>
      <w:pPr>
        <w:keepNext w:val="0"/>
        <w:keepLines w:val="0"/>
        <w:pageBreakBefore w:val="0"/>
        <w:widowControl w:val="0"/>
        <w:kinsoku/>
        <w:wordWrap/>
        <w:overflowPunct/>
        <w:bidi w:val="0"/>
        <w:spacing w:line="500" w:lineRule="exact"/>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（b）与本款（a）项内容相同的电子版资料一式</w:t>
      </w:r>
      <w:r>
        <w:rPr>
          <w:rFonts w:hint="eastAsia" w:ascii="宋体" w:hAnsi="宋体" w:eastAsia="宋体" w:cs="宋体"/>
          <w:color w:val="auto"/>
          <w:sz w:val="24"/>
          <w:szCs w:val="24"/>
          <w:highlight w:val="none"/>
          <w:u w:val="single"/>
        </w:rPr>
        <w:t>二</w:t>
      </w:r>
      <w:r>
        <w:rPr>
          <w:rFonts w:hint="eastAsia" w:ascii="宋体" w:hAnsi="宋体" w:eastAsia="宋体" w:cs="宋体"/>
          <w:color w:val="auto"/>
          <w:sz w:val="24"/>
          <w:szCs w:val="24"/>
          <w:highlight w:val="none"/>
        </w:rPr>
        <w:t>份；</w:t>
      </w:r>
    </w:p>
    <w:p>
      <w:pPr>
        <w:keepNext w:val="0"/>
        <w:keepLines w:val="0"/>
        <w:pageBreakBefore w:val="0"/>
        <w:widowControl w:val="0"/>
        <w:kinsoku/>
        <w:wordWrap/>
        <w:overflowPunct/>
        <w:bidi w:val="0"/>
        <w:spacing w:line="500" w:lineRule="exact"/>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（2）乙方移交竣工资料的时限：乙方应于工程竣工验收后</w:t>
      </w:r>
      <w:r>
        <w:rPr>
          <w:rFonts w:hint="eastAsia" w:ascii="宋体" w:hAnsi="宋体" w:eastAsia="宋体" w:cs="宋体"/>
          <w:color w:val="auto"/>
          <w:sz w:val="24"/>
          <w:szCs w:val="24"/>
          <w:highlight w:val="none"/>
          <w:u w:val="single"/>
        </w:rPr>
        <w:t>30</w:t>
      </w:r>
      <w:r>
        <w:rPr>
          <w:rFonts w:hint="eastAsia" w:ascii="宋体" w:hAnsi="宋体" w:eastAsia="宋体" w:cs="宋体"/>
          <w:color w:val="auto"/>
          <w:sz w:val="24"/>
          <w:szCs w:val="24"/>
          <w:highlight w:val="none"/>
        </w:rPr>
        <w:t>日内将竣工资料提交甲方签认。乙方应于甲方签认后</w:t>
      </w:r>
      <w:r>
        <w:rPr>
          <w:rFonts w:hint="eastAsia" w:ascii="宋体" w:hAnsi="宋体" w:eastAsia="宋体" w:cs="宋体"/>
          <w:color w:val="auto"/>
          <w:sz w:val="24"/>
          <w:szCs w:val="24"/>
          <w:highlight w:val="none"/>
          <w:u w:val="single"/>
        </w:rPr>
        <w:t>10</w:t>
      </w:r>
      <w:r>
        <w:rPr>
          <w:rFonts w:hint="eastAsia" w:ascii="宋体" w:hAnsi="宋体" w:eastAsia="宋体" w:cs="宋体"/>
          <w:color w:val="auto"/>
          <w:sz w:val="24"/>
          <w:szCs w:val="24"/>
          <w:highlight w:val="none"/>
        </w:rPr>
        <w:t>日内将竣工资料移交给甲方归档并同时移交有关的证明文件。甲方经审查合格的，应在收到竣工资料后</w:t>
      </w:r>
      <w:r>
        <w:rPr>
          <w:rFonts w:hint="eastAsia" w:ascii="宋体" w:hAnsi="宋体" w:eastAsia="宋体" w:cs="宋体"/>
          <w:color w:val="auto"/>
          <w:sz w:val="24"/>
          <w:szCs w:val="24"/>
          <w:highlight w:val="none"/>
          <w:u w:val="single"/>
        </w:rPr>
        <w:t>10</w:t>
      </w:r>
      <w:r>
        <w:rPr>
          <w:rFonts w:hint="eastAsia" w:ascii="宋体" w:hAnsi="宋体" w:eastAsia="宋体" w:cs="宋体"/>
          <w:color w:val="auto"/>
          <w:sz w:val="24"/>
          <w:szCs w:val="24"/>
          <w:highlight w:val="none"/>
        </w:rPr>
        <w:t>日内签署资料验收意见；不合格的，乙方应按甲方要求限期补正，直至合格为止。乙方超过本条规定的时限，每逾期一日，支付</w:t>
      </w:r>
      <w:r>
        <w:rPr>
          <w:rFonts w:hint="eastAsia" w:ascii="宋体" w:hAnsi="宋体" w:eastAsia="宋体" w:cs="宋体"/>
          <w:color w:val="auto"/>
          <w:sz w:val="24"/>
          <w:szCs w:val="24"/>
          <w:highlight w:val="none"/>
          <w:u w:val="single"/>
        </w:rPr>
        <w:t>合同暂定总价</w:t>
      </w:r>
      <w:r>
        <w:rPr>
          <w:rFonts w:hint="eastAsia" w:ascii="宋体" w:hAnsi="宋体" w:eastAsia="宋体" w:cs="宋体"/>
          <w:bCs/>
          <w:color w:val="auto"/>
          <w:sz w:val="24"/>
          <w:szCs w:val="24"/>
          <w:highlight w:val="none"/>
          <w:u w:val="single"/>
        </w:rPr>
        <w:t>万分之五/日</w:t>
      </w:r>
      <w:r>
        <w:rPr>
          <w:rFonts w:hint="eastAsia" w:ascii="宋体" w:hAnsi="宋体" w:eastAsia="宋体" w:cs="宋体"/>
          <w:color w:val="auto"/>
          <w:sz w:val="24"/>
          <w:szCs w:val="24"/>
          <w:highlight w:val="none"/>
        </w:rPr>
        <w:t>违约金。</w:t>
      </w:r>
    </w:p>
    <w:p>
      <w:pPr>
        <w:keepNext w:val="0"/>
        <w:keepLines w:val="0"/>
        <w:pageBreakBefore w:val="0"/>
        <w:widowControl w:val="0"/>
        <w:kinsoku/>
        <w:wordWrap/>
        <w:overflowPunct/>
        <w:bidi w:val="0"/>
        <w:spacing w:line="500" w:lineRule="exact"/>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（3）电子版竣工图的编制，以甲方提供的电子版施工图为基础。乙方在移交竣工资料时，应一并移交甲方提供的电子版施工图。</w:t>
      </w:r>
    </w:p>
    <w:p>
      <w:pPr>
        <w:keepNext w:val="0"/>
        <w:keepLines w:val="0"/>
        <w:pageBreakBefore w:val="0"/>
        <w:widowControl w:val="0"/>
        <w:kinsoku/>
        <w:wordWrap/>
        <w:overflowPunct/>
        <w:bidi w:val="0"/>
        <w:spacing w:line="50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电子版施工图和电子版竣工图的知识产权归属甲方所有，非经甲方许可，乙方不得以任何方式复制、备份、转让和利用。否则，由此引起的任何纠纷和责任由乙方承担。</w:t>
      </w:r>
    </w:p>
    <w:p>
      <w:pPr>
        <w:keepNext w:val="0"/>
        <w:keepLines w:val="0"/>
        <w:pageBreakBefore w:val="0"/>
        <w:widowControl w:val="0"/>
        <w:kinsoku/>
        <w:wordWrap/>
        <w:overflowPunct/>
        <w:bidi w:val="0"/>
        <w:spacing w:line="500" w:lineRule="exact"/>
        <w:ind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11.6本合同竣工</w:t>
      </w:r>
      <w:r>
        <w:rPr>
          <w:rFonts w:hint="eastAsia" w:ascii="宋体" w:hAnsi="宋体" w:eastAsia="宋体" w:cs="宋体"/>
          <w:color w:val="auto"/>
          <w:sz w:val="24"/>
          <w:szCs w:val="24"/>
          <w:highlight w:val="none"/>
          <w:u w:val="single"/>
          <w:lang w:val="en-US" w:eastAsia="zh-CN"/>
        </w:rPr>
        <w:t>验收结算</w:t>
      </w:r>
      <w:r>
        <w:rPr>
          <w:rFonts w:hint="eastAsia" w:ascii="宋体" w:hAnsi="宋体" w:eastAsia="宋体" w:cs="宋体"/>
          <w:color w:val="auto"/>
          <w:sz w:val="24"/>
          <w:szCs w:val="24"/>
          <w:highlight w:val="none"/>
          <w:lang w:val="en-US" w:eastAsia="zh-CN"/>
        </w:rPr>
        <w:t>单位为：</w:t>
      </w:r>
      <w:r>
        <w:rPr>
          <w:rFonts w:hint="eastAsia" w:ascii="宋体" w:hAnsi="宋体" w:eastAsia="宋体" w:cs="宋体"/>
          <w:color w:val="auto"/>
          <w:sz w:val="24"/>
          <w:szCs w:val="24"/>
          <w:highlight w:val="none"/>
          <w:u w:val="single"/>
          <w:lang w:val="en-US" w:eastAsia="zh-CN"/>
        </w:rPr>
        <w:t xml:space="preserve">        。</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第十二条 工程结算</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 乙方在工程竣工验收合格后</w:t>
      </w:r>
      <w:r>
        <w:rPr>
          <w:rFonts w:hint="eastAsia" w:ascii="宋体" w:hAnsi="宋体" w:eastAsia="宋体" w:cs="宋体"/>
          <w:color w:val="auto"/>
          <w:sz w:val="24"/>
          <w:szCs w:val="24"/>
          <w:highlight w:val="none"/>
          <w:u w:val="single"/>
        </w:rPr>
        <w:t xml:space="preserve"> 28 </w:t>
      </w:r>
      <w:r>
        <w:rPr>
          <w:rFonts w:hint="eastAsia" w:ascii="宋体" w:hAnsi="宋体" w:eastAsia="宋体" w:cs="宋体"/>
          <w:color w:val="auto"/>
          <w:sz w:val="24"/>
          <w:szCs w:val="24"/>
          <w:highlight w:val="none"/>
        </w:rPr>
        <w:t>日内，按甲方要求将完整的竣工结算资料（一式两套原件）报送甲方，如乙方未在规定时间内提供完整的工程竣工结算资料，每逾期一日，应支付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1000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元/日违约金，并且经甲方书面催促后</w:t>
      </w:r>
      <w:r>
        <w:rPr>
          <w:rFonts w:hint="eastAsia" w:ascii="宋体" w:hAnsi="宋体" w:eastAsia="宋体" w:cs="宋体"/>
          <w:color w:val="auto"/>
          <w:sz w:val="24"/>
          <w:szCs w:val="24"/>
          <w:highlight w:val="none"/>
          <w:u w:val="single"/>
        </w:rPr>
        <w:t xml:space="preserve"> 14 </w:t>
      </w:r>
      <w:r>
        <w:rPr>
          <w:rFonts w:hint="eastAsia" w:ascii="宋体" w:hAnsi="宋体" w:eastAsia="宋体" w:cs="宋体"/>
          <w:color w:val="auto"/>
          <w:sz w:val="24"/>
          <w:szCs w:val="24"/>
          <w:highlight w:val="none"/>
        </w:rPr>
        <w:t>日内仍未提供或没有书面答复，甲方有权根据已有资料单方办理结算，合同结算价以甲方或甲方委托的第三方造价咨询单位出具的审核结果为准。</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12.2结算原则</w:t>
      </w:r>
    </w:p>
    <w:p>
      <w:pPr>
        <w:keepNext w:val="0"/>
        <w:keepLines w:val="0"/>
        <w:pageBreakBefore w:val="0"/>
        <w:widowControl w:val="0"/>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12.2.1 </w:t>
      </w:r>
      <w:r>
        <w:rPr>
          <w:rFonts w:hint="eastAsia" w:ascii="宋体" w:hAnsi="宋体" w:eastAsia="宋体" w:cs="宋体"/>
          <w:color w:val="auto"/>
          <w:sz w:val="24"/>
          <w:szCs w:val="24"/>
          <w:highlight w:val="none"/>
        </w:rPr>
        <w:sym w:font="Times New Roman" w:char="0000"/>
      </w:r>
      <w:r>
        <w:rPr>
          <w:rFonts w:hint="eastAsia" w:ascii="宋体" w:hAnsi="宋体" w:eastAsia="宋体" w:cs="宋体"/>
          <w:color w:val="auto"/>
          <w:sz w:val="24"/>
          <w:szCs w:val="24"/>
          <w:highlight w:val="none"/>
        </w:rPr>
        <w:t>综合单价包干</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本工程采用分部分项清单项目综合单价包干，项目措施费按实计量。结算时依据经甲方审查的结算资料计算实际工程量，并按综合单价（按合同清单综合单价、综合合价以及按合同约定的变更计价依据计算并将组价按乙方报价的下浮率（%）下浮）进行结算。</w:t>
      </w:r>
      <w:r>
        <w:rPr>
          <w:rFonts w:hint="eastAsia" w:ascii="宋体" w:hAnsi="宋体" w:eastAsia="宋体" w:cs="宋体"/>
          <w:bCs/>
          <w:color w:val="auto"/>
          <w:sz w:val="24"/>
          <w:szCs w:val="24"/>
          <w:highlight w:val="none"/>
        </w:rPr>
        <w:t>最终以甲方或者甲方委托的第三方造价咨询单位审核后的终审价作为结算价。</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12.2.2 </w:t>
      </w:r>
      <w:r>
        <w:rPr>
          <w:rFonts w:hint="eastAsia" w:ascii="宋体" w:hAnsi="宋体" w:eastAsia="宋体" w:cs="宋体"/>
          <w:color w:val="auto"/>
          <w:sz w:val="24"/>
          <w:szCs w:val="24"/>
          <w:highlight w:val="none"/>
        </w:rPr>
        <w:sym w:font="Times New Roman" w:char="0000"/>
      </w:r>
      <w:r>
        <w:rPr>
          <w:rFonts w:hint="eastAsia" w:ascii="宋体" w:hAnsi="宋体" w:eastAsia="宋体" w:cs="宋体"/>
          <w:color w:val="auto"/>
          <w:sz w:val="24"/>
          <w:szCs w:val="24"/>
          <w:highlight w:val="none"/>
        </w:rPr>
        <w:t>固定总价包干</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项目的工程承包总价是由乙方按交易文件（如有）、图纸的承包范围、承包内容规定，采用清单计价办法或定额计价办法，结合工程现场实际情况，考虑风险后按相应下浮率下浮后编制的，除甲方对原承包范围、承包内容进行变更或同意变更外，乙方必须按本承包价对交易文件（如有）、图纸的范围、内容、要求进行包施工、包安装、包料、包质量、包安全、包工期、包文明施工等的总价包干，其中项目措施费按实计量。</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如因甲方对承包范围、承包内容进行变更或同意变更时，变更项目的工程造价采用清单计价方法或定额计价方法按合同约定的变更计价依据进行计价后下浮</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bCs/>
          <w:color w:val="auto"/>
          <w:sz w:val="24"/>
          <w:szCs w:val="24"/>
          <w:highlight w:val="none"/>
        </w:rPr>
        <w:t>最终以甲方或甲方委托的第三方造价咨询单位审核后的终审价作为结算价。</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 变更计价依据</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工程变更按下列规定调整：</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12.3.1因非甲方原因引起工程量报价清单中工程量发生增减，且单个子目工程量变化幅度在5%以内（含）时，按工程量报价清单中列明的子目单价结算。否则，按新增单价执行。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12.3.2</w:t>
      </w:r>
      <w:r>
        <w:rPr>
          <w:rFonts w:hint="eastAsia" w:ascii="宋体" w:hAnsi="宋体" w:eastAsia="宋体" w:cs="宋体"/>
          <w:color w:val="auto"/>
          <w:sz w:val="24"/>
          <w:szCs w:val="24"/>
          <w:highlight w:val="none"/>
        </w:rPr>
        <w:t xml:space="preserve"> 合同中没有适用于变更工程项目的单价的，</w:t>
      </w:r>
      <w:r>
        <w:rPr>
          <w:rFonts w:hint="eastAsia" w:ascii="宋体" w:hAnsi="宋体" w:eastAsia="宋体" w:cs="宋体"/>
          <w:color w:val="auto"/>
          <w:sz w:val="24"/>
          <w:szCs w:val="24"/>
          <w:highlight w:val="none"/>
          <w:lang w:val="en-US" w:eastAsia="zh-CN"/>
        </w:rPr>
        <w:t>按新增单价执行。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12.3.3新增单价计价原则：</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合同中没有适用于变更工程项目的单价的，</w:t>
      </w:r>
      <w:r>
        <w:rPr>
          <w:rFonts w:hint="eastAsia" w:ascii="宋体" w:hAnsi="宋体" w:eastAsia="宋体" w:cs="宋体"/>
          <w:color w:val="auto"/>
          <w:sz w:val="24"/>
          <w:szCs w:val="24"/>
          <w:highlight w:val="none"/>
          <w:lang w:val="en-US" w:eastAsia="zh-CN"/>
        </w:rPr>
        <w:t>按新增单价执行。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项目计价材料、设备价格的控制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按以下顺序作为降序优先级依次采用工程开工报告中开工日期当月的下列价格</w:t>
      </w:r>
      <w:r>
        <w:rPr>
          <w:rFonts w:hint="eastAsia" w:ascii="宋体" w:hAnsi="宋体" w:eastAsia="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（1）《广州地区建设工程常用材料税前综合价格》（下称综合价格）。</w:t>
      </w:r>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（2）《广州地区建设工程材料（设备）厂商价格信息》（下称厂商价格）下浮10-20%。</w:t>
      </w:r>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（3）综合价格、厂商价格中缺项的，采用由北京瑞恒达建筑咨询有限公司提供服务的“慧讯网”中查到的相应材料、设备价格的工程价。</w:t>
      </w:r>
    </w:p>
    <w:p>
      <w:pPr>
        <w:pStyle w:val="52"/>
        <w:rPr>
          <w:rFonts w:hint="default" w:eastAsia="宋体"/>
          <w:color w:val="auto"/>
          <w:highlight w:val="none"/>
          <w:lang w:val="en-US" w:eastAsia="zh-CN"/>
        </w:rPr>
      </w:pPr>
      <w:r>
        <w:rPr>
          <w:rFonts w:hint="eastAsia" w:hAnsi="宋体" w:eastAsia="宋体" w:cs="宋体"/>
          <w:color w:val="auto"/>
          <w:sz w:val="24"/>
          <w:szCs w:val="24"/>
          <w:highlight w:val="none"/>
          <w:lang w:val="en-US" w:eastAsia="zh-CN"/>
        </w:rPr>
        <w:t xml:space="preserve">  </w:t>
      </w:r>
      <w:r>
        <w:rPr>
          <w:rFonts w:ascii="宋体" w:hAnsi="宋体" w:eastAsia="宋体" w:cs="宋体"/>
          <w:color w:val="auto"/>
          <w:sz w:val="24"/>
          <w:szCs w:val="24"/>
          <w:highlight w:val="none"/>
        </w:rPr>
        <w:t>（4）通过市场询价双方协商确定。</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3.按1、2组价后下浮5%计取。</w:t>
      </w:r>
    </w:p>
    <w:p>
      <w:pPr>
        <w:keepNext w:val="0"/>
        <w:keepLines w:val="0"/>
        <w:pageBreakBefore w:val="0"/>
        <w:widowControl w:val="0"/>
        <w:tabs>
          <w:tab w:val="left" w:pos="851"/>
        </w:tabs>
        <w:kinsoku/>
        <w:wordWrap/>
        <w:overflowPunct/>
        <w:bidi w:val="0"/>
        <w:adjustRightInd w:val="0"/>
        <w:snapToGrid w:val="0"/>
        <w:spacing w:line="500" w:lineRule="exact"/>
        <w:ind w:firstLine="48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b/>
          <w:color w:val="auto"/>
          <w:sz w:val="24"/>
          <w:szCs w:val="24"/>
          <w:highlight w:val="none"/>
        </w:rPr>
        <w:t>第十三条 材料设备要求</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13.1乙方应对负责供应的材料设备，提供产品合格证明，保证其质量符合国家、地方及行业有关规范及设计要求，否则，乙方应在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日内重新供应符合要求的产品，由于乙方提供的伪劣、假冒等所有不合格材料而导致的损失、事故及一切后果，均由乙方负责并赔偿甲方所有损失。</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 甲方发现乙方使用与设计和规范要求不符的材料设备时，有权要求乙方停止使用，并在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日内拆除、修复或重新采购，如果乙方拒不履行，则甲方可自行或指派第三方实施，由此发生的费用由乙方承担。</w:t>
      </w:r>
    </w:p>
    <w:p>
      <w:pPr>
        <w:keepNext w:val="0"/>
        <w:keepLines w:val="0"/>
        <w:pageBreakBefore w:val="0"/>
        <w:widowControl w:val="0"/>
        <w:tabs>
          <w:tab w:val="left" w:pos="840"/>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13.3本项目所承包范围内所需的设备材料、成品、未成品、运输、保管、质量等责任均由乙方承担。</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第十四条 工程保修</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 质量保证金</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按工程结算审定价的</w:t>
      </w:r>
      <w:r>
        <w:rPr>
          <w:rFonts w:hint="eastAsia" w:ascii="宋体" w:hAnsi="宋体" w:eastAsia="宋体" w:cs="宋体"/>
          <w:color w:val="auto"/>
          <w:sz w:val="24"/>
          <w:szCs w:val="24"/>
          <w:highlight w:val="none"/>
          <w:u w:val="single"/>
        </w:rPr>
        <w:t>3 %</w:t>
      </w:r>
      <w:r>
        <w:rPr>
          <w:rFonts w:hint="eastAsia" w:ascii="宋体" w:hAnsi="宋体" w:eastAsia="宋体" w:cs="宋体"/>
          <w:color w:val="auto"/>
          <w:sz w:val="24"/>
          <w:szCs w:val="24"/>
          <w:highlight w:val="none"/>
        </w:rPr>
        <w:t>预留工程保修费用。乙方未按照法律法规有关规定和合同约定履行质量保修义务的，甲方有权从质量保证金中扣留用于质量保修的各项支出。</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14.2保修期自工程竣工验收合格之日起算，且不得低于法定保修年限。</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具体保修项目及保修期限：</w:t>
      </w:r>
      <w:r>
        <w:rPr>
          <w:rFonts w:hint="eastAsia" w:ascii="宋体" w:hAnsi="宋体" w:eastAsia="宋体" w:cs="宋体"/>
          <w:color w:val="auto"/>
          <w:sz w:val="24"/>
          <w:szCs w:val="24"/>
          <w:highlight w:val="none"/>
          <w:u w:val="single"/>
        </w:rPr>
        <w:t xml:space="preserve"> 详见工程质量保修书（附件）。</w:t>
      </w:r>
    </w:p>
    <w:p>
      <w:pPr>
        <w:keepNext w:val="0"/>
        <w:keepLines w:val="0"/>
        <w:pageBreakBefore w:val="0"/>
        <w:widowControl w:val="0"/>
        <w:kinsoku/>
        <w:wordWrap/>
        <w:overflowPunct/>
        <w:bidi w:val="0"/>
        <w:spacing w:line="500" w:lineRule="exact"/>
        <w:ind w:firstLine="420" w:firstLineChars="175"/>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14.3</w:t>
      </w:r>
      <w:r>
        <w:rPr>
          <w:rFonts w:hint="eastAsia" w:ascii="宋体" w:hAnsi="宋体" w:eastAsia="宋体" w:cs="宋体"/>
          <w:bCs/>
          <w:color w:val="auto"/>
          <w:sz w:val="24"/>
          <w:szCs w:val="24"/>
          <w:highlight w:val="none"/>
        </w:rPr>
        <w:t>质量保修期期间，本项目的质量问题由乙方免费提供保修服务，乙方应在收到甲方通知后日内派人员到场负责解决及维修，如果乙方不按时到场维修或到场后不能修复的，甲方有权委托他人予以维修，乙方承担由此发生的费用并支付</w:t>
      </w:r>
      <w:r>
        <w:rPr>
          <w:rFonts w:hint="eastAsia" w:ascii="宋体" w:hAnsi="宋体" w:eastAsia="宋体" w:cs="宋体"/>
          <w:bCs/>
          <w:color w:val="auto"/>
          <w:sz w:val="24"/>
          <w:szCs w:val="24"/>
          <w:highlight w:val="none"/>
          <w:u w:val="single"/>
        </w:rPr>
        <w:t>合同暂定总价的10%/次</w:t>
      </w:r>
      <w:r>
        <w:rPr>
          <w:rFonts w:hint="eastAsia" w:ascii="宋体" w:hAnsi="宋体" w:eastAsia="宋体" w:cs="宋体"/>
          <w:bCs/>
          <w:color w:val="auto"/>
          <w:sz w:val="24"/>
          <w:szCs w:val="24"/>
          <w:highlight w:val="none"/>
        </w:rPr>
        <w:t>作为违约金。</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14.4约定的保修期限终止后，由乙方提出支付申请，甲方审核后</w:t>
      </w:r>
      <w:r>
        <w:rPr>
          <w:rFonts w:hint="eastAsia" w:ascii="宋体" w:hAnsi="宋体" w:eastAsia="宋体" w:cs="宋体"/>
          <w:color w:val="auto"/>
          <w:sz w:val="24"/>
          <w:szCs w:val="24"/>
          <w:highlight w:val="none"/>
          <w:u w:val="single"/>
        </w:rPr>
        <w:t>28日</w:t>
      </w:r>
      <w:r>
        <w:rPr>
          <w:rFonts w:hint="eastAsia" w:ascii="宋体" w:hAnsi="宋体" w:eastAsia="宋体" w:cs="宋体"/>
          <w:color w:val="auto"/>
          <w:sz w:val="24"/>
          <w:szCs w:val="24"/>
          <w:highlight w:val="none"/>
        </w:rPr>
        <w:t>内将剩余的质量保证金（无息）返还。</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第十五条 违约处理</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甲方或乙方不能按合同条款约定内容履行自己的各项义务及发生使合同无法履行的行为，应承担相应的违约责任，包括支付违约金，赔偿因其违约给对方造成的全部经济损失。</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 xml:space="preserve">15.1 </w:t>
      </w:r>
      <w:r>
        <w:rPr>
          <w:rFonts w:hint="eastAsia" w:ascii="宋体" w:hAnsi="宋体" w:eastAsia="宋体" w:cs="宋体"/>
          <w:bCs/>
          <w:color w:val="auto"/>
          <w:sz w:val="24"/>
          <w:szCs w:val="24"/>
          <w:highlight w:val="none"/>
        </w:rPr>
        <w:t>工期延误</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因乙方原因造成工期延误，每逾期一日，应按</w:t>
      </w:r>
      <w:r>
        <w:rPr>
          <w:rFonts w:hint="eastAsia" w:ascii="宋体" w:hAnsi="宋体" w:eastAsia="宋体" w:cs="宋体"/>
          <w:color w:val="auto"/>
          <w:sz w:val="24"/>
          <w:szCs w:val="24"/>
          <w:highlight w:val="none"/>
          <w:u w:val="single"/>
        </w:rPr>
        <w:t>合同暂定价的1%/日</w:t>
      </w:r>
      <w:r>
        <w:rPr>
          <w:rFonts w:hint="eastAsia" w:ascii="宋体" w:hAnsi="宋体" w:eastAsia="宋体" w:cs="宋体"/>
          <w:color w:val="auto"/>
          <w:sz w:val="24"/>
          <w:szCs w:val="24"/>
          <w:highlight w:val="none"/>
        </w:rPr>
        <w:t>支付逾期违约金，逾期达到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日及以上的，甲方有权解除合同。乙方支付逾期违约金后，不免除乙方继续完成工程及修补缺陷的义务以及赔偿因此给甲方造成损失的责任。       </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  工程质量不合格</w:t>
      </w:r>
    </w:p>
    <w:p>
      <w:pPr>
        <w:keepNext w:val="0"/>
        <w:keepLines w:val="0"/>
        <w:pageBreakBefore w:val="0"/>
        <w:widowControl w:val="0"/>
        <w:tabs>
          <w:tab w:val="left" w:pos="851"/>
        </w:tabs>
        <w:kinsoku/>
        <w:wordWrap/>
        <w:overflowPunct/>
        <w:bidi w:val="0"/>
        <w:adjustRightInd w:val="0"/>
        <w:snapToGrid w:val="0"/>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15.2.1工程存在质量问题的，乙方应在甲方规定期限内整改直至达到合同要求的质量标准，如果逾期不整改或者整改不符合合同约定，甲方有权委托第三方整改，所产生的费用由甲方从应付或将付给乙方的款项中扣除，且甲方有权要求乙方支付</w:t>
      </w:r>
      <w:r>
        <w:rPr>
          <w:rFonts w:hint="eastAsia" w:ascii="宋体" w:hAnsi="宋体" w:eastAsia="宋体" w:cs="宋体"/>
          <w:color w:val="auto"/>
          <w:sz w:val="24"/>
          <w:szCs w:val="24"/>
          <w:highlight w:val="none"/>
          <w:u w:val="single"/>
        </w:rPr>
        <w:t xml:space="preserve">合同暂定总价的 20%  </w:t>
      </w:r>
      <w:r>
        <w:rPr>
          <w:rFonts w:hint="eastAsia" w:ascii="宋体" w:hAnsi="宋体" w:eastAsia="宋体" w:cs="宋体"/>
          <w:color w:val="auto"/>
          <w:sz w:val="24"/>
          <w:szCs w:val="24"/>
          <w:highlight w:val="none"/>
        </w:rPr>
        <w:t xml:space="preserve"> /次的违约金。由此造成的经济和法律责任，均由乙方负责。</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出现上述情形超过</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2</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次（含</w:t>
      </w:r>
      <w:r>
        <w:rPr>
          <w:rFonts w:hint="eastAsia" w:ascii="宋体" w:hAnsi="宋体" w:eastAsia="宋体" w:cs="宋体"/>
          <w:color w:val="auto"/>
          <w:sz w:val="24"/>
          <w:szCs w:val="24"/>
          <w:highlight w:val="none"/>
          <w:u w:val="single"/>
          <w:lang w:val="en-US" w:eastAsia="zh-CN"/>
        </w:rPr>
        <w:t xml:space="preserve"> 2</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次）的，甲方有权解除合同。</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15.2.2  工程经竣工验收不合格的，乙方完成整改后应重新申请验收，经重新组织验收仍不合格且无法采取措施补救的，则甲方有权解除合同，并要求乙方按</w:t>
      </w:r>
      <w:r>
        <w:rPr>
          <w:rFonts w:hint="eastAsia" w:ascii="宋体" w:hAnsi="宋体" w:eastAsia="宋体" w:cs="宋体"/>
          <w:color w:val="auto"/>
          <w:sz w:val="24"/>
          <w:szCs w:val="24"/>
          <w:highlight w:val="none"/>
          <w:u w:val="single"/>
        </w:rPr>
        <w:t>合同暂定总价的20%</w:t>
      </w:r>
      <w:r>
        <w:rPr>
          <w:rFonts w:hint="eastAsia" w:ascii="宋体" w:hAnsi="宋体" w:eastAsia="宋体" w:cs="宋体"/>
          <w:color w:val="auto"/>
          <w:sz w:val="24"/>
          <w:szCs w:val="24"/>
          <w:highlight w:val="none"/>
        </w:rPr>
        <w:t>支付违约金，乙方承担由此造成的全部损失。</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15.2.3质量事故：因乙方原因发生质量事故，甲方有权根据质量事故的严重程度对乙方处以不低于</w:t>
      </w:r>
      <w:r>
        <w:rPr>
          <w:rFonts w:hint="eastAsia" w:ascii="宋体" w:hAnsi="宋体" w:eastAsia="宋体" w:cs="宋体"/>
          <w:color w:val="auto"/>
          <w:sz w:val="24"/>
          <w:szCs w:val="24"/>
          <w:highlight w:val="none"/>
          <w:u w:val="single"/>
        </w:rPr>
        <w:t>合同暂定总价20%</w:t>
      </w:r>
      <w:r>
        <w:rPr>
          <w:rFonts w:hint="eastAsia" w:ascii="宋体" w:hAnsi="宋体" w:eastAsia="宋体" w:cs="宋体"/>
          <w:color w:val="auto"/>
          <w:sz w:val="24"/>
          <w:szCs w:val="24"/>
          <w:highlight w:val="none"/>
        </w:rPr>
        <w:t>的处罚，该处罚不免除乙方自费返工或修复的责任。</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 安全隐患</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发现乙方未遵守安全生产和文明施工规定或施工现场存在安全事故隐患的，以书面形式通知乙方整改；情况严重的，可要求乙方暂停施工。乙方在收到书面通知后的48小时内仍未整改的，甲方有权委托第三方整改，所产生的费用由甲方从应付或将付给乙方的款项中扣除，且甲方有权要求乙方支付</w:t>
      </w:r>
      <w:r>
        <w:rPr>
          <w:rFonts w:hint="eastAsia" w:ascii="宋体" w:hAnsi="宋体" w:eastAsia="宋体" w:cs="宋体"/>
          <w:color w:val="auto"/>
          <w:sz w:val="24"/>
          <w:szCs w:val="24"/>
          <w:highlight w:val="none"/>
          <w:u w:val="single"/>
        </w:rPr>
        <w:t xml:space="preserve">合同暂定总价的 20%  </w:t>
      </w:r>
      <w:r>
        <w:rPr>
          <w:rFonts w:hint="eastAsia" w:ascii="宋体" w:hAnsi="宋体" w:eastAsia="宋体" w:cs="宋体"/>
          <w:color w:val="auto"/>
          <w:sz w:val="24"/>
          <w:szCs w:val="24"/>
          <w:highlight w:val="none"/>
        </w:rPr>
        <w:t xml:space="preserve"> /次的违约金。</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出现上述情形超过</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2</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次（含</w:t>
      </w:r>
      <w:r>
        <w:rPr>
          <w:rFonts w:hint="eastAsia" w:ascii="宋体" w:hAnsi="宋体" w:eastAsia="宋体" w:cs="宋体"/>
          <w:color w:val="auto"/>
          <w:sz w:val="24"/>
          <w:szCs w:val="24"/>
          <w:highlight w:val="none"/>
          <w:u w:val="single"/>
          <w:lang w:val="en-US" w:eastAsia="zh-CN"/>
        </w:rPr>
        <w:t xml:space="preserve"> 2</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次）的，甲方有权解除合同。</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15.4安全事故</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对合同工程的安全施工负责，应及时、如实报告生产安全事故。乙方违反本合同规定或由于乙方原因造成的安全事故的，由乙方承担相应责任和费用，工期不予顺延。甲方根据法定部门认定的事故等级，追究乙方相应的违约赔偿责任。</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15.5项目负责人不符合合同要求</w:t>
      </w:r>
    </w:p>
    <w:p>
      <w:pPr>
        <w:pStyle w:val="13"/>
        <w:keepNext w:val="0"/>
        <w:keepLines w:val="0"/>
        <w:pageBreakBefore w:val="0"/>
        <w:widowControl w:val="0"/>
        <w:kinsoku/>
        <w:wordWrap/>
        <w:overflowPunct/>
        <w:bidi w:val="0"/>
        <w:spacing w:line="500" w:lineRule="exact"/>
        <w:ind w:firstLine="448" w:firstLineChars="200"/>
        <w:outlineLvl w:val="1"/>
        <w:rPr>
          <w:rFonts w:hint="eastAsia" w:ascii="宋体" w:hAnsi="宋体" w:eastAsia="宋体" w:cs="宋体"/>
          <w:color w:val="auto"/>
          <w:spacing w:val="-8"/>
          <w:sz w:val="24"/>
          <w:highlight w:val="none"/>
        </w:rPr>
      </w:pPr>
      <w:r>
        <w:rPr>
          <w:rFonts w:hint="eastAsia" w:ascii="宋体" w:hAnsi="宋体" w:eastAsia="宋体" w:cs="宋体"/>
          <w:color w:val="auto"/>
          <w:spacing w:val="-8"/>
          <w:sz w:val="24"/>
          <w:highlight w:val="none"/>
        </w:rPr>
        <w:t>乙方不得随意更换项目负责人及</w:t>
      </w:r>
      <w:r>
        <w:rPr>
          <w:rFonts w:hint="eastAsia" w:hAnsi="宋体" w:eastAsia="宋体" w:cs="宋体"/>
          <w:color w:val="auto"/>
          <w:spacing w:val="-8"/>
          <w:sz w:val="24"/>
          <w:highlight w:val="none"/>
          <w:lang w:val="en-US" w:eastAsia="zh-CN"/>
        </w:rPr>
        <w:t>附件6中的</w:t>
      </w:r>
      <w:r>
        <w:rPr>
          <w:rFonts w:hint="eastAsia" w:ascii="宋体" w:hAnsi="宋体" w:eastAsia="宋体" w:cs="宋体"/>
          <w:color w:val="auto"/>
          <w:spacing w:val="-8"/>
          <w:sz w:val="24"/>
          <w:highlight w:val="none"/>
        </w:rPr>
        <w:t>相关人员，如确须更换，应事先征得甲方同意。如有违反，甲方有权解除合同并要求乙方支付</w:t>
      </w:r>
      <w:r>
        <w:rPr>
          <w:rFonts w:hint="eastAsia" w:ascii="宋体" w:hAnsi="宋体" w:eastAsia="宋体" w:cs="宋体"/>
          <w:color w:val="auto"/>
          <w:spacing w:val="-8"/>
          <w:sz w:val="24"/>
          <w:highlight w:val="none"/>
          <w:u w:val="single"/>
        </w:rPr>
        <w:t xml:space="preserve"> </w:t>
      </w:r>
      <w:r>
        <w:rPr>
          <w:rFonts w:hint="eastAsia" w:hAnsi="宋体" w:eastAsia="宋体" w:cs="宋体"/>
          <w:color w:val="auto"/>
          <w:spacing w:val="-8"/>
          <w:sz w:val="24"/>
          <w:highlight w:val="none"/>
          <w:u w:val="single"/>
          <w:lang w:val="en-US" w:eastAsia="zh-CN"/>
        </w:rPr>
        <w:t>5000</w:t>
      </w:r>
      <w:r>
        <w:rPr>
          <w:rFonts w:hint="eastAsia" w:ascii="宋体" w:hAnsi="宋体" w:eastAsia="宋体" w:cs="宋体"/>
          <w:color w:val="auto"/>
          <w:spacing w:val="-8"/>
          <w:sz w:val="24"/>
          <w:highlight w:val="none"/>
          <w:u w:val="single"/>
        </w:rPr>
        <w:t xml:space="preserve"> </w:t>
      </w:r>
      <w:r>
        <w:rPr>
          <w:rFonts w:hint="eastAsia" w:ascii="宋体" w:hAnsi="宋体" w:eastAsia="宋体" w:cs="宋体"/>
          <w:color w:val="auto"/>
          <w:spacing w:val="-8"/>
          <w:sz w:val="24"/>
          <w:highlight w:val="none"/>
        </w:rPr>
        <w:t>元/人次作为违约金，以及赔偿由此造成的一切损失(包含质量安全事故、拖延工期、增加投资等损失)。在施工过程中，项目负责人</w:t>
      </w:r>
      <w:r>
        <w:rPr>
          <w:rFonts w:hint="eastAsia" w:ascii="宋体" w:hAnsi="宋体" w:eastAsia="宋体" w:cs="宋体"/>
          <w:color w:val="auto"/>
          <w:spacing w:val="-8"/>
          <w:sz w:val="24"/>
          <w:highlight w:val="none"/>
          <w:u w:val="single"/>
        </w:rPr>
        <w:t>驻现场管理，</w:t>
      </w:r>
      <w:r>
        <w:rPr>
          <w:rFonts w:hint="eastAsia" w:ascii="宋体" w:hAnsi="宋体" w:eastAsia="宋体" w:cs="宋体"/>
          <w:color w:val="auto"/>
          <w:spacing w:val="-8"/>
          <w:sz w:val="24"/>
          <w:highlight w:val="none"/>
        </w:rPr>
        <w:t>否则甲方有权要求支付违约金</w:t>
      </w:r>
      <w:r>
        <w:rPr>
          <w:rFonts w:hint="eastAsia" w:ascii="宋体" w:hAnsi="宋体" w:eastAsia="宋体" w:cs="宋体"/>
          <w:color w:val="auto"/>
          <w:spacing w:val="-8"/>
          <w:sz w:val="24"/>
          <w:highlight w:val="none"/>
          <w:u w:val="single"/>
        </w:rPr>
        <w:t xml:space="preserve"> </w:t>
      </w:r>
      <w:r>
        <w:rPr>
          <w:rFonts w:hint="eastAsia" w:hAnsi="宋体" w:eastAsia="宋体" w:cs="宋体"/>
          <w:color w:val="auto"/>
          <w:spacing w:val="-8"/>
          <w:sz w:val="24"/>
          <w:highlight w:val="none"/>
          <w:u w:val="single"/>
          <w:lang w:val="en-US" w:eastAsia="zh-CN"/>
        </w:rPr>
        <w:t>1000</w:t>
      </w:r>
      <w:r>
        <w:rPr>
          <w:rFonts w:hint="eastAsia" w:ascii="宋体" w:hAnsi="宋体" w:eastAsia="宋体" w:cs="宋体"/>
          <w:color w:val="auto"/>
          <w:spacing w:val="-8"/>
          <w:sz w:val="24"/>
          <w:highlight w:val="none"/>
          <w:u w:val="single"/>
        </w:rPr>
        <w:t xml:space="preserve"> 元</w:t>
      </w:r>
      <w:r>
        <w:rPr>
          <w:rFonts w:hint="eastAsia" w:ascii="宋体" w:hAnsi="宋体" w:eastAsia="宋体" w:cs="宋体"/>
          <w:color w:val="auto"/>
          <w:spacing w:val="-8"/>
          <w:sz w:val="24"/>
          <w:highlight w:val="none"/>
        </w:rPr>
        <w:t>/次。因此造成损失的，按实际发生额赔偿。</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15.6 乙方保证其具有符合法律法规要求的完成本工程项目应具有的相应资质，禁止转包和分包，如违反上述约定，甲方有权解除合同，要求乙方支付</w:t>
      </w:r>
      <w:r>
        <w:rPr>
          <w:rFonts w:hint="eastAsia" w:ascii="宋体" w:hAnsi="宋体" w:eastAsia="宋体" w:cs="宋体"/>
          <w:color w:val="auto"/>
          <w:sz w:val="24"/>
          <w:szCs w:val="24"/>
          <w:highlight w:val="none"/>
          <w:u w:val="single"/>
        </w:rPr>
        <w:t xml:space="preserve"> 合同暂定总价的20%</w:t>
      </w:r>
      <w:r>
        <w:rPr>
          <w:rFonts w:hint="eastAsia" w:ascii="宋体" w:hAnsi="宋体" w:eastAsia="宋体" w:cs="宋体"/>
          <w:color w:val="auto"/>
          <w:sz w:val="24"/>
          <w:szCs w:val="24"/>
          <w:highlight w:val="none"/>
        </w:rPr>
        <w:t>作为违约金。</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15.7乙方与甲方按合同履约，任何违反本合同约定的行为均构成违约，违约方应向守约方支付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0.5</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万元/次的违约金（合同另有约定按其条款执行）。</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15.8除合同解除或终止外，违约方承担上述违约责任后仍应继续履行合同。 </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15.9</w:t>
      </w:r>
      <w:r>
        <w:rPr>
          <w:rFonts w:hint="eastAsia" w:ascii="宋体" w:hAnsi="宋体" w:eastAsia="宋体" w:cs="宋体"/>
          <w:color w:val="auto"/>
          <w:sz w:val="24"/>
          <w:szCs w:val="24"/>
          <w:highlight w:val="none"/>
        </w:rPr>
        <w:t>在合同有效期内，若乙方发生不诚信行为情形的，乙方自愿接受甲方按《广州市净水有限公司经营建设项目参建企业不诚信行为管理办法》处理</w:t>
      </w:r>
      <w:r>
        <w:rPr>
          <w:rFonts w:hint="eastAsia" w:ascii="宋体" w:hAnsi="宋体" w:eastAsia="宋体" w:cs="宋体"/>
          <w:color w:val="auto"/>
          <w:sz w:val="24"/>
          <w:szCs w:val="24"/>
          <w:highlight w:val="none"/>
          <w:lang w:eastAsia="zh-CN"/>
        </w:rPr>
        <w:t>，具体处罚标准详见附件</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 xml:space="preserve">   </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 xml:space="preserve">第十六条  </w:t>
      </w:r>
      <w:r>
        <w:rPr>
          <w:rFonts w:hint="eastAsia" w:ascii="宋体" w:hAnsi="宋体" w:eastAsia="宋体" w:cs="宋体"/>
          <w:b/>
          <w:color w:val="auto"/>
          <w:sz w:val="24"/>
          <w:szCs w:val="24"/>
          <w:highlight w:val="none"/>
        </w:rPr>
        <w:t>不可抗力</w:t>
      </w:r>
    </w:p>
    <w:p>
      <w:pPr>
        <w:keepNext w:val="0"/>
        <w:keepLines w:val="0"/>
        <w:pageBreakBefore w:val="0"/>
        <w:widowControl w:val="0"/>
        <w:kinsoku/>
        <w:wordWrap/>
        <w:overflowPunct/>
        <w:bidi w:val="0"/>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keepNext w:val="0"/>
        <w:keepLines w:val="0"/>
        <w:pageBreakBefore w:val="0"/>
        <w:widowControl w:val="0"/>
        <w:kinsoku/>
        <w:wordWrap/>
        <w:overflowPunct/>
        <w:bidi w:val="0"/>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（1）地震、火山爆发、滑坡、暴雨（橙色预警及以上）、台风（黄色预警及以上）、海啸、龙卷风、大面积流行病(如：非典型性肺炎等)或瘟疫；</w:t>
      </w:r>
    </w:p>
    <w:p>
      <w:pPr>
        <w:keepNext w:val="0"/>
        <w:keepLines w:val="0"/>
        <w:pageBreakBefore w:val="0"/>
        <w:widowControl w:val="0"/>
        <w:kinsoku/>
        <w:wordWrap/>
        <w:overflowPunct/>
        <w:bidi w:val="0"/>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（2）战争行为、入侵、武装冲突或外敌行为、封锁、暴乱、恐怖行为或军事演习；</w:t>
      </w:r>
    </w:p>
    <w:p>
      <w:pPr>
        <w:keepNext w:val="0"/>
        <w:keepLines w:val="0"/>
        <w:pageBreakBefore w:val="0"/>
        <w:widowControl w:val="0"/>
        <w:kinsoku/>
        <w:wordWrap/>
        <w:overflowPunct/>
        <w:bidi w:val="0"/>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16.2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keepNext w:val="0"/>
        <w:keepLines w:val="0"/>
        <w:pageBreakBefore w:val="0"/>
        <w:widowControl w:val="0"/>
        <w:kinsoku/>
        <w:wordWrap/>
        <w:overflowPunct/>
        <w:bidi w:val="0"/>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16.3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16.4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第十七条 争议解决</w:t>
      </w:r>
    </w:p>
    <w:p>
      <w:pPr>
        <w:keepNext w:val="0"/>
        <w:keepLines w:val="0"/>
        <w:pageBreakBefore w:val="0"/>
        <w:widowControl w:val="0"/>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17.1 在本合同履行中，如双方发生争议，应尽量通过协商解决，协商不成的，按下列第</w:t>
      </w:r>
      <w:r>
        <w:rPr>
          <w:rFonts w:hint="eastAsia" w:ascii="宋体" w:hAnsi="宋体" w:eastAsia="宋体" w:cs="宋体"/>
          <w:color w:val="auto"/>
          <w:sz w:val="24"/>
          <w:szCs w:val="24"/>
          <w:highlight w:val="none"/>
          <w:u w:val="single"/>
        </w:rPr>
        <w:t xml:space="preserve">  2  </w:t>
      </w:r>
      <w:r>
        <w:rPr>
          <w:rFonts w:hint="eastAsia" w:ascii="宋体" w:hAnsi="宋体" w:eastAsia="宋体" w:cs="宋体"/>
          <w:color w:val="auto"/>
          <w:sz w:val="24"/>
          <w:szCs w:val="24"/>
          <w:highlight w:val="none"/>
        </w:rPr>
        <w:t>种方式解决：</w:t>
      </w:r>
    </w:p>
    <w:p>
      <w:pPr>
        <w:keepNext w:val="0"/>
        <w:keepLines w:val="0"/>
        <w:pageBreakBefore w:val="0"/>
        <w:widowControl w:val="0"/>
        <w:numPr>
          <w:ilvl w:val="0"/>
          <w:numId w:val="6"/>
        </w:numPr>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向广州仲裁委员会申请仲裁; </w:t>
      </w:r>
    </w:p>
    <w:p>
      <w:pPr>
        <w:keepNext w:val="0"/>
        <w:keepLines w:val="0"/>
        <w:pageBreakBefore w:val="0"/>
        <w:widowControl w:val="0"/>
        <w:numPr>
          <w:ilvl w:val="0"/>
          <w:numId w:val="6"/>
        </w:numPr>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工程所在地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人民法院起诉。</w:t>
      </w:r>
    </w:p>
    <w:p>
      <w:pPr>
        <w:keepNext w:val="0"/>
        <w:keepLines w:val="0"/>
        <w:pageBreakBefore w:val="0"/>
        <w:widowControl w:val="0"/>
        <w:tabs>
          <w:tab w:val="left" w:pos="851"/>
        </w:tabs>
        <w:kinsoku/>
        <w:wordWrap/>
        <w:overflowPunct/>
        <w:bidi w:val="0"/>
        <w:adjustRightInd w:val="0"/>
        <w:snapToGrid w:val="0"/>
        <w:spacing w:line="500" w:lineRule="exact"/>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17.2 在甲方同意的情况下，除有争端之外的合同的其它部分在争端解决前应继续执行。</w:t>
      </w:r>
    </w:p>
    <w:p>
      <w:pPr>
        <w:keepNext w:val="0"/>
        <w:keepLines w:val="0"/>
        <w:pageBreakBefore w:val="0"/>
        <w:widowControl w:val="0"/>
        <w:kinsoku/>
        <w:wordWrap/>
        <w:overflowPunct/>
        <w:bidi w:val="0"/>
        <w:spacing w:line="500" w:lineRule="exact"/>
        <w:ind w:firstLine="602" w:firstLineChars="25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第十八条  其他：</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18.1 本协议未尽事宜，可由甲方、乙方双方另行签订补充协议。补充协议与本协议具有同等法律效力。</w:t>
      </w:r>
    </w:p>
    <w:p>
      <w:pPr>
        <w:keepNext w:val="0"/>
        <w:keepLines w:val="0"/>
        <w:pageBreakBefore w:val="0"/>
        <w:widowControl w:val="0"/>
        <w:kinsoku/>
        <w:wordWrap/>
        <w:overflowPunct/>
        <w:bidi w:val="0"/>
        <w:adjustRightInd w:val="0"/>
        <w:spacing w:line="500" w:lineRule="exact"/>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18.2 本协议自甲乙双方法定代表人或授权代理人签字并加盖公章之日起生效，双方履行完合同规定的义务后自动终止。</w:t>
      </w:r>
    </w:p>
    <w:p>
      <w:pPr>
        <w:keepNext w:val="0"/>
        <w:keepLines w:val="0"/>
        <w:pageBreakBefore w:val="0"/>
        <w:widowControl w:val="0"/>
        <w:kinsoku/>
        <w:wordWrap/>
        <w:overflowPunct/>
        <w:bidi w:val="0"/>
        <w:spacing w:line="500" w:lineRule="exact"/>
        <w:ind w:left="240"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18.3 本合同一式</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份，甲方执</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份，乙方执</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份。均具有同等法律效力。</w:t>
      </w:r>
    </w:p>
    <w:p>
      <w:pPr>
        <w:keepNext w:val="0"/>
        <w:keepLines w:val="0"/>
        <w:pageBreakBefore w:val="0"/>
        <w:widowControl w:val="0"/>
        <w:kinsoku/>
        <w:wordWrap/>
        <w:overflowPunct/>
        <w:bidi w:val="0"/>
        <w:adjustRightInd w:val="0"/>
        <w:spacing w:line="500" w:lineRule="exact"/>
        <w:ind w:firstLine="480" w:firstLineChars="200"/>
        <w:textAlignment w:val="baseline"/>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18.4</w:t>
      </w:r>
      <w:r>
        <w:rPr>
          <w:rFonts w:hint="eastAsia" w:ascii="宋体" w:hAnsi="宋体" w:eastAsia="宋体" w:cs="宋体"/>
          <w:bCs/>
          <w:color w:val="auto"/>
          <w:sz w:val="24"/>
          <w:szCs w:val="24"/>
          <w:highlight w:val="none"/>
        </w:rPr>
        <w:t>补充条款：</w:t>
      </w:r>
      <w:r>
        <w:rPr>
          <w:rFonts w:hint="eastAsia" w:ascii="宋体" w:hAnsi="宋体" w:eastAsia="宋体" w:cs="宋体"/>
          <w:color w:val="auto"/>
          <w:sz w:val="24"/>
          <w:szCs w:val="24"/>
          <w:highlight w:val="none"/>
          <w:u w:val="single"/>
        </w:rPr>
        <w:t xml:space="preserve">  …   </w:t>
      </w:r>
      <w:r>
        <w:rPr>
          <w:rFonts w:hint="eastAsia" w:ascii="宋体" w:hAnsi="宋体" w:eastAsia="宋体" w:cs="宋体"/>
          <w:b/>
          <w:bCs/>
          <w:color w:val="auto"/>
          <w:sz w:val="24"/>
          <w:szCs w:val="24"/>
          <w:highlight w:val="none"/>
        </w:rPr>
        <w:t xml:space="preserve">。 </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附件：1.中标通知书/发包通知书/</w:t>
      </w:r>
      <w:r>
        <w:rPr>
          <w:rFonts w:hint="eastAsia" w:ascii="宋体" w:hAnsi="宋体" w:eastAsia="宋体" w:cs="宋体"/>
          <w:color w:val="auto"/>
          <w:sz w:val="24"/>
          <w:szCs w:val="24"/>
          <w:highlight w:val="none"/>
          <w:lang w:val="en-US" w:eastAsia="zh-CN"/>
        </w:rPr>
        <w:t>成交通知书/</w:t>
      </w:r>
      <w:r>
        <w:rPr>
          <w:rFonts w:hint="eastAsia" w:ascii="宋体" w:hAnsi="宋体" w:eastAsia="宋体" w:cs="宋体"/>
          <w:color w:val="auto"/>
          <w:sz w:val="24"/>
          <w:szCs w:val="24"/>
          <w:highlight w:val="none"/>
        </w:rPr>
        <w:t>委托函；（如有）</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2.工程质量保修书</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3.廉洁协议</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4.施工安全协议书（具体以安全办通知为准）</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5.安全生产承诺书</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6.投入工程人员架构表</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不诚信行为的情形及相应被暂停参与投标活动的处理标准</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.工程量报价单/工程量清单</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.履约保函（模板）</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.授权委托证明（如需）</w:t>
      </w:r>
    </w:p>
    <w:p>
      <w:pPr>
        <w:keepNext w:val="0"/>
        <w:keepLines w:val="0"/>
        <w:pageBreakBefore w:val="0"/>
        <w:widowControl w:val="0"/>
        <w:kinsoku/>
        <w:wordWrap/>
        <w:overflowPunct/>
        <w:bidi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甲方：广州市净水有限公司（盖章）         乙方：（盖章）</w:t>
      </w:r>
    </w:p>
    <w:p>
      <w:pPr>
        <w:keepNext w:val="0"/>
        <w:keepLines w:val="0"/>
        <w:pageBreakBefore w:val="0"/>
        <w:widowControl w:val="0"/>
        <w:kinsoku/>
        <w:wordWrap/>
        <w:overflowPunct/>
        <w:bidi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法人代表：                               法人代表：</w:t>
      </w:r>
    </w:p>
    <w:p>
      <w:pPr>
        <w:keepNext w:val="0"/>
        <w:keepLines w:val="0"/>
        <w:pageBreakBefore w:val="0"/>
        <w:widowControl w:val="0"/>
        <w:kinsoku/>
        <w:wordWrap/>
        <w:overflowPunct/>
        <w:bidi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                                   地址：</w:t>
      </w:r>
    </w:p>
    <w:p>
      <w:pPr>
        <w:keepNext w:val="0"/>
        <w:keepLines w:val="0"/>
        <w:pageBreakBefore w:val="0"/>
        <w:widowControl w:val="0"/>
        <w:kinsoku/>
        <w:wordWrap/>
        <w:overflowPunct/>
        <w:bidi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                             委托代理人：</w:t>
      </w:r>
    </w:p>
    <w:p>
      <w:pPr>
        <w:keepNext w:val="0"/>
        <w:keepLines w:val="0"/>
        <w:pageBreakBefore w:val="0"/>
        <w:widowControl w:val="0"/>
        <w:kinsoku/>
        <w:wordWrap/>
        <w:overflowPunct/>
        <w:bidi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经办人：                                 经办人：</w:t>
      </w:r>
    </w:p>
    <w:p>
      <w:pPr>
        <w:keepNext w:val="0"/>
        <w:keepLines w:val="0"/>
        <w:pageBreakBefore w:val="0"/>
        <w:widowControl w:val="0"/>
        <w:kinsoku/>
        <w:wordWrap/>
        <w:overflowPunct/>
        <w:bidi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                               联系电话：</w:t>
      </w:r>
    </w:p>
    <w:p>
      <w:pPr>
        <w:keepNext w:val="0"/>
        <w:keepLines w:val="0"/>
        <w:pageBreakBefore w:val="0"/>
        <w:widowControl w:val="0"/>
        <w:kinsoku/>
        <w:wordWrap/>
        <w:overflowPunct/>
        <w:bidi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                                   传真：</w:t>
      </w:r>
    </w:p>
    <w:p>
      <w:pPr>
        <w:keepNext w:val="0"/>
        <w:keepLines w:val="0"/>
        <w:pageBreakBefore w:val="0"/>
        <w:widowControl w:val="0"/>
        <w:kinsoku/>
        <w:wordWrap/>
        <w:overflowPunct/>
        <w:bidi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签署日期：    年    月    日     签署日期：    年    月    日</w:t>
      </w:r>
    </w:p>
    <w:p>
      <w:pPr>
        <w:pStyle w:val="23"/>
        <w:rPr>
          <w:rFonts w:hint="eastAsia"/>
          <w:color w:val="auto"/>
          <w:highlight w:val="none"/>
        </w:rPr>
      </w:pPr>
    </w:p>
    <w:p>
      <w:pPr>
        <w:spacing w:before="156" w:beforeLines="50" w:line="580" w:lineRule="exact"/>
        <w:outlineLvl w:val="1"/>
        <w:rPr>
          <w:rFonts w:hint="eastAsia" w:ascii="宋体" w:hAnsi="宋体"/>
          <w:b/>
          <w:color w:val="auto"/>
          <w:sz w:val="24"/>
          <w:highlight w:val="none"/>
        </w:rPr>
      </w:pPr>
    </w:p>
    <w:p>
      <w:pPr>
        <w:spacing w:before="156" w:beforeLines="50" w:line="580" w:lineRule="exact"/>
        <w:outlineLvl w:val="1"/>
        <w:rPr>
          <w:rFonts w:hint="eastAsia" w:ascii="宋体" w:hAnsi="宋体"/>
          <w:b/>
          <w:color w:val="auto"/>
          <w:sz w:val="24"/>
          <w:highlight w:val="none"/>
        </w:rPr>
      </w:pPr>
    </w:p>
    <w:p>
      <w:pPr>
        <w:spacing w:before="156" w:beforeLines="50" w:line="580" w:lineRule="exact"/>
        <w:outlineLvl w:val="1"/>
        <w:rPr>
          <w:rFonts w:hint="eastAsia" w:ascii="宋体" w:hAnsi="宋体"/>
          <w:b/>
          <w:color w:val="auto"/>
          <w:sz w:val="24"/>
          <w:highlight w:val="none"/>
        </w:rPr>
      </w:pPr>
    </w:p>
    <w:p>
      <w:pPr>
        <w:spacing w:before="156" w:beforeLines="50" w:line="580" w:lineRule="exact"/>
        <w:outlineLvl w:val="1"/>
        <w:rPr>
          <w:rFonts w:hint="eastAsia" w:ascii="宋体" w:hAnsi="宋体"/>
          <w:b/>
          <w:color w:val="auto"/>
          <w:sz w:val="24"/>
          <w:highlight w:val="none"/>
        </w:rPr>
        <w:sectPr>
          <w:headerReference r:id="rId7" w:type="default"/>
          <w:footerReference r:id="rId8" w:type="default"/>
          <w:pgSz w:w="11906" w:h="16838"/>
          <w:pgMar w:top="1644" w:right="1588" w:bottom="1644" w:left="1588" w:header="851" w:footer="992" w:gutter="0"/>
          <w:pgNumType w:fmt="numberInDash"/>
          <w:cols w:space="720" w:num="1"/>
          <w:docGrid w:type="lines" w:linePitch="447" w:charSpace="0"/>
        </w:sectPr>
      </w:pPr>
    </w:p>
    <w:p>
      <w:pPr>
        <w:spacing w:before="156" w:beforeLines="50" w:line="580" w:lineRule="exact"/>
        <w:outlineLvl w:val="1"/>
        <w:rPr>
          <w:rFonts w:hint="eastAsia" w:ascii="宋体" w:hAnsi="宋体"/>
          <w:b/>
          <w:color w:val="auto"/>
          <w:sz w:val="24"/>
          <w:highlight w:val="none"/>
        </w:rPr>
      </w:pPr>
      <w:r>
        <w:rPr>
          <w:rFonts w:hint="eastAsia" w:ascii="宋体" w:hAnsi="宋体"/>
          <w:b/>
          <w:color w:val="auto"/>
          <w:sz w:val="24"/>
          <w:highlight w:val="none"/>
        </w:rPr>
        <w:t>附件2：</w:t>
      </w:r>
    </w:p>
    <w:p>
      <w:pPr>
        <w:pStyle w:val="23"/>
        <w:rPr>
          <w:color w:val="auto"/>
          <w:highlight w:val="none"/>
        </w:rPr>
      </w:pP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center"/>
        <w:textAlignment w:val="auto"/>
        <w:rPr>
          <w:rFonts w:hint="eastAsia" w:ascii="宋体" w:hAnsi="宋体" w:eastAsia="宋体" w:cs="宋体"/>
          <w:color w:val="auto"/>
          <w:kern w:val="0"/>
          <w:sz w:val="24"/>
          <w:highlight w:val="none"/>
        </w:rPr>
      </w:pPr>
      <w:r>
        <w:rPr>
          <w:rFonts w:hint="eastAsia" w:ascii="宋体" w:hAnsi="宋体" w:eastAsia="宋体" w:cs="宋体"/>
          <w:b/>
          <w:bCs/>
          <w:color w:val="auto"/>
          <w:kern w:val="0"/>
          <w:sz w:val="24"/>
          <w:highlight w:val="none"/>
        </w:rPr>
        <w:t>工程质量保修书</w:t>
      </w: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rFonts w:hint="eastAsia" w:ascii="宋体" w:hAnsi="宋体" w:eastAsia="宋体" w:cs="宋体"/>
          <w:color w:val="auto"/>
          <w:kern w:val="0"/>
          <w:sz w:val="24"/>
          <w:highlight w:val="none"/>
        </w:rPr>
      </w:pP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承包人（甲方）：广州市净水有限公司</w:t>
      </w: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发包人（乙方）： </w:t>
      </w: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为保证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在合理使用期限内正常使用，甲方、乙方协商一致签订工程质量保修书。乙方在质量保修期内按照有关管理规定及双方约定承担工程质量保修责任。</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一、工程质量保修范围和内容</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质量保修范围双方约定如下：</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rPr>
        <w:t>即乙方施工的工程范围。</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二、质量保修期</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质量保修期从工程实际竣工之日算起。分单项竣工验收的工程，按单项工程分别计算质量保修期。</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双方根据国家有关规定，结合具体工程约定本工程的质量保修期如下：</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1、土建工程为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年，屋面防水工程为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2、电气管线、上下水管线安装工程为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3、供热及供冷为为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个采暖期及供冷期； </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4、室外的上下水和小区道路等市政公用工程为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5、其他约定：</w:t>
      </w:r>
      <w:r>
        <w:rPr>
          <w:rFonts w:hint="eastAsia" w:ascii="宋体" w:hAnsi="宋体" w:eastAsia="宋体" w:cs="宋体"/>
          <w:color w:val="auto"/>
          <w:kern w:val="0"/>
          <w:sz w:val="24"/>
          <w:szCs w:val="24"/>
          <w:highlight w:val="none"/>
          <w:u w:val="single"/>
        </w:rPr>
        <w:t xml:space="preserve">   .</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三、质量保修责任</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1、属于保修范围、内容的项目，乙方应当在接到保修通知之日起48小时内派人修理。乙方不在约定期限内派人修理，甲方可以委托其他人员修理，保修费用从质量保修金内扣除。</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2、发生紧急抢修事故的（如上水跑水、暖气漏水漏气、燃气漏气等），乙方在接到事故通知后，应当立即到达事故现场抢修。非乙方施工质量引起的事故，抢修费用由甲方承担。</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3、在国家规定的工程合理使用期限内，乙方确保地基基础工程和主体结构的质量。因乙方原因致使工程在合理使用期限内造成人身和财产损害的，乙方应承担损害赔偿责任。</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四、质量保修金的支付</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工程质量保修金一般不超过施工合同价款的</w:t>
      </w:r>
      <w:r>
        <w:rPr>
          <w:rFonts w:hint="eastAsia" w:ascii="宋体" w:hAnsi="宋体" w:eastAsia="宋体" w:cs="宋体"/>
          <w:color w:val="auto"/>
          <w:kern w:val="0"/>
          <w:sz w:val="24"/>
          <w:szCs w:val="24"/>
          <w:highlight w:val="none"/>
          <w:u w:val="single"/>
        </w:rPr>
        <w:t xml:space="preserve"> / </w:t>
      </w:r>
      <w:r>
        <w:rPr>
          <w:rFonts w:hint="eastAsia" w:ascii="宋体" w:hAnsi="宋体" w:eastAsia="宋体" w:cs="宋体"/>
          <w:color w:val="auto"/>
          <w:kern w:val="0"/>
          <w:sz w:val="24"/>
          <w:szCs w:val="24"/>
          <w:highlight w:val="none"/>
        </w:rPr>
        <w:t>％，本工程约定的工程质量保修金为合同暂定总价/合同结算审定价的</w:t>
      </w:r>
      <w:r>
        <w:rPr>
          <w:rFonts w:hint="eastAsia" w:ascii="宋体" w:hAnsi="宋体" w:eastAsia="宋体" w:cs="宋体"/>
          <w:b/>
          <w:bCs/>
          <w:color w:val="auto"/>
          <w:kern w:val="0"/>
          <w:sz w:val="24"/>
          <w:szCs w:val="24"/>
          <w:highlight w:val="none"/>
          <w:u w:val="single"/>
        </w:rPr>
        <w:t xml:space="preserve">  3%   </w:t>
      </w:r>
      <w:r>
        <w:rPr>
          <w:rFonts w:hint="eastAsia" w:ascii="宋体" w:hAnsi="宋体" w:eastAsia="宋体" w:cs="宋体"/>
          <w:color w:val="auto"/>
          <w:kern w:val="0"/>
          <w:sz w:val="24"/>
          <w:szCs w:val="24"/>
          <w:highlight w:val="none"/>
        </w:rPr>
        <w:t>。</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本工程双方约定乙方向甲方支付工程质量保修金金额</w:t>
      </w:r>
      <w:r>
        <w:rPr>
          <w:rFonts w:hint="eastAsia" w:ascii="宋体" w:hAnsi="宋体" w:eastAsia="宋体" w:cs="宋体"/>
          <w:color w:val="auto"/>
          <w:kern w:val="0"/>
          <w:sz w:val="24"/>
          <w:szCs w:val="24"/>
          <w:highlight w:val="none"/>
          <w:u w:val="single"/>
        </w:rPr>
        <w:t>详见（合同名称+合同编号）</w:t>
      </w:r>
      <w:r>
        <w:rPr>
          <w:rFonts w:hint="eastAsia" w:ascii="宋体" w:hAnsi="宋体" w:eastAsia="宋体" w:cs="宋体"/>
          <w:color w:val="auto"/>
          <w:kern w:val="0"/>
          <w:sz w:val="24"/>
          <w:szCs w:val="24"/>
          <w:highlight w:val="none"/>
        </w:rPr>
        <w:t>。质量保修金银行利率为</w:t>
      </w:r>
      <w:r>
        <w:rPr>
          <w:rFonts w:hint="eastAsia" w:ascii="宋体" w:hAnsi="宋体" w:eastAsia="宋体" w:cs="宋体"/>
          <w:color w:val="auto"/>
          <w:kern w:val="0"/>
          <w:sz w:val="24"/>
          <w:szCs w:val="24"/>
          <w:highlight w:val="none"/>
          <w:u w:val="single"/>
        </w:rPr>
        <w:t xml:space="preserve"> 零 </w:t>
      </w:r>
      <w:r>
        <w:rPr>
          <w:rFonts w:hint="eastAsia" w:ascii="宋体" w:hAnsi="宋体" w:eastAsia="宋体" w:cs="宋体"/>
          <w:color w:val="auto"/>
          <w:kern w:val="0"/>
          <w:sz w:val="24"/>
          <w:szCs w:val="24"/>
          <w:highlight w:val="none"/>
        </w:rPr>
        <w:t>。</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五、其他</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双方约定的其他质量保修事项：</w:t>
      </w:r>
      <w:r>
        <w:rPr>
          <w:rFonts w:hint="eastAsia" w:ascii="宋体" w:hAnsi="宋体" w:eastAsia="宋体" w:cs="宋体"/>
          <w:color w:val="auto"/>
          <w:kern w:val="0"/>
          <w:sz w:val="24"/>
          <w:szCs w:val="24"/>
          <w:highlight w:val="none"/>
          <w:u w:val="single"/>
        </w:rPr>
        <w:t xml:space="preserve">  / </w:t>
      </w:r>
      <w:r>
        <w:rPr>
          <w:rFonts w:hint="eastAsia" w:ascii="宋体" w:hAnsi="宋体" w:eastAsia="宋体" w:cs="宋体"/>
          <w:color w:val="auto"/>
          <w:kern w:val="0"/>
          <w:sz w:val="24"/>
          <w:szCs w:val="24"/>
          <w:highlight w:val="none"/>
        </w:rPr>
        <w:t>。</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本工程质量保修书作为施工合同附件，由甲方、乙方双方共同签署。</w:t>
      </w:r>
    </w:p>
    <w:p>
      <w:pPr>
        <w:keepNext w:val="0"/>
        <w:keepLines w:val="0"/>
        <w:pageBreakBefore w:val="0"/>
        <w:kinsoku/>
        <w:wordWrap/>
        <w:overflowPunct/>
        <w:topLinePunct w:val="0"/>
        <w:autoSpaceDE w:val="0"/>
        <w:autoSpaceDN w:val="0"/>
        <w:bidi w:val="0"/>
        <w:adjustRightInd w:val="0"/>
        <w:spacing w:before="100" w:after="100" w:line="500" w:lineRule="exact"/>
        <w:ind w:left="6698" w:leftChars="104" w:right="360" w:hanging="6480" w:hangingChars="27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甲方（甲方）：                      乙方（乙方）:</w:t>
      </w:r>
    </w:p>
    <w:p>
      <w:pPr>
        <w:keepNext w:val="0"/>
        <w:keepLines w:val="0"/>
        <w:pageBreakBefore w:val="0"/>
        <w:kinsoku/>
        <w:wordWrap/>
        <w:overflowPunct/>
        <w:topLinePunct w:val="0"/>
        <w:autoSpaceDE w:val="0"/>
        <w:autoSpaceDN w:val="0"/>
        <w:bidi w:val="0"/>
        <w:adjustRightInd w:val="0"/>
        <w:spacing w:before="100" w:after="100" w:line="500" w:lineRule="exact"/>
        <w:ind w:right="36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广州市净水有限公司                    </w:t>
      </w: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（盖章）                           （盖章）</w:t>
      </w:r>
    </w:p>
    <w:p>
      <w:pPr>
        <w:keepNext w:val="0"/>
        <w:keepLines w:val="0"/>
        <w:pageBreakBefore w:val="0"/>
        <w:kinsoku/>
        <w:wordWrap/>
        <w:overflowPunct/>
        <w:topLinePunct w:val="0"/>
        <w:autoSpaceDE w:val="0"/>
        <w:autoSpaceDN w:val="0"/>
        <w:bidi w:val="0"/>
        <w:adjustRightInd w:val="0"/>
        <w:spacing w:line="500" w:lineRule="exact"/>
        <w:ind w:left="360" w:right="-17" w:rightChars="-8"/>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经办人：                             经办人：</w:t>
      </w:r>
    </w:p>
    <w:p>
      <w:pPr>
        <w:keepNext w:val="0"/>
        <w:keepLines w:val="0"/>
        <w:pageBreakBefore w:val="0"/>
        <w:kinsoku/>
        <w:wordWrap/>
        <w:overflowPunct/>
        <w:topLinePunct w:val="0"/>
        <w:autoSpaceDE w:val="0"/>
        <w:autoSpaceDN w:val="0"/>
        <w:bidi w:val="0"/>
        <w:adjustRightInd w:val="0"/>
        <w:spacing w:line="500" w:lineRule="exact"/>
        <w:ind w:left="360" w:right="-15" w:rightChars="-7"/>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  话：                             电   话：</w:t>
      </w: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rFonts w:hint="eastAsia" w:ascii="宋体" w:hAnsi="宋体" w:eastAsia="宋体" w:cs="宋体"/>
          <w:color w:val="auto"/>
          <w:kern w:val="0"/>
          <w:sz w:val="24"/>
          <w:szCs w:val="24"/>
          <w:highlight w:val="none"/>
        </w:rPr>
        <w:sectPr>
          <w:pgSz w:w="11906" w:h="16838"/>
          <w:pgMar w:top="1644" w:right="1588" w:bottom="1644" w:left="1588" w:header="851" w:footer="992" w:gutter="0"/>
          <w:pgNumType w:fmt="numberInDash"/>
          <w:cols w:space="720" w:num="1"/>
          <w:docGrid w:type="lines" w:linePitch="447" w:charSpace="0"/>
        </w:sectPr>
      </w:pPr>
      <w:r>
        <w:rPr>
          <w:rFonts w:hint="eastAsia" w:ascii="宋体" w:hAnsi="宋体" w:eastAsia="宋体" w:cs="宋体"/>
          <w:color w:val="auto"/>
          <w:kern w:val="0"/>
          <w:sz w:val="24"/>
          <w:szCs w:val="24"/>
          <w:highlight w:val="none"/>
        </w:rPr>
        <w:t xml:space="preserve">   签订日期：      年   月   日         签订日期：      年   月   日</w:t>
      </w:r>
    </w:p>
    <w:p>
      <w:pPr>
        <w:keepNext w:val="0"/>
        <w:keepLines w:val="0"/>
        <w:pageBreakBefore w:val="0"/>
        <w:kinsoku/>
        <w:wordWrap/>
        <w:overflowPunct/>
        <w:topLinePunct w:val="0"/>
        <w:bidi w:val="0"/>
        <w:spacing w:before="156" w:beforeLines="50" w:line="500" w:lineRule="exact"/>
        <w:textAlignment w:val="auto"/>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附件3：</w:t>
      </w:r>
    </w:p>
    <w:p>
      <w:pPr>
        <w:keepNext w:val="0"/>
        <w:keepLines w:val="0"/>
        <w:pageBreakBefore w:val="0"/>
        <w:kinsoku/>
        <w:wordWrap/>
        <w:overflowPunct/>
        <w:topLinePunct w:val="0"/>
        <w:autoSpaceDE/>
        <w:autoSpaceDN/>
        <w:bidi w:val="0"/>
        <w:snapToGrid/>
        <w:spacing w:beforeAutospacing="0" w:line="520" w:lineRule="exact"/>
        <w:jc w:val="center"/>
        <w:rPr>
          <w:rFonts w:hint="eastAsia" w:ascii="仿宋_GB2312" w:hAnsi="仿宋_GB2312" w:eastAsia="仿宋_GB2312" w:cs="仿宋_GB2312"/>
          <w:b w:val="0"/>
          <w:bCs/>
          <w:color w:val="auto"/>
          <w:sz w:val="28"/>
          <w:szCs w:val="28"/>
          <w:highlight w:val="none"/>
        </w:rPr>
      </w:pPr>
      <w:r>
        <w:rPr>
          <w:rFonts w:hint="eastAsia" w:ascii="宋体" w:hAnsi="宋体" w:eastAsia="宋体" w:cs="宋体"/>
          <w:b/>
          <w:color w:val="auto"/>
          <w:highlight w:val="none"/>
        </w:rPr>
        <w:t xml:space="preserve">         </w:t>
      </w: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snapToGrid/>
        <w:spacing w:beforeAutospacing="0"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(以下称甲方)与(以下称乙方)，特此订立本协议共同遵照执行。</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beforeAutospacing="0"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6"/>
        <w:keepNext w:val="0"/>
        <w:keepLines w:val="0"/>
        <w:pageBreakBefore w:val="0"/>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beforeAutospacing="0"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rPr>
        <w:t>（合同名称）+（合同编号）</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br w:type="textWrapping"/>
      </w:r>
      <w:r>
        <w:rPr>
          <w:rFonts w:hint="eastAsia" w:ascii="仿宋_GB2312" w:hAnsi="仿宋_GB2312" w:eastAsia="仿宋_GB2312" w:cs="仿宋_GB2312"/>
          <w:b w:val="0"/>
          <w:bCs/>
          <w:color w:val="auto"/>
          <w:sz w:val="28"/>
          <w:szCs w:val="28"/>
          <w:highlight w:val="none"/>
        </w:rPr>
        <w:t>甲方（盖章）：                     乙方（盖章）：</w:t>
      </w:r>
    </w:p>
    <w:p>
      <w:pPr>
        <w:pStyle w:val="36"/>
        <w:keepNext w:val="0"/>
        <w:keepLines w:val="0"/>
        <w:pageBreakBefore w:val="0"/>
        <w:tabs>
          <w:tab w:val="left" w:pos="5100"/>
        </w:tabs>
        <w:kinsoku/>
        <w:wordWrap/>
        <w:overflowPunct/>
        <w:topLinePunct w:val="0"/>
        <w:autoSpaceDE/>
        <w:autoSpaceDN/>
        <w:bidi w:val="0"/>
        <w:snapToGrid/>
        <w:spacing w:beforeAutospacing="0" w:line="520" w:lineRule="exact"/>
        <w:ind w:left="7200" w:firstLine="0" w:firstLineChars="0"/>
        <w:jc w:val="left"/>
        <w:rPr>
          <w:rFonts w:hint="eastAsia" w:ascii="仿宋_GB2312" w:hAnsi="仿宋_GB2312" w:eastAsia="仿宋_GB2312" w:cs="仿宋_GB2312"/>
          <w:b w:val="0"/>
          <w:bCs/>
          <w:color w:val="auto"/>
          <w:sz w:val="28"/>
          <w:szCs w:val="28"/>
          <w:highlight w:val="none"/>
        </w:rPr>
      </w:pPr>
    </w:p>
    <w:p>
      <w:pPr>
        <w:keepNext w:val="0"/>
        <w:keepLines w:val="0"/>
        <w:pageBreakBefore w:val="0"/>
        <w:tabs>
          <w:tab w:val="left" w:pos="5100"/>
        </w:tabs>
        <w:kinsoku/>
        <w:wordWrap/>
        <w:overflowPunct/>
        <w:topLinePunct w:val="0"/>
        <w:autoSpaceDE/>
        <w:autoSpaceDN/>
        <w:bidi w:val="0"/>
        <w:snapToGrid/>
        <w:spacing w:beforeAutospacing="0" w:line="520" w:lineRule="exact"/>
        <w:ind w:left="7200" w:hanging="8400" w:hangingChars="30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keepNext w:val="0"/>
        <w:keepLines w:val="0"/>
        <w:pageBreakBefore w:val="0"/>
        <w:tabs>
          <w:tab w:val="left" w:pos="4170"/>
        </w:tabs>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rPr>
        <w:t>日期：  年  月  日</w:t>
      </w: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auto"/>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auto"/>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auto"/>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auto"/>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auto"/>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auto"/>
          <w:sz w:val="24"/>
          <w:highlight w:val="none"/>
        </w:rPr>
        <w:sectPr>
          <w:pgSz w:w="11906" w:h="16838"/>
          <w:pgMar w:top="1644" w:right="1588" w:bottom="1644" w:left="1588" w:header="851" w:footer="992" w:gutter="0"/>
          <w:pgNumType w:fmt="numberInDash"/>
          <w:cols w:space="720" w:num="1"/>
          <w:docGrid w:type="lines" w:linePitch="447" w:charSpace="0"/>
        </w:sect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附件4：                                                     </w:t>
      </w:r>
    </w:p>
    <w:p>
      <w:pPr>
        <w:keepNext w:val="0"/>
        <w:keepLines w:val="0"/>
        <w:pageBreakBefore w:val="0"/>
        <w:kinsoku/>
        <w:wordWrap/>
        <w:overflowPunct/>
        <w:topLinePunct w:val="0"/>
        <w:bidi w:val="0"/>
        <w:spacing w:line="500" w:lineRule="exact"/>
        <w:jc w:val="center"/>
        <w:textAlignment w:val="auto"/>
        <w:rPr>
          <w:rFonts w:hint="eastAsia" w:ascii="宋体" w:hAnsi="宋体" w:eastAsia="宋体" w:cs="宋体"/>
          <w:bCs/>
          <w:color w:val="auto"/>
          <w:kern w:val="0"/>
          <w:sz w:val="44"/>
          <w:szCs w:val="44"/>
          <w:highlight w:val="none"/>
        </w:rPr>
      </w:pPr>
      <w:r>
        <w:rPr>
          <w:rFonts w:hint="eastAsia" w:ascii="宋体" w:hAnsi="宋体" w:eastAsia="宋体" w:cs="宋体"/>
          <w:bCs/>
          <w:color w:val="auto"/>
          <w:kern w:val="0"/>
          <w:sz w:val="44"/>
          <w:szCs w:val="44"/>
          <w:highlight w:val="none"/>
        </w:rPr>
        <w:t>施工安全协议书</w:t>
      </w: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auto"/>
          <w:sz w:val="24"/>
          <w:highlight w:val="none"/>
        </w:rPr>
      </w:pP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甲方：</w:t>
      </w:r>
      <w:r>
        <w:rPr>
          <w:rFonts w:hint="eastAsia" w:ascii="宋体" w:hAnsi="宋体" w:eastAsia="宋体" w:cs="宋体"/>
          <w:color w:val="auto"/>
          <w:sz w:val="24"/>
          <w:szCs w:val="24"/>
          <w:highlight w:val="none"/>
        </w:rPr>
        <w:t>广州市净水有限公司</w:t>
      </w: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乙方： </w:t>
      </w:r>
    </w:p>
    <w:p>
      <w:pPr>
        <w:keepNext w:val="0"/>
        <w:keepLines w:val="0"/>
        <w:pageBreakBefore w:val="0"/>
        <w:kinsoku/>
        <w:wordWrap/>
        <w:overflowPunct/>
        <w:topLinePunct w:val="0"/>
        <w:bidi w:val="0"/>
        <w:adjustRightInd w:val="0"/>
        <w:snapToGrid w:val="0"/>
        <w:spacing w:line="500" w:lineRule="exact"/>
        <w:jc w:val="left"/>
        <w:textAlignment w:val="auto"/>
        <w:rPr>
          <w:rStyle w:val="27"/>
          <w:rFonts w:hint="eastAsia" w:ascii="宋体" w:hAnsi="宋体" w:eastAsia="宋体" w:cs="宋体"/>
          <w:b w:val="0"/>
          <w:color w:val="auto"/>
          <w:sz w:val="24"/>
          <w:szCs w:val="24"/>
          <w:highlight w:val="none"/>
          <w:u w:val="single"/>
        </w:rPr>
      </w:pP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安全生产法》《中华人民共和国建筑法》《建设工程安全生产管理条例》《生产安全事故报告和调查处理条例》《中华人民共和国职业病防治法》《工作场所职业卫生管理规定》《用人单位职业健康监护监督管理办法》《广州市职业卫生监督管理规定》等法律法规, 经双方协商，签订本协议书，以明确各自的安全生产、职业卫生责任并共同遵守。</w:t>
      </w:r>
    </w:p>
    <w:p>
      <w:pPr>
        <w:keepNext w:val="0"/>
        <w:keepLines w:val="0"/>
        <w:pageBreakBefore w:val="0"/>
        <w:kinsoku/>
        <w:wordWrap/>
        <w:overflowPunct/>
        <w:topLinePunct w:val="0"/>
        <w:bidi w:val="0"/>
        <w:adjustRightInd w:val="0"/>
        <w:snapToGrid w:val="0"/>
        <w:spacing w:line="50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一、本协议与主合同的关系</w:t>
      </w:r>
    </w:p>
    <w:p>
      <w:pPr>
        <w:keepNext w:val="0"/>
        <w:keepLines w:val="0"/>
        <w:pageBreakBefore w:val="0"/>
        <w:kinsoku/>
        <w:wordWrap/>
        <w:overflowPunct/>
        <w:topLinePunct w:val="0"/>
        <w:bidi w:val="0"/>
        <w:adjustRightInd w:val="0"/>
        <w:snapToGrid w:val="0"/>
        <w:spacing w:line="500" w:lineRule="exact"/>
        <w:ind w:left="105"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本协议作为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的组成部分，与主合同具有同等法律。</w:t>
      </w:r>
    </w:p>
    <w:p>
      <w:pPr>
        <w:keepNext w:val="0"/>
        <w:keepLines w:val="0"/>
        <w:pageBreakBefore w:val="0"/>
        <w:kinsoku/>
        <w:wordWrap/>
        <w:overflowPunct/>
        <w:topLinePunct w:val="0"/>
        <w:bidi w:val="0"/>
        <w:adjustRightInd w:val="0"/>
        <w:snapToGrid w:val="0"/>
        <w:spacing w:line="50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二、双方的责任、权利</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（一）甲方的责任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应当向施工单位提供施工现场及毗邻区域内供水、排水、供电、供气、供热、通信、广播电视等地下管线资料，气象和水文观测资料，相邻建筑物和构筑物、地下工程的有关资料，并保证资料的真实、准确、完整。</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2.不得对勘察、设计、施工、工程监理等单位提出不符合建设工程安全生产法律、法规和强制性标准规定的要求。</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3.检查乙方安全措施的投入。对实际发生安全投入的费用予以支付，对无实际在现场进行安全投入的，予以扣除。</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4.不得明示或者暗示施工单位购买、租赁、使用不符合安全施工要求的安全防护用具、机械设备、施工机具及配件、消防设施和器材。</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5.在甲方生产营运场所内施工的，必须告知乙方该场所可能存在的安全风险，要求乙方在施工前应重新识别现场的安全风险并采取措施进行管控。</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（二）甲方的权利</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1.按照《广州净水公司工程项目安全管理标准》（以下简称《标准》）等办法对乙方进行施工安全管理考核评比。</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2.对于乙方考核评比较差，或不服从甲方管理，违反安全生产管理规定等违约行为的，甲方有权对乙方采取以下一种或以上的方式处理：</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（1）经济处罚；</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（2）诚信扣分；</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（3）限制投标，或经其他单位承包后以分包方参与项目实施；</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（4）将其承揽的项目安排第三方单位进行实施，由此产生的费用及造成的损失在该项目工程费用或履约保证金中扣除；</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（5）向行业协会（包括但不限于广东省市政行业协会、广州市市政行业协会等）反映。</w:t>
      </w:r>
    </w:p>
    <w:p>
      <w:pPr>
        <w:keepNext w:val="0"/>
        <w:keepLines w:val="0"/>
        <w:pageBreakBefore w:val="0"/>
        <w:kinsoku/>
        <w:wordWrap/>
        <w:overflowPunct/>
        <w:topLinePunct w:val="0"/>
        <w:bidi w:val="0"/>
        <w:spacing w:line="50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3.乙方对存在问题拒不整改的，或存在安全费用弄虚作假情况的，视为违约，甲方有权对乙方进行违约金扣罚。如乙方拒不缴纳违约金的，甲方有权在履约保证金中扣除。</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（三）乙方的责任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1.乙方向甲方承诺，已建立完善的安全管理体系并有效运转，必须严格执行国家、地方和行业主管部门关于施工的强制性标准、地方行政法规、管理要求。</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乙方必须依法为施工现场从事危险作业的人员办理意外伤害保险、购买安全生产责任保险。</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2.乙方施工安全措施费单列，实报实销。严禁虚报未进行实际安全投入的费用。</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3.乙方必须严格按照甲方制定的《标准》要求，落实各项安全管理工作。</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乙方应根据当前国家、行业或甲方近期安全管理的突出方面，或针对项目实际，有针对性地开展安全管理工作，接受甲方的安全管理评比。</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乙方必须配合甲方的安全监督检查，并承诺立即组织对提出的问题隐患进行整改。</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4.乙方必须提供本项目全体人员已通过三级安全教育及职业健康体检的证明。</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抽查具体材料时能如实提供备。做好人员职业健康体检，确保全员没有职业病。</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禁止有职业禁忌证的人员从事禁忌证相关工作。</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乙方该项目的管理人员、作业人员（包括分包人员）每年至少由乙方单位进行一次安全生产教育培训，并保存好相关培训证明备查。</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5.乙方必须建立应急管理体系，编制应急预案和现场处置方案，并定期组织开展应急演练。施工现场，乙方应根据施工方案在施工现场配置应急救援物资，并做好应急救援物资的定期检查，确保完好、有效。</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6.乙方发生突发事件时，应按甲方制度要求立即报甲方，并同时积极主动地开展应急救援，采取有效措施将事故影响控制在最小范围内。</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7.乙方必须严格履行本协议，遵守甲方各项管理规定，服从管理。乙方对存在问题拒不整改的，视为违约，甲方有权对乙方进行违约金扣罚。如乙方拒不缴纳违约金的，甲方有权在履约保证金中扣除。</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（四）乙方的权利</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1.对甲方的违章指挥，拒绝执行，但需书面明确指出甲方所违反的具体法律法规、标准规范等。</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2.对甲方明示或者暗示乙方购买、租赁、使用不符合安全施工要求的安全防护用具、机械设备、施工机具及配件、消防设施和器材的，拒绝执行。</w:t>
      </w:r>
    </w:p>
    <w:p>
      <w:pPr>
        <w:keepNext w:val="0"/>
        <w:keepLines w:val="0"/>
        <w:pageBreakBefore w:val="0"/>
        <w:kinsoku/>
        <w:wordWrap/>
        <w:overflowPunct/>
        <w:topLinePunct w:val="0"/>
        <w:bidi w:val="0"/>
        <w:adjustRightInd w:val="0"/>
        <w:snapToGrid w:val="0"/>
        <w:spacing w:line="50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三、事故责任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1.在乙方承包范围内，由于乙方责任发生生产安全事故时，造成的甲方、乙方或者第三方人身伤害事故，乙方负全部责任。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2.乙方人员在非承包区域遭受意外伤害的，乙方负全部责任。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3.乙方人员违规进入甲方或第三方承包区域，造成事故的，乙方负全部事故责任；乙方人员遭受人身伤害的，乙方负全部责任。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4.同一生产区域内有两家及以上承包单位的，发生生产安全事故，侵害方负全部责任；共同责任造成的，按事故原因划分责任，不能达成一致的，根据政府有关部门的责任划分承担相应的事故责任和经济责任。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5.乙方在甲方生产区域内发生生产安全事故后，必须在第一时间向甲方报告，迟报或者隐瞒不报生产安全事故，承担事故的全部责任。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6.乙方各类人员在甲方生产区域内发生人身伤害事故和其他事故，由乙方负责调查、处理和统计上报，并报甲方安全监督部门备案。</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7.本协议未尽事宜，依据有关法规。规章处理，法规、规章没有明确规定的，经双方协商处理解决。</w:t>
      </w:r>
    </w:p>
    <w:p>
      <w:pPr>
        <w:pStyle w:val="39"/>
        <w:keepNext w:val="0"/>
        <w:keepLines w:val="0"/>
        <w:pageBreakBefore w:val="0"/>
        <w:kinsoku/>
        <w:wordWrap/>
        <w:overflowPunct/>
        <w:topLinePunct w:val="0"/>
        <w:bidi w:val="0"/>
        <w:spacing w:line="500" w:lineRule="exact"/>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四、补充条款：</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keepNext w:val="0"/>
        <w:keepLines w:val="0"/>
        <w:pageBreakBefore w:val="0"/>
        <w:kinsoku/>
        <w:wordWrap/>
        <w:overflowPunct/>
        <w:topLinePunct w:val="0"/>
        <w:bidi w:val="0"/>
        <w:adjustRightInd w:val="0"/>
        <w:snapToGrid w:val="0"/>
        <w:spacing w:line="50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五、附则</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本协议与主合同同时签订、同时终止、同时生效，具有相同的法律效力，自甲方、乙方双方签字、盖章生效，甲方、乙方双方执持数量与主合同一致。</w:t>
      </w:r>
    </w:p>
    <w:p>
      <w:pPr>
        <w:keepNext w:val="0"/>
        <w:keepLines w:val="0"/>
        <w:pageBreakBefore w:val="0"/>
        <w:kinsoku/>
        <w:wordWrap/>
        <w:overflowPunct/>
        <w:topLinePunct w:val="0"/>
        <w:bidi w:val="0"/>
        <w:adjustRightInd w:val="0"/>
        <w:snapToGrid w:val="0"/>
        <w:spacing w:line="500" w:lineRule="exact"/>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spacing w:line="500" w:lineRule="exact"/>
        <w:ind w:left="5490" w:leftChars="100" w:hanging="5280" w:hangingChars="2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甲方：</w:t>
      </w:r>
      <w:r>
        <w:rPr>
          <w:rFonts w:hint="eastAsia" w:ascii="宋体" w:hAnsi="宋体" w:eastAsia="宋体" w:cs="宋体"/>
          <w:color w:val="auto"/>
          <w:sz w:val="24"/>
          <w:szCs w:val="24"/>
          <w:highlight w:val="none"/>
        </w:rPr>
        <w:t xml:space="preserve">                      </w:t>
      </w:r>
      <w:r>
        <w:rPr>
          <w:rFonts w:hint="eastAsia" w:ascii="宋体" w:hAnsi="宋体" w:eastAsia="宋体" w:cs="宋体"/>
          <w:color w:val="auto"/>
          <w:kern w:val="0"/>
          <w:sz w:val="24"/>
          <w:szCs w:val="24"/>
          <w:highlight w:val="none"/>
        </w:rPr>
        <w:t xml:space="preserve">　             乙方： </w:t>
      </w:r>
    </w:p>
    <w:p>
      <w:pPr>
        <w:keepNext w:val="0"/>
        <w:keepLines w:val="0"/>
        <w:pageBreakBefore w:val="0"/>
        <w:kinsoku/>
        <w:wordWrap/>
        <w:overflowPunct/>
        <w:topLinePunct w:val="0"/>
        <w:bidi w:val="0"/>
        <w:adjustRightInd w:val="0"/>
        <w:snapToGrid w:val="0"/>
        <w:spacing w:line="500" w:lineRule="exact"/>
        <w:ind w:left="1290" w:leftChars="100" w:hanging="1080" w:hangingChars="4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负责人（签名）：                              负责人（签名）：</w:t>
      </w:r>
    </w:p>
    <w:p>
      <w:pPr>
        <w:keepNext w:val="0"/>
        <w:keepLines w:val="0"/>
        <w:pageBreakBefore w:val="0"/>
        <w:widowControl/>
        <w:kinsoku/>
        <w:wordWrap/>
        <w:overflowPunct/>
        <w:topLinePunct w:val="0"/>
        <w:bidi w:val="0"/>
        <w:spacing w:line="500" w:lineRule="exact"/>
        <w:ind w:firstLine="240" w:firstLineChars="1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w:t>
      </w:r>
      <w:r>
        <w:rPr>
          <w:rFonts w:hint="eastAsia" w:ascii="宋体" w:hAnsi="宋体" w:eastAsia="宋体" w:cs="宋体"/>
          <w:color w:val="auto"/>
          <w:sz w:val="24"/>
          <w:szCs w:val="24"/>
          <w:highlight w:val="none"/>
        </w:rPr>
        <w:t xml:space="preserve">                        </w:t>
      </w:r>
      <w:r>
        <w:rPr>
          <w:rFonts w:hint="eastAsia" w:ascii="宋体" w:hAnsi="宋体" w:eastAsia="宋体" w:cs="宋体"/>
          <w:color w:val="auto"/>
          <w:kern w:val="0"/>
          <w:sz w:val="24"/>
          <w:szCs w:val="24"/>
          <w:highlight w:val="none"/>
        </w:rPr>
        <w:t xml:space="preserve">    　       地址： </w:t>
      </w:r>
    </w:p>
    <w:p>
      <w:pPr>
        <w:keepNext w:val="0"/>
        <w:keepLines w:val="0"/>
        <w:pageBreakBefore w:val="0"/>
        <w:widowControl/>
        <w:kinsoku/>
        <w:wordWrap/>
        <w:overflowPunct/>
        <w:topLinePunct w:val="0"/>
        <w:bidi w:val="0"/>
        <w:spacing w:line="500" w:lineRule="exact"/>
        <w:ind w:firstLine="240" w:firstLineChars="1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电话：                            　　     电话：</w:t>
      </w:r>
    </w:p>
    <w:p>
      <w:pPr>
        <w:keepNext w:val="0"/>
        <w:keepLines w:val="0"/>
        <w:pageBreakBefore w:val="0"/>
        <w:widowControl/>
        <w:kinsoku/>
        <w:wordWrap/>
        <w:overflowPunct/>
        <w:topLinePunct w:val="0"/>
        <w:bidi w:val="0"/>
        <w:spacing w:line="500" w:lineRule="exact"/>
        <w:ind w:firstLine="1560" w:firstLineChars="65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年   月   日         </w:t>
      </w:r>
      <w:r>
        <w:rPr>
          <w:rFonts w:hint="eastAsia" w:ascii="宋体" w:hAnsi="宋体" w:eastAsia="宋体" w:cs="宋体"/>
          <w:color w:val="auto"/>
          <w:kern w:val="0"/>
          <w:sz w:val="24"/>
          <w:szCs w:val="24"/>
          <w:highlight w:val="none"/>
        </w:rPr>
        <w:tab/>
      </w:r>
      <w:r>
        <w:rPr>
          <w:rFonts w:hint="eastAsia" w:ascii="宋体" w:hAnsi="宋体" w:eastAsia="宋体" w:cs="宋体"/>
          <w:color w:val="auto"/>
          <w:kern w:val="0"/>
          <w:sz w:val="24"/>
          <w:szCs w:val="24"/>
          <w:highlight w:val="none"/>
        </w:rPr>
        <w:t xml:space="preserve">                年   月    日</w:t>
      </w:r>
    </w:p>
    <w:p>
      <w:pPr>
        <w:keepNext w:val="0"/>
        <w:keepLines w:val="0"/>
        <w:pageBreakBefore w:val="0"/>
        <w:kinsoku/>
        <w:wordWrap/>
        <w:overflowPunct/>
        <w:topLinePunct w:val="0"/>
        <w:bidi w:val="0"/>
        <w:adjustRightInd w:val="0"/>
        <w:snapToGrid w:val="0"/>
        <w:spacing w:line="500" w:lineRule="exact"/>
        <w:ind w:left="1320" w:hanging="1320" w:hangingChars="5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keepNext w:val="0"/>
        <w:keepLines w:val="0"/>
        <w:pageBreakBefore w:val="0"/>
        <w:widowControl/>
        <w:kinsoku/>
        <w:wordWrap/>
        <w:overflowPunct/>
        <w:topLinePunct w:val="0"/>
        <w:bidi w:val="0"/>
        <w:spacing w:line="50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szCs w:val="24"/>
          <w:highlight w:val="none"/>
        </w:rPr>
        <w:br w:type="page"/>
      </w:r>
      <w:r>
        <w:rPr>
          <w:rFonts w:hint="eastAsia" w:ascii="宋体" w:hAnsi="宋体" w:eastAsia="宋体" w:cs="宋体"/>
          <w:b/>
          <w:color w:val="auto"/>
          <w:sz w:val="24"/>
          <w:highlight w:val="none"/>
        </w:rPr>
        <w:t>附件5：</w:t>
      </w:r>
    </w:p>
    <w:p>
      <w:pPr>
        <w:keepNext w:val="0"/>
        <w:keepLines w:val="0"/>
        <w:pageBreakBefore w:val="0"/>
        <w:kinsoku/>
        <w:wordWrap/>
        <w:overflowPunct/>
        <w:topLinePunct w:val="0"/>
        <w:bidi w:val="0"/>
        <w:adjustRightInd w:val="0"/>
        <w:snapToGrid w:val="0"/>
        <w:spacing w:line="500" w:lineRule="exact"/>
        <w:textAlignment w:val="auto"/>
        <w:rPr>
          <w:rFonts w:hint="eastAsia" w:ascii="宋体" w:hAnsi="宋体" w:eastAsia="宋体" w:cs="宋体"/>
          <w:color w:val="auto"/>
          <w:sz w:val="24"/>
          <w:szCs w:val="22"/>
          <w:highlight w:val="none"/>
        </w:rPr>
      </w:pPr>
    </w:p>
    <w:p>
      <w:pPr>
        <w:keepNext w:val="0"/>
        <w:keepLines w:val="0"/>
        <w:pageBreakBefore w:val="0"/>
        <w:kinsoku/>
        <w:wordWrap/>
        <w:overflowPunct/>
        <w:topLinePunct w:val="0"/>
        <w:bidi w:val="0"/>
        <w:spacing w:line="500" w:lineRule="exact"/>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安全生产承诺书</w:t>
      </w: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auto"/>
          <w:sz w:val="24"/>
          <w:highlight w:val="none"/>
        </w:rPr>
      </w:pP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致：广州市净水有限公司</w:t>
      </w: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为确保我公司承包的</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u w:val="single"/>
        </w:rPr>
        <w:t xml:space="preserve">       </w:t>
      </w:r>
      <w:r>
        <w:rPr>
          <w:rFonts w:hint="eastAsia" w:ascii="宋体" w:hAnsi="宋体" w:eastAsia="宋体" w:cs="宋体"/>
          <w:color w:val="auto"/>
          <w:sz w:val="24"/>
          <w:szCs w:val="24"/>
          <w:highlight w:val="none"/>
        </w:rPr>
        <w:t>项目在施工期间的施工安全，特郑重承诺如下：</w:t>
      </w:r>
    </w:p>
    <w:p>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一、认真组织施工人员、管理人员学习有关施工安全的知识，争取做到人人懂安全，事事保安全。</w:t>
      </w:r>
    </w:p>
    <w:p>
      <w:pPr>
        <w:keepNext w:val="0"/>
        <w:keepLines w:val="0"/>
        <w:pageBreakBefore w:val="0"/>
        <w:kinsoku/>
        <w:wordWrap/>
        <w:overflowPunct/>
        <w:topLinePunct w:val="0"/>
        <w:bidi w:val="0"/>
        <w:adjustRightInd w:val="0"/>
        <w:snapToGrid w:val="0"/>
        <w:spacing w:line="500" w:lineRule="exact"/>
        <w:ind w:left="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二、严格执行安全施工的有关规定和规程，文明施工，安全施工。</w:t>
      </w:r>
    </w:p>
    <w:p>
      <w:pPr>
        <w:keepNext w:val="0"/>
        <w:keepLines w:val="0"/>
        <w:pageBreakBefore w:val="0"/>
        <w:kinsoku/>
        <w:wordWrap/>
        <w:overflowPunct/>
        <w:topLinePunct w:val="0"/>
        <w:bidi w:val="0"/>
        <w:adjustRightInd w:val="0"/>
        <w:snapToGrid w:val="0"/>
        <w:spacing w:line="500" w:lineRule="exact"/>
        <w:ind w:left="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三、切实履行施工安全协议书规定的各项安全管理职责。</w:t>
      </w:r>
    </w:p>
    <w:p>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我方保证严格依据国家、相关行业有关规定和施工承包合同的要求安全施工，安全生产目标为：不发生安全事故。我方保证切实执行与贵公司签订的施工安全协议书，如发生安全生产责任事故导致人员重伤累计2人次或死亡1人的，从认定为安全事故责任之日起，我方自动放弃在你方项目中 1年的投标资格；重伤累计3人次及以上或死亡2人及以上的，从认定为安全事故责任之日起，我方自动放弃在你方项目中3年的投标资格。</w:t>
      </w:r>
    </w:p>
    <w:p>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p>
    <w:p>
      <w:pPr>
        <w:keepNext w:val="0"/>
        <w:keepLines w:val="0"/>
        <w:pageBreakBefore w:val="0"/>
        <w:tabs>
          <w:tab w:val="left" w:pos="2352"/>
        </w:tabs>
        <w:kinsoku/>
        <w:wordWrap/>
        <w:overflowPunct/>
        <w:topLinePunct w:val="0"/>
        <w:bidi w:val="0"/>
        <w:adjustRightInd w:val="0"/>
        <w:snapToGrid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b/>
      </w:r>
    </w:p>
    <w:p>
      <w:pPr>
        <w:keepNext w:val="0"/>
        <w:keepLines w:val="0"/>
        <w:pageBreakBefore w:val="0"/>
        <w:tabs>
          <w:tab w:val="left" w:pos="2224"/>
          <w:tab w:val="left" w:pos="7152"/>
        </w:tabs>
        <w:kinsoku/>
        <w:wordWrap/>
        <w:overflowPunct/>
        <w:topLinePunct w:val="0"/>
        <w:bidi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p>
    <w:p>
      <w:pPr>
        <w:keepNext w:val="0"/>
        <w:keepLines w:val="0"/>
        <w:pageBreakBefore w:val="0"/>
        <w:kinsoku/>
        <w:wordWrap/>
        <w:overflowPunct/>
        <w:topLinePunct w:val="0"/>
        <w:bidi w:val="0"/>
        <w:spacing w:line="500" w:lineRule="exact"/>
        <w:ind w:left="38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施工单位：（盖章）</w:t>
      </w:r>
    </w:p>
    <w:p>
      <w:pPr>
        <w:keepNext w:val="0"/>
        <w:keepLines w:val="0"/>
        <w:pageBreakBefore w:val="0"/>
        <w:kinsoku/>
        <w:wordWrap/>
        <w:overflowPunct/>
        <w:topLinePunct w:val="0"/>
        <w:bidi w:val="0"/>
        <w:spacing w:line="500" w:lineRule="exact"/>
        <w:ind w:left="3840"/>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spacing w:line="500" w:lineRule="exact"/>
        <w:ind w:firstLine="4440" w:firstLineChars="18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pPr>
        <w:keepNext w:val="0"/>
        <w:keepLines w:val="0"/>
        <w:pageBreakBefore w:val="0"/>
        <w:kinsoku/>
        <w:wordWrap/>
        <w:overflowPunct/>
        <w:topLinePunct w:val="0"/>
        <w:bidi w:val="0"/>
        <w:adjustRightInd w:val="0"/>
        <w:snapToGrid w:val="0"/>
        <w:spacing w:line="500" w:lineRule="exact"/>
        <w:textAlignment w:val="auto"/>
        <w:rPr>
          <w:rFonts w:hint="eastAsia" w:ascii="宋体" w:hAnsi="宋体" w:eastAsia="宋体" w:cs="宋体"/>
          <w:color w:val="auto"/>
          <w:sz w:val="24"/>
          <w:szCs w:val="22"/>
          <w:highlight w:val="none"/>
        </w:rPr>
      </w:pPr>
    </w:p>
    <w:p>
      <w:pPr>
        <w:keepNext w:val="0"/>
        <w:keepLines w:val="0"/>
        <w:pageBreakBefore w:val="0"/>
        <w:kinsoku/>
        <w:wordWrap/>
        <w:overflowPunct/>
        <w:topLinePunct w:val="0"/>
        <w:bidi w:val="0"/>
        <w:adjustRightInd w:val="0"/>
        <w:snapToGrid w:val="0"/>
        <w:spacing w:line="500" w:lineRule="exact"/>
        <w:textAlignment w:val="auto"/>
        <w:rPr>
          <w:rFonts w:hint="eastAsia" w:ascii="宋体" w:hAnsi="宋体" w:eastAsia="宋体" w:cs="宋体"/>
          <w:color w:val="auto"/>
          <w:sz w:val="24"/>
          <w:szCs w:val="22"/>
          <w:highlight w:val="none"/>
        </w:rPr>
      </w:pPr>
    </w:p>
    <w:p>
      <w:pPr>
        <w:keepNext w:val="0"/>
        <w:keepLines w:val="0"/>
        <w:pageBreakBefore w:val="0"/>
        <w:kinsoku/>
        <w:wordWrap/>
        <w:overflowPunct/>
        <w:topLinePunct w:val="0"/>
        <w:bidi w:val="0"/>
        <w:adjustRightInd w:val="0"/>
        <w:snapToGrid w:val="0"/>
        <w:spacing w:line="500" w:lineRule="exact"/>
        <w:textAlignment w:val="auto"/>
        <w:rPr>
          <w:rFonts w:hint="eastAsia" w:ascii="宋体" w:hAnsi="宋体" w:eastAsia="宋体" w:cs="宋体"/>
          <w:color w:val="auto"/>
          <w:sz w:val="24"/>
          <w:szCs w:val="22"/>
          <w:highlight w:val="none"/>
        </w:rPr>
      </w:pPr>
    </w:p>
    <w:p>
      <w:pPr>
        <w:keepNext w:val="0"/>
        <w:keepLines w:val="0"/>
        <w:pageBreakBefore w:val="0"/>
        <w:widowControl/>
        <w:kinsoku/>
        <w:wordWrap/>
        <w:overflowPunct/>
        <w:topLinePunct w:val="0"/>
        <w:bidi w:val="0"/>
        <w:spacing w:line="500" w:lineRule="exact"/>
        <w:jc w:val="left"/>
        <w:textAlignment w:val="auto"/>
        <w:rPr>
          <w:rFonts w:hint="eastAsia" w:ascii="宋体" w:hAnsi="宋体" w:eastAsia="宋体" w:cs="宋体"/>
          <w:color w:val="auto"/>
          <w:sz w:val="24"/>
          <w:highlight w:val="none"/>
        </w:rPr>
      </w:pPr>
    </w:p>
    <w:p>
      <w:pPr>
        <w:pStyle w:val="52"/>
        <w:rPr>
          <w:rFonts w:hint="eastAsia" w:ascii="宋体" w:hAnsi="宋体" w:cs="宋体"/>
          <w:color w:val="auto"/>
          <w:szCs w:val="21"/>
          <w:highlight w:val="none"/>
        </w:rPr>
      </w:pPr>
      <w:r>
        <w:rPr>
          <w:rFonts w:hint="eastAsia" w:ascii="宋体" w:hAnsi="宋体" w:cs="宋体"/>
          <w:color w:val="auto"/>
          <w:szCs w:val="21"/>
          <w:highlight w:val="none"/>
        </w:rPr>
        <w:t>附件</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w:t>
      </w:r>
    </w:p>
    <w:p>
      <w:pPr>
        <w:adjustRightInd w:val="0"/>
        <w:snapToGrid w:val="0"/>
        <w:jc w:val="center"/>
        <w:rPr>
          <w:rFonts w:hint="eastAsia"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不诚信行为的情形及相应被暂停参与投标活动的处理标准</w:t>
      </w:r>
    </w:p>
    <w:tbl>
      <w:tblPr>
        <w:tblStyle w:val="24"/>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5245"/>
        <w:gridCol w:w="850"/>
        <w:gridCol w:w="1985"/>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5671"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不诚信行为的情形</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处理</w:t>
            </w:r>
          </w:p>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期限</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情节严重或拒不改正的延长处理期限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（一）建设生产现场发生人员</w:t>
            </w:r>
            <w:r>
              <w:rPr>
                <w:rFonts w:hint="eastAsia" w:ascii="宋体" w:hAnsi="宋体" w:eastAsia="宋体" w:cs="宋体"/>
                <w:color w:val="auto"/>
                <w:sz w:val="21"/>
                <w:szCs w:val="21"/>
                <w:highlight w:val="none"/>
                <w:lang w:eastAsia="zh-CN"/>
              </w:rPr>
              <w:t>重伤或</w:t>
            </w:r>
            <w:r>
              <w:rPr>
                <w:rFonts w:hint="eastAsia" w:ascii="宋体" w:hAnsi="宋体" w:eastAsia="宋体" w:cs="宋体"/>
                <w:color w:val="auto"/>
                <w:sz w:val="21"/>
                <w:szCs w:val="21"/>
                <w:highlight w:val="none"/>
              </w:rPr>
              <w:t>死亡的。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发生</w:t>
            </w:r>
            <w:r>
              <w:rPr>
                <w:rFonts w:hint="eastAsia" w:ascii="宋体" w:hAnsi="宋体" w:eastAsia="宋体" w:cs="宋体"/>
                <w:color w:val="auto"/>
                <w:sz w:val="21"/>
                <w:szCs w:val="21"/>
                <w:highlight w:val="none"/>
                <w:lang w:eastAsia="zh-CN"/>
              </w:rPr>
              <w:t>重伤或</w:t>
            </w:r>
            <w:r>
              <w:rPr>
                <w:rFonts w:hint="eastAsia" w:ascii="宋体" w:hAnsi="宋体" w:eastAsia="宋体" w:cs="宋体"/>
                <w:color w:val="auto"/>
                <w:sz w:val="21"/>
                <w:szCs w:val="21"/>
                <w:highlight w:val="none"/>
              </w:rPr>
              <w:t>死亡1～2人的，暂停投标1年至2年（含）。</w:t>
            </w:r>
          </w:p>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发生</w:t>
            </w:r>
            <w:r>
              <w:rPr>
                <w:rFonts w:hint="eastAsia" w:ascii="宋体" w:hAnsi="宋体" w:eastAsia="宋体" w:cs="宋体"/>
                <w:color w:val="auto"/>
                <w:sz w:val="21"/>
                <w:szCs w:val="21"/>
                <w:highlight w:val="none"/>
                <w:lang w:eastAsia="zh-CN"/>
              </w:rPr>
              <w:t>重伤或</w:t>
            </w:r>
            <w:r>
              <w:rPr>
                <w:rFonts w:hint="eastAsia" w:ascii="宋体" w:hAnsi="宋体" w:eastAsia="宋体" w:cs="宋体"/>
                <w:color w:val="auto"/>
                <w:sz w:val="21"/>
                <w:szCs w:val="21"/>
                <w:highlight w:val="none"/>
              </w:rPr>
              <w:t>死亡3～9人的，暂停投标2年以上至4年。</w:t>
            </w:r>
          </w:p>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发生</w:t>
            </w:r>
            <w:r>
              <w:rPr>
                <w:rFonts w:hint="eastAsia" w:ascii="宋体" w:hAnsi="宋体" w:eastAsia="宋体" w:cs="宋体"/>
                <w:color w:val="auto"/>
                <w:sz w:val="21"/>
                <w:szCs w:val="21"/>
                <w:highlight w:val="none"/>
                <w:lang w:val="en-US" w:eastAsia="zh-CN"/>
              </w:rPr>
              <w:t>重伤10人以上（含）、或</w:t>
            </w:r>
            <w:r>
              <w:rPr>
                <w:rFonts w:hint="eastAsia" w:ascii="宋体" w:hAnsi="宋体" w:eastAsia="宋体" w:cs="宋体"/>
                <w:color w:val="auto"/>
                <w:sz w:val="21"/>
                <w:szCs w:val="21"/>
                <w:highlight w:val="none"/>
              </w:rPr>
              <w:t>重大及以上事故的，暂停投标4年或以上</w:t>
            </w:r>
            <w:r>
              <w:rPr>
                <w:rFonts w:hint="eastAsia" w:ascii="宋体" w:hAnsi="宋体" w:eastAsia="宋体" w:cs="宋体"/>
                <w:color w:val="auto"/>
                <w:sz w:val="21"/>
                <w:szCs w:val="21"/>
                <w:highlight w:val="none"/>
                <w:lang w:eastAsia="zh-CN"/>
              </w:rPr>
              <w:t>。</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政府认定责任事故增加6个月。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发生基坑坍塌、高支模坍塌、结构坍塌、周边建筑物沉降、管线损坏、火灾、爆炸等，虽无人员伤亡但造成重大社会负面影响的事件。重大社会负面影响包括但不限于交通中断、大面积停水停电停气、大范围通信中断、人员紧急疏散、中断行车2小时以上，</w:t>
            </w:r>
            <w:r>
              <w:rPr>
                <w:rFonts w:hint="eastAsia" w:ascii="宋体" w:hAnsi="宋体" w:eastAsia="宋体" w:cs="宋体"/>
                <w:color w:val="auto"/>
                <w:sz w:val="21"/>
                <w:szCs w:val="21"/>
                <w:highlight w:val="none"/>
                <w:lang w:eastAsia="zh-CN"/>
              </w:rPr>
              <w:t>大面积运营晚点，</w:t>
            </w:r>
            <w:r>
              <w:rPr>
                <w:rFonts w:hint="eastAsia" w:ascii="宋体" w:hAnsi="宋体" w:eastAsia="宋体" w:cs="宋体"/>
                <w:color w:val="auto"/>
                <w:sz w:val="21"/>
                <w:szCs w:val="21"/>
                <w:highlight w:val="none"/>
              </w:rPr>
              <w:t>或群体性事件等。</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视情况暂停投标1至2年。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w:t>
            </w:r>
            <w:r>
              <w:rPr>
                <w:rFonts w:hint="eastAsia" w:ascii="宋体" w:hAnsi="宋体" w:eastAsia="宋体" w:cs="宋体"/>
                <w:color w:val="auto"/>
                <w:sz w:val="21"/>
                <w:szCs w:val="21"/>
                <w:highlight w:val="none"/>
                <w:lang w:val="en-US" w:eastAsia="zh-CN"/>
              </w:rPr>
              <w:t>根据《广州市净水有限公司工程项目承包单位考评细则》安全管理未达标且符合限制投标处罚标准的。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暂停投标1年。若至下一个自然年度项目尚未完结，仍出现该款情形的，继续暂停投标1年；同理执行至工程建设项目完工验收完成。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（一）由于质量问题对建设项目的使用功能造成影响且无法挽回的。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暂停投标1年。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根据《广州市净水有限公司工程项目承包单位考评细则》质量管理未达标且符合限制投标处罚标准的。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暂停投标</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年</w:t>
            </w:r>
            <w:r>
              <w:rPr>
                <w:rFonts w:hint="eastAsia" w:ascii="宋体" w:hAnsi="宋体" w:eastAsia="宋体" w:cs="宋体"/>
                <w:color w:val="auto"/>
                <w:sz w:val="21"/>
                <w:szCs w:val="21"/>
                <w:highlight w:val="none"/>
              </w:rPr>
              <w:t>。若至下一个自然年度项目尚未完结，仍出现该款情形的，继续暂停投标</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年</w:t>
            </w:r>
            <w:r>
              <w:rPr>
                <w:rFonts w:hint="eastAsia" w:ascii="宋体" w:hAnsi="宋体" w:eastAsia="宋体" w:cs="宋体"/>
                <w:color w:val="auto"/>
                <w:sz w:val="21"/>
                <w:szCs w:val="21"/>
                <w:highlight w:val="none"/>
              </w:rPr>
              <w:t>；同理执行至工程建设项目完工验收完成。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（三）发生其他由质量问题而引起的重大社会负面影响事件的。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其他不诚信</w:t>
            </w:r>
          </w:p>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eastAsia="宋体" w:cs="宋体"/>
                <w:color w:val="auto"/>
                <w:sz w:val="21"/>
                <w:szCs w:val="21"/>
                <w:highlight w:val="none"/>
                <w:lang w:val="en-US" w:eastAsia="zh-CN"/>
              </w:rPr>
              <w:t>投标、询价过程弄虚作假、串通报价投标、任意弃标</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（二）发生质量事故或安全事故造成社会负面影响需要面对媒体和进行危机公关，参建企业法定代表人在规定的时间内未到现场面对媒体进行危机公关的。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（三）因参建企业原因造成信访、维稳事件，造成较大社会影响。</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（四）中标后转包工程、非法分包工程、非法转让业务的。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（五）因人员、机械投入及配套服务投入不足，主要管理人员未按照投标文件响应到位，导致严重影响工期，被市水投集团相关部门及发包人督办、警告和约谈3次的。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（六）未经批准擅自更换项目经理的。</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（七）严重违反合同约定的，具体包括但不限于以下行为：</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1.提供或使用假冒伪劣或以次充好产品、不符合国家规范规定材料的。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2.工程竣工验收后，不出具质量保修书的，或质量保修的内容、期限违反规定的。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3.不履行保修义务或者拖延履行保修义务的。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4.其他经认定为严重违反合同规定的。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（八）违反廉洁协议约定的。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（九）拖欠农民工工资，造成不良后果的。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（十）为谋取非法利益，给市水投集团或发包人造成损失的。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（十一）因参建企业原因造成第三者财产重大损失的。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numPr>
                <w:ilvl w:val="0"/>
                <w:numId w:val="0"/>
              </w:numPr>
              <w:adjustRightInd w:val="0"/>
              <w:snapToGrid w:val="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（十二）</w:t>
            </w:r>
            <w:r>
              <w:rPr>
                <w:rFonts w:hint="eastAsia" w:ascii="宋体" w:hAnsi="宋体" w:eastAsia="宋体" w:cs="宋体"/>
                <w:color w:val="auto"/>
                <w:sz w:val="21"/>
                <w:szCs w:val="21"/>
                <w:highlight w:val="none"/>
                <w:lang w:val="en-US" w:eastAsia="zh-CN"/>
              </w:rPr>
              <w:t>经发包人认定的其他不诚信行为</w:t>
            </w:r>
            <w:r>
              <w:rPr>
                <w:rFonts w:hint="eastAsia" w:ascii="宋体" w:hAnsi="宋体" w:eastAsia="宋体" w:cs="宋体"/>
                <w:color w:val="auto"/>
                <w:sz w:val="21"/>
                <w:szCs w:val="21"/>
                <w:highlight w:val="none"/>
              </w:rPr>
              <w:t>。</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bl>
    <w:p>
      <w:pPr>
        <w:numPr>
          <w:ilvl w:val="0"/>
          <w:numId w:val="0"/>
        </w:numPr>
        <w:ind w:firstLine="0" w:firstLineChars="0"/>
        <w:contextualSpacing/>
        <w:jc w:val="left"/>
        <w:rPr>
          <w:rFonts w:hint="eastAsia" w:ascii="仿宋_GB2312" w:hAnsi="仿宋_GB2312" w:eastAsia="仿宋_GB2312" w:cs="仿宋_GB2312"/>
          <w:color w:val="auto"/>
          <w:sz w:val="24"/>
          <w:szCs w:val="24"/>
          <w:highlight w:val="none"/>
          <w:lang w:val="en-US" w:eastAsia="zh-CN"/>
        </w:rPr>
      </w:pPr>
      <w:r>
        <w:rPr>
          <w:rFonts w:hint="eastAsia" w:ascii="宋体" w:hAnsi="宋体" w:eastAsia="宋体" w:cs="宋体"/>
          <w:color w:val="auto"/>
          <w:sz w:val="21"/>
          <w:szCs w:val="21"/>
          <w:highlight w:val="none"/>
          <w:lang w:val="en-US" w:eastAsia="zh-CN"/>
        </w:rPr>
        <w:t>备注：本处罚标准出自</w:t>
      </w:r>
      <w:r>
        <w:rPr>
          <w:rFonts w:hint="eastAsia" w:ascii="宋体" w:hAnsi="宋体" w:eastAsia="宋体" w:cs="宋体"/>
          <w:color w:val="auto"/>
          <w:sz w:val="21"/>
          <w:szCs w:val="21"/>
          <w:highlight w:val="none"/>
        </w:rPr>
        <w:t>《广州市净水有限公司经营建设项目参建企业不诚信行为管理办法》</w:t>
      </w:r>
      <w:r>
        <w:rPr>
          <w:rFonts w:hint="eastAsia" w:ascii="宋体" w:hAnsi="宋体" w:eastAsia="宋体" w:cs="宋体"/>
          <w:color w:val="auto"/>
          <w:sz w:val="21"/>
          <w:szCs w:val="21"/>
          <w:highlight w:val="none"/>
          <w:lang w:eastAsia="zh-CN"/>
        </w:rPr>
        <w:t>。</w:t>
      </w:r>
    </w:p>
    <w:p>
      <w:pPr>
        <w:widowControl/>
        <w:jc w:val="left"/>
        <w:rPr>
          <w:rFonts w:hint="eastAsia" w:ascii="宋体" w:hAnsi="宋体" w:cs="宋体"/>
          <w:color w:val="auto"/>
          <w:szCs w:val="21"/>
          <w:highlight w:val="none"/>
          <w:lang w:eastAsia="zh-CN"/>
        </w:rPr>
      </w:pPr>
    </w:p>
    <w:p>
      <w:pPr>
        <w:widowControl/>
        <w:jc w:val="left"/>
        <w:rPr>
          <w:rFonts w:hint="eastAsia" w:ascii="宋体" w:hAnsi="宋体" w:cs="宋体"/>
          <w:color w:val="auto"/>
          <w:szCs w:val="21"/>
          <w:highlight w:val="none"/>
          <w:lang w:eastAsia="zh-CN"/>
        </w:rPr>
      </w:pPr>
    </w:p>
    <w:p>
      <w:pPr>
        <w:rPr>
          <w:rFonts w:hint="eastAsia" w:ascii="宋体" w:hAnsi="宋体" w:cs="宋体"/>
          <w:b/>
          <w:bCs/>
          <w:color w:val="auto"/>
          <w:sz w:val="24"/>
          <w:szCs w:val="24"/>
          <w:highlight w:val="none"/>
          <w:lang w:val="en-US" w:eastAsia="zh-CN"/>
        </w:rPr>
      </w:pPr>
    </w:p>
    <w:p>
      <w:pPr>
        <w:pStyle w:val="23"/>
        <w:rPr>
          <w:rFonts w:hint="eastAsia" w:ascii="宋体" w:hAnsi="宋体" w:cs="宋体"/>
          <w:b/>
          <w:bCs/>
          <w:color w:val="auto"/>
          <w:sz w:val="24"/>
          <w:szCs w:val="24"/>
          <w:highlight w:val="none"/>
          <w:lang w:val="en-US" w:eastAsia="zh-CN"/>
        </w:rPr>
        <w:sectPr>
          <w:pgSz w:w="11906" w:h="16838"/>
          <w:pgMar w:top="1644" w:right="1588" w:bottom="1644" w:left="1588" w:header="851" w:footer="992" w:gutter="0"/>
          <w:pgNumType w:fmt="numberInDash"/>
          <w:cols w:space="720" w:num="1"/>
          <w:docGrid w:type="lines" w:linePitch="447" w:charSpace="0"/>
        </w:sect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附件</w:t>
      </w:r>
      <w:r>
        <w:rPr>
          <w:rFonts w:hint="eastAsia" w:ascii="宋体" w:hAnsi="宋体" w:eastAsia="宋体" w:cs="宋体"/>
          <w:b/>
          <w:bCs/>
          <w:color w:val="auto"/>
          <w:sz w:val="21"/>
          <w:szCs w:val="21"/>
          <w:highlight w:val="none"/>
          <w:lang w:val="en-US" w:eastAsia="zh-CN"/>
        </w:rPr>
        <w:t>9</w:t>
      </w:r>
      <w:r>
        <w:rPr>
          <w:rFonts w:hint="eastAsia" w:ascii="宋体" w:hAnsi="宋体" w:eastAsia="宋体" w:cs="宋体"/>
          <w:b/>
          <w:bCs/>
          <w:color w:val="auto"/>
          <w:sz w:val="21"/>
          <w:szCs w:val="21"/>
          <w:highlight w:val="none"/>
        </w:rPr>
        <w:t>：履约保函（模板）</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履约保函模板</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 xml:space="preserve">               （受益人）</w:t>
      </w:r>
      <w:r>
        <w:rPr>
          <w:rFonts w:hint="eastAsia" w:ascii="宋体" w:hAnsi="宋体" w:eastAsia="宋体" w:cs="宋体"/>
          <w:color w:val="auto"/>
          <w:sz w:val="24"/>
          <w:szCs w:val="24"/>
          <w:highlight w:val="none"/>
        </w:rPr>
        <w:br w:type="textWrapping"/>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鉴于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（以下简称“委托人”）与贵方于</w:t>
      </w:r>
      <w:r>
        <w:rPr>
          <w:rFonts w:hint="eastAsia" w:ascii="宋体" w:hAnsi="宋体" w:eastAsia="宋体" w:cs="宋体"/>
          <w:color w:val="auto"/>
          <w:sz w:val="24"/>
          <w:szCs w:val="24"/>
          <w:highlight w:val="none"/>
          <w:u w:val="single"/>
        </w:rPr>
        <w:t xml:space="preserve">   年  月  日</w:t>
      </w:r>
      <w:r>
        <w:rPr>
          <w:rFonts w:hint="eastAsia" w:ascii="宋体" w:hAnsi="宋体" w:eastAsia="宋体" w:cs="宋体"/>
          <w:color w:val="auto"/>
          <w:sz w:val="24"/>
          <w:szCs w:val="24"/>
          <w:highlight w:val="none"/>
        </w:rPr>
        <w:t>签订了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（以下简称“合同”），我行同意为委托人出具履约保函，作为委托人履行合同义务的担保，以使你方得到履约保函的保障。本保函为不可撤销，见索即付的独立保函。</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一、我行保证在收到贵单位于保函有效期内送达的依本保函约定的索赔申请后，在个</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工作日内无条件和不可改变地向贵单位支付最高金额不超过人民币元</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）的履约保证金，并放弃向你方提出任何异议和追索的权利。</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二、贵单位的索赔申请应符合下述条件：</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（一）贵单位法定代表人或其授权代表签字并加盖单位公章；</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（二）在保函有效期内送达我行；</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（三）明确的索赔金额（不得超过本保函第一条所列之限额）。</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三、本保函自签发之日起生效，有效期至</w:t>
      </w:r>
      <w:r>
        <w:rPr>
          <w:rFonts w:hint="eastAsia" w:ascii="宋体" w:hAnsi="宋体" w:eastAsia="宋体" w:cs="宋体"/>
          <w:color w:val="auto"/>
          <w:sz w:val="24"/>
          <w:szCs w:val="24"/>
          <w:highlight w:val="none"/>
          <w:u w:val="single"/>
        </w:rPr>
        <w:t xml:space="preserve">  年  月  日</w:t>
      </w:r>
      <w:r>
        <w:rPr>
          <w:rFonts w:hint="eastAsia" w:ascii="宋体" w:hAnsi="宋体" w:eastAsia="宋体" w:cs="宋体"/>
          <w:color w:val="auto"/>
          <w:sz w:val="24"/>
          <w:szCs w:val="24"/>
          <w:highlight w:val="none"/>
        </w:rPr>
        <w:t>。本保函于下述任一事项发生之时立即失效，我行在本保函项下的保证义务即刻解除：</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（一）本保函有效期限届满；</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（二）我行保证的义务履行完毕。</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四、我方受本保函制约的责任是延续的、独立的和无条件的，上述合同的任何修改、变更、解释、不可执行或委托人在合同项下对你方的任何抗辩都不能削弱或影响我行按本保函应承担的责任。</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五、我行向你方支付索赔金额后，本保函担保金额即按贵方通知的索赔金额予以递减。</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六、保函失效后请将保函退回我行注销，无论正本最终退回与否，不影响本保函依上述约定自动失效。</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落款</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保函说明：</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保函不得有下列或类似含义的表述：</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1.银行承担的为连带责任保证、一般保证。</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2.未经银行书面同意，受益人与申请人修改合同或其项下附件时，银行的保证义务解除。</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3.合同撤销或无效的，保函失效。</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4.申请人对受益人的抗辩，银行有权向受益人主张。</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eastAsia="宋体" w:cs="宋体"/>
          <w:color w:val="auto"/>
          <w:sz w:val="24"/>
          <w:szCs w:val="24"/>
          <w:highlight w:val="none"/>
        </w:rPr>
        <w:sectPr>
          <w:headerReference r:id="rId9" w:type="default"/>
          <w:footerReference r:id="rId10" w:type="default"/>
          <w:footerReference r:id="rId11" w:type="even"/>
          <w:pgSz w:w="11906" w:h="16838"/>
          <w:pgMar w:top="1644" w:right="1588" w:bottom="1644" w:left="1588" w:header="851" w:footer="992" w:gutter="0"/>
          <w:pgNumType w:fmt="numberInDash"/>
          <w:cols w:space="720" w:num="1"/>
          <w:docGrid w:type="lines" w:linePitch="312" w:charSpace="0"/>
        </w:sectPr>
      </w:pPr>
      <w:r>
        <w:rPr>
          <w:rFonts w:hint="eastAsia" w:ascii="宋体" w:hAnsi="宋体" w:eastAsia="宋体" w:cs="宋体"/>
          <w:color w:val="auto"/>
          <w:sz w:val="24"/>
          <w:szCs w:val="24"/>
          <w:highlight w:val="none"/>
        </w:rPr>
        <w:t>5.受益人请求付款的请款单据包含法院裁判文书、仲裁裁决、第三方单位出具的鉴定书等申请人违约的证明材料。</w:t>
      </w:r>
    </w:p>
    <w:p>
      <w:pPr>
        <w:pStyle w:val="3"/>
        <w:rPr>
          <w:rFonts w:hint="eastAsia"/>
          <w:color w:val="auto"/>
          <w:highlight w:val="none"/>
        </w:rPr>
      </w:pPr>
      <w:bookmarkStart w:id="85" w:name="_Toc5129"/>
      <w:bookmarkStart w:id="86" w:name="_Toc16552"/>
      <w:bookmarkStart w:id="87" w:name="_Toc1563"/>
      <w:bookmarkStart w:id="88" w:name="_Toc30824"/>
      <w:bookmarkStart w:id="89" w:name="_Toc8147"/>
      <w:bookmarkStart w:id="90" w:name="_Toc6230"/>
      <w:bookmarkStart w:id="91" w:name="_Toc28358"/>
      <w:bookmarkStart w:id="92" w:name="_Toc21847"/>
      <w:bookmarkStart w:id="93" w:name="_Toc3723"/>
      <w:bookmarkStart w:id="94" w:name="_Toc23515"/>
      <w:bookmarkStart w:id="95" w:name="_Toc12169"/>
    </w:p>
    <w:p>
      <w:pPr>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10"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1.6pt;margin-top:56.7pt;height:0pt;width:75.5pt;z-index:251669504;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DuetoP8gEAAOQ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S5oEksSBpRv/&#10;+enbr4+f7778uPv+lc1mWaMhYE2hG3cTTzsMNzETPrTR5j9RYYei6/GsqzokJujwxWK5XBC8uHdV&#10;D3khYnqlvGXZaDimCLrr08Y7R5fn46zICvvXmKgyJd4n5KLGsSHDzxcEDjSMLQ0BmTYQIXRdyUVv&#10;tLzWxuQMjN1uYyLbQx6I8mV+hPtXWC6yBezHuOIaR6VXIF86ydIxkFKOXgjPLVglOTOKHlS2CBDq&#10;BNpcEkmljaMOssSjqNnaeXksWpdzuvzS42lQ83T9uS/ZD4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7nraD/IBAADk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9"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21.3pt;height:0pt;width:75.5pt;z-index:251668480;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8OuBDXAAAACQEAAA8AAAAAAAAAAQAgAAAAIgAAAGRycy9kb3ducmV2LnhtbFBLAQIUABQA&#10;AAAIAIdO4kA1h4BM8QEAAOMDAAAOAAAAAAAAAAEAIAAAACY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第七章</w:t>
      </w:r>
      <w:bookmarkEnd w:id="85"/>
      <w:bookmarkEnd w:id="86"/>
      <w:bookmarkEnd w:id="87"/>
      <w:bookmarkEnd w:id="88"/>
      <w:bookmarkEnd w:id="89"/>
      <w:bookmarkEnd w:id="90"/>
      <w:bookmarkEnd w:id="91"/>
      <w:bookmarkEnd w:id="92"/>
      <w:bookmarkEnd w:id="93"/>
      <w:bookmarkEnd w:id="94"/>
      <w:bookmarkEnd w:id="95"/>
    </w:p>
    <w:p>
      <w:pPr>
        <w:pStyle w:val="39"/>
        <w:rPr>
          <w:color w:val="auto"/>
          <w:highlight w:val="none"/>
        </w:rPr>
      </w:pPr>
    </w:p>
    <w:p>
      <w:pPr>
        <w:pStyle w:val="3"/>
        <w:rPr>
          <w:color w:val="auto"/>
          <w:highlight w:val="none"/>
        </w:rPr>
      </w:pPr>
      <w:bookmarkStart w:id="96" w:name="_Toc17119"/>
      <w:bookmarkStart w:id="97" w:name="_Toc87616388"/>
      <w:bookmarkStart w:id="98" w:name="_Toc31564"/>
      <w:bookmarkStart w:id="99" w:name="_Toc30157"/>
      <w:bookmarkStart w:id="100" w:name="_Toc24490"/>
      <w:bookmarkStart w:id="101" w:name="_Toc24815"/>
      <w:bookmarkStart w:id="102" w:name="_Toc10840"/>
      <w:bookmarkStart w:id="103" w:name="_Toc21675"/>
      <w:bookmarkStart w:id="104" w:name="_Toc5342"/>
      <w:bookmarkStart w:id="105" w:name="_Toc88209951"/>
      <w:bookmarkStart w:id="106" w:name="_Toc12769"/>
      <w:bookmarkStart w:id="107" w:name="_Toc22764"/>
      <w:bookmarkStart w:id="108" w:name="_Toc12610"/>
      <w:r>
        <w:rPr>
          <w:rFonts w:hint="eastAsia"/>
          <w:color w:val="auto"/>
          <w:highlight w:val="none"/>
        </w:rPr>
        <w:t>响应文件</w:t>
      </w:r>
      <w:r>
        <w:rPr>
          <w:rFonts w:hint="eastAsia"/>
          <w:color w:val="auto"/>
          <w:highlight w:val="none"/>
          <w:lang w:val="en-US" w:eastAsia="zh-CN"/>
        </w:rPr>
        <w:t>格式要求</w:t>
      </w:r>
      <w:bookmarkEnd w:id="96"/>
      <w:bookmarkEnd w:id="97"/>
      <w:bookmarkEnd w:id="98"/>
      <w:bookmarkEnd w:id="99"/>
      <w:bookmarkEnd w:id="100"/>
      <w:bookmarkEnd w:id="101"/>
      <w:bookmarkEnd w:id="102"/>
      <w:bookmarkEnd w:id="103"/>
      <w:bookmarkEnd w:id="104"/>
      <w:bookmarkEnd w:id="105"/>
      <w:bookmarkEnd w:id="106"/>
      <w:bookmarkEnd w:id="107"/>
      <w:bookmarkEnd w:id="108"/>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方正小标宋简体" w:eastAsia="方正小标宋简体"/>
          <w:color w:val="auto"/>
          <w:sz w:val="44"/>
          <w:szCs w:val="44"/>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bookmarkStart w:id="135" w:name="_GoBack"/>
      <w:bookmarkEnd w:id="135"/>
    </w:p>
    <w:p>
      <w:pPr>
        <w:pStyle w:val="23"/>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09" w:name="_Toc87616389"/>
      <w:bookmarkStart w:id="110" w:name="_Toc88209952"/>
      <w:r>
        <w:rPr>
          <w:rFonts w:hint="eastAsia" w:ascii="仿宋_GB2312" w:eastAsia="仿宋_GB2312"/>
          <w:color w:val="auto"/>
          <w:sz w:val="28"/>
          <w:szCs w:val="28"/>
          <w:highlight w:val="none"/>
        </w:rPr>
        <w:t>1.响应函</w:t>
      </w:r>
      <w:bookmarkEnd w:id="109"/>
      <w:bookmarkEnd w:id="110"/>
    </w:p>
    <w:p>
      <w:pPr>
        <w:spacing w:line="600" w:lineRule="exact"/>
        <w:rPr>
          <w:rFonts w:hint="eastAsia" w:ascii="仿宋_GB2312" w:eastAsia="仿宋_GB2312"/>
          <w:color w:val="auto"/>
          <w:sz w:val="28"/>
          <w:szCs w:val="28"/>
          <w:highlight w:val="none"/>
        </w:rPr>
      </w:pPr>
      <w:bookmarkStart w:id="111" w:name="_Toc88209953"/>
      <w:bookmarkStart w:id="112" w:name="_Toc87616390"/>
      <w:r>
        <w:rPr>
          <w:rFonts w:hint="eastAsia" w:ascii="仿宋_GB2312" w:eastAsia="仿宋_GB2312"/>
          <w:color w:val="auto"/>
          <w:sz w:val="28"/>
          <w:szCs w:val="28"/>
          <w:highlight w:val="none"/>
        </w:rPr>
        <w:t>2.法定代表人证明或授权委托书</w:t>
      </w:r>
      <w:bookmarkEnd w:id="111"/>
      <w:bookmarkEnd w:id="112"/>
      <w:bookmarkStart w:id="113" w:name="_Toc88209956"/>
      <w:bookmarkStart w:id="114" w:name="_Toc87616393"/>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13"/>
      <w:bookmarkEnd w:id="114"/>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5"/>
        <w:rPr>
          <w:rFonts w:asciiTheme="minorEastAsia" w:hAnsiTheme="minorEastAsia" w:eastAsiaTheme="minorEastAsia"/>
          <w:color w:val="auto"/>
          <w:sz w:val="28"/>
          <w:szCs w:val="28"/>
          <w:highlight w:val="none"/>
        </w:rPr>
      </w:pPr>
      <w:bookmarkStart w:id="115" w:name="_Toc87616394"/>
      <w:bookmarkStart w:id="116" w:name="_Toc28619645"/>
      <w:bookmarkStart w:id="117" w:name="_Toc88209957"/>
      <w:bookmarkStart w:id="118" w:name="_Toc12665"/>
      <w:bookmarkStart w:id="119" w:name="_Toc6313"/>
      <w:r>
        <w:rPr>
          <w:rFonts w:hint="eastAsia" w:asciiTheme="minorEastAsia" w:hAnsiTheme="minorEastAsia" w:eastAsiaTheme="minorEastAsia"/>
          <w:color w:val="auto"/>
          <w:sz w:val="28"/>
          <w:szCs w:val="28"/>
          <w:highlight w:val="none"/>
        </w:rPr>
        <w:t>1.响应函</w:t>
      </w:r>
      <w:bookmarkEnd w:id="115"/>
      <w:bookmarkEnd w:id="116"/>
      <w:bookmarkEnd w:id="117"/>
      <w:bookmarkEnd w:id="118"/>
      <w:bookmarkEnd w:id="119"/>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w:t>
      </w:r>
      <w:r>
        <w:rPr>
          <w:rFonts w:hint="eastAsia" w:ascii="仿宋_GB2312" w:hAnsi="黑体" w:eastAsia="仿宋_GB2312"/>
          <w:color w:val="auto"/>
          <w:sz w:val="28"/>
          <w:szCs w:val="28"/>
          <w:highlight w:val="none"/>
          <w:u w:val="single"/>
        </w:rPr>
        <w:t xml:space="preserve">（项目名称、项目编号、标段/标包号）   </w:t>
      </w:r>
      <w:r>
        <w:rPr>
          <w:rFonts w:hint="eastAsia" w:ascii="仿宋_GB2312" w:hAnsi="黑体" w:eastAsia="仿宋_GB2312"/>
          <w:color w:val="auto"/>
          <w:sz w:val="28"/>
          <w:szCs w:val="28"/>
          <w:highlight w:val="none"/>
        </w:rPr>
        <w:t>采购文件的全部内容，愿意以含税价人民币（大写）</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w:t>
      </w:r>
      <w:r>
        <w:rPr>
          <w:rFonts w:hint="eastAsia" w:ascii="宋体" w:hAnsi="宋体" w:eastAsia="仿宋_GB2312"/>
          <w:color w:val="auto"/>
          <w:sz w:val="28"/>
          <w:szCs w:val="28"/>
          <w:highlight w:val="none"/>
        </w:rPr>
        <w:t>¥</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rPr>
        <w:t>）的报价（其中，不含税价为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；增值税为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）完成/提供本项目</w:t>
      </w:r>
      <w:r>
        <w:rPr>
          <w:rFonts w:hint="eastAsia" w:ascii="仿宋_GB2312" w:eastAsia="仿宋_GB2312" w:hAnsiTheme="minorEastAsia"/>
          <w:color w:val="auto"/>
          <w:sz w:val="28"/>
          <w:szCs w:val="28"/>
          <w:highlight w:val="none"/>
        </w:rPr>
        <w:sym w:font="Wingdings 2" w:char="0052"/>
      </w:r>
      <w:r>
        <w:rPr>
          <w:rFonts w:hint="eastAsia" w:ascii="仿宋_GB2312" w:hAnsi="黑体" w:eastAsia="仿宋_GB2312"/>
          <w:color w:val="auto"/>
          <w:sz w:val="28"/>
          <w:szCs w:val="28"/>
          <w:highlight w:val="none"/>
        </w:rPr>
        <w:t xml:space="preserve">工程 </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货物</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pStyle w:val="5"/>
        <w:rPr>
          <w:rFonts w:asciiTheme="minorEastAsia" w:hAnsiTheme="minorEastAsia" w:eastAsiaTheme="minorEastAsia"/>
          <w:color w:val="auto"/>
          <w:sz w:val="28"/>
          <w:szCs w:val="28"/>
          <w:highlight w:val="none"/>
        </w:rPr>
      </w:pPr>
      <w:bookmarkStart w:id="120" w:name="_Toc88209958"/>
      <w:bookmarkStart w:id="121" w:name="_Toc22527"/>
      <w:bookmarkStart w:id="122" w:name="_Toc87616395"/>
      <w:bookmarkStart w:id="123" w:name="_Toc29833"/>
      <w:r>
        <w:rPr>
          <w:rFonts w:hint="eastAsia" w:asciiTheme="minorEastAsia" w:hAnsiTheme="minorEastAsia" w:eastAsiaTheme="minorEastAsia"/>
          <w:color w:val="auto"/>
          <w:sz w:val="28"/>
          <w:szCs w:val="28"/>
          <w:highlight w:val="none"/>
        </w:rPr>
        <w:t>2.法定代表人证明或授权委托书</w:t>
      </w:r>
      <w:bookmarkEnd w:id="120"/>
      <w:bookmarkEnd w:id="121"/>
      <w:bookmarkEnd w:id="122"/>
      <w:bookmarkEnd w:id="123"/>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41"/>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40"/>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4"/>
        <w:snapToGrid w:val="0"/>
        <w:spacing w:line="600" w:lineRule="exact"/>
        <w:ind w:firstLine="3907" w:firstLineChars="1221"/>
        <w:rPr>
          <w:rFonts w:ascii="仿宋_GB2312" w:hAnsi="宋体" w:eastAsia="仿宋_GB2312" w:cs="Times New Roman"/>
          <w:color w:val="auto"/>
          <w:sz w:val="32"/>
          <w:szCs w:val="32"/>
          <w:highlight w:val="none"/>
        </w:rPr>
      </w:pPr>
    </w:p>
    <w:p>
      <w:pPr>
        <w:pStyle w:val="14"/>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70528"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1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70528;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9qn8X9gAAAAJAQAADwAAAAAAAAAB&#10;ACAAAAAiAAAAZHJzL2Rvd25yZXYueG1sUEsBAhQAFAAAAAgAh07iQJv5us1JAgAAlwQAAA4AAAAA&#10;AAAAAQAgAAAAJwEAAGRycy9lMm9Eb2MueG1sUEsFBgAAAAAGAAYAWQEAAOIFA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9"/>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4"/>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6"/>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71552"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71552;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r49Lj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6"/>
        <w:spacing w:after="0" w:line="600" w:lineRule="exact"/>
        <w:rPr>
          <w:rFonts w:ascii="仿宋_GB2312" w:eastAsia="仿宋_GB2312"/>
          <w:color w:val="auto"/>
          <w:highlight w:val="none"/>
        </w:rPr>
      </w:pPr>
    </w:p>
    <w:p>
      <w:pPr>
        <w:pStyle w:val="6"/>
        <w:spacing w:after="0" w:line="600" w:lineRule="exact"/>
        <w:rPr>
          <w:rFonts w:ascii="仿宋_GB2312" w:eastAsia="仿宋_GB2312"/>
          <w:color w:val="auto"/>
          <w:highlight w:val="none"/>
        </w:rPr>
      </w:pPr>
    </w:p>
    <w:p>
      <w:pPr>
        <w:pStyle w:val="6"/>
        <w:spacing w:after="0" w:line="600" w:lineRule="exact"/>
        <w:ind w:firstLine="0"/>
        <w:rPr>
          <w:rFonts w:ascii="仿宋_GB2312" w:eastAsia="仿宋_GB2312"/>
          <w:color w:val="auto"/>
          <w:highlight w:val="none"/>
        </w:rPr>
      </w:pPr>
    </w:p>
    <w:p>
      <w:pPr>
        <w:pStyle w:val="6"/>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5"/>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24" w:name="_Toc88209963"/>
      <w:bookmarkStart w:id="125" w:name="_Toc8086"/>
      <w:bookmarkStart w:id="126" w:name="_Toc87616400"/>
      <w:bookmarkStart w:id="127" w:name="_Toc19830"/>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24"/>
      <w:bookmarkEnd w:id="125"/>
      <w:bookmarkEnd w:id="126"/>
      <w:bookmarkEnd w:id="127"/>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5"/>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right"/>
        <w:outlineLvl w:val="9"/>
        <w:rPr>
          <w:rFonts w:hint="eastAsia" w:cs="Times New Roman" w:asciiTheme="minorEastAsia" w:hAnsiTheme="minorEastAsia" w:eastAsiaTheme="minorEastAsia"/>
          <w:b/>
          <w:bCs/>
          <w:color w:val="auto"/>
          <w:sz w:val="28"/>
          <w:szCs w:val="28"/>
          <w:highlight w:val="none"/>
          <w:lang w:val="en-US" w:eastAsia="zh-CN"/>
        </w:rPr>
      </w:pPr>
      <w:bookmarkStart w:id="128" w:name="_Hlk59025866"/>
      <w:r>
        <w:rPr>
          <w:rFonts w:hint="eastAsia" w:ascii="宋体" w:hAnsi="宋体" w:eastAsia="宋体" w:cs="宋体"/>
          <w:color w:val="auto"/>
          <w:kern w:val="2"/>
          <w:sz w:val="24"/>
          <w:szCs w:val="24"/>
          <w:highlight w:val="none"/>
          <w:lang w:val="en-GB"/>
        </w:rPr>
        <w:t>供应商名称（加盖公章）：</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28"/>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eastAsia="宋体" w:cs="宋体"/>
          <w:color w:val="auto"/>
          <w:kern w:val="2"/>
          <w:sz w:val="24"/>
          <w:szCs w:val="24"/>
          <w:highlight w:val="none"/>
          <w:lang w:val="en-US" w:eastAsia="zh-CN"/>
        </w:rPr>
        <w:t>******</w:t>
      </w:r>
      <w:r>
        <w:rPr>
          <w:rFonts w:hint="eastAsia" w:ascii="宋体" w:hAnsi="宋体" w:cs="宋体"/>
          <w:color w:val="auto"/>
          <w:kern w:val="2"/>
          <w:sz w:val="24"/>
          <w:szCs w:val="24"/>
          <w:highlight w:val="none"/>
          <w:lang w:val="en-GB" w:eastAsia="zh-CN"/>
        </w:rPr>
        <w:t>项目</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w:t>
      </w:r>
      <w:r>
        <w:rPr>
          <w:rFonts w:hint="eastAsia" w:ascii="宋体" w:hAnsi="宋体" w:cs="宋体"/>
          <w:color w:val="auto"/>
          <w:sz w:val="24"/>
          <w:szCs w:val="24"/>
          <w:highlight w:val="none"/>
          <w:lang w:val="en-US" w:eastAsia="zh-CN"/>
        </w:rPr>
        <w:t>或</w:t>
      </w:r>
      <w:r>
        <w:rPr>
          <w:rFonts w:hint="eastAsia" w:ascii="宋体" w:hAnsi="宋体" w:cs="宋体" w:eastAsiaTheme="minorEastAsia"/>
          <w:color w:val="auto"/>
          <w:sz w:val="24"/>
          <w:szCs w:val="24"/>
          <w:highlight w:val="none"/>
          <w:lang w:val="en-GB"/>
        </w:rPr>
        <w:t>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3</w:t>
      </w:r>
      <w:r>
        <w:rPr>
          <w:rFonts w:hint="eastAsia" w:ascii="宋体" w:hAnsi="宋体" w:cs="宋体" w:eastAsiaTheme="minorEastAsia"/>
          <w:color w:val="auto"/>
          <w:sz w:val="24"/>
          <w:szCs w:val="24"/>
          <w:highlight w:val="none"/>
          <w:lang w:val="en-GB"/>
        </w:rPr>
        <w:t>）被本项目所在地省级以上行业主管部门依法暂停、取消投标或禁止参加采购活动且处于有效期内的。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4</w:t>
      </w:r>
      <w:r>
        <w:rPr>
          <w:rFonts w:hint="eastAsia" w:ascii="宋体" w:hAnsi="宋体" w:cs="宋体" w:eastAsiaTheme="minorEastAsia"/>
          <w:color w:val="auto"/>
          <w:sz w:val="24"/>
          <w:szCs w:val="24"/>
          <w:highlight w:val="none"/>
          <w:lang w:val="en-GB"/>
        </w:rPr>
        <w:t>）处于被责令停产停业、暂扣或者吊销执照、暂扣或者吊销许可证、吊销资质证书状态。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5</w:t>
      </w:r>
      <w:r>
        <w:rPr>
          <w:rFonts w:hint="eastAsia" w:ascii="宋体" w:hAnsi="宋体" w:cs="宋体" w:eastAsiaTheme="minorEastAsia"/>
          <w:color w:val="auto"/>
          <w:sz w:val="24"/>
          <w:szCs w:val="24"/>
          <w:highlight w:val="none"/>
          <w:lang w:val="en-GB"/>
        </w:rPr>
        <w:t>）进入清算程序，或被宣告破产，或其他丧失履约能力情形的。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6</w:t>
      </w:r>
      <w:r>
        <w:rPr>
          <w:rFonts w:hint="eastAsia" w:ascii="宋体" w:hAnsi="宋体" w:cs="宋体" w:eastAsiaTheme="minorEastAsia"/>
          <w:color w:val="auto"/>
          <w:sz w:val="24"/>
          <w:szCs w:val="24"/>
          <w:highlight w:val="none"/>
          <w:lang w:val="en-GB"/>
        </w:rPr>
        <w:t>）近三年内因发生质量或安全生产事故等受到行政处罚且在处罚期内的。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7</w:t>
      </w:r>
      <w:r>
        <w:rPr>
          <w:rFonts w:hint="eastAsia" w:ascii="宋体" w:hAnsi="宋体" w:cs="宋体" w:eastAsiaTheme="minorEastAsia"/>
          <w:color w:val="auto"/>
          <w:sz w:val="24"/>
          <w:szCs w:val="24"/>
          <w:highlight w:val="none"/>
          <w:lang w:val="en-GB"/>
        </w:rPr>
        <w:t>）被最高人民法院在“信用中国”网站（www.creditchina.gov.cn）或各级信用信息共享平台中列入失信被执行人名单。</w:t>
      </w:r>
    </w:p>
    <w:p>
      <w:pPr>
        <w:pStyle w:val="23"/>
        <w:ind w:firstLine="480" w:firstLineChars="200"/>
        <w:rPr>
          <w:rFonts w:hint="eastAsia" w:cs="宋体" w:eastAsiaTheme="minorEastAsia"/>
          <w:color w:val="auto"/>
          <w:kern w:val="2"/>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8</w:t>
      </w:r>
      <w:r>
        <w:rPr>
          <w:rFonts w:hint="eastAsia" w:ascii="宋体" w:hAnsi="宋体" w:cs="宋体" w:eastAsiaTheme="minorEastAsia"/>
          <w:color w:val="auto"/>
          <w:sz w:val="24"/>
          <w:szCs w:val="24"/>
          <w:highlight w:val="none"/>
          <w:lang w:val="en-GB"/>
        </w:rPr>
        <w:t>）</w:t>
      </w:r>
      <w:r>
        <w:rPr>
          <w:rFonts w:hint="eastAsia" w:cs="宋体" w:eastAsiaTheme="minorEastAsia"/>
          <w:color w:val="auto"/>
          <w:kern w:val="2"/>
          <w:highlight w:val="none"/>
          <w:lang w:val="en-GB"/>
        </w:rPr>
        <w:t>被“全国企业信用信息公示系统”（网址：http://www.gsxt.gov.cn/）</w:t>
      </w:r>
    </w:p>
    <w:p>
      <w:pPr>
        <w:pStyle w:val="23"/>
        <w:rPr>
          <w:rFonts w:hint="eastAsia" w:cs="宋体" w:eastAsiaTheme="minorEastAsia"/>
          <w:color w:val="auto"/>
          <w:kern w:val="2"/>
          <w:highlight w:val="none"/>
          <w:lang w:val="en-GB"/>
        </w:rPr>
      </w:pPr>
      <w:r>
        <w:rPr>
          <w:rFonts w:hint="eastAsia" w:cs="宋体" w:eastAsiaTheme="minorEastAsia"/>
          <w:color w:val="auto"/>
          <w:kern w:val="2"/>
          <w:highlight w:val="none"/>
          <w:lang w:val="en-GB"/>
        </w:rPr>
        <w:t>列入经营异常名录和严重违法企业名单。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9</w:t>
      </w:r>
      <w:r>
        <w:rPr>
          <w:rFonts w:hint="eastAsia" w:ascii="宋体" w:hAnsi="宋体" w:cs="宋体" w:eastAsiaTheme="minorEastAsia"/>
          <w:color w:val="auto"/>
          <w:sz w:val="24"/>
          <w:szCs w:val="24"/>
          <w:highlight w:val="none"/>
          <w:lang w:val="en-GB"/>
        </w:rPr>
        <w:t>）被“信用广州”网站纳入失信被执行人名单（失信黑名单）。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10</w:t>
      </w:r>
      <w:r>
        <w:rPr>
          <w:rFonts w:hint="eastAsia" w:ascii="宋体" w:hAnsi="宋体" w:cs="宋体" w:eastAsiaTheme="minorEastAsia"/>
          <w:color w:val="auto"/>
          <w:sz w:val="24"/>
          <w:szCs w:val="24"/>
          <w:highlight w:val="none"/>
          <w:lang w:val="en-GB"/>
        </w:rPr>
        <w:t>）被纳入本项目采购人（包括市水投集团及相关所属企业）书面限制参与采购活动且处于有效期内的。</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w:t>
      </w:r>
      <w:r>
        <w:rPr>
          <w:rFonts w:hint="eastAsia" w:ascii="宋体" w:hAnsi="宋体" w:cs="宋体"/>
          <w:color w:val="auto"/>
          <w:sz w:val="24"/>
          <w:szCs w:val="24"/>
          <w:highlight w:val="none"/>
          <w:lang w:val="en-US" w:eastAsia="zh-CN"/>
        </w:rPr>
        <w:t>1</w:t>
      </w:r>
      <w:r>
        <w:rPr>
          <w:rFonts w:hint="eastAsia" w:ascii="宋体" w:hAnsi="宋体" w:cs="宋体" w:eastAsiaTheme="minorEastAsia"/>
          <w:color w:val="auto"/>
          <w:sz w:val="24"/>
          <w:szCs w:val="24"/>
          <w:highlight w:val="none"/>
          <w:lang w:val="en-GB"/>
        </w:rPr>
        <w:t>）其他违法违纪行为，经审查认为不宜被邀请参加采购活动的。</w:t>
      </w:r>
    </w:p>
    <w:p>
      <w:pPr>
        <w:adjustRightInd w:val="0"/>
        <w:snapToGrid w:val="0"/>
        <w:spacing w:line="360" w:lineRule="auto"/>
        <w:rPr>
          <w:rFonts w:hint="eastAsia" w:ascii="宋体" w:hAnsi="宋体" w:eastAsia="宋体" w:cs="宋体"/>
          <w:b/>
          <w:color w:val="auto"/>
          <w:sz w:val="21"/>
          <w:szCs w:val="21"/>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ind w:firstLine="0"/>
        <w:jc w:val="right"/>
        <w:rPr>
          <w:rFonts w:hint="eastAsia"/>
          <w:color w:val="auto"/>
          <w:highlight w:val="none"/>
          <w:lang w:eastAsia="zh-CN"/>
        </w:rPr>
      </w:pPr>
      <w:r>
        <w:rPr>
          <w:rFonts w:hint="eastAsia" w:ascii="宋体" w:hAnsi="宋体" w:eastAsia="宋体" w:cs="宋体"/>
          <w:color w:val="auto"/>
          <w:kern w:val="2"/>
          <w:sz w:val="24"/>
          <w:szCs w:val="24"/>
          <w:highlight w:val="none"/>
          <w:lang w:val="en-GB"/>
        </w:rPr>
        <w:t>年  月  日</w:t>
      </w:r>
    </w:p>
    <w:p>
      <w:pPr>
        <w:jc w:val="left"/>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3"/>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4"/>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pStyle w:val="5"/>
        <w:rPr>
          <w:rFonts w:asciiTheme="minorEastAsia" w:hAnsiTheme="minorEastAsia" w:eastAsiaTheme="minorEastAsia"/>
          <w:color w:val="auto"/>
          <w:sz w:val="28"/>
          <w:szCs w:val="28"/>
          <w:highlight w:val="none"/>
        </w:rPr>
      </w:pPr>
      <w:bookmarkStart w:id="129" w:name="_Toc32430"/>
      <w:bookmarkStart w:id="130" w:name="_Toc19423"/>
      <w:r>
        <w:rPr>
          <w:rFonts w:hint="eastAsia" w:ascii="仿宋_GB2312" w:eastAsia="仿宋_GB2312" w:hAnsiTheme="minorEastAsia"/>
          <w:color w:val="auto"/>
          <w:sz w:val="28"/>
          <w:szCs w:val="28"/>
          <w:highlight w:val="none"/>
          <w:lang w:val="en-US" w:eastAsia="zh-CN"/>
        </w:rPr>
        <w:t>5</w:t>
      </w:r>
      <w:r>
        <w:rPr>
          <w:rFonts w:hint="eastAsia" w:asciiTheme="minorEastAsia" w:hAnsiTheme="minorEastAsia" w:eastAsiaTheme="minorEastAsia"/>
          <w:color w:val="auto"/>
          <w:sz w:val="28"/>
          <w:szCs w:val="28"/>
          <w:highlight w:val="none"/>
        </w:rPr>
        <w:t>.报价表</w:t>
      </w:r>
      <w:bookmarkEnd w:id="129"/>
      <w:bookmarkEnd w:id="130"/>
    </w:p>
    <w:p>
      <w:pPr>
        <w:adjustRightInd/>
        <w:snapToGrid/>
        <w:spacing w:line="240" w:lineRule="auto"/>
        <w:ind w:firstLine="0"/>
        <w:jc w:val="center"/>
        <w:rPr>
          <w:rFonts w:hint="eastAsia" w:ascii="仿宋" w:hAnsi="仿宋" w:eastAsia="仿宋" w:cs="仿宋_GB2312"/>
          <w:b/>
          <w:color w:val="auto"/>
          <w:sz w:val="28"/>
          <w:szCs w:val="28"/>
          <w:highlight w:val="none"/>
          <w:lang w:val="en-US" w:eastAsia="zh-CN"/>
        </w:rPr>
      </w:pPr>
      <w:r>
        <w:rPr>
          <w:rFonts w:hint="eastAsia" w:ascii="仿宋" w:hAnsi="仿宋" w:eastAsia="仿宋" w:cs="仿宋_GB2312"/>
          <w:b/>
          <w:color w:val="auto"/>
          <w:sz w:val="28"/>
          <w:szCs w:val="28"/>
          <w:highlight w:val="none"/>
          <w:lang w:val="en-US" w:eastAsia="zh-CN"/>
        </w:rPr>
        <w:t>广州市净水有限公司白云区初雨泵站南侧地块安全围蔽工程项目项目报价表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3477"/>
        <w:gridCol w:w="1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仿宋" w:hAnsi="仿宋" w:eastAsia="仿宋"/>
                <w:b/>
                <w:bCs/>
                <w:color w:val="auto"/>
                <w:sz w:val="28"/>
                <w:szCs w:val="28"/>
                <w:highlight w:val="none"/>
              </w:rPr>
            </w:pPr>
            <w:r>
              <w:rPr>
                <w:rFonts w:ascii="仿宋" w:hAnsi="仿宋" w:eastAsia="仿宋" w:cs="Times New Roman"/>
                <w:b/>
                <w:bCs/>
                <w:color w:val="auto"/>
                <w:sz w:val="28"/>
                <w:szCs w:val="28"/>
                <w:highlight w:val="none"/>
              </w:rPr>
              <w:t>序号</w:t>
            </w:r>
          </w:p>
        </w:tc>
        <w:tc>
          <w:tcPr>
            <w:tcW w:w="3477" w:type="dxa"/>
            <w:vAlign w:val="center"/>
          </w:tcPr>
          <w:p>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仿宋" w:hAnsi="仿宋" w:eastAsia="仿宋"/>
                <w:b/>
                <w:bCs/>
                <w:color w:val="auto"/>
                <w:sz w:val="28"/>
                <w:szCs w:val="28"/>
                <w:highlight w:val="none"/>
              </w:rPr>
            </w:pPr>
            <w:r>
              <w:rPr>
                <w:rFonts w:ascii="仿宋" w:hAnsi="仿宋" w:eastAsia="仿宋" w:cs="Times New Roman"/>
                <w:b/>
                <w:bCs/>
                <w:color w:val="auto"/>
                <w:sz w:val="28"/>
                <w:szCs w:val="28"/>
                <w:highlight w:val="none"/>
              </w:rPr>
              <w:t>内容</w:t>
            </w:r>
          </w:p>
        </w:tc>
        <w:tc>
          <w:tcPr>
            <w:tcW w:w="1905" w:type="dxa"/>
            <w:vAlign w:val="center"/>
          </w:tcPr>
          <w:p>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仿宋" w:hAnsi="仿宋" w:eastAsia="仿宋"/>
                <w:b/>
                <w:bCs/>
                <w:color w:val="auto"/>
                <w:sz w:val="28"/>
                <w:szCs w:val="28"/>
                <w:highlight w:val="none"/>
              </w:rPr>
            </w:pPr>
            <w:r>
              <w:rPr>
                <w:rFonts w:hint="eastAsia" w:ascii="仿宋" w:hAnsi="仿宋" w:eastAsia="仿宋" w:cs="Times New Roman"/>
                <w:b/>
                <w:bCs/>
                <w:color w:val="auto"/>
                <w:sz w:val="28"/>
                <w:szCs w:val="28"/>
                <w:highlight w:val="none"/>
                <w:lang w:val="en-US" w:eastAsia="zh-CN"/>
              </w:rPr>
              <w:t>金额</w:t>
            </w:r>
            <w:r>
              <w:rPr>
                <w:rFonts w:ascii="仿宋" w:hAnsi="仿宋" w:eastAsia="仿宋" w:cs="Times New Roman"/>
                <w:b/>
                <w:bCs/>
                <w:color w:val="auto"/>
                <w:sz w:val="28"/>
                <w:szCs w:val="2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0" w:type="auto"/>
            <w:vAlign w:val="center"/>
          </w:tcPr>
          <w:p>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仿宋" w:hAnsi="仿宋" w:eastAsia="仿宋"/>
                <w:color w:val="auto"/>
                <w:sz w:val="28"/>
                <w:szCs w:val="28"/>
                <w:highlight w:val="none"/>
              </w:rPr>
            </w:pPr>
            <w:r>
              <w:rPr>
                <w:rFonts w:ascii="仿宋" w:hAnsi="仿宋" w:eastAsia="仿宋" w:cs="Times New Roman"/>
                <w:color w:val="auto"/>
                <w:sz w:val="28"/>
                <w:szCs w:val="28"/>
                <w:highlight w:val="none"/>
              </w:rPr>
              <w:t>1</w:t>
            </w:r>
          </w:p>
        </w:tc>
        <w:tc>
          <w:tcPr>
            <w:tcW w:w="3477" w:type="dxa"/>
            <w:vAlign w:val="center"/>
          </w:tcPr>
          <w:p>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ascii="仿宋" w:hAnsi="仿宋" w:eastAsia="仿宋"/>
                <w:color w:val="auto"/>
                <w:sz w:val="28"/>
                <w:szCs w:val="28"/>
                <w:highlight w:val="none"/>
              </w:rPr>
            </w:pPr>
            <w:r>
              <w:rPr>
                <w:rFonts w:hint="eastAsia" w:ascii="仿宋" w:hAnsi="仿宋" w:eastAsia="仿宋"/>
                <w:color w:val="auto"/>
                <w:sz w:val="28"/>
                <w:szCs w:val="28"/>
                <w:highlight w:val="none"/>
                <w:lang w:val="en-US" w:eastAsia="zh-CN"/>
              </w:rPr>
              <w:t>隔离栅建设费</w:t>
            </w:r>
          </w:p>
        </w:tc>
        <w:tc>
          <w:tcPr>
            <w:tcW w:w="1905" w:type="dxa"/>
            <w:vAlign w:val="center"/>
          </w:tcPr>
          <w:p>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hint="default" w:ascii="仿宋" w:hAnsi="仿宋" w:eastAsia="仿宋" w:cs="Times New Roman"/>
                <w:color w:val="auto"/>
                <w:sz w:val="28"/>
                <w:szCs w:val="2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仿宋" w:hAnsi="仿宋" w:eastAsia="仿宋"/>
                <w:color w:val="auto"/>
                <w:sz w:val="28"/>
                <w:szCs w:val="28"/>
                <w:highlight w:val="none"/>
              </w:rPr>
            </w:pPr>
            <w:r>
              <w:rPr>
                <w:rFonts w:ascii="仿宋" w:hAnsi="仿宋" w:eastAsia="仿宋" w:cs="Times New Roman"/>
                <w:color w:val="auto"/>
                <w:sz w:val="28"/>
                <w:szCs w:val="28"/>
                <w:highlight w:val="none"/>
              </w:rPr>
              <w:t>2</w:t>
            </w:r>
          </w:p>
        </w:tc>
        <w:tc>
          <w:tcPr>
            <w:tcW w:w="3477" w:type="dxa"/>
            <w:vAlign w:val="center"/>
          </w:tcPr>
          <w:p>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ascii="仿宋" w:hAnsi="仿宋" w:eastAsia="仿宋"/>
                <w:color w:val="auto"/>
                <w:sz w:val="28"/>
                <w:szCs w:val="28"/>
                <w:highlight w:val="none"/>
              </w:rPr>
            </w:pPr>
            <w:r>
              <w:rPr>
                <w:rFonts w:hint="eastAsia" w:ascii="仿宋" w:hAnsi="仿宋" w:eastAsia="仿宋" w:cs="仿宋"/>
                <w:color w:val="auto"/>
                <w:sz w:val="28"/>
                <w:szCs w:val="28"/>
                <w:highlight w:val="none"/>
                <w:lang w:val="en-US" w:eastAsia="zh-CN"/>
              </w:rPr>
              <w:t>场内废弃垃圾清理费</w:t>
            </w:r>
          </w:p>
        </w:tc>
        <w:tc>
          <w:tcPr>
            <w:tcW w:w="1905" w:type="dxa"/>
            <w:vAlign w:val="center"/>
          </w:tcPr>
          <w:p>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hint="default" w:ascii="仿宋" w:hAnsi="仿宋" w:eastAsia="仿宋" w:cs="Times New Roman"/>
                <w:color w:val="auto"/>
                <w:sz w:val="28"/>
                <w:szCs w:val="2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仿宋" w:hAnsi="仿宋" w:eastAsia="仿宋"/>
                <w:color w:val="auto"/>
                <w:sz w:val="28"/>
                <w:szCs w:val="28"/>
                <w:highlight w:val="none"/>
              </w:rPr>
            </w:pPr>
            <w:r>
              <w:rPr>
                <w:rFonts w:ascii="仿宋" w:hAnsi="仿宋" w:eastAsia="仿宋" w:cs="Times New Roman"/>
                <w:color w:val="auto"/>
                <w:sz w:val="28"/>
                <w:szCs w:val="28"/>
                <w:highlight w:val="none"/>
              </w:rPr>
              <w:t>3</w:t>
            </w:r>
          </w:p>
        </w:tc>
        <w:tc>
          <w:tcPr>
            <w:tcW w:w="3477" w:type="dxa"/>
            <w:vAlign w:val="center"/>
          </w:tcPr>
          <w:p>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ascii="仿宋" w:hAnsi="仿宋" w:eastAsia="仿宋"/>
                <w:color w:val="auto"/>
                <w:sz w:val="28"/>
                <w:szCs w:val="28"/>
                <w:highlight w:val="none"/>
              </w:rPr>
            </w:pPr>
            <w:r>
              <w:rPr>
                <w:rFonts w:hint="eastAsia" w:ascii="仿宋" w:hAnsi="仿宋" w:eastAsia="仿宋" w:cs="仿宋"/>
                <w:color w:val="auto"/>
                <w:sz w:val="28"/>
                <w:szCs w:val="28"/>
                <w:highlight w:val="none"/>
                <w:lang w:val="en-US" w:eastAsia="zh-CN"/>
              </w:rPr>
              <w:t>警示牌制作安装费</w:t>
            </w:r>
          </w:p>
        </w:tc>
        <w:tc>
          <w:tcPr>
            <w:tcW w:w="1905" w:type="dxa"/>
            <w:vAlign w:val="center"/>
          </w:tcPr>
          <w:p>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hint="default" w:ascii="仿宋" w:hAnsi="仿宋" w:eastAsia="仿宋" w:cs="Times New Roman"/>
                <w:color w:val="auto"/>
                <w:sz w:val="28"/>
                <w:szCs w:val="2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仿宋" w:hAnsi="仿宋" w:eastAsia="仿宋"/>
                <w:color w:val="auto"/>
                <w:sz w:val="28"/>
                <w:szCs w:val="28"/>
                <w:highlight w:val="none"/>
              </w:rPr>
            </w:pPr>
            <w:r>
              <w:rPr>
                <w:rFonts w:ascii="仿宋" w:hAnsi="仿宋" w:eastAsia="仿宋" w:cs="Times New Roman"/>
                <w:color w:val="auto"/>
                <w:sz w:val="28"/>
                <w:szCs w:val="28"/>
                <w:highlight w:val="none"/>
              </w:rPr>
              <w:t>4</w:t>
            </w:r>
          </w:p>
        </w:tc>
        <w:tc>
          <w:tcPr>
            <w:tcW w:w="3477" w:type="dxa"/>
            <w:vAlign w:val="center"/>
          </w:tcPr>
          <w:p>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ascii="仿宋" w:hAnsi="仿宋" w:eastAsia="仿宋"/>
                <w:color w:val="auto"/>
                <w:sz w:val="28"/>
                <w:szCs w:val="28"/>
                <w:highlight w:val="none"/>
              </w:rPr>
            </w:pPr>
            <w:r>
              <w:rPr>
                <w:rFonts w:hint="eastAsia" w:ascii="仿宋" w:hAnsi="仿宋" w:eastAsia="仿宋" w:cs="仿宋"/>
                <w:color w:val="auto"/>
                <w:sz w:val="28"/>
                <w:szCs w:val="28"/>
                <w:highlight w:val="none"/>
                <w:lang w:val="en-US" w:eastAsia="zh-CN"/>
              </w:rPr>
              <w:t>绿色安全文明施工费</w:t>
            </w:r>
          </w:p>
        </w:tc>
        <w:tc>
          <w:tcPr>
            <w:tcW w:w="1905" w:type="dxa"/>
            <w:vAlign w:val="center"/>
          </w:tcPr>
          <w:p>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hint="default" w:ascii="仿宋" w:hAnsi="仿宋" w:eastAsia="仿宋" w:cs="Times New Roman"/>
                <w:color w:val="auto"/>
                <w:sz w:val="28"/>
                <w:szCs w:val="2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5</w:t>
            </w:r>
          </w:p>
        </w:tc>
        <w:tc>
          <w:tcPr>
            <w:tcW w:w="3477" w:type="dxa"/>
            <w:vAlign w:val="center"/>
          </w:tcPr>
          <w:p>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税金</w:t>
            </w:r>
          </w:p>
        </w:tc>
        <w:tc>
          <w:tcPr>
            <w:tcW w:w="1905" w:type="dxa"/>
            <w:vAlign w:val="center"/>
          </w:tcPr>
          <w:p>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hint="default" w:ascii="仿宋" w:hAnsi="仿宋" w:eastAsia="仿宋" w:cs="Times New Roman"/>
                <w:color w:val="auto"/>
                <w:sz w:val="28"/>
                <w:szCs w:val="2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0" w:type="auto"/>
            <w:vAlign w:val="center"/>
          </w:tcPr>
          <w:p>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仿宋" w:hAnsi="仿宋" w:eastAsia="仿宋"/>
                <w:color w:val="auto"/>
                <w:sz w:val="28"/>
                <w:szCs w:val="28"/>
                <w:highlight w:val="none"/>
              </w:rPr>
            </w:pPr>
          </w:p>
        </w:tc>
        <w:tc>
          <w:tcPr>
            <w:tcW w:w="3477" w:type="dxa"/>
            <w:vAlign w:val="center"/>
          </w:tcPr>
          <w:p>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仿宋" w:hAnsi="仿宋" w:eastAsia="仿宋"/>
                <w:b/>
                <w:bCs/>
                <w:color w:val="auto"/>
                <w:sz w:val="28"/>
                <w:szCs w:val="28"/>
                <w:highlight w:val="none"/>
              </w:rPr>
            </w:pPr>
            <w:r>
              <w:rPr>
                <w:rFonts w:hint="eastAsia" w:ascii="仿宋" w:hAnsi="仿宋" w:eastAsia="仿宋" w:cs="Times New Roman"/>
                <w:b/>
                <w:bCs/>
                <w:color w:val="auto"/>
                <w:sz w:val="28"/>
                <w:szCs w:val="28"/>
                <w:highlight w:val="none"/>
              </w:rPr>
              <w:t>合计</w:t>
            </w:r>
          </w:p>
        </w:tc>
        <w:tc>
          <w:tcPr>
            <w:tcW w:w="1905" w:type="dxa"/>
            <w:vAlign w:val="center"/>
          </w:tcPr>
          <w:p>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hint="default" w:ascii="仿宋" w:hAnsi="仿宋" w:eastAsia="仿宋" w:cs="Times New Roman"/>
                <w:color w:val="auto"/>
                <w:sz w:val="28"/>
                <w:szCs w:val="28"/>
                <w:highlight w:val="none"/>
                <w:lang w:val="en-US" w:eastAsia="zh-CN"/>
              </w:rPr>
            </w:pPr>
          </w:p>
        </w:tc>
      </w:tr>
    </w:tbl>
    <w:p>
      <w:pPr>
        <w:adjustRightInd w:val="0"/>
        <w:snapToGrid w:val="0"/>
        <w:spacing w:line="600" w:lineRule="exact"/>
        <w:ind w:firstLine="0"/>
        <w:rPr>
          <w:rFonts w:ascii="仿宋_GB2312" w:eastAsia="仿宋_GB2312" w:hAnsiTheme="minorEastAsia"/>
          <w:color w:val="auto"/>
          <w:sz w:val="28"/>
          <w:szCs w:val="28"/>
          <w:highlight w:val="none"/>
        </w:rPr>
      </w:pPr>
    </w:p>
    <w:p>
      <w:pPr>
        <w:pStyle w:val="23"/>
        <w:rPr>
          <w:color w:val="auto"/>
          <w:highlight w:val="none"/>
        </w:rPr>
      </w:pPr>
    </w:p>
    <w:p>
      <w:pPr>
        <w:pStyle w:val="23"/>
        <w:rPr>
          <w:rFonts w:hint="default"/>
          <w:color w:val="auto"/>
          <w:highlight w:val="none"/>
          <w:lang w:val="en-US"/>
        </w:rPr>
      </w:pPr>
    </w:p>
    <w:p>
      <w:pPr>
        <w:pStyle w:val="5"/>
        <w:rPr>
          <w:rFonts w:asciiTheme="majorEastAsia" w:hAnsiTheme="majorEastAsia" w:eastAsiaTheme="majorEastAsia"/>
          <w:color w:val="auto"/>
          <w:sz w:val="28"/>
          <w:szCs w:val="28"/>
          <w:highlight w:val="none"/>
        </w:rPr>
      </w:pPr>
      <w:bookmarkStart w:id="131" w:name="_Toc87616402"/>
      <w:bookmarkStart w:id="132" w:name="_Toc88209965"/>
      <w:bookmarkStart w:id="133" w:name="_Toc16386"/>
      <w:bookmarkStart w:id="134" w:name="_Toc6058"/>
      <w:r>
        <w:rPr>
          <w:rFonts w:hint="eastAsia" w:eastAsiaTheme="majorEastAsia"/>
          <w:color w:val="auto"/>
          <w:highlight w:val="none"/>
          <w:lang w:val="en-US" w:eastAsia="zh-CN"/>
        </w:rPr>
        <w:t>6</w:t>
      </w:r>
      <w:r>
        <w:rPr>
          <w:rFonts w:hint="eastAsia" w:asciiTheme="majorEastAsia" w:hAnsiTheme="majorEastAsia" w:eastAsiaTheme="majorEastAsia"/>
          <w:color w:val="auto"/>
          <w:sz w:val="28"/>
          <w:szCs w:val="28"/>
          <w:highlight w:val="none"/>
        </w:rPr>
        <w:t>.其他资料</w:t>
      </w:r>
      <w:bookmarkEnd w:id="131"/>
      <w:bookmarkEnd w:id="132"/>
      <w:bookmarkEnd w:id="133"/>
      <w:bookmarkEnd w:id="134"/>
    </w:p>
    <w:p>
      <w:pPr>
        <w:adjustRightInd w:val="0"/>
        <w:snapToGrid w:val="0"/>
        <w:spacing w:line="600" w:lineRule="exact"/>
        <w:ind w:firstLine="570"/>
        <w:rPr>
          <w:rFonts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p>
      <w:pPr>
        <w:rPr>
          <w:color w:val="auto"/>
          <w:highlight w:val="none"/>
        </w:rPr>
      </w:pPr>
    </w:p>
    <w:sectPr>
      <w:headerReference r:id="rId12" w:type="first"/>
      <w:footerReference r:id="rId15" w:type="first"/>
      <w:footerReference r:id="rId13" w:type="default"/>
      <w:footerReference r:id="rId14" w:type="even"/>
      <w:pgSz w:w="11906" w:h="16838"/>
      <w:pgMar w:top="2098" w:right="1474" w:bottom="1985" w:left="1588"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outside" w:y="1"/>
      <w:rPr>
        <w:rStyle w:val="28"/>
      </w:rPr>
    </w:pPr>
    <w:r>
      <w:fldChar w:fldCharType="begin"/>
    </w:r>
    <w:r>
      <w:rPr>
        <w:rStyle w:val="28"/>
      </w:rPr>
      <w:instrText xml:space="preserve">PAGE  </w:instrText>
    </w:r>
    <w:r>
      <w:fldChar w:fldCharType="end"/>
    </w:r>
  </w:p>
  <w:p>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fldChar w:fldCharType="begin"/>
    </w:r>
    <w:r>
      <w:instrText xml:space="preserve">PAGE   \* MERGEFORMAT</w:instrText>
    </w:r>
    <w:r>
      <w:fldChar w:fldCharType="separate"/>
    </w:r>
    <w:r>
      <w:rPr>
        <w:lang w:val="zh-CN"/>
      </w:rPr>
      <w:t>-</w:t>
    </w:r>
    <w:r>
      <w:t xml:space="preserve"> 1 -</w:t>
    </w:r>
    <w:r>
      <w:fldChar w:fldCharType="end"/>
    </w:r>
  </w:p>
  <w:p>
    <w:pPr>
      <w:pStyle w:val="18"/>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fldChar w:fldCharType="begin"/>
    </w:r>
    <w:r>
      <w:instrText xml:space="preserve">PAGE   \* MERGEFORMAT</w:instrText>
    </w:r>
    <w:r>
      <w:fldChar w:fldCharType="separate"/>
    </w:r>
    <w:r>
      <w:rPr>
        <w:lang w:val="zh-CN"/>
      </w:rPr>
      <w:t>-</w:t>
    </w:r>
    <w:r>
      <w:t xml:space="preserve"> 1 -</w:t>
    </w:r>
    <w:r>
      <w:fldChar w:fldCharType="end"/>
    </w:r>
  </w:p>
  <w:p>
    <w:pPr>
      <w:pStyle w:val="18"/>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outside" w:y="1"/>
      <w:rPr>
        <w:rStyle w:val="28"/>
      </w:rPr>
    </w:pPr>
    <w:r>
      <w:fldChar w:fldCharType="begin"/>
    </w:r>
    <w:r>
      <w:rPr>
        <w:rStyle w:val="28"/>
      </w:rPr>
      <w:instrText xml:space="preserve">PAGE  </w:instrText>
    </w:r>
    <w:r>
      <w:fldChar w:fldCharType="end"/>
    </w:r>
  </w:p>
  <w:p>
    <w:pPr>
      <w:pStyle w:val="18"/>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IWtvs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pJieMWJ375/u3y49fl51fy&#10;O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ha2+yQEAAJo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CqOxskBAACaAwAADgAAAGRycy9lMm9Eb2MueG1srVPNjtMwEL4j8Q6W&#10;79TZC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YKo7GyQEAAJoDAAAOAAAAAAAAAAEAIAAAAB4BAABkcnMvZTJvRG9j&#10;LnhtbFBLBQYAAAAABgAGAFkBAABZBQ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8"/>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zvpMg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AolcdzixC8/f1x+/bn8/k6W&#10;WZ8+QI1p9wET0/DOD7g1sx/QmWkPKtr8RUIE4wh1vqorh0REfrRerdcVhgTG5gvis4fnIUJ6L70l&#10;2WhoxPEVVfnpI6QxdU7J1Zy/08aUERr3jwMxs4fl3sces5WG/TAR2vv2jHx6nHxDHS46JeaDQ2Gx&#10;vzQbcTb2s3EMUR+6skW5HoTbY8ImSm+5wgg7FcaRFXbTeuWdeHwvWQ+/1P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8s76TIAQAAmgMAAA4AAAAAAAAAAQAgAAAAHgEAAGRycy9lMm9Eb2Mu&#10;eG1sUEsFBgAAAAAGAAYAWQEAAFg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9CF724"/>
    <w:multiLevelType w:val="singleLevel"/>
    <w:tmpl w:val="CC9CF724"/>
    <w:lvl w:ilvl="0" w:tentative="0">
      <w:start w:val="1"/>
      <w:numFmt w:val="chineseCounting"/>
      <w:suff w:val="space"/>
      <w:lvlText w:val="第%1章"/>
      <w:lvlJc w:val="left"/>
      <w:rPr>
        <w:rFonts w:hint="eastAsia"/>
      </w:rPr>
    </w:lvl>
  </w:abstractNum>
  <w:abstractNum w:abstractNumId="1">
    <w:nsid w:val="1491C3F6"/>
    <w:multiLevelType w:val="singleLevel"/>
    <w:tmpl w:val="1491C3F6"/>
    <w:lvl w:ilvl="0" w:tentative="0">
      <w:start w:val="2"/>
      <w:numFmt w:val="decimal"/>
      <w:suff w:val="nothing"/>
      <w:lvlText w:val="（%1）"/>
      <w:lvlJc w:val="left"/>
    </w:lvl>
  </w:abstractNum>
  <w:abstractNum w:abstractNumId="2">
    <w:nsid w:val="4734DCE6"/>
    <w:multiLevelType w:val="singleLevel"/>
    <w:tmpl w:val="4734DCE6"/>
    <w:lvl w:ilvl="0" w:tentative="0">
      <w:start w:val="1"/>
      <w:numFmt w:val="decimal"/>
      <w:lvlText w:val="%1."/>
      <w:lvlJc w:val="left"/>
      <w:pPr>
        <w:tabs>
          <w:tab w:val="left" w:pos="312"/>
        </w:tabs>
      </w:pPr>
    </w:lvl>
  </w:abstractNum>
  <w:abstractNum w:abstractNumId="3">
    <w:nsid w:val="5A90D308"/>
    <w:multiLevelType w:val="singleLevel"/>
    <w:tmpl w:val="5A90D308"/>
    <w:lvl w:ilvl="0" w:tentative="0">
      <w:start w:val="1"/>
      <w:numFmt w:val="decimal"/>
      <w:suff w:val="nothing"/>
      <w:lvlText w:val="（%1）"/>
      <w:lvlJc w:val="left"/>
    </w:lvl>
  </w:abstractNum>
  <w:abstractNum w:abstractNumId="4">
    <w:nsid w:val="675ED255"/>
    <w:multiLevelType w:val="singleLevel"/>
    <w:tmpl w:val="675ED255"/>
    <w:lvl w:ilvl="0" w:tentative="0">
      <w:start w:val="1"/>
      <w:numFmt w:val="decimal"/>
      <w:suff w:val="space"/>
      <w:lvlText w:val="%1."/>
      <w:lvlJc w:val="left"/>
    </w:lvl>
  </w:abstractNum>
  <w:abstractNum w:abstractNumId="5">
    <w:nsid w:val="705D32C3"/>
    <w:multiLevelType w:val="singleLevel"/>
    <w:tmpl w:val="705D32C3"/>
    <w:lvl w:ilvl="0" w:tentative="0">
      <w:start w:val="5"/>
      <w:numFmt w:val="decimal"/>
      <w:lvlText w:val="%1."/>
      <w:lvlJc w:val="left"/>
      <w:pPr>
        <w:tabs>
          <w:tab w:val="left" w:pos="312"/>
        </w:tabs>
      </w:pPr>
    </w:lvl>
  </w:abstractNum>
  <w:num w:numId="1">
    <w:abstractNumId w:val="0"/>
  </w:num>
  <w:num w:numId="2">
    <w:abstractNumId w:val="5"/>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xOWI5ZjY1NzIwMzQ1MWE0MjhiNDMxMDc2MWY2NDkifQ=="/>
  </w:docVars>
  <w:rsids>
    <w:rsidRoot w:val="005D618A"/>
    <w:rsid w:val="001C6875"/>
    <w:rsid w:val="003D60BA"/>
    <w:rsid w:val="00411689"/>
    <w:rsid w:val="004F3975"/>
    <w:rsid w:val="00500138"/>
    <w:rsid w:val="005D618A"/>
    <w:rsid w:val="00911ECD"/>
    <w:rsid w:val="00A042E0"/>
    <w:rsid w:val="00B26BB1"/>
    <w:rsid w:val="00B26E21"/>
    <w:rsid w:val="00B741D7"/>
    <w:rsid w:val="00D4533C"/>
    <w:rsid w:val="00F83B64"/>
    <w:rsid w:val="0127718F"/>
    <w:rsid w:val="013E3461"/>
    <w:rsid w:val="01BB0F13"/>
    <w:rsid w:val="02090C75"/>
    <w:rsid w:val="024C0ED1"/>
    <w:rsid w:val="0292098D"/>
    <w:rsid w:val="02A23A3C"/>
    <w:rsid w:val="02FB196F"/>
    <w:rsid w:val="035D130A"/>
    <w:rsid w:val="0391052D"/>
    <w:rsid w:val="039110A9"/>
    <w:rsid w:val="03AC246A"/>
    <w:rsid w:val="03AE6061"/>
    <w:rsid w:val="03B23056"/>
    <w:rsid w:val="03C30C20"/>
    <w:rsid w:val="03DA023E"/>
    <w:rsid w:val="03DC3EBA"/>
    <w:rsid w:val="03F9794D"/>
    <w:rsid w:val="046A2461"/>
    <w:rsid w:val="04B054E0"/>
    <w:rsid w:val="051C2970"/>
    <w:rsid w:val="060C3611"/>
    <w:rsid w:val="06110D85"/>
    <w:rsid w:val="061239E6"/>
    <w:rsid w:val="06986394"/>
    <w:rsid w:val="06C64829"/>
    <w:rsid w:val="070E7B6E"/>
    <w:rsid w:val="071D62B7"/>
    <w:rsid w:val="076F17EB"/>
    <w:rsid w:val="077D16D2"/>
    <w:rsid w:val="08034410"/>
    <w:rsid w:val="082A69F3"/>
    <w:rsid w:val="08675FC8"/>
    <w:rsid w:val="088C474E"/>
    <w:rsid w:val="08A14169"/>
    <w:rsid w:val="08F8136C"/>
    <w:rsid w:val="09B713FD"/>
    <w:rsid w:val="09EF6ACC"/>
    <w:rsid w:val="0A156290"/>
    <w:rsid w:val="0A315056"/>
    <w:rsid w:val="0A694621"/>
    <w:rsid w:val="0AA213B4"/>
    <w:rsid w:val="0AF61C7E"/>
    <w:rsid w:val="0AFB45AD"/>
    <w:rsid w:val="0B351E9B"/>
    <w:rsid w:val="0B4C50D3"/>
    <w:rsid w:val="0B806B92"/>
    <w:rsid w:val="0B827E94"/>
    <w:rsid w:val="0B842F76"/>
    <w:rsid w:val="0BD070E1"/>
    <w:rsid w:val="0BD65B6B"/>
    <w:rsid w:val="0C2361E7"/>
    <w:rsid w:val="0C247926"/>
    <w:rsid w:val="0D050857"/>
    <w:rsid w:val="0D147A2B"/>
    <w:rsid w:val="0D794204"/>
    <w:rsid w:val="0D927FE1"/>
    <w:rsid w:val="0E156B16"/>
    <w:rsid w:val="0E2125D1"/>
    <w:rsid w:val="0E214211"/>
    <w:rsid w:val="0E5F2769"/>
    <w:rsid w:val="0ED8332F"/>
    <w:rsid w:val="0F4D75A3"/>
    <w:rsid w:val="0F5B2DCA"/>
    <w:rsid w:val="0FA20605"/>
    <w:rsid w:val="0FED051E"/>
    <w:rsid w:val="0FEE4C29"/>
    <w:rsid w:val="0FFD33F6"/>
    <w:rsid w:val="10031608"/>
    <w:rsid w:val="10046082"/>
    <w:rsid w:val="104974DD"/>
    <w:rsid w:val="10F50786"/>
    <w:rsid w:val="111703D2"/>
    <w:rsid w:val="112404B4"/>
    <w:rsid w:val="112B101A"/>
    <w:rsid w:val="118321B5"/>
    <w:rsid w:val="119B53FC"/>
    <w:rsid w:val="1215733B"/>
    <w:rsid w:val="12310D31"/>
    <w:rsid w:val="12424CDC"/>
    <w:rsid w:val="129A2738"/>
    <w:rsid w:val="12B56BF1"/>
    <w:rsid w:val="12CB1A89"/>
    <w:rsid w:val="131840FB"/>
    <w:rsid w:val="13467417"/>
    <w:rsid w:val="136E76CF"/>
    <w:rsid w:val="141A559C"/>
    <w:rsid w:val="144C6A6F"/>
    <w:rsid w:val="145F08C6"/>
    <w:rsid w:val="14A6378B"/>
    <w:rsid w:val="14E43F59"/>
    <w:rsid w:val="15776308"/>
    <w:rsid w:val="15A5462A"/>
    <w:rsid w:val="15BC6B3C"/>
    <w:rsid w:val="15D171CD"/>
    <w:rsid w:val="16360A7B"/>
    <w:rsid w:val="164D40B0"/>
    <w:rsid w:val="1694429A"/>
    <w:rsid w:val="17057F21"/>
    <w:rsid w:val="17635326"/>
    <w:rsid w:val="17B803EA"/>
    <w:rsid w:val="1815096B"/>
    <w:rsid w:val="1823330D"/>
    <w:rsid w:val="18236EFD"/>
    <w:rsid w:val="18377249"/>
    <w:rsid w:val="189D5B1F"/>
    <w:rsid w:val="18A34CD0"/>
    <w:rsid w:val="18F558C8"/>
    <w:rsid w:val="19A53EA8"/>
    <w:rsid w:val="19B64DBC"/>
    <w:rsid w:val="19EC6A4A"/>
    <w:rsid w:val="1A242D18"/>
    <w:rsid w:val="1A373ACF"/>
    <w:rsid w:val="1A7B10BA"/>
    <w:rsid w:val="1A895341"/>
    <w:rsid w:val="1AAF0337"/>
    <w:rsid w:val="1B0D071F"/>
    <w:rsid w:val="1B4568CE"/>
    <w:rsid w:val="1B9015B7"/>
    <w:rsid w:val="1B950DA6"/>
    <w:rsid w:val="1BB53118"/>
    <w:rsid w:val="1BB534CF"/>
    <w:rsid w:val="1BF54245"/>
    <w:rsid w:val="1D0E6976"/>
    <w:rsid w:val="1D5A79EE"/>
    <w:rsid w:val="1DBC4C07"/>
    <w:rsid w:val="1E0E2CD0"/>
    <w:rsid w:val="1E40470C"/>
    <w:rsid w:val="1E831280"/>
    <w:rsid w:val="1E9E3957"/>
    <w:rsid w:val="1EAB48DF"/>
    <w:rsid w:val="1EBC4704"/>
    <w:rsid w:val="1F172EB5"/>
    <w:rsid w:val="1F22070B"/>
    <w:rsid w:val="1F94592D"/>
    <w:rsid w:val="1FAE57D3"/>
    <w:rsid w:val="1FB860DE"/>
    <w:rsid w:val="203C5A02"/>
    <w:rsid w:val="209D4C94"/>
    <w:rsid w:val="20B44FCD"/>
    <w:rsid w:val="20E84705"/>
    <w:rsid w:val="218400BA"/>
    <w:rsid w:val="21AB1E2F"/>
    <w:rsid w:val="21D40498"/>
    <w:rsid w:val="2210107D"/>
    <w:rsid w:val="22493963"/>
    <w:rsid w:val="22756BD1"/>
    <w:rsid w:val="22767047"/>
    <w:rsid w:val="237252B1"/>
    <w:rsid w:val="23A05588"/>
    <w:rsid w:val="23F70BD3"/>
    <w:rsid w:val="240476A1"/>
    <w:rsid w:val="244A7B92"/>
    <w:rsid w:val="25431AEB"/>
    <w:rsid w:val="25A62424"/>
    <w:rsid w:val="25B875EB"/>
    <w:rsid w:val="25BE3BFB"/>
    <w:rsid w:val="25BF43FD"/>
    <w:rsid w:val="25F86BCD"/>
    <w:rsid w:val="25FC7175"/>
    <w:rsid w:val="2605748B"/>
    <w:rsid w:val="26396D26"/>
    <w:rsid w:val="264544A6"/>
    <w:rsid w:val="26552BF0"/>
    <w:rsid w:val="267702FB"/>
    <w:rsid w:val="26887D7C"/>
    <w:rsid w:val="269E416A"/>
    <w:rsid w:val="26C11C6B"/>
    <w:rsid w:val="272100D3"/>
    <w:rsid w:val="272C72FC"/>
    <w:rsid w:val="275131CB"/>
    <w:rsid w:val="278F6521"/>
    <w:rsid w:val="27EB149D"/>
    <w:rsid w:val="27FD3E52"/>
    <w:rsid w:val="283D6944"/>
    <w:rsid w:val="28B35073"/>
    <w:rsid w:val="28E11370"/>
    <w:rsid w:val="294A756A"/>
    <w:rsid w:val="29781BF8"/>
    <w:rsid w:val="297939E2"/>
    <w:rsid w:val="297E7EE3"/>
    <w:rsid w:val="29B87361"/>
    <w:rsid w:val="29C33ED0"/>
    <w:rsid w:val="29D5322D"/>
    <w:rsid w:val="2A025DD9"/>
    <w:rsid w:val="2A2619CB"/>
    <w:rsid w:val="2A3968F5"/>
    <w:rsid w:val="2A7317D3"/>
    <w:rsid w:val="2A7C2231"/>
    <w:rsid w:val="2A920E4F"/>
    <w:rsid w:val="2ABB753D"/>
    <w:rsid w:val="2ADA46E7"/>
    <w:rsid w:val="2AFE6EC4"/>
    <w:rsid w:val="2B7A49FA"/>
    <w:rsid w:val="2C615D26"/>
    <w:rsid w:val="2C95687C"/>
    <w:rsid w:val="2CB679ED"/>
    <w:rsid w:val="2CE83C37"/>
    <w:rsid w:val="2CFC6048"/>
    <w:rsid w:val="2D173C07"/>
    <w:rsid w:val="2D424A86"/>
    <w:rsid w:val="2DC25DA1"/>
    <w:rsid w:val="2DDA66B7"/>
    <w:rsid w:val="2E6F2D11"/>
    <w:rsid w:val="2E7B52DB"/>
    <w:rsid w:val="2ED60115"/>
    <w:rsid w:val="2F0F103A"/>
    <w:rsid w:val="2F324CFE"/>
    <w:rsid w:val="2FBA09F1"/>
    <w:rsid w:val="2FEF2ACF"/>
    <w:rsid w:val="2FF93D20"/>
    <w:rsid w:val="30540211"/>
    <w:rsid w:val="30792CCD"/>
    <w:rsid w:val="30A47560"/>
    <w:rsid w:val="30E45100"/>
    <w:rsid w:val="31112A0D"/>
    <w:rsid w:val="3118711F"/>
    <w:rsid w:val="311F4B20"/>
    <w:rsid w:val="312D7741"/>
    <w:rsid w:val="316F137F"/>
    <w:rsid w:val="317F4326"/>
    <w:rsid w:val="31B90F84"/>
    <w:rsid w:val="31DC3531"/>
    <w:rsid w:val="31DF525F"/>
    <w:rsid w:val="31EC162B"/>
    <w:rsid w:val="32324C2E"/>
    <w:rsid w:val="327171DF"/>
    <w:rsid w:val="3391569E"/>
    <w:rsid w:val="33C7466E"/>
    <w:rsid w:val="341E3434"/>
    <w:rsid w:val="3440015D"/>
    <w:rsid w:val="34BB4442"/>
    <w:rsid w:val="34C74165"/>
    <w:rsid w:val="34C860BC"/>
    <w:rsid w:val="34D423BC"/>
    <w:rsid w:val="34E40083"/>
    <w:rsid w:val="352B4380"/>
    <w:rsid w:val="3584136B"/>
    <w:rsid w:val="358B5A4A"/>
    <w:rsid w:val="35FF5AA4"/>
    <w:rsid w:val="360B7EBA"/>
    <w:rsid w:val="36416867"/>
    <w:rsid w:val="367D5DD4"/>
    <w:rsid w:val="369C32FD"/>
    <w:rsid w:val="37666E72"/>
    <w:rsid w:val="378761DA"/>
    <w:rsid w:val="38081EA3"/>
    <w:rsid w:val="38167A04"/>
    <w:rsid w:val="381C3783"/>
    <w:rsid w:val="38314523"/>
    <w:rsid w:val="394B167A"/>
    <w:rsid w:val="39DA2868"/>
    <w:rsid w:val="3A055F4B"/>
    <w:rsid w:val="3A4E4336"/>
    <w:rsid w:val="3A6007FE"/>
    <w:rsid w:val="3A802587"/>
    <w:rsid w:val="3A852164"/>
    <w:rsid w:val="3ABE681D"/>
    <w:rsid w:val="3AF93D6C"/>
    <w:rsid w:val="3AFA6682"/>
    <w:rsid w:val="3AFD06C8"/>
    <w:rsid w:val="3B146537"/>
    <w:rsid w:val="3B477B26"/>
    <w:rsid w:val="3B7C2CE4"/>
    <w:rsid w:val="3BAF716B"/>
    <w:rsid w:val="3BF16F66"/>
    <w:rsid w:val="3C0B5355"/>
    <w:rsid w:val="3CD4176B"/>
    <w:rsid w:val="3D1F44D9"/>
    <w:rsid w:val="3D5C38CD"/>
    <w:rsid w:val="3D887B44"/>
    <w:rsid w:val="3E5070F1"/>
    <w:rsid w:val="3EA17060"/>
    <w:rsid w:val="3EC370CB"/>
    <w:rsid w:val="3F6C3589"/>
    <w:rsid w:val="3F850180"/>
    <w:rsid w:val="3F9004D6"/>
    <w:rsid w:val="3F9626D5"/>
    <w:rsid w:val="3FA45178"/>
    <w:rsid w:val="3FA9001A"/>
    <w:rsid w:val="3FEE7CFA"/>
    <w:rsid w:val="400E4D5E"/>
    <w:rsid w:val="40461ADF"/>
    <w:rsid w:val="40DE1554"/>
    <w:rsid w:val="40E1138C"/>
    <w:rsid w:val="413814BA"/>
    <w:rsid w:val="41753F41"/>
    <w:rsid w:val="41872511"/>
    <w:rsid w:val="41DF1251"/>
    <w:rsid w:val="424236D9"/>
    <w:rsid w:val="42466655"/>
    <w:rsid w:val="4249440B"/>
    <w:rsid w:val="429E67F9"/>
    <w:rsid w:val="42C82F57"/>
    <w:rsid w:val="42FC76D0"/>
    <w:rsid w:val="431A1904"/>
    <w:rsid w:val="435707E5"/>
    <w:rsid w:val="43591EF3"/>
    <w:rsid w:val="439927E1"/>
    <w:rsid w:val="43C76AF7"/>
    <w:rsid w:val="43E97E4A"/>
    <w:rsid w:val="440D65DA"/>
    <w:rsid w:val="442D7D43"/>
    <w:rsid w:val="446828F0"/>
    <w:rsid w:val="45093E85"/>
    <w:rsid w:val="45C13B4D"/>
    <w:rsid w:val="46054BCA"/>
    <w:rsid w:val="462370BF"/>
    <w:rsid w:val="464C6AFC"/>
    <w:rsid w:val="468B0091"/>
    <w:rsid w:val="46A107C3"/>
    <w:rsid w:val="46AC31BB"/>
    <w:rsid w:val="46B15CE2"/>
    <w:rsid w:val="46BE113D"/>
    <w:rsid w:val="46E44B13"/>
    <w:rsid w:val="4703508A"/>
    <w:rsid w:val="475023F8"/>
    <w:rsid w:val="47611EF4"/>
    <w:rsid w:val="479D361E"/>
    <w:rsid w:val="47B74789"/>
    <w:rsid w:val="48032A55"/>
    <w:rsid w:val="480F2B9D"/>
    <w:rsid w:val="48102176"/>
    <w:rsid w:val="48282920"/>
    <w:rsid w:val="483E1347"/>
    <w:rsid w:val="485321E0"/>
    <w:rsid w:val="48546AD3"/>
    <w:rsid w:val="48BE2671"/>
    <w:rsid w:val="48CA4868"/>
    <w:rsid w:val="48F005D3"/>
    <w:rsid w:val="49547ADD"/>
    <w:rsid w:val="4968786D"/>
    <w:rsid w:val="49732351"/>
    <w:rsid w:val="497E14CE"/>
    <w:rsid w:val="498F4AF1"/>
    <w:rsid w:val="49B1779B"/>
    <w:rsid w:val="49C05787"/>
    <w:rsid w:val="49CF518D"/>
    <w:rsid w:val="4A7F3979"/>
    <w:rsid w:val="4ADA1F63"/>
    <w:rsid w:val="4AE23D89"/>
    <w:rsid w:val="4AEE6470"/>
    <w:rsid w:val="4B2038D0"/>
    <w:rsid w:val="4B296E7D"/>
    <w:rsid w:val="4B79394E"/>
    <w:rsid w:val="4B877F28"/>
    <w:rsid w:val="4BC174DC"/>
    <w:rsid w:val="4C8348F9"/>
    <w:rsid w:val="4CAC34BA"/>
    <w:rsid w:val="4CD200BA"/>
    <w:rsid w:val="4D2044E7"/>
    <w:rsid w:val="4D916BA6"/>
    <w:rsid w:val="4DC44169"/>
    <w:rsid w:val="4DE24E21"/>
    <w:rsid w:val="4DE65204"/>
    <w:rsid w:val="4E1B19A3"/>
    <w:rsid w:val="4E2F721C"/>
    <w:rsid w:val="4E48787F"/>
    <w:rsid w:val="4ED51729"/>
    <w:rsid w:val="4EF0709E"/>
    <w:rsid w:val="4F0469A4"/>
    <w:rsid w:val="4F245E4E"/>
    <w:rsid w:val="500E56F4"/>
    <w:rsid w:val="50540C73"/>
    <w:rsid w:val="50752AF8"/>
    <w:rsid w:val="513C6A7B"/>
    <w:rsid w:val="517300C9"/>
    <w:rsid w:val="527E3134"/>
    <w:rsid w:val="52D7511B"/>
    <w:rsid w:val="52EC6EC2"/>
    <w:rsid w:val="532D486F"/>
    <w:rsid w:val="5333545B"/>
    <w:rsid w:val="538D0E89"/>
    <w:rsid w:val="5450213C"/>
    <w:rsid w:val="545C7FCE"/>
    <w:rsid w:val="546711F3"/>
    <w:rsid w:val="546C3825"/>
    <w:rsid w:val="54D24048"/>
    <w:rsid w:val="54D64CD5"/>
    <w:rsid w:val="551D4BB7"/>
    <w:rsid w:val="5532287C"/>
    <w:rsid w:val="55887D69"/>
    <w:rsid w:val="55EE5D11"/>
    <w:rsid w:val="561A0928"/>
    <w:rsid w:val="563B2A10"/>
    <w:rsid w:val="56423872"/>
    <w:rsid w:val="569E06BC"/>
    <w:rsid w:val="56B279F0"/>
    <w:rsid w:val="56F20F86"/>
    <w:rsid w:val="57280631"/>
    <w:rsid w:val="579D710E"/>
    <w:rsid w:val="57AB094C"/>
    <w:rsid w:val="581F22F6"/>
    <w:rsid w:val="586E1E17"/>
    <w:rsid w:val="587C54AA"/>
    <w:rsid w:val="58862C35"/>
    <w:rsid w:val="58C14957"/>
    <w:rsid w:val="58CC23D2"/>
    <w:rsid w:val="58E66050"/>
    <w:rsid w:val="59092C33"/>
    <w:rsid w:val="59AE04DD"/>
    <w:rsid w:val="59FC7994"/>
    <w:rsid w:val="5A98196C"/>
    <w:rsid w:val="5ADD1260"/>
    <w:rsid w:val="5AE83A50"/>
    <w:rsid w:val="5B1A2C40"/>
    <w:rsid w:val="5B353193"/>
    <w:rsid w:val="5BAB2917"/>
    <w:rsid w:val="5BAC114A"/>
    <w:rsid w:val="5BE57620"/>
    <w:rsid w:val="5BFC33FA"/>
    <w:rsid w:val="5C3107A4"/>
    <w:rsid w:val="5C3B1B93"/>
    <w:rsid w:val="5C8C62E5"/>
    <w:rsid w:val="5C9220DF"/>
    <w:rsid w:val="5C9D4EEE"/>
    <w:rsid w:val="5CB70498"/>
    <w:rsid w:val="5D4A15F3"/>
    <w:rsid w:val="5D69542A"/>
    <w:rsid w:val="5D783B72"/>
    <w:rsid w:val="5DDD2180"/>
    <w:rsid w:val="5E0930EF"/>
    <w:rsid w:val="5E3D4D53"/>
    <w:rsid w:val="5E4717E6"/>
    <w:rsid w:val="5E55774C"/>
    <w:rsid w:val="5E8A70FF"/>
    <w:rsid w:val="5EEB1F6F"/>
    <w:rsid w:val="5F294F51"/>
    <w:rsid w:val="60045F96"/>
    <w:rsid w:val="60104DDC"/>
    <w:rsid w:val="605C0804"/>
    <w:rsid w:val="60913E6F"/>
    <w:rsid w:val="60D55FFD"/>
    <w:rsid w:val="61533E32"/>
    <w:rsid w:val="61733C3E"/>
    <w:rsid w:val="6189617B"/>
    <w:rsid w:val="61B52BB6"/>
    <w:rsid w:val="61B749C2"/>
    <w:rsid w:val="62280D20"/>
    <w:rsid w:val="62B4786E"/>
    <w:rsid w:val="62CA2457"/>
    <w:rsid w:val="62F05B2C"/>
    <w:rsid w:val="638240A1"/>
    <w:rsid w:val="63833423"/>
    <w:rsid w:val="63A5257B"/>
    <w:rsid w:val="63BD3DCC"/>
    <w:rsid w:val="63C61741"/>
    <w:rsid w:val="6414680A"/>
    <w:rsid w:val="64560967"/>
    <w:rsid w:val="656B1D10"/>
    <w:rsid w:val="65B841F9"/>
    <w:rsid w:val="66022B28"/>
    <w:rsid w:val="664A38E2"/>
    <w:rsid w:val="66581E87"/>
    <w:rsid w:val="66766EBB"/>
    <w:rsid w:val="66BA39DB"/>
    <w:rsid w:val="66FA11D5"/>
    <w:rsid w:val="6712451C"/>
    <w:rsid w:val="674302C7"/>
    <w:rsid w:val="67CB09D8"/>
    <w:rsid w:val="67EE3B0F"/>
    <w:rsid w:val="680A5986"/>
    <w:rsid w:val="680D5F4B"/>
    <w:rsid w:val="68113F51"/>
    <w:rsid w:val="689475CA"/>
    <w:rsid w:val="68E94770"/>
    <w:rsid w:val="68EC1CEF"/>
    <w:rsid w:val="68F949C9"/>
    <w:rsid w:val="693B47C3"/>
    <w:rsid w:val="695A4290"/>
    <w:rsid w:val="696F3649"/>
    <w:rsid w:val="6A1F58CE"/>
    <w:rsid w:val="6A334932"/>
    <w:rsid w:val="6A3353FF"/>
    <w:rsid w:val="6A4B4C19"/>
    <w:rsid w:val="6A5D63E6"/>
    <w:rsid w:val="6A5F24D1"/>
    <w:rsid w:val="6ACA70C4"/>
    <w:rsid w:val="6ADA2DC3"/>
    <w:rsid w:val="6AE347EB"/>
    <w:rsid w:val="6B330365"/>
    <w:rsid w:val="6B434AF0"/>
    <w:rsid w:val="6B57675A"/>
    <w:rsid w:val="6B87098A"/>
    <w:rsid w:val="6B923E7E"/>
    <w:rsid w:val="6BDD7B4D"/>
    <w:rsid w:val="6EBC0B3A"/>
    <w:rsid w:val="6EED1B70"/>
    <w:rsid w:val="6EF51C7D"/>
    <w:rsid w:val="6F8363E5"/>
    <w:rsid w:val="6F841DCF"/>
    <w:rsid w:val="6F922D16"/>
    <w:rsid w:val="6FA80CCD"/>
    <w:rsid w:val="6FAC3CC5"/>
    <w:rsid w:val="6FC746F5"/>
    <w:rsid w:val="6FE33EF5"/>
    <w:rsid w:val="70317AC6"/>
    <w:rsid w:val="704B26F7"/>
    <w:rsid w:val="7063773B"/>
    <w:rsid w:val="70697B21"/>
    <w:rsid w:val="707D334E"/>
    <w:rsid w:val="70863262"/>
    <w:rsid w:val="70A76ED3"/>
    <w:rsid w:val="71860B17"/>
    <w:rsid w:val="71F7516A"/>
    <w:rsid w:val="723839D1"/>
    <w:rsid w:val="723B27CC"/>
    <w:rsid w:val="725C0844"/>
    <w:rsid w:val="72687227"/>
    <w:rsid w:val="72A03FD9"/>
    <w:rsid w:val="73406CFF"/>
    <w:rsid w:val="73552361"/>
    <w:rsid w:val="7383028C"/>
    <w:rsid w:val="73A25E44"/>
    <w:rsid w:val="741F68CF"/>
    <w:rsid w:val="74D64073"/>
    <w:rsid w:val="75252DF3"/>
    <w:rsid w:val="75621536"/>
    <w:rsid w:val="75BF3154"/>
    <w:rsid w:val="764A07CF"/>
    <w:rsid w:val="764F6B3D"/>
    <w:rsid w:val="767C578C"/>
    <w:rsid w:val="76CD2B7B"/>
    <w:rsid w:val="76D80645"/>
    <w:rsid w:val="76E03371"/>
    <w:rsid w:val="771211AA"/>
    <w:rsid w:val="77736C04"/>
    <w:rsid w:val="77D52026"/>
    <w:rsid w:val="780E5898"/>
    <w:rsid w:val="782642CC"/>
    <w:rsid w:val="7894095E"/>
    <w:rsid w:val="78964555"/>
    <w:rsid w:val="78CF4963"/>
    <w:rsid w:val="79000679"/>
    <w:rsid w:val="7916258F"/>
    <w:rsid w:val="791C0FE5"/>
    <w:rsid w:val="793842B6"/>
    <w:rsid w:val="79A416F0"/>
    <w:rsid w:val="79B03EB6"/>
    <w:rsid w:val="79B61437"/>
    <w:rsid w:val="7A58256E"/>
    <w:rsid w:val="7A672FB8"/>
    <w:rsid w:val="7AE15A5C"/>
    <w:rsid w:val="7AF37579"/>
    <w:rsid w:val="7AF87F64"/>
    <w:rsid w:val="7B1C0C84"/>
    <w:rsid w:val="7B5A62DF"/>
    <w:rsid w:val="7B7A04A8"/>
    <w:rsid w:val="7BC01866"/>
    <w:rsid w:val="7C0C3F6D"/>
    <w:rsid w:val="7C22163C"/>
    <w:rsid w:val="7C457B4B"/>
    <w:rsid w:val="7C595075"/>
    <w:rsid w:val="7C6B07B2"/>
    <w:rsid w:val="7CBC51FE"/>
    <w:rsid w:val="7D133243"/>
    <w:rsid w:val="7D945420"/>
    <w:rsid w:val="7D997857"/>
    <w:rsid w:val="7DA7523A"/>
    <w:rsid w:val="7E394207"/>
    <w:rsid w:val="7E4007A2"/>
    <w:rsid w:val="7E791CAD"/>
    <w:rsid w:val="7EA50DFB"/>
    <w:rsid w:val="7EC86878"/>
    <w:rsid w:val="7F16390D"/>
    <w:rsid w:val="7F2714D5"/>
    <w:rsid w:val="7F752917"/>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3"/>
    <w:qFormat/>
    <w:uiPriority w:val="9"/>
    <w:pPr>
      <w:keepNext/>
      <w:keepLines/>
      <w:spacing w:before="340" w:after="330" w:line="578" w:lineRule="auto"/>
      <w:jc w:val="center"/>
      <w:outlineLvl w:val="0"/>
    </w:pPr>
    <w:rPr>
      <w:rFonts w:eastAsia="方正小标宋简体"/>
      <w:bCs/>
      <w:kern w:val="44"/>
      <w:sz w:val="44"/>
      <w:szCs w:val="44"/>
    </w:rPr>
  </w:style>
  <w:style w:type="paragraph" w:styleId="4">
    <w:name w:val="heading 2"/>
    <w:basedOn w:val="1"/>
    <w:next w:val="1"/>
    <w:link w:val="34"/>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5">
    <w:name w:val="heading 3"/>
    <w:basedOn w:val="1"/>
    <w:next w:val="1"/>
    <w:link w:val="35"/>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customStyle="1" w:styleId="2">
    <w:name w:val="正文 首行缩进:  2 字符"/>
    <w:basedOn w:val="1"/>
    <w:qFormat/>
    <w:uiPriority w:val="0"/>
    <w:pPr>
      <w:ind w:firstLine="579" w:firstLineChars="200"/>
    </w:pPr>
    <w:rPr>
      <w:rFonts w:cs="宋体"/>
      <w:sz w:val="28"/>
      <w:szCs w:val="20"/>
    </w:rPr>
  </w:style>
  <w:style w:type="paragraph" w:styleId="6">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7">
    <w:name w:val="annotation text"/>
    <w:basedOn w:val="1"/>
    <w:qFormat/>
    <w:uiPriority w:val="0"/>
    <w:pPr>
      <w:jc w:val="left"/>
    </w:pPr>
  </w:style>
  <w:style w:type="paragraph" w:styleId="8">
    <w:name w:val="Body Text 3"/>
    <w:basedOn w:val="1"/>
    <w:link w:val="43"/>
    <w:unhideWhenUsed/>
    <w:qFormat/>
    <w:uiPriority w:val="99"/>
    <w:pPr>
      <w:spacing w:after="120"/>
    </w:pPr>
    <w:rPr>
      <w:sz w:val="16"/>
      <w:szCs w:val="16"/>
    </w:rPr>
  </w:style>
  <w:style w:type="paragraph" w:styleId="9">
    <w:name w:val="Body Text"/>
    <w:basedOn w:val="1"/>
    <w:next w:val="10"/>
    <w:qFormat/>
    <w:uiPriority w:val="99"/>
    <w:pPr>
      <w:spacing w:after="120"/>
    </w:pPr>
  </w:style>
  <w:style w:type="paragraph" w:styleId="10">
    <w:name w:val="Body Text 2"/>
    <w:basedOn w:val="1"/>
    <w:qFormat/>
    <w:uiPriority w:val="0"/>
    <w:pPr>
      <w:spacing w:after="120" w:line="480" w:lineRule="auto"/>
    </w:pPr>
  </w:style>
  <w:style w:type="paragraph" w:styleId="11">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2">
    <w:name w:val="toc 3"/>
    <w:basedOn w:val="1"/>
    <w:next w:val="1"/>
    <w:unhideWhenUsed/>
    <w:qFormat/>
    <w:uiPriority w:val="39"/>
    <w:pPr>
      <w:widowControl/>
      <w:spacing w:after="100" w:line="276" w:lineRule="auto"/>
      <w:ind w:left="440"/>
      <w:jc w:val="left"/>
    </w:pPr>
    <w:rPr>
      <w:kern w:val="0"/>
      <w:sz w:val="22"/>
    </w:rPr>
  </w:style>
  <w:style w:type="paragraph" w:styleId="13">
    <w:name w:val="Plain Text"/>
    <w:basedOn w:val="1"/>
    <w:next w:val="14"/>
    <w:qFormat/>
    <w:uiPriority w:val="0"/>
    <w:rPr>
      <w:rFonts w:ascii="宋体" w:hAnsi="Courier New"/>
      <w:szCs w:val="21"/>
    </w:rPr>
  </w:style>
  <w:style w:type="paragraph" w:customStyle="1" w:styleId="14">
    <w:name w:val="Default"/>
    <w:next w:val="15"/>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5">
    <w:name w:val="List"/>
    <w:basedOn w:val="1"/>
    <w:next w:val="1"/>
    <w:qFormat/>
    <w:uiPriority w:val="0"/>
    <w:pPr>
      <w:snapToGrid w:val="0"/>
    </w:pPr>
    <w:rPr>
      <w:szCs w:val="24"/>
    </w:rPr>
  </w:style>
  <w:style w:type="paragraph" w:styleId="16">
    <w:name w:val="Body Text Indent 2"/>
    <w:basedOn w:val="1"/>
    <w:unhideWhenUsed/>
    <w:qFormat/>
    <w:uiPriority w:val="99"/>
    <w:pPr>
      <w:spacing w:after="120" w:line="480" w:lineRule="auto"/>
      <w:ind w:left="420" w:leftChars="200"/>
    </w:pPr>
  </w:style>
  <w:style w:type="paragraph" w:styleId="17">
    <w:name w:val="Balloon Text"/>
    <w:basedOn w:val="1"/>
    <w:link w:val="38"/>
    <w:semiHidden/>
    <w:unhideWhenUsed/>
    <w:qFormat/>
    <w:uiPriority w:val="99"/>
    <w:rPr>
      <w:sz w:val="18"/>
      <w:szCs w:val="18"/>
    </w:rPr>
  </w:style>
  <w:style w:type="paragraph" w:styleId="18">
    <w:name w:val="footer"/>
    <w:basedOn w:val="1"/>
    <w:link w:val="32"/>
    <w:unhideWhenUsed/>
    <w:qFormat/>
    <w:uiPriority w:val="99"/>
    <w:pPr>
      <w:tabs>
        <w:tab w:val="center" w:pos="4153"/>
        <w:tab w:val="right" w:pos="8306"/>
      </w:tabs>
      <w:snapToGrid w:val="0"/>
      <w:jc w:val="left"/>
    </w:pPr>
    <w:rPr>
      <w:sz w:val="18"/>
      <w:szCs w:val="18"/>
    </w:rPr>
  </w:style>
  <w:style w:type="paragraph" w:styleId="19">
    <w:name w:val="header"/>
    <w:basedOn w:val="1"/>
    <w:link w:val="3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99"/>
    <w:pPr>
      <w:spacing w:before="100" w:beforeAutospacing="1" w:after="100" w:afterAutospacing="1"/>
    </w:pPr>
    <w:rPr>
      <w:rFonts w:ascii="宋体" w:hAnsi="宋体"/>
      <w:kern w:val="0"/>
      <w:sz w:val="24"/>
    </w:rPr>
  </w:style>
  <w:style w:type="paragraph" w:styleId="23">
    <w:name w:val="Body Text First Indent 2"/>
    <w:basedOn w:val="11"/>
    <w:qFormat/>
    <w:uiPriority w:val="0"/>
    <w:pPr>
      <w:adjustRightInd w:val="0"/>
      <w:spacing w:line="360" w:lineRule="auto"/>
      <w:ind w:left="0" w:leftChars="0" w:firstLine="420"/>
      <w:textAlignment w:val="baseline"/>
    </w:pPr>
    <w:rPr>
      <w:rFonts w:eastAsia="等线" w:cs="Times New Roman"/>
      <w:color w:val="000000"/>
      <w:szCs w:val="24"/>
    </w:rPr>
  </w:style>
  <w:style w:type="table" w:styleId="25">
    <w:name w:val="Table Grid"/>
    <w:basedOn w:val="2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7">
    <w:name w:val="Strong"/>
    <w:qFormat/>
    <w:uiPriority w:val="22"/>
    <w:rPr>
      <w:b/>
      <w:bCs/>
    </w:rPr>
  </w:style>
  <w:style w:type="character" w:styleId="28">
    <w:name w:val="page number"/>
    <w:basedOn w:val="26"/>
    <w:qFormat/>
    <w:uiPriority w:val="0"/>
  </w:style>
  <w:style w:type="character" w:styleId="29">
    <w:name w:val="Hyperlink"/>
    <w:basedOn w:val="26"/>
    <w:unhideWhenUsed/>
    <w:qFormat/>
    <w:uiPriority w:val="99"/>
    <w:rPr>
      <w:color w:val="0000FF" w:themeColor="hyperlink"/>
      <w:u w:val="single"/>
      <w14:textFill>
        <w14:solidFill>
          <w14:schemeClr w14:val="hlink"/>
        </w14:solidFill>
      </w14:textFill>
    </w:rPr>
  </w:style>
  <w:style w:type="character" w:styleId="30">
    <w:name w:val="annotation reference"/>
    <w:qFormat/>
    <w:uiPriority w:val="0"/>
    <w:rPr>
      <w:rFonts w:ascii="Times New Roman" w:hAnsi="Times New Roman" w:eastAsia="宋体" w:cs="Times New Roman"/>
      <w:sz w:val="21"/>
      <w:szCs w:val="21"/>
    </w:rPr>
  </w:style>
  <w:style w:type="character" w:customStyle="1" w:styleId="31">
    <w:name w:val="页眉 Char"/>
    <w:basedOn w:val="26"/>
    <w:link w:val="19"/>
    <w:semiHidden/>
    <w:qFormat/>
    <w:uiPriority w:val="99"/>
    <w:rPr>
      <w:sz w:val="18"/>
      <w:szCs w:val="18"/>
    </w:rPr>
  </w:style>
  <w:style w:type="character" w:customStyle="1" w:styleId="32">
    <w:name w:val="页脚 Char"/>
    <w:basedOn w:val="26"/>
    <w:link w:val="18"/>
    <w:qFormat/>
    <w:uiPriority w:val="99"/>
    <w:rPr>
      <w:sz w:val="18"/>
      <w:szCs w:val="18"/>
    </w:rPr>
  </w:style>
  <w:style w:type="character" w:customStyle="1" w:styleId="33">
    <w:name w:val="标题 1 Char"/>
    <w:basedOn w:val="26"/>
    <w:link w:val="3"/>
    <w:qFormat/>
    <w:uiPriority w:val="9"/>
    <w:rPr>
      <w:rFonts w:eastAsia="方正小标宋简体"/>
      <w:bCs/>
      <w:kern w:val="44"/>
      <w:sz w:val="44"/>
      <w:szCs w:val="44"/>
    </w:rPr>
  </w:style>
  <w:style w:type="character" w:customStyle="1" w:styleId="34">
    <w:name w:val="标题 2 Char"/>
    <w:basedOn w:val="26"/>
    <w:link w:val="4"/>
    <w:qFormat/>
    <w:uiPriority w:val="9"/>
    <w:rPr>
      <w:rFonts w:eastAsia="方正小标宋简体" w:asciiTheme="majorHAnsi" w:hAnsiTheme="majorHAnsi" w:cstheme="majorBidi"/>
      <w:bCs/>
      <w:sz w:val="36"/>
      <w:szCs w:val="32"/>
    </w:rPr>
  </w:style>
  <w:style w:type="character" w:customStyle="1" w:styleId="35">
    <w:name w:val="标题 3 Char"/>
    <w:basedOn w:val="26"/>
    <w:link w:val="5"/>
    <w:qFormat/>
    <w:uiPriority w:val="9"/>
    <w:rPr>
      <w:rFonts w:ascii="Calibri" w:hAnsi="Calibri" w:eastAsia="宋体" w:cs="Times New Roman"/>
      <w:b/>
      <w:bCs/>
      <w:sz w:val="32"/>
      <w:szCs w:val="32"/>
    </w:rPr>
  </w:style>
  <w:style w:type="paragraph" w:styleId="36">
    <w:name w:val="List Paragraph"/>
    <w:basedOn w:val="1"/>
    <w:link w:val="44"/>
    <w:qFormat/>
    <w:uiPriority w:val="34"/>
    <w:pPr>
      <w:ind w:firstLine="420" w:firstLineChars="200"/>
    </w:pPr>
  </w:style>
  <w:style w:type="paragraph" w:customStyle="1" w:styleId="37">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8">
    <w:name w:val="批注框文本 Char"/>
    <w:basedOn w:val="26"/>
    <w:link w:val="17"/>
    <w:semiHidden/>
    <w:qFormat/>
    <w:uiPriority w:val="99"/>
    <w:rPr>
      <w:sz w:val="18"/>
      <w:szCs w:val="18"/>
    </w:rPr>
  </w:style>
  <w:style w:type="paragraph" w:styleId="39">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
    <w:name w:val="CM97"/>
    <w:basedOn w:val="14"/>
    <w:next w:val="14"/>
    <w:qFormat/>
    <w:uiPriority w:val="0"/>
    <w:pPr>
      <w:spacing w:after="373"/>
    </w:pPr>
    <w:rPr>
      <w:color w:val="auto"/>
    </w:rPr>
  </w:style>
  <w:style w:type="paragraph" w:customStyle="1" w:styleId="41">
    <w:name w:val="CM91"/>
    <w:basedOn w:val="14"/>
    <w:next w:val="14"/>
    <w:qFormat/>
    <w:uiPriority w:val="0"/>
    <w:pPr>
      <w:spacing w:after="160"/>
    </w:pPr>
    <w:rPr>
      <w:color w:val="auto"/>
    </w:rPr>
  </w:style>
  <w:style w:type="character" w:customStyle="1" w:styleId="42">
    <w:name w:val="正文文本 3 Char"/>
    <w:link w:val="8"/>
    <w:qFormat/>
    <w:uiPriority w:val="99"/>
    <w:rPr>
      <w:sz w:val="16"/>
      <w:szCs w:val="16"/>
    </w:rPr>
  </w:style>
  <w:style w:type="character" w:customStyle="1" w:styleId="43">
    <w:name w:val="正文文本 3 Char1"/>
    <w:basedOn w:val="26"/>
    <w:link w:val="8"/>
    <w:semiHidden/>
    <w:qFormat/>
    <w:uiPriority w:val="99"/>
    <w:rPr>
      <w:sz w:val="16"/>
      <w:szCs w:val="16"/>
    </w:rPr>
  </w:style>
  <w:style w:type="character" w:customStyle="1" w:styleId="44">
    <w:name w:val="列出段落 Char"/>
    <w:link w:val="36"/>
    <w:qFormat/>
    <w:uiPriority w:val="34"/>
  </w:style>
  <w:style w:type="paragraph" w:customStyle="1" w:styleId="45">
    <w:name w:val="1"/>
    <w:basedOn w:val="1"/>
    <w:next w:val="13"/>
    <w:qFormat/>
    <w:uiPriority w:val="99"/>
    <w:pPr>
      <w:widowControl w:val="0"/>
      <w:jc w:val="both"/>
    </w:pPr>
    <w:rPr>
      <w:rFonts w:ascii="宋体" w:hAnsi="Courier New"/>
      <w:kern w:val="2"/>
    </w:rPr>
  </w:style>
  <w:style w:type="paragraph" w:customStyle="1" w:styleId="46">
    <w:name w:val="WPSOffice手动目录 1"/>
    <w:qFormat/>
    <w:uiPriority w:val="0"/>
    <w:pPr>
      <w:ind w:leftChars="0"/>
    </w:pPr>
    <w:rPr>
      <w:rFonts w:asciiTheme="minorHAnsi" w:hAnsiTheme="minorHAnsi" w:eastAsiaTheme="minorEastAsia" w:cstheme="minorBidi"/>
      <w:sz w:val="20"/>
      <w:szCs w:val="20"/>
    </w:rPr>
  </w:style>
  <w:style w:type="paragraph" w:customStyle="1" w:styleId="47">
    <w:name w:val="WPSOffice手动目录 2"/>
    <w:qFormat/>
    <w:uiPriority w:val="0"/>
    <w:pPr>
      <w:ind w:leftChars="200"/>
    </w:pPr>
    <w:rPr>
      <w:rFonts w:asciiTheme="minorHAnsi" w:hAnsiTheme="minorHAnsi" w:eastAsiaTheme="minorEastAsia" w:cstheme="minorBidi"/>
      <w:sz w:val="20"/>
      <w:szCs w:val="20"/>
    </w:rPr>
  </w:style>
  <w:style w:type="paragraph" w:customStyle="1" w:styleId="48">
    <w:name w:val="WPSOffice手动目录 3"/>
    <w:qFormat/>
    <w:uiPriority w:val="0"/>
    <w:pPr>
      <w:ind w:leftChars="400"/>
    </w:pPr>
    <w:rPr>
      <w:rFonts w:asciiTheme="minorHAnsi" w:hAnsiTheme="minorHAnsi" w:eastAsiaTheme="minorEastAsia" w:cstheme="minorBidi"/>
      <w:sz w:val="20"/>
      <w:szCs w:val="20"/>
    </w:rPr>
  </w:style>
  <w:style w:type="paragraph" w:customStyle="1" w:styleId="49">
    <w:name w:val="说明书正文"/>
    <w:basedOn w:val="9"/>
    <w:qFormat/>
    <w:uiPriority w:val="0"/>
    <w:pPr>
      <w:tabs>
        <w:tab w:val="left" w:pos="3555"/>
      </w:tabs>
      <w:adjustRightInd w:val="0"/>
      <w:snapToGrid w:val="0"/>
      <w:spacing w:after="0" w:line="360" w:lineRule="auto"/>
      <w:ind w:firstLine="560" w:firstLineChars="200"/>
      <w:jc w:val="left"/>
    </w:pPr>
    <w:rPr>
      <w:rFonts w:cs="Arial"/>
      <w:kern w:val="0"/>
      <w:sz w:val="24"/>
      <w:szCs w:val="28"/>
    </w:rPr>
  </w:style>
  <w:style w:type="paragraph" w:customStyle="1" w:styleId="50">
    <w:name w:val="_Style 4"/>
    <w:basedOn w:val="3"/>
    <w:next w:val="1"/>
    <w:qFormat/>
    <w:uiPriority w:val="0"/>
    <w:pPr>
      <w:spacing w:line="576" w:lineRule="auto"/>
      <w:outlineLvl w:val="9"/>
    </w:pPr>
    <w:rPr>
      <w:rFonts w:ascii="Calibri" w:hAnsi="Calibri"/>
    </w:rPr>
  </w:style>
  <w:style w:type="paragraph" w:customStyle="1" w:styleId="51">
    <w:name w:val="Blockquote"/>
    <w:basedOn w:val="1"/>
    <w:qFormat/>
    <w:uiPriority w:val="0"/>
    <w:pPr>
      <w:autoSpaceDE w:val="0"/>
      <w:autoSpaceDN w:val="0"/>
      <w:adjustRightInd w:val="0"/>
      <w:spacing w:before="100" w:after="100"/>
      <w:ind w:left="360" w:right="360"/>
      <w:jc w:val="left"/>
    </w:pPr>
    <w:rPr>
      <w:rFonts w:ascii="Times New Roman" w:hAnsi="Times New Roman" w:eastAsia="宋体" w:cs="Times New Roman"/>
      <w:kern w:val="0"/>
      <w:sz w:val="24"/>
      <w:szCs w:val="20"/>
    </w:rPr>
  </w:style>
  <w:style w:type="paragraph" w:customStyle="1" w:styleId="52">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71</Pages>
  <Words>25271</Words>
  <Characters>26300</Characters>
  <Lines>300</Lines>
  <Paragraphs>84</Paragraphs>
  <TotalTime>6</TotalTime>
  <ScaleCrop>false</ScaleCrop>
  <LinksUpToDate>false</LinksUpToDate>
  <CharactersWithSpaces>29023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刘琳</cp:lastModifiedBy>
  <cp:lastPrinted>2022-08-09T03:26:00Z</cp:lastPrinted>
  <dcterms:modified xsi:type="dcterms:W3CDTF">2022-11-09T07:01:59Z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BD10D8FBE2384342A092E59EDB77BE45</vt:lpwstr>
  </property>
</Properties>
</file>