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eastAsia="zh-CN"/>
        </w:rPr>
      </w:pPr>
      <w:bookmarkStart w:id="209" w:name="_GoBack"/>
      <w:bookmarkEnd w:id="209"/>
      <w:r>
        <w:rPr>
          <w:rFonts w:hint="eastAsia" w:ascii="方正小标宋简体" w:eastAsia="方正小标宋简体"/>
          <w:color w:val="auto"/>
          <w:sz w:val="52"/>
          <w:szCs w:val="52"/>
          <w:highlight w:val="none"/>
          <w:lang w:val="en-US" w:eastAsia="zh-CN"/>
        </w:rPr>
        <w:t>广州市净水有限公司</w:t>
      </w:r>
      <w:r>
        <w:rPr>
          <w:rFonts w:hint="eastAsia" w:ascii="方正小标宋简体" w:eastAsia="方正小标宋简体"/>
          <w:color w:val="auto"/>
          <w:sz w:val="52"/>
          <w:szCs w:val="52"/>
          <w:highlight w:val="none"/>
          <w:lang w:eastAsia="zh-CN"/>
        </w:rPr>
        <w:t>石井净</w:t>
      </w:r>
      <w:r>
        <w:rPr>
          <w:rFonts w:hint="eastAsia" w:ascii="方正小标宋简体" w:eastAsia="方正小标宋简体"/>
          <w:color w:val="auto"/>
          <w:sz w:val="52"/>
          <w:szCs w:val="52"/>
          <w:highlight w:val="none"/>
          <w:lang w:val="en-US" w:eastAsia="zh-CN"/>
        </w:rPr>
        <w:t>水</w:t>
      </w:r>
      <w:r>
        <w:rPr>
          <w:rFonts w:hint="eastAsia" w:ascii="方正小标宋简体" w:eastAsia="方正小标宋简体"/>
          <w:color w:val="auto"/>
          <w:sz w:val="52"/>
          <w:szCs w:val="52"/>
          <w:highlight w:val="none"/>
          <w:lang w:eastAsia="zh-CN"/>
        </w:rPr>
        <w:t>分公司生产区域道闸采购项目</w:t>
      </w:r>
    </w:p>
    <w:p>
      <w:pPr>
        <w:jc w:val="center"/>
        <w:rPr>
          <w:rFonts w:hint="eastAsia" w:ascii="方正小标宋简体" w:eastAsia="方正小标宋简体"/>
          <w:color w:val="auto"/>
          <w:sz w:val="52"/>
          <w:szCs w:val="52"/>
          <w:highlight w:val="none"/>
          <w:lang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 xml:space="preserve">十一 </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2"/>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8"/>
        <w:numPr>
          <w:ilvl w:val="0"/>
          <w:numId w:val="1"/>
        </w:numPr>
        <w:tabs>
          <w:tab w:val="right" w:pos="8844"/>
        </w:tabs>
        <w:rPr>
          <w:color w:val="auto"/>
          <w:highlight w:val="none"/>
        </w:rPr>
      </w:pPr>
      <w:r>
        <w:rPr>
          <w:rFonts w:hint="eastAsia"/>
          <w:color w:val="auto"/>
          <w:highlight w:val="none"/>
        </w:rPr>
        <w:t>采购公告（采购邀请书）</w:t>
      </w:r>
    </w:p>
    <w:p>
      <w:pPr>
        <w:pStyle w:val="18"/>
        <w:numPr>
          <w:ilvl w:val="0"/>
          <w:numId w:val="1"/>
        </w:numPr>
        <w:tabs>
          <w:tab w:val="right" w:pos="8844"/>
        </w:tabs>
        <w:rPr>
          <w:color w:val="auto"/>
          <w:highlight w:val="none"/>
        </w:rPr>
      </w:pPr>
      <w:r>
        <w:rPr>
          <w:rFonts w:hint="eastAsia"/>
          <w:color w:val="auto"/>
          <w:highlight w:val="none"/>
        </w:rPr>
        <w:t>供应商须知</w:t>
      </w:r>
    </w:p>
    <w:p>
      <w:pPr>
        <w:pStyle w:val="18"/>
        <w:numPr>
          <w:ilvl w:val="0"/>
          <w:numId w:val="1"/>
        </w:numPr>
        <w:tabs>
          <w:tab w:val="right" w:pos="8844"/>
        </w:tabs>
        <w:rPr>
          <w:color w:val="auto"/>
          <w:highlight w:val="none"/>
        </w:rPr>
      </w:pPr>
      <w:r>
        <w:rPr>
          <w:rFonts w:hint="eastAsia"/>
          <w:color w:val="auto"/>
          <w:highlight w:val="none"/>
        </w:rPr>
        <w:t>采购方法</w:t>
      </w:r>
    </w:p>
    <w:p>
      <w:pPr>
        <w:pStyle w:val="18"/>
        <w:numPr>
          <w:ilvl w:val="0"/>
          <w:numId w:val="1"/>
        </w:numPr>
        <w:tabs>
          <w:tab w:val="right" w:pos="8844"/>
        </w:tabs>
        <w:rPr>
          <w:color w:val="auto"/>
          <w:highlight w:val="none"/>
        </w:rPr>
      </w:pPr>
      <w:r>
        <w:rPr>
          <w:rFonts w:hint="eastAsia"/>
          <w:color w:val="auto"/>
          <w:highlight w:val="none"/>
        </w:rPr>
        <w:t>评审方法</w:t>
      </w:r>
    </w:p>
    <w:p>
      <w:pPr>
        <w:pStyle w:val="18"/>
        <w:numPr>
          <w:ilvl w:val="0"/>
          <w:numId w:val="1"/>
        </w:numPr>
        <w:tabs>
          <w:tab w:val="right" w:pos="8844"/>
        </w:tabs>
        <w:rPr>
          <w:color w:val="auto"/>
          <w:highlight w:val="none"/>
        </w:rPr>
      </w:pPr>
      <w:r>
        <w:rPr>
          <w:rFonts w:hint="eastAsia"/>
          <w:color w:val="auto"/>
          <w:highlight w:val="none"/>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26148"/>
      <w:bookmarkStart w:id="1" w:name="_Toc18145"/>
    </w:p>
    <w:p>
      <w:pPr>
        <w:rPr>
          <w:color w:val="auto"/>
          <w:highlight w:val="none"/>
        </w:rPr>
      </w:pPr>
    </w:p>
    <w:p>
      <w:pPr>
        <w:pStyle w:val="4"/>
        <w:rPr>
          <w:color w:val="auto"/>
          <w:highlight w:val="none"/>
        </w:rPr>
      </w:pPr>
      <w:bookmarkStart w:id="2" w:name="_Toc17696"/>
      <w:bookmarkStart w:id="3" w:name="_Toc1711"/>
    </w:p>
    <w:p>
      <w:pPr>
        <w:rPr>
          <w:color w:val="auto"/>
          <w:highlight w:val="none"/>
        </w:rPr>
      </w:pPr>
    </w:p>
    <w:p>
      <w:pPr>
        <w:pStyle w:val="2"/>
        <w:rPr>
          <w:color w:val="auto"/>
          <w:highlight w:val="none"/>
        </w:rPr>
      </w:pPr>
    </w:p>
    <w:p>
      <w:pPr>
        <w:pStyle w:val="4"/>
        <w:jc w:val="both"/>
        <w:rPr>
          <w:rFonts w:hint="default"/>
          <w:color w:val="auto"/>
          <w:highlight w:val="none"/>
        </w:rPr>
      </w:pPr>
      <w:bookmarkStart w:id="4" w:name="_Toc7519"/>
      <w:bookmarkStart w:id="5" w:name="_Toc19609"/>
      <w:bookmarkStart w:id="6" w:name="_Toc4275"/>
      <w:bookmarkStart w:id="7" w:name="_Toc17801"/>
      <w:bookmarkStart w:id="8" w:name="_Toc31938"/>
      <w:bookmarkStart w:id="9" w:name="_Toc1669"/>
      <w:bookmarkStart w:id="10" w:name="_Toc11322"/>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547370</wp:posOffset>
                </wp:positionV>
                <wp:extent cx="958850" cy="0"/>
                <wp:effectExtent l="0" t="0" r="0" b="0"/>
                <wp:wrapNone/>
                <wp:docPr id="13"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43.1pt;height:0pt;width:75.5pt;z-index:251673600;mso-width-relative:page;mso-height-relative:page;" filled="f" stroked="t" coordsize="21600,21600" o:gfxdata="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6LGaY1gAAAAkBAAAPAAAAAAAAAAEAIAAAACIAAABkcnMvZG93bnJldi54bWxQSwECFAAU&#10;AAAACACHTuJAfwmaU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2"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CM5NDzAQAA5A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pEmYcubA0o3/&#10;+vz9/tOXu68/7358Y5OrrFEfcEGha7eNpx2GbcyED020+U9U2KHoejzrqg6JCTp8OZvPZ6S4eHBV&#10;j3khYnqtvGXZqDmmCLrt0to7R5fn46TICvs3mKgyJT4k5KLGsT7DT2cEDj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AIzk0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4"/>
        <w:rPr>
          <w:color w:val="auto"/>
          <w:highlight w:val="none"/>
        </w:rPr>
      </w:pPr>
    </w:p>
    <w:p>
      <w:pPr>
        <w:pStyle w:val="4"/>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color w:val="auto"/>
          <w:highlight w:val="none"/>
        </w:rPr>
      </w:pPr>
      <w:bookmarkStart w:id="11" w:name="_Toc21373"/>
      <w:bookmarkStart w:id="12" w:name="_Toc9680"/>
      <w:r>
        <w:rPr>
          <w:rFonts w:hint="eastAsia"/>
          <w:color w:val="auto"/>
          <w:highlight w:val="none"/>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lang w:eastAsia="zh-CN"/>
        </w:rPr>
        <w:t>石井净</w:t>
      </w:r>
      <w:r>
        <w:rPr>
          <w:rFonts w:hint="eastAsia" w:ascii="仿宋_GB2312" w:eastAsia="仿宋_GB2312"/>
          <w:color w:val="auto"/>
          <w:sz w:val="28"/>
          <w:szCs w:val="28"/>
          <w:highlight w:val="none"/>
          <w:u w:val="single"/>
          <w:lang w:val="en-US" w:eastAsia="zh-CN"/>
        </w:rPr>
        <w:t>水</w:t>
      </w:r>
      <w:r>
        <w:rPr>
          <w:rFonts w:hint="eastAsia" w:ascii="仿宋_GB2312" w:eastAsia="仿宋_GB2312"/>
          <w:color w:val="auto"/>
          <w:sz w:val="28"/>
          <w:szCs w:val="28"/>
          <w:highlight w:val="none"/>
          <w:u w:val="single"/>
          <w:lang w:eastAsia="zh-CN"/>
        </w:rPr>
        <w:t>分公司生产区域道闸采购项目</w:t>
      </w:r>
      <w:r>
        <w:rPr>
          <w:rFonts w:hint="eastAsia" w:ascii="仿宋_GB2312" w:eastAsia="仿宋_GB2312"/>
          <w:color w:val="auto"/>
          <w:sz w:val="28"/>
          <w:szCs w:val="28"/>
          <w:highlight w:val="none"/>
        </w:rPr>
        <w:t>已具备采购条件，现邀请合格单位参加本</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rPr>
        <w:t>施工  □货物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rPr>
        <w:t xml:space="preserve">邀请询比 </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lang w:eastAsia="zh-CN"/>
        </w:rPr>
        <w:t>石井净</w:t>
      </w:r>
      <w:r>
        <w:rPr>
          <w:rFonts w:hint="eastAsia" w:ascii="仿宋_GB2312" w:eastAsia="仿宋_GB2312"/>
          <w:color w:val="auto"/>
          <w:sz w:val="28"/>
          <w:szCs w:val="28"/>
          <w:highlight w:val="none"/>
          <w:u w:val="single"/>
          <w:lang w:val="en-US" w:eastAsia="zh-CN"/>
        </w:rPr>
        <w:t>水</w:t>
      </w:r>
      <w:r>
        <w:rPr>
          <w:rFonts w:hint="eastAsia" w:ascii="仿宋_GB2312" w:eastAsia="仿宋_GB2312"/>
          <w:color w:val="auto"/>
          <w:sz w:val="28"/>
          <w:szCs w:val="28"/>
          <w:highlight w:val="none"/>
          <w:u w:val="single"/>
          <w:lang w:eastAsia="zh-CN"/>
        </w:rPr>
        <w:t>分公司生产区域道闸采购项目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XJ-20221108-3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 xml:space="preserve">自有资金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418752.58元</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rPr>
        <w:t>税前造价</w:t>
      </w:r>
      <w:r>
        <w:rPr>
          <w:rFonts w:hint="eastAsia" w:ascii="仿宋_GB2312" w:eastAsia="仿宋_GB2312"/>
          <w:color w:val="auto"/>
          <w:sz w:val="28"/>
          <w:szCs w:val="28"/>
          <w:highlight w:val="none"/>
          <w:u w:val="single"/>
          <w:lang w:val="en-US" w:eastAsia="zh-CN"/>
        </w:rPr>
        <w:t>限价</w:t>
      </w:r>
      <w:r>
        <w:rPr>
          <w:rFonts w:hint="eastAsia" w:ascii="仿宋_GB2312" w:eastAsia="仿宋_GB2312"/>
          <w:color w:val="auto"/>
          <w:sz w:val="28"/>
          <w:szCs w:val="28"/>
          <w:highlight w:val="none"/>
          <w:u w:val="single"/>
        </w:rPr>
        <w:t>为</w:t>
      </w:r>
      <w:r>
        <w:rPr>
          <w:rFonts w:hint="eastAsia" w:ascii="仿宋_GB2312" w:eastAsia="仿宋_GB2312"/>
          <w:color w:val="auto"/>
          <w:sz w:val="28"/>
          <w:szCs w:val="28"/>
          <w:highlight w:val="none"/>
          <w:u w:val="single"/>
          <w:lang w:val="en-US" w:eastAsia="zh-CN"/>
        </w:rPr>
        <w:t>384176.68</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u w:val="single"/>
        </w:rPr>
        <w:t>%，其中绿色施工安全防护措施费为</w:t>
      </w:r>
      <w:r>
        <w:rPr>
          <w:rFonts w:hint="eastAsia" w:ascii="仿宋_GB2312" w:eastAsia="仿宋_GB2312"/>
          <w:color w:val="auto"/>
          <w:sz w:val="28"/>
          <w:szCs w:val="28"/>
          <w:highlight w:val="none"/>
          <w:u w:val="single"/>
          <w:lang w:val="en-US" w:eastAsia="zh-CN"/>
        </w:rPr>
        <w:t xml:space="preserve">21360.19元 </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暂列金为32236.61元，</w:t>
      </w:r>
      <w:r>
        <w:rPr>
          <w:rFonts w:hint="eastAsia" w:ascii="仿宋_GB2312" w:eastAsia="仿宋_GB2312"/>
          <w:color w:val="auto"/>
          <w:sz w:val="28"/>
          <w:szCs w:val="28"/>
          <w:highlight w:val="none"/>
          <w:u w:val="single"/>
        </w:rPr>
        <w:t>绿色施工安全防护措施费</w:t>
      </w:r>
      <w:r>
        <w:rPr>
          <w:rFonts w:hint="eastAsia" w:ascii="仿宋_GB2312" w:eastAsia="仿宋_GB2312"/>
          <w:color w:val="auto"/>
          <w:sz w:val="28"/>
          <w:szCs w:val="28"/>
          <w:highlight w:val="none"/>
          <w:u w:val="single"/>
          <w:lang w:val="en-US" w:eastAsia="zh-CN"/>
        </w:rPr>
        <w:t>及暂列金</w:t>
      </w:r>
      <w:r>
        <w:rPr>
          <w:rFonts w:hint="eastAsia" w:ascii="仿宋_GB2312" w:eastAsia="仿宋_GB2312"/>
          <w:color w:val="auto"/>
          <w:sz w:val="28"/>
          <w:szCs w:val="28"/>
          <w:highlight w:val="none"/>
          <w:u w:val="single"/>
        </w:rPr>
        <w:t>为非竞争性费用，报价时须按</w:t>
      </w:r>
      <w:r>
        <w:rPr>
          <w:rFonts w:hint="eastAsia" w:ascii="仿宋_GB2312" w:eastAsia="仿宋_GB2312"/>
          <w:color w:val="auto"/>
          <w:sz w:val="28"/>
          <w:szCs w:val="28"/>
          <w:highlight w:val="none"/>
          <w:u w:val="single"/>
          <w:lang w:val="en-US" w:eastAsia="zh-CN"/>
        </w:rPr>
        <w:t>采购</w:t>
      </w:r>
      <w:r>
        <w:rPr>
          <w:rFonts w:hint="eastAsia" w:ascii="仿宋_GB2312" w:eastAsia="仿宋_GB2312"/>
          <w:color w:val="auto"/>
          <w:sz w:val="28"/>
          <w:szCs w:val="28"/>
          <w:highlight w:val="none"/>
          <w:u w:val="single"/>
        </w:rPr>
        <w:t>文件规定的金额填写，不得参与竞争，否则按无效报价处理。</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地下生产区域作为厂区重点区域，需对每个员工进行可行动区域的划分与授权。不同职能的员工分配进入不同区域，道闸起到内外部员工出入管理的作用，对生产区域出入口可实现无人值守的管理效果。本项目共计安装46套人脸识别一体主机，门禁道闸13套，需要与已建设的智慧园区系统兼容，接入系统中统一管理。其中需对二期地面9台人脸识别主机一齐接入智慧园区系统，对整个地下生产区域部署人脸门禁，提高园区安全性。</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90</w:t>
      </w:r>
      <w:r>
        <w:rPr>
          <w:rFonts w:hint="eastAsia" w:ascii="仿宋_GB2312" w:eastAsia="仿宋_GB2312"/>
          <w:color w:val="auto"/>
          <w:sz w:val="28"/>
          <w:szCs w:val="28"/>
          <w:highlight w:val="none"/>
          <w:u w:val="single"/>
        </w:rPr>
        <w:t xml:space="preserve">日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广州市区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详见第五章采购要求。</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严格遵守净水公司的安全管理规定和要求。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（2）供应商应当具备电子与智能化工程专业承包二级（或以上）资质</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同时具有</w:t>
      </w:r>
      <w:r>
        <w:rPr>
          <w:rFonts w:hint="eastAsia" w:ascii="仿宋_GB2312" w:eastAsia="仿宋_GB2312"/>
          <w:color w:val="auto"/>
          <w:sz w:val="28"/>
          <w:szCs w:val="28"/>
          <w:highlight w:val="none"/>
        </w:rPr>
        <w:t>建设主管部门颁发且在有效期内的《安全生产许可证》。</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u w:val="none"/>
        </w:rPr>
        <w:t xml:space="preserve">（3） </w:t>
      </w:r>
      <w:r>
        <w:rPr>
          <w:rFonts w:ascii="仿宋_GB2312" w:eastAsia="仿宋_GB2312"/>
          <w:color w:val="auto"/>
          <w:sz w:val="28"/>
          <w:szCs w:val="28"/>
          <w:highlight w:val="none"/>
          <w:u w:val="none"/>
        </w:rPr>
        <w:t>2019</w:t>
      </w:r>
      <w:r>
        <w:rPr>
          <w:rFonts w:hint="eastAsia" w:ascii="仿宋_GB2312" w:eastAsia="仿宋_GB2312"/>
          <w:color w:val="auto"/>
          <w:sz w:val="28"/>
          <w:szCs w:val="28"/>
          <w:highlight w:val="none"/>
          <w:u w:val="none"/>
        </w:rPr>
        <w:t xml:space="preserve"> 年1月1日至今，供应商最少具有一项</w:t>
      </w:r>
      <w:r>
        <w:rPr>
          <w:rFonts w:hint="eastAsia" w:ascii="仿宋_GB2312" w:eastAsia="仿宋_GB2312"/>
          <w:color w:val="auto"/>
          <w:sz w:val="28"/>
          <w:szCs w:val="28"/>
          <w:highlight w:val="none"/>
          <w:u w:val="none"/>
          <w:lang w:val="en-US" w:eastAsia="zh-CN"/>
        </w:rPr>
        <w:t>类似</w:t>
      </w:r>
      <w:r>
        <w:rPr>
          <w:rFonts w:hint="eastAsia" w:ascii="仿宋_GB2312" w:eastAsia="仿宋_GB2312"/>
          <w:color w:val="auto"/>
          <w:sz w:val="28"/>
          <w:szCs w:val="28"/>
          <w:highlight w:val="none"/>
          <w:u w:val="none"/>
          <w:lang w:val="en-US" w:eastAsia="zh-CN"/>
        </w:rPr>
        <w:t>门禁监控类项目</w:t>
      </w:r>
      <w:r>
        <w:rPr>
          <w:rFonts w:hint="eastAsia" w:ascii="仿宋_GB2312" w:eastAsia="仿宋_GB2312"/>
          <w:color w:val="auto"/>
          <w:sz w:val="28"/>
          <w:szCs w:val="28"/>
          <w:highlight w:val="none"/>
          <w:u w:val="none"/>
          <w:lang w:val="en-US" w:eastAsia="zh-CN"/>
        </w:rPr>
        <w:t>实施</w:t>
      </w:r>
      <w:r>
        <w:rPr>
          <w:rFonts w:hint="eastAsia" w:ascii="仿宋_GB2312" w:eastAsia="仿宋_GB2312"/>
          <w:color w:val="auto"/>
          <w:sz w:val="28"/>
          <w:szCs w:val="28"/>
          <w:highlight w:val="none"/>
          <w:u w:val="none"/>
        </w:rPr>
        <w:t>的业绩。</w:t>
      </w:r>
      <w:r>
        <w:rPr>
          <w:rFonts w:hint="eastAsia" w:ascii="仿宋_GB2312" w:eastAsia="仿宋_GB2312"/>
          <w:color w:val="auto"/>
          <w:sz w:val="28"/>
          <w:szCs w:val="28"/>
          <w:highlight w:val="none"/>
        </w:rPr>
        <w:t>（提供合同复印件，包括但不限于项目名称、金额及实施内容、合同盖章、签订日期，加盖单位公章。）</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（4）报价单位拟担任本工程项目负责人和安全员的人员资质须满足下列要求，且项目负责人不得同时兼任本项目专职安全人员</w:t>
      </w:r>
      <w:r>
        <w:rPr>
          <w:rFonts w:hint="eastAsia" w:ascii="仿宋_GB2312" w:eastAsia="仿宋_GB2312"/>
          <w:color w:val="auto"/>
          <w:sz w:val="28"/>
          <w:szCs w:val="28"/>
          <w:highlight w:val="none"/>
          <w:lang w:val="en-US" w:eastAsia="zh-CN"/>
        </w:rPr>
        <w:t>：</w:t>
      </w:r>
    </w:p>
    <w:p>
      <w:pPr>
        <w:pStyle w:val="20"/>
        <w:widowControl/>
        <w:numPr>
          <w:ilvl w:val="0"/>
          <w:numId w:val="2"/>
        </w:numPr>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left="425" w:hanging="425" w:firstLineChars="0"/>
        <w:jc w:val="both"/>
        <w:rPr>
          <w:rFonts w:hint="eastAsia" w:ascii="仿宋_GB2312" w:eastAsia="仿宋_GB2312" w:hAnsiTheme="minorHAnsi" w:cstheme="minorBidi"/>
          <w:color w:val="auto"/>
          <w:kern w:val="2"/>
          <w:sz w:val="28"/>
          <w:szCs w:val="28"/>
          <w:highlight w:val="none"/>
          <w:u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项目负责人要求：</w:t>
      </w:r>
      <w:r>
        <w:rPr>
          <w:rFonts w:hint="eastAsia" w:ascii="仿宋_GB2312" w:hAnsi="仿宋" w:eastAsia="仿宋_GB2312" w:cs="仿宋_GB2312"/>
          <w:color w:val="auto"/>
          <w:sz w:val="28"/>
          <w:szCs w:val="28"/>
          <w:highlight w:val="none"/>
          <w:u w:val="none"/>
        </w:rPr>
        <w:t>机电专业</w:t>
      </w:r>
      <w:r>
        <w:rPr>
          <w:rFonts w:ascii="仿宋_GB2312" w:hAnsi="仿宋" w:eastAsia="仿宋_GB2312" w:cs="仿宋_GB2312"/>
          <w:color w:val="auto"/>
          <w:sz w:val="28"/>
          <w:szCs w:val="28"/>
          <w:highlight w:val="none"/>
          <w:u w:val="none"/>
        </w:rPr>
        <w:t>二级</w:t>
      </w:r>
      <w:r>
        <w:rPr>
          <w:rFonts w:hint="eastAsia" w:ascii="仿宋_GB2312" w:hAnsi="仿宋" w:eastAsia="仿宋_GB2312" w:cs="仿宋_GB2312"/>
          <w:color w:val="auto"/>
          <w:sz w:val="28"/>
          <w:szCs w:val="28"/>
          <w:highlight w:val="none"/>
          <w:u w:val="none"/>
        </w:rPr>
        <w:t>（</w:t>
      </w:r>
      <w:r>
        <w:rPr>
          <w:rFonts w:ascii="仿宋_GB2312" w:hAnsi="仿宋" w:eastAsia="仿宋_GB2312" w:cs="仿宋_GB2312"/>
          <w:color w:val="auto"/>
          <w:sz w:val="28"/>
          <w:szCs w:val="28"/>
          <w:highlight w:val="none"/>
          <w:u w:val="none"/>
        </w:rPr>
        <w:t>或以上级别</w:t>
      </w:r>
      <w:r>
        <w:rPr>
          <w:rFonts w:hint="eastAsia" w:ascii="仿宋_GB2312" w:hAnsi="仿宋" w:eastAsia="仿宋_GB2312" w:cs="仿宋_GB2312"/>
          <w:color w:val="auto"/>
          <w:sz w:val="28"/>
          <w:szCs w:val="28"/>
          <w:highlight w:val="none"/>
          <w:u w:val="none"/>
        </w:rPr>
        <w:t>）</w:t>
      </w:r>
      <w:r>
        <w:rPr>
          <w:rFonts w:ascii="仿宋_GB2312" w:hAnsi="仿宋" w:eastAsia="仿宋_GB2312" w:cs="仿宋_GB2312"/>
          <w:color w:val="auto"/>
          <w:sz w:val="28"/>
          <w:szCs w:val="28"/>
          <w:highlight w:val="none"/>
          <w:u w:val="none"/>
        </w:rPr>
        <w:t>的注册建造师（或具</w:t>
      </w:r>
    </w:p>
    <w:p>
      <w:pPr>
        <w:pStyle w:val="20"/>
        <w:widowControl/>
        <w:numPr>
          <w:ilvl w:val="-1"/>
          <w:numId w:val="0"/>
        </w:numPr>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left="0" w:firstLine="0" w:firstLineChars="0"/>
        <w:jc w:val="both"/>
        <w:rPr>
          <w:rFonts w:hint="eastAsia" w:ascii="仿宋_GB2312" w:eastAsia="仿宋_GB2312" w:hAnsiTheme="minorHAnsi" w:cstheme="minorBidi"/>
          <w:color w:val="auto"/>
          <w:kern w:val="2"/>
          <w:sz w:val="28"/>
          <w:szCs w:val="28"/>
          <w:highlight w:val="none"/>
          <w:u w:val="none"/>
          <w:lang w:val="en-US" w:eastAsia="zh-CN" w:bidi="ar-SA"/>
        </w:rPr>
      </w:pPr>
      <w:r>
        <w:rPr>
          <w:rFonts w:ascii="仿宋_GB2312" w:hAnsi="仿宋" w:eastAsia="仿宋_GB2312" w:cs="仿宋_GB2312"/>
          <w:color w:val="auto"/>
          <w:sz w:val="28"/>
          <w:szCs w:val="28"/>
          <w:highlight w:val="none"/>
          <w:u w:val="none"/>
        </w:rPr>
        <w:t>备符合粤建市〔2010〕26号文规定的小型项目负责人资格），</w:t>
      </w:r>
      <w:r>
        <w:rPr>
          <w:rFonts w:hint="eastAsia" w:ascii="仿宋_GB2312" w:hAnsi="仿宋" w:eastAsia="仿宋_GB2312" w:cs="仿宋_GB2312"/>
          <w:color w:val="auto"/>
          <w:sz w:val="28"/>
          <w:szCs w:val="28"/>
          <w:highlight w:val="none"/>
          <w:u w:val="none"/>
        </w:rPr>
        <w:t>同时</w:t>
      </w:r>
      <w:r>
        <w:rPr>
          <w:rFonts w:ascii="仿宋_GB2312" w:hAnsi="仿宋" w:eastAsia="仿宋_GB2312" w:cs="仿宋_GB2312"/>
          <w:color w:val="auto"/>
          <w:sz w:val="28"/>
          <w:szCs w:val="28"/>
          <w:highlight w:val="none"/>
          <w:u w:val="none"/>
        </w:rPr>
        <w:t>持有项目负责人安全生产考核合格证（B）类；</w:t>
      </w:r>
      <w:r>
        <w:rPr>
          <w:rFonts w:hint="eastAsia" w:ascii="仿宋_GB2312" w:eastAsia="仿宋_GB2312" w:hAnsiTheme="minorHAnsi" w:cstheme="minorBidi"/>
          <w:color w:val="auto"/>
          <w:kern w:val="2"/>
          <w:sz w:val="28"/>
          <w:szCs w:val="28"/>
          <w:highlight w:val="none"/>
          <w:u w:val="none"/>
          <w:lang w:val="en-US" w:eastAsia="zh-CN" w:bidi="ar-SA"/>
        </w:rPr>
        <w:t>（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p>
    <w:p>
      <w:pPr>
        <w:pStyle w:val="44"/>
        <w:autoSpaceDE w:val="0"/>
        <w:autoSpaceDN w:val="0"/>
        <w:ind w:firstLine="560"/>
        <w:jc w:val="left"/>
        <w:rPr>
          <w:rFonts w:ascii="仿宋_GB2312" w:eastAsia="仿宋_GB2312"/>
          <w:color w:val="auto"/>
          <w:sz w:val="28"/>
          <w:szCs w:val="28"/>
          <w:highlight w:val="none"/>
        </w:rPr>
      </w:pPr>
      <w:r>
        <w:rPr>
          <w:rFonts w:hint="eastAsia" w:ascii="仿宋_GB2312" w:eastAsia="仿宋_GB2312" w:hAnsiTheme="minorHAnsi" w:cstheme="minorBidi"/>
          <w:color w:val="auto"/>
          <w:kern w:val="2"/>
          <w:sz w:val="28"/>
          <w:szCs w:val="28"/>
          <w:highlight w:val="none"/>
          <w:u w:val="none"/>
          <w:lang w:val="en-US" w:eastAsia="zh-CN" w:bidi="ar-SA"/>
        </w:rPr>
        <w:t>专职安全人员要求：</w:t>
      </w:r>
      <w:r>
        <w:rPr>
          <w:rFonts w:hint="eastAsia" w:ascii="仿宋_GB2312" w:eastAsia="仿宋_GB2312" w:hAnsiTheme="minorHAnsi" w:cstheme="minorBidi"/>
          <w:color w:val="auto"/>
          <w:kern w:val="2"/>
          <w:sz w:val="28"/>
          <w:szCs w:val="28"/>
          <w:highlight w:val="none"/>
          <w:u w:val="none"/>
          <w:lang w:val="en-US" w:eastAsia="zh-CN" w:bidi="ar-SA"/>
        </w:rPr>
        <w:t>须具有安全生产考核合格证（C类）（或能够提供广东省建筑施工企业管理人员安全生产考核信息系统安全生产管理人员证书信息的网页截图）。</w:t>
      </w:r>
    </w:p>
    <w:p>
      <w:pPr>
        <w:pStyle w:val="44"/>
        <w:autoSpaceDE w:val="0"/>
        <w:autoSpaceDN w:val="0"/>
        <w:spacing w:line="600" w:lineRule="exact"/>
        <w:ind w:firstLine="560" w:firstLineChars="0"/>
        <w:jc w:val="left"/>
        <w:rPr>
          <w:rFonts w:ascii="仿宋_GB2312" w:eastAsia="仿宋_GB2312" w:cs="仿宋_GB2312"/>
          <w:color w:val="auto"/>
          <w:sz w:val="28"/>
          <w:szCs w:val="28"/>
          <w:highlight w:val="none"/>
          <w:u w:val="single"/>
          <w:lang w:val="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（5）其他要求：</w:t>
      </w:r>
      <w:r>
        <w:rPr>
          <w:rFonts w:hint="eastAsia" w:ascii="仿宋_GB2312" w:hAnsi="Calibri" w:eastAsia="仿宋_GB2312"/>
          <w:color w:val="auto"/>
          <w:kern w:val="2"/>
          <w:sz w:val="28"/>
          <w:szCs w:val="28"/>
          <w:highlight w:val="none"/>
          <w:u w:val="none"/>
        </w:rPr>
        <w:t>报价单位需出具承诺函，承诺中选后提供报价设备制造商原装全新产品。（加盖单位公章）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9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13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ascii="仿宋_GB2312" w:hAnsi="仿宋" w:eastAsia="仿宋_GB2312" w:cs="仿宋_GB2312"/>
          <w:color w:val="auto"/>
          <w:sz w:val="28"/>
          <w:szCs w:val="28"/>
          <w:highlight w:val="none"/>
          <w:lang w:val="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组织：</w:t>
      </w:r>
      <w:r>
        <w:rPr>
          <w:rFonts w:hint="eastAsia" w:ascii="仿宋_GB2312" w:hAnsi="仿宋" w:eastAsia="仿宋_GB2312" w:cs="仿宋_GB2312"/>
          <w:color w:val="auto"/>
          <w:sz w:val="28"/>
          <w:szCs w:val="28"/>
          <w:highlight w:val="none"/>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ind w:firstLine="560" w:firstLineChars="200"/>
        <w:rPr>
          <w:rFonts w:hint="eastAsia" w:ascii="仿宋_GB2312" w:eastAsia="仿宋_GB2312"/>
          <w:color w:val="auto"/>
          <w:sz w:val="28"/>
          <w:szCs w:val="28"/>
          <w:highlight w:val="none"/>
        </w:rPr>
      </w:pPr>
      <w:r>
        <w:rPr>
          <w:rFonts w:hint="eastAsia" w:ascii="仿宋_GB2312" w:hAnsi="仿宋" w:eastAsia="仿宋_GB2312" w:cs="仿宋_GB2312"/>
          <w:color w:val="auto"/>
          <w:sz w:val="28"/>
          <w:szCs w:val="28"/>
          <w:highlight w:val="none"/>
          <w:lang w:val="zh-CN"/>
        </w:rPr>
        <w:t>防疫要求：基于疫情防控形势，授权委托人须通过“广州净水公司”微信公众号当天（提前）预约，填写访客预约信息。</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14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00 </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w:t>
      </w:r>
      <w:r>
        <w:rPr>
          <w:rFonts w:hint="eastAsia" w:ascii="仿宋_GB2312" w:eastAsia="仿宋_GB2312"/>
          <w:color w:val="auto"/>
          <w:sz w:val="28"/>
          <w:szCs w:val="28"/>
          <w:highlight w:val="none"/>
          <w:u w:val="single"/>
        </w:rPr>
        <w:t>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pStyle w:val="2"/>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2021年11月18至2023年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color w:val="auto"/>
          <w:highlight w:val="none"/>
        </w:rPr>
      </w:pPr>
      <w:bookmarkStart w:id="13" w:name="_Toc10891"/>
    </w:p>
    <w:p>
      <w:pPr>
        <w:pStyle w:val="4"/>
        <w:rPr>
          <w:color w:val="auto"/>
          <w:highlight w:val="none"/>
        </w:rPr>
      </w:pPr>
      <w:bookmarkStart w:id="14" w:name="_Toc16557"/>
      <w:bookmarkStart w:id="15" w:name="_Toc19295"/>
      <w:bookmarkStart w:id="16" w:name="_Toc25603"/>
      <w:bookmarkStart w:id="17" w:name="_Toc7340"/>
      <w:bookmarkStart w:id="18" w:name="_Toc9448"/>
      <w:bookmarkStart w:id="19" w:name="_Toc2324"/>
      <w:bookmarkStart w:id="20" w:name="_Toc16705"/>
      <w:bookmarkStart w:id="21" w:name="_Toc32588"/>
      <w:bookmarkStart w:id="22" w:name="_Toc23749"/>
      <w:bookmarkStart w:id="23" w:name="_Toc2331"/>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2348865</wp:posOffset>
                </wp:positionH>
                <wp:positionV relativeFrom="paragraph">
                  <wp:posOffset>539115</wp:posOffset>
                </wp:positionV>
                <wp:extent cx="958850" cy="0"/>
                <wp:effectExtent l="0" t="0" r="0" b="0"/>
                <wp:wrapNone/>
                <wp:docPr id="15"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95pt;margin-top:42.45pt;height:0pt;width:75.5pt;z-index:251675648;mso-width-relative:page;mso-height-relative:page;" filled="f" stroked="t" coordsize="21600,21600" o:gfxdata="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2zBoNAWsK3bibeNphuImZ8KGNNv+JCjsUXY9nXdUhMUGHLxbL5YIUF/eu&#10;6iEvREyvlLcsGw3HFEF3fdp45+jyfJwVWWH/GhNVpsT7hFzUODZk+Dn1LoC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4m1cNcAAAAJAQAADwAAAAAAAAABACAAAAAiAAAAZHJzL2Rvd25yZXYueG1sUEsBAhQA&#10;FAAAAAgAh07iQJJHi+3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4"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O3C9W3zAQAA5AMAAA4AAABkcnMvZTJvRG9jLnhtbK1TvY4T&#10;MRDukXgHyz3ZJCI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7cL1bf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ind w:firstLine="0"/>
        <w:rPr>
          <w:color w:val="auto"/>
          <w:highlight w:val="none"/>
        </w:rPr>
      </w:pPr>
    </w:p>
    <w:p>
      <w:pPr>
        <w:numPr>
          <w:ilvl w:val="0"/>
          <w:numId w:val="4"/>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ind w:firstLine="0"/>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4"/>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4"/>
        <w:rPr>
          <w:color w:val="auto"/>
          <w:highlight w:val="none"/>
        </w:rPr>
      </w:pPr>
    </w:p>
    <w:p>
      <w:pPr>
        <w:pStyle w:val="34"/>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5"/>
        <w:rPr>
          <w:rFonts w:asciiTheme="minorHAnsi" w:hAnsiTheme="minorHAnsi" w:cstheme="minorBidi"/>
          <w:color w:val="auto"/>
          <w:kern w:val="44"/>
          <w:sz w:val="44"/>
          <w:szCs w:val="44"/>
          <w:highlight w:val="none"/>
        </w:rPr>
      </w:pPr>
      <w:bookmarkStart w:id="26" w:name="_Toc21455"/>
      <w:bookmarkStart w:id="27" w:name="_Toc2867"/>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F+YUbPy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X/OmQNLF373&#10;+fuvT19uv/68/fGNzbJ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BfmFGz8gEAAOIDAAAOAAAAAAAAAAEAIAAAACUBAABkcnMvZTJvRG9jLnhtbFBLBQYA&#10;AAAABgAGAFkBAACJBQ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2"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Co+qbLy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Z9y5sDShd99&#10;/v7r05fbrz9vf3xjz7N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AqPqmy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26"/>
      <w:bookmarkEnd w:id="27"/>
    </w:p>
    <w:p>
      <w:pPr>
        <w:pStyle w:val="34"/>
        <w:rPr>
          <w:color w:val="auto"/>
          <w:highlight w:val="none"/>
        </w:rPr>
      </w:pPr>
    </w:p>
    <w:p>
      <w:pPr>
        <w:pStyle w:val="5"/>
        <w:rPr>
          <w:color w:val="auto"/>
          <w:highlight w:val="none"/>
        </w:rPr>
      </w:pPr>
      <w:bookmarkStart w:id="28" w:name="_Toc7040"/>
      <w:bookmarkStart w:id="29" w:name="_Toc7303"/>
      <w:bookmarkStart w:id="30" w:name="_Toc87616371"/>
      <w:bookmarkStart w:id="31" w:name="_Toc88209934"/>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rFonts w:hint="eastAsia"/>
          <w:color w:val="auto"/>
          <w:highlight w:val="none"/>
        </w:rPr>
      </w:pPr>
      <w:bookmarkStart w:id="32" w:name="_Toc3789"/>
      <w:bookmarkStart w:id="33" w:name="_Toc24895"/>
    </w:p>
    <w:p>
      <w:pPr>
        <w:pStyle w:val="5"/>
        <w:rPr>
          <w:rFonts w:hint="eastAsia"/>
          <w:color w:val="auto"/>
          <w:highlight w:val="none"/>
        </w:rPr>
      </w:pPr>
    </w:p>
    <w:p>
      <w:pPr>
        <w:rPr>
          <w:rFonts w:hint="eastAsia"/>
          <w:color w:val="auto"/>
          <w:highlight w:val="none"/>
        </w:rPr>
      </w:pPr>
    </w:p>
    <w:p>
      <w:pPr>
        <w:pStyle w:val="5"/>
        <w:jc w:val="both"/>
        <w:rPr>
          <w:rFonts w:hint="eastAsia"/>
          <w:color w:val="auto"/>
          <w:highlight w:val="none"/>
        </w:rPr>
      </w:pPr>
    </w:p>
    <w:p>
      <w:pPr>
        <w:pStyle w:val="5"/>
        <w:jc w:val="center"/>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pStyle w:val="2"/>
        <w:ind w:firstLine="0"/>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ind w:firstLine="3520" w:firstLineChars="800"/>
        <w:jc w:val="both"/>
        <w:rPr>
          <w:rFonts w:hint="eastAsia"/>
          <w:color w:val="auto"/>
          <w:highlight w:val="none"/>
        </w:rPr>
      </w:pPr>
      <w:bookmarkStart w:id="34" w:name="_Toc4952"/>
      <w:bookmarkStart w:id="35" w:name="_Toc3156"/>
      <w:bookmarkStart w:id="36" w:name="_Toc14552"/>
      <w:bookmarkStart w:id="37" w:name="_Toc19759"/>
      <w:bookmarkStart w:id="38" w:name="_Toc19050"/>
      <w:bookmarkStart w:id="39" w:name="_Toc7118"/>
      <w:bookmarkStart w:id="40" w:name="_Toc23581"/>
      <w:bookmarkStart w:id="41" w:name="_Toc7437"/>
      <w:bookmarkStart w:id="42" w:name="_Toc14870"/>
      <w:bookmarkStart w:id="43" w:name="_Toc20594"/>
      <w:bookmarkStart w:id="44" w:name="_Toc1093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5"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QaLgR8gEAAOI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g2fcebA0oXf&#10;ff7+69OX268/b398Yy+yQn3AmgJXbhNPOwybmOke2mjzn4iwQ1H1eFZVHRITdPhyNp/PSG9x76oe&#10;8kLE9Fp5y7LRcEwR9K5LK+8cXZ2PkyIq7N9gosqUeJ+QixrH+gw/pdYF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kGi4E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4"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B+MOg8gEAAOIDAAAOAAAAZHJzL2Uyb0RvYy54bWytU72O&#10;EzEQ7pF4B8s92SQi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AfjD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r>
        <w:rPr>
          <w:rFonts w:hint="eastAsia"/>
          <w:color w:val="auto"/>
          <w:highlight w:val="none"/>
          <w:lang w:val="en-US" w:eastAsia="zh-CN"/>
        </w:rPr>
        <w:t xml:space="preserve"> </w:t>
      </w:r>
    </w:p>
    <w:p>
      <w:pPr>
        <w:pStyle w:val="34"/>
        <w:rPr>
          <w:color w:val="auto"/>
          <w:highlight w:val="none"/>
        </w:rPr>
      </w:pPr>
    </w:p>
    <w:p>
      <w:pPr>
        <w:pStyle w:val="4"/>
        <w:rPr>
          <w:color w:val="auto"/>
          <w:highlight w:val="none"/>
        </w:rPr>
      </w:pPr>
      <w:bookmarkStart w:id="45" w:name="_Toc22212"/>
      <w:bookmarkStart w:id="46" w:name="_Toc13898"/>
      <w:bookmarkStart w:id="47" w:name="_Toc88209941"/>
      <w:bookmarkStart w:id="48" w:name="_Toc30530"/>
      <w:bookmarkStart w:id="49" w:name="_Toc21079"/>
      <w:bookmarkStart w:id="50" w:name="_Toc29484"/>
      <w:bookmarkStart w:id="51" w:name="_Toc21840"/>
      <w:bookmarkStart w:id="52" w:name="_Toc7831"/>
      <w:bookmarkStart w:id="53" w:name="_Toc87616378"/>
      <w:bookmarkStart w:id="54" w:name="_Toc32607"/>
      <w:bookmarkStart w:id="55" w:name="_Toc29345"/>
      <w:bookmarkStart w:id="56" w:name="_Toc6308"/>
      <w:bookmarkStart w:id="57" w:name="_Toc1217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jc w:val="both"/>
        <w:rPr>
          <w:rFonts w:hint="eastAsia"/>
          <w:color w:val="auto"/>
          <w:highlight w:val="none"/>
        </w:rPr>
      </w:pPr>
      <w:bookmarkStart w:id="58" w:name="_Toc23033"/>
      <w:bookmarkStart w:id="59" w:name="_Toc26826"/>
    </w:p>
    <w:p>
      <w:pPr>
        <w:pStyle w:val="5"/>
        <w:jc w:val="center"/>
        <w:rPr>
          <w:color w:val="auto"/>
          <w:highlight w:val="none"/>
        </w:rPr>
      </w:pPr>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7"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sbqiH8wEAAOQDAAAOAAAAZHJzL2Uyb0RvYy54bWytU72O&#10;EzEQ7pF4B8s92SQi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55w5sHTj&#10;Pz99+/Xx8+2XH7ffv7Lp0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xuqI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6"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Pr1gfzAQAA5A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pEm44syBpRv/&#10;9fn7/acvd19/3v34xqazrFEfcEGha7eNpx2GbcyED020+U9U2KHoejzrqg6JCTp8OZvPZ6S4eHBV&#10;j3khYnqtvGXZqDmmCLrt0to7R5fn46TICvs3mKgyJT4k5KLGsT7DU5NMAA1jQ0NApg1ECF1bctEb&#10;LW+0MTkDY7tbm8j2kAeifJkf4f4VlotsALshrriGUekUyFdOsnQMpJSjF8JzC1ZJzoyiB5UtAoRF&#10;Am0uiaTSxlEHWeJB1GztvDwWrcs5XX7p8TSoebr+3Jfsx8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U+vWB/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第五章</w:t>
      </w:r>
    </w:p>
    <w:p>
      <w:pPr>
        <w:pStyle w:val="5"/>
        <w:rPr>
          <w:color w:val="auto"/>
          <w:highlight w:val="none"/>
        </w:rPr>
      </w:pPr>
    </w:p>
    <w:p>
      <w:pPr>
        <w:pStyle w:val="5"/>
        <w:rPr>
          <w:rFonts w:hint="eastAsia"/>
          <w:color w:val="auto"/>
          <w:szCs w:val="44"/>
          <w:highlight w:val="none"/>
        </w:rPr>
      </w:pPr>
      <w:r>
        <w:rPr>
          <w:rFonts w:hint="eastAsia"/>
          <w:color w:val="auto"/>
          <w:szCs w:val="44"/>
          <w:highlight w:val="none"/>
        </w:rPr>
        <w:t>采购需求</w:t>
      </w:r>
      <w:bookmarkEnd w:id="60"/>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jc w:val="center"/>
        <w:rPr>
          <w:color w:val="auto"/>
          <w:szCs w:val="44"/>
          <w:highlight w:val="none"/>
        </w:rPr>
      </w:pPr>
      <w:r>
        <w:rPr>
          <w:rFonts w:hint="eastAsia"/>
          <w:color w:val="auto"/>
          <w:szCs w:val="44"/>
          <w:highlight w:val="none"/>
        </w:rPr>
        <w:t>技术要求说明</w:t>
      </w:r>
    </w:p>
    <w:p>
      <w:pPr>
        <w:pStyle w:val="6"/>
        <w:rPr>
          <w:rFonts w:asciiTheme="majorEastAsia" w:hAnsiTheme="majorEastAsia" w:eastAsiaTheme="majorEastAsia"/>
          <w:b w:val="0"/>
          <w:color w:val="auto"/>
          <w:sz w:val="28"/>
          <w:szCs w:val="28"/>
          <w:highlight w:val="none"/>
        </w:rPr>
      </w:pPr>
      <w:bookmarkStart w:id="61" w:name="_Toc3215"/>
      <w:bookmarkStart w:id="62" w:name="_Toc4719"/>
      <w:bookmarkStart w:id="63" w:name="_Toc14677"/>
      <w:bookmarkStart w:id="64" w:name="_Toc25033"/>
      <w:bookmarkStart w:id="65" w:name="_Toc20689"/>
      <w:bookmarkStart w:id="66" w:name="_Toc499646386"/>
      <w:bookmarkStart w:id="67" w:name="_Toc27481"/>
      <w:bookmarkStart w:id="68" w:name="_Toc495915334"/>
      <w:bookmarkStart w:id="69" w:name="_Toc8717"/>
      <w:bookmarkStart w:id="70" w:name="_Toc13011"/>
      <w:bookmarkStart w:id="71" w:name="_Toc4833"/>
      <w:bookmarkStart w:id="72" w:name="_Toc29871"/>
      <w:bookmarkStart w:id="73" w:name="_Toc10599"/>
      <w:bookmarkStart w:id="74" w:name="_Toc9482"/>
      <w:bookmarkStart w:id="75" w:name="_Toc15950"/>
      <w:bookmarkStart w:id="76" w:name="_Toc10028"/>
      <w:bookmarkStart w:id="77" w:name="_Toc17348"/>
      <w:bookmarkStart w:id="78" w:name="_Toc3470"/>
      <w:bookmarkStart w:id="79" w:name="_Toc101423159"/>
      <w:r>
        <w:rPr>
          <w:rFonts w:asciiTheme="majorEastAsia" w:hAnsiTheme="majorEastAsia" w:eastAsiaTheme="majorEastAsia"/>
          <w:b w:val="0"/>
          <w:color w:val="auto"/>
          <w:sz w:val="28"/>
          <w:szCs w:val="28"/>
          <w:highlight w:val="none"/>
        </w:rPr>
        <w:t>1</w:t>
      </w:r>
      <w:r>
        <w:rPr>
          <w:rFonts w:hint="eastAsia" w:asciiTheme="majorEastAsia" w:hAnsiTheme="majorEastAsia" w:eastAsiaTheme="majorEastAsia"/>
          <w:b w:val="0"/>
          <w:color w:val="auto"/>
          <w:sz w:val="28"/>
          <w:szCs w:val="28"/>
          <w:highlight w:val="none"/>
        </w:rPr>
        <w:t>建设</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Pr>
          <w:rFonts w:hint="eastAsia" w:asciiTheme="majorEastAsia" w:hAnsiTheme="majorEastAsia" w:eastAsiaTheme="majorEastAsia"/>
          <w:b w:val="0"/>
          <w:color w:val="auto"/>
          <w:sz w:val="28"/>
          <w:szCs w:val="28"/>
          <w:highlight w:val="none"/>
        </w:rPr>
        <w:t>目标</w:t>
      </w:r>
      <w:bookmarkEnd w:id="79"/>
    </w:p>
    <w:p>
      <w:pPr>
        <w:spacing w:line="360" w:lineRule="auto"/>
        <w:ind w:firstLine="560" w:firstLineChars="200"/>
        <w:jc w:val="left"/>
        <w:rPr>
          <w:rFonts w:ascii="仿宋_GB2312" w:hAnsi="宋体" w:eastAsia="仿宋_GB2312"/>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为做好人员进出地下空间或地下负二层空间的管控，拟在进入生产区域的楼梯口与进入负二层的通道位置增加身份认证设备</w:t>
      </w:r>
      <w:r>
        <w:rPr>
          <w:rFonts w:hint="eastAsia" w:ascii="仿宋_GB2312" w:hAnsi="仿宋_GB2312" w:eastAsia="仿宋_GB2312" w:cs="仿宋_GB2312"/>
          <w:bCs/>
          <w:color w:val="auto"/>
          <w:sz w:val="28"/>
          <w:szCs w:val="28"/>
          <w:highlight w:val="none"/>
        </w:rPr>
        <w:t>。</w:t>
      </w:r>
    </w:p>
    <w:p>
      <w:pPr>
        <w:pStyle w:val="6"/>
        <w:rPr>
          <w:rFonts w:asciiTheme="majorEastAsia" w:hAnsiTheme="majorEastAsia" w:eastAsiaTheme="majorEastAsia"/>
          <w:b w:val="0"/>
          <w:color w:val="auto"/>
          <w:sz w:val="28"/>
          <w:szCs w:val="28"/>
          <w:highlight w:val="none"/>
        </w:rPr>
      </w:pPr>
      <w:bookmarkStart w:id="80" w:name="_Toc27242"/>
      <w:bookmarkStart w:id="81" w:name="_Toc101423160"/>
      <w:bookmarkStart w:id="82" w:name="_Toc499646389"/>
      <w:bookmarkStart w:id="83" w:name="_Toc12931"/>
      <w:bookmarkStart w:id="84" w:name="_Toc19162"/>
      <w:bookmarkStart w:id="85" w:name="_Toc15157"/>
      <w:bookmarkStart w:id="86" w:name="_Toc23145"/>
      <w:bookmarkStart w:id="87" w:name="_Toc3384"/>
      <w:bookmarkStart w:id="88" w:name="_Toc3555"/>
      <w:bookmarkStart w:id="89" w:name="_Toc4069"/>
      <w:bookmarkStart w:id="90" w:name="_Toc26054"/>
      <w:bookmarkStart w:id="91" w:name="_Toc12764"/>
      <w:bookmarkStart w:id="92" w:name="_Toc430701020"/>
      <w:bookmarkStart w:id="93" w:name="_Toc12933"/>
      <w:bookmarkStart w:id="94" w:name="_Toc12433"/>
      <w:bookmarkStart w:id="95" w:name="_Toc1412"/>
      <w:bookmarkStart w:id="96" w:name="_Toc470514645"/>
      <w:bookmarkStart w:id="97" w:name="_Toc13880"/>
      <w:bookmarkStart w:id="98" w:name="_Toc4029"/>
      <w:bookmarkStart w:id="99" w:name="_Toc495915337"/>
      <w:bookmarkStart w:id="100" w:name="_Toc20690"/>
      <w:r>
        <w:rPr>
          <w:rFonts w:asciiTheme="majorEastAsia" w:hAnsiTheme="majorEastAsia" w:eastAsiaTheme="majorEastAsia"/>
          <w:b w:val="0"/>
          <w:color w:val="auto"/>
          <w:sz w:val="28"/>
          <w:szCs w:val="28"/>
          <w:highlight w:val="none"/>
        </w:rPr>
        <w:t>2</w:t>
      </w:r>
      <w:r>
        <w:rPr>
          <w:rFonts w:hint="eastAsia" w:asciiTheme="majorEastAsia" w:hAnsiTheme="majorEastAsia" w:eastAsiaTheme="majorEastAsia"/>
          <w:b w:val="0"/>
          <w:color w:val="auto"/>
          <w:sz w:val="28"/>
          <w:szCs w:val="28"/>
          <w:highlight w:val="none"/>
        </w:rPr>
        <w:t>建设内容</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spacing w:line="360" w:lineRule="auto"/>
        <w:ind w:firstLine="560" w:firstLineChars="200"/>
        <w:jc w:val="left"/>
        <w:rPr>
          <w:rFonts w:hint="eastAsia" w:ascii="仿宋_GB2312" w:hAnsi="仿宋_GB2312" w:eastAsia="仿宋_GB2312" w:cs="仿宋_GB2312"/>
          <w:bCs/>
          <w:color w:val="auto"/>
          <w:sz w:val="28"/>
          <w:szCs w:val="28"/>
          <w:highlight w:val="none"/>
          <w:lang w:val="en-US" w:eastAsia="zh-CN"/>
        </w:rPr>
      </w:pPr>
      <w:bookmarkStart w:id="101" w:name="_Toc101423177"/>
      <w:bookmarkStart w:id="102" w:name="_Toc29945"/>
      <w:bookmarkStart w:id="103" w:name="_Toc495915409"/>
      <w:r>
        <w:rPr>
          <w:rFonts w:hint="eastAsia" w:ascii="仿宋_GB2312" w:hAnsi="仿宋_GB2312" w:eastAsia="仿宋_GB2312" w:cs="仿宋_GB2312"/>
          <w:bCs/>
          <w:color w:val="auto"/>
          <w:sz w:val="28"/>
          <w:szCs w:val="28"/>
          <w:highlight w:val="none"/>
          <w:lang w:val="en-US" w:eastAsia="zh-CN"/>
        </w:rPr>
        <w:t>本项目共计安装46套人脸识别一体主机，门禁道闸13套，需要与已建设的智慧园区系统兼容，接入系统中统一管理。其中需对二期地面9台人脸识别主机一齐接入智慧园区系统，对整个地下生产区域部署人脸门禁，提高园区安全性。</w:t>
      </w:r>
    </w:p>
    <w:p>
      <w:pPr>
        <w:pStyle w:val="25"/>
        <w:ind w:firstLine="560" w:firstLineChars="200"/>
        <w:rPr>
          <w:rFonts w:hint="default"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1）前端系统：前端设备包括</w:t>
      </w:r>
      <w:r>
        <w:rPr>
          <w:rFonts w:hint="eastAsia" w:ascii="仿宋_GB2312" w:cs="Times New Roman"/>
          <w:b w:val="0"/>
          <w:bCs/>
          <w:color w:val="auto"/>
          <w:kern w:val="2"/>
          <w:sz w:val="28"/>
          <w:szCs w:val="28"/>
          <w:highlight w:val="none"/>
          <w:lang w:val="en-US" w:eastAsia="zh-CN" w:bidi="ar-SA"/>
        </w:rPr>
        <w:t>46</w:t>
      </w:r>
      <w:r>
        <w:rPr>
          <w:rFonts w:hint="eastAsia" w:ascii="仿宋_GB2312" w:hAnsi="Times New Roman" w:eastAsia="仿宋_GB2312" w:cs="Times New Roman"/>
          <w:b w:val="0"/>
          <w:bCs/>
          <w:color w:val="auto"/>
          <w:kern w:val="2"/>
          <w:sz w:val="28"/>
          <w:szCs w:val="28"/>
          <w:highlight w:val="none"/>
          <w:lang w:val="en-US" w:eastAsia="zh-CN" w:bidi="ar-SA"/>
        </w:rPr>
        <w:t>个前端采集点，</w:t>
      </w:r>
      <w:r>
        <w:rPr>
          <w:rFonts w:hint="eastAsia" w:ascii="仿宋_GB2312" w:cs="Times New Roman"/>
          <w:b w:val="0"/>
          <w:bCs/>
          <w:color w:val="auto"/>
          <w:kern w:val="2"/>
          <w:sz w:val="28"/>
          <w:szCs w:val="28"/>
          <w:highlight w:val="none"/>
          <w:lang w:val="en-US" w:eastAsia="zh-CN" w:bidi="ar-SA"/>
        </w:rPr>
        <w:t>进入负二层道闸13个。</w:t>
      </w:r>
      <w:r>
        <w:rPr>
          <w:rFonts w:hint="eastAsia" w:ascii="仿宋_GB2312" w:hAnsi="Times New Roman" w:eastAsia="仿宋_GB2312" w:cs="Times New Roman"/>
          <w:b w:val="0"/>
          <w:bCs/>
          <w:color w:val="auto"/>
          <w:kern w:val="2"/>
          <w:sz w:val="28"/>
          <w:szCs w:val="28"/>
          <w:highlight w:val="none"/>
          <w:lang w:val="en-US" w:eastAsia="zh-CN" w:bidi="ar-SA"/>
        </w:rPr>
        <w:t>前端新建内容包括</w:t>
      </w:r>
      <w:r>
        <w:rPr>
          <w:rFonts w:hint="eastAsia" w:ascii="仿宋_GB2312" w:cs="Times New Roman"/>
          <w:b w:val="0"/>
          <w:bCs/>
          <w:color w:val="auto"/>
          <w:kern w:val="2"/>
          <w:sz w:val="28"/>
          <w:szCs w:val="28"/>
          <w:highlight w:val="none"/>
          <w:lang w:val="en-US" w:eastAsia="zh-CN" w:bidi="ar-SA"/>
        </w:rPr>
        <w:t>人脸识别一体机</w:t>
      </w:r>
      <w:r>
        <w:rPr>
          <w:rFonts w:hint="eastAsia" w:ascii="仿宋_GB2312" w:hAnsi="Times New Roman" w:eastAsia="仿宋_GB2312" w:cs="Times New Roman"/>
          <w:b w:val="0"/>
          <w:bCs/>
          <w:color w:val="auto"/>
          <w:kern w:val="2"/>
          <w:sz w:val="28"/>
          <w:szCs w:val="28"/>
          <w:highlight w:val="none"/>
          <w:lang w:val="en-US" w:eastAsia="zh-CN" w:bidi="ar-SA"/>
        </w:rPr>
        <w:t>、设备箱、电源、管线铺设和调试工作，以及相关基础工作。</w:t>
      </w:r>
    </w:p>
    <w:p>
      <w:pPr>
        <w:pStyle w:val="25"/>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2）传输网络</w:t>
      </w:r>
    </w:p>
    <w:p>
      <w:pPr>
        <w:pStyle w:val="25"/>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本项目传输网络建设主要</w:t>
      </w:r>
      <w:r>
        <w:rPr>
          <w:rFonts w:hint="eastAsia" w:ascii="仿宋_GB2312" w:cs="Times New Roman"/>
          <w:b w:val="0"/>
          <w:bCs/>
          <w:color w:val="auto"/>
          <w:kern w:val="2"/>
          <w:sz w:val="28"/>
          <w:szCs w:val="28"/>
          <w:highlight w:val="none"/>
          <w:lang w:val="en-US" w:eastAsia="zh-CN" w:bidi="ar-SA"/>
        </w:rPr>
        <w:t>为</w:t>
      </w:r>
      <w:r>
        <w:rPr>
          <w:rFonts w:hint="eastAsia" w:ascii="仿宋_GB2312" w:hAnsi="Times New Roman" w:eastAsia="仿宋_GB2312" w:cs="Times New Roman"/>
          <w:b w:val="0"/>
          <w:bCs/>
          <w:color w:val="auto"/>
          <w:kern w:val="2"/>
          <w:sz w:val="28"/>
          <w:szCs w:val="28"/>
          <w:highlight w:val="none"/>
          <w:lang w:val="en-US" w:eastAsia="zh-CN" w:bidi="ar-SA"/>
        </w:rPr>
        <w:t>前端</w:t>
      </w:r>
      <w:r>
        <w:rPr>
          <w:rFonts w:hint="eastAsia" w:ascii="仿宋_GB2312" w:cs="Times New Roman"/>
          <w:b w:val="0"/>
          <w:bCs/>
          <w:color w:val="auto"/>
          <w:kern w:val="2"/>
          <w:sz w:val="28"/>
          <w:szCs w:val="28"/>
          <w:highlight w:val="none"/>
          <w:lang w:val="en-US" w:eastAsia="zh-CN" w:bidi="ar-SA"/>
        </w:rPr>
        <w:t>设备</w:t>
      </w:r>
      <w:r>
        <w:rPr>
          <w:rFonts w:hint="eastAsia" w:ascii="仿宋_GB2312" w:hAnsi="Times New Roman" w:eastAsia="仿宋_GB2312" w:cs="Times New Roman"/>
          <w:b w:val="0"/>
          <w:bCs/>
          <w:color w:val="auto"/>
          <w:kern w:val="2"/>
          <w:sz w:val="28"/>
          <w:szCs w:val="28"/>
          <w:highlight w:val="none"/>
          <w:lang w:val="en-US" w:eastAsia="zh-CN" w:bidi="ar-SA"/>
        </w:rPr>
        <w:t>到石井净分公司中控室的传输线路。</w:t>
      </w:r>
    </w:p>
    <w:p>
      <w:pPr>
        <w:pStyle w:val="25"/>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3）后端系统</w:t>
      </w:r>
    </w:p>
    <w:p>
      <w:pPr>
        <w:pStyle w:val="25"/>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cs="Times New Roman"/>
          <w:b w:val="0"/>
          <w:bCs/>
          <w:color w:val="auto"/>
          <w:kern w:val="2"/>
          <w:sz w:val="28"/>
          <w:szCs w:val="28"/>
          <w:highlight w:val="none"/>
          <w:lang w:val="en-US" w:eastAsia="zh-CN" w:bidi="ar-SA"/>
        </w:rPr>
        <w:t>并入原有智慧园区</w:t>
      </w:r>
      <w:r>
        <w:rPr>
          <w:rFonts w:hint="eastAsia" w:ascii="仿宋_GB2312" w:hAnsi="Times New Roman" w:eastAsia="仿宋_GB2312" w:cs="Times New Roman"/>
          <w:b w:val="0"/>
          <w:bCs/>
          <w:color w:val="auto"/>
          <w:kern w:val="2"/>
          <w:sz w:val="28"/>
          <w:szCs w:val="28"/>
          <w:highlight w:val="none"/>
          <w:lang w:val="en-US" w:eastAsia="zh-CN" w:bidi="ar-SA"/>
        </w:rPr>
        <w:t>平台、存储设备、服务器、交换机以及其它辅助设备的安装和调试，实现本项目新</w:t>
      </w:r>
      <w:r>
        <w:rPr>
          <w:rFonts w:hint="eastAsia" w:ascii="仿宋_GB2312" w:cs="Times New Roman"/>
          <w:b w:val="0"/>
          <w:bCs/>
          <w:color w:val="auto"/>
          <w:kern w:val="2"/>
          <w:sz w:val="28"/>
          <w:szCs w:val="28"/>
          <w:highlight w:val="none"/>
          <w:lang w:val="en-US" w:eastAsia="zh-CN" w:bidi="ar-SA"/>
        </w:rPr>
        <w:t>增</w:t>
      </w:r>
      <w:r>
        <w:rPr>
          <w:rFonts w:hint="eastAsia" w:ascii="仿宋_GB2312" w:hAnsi="Times New Roman" w:eastAsia="仿宋_GB2312" w:cs="Times New Roman"/>
          <w:b w:val="0"/>
          <w:bCs/>
          <w:color w:val="auto"/>
          <w:kern w:val="2"/>
          <w:sz w:val="28"/>
          <w:szCs w:val="28"/>
          <w:highlight w:val="none"/>
          <w:lang w:val="en-US" w:eastAsia="zh-CN" w:bidi="ar-SA"/>
        </w:rPr>
        <w:t>的</w:t>
      </w:r>
      <w:r>
        <w:rPr>
          <w:rFonts w:hint="eastAsia" w:ascii="仿宋_GB2312" w:cs="Times New Roman"/>
          <w:b w:val="0"/>
          <w:bCs/>
          <w:color w:val="auto"/>
          <w:kern w:val="2"/>
          <w:sz w:val="28"/>
          <w:szCs w:val="28"/>
          <w:highlight w:val="none"/>
          <w:lang w:val="en-US" w:eastAsia="zh-CN" w:bidi="ar-SA"/>
        </w:rPr>
        <w:t>人脸识别设备</w:t>
      </w:r>
      <w:r>
        <w:rPr>
          <w:rFonts w:hint="eastAsia" w:ascii="仿宋_GB2312" w:hAnsi="Times New Roman" w:eastAsia="仿宋_GB2312" w:cs="Times New Roman"/>
          <w:b w:val="0"/>
          <w:bCs/>
          <w:color w:val="auto"/>
          <w:kern w:val="2"/>
          <w:sz w:val="28"/>
          <w:szCs w:val="28"/>
          <w:highlight w:val="none"/>
          <w:lang w:val="en-US" w:eastAsia="zh-CN" w:bidi="ar-SA"/>
        </w:rPr>
        <w:t>接入</w:t>
      </w:r>
      <w:r>
        <w:rPr>
          <w:rFonts w:hint="eastAsia" w:ascii="仿宋_GB2312" w:cs="Times New Roman"/>
          <w:b w:val="0"/>
          <w:bCs/>
          <w:color w:val="auto"/>
          <w:kern w:val="2"/>
          <w:sz w:val="28"/>
          <w:szCs w:val="28"/>
          <w:highlight w:val="none"/>
          <w:lang w:val="en-US" w:eastAsia="zh-CN" w:bidi="ar-SA"/>
        </w:rPr>
        <w:t>智慧园区系统</w:t>
      </w:r>
      <w:r>
        <w:rPr>
          <w:rFonts w:hint="eastAsia" w:ascii="仿宋_GB2312" w:hAnsi="Times New Roman" w:eastAsia="仿宋_GB2312" w:cs="Times New Roman"/>
          <w:b w:val="0"/>
          <w:bCs/>
          <w:color w:val="auto"/>
          <w:kern w:val="2"/>
          <w:sz w:val="28"/>
          <w:szCs w:val="28"/>
          <w:highlight w:val="none"/>
          <w:lang w:val="en-US" w:eastAsia="zh-CN" w:bidi="ar-SA"/>
        </w:rPr>
        <w:t>，</w:t>
      </w:r>
      <w:r>
        <w:rPr>
          <w:rFonts w:hint="eastAsia" w:ascii="仿宋_GB2312" w:cs="Times New Roman"/>
          <w:b w:val="0"/>
          <w:bCs/>
          <w:color w:val="auto"/>
          <w:kern w:val="2"/>
          <w:sz w:val="28"/>
          <w:szCs w:val="28"/>
          <w:highlight w:val="none"/>
          <w:lang w:val="en-US" w:eastAsia="zh-CN" w:bidi="ar-SA"/>
        </w:rPr>
        <w:t>并对10s内未正常关闭的门有预警提示到平台，</w:t>
      </w:r>
      <w:r>
        <w:rPr>
          <w:rFonts w:hint="eastAsia" w:ascii="仿宋_GB2312" w:hAnsi="Times New Roman" w:eastAsia="仿宋_GB2312" w:cs="Times New Roman"/>
          <w:b w:val="0"/>
          <w:bCs/>
          <w:color w:val="auto"/>
          <w:kern w:val="2"/>
          <w:sz w:val="28"/>
          <w:szCs w:val="28"/>
          <w:highlight w:val="none"/>
          <w:lang w:val="en-US" w:eastAsia="zh-CN" w:bidi="ar-SA"/>
        </w:rPr>
        <w:t>实现</w:t>
      </w:r>
      <w:r>
        <w:rPr>
          <w:rFonts w:hint="eastAsia" w:ascii="仿宋_GB2312" w:cs="Times New Roman"/>
          <w:b w:val="0"/>
          <w:bCs/>
          <w:color w:val="auto"/>
          <w:kern w:val="2"/>
          <w:sz w:val="28"/>
          <w:szCs w:val="28"/>
          <w:highlight w:val="none"/>
          <w:lang w:val="en-US" w:eastAsia="zh-CN" w:bidi="ar-SA"/>
        </w:rPr>
        <w:t>安防的</w:t>
      </w:r>
      <w:r>
        <w:rPr>
          <w:rFonts w:hint="eastAsia" w:ascii="仿宋_GB2312" w:hAnsi="Times New Roman" w:eastAsia="仿宋_GB2312" w:cs="Times New Roman"/>
          <w:b w:val="0"/>
          <w:bCs/>
          <w:color w:val="auto"/>
          <w:kern w:val="2"/>
          <w:sz w:val="28"/>
          <w:szCs w:val="28"/>
          <w:highlight w:val="none"/>
          <w:lang w:val="en-US" w:eastAsia="zh-CN" w:bidi="ar-SA"/>
        </w:rPr>
        <w:t>统一管理。</w:t>
      </w:r>
    </w:p>
    <w:p>
      <w:pPr>
        <w:pStyle w:val="25"/>
        <w:rPr>
          <w:rFonts w:hint="eastAsia"/>
          <w:color w:val="auto"/>
          <w:highlight w:val="none"/>
          <w:lang w:val="en-US" w:eastAsia="zh-CN"/>
        </w:rPr>
      </w:pPr>
    </w:p>
    <w:p>
      <w:pPr>
        <w:spacing w:line="360" w:lineRule="auto"/>
        <w:ind w:firstLine="560" w:firstLineChars="200"/>
        <w:jc w:val="lef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工程量清单</w:t>
      </w:r>
      <w:r>
        <w:rPr>
          <w:rFonts w:hint="eastAsia" w:ascii="仿宋_GB2312" w:hAnsi="仿宋_GB2312" w:eastAsia="仿宋_GB2312" w:cs="仿宋_GB2312"/>
          <w:bCs/>
          <w:color w:val="auto"/>
          <w:sz w:val="28"/>
          <w:szCs w:val="28"/>
          <w:highlight w:val="none"/>
        </w:rPr>
        <w:t>：</w:t>
      </w:r>
    </w:p>
    <w:tbl>
      <w:tblPr>
        <w:tblStyle w:val="21"/>
        <w:tblW w:w="86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6"/>
        <w:gridCol w:w="2160"/>
        <w:gridCol w:w="3300"/>
        <w:gridCol w:w="1104"/>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1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33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110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126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3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0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6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3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0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6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双目动态人脸识别机</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1.名称:人体生物特征识别</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2.规格：符合设计要求</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4口POE交换机</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1.名称:4口POE交换机</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2.功能:带POE供电</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门锁安装</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1.名称:门锁</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2.规格:280KG电磁吸力锁</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门禁开关</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1.名称:门禁按钮</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2.规格:符合设计要求</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门禁电源</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1.名称:门禁电源</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2.规格:符合设计要求</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自动平移人行道闸</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1.名称:自动平移人行道闸</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2.规格:宽：1150cm;高：1150cm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配管</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1.名称:镀锌电线管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2.规格:DN20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超五类网线</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1.名称:双绞线缆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2.规格及型号:符合设计要求</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3.线缆敷设、水晶头制安、标记、卡接</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4.测试</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5.其他:符合规范要求</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双绞线缆测试</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1.测试类别:双绞线缆测试</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链路</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路面切割</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1.面层:沥青混凝土</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2.厚度:5cm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沥青贯入式</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1.名称:路面恢复</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2.用料:符合设计要求沥青</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3.厚度:5cm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系统调试</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1.名称:安全防范分系统调试</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2.通道数:符合设计要求</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系统</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拆除路面</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1.材质:混凝土路面拆除</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2.厚度:5cm</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12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0.7</w:t>
            </w:r>
          </w:p>
        </w:tc>
      </w:tr>
    </w:tbl>
    <w:p>
      <w:pPr>
        <w:pStyle w:val="25"/>
        <w:jc w:val="center"/>
        <w:rPr>
          <w:rFonts w:hint="eastAsia" w:ascii="仿宋" w:hAnsi="仿宋" w:eastAsia="仿宋"/>
          <w:color w:val="auto"/>
          <w:sz w:val="30"/>
          <w:szCs w:val="30"/>
          <w:highlight w:val="none"/>
        </w:rPr>
      </w:pPr>
    </w:p>
    <w:p>
      <w:pPr>
        <w:pStyle w:val="2"/>
        <w:rPr>
          <w:rFonts w:hint="eastAsia" w:ascii="仿宋_GB2312" w:hAnsi="宋体" w:eastAsia="仿宋_GB2312" w:cs="宋体"/>
          <w:bCs/>
          <w:color w:val="auto"/>
          <w:kern w:val="0"/>
          <w:sz w:val="28"/>
          <w:szCs w:val="28"/>
          <w:highlight w:val="none"/>
        </w:rPr>
      </w:pPr>
      <w:r>
        <w:rPr>
          <w:rFonts w:asciiTheme="majorEastAsia" w:hAnsiTheme="majorEastAsia" w:eastAsiaTheme="majorEastAsia"/>
          <w:b w:val="0"/>
          <w:color w:val="auto"/>
          <w:sz w:val="28"/>
          <w:szCs w:val="28"/>
          <w:highlight w:val="none"/>
        </w:rPr>
        <w:t>6</w:t>
      </w:r>
      <w:bookmarkEnd w:id="101"/>
      <w:bookmarkEnd w:id="102"/>
      <w:bookmarkEnd w:id="103"/>
      <w:r>
        <w:rPr>
          <w:rFonts w:hint="eastAsia" w:cs="Times New Roman" w:asciiTheme="majorEastAsia" w:hAnsiTheme="majorEastAsia" w:eastAsiaTheme="majorEastAsia"/>
          <w:b w:val="0"/>
          <w:bCs/>
          <w:color w:val="auto"/>
          <w:kern w:val="2"/>
          <w:sz w:val="28"/>
          <w:szCs w:val="28"/>
          <w:highlight w:val="none"/>
          <w:lang w:val="en-US" w:eastAsia="zh-CN" w:bidi="ar-SA"/>
        </w:rPr>
        <w:t>项目其它要求</w:t>
      </w:r>
    </w:p>
    <w:p>
      <w:pPr>
        <w:pStyle w:val="2"/>
        <w:ind w:left="0" w:leftChars="0" w:firstLine="560" w:firstLineChars="20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1.主要材料使用要求</w:t>
      </w:r>
    </w:p>
    <w:p>
      <w:pPr>
        <w:pStyle w:val="2"/>
        <w:ind w:left="0" w:leftChars="0" w:firstLine="560" w:firstLineChars="20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采购货物必须是全新、质量合格的产品，需提供原厂说明书。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宋体" w:eastAsia="仿宋_GB2312" w:cs="宋体"/>
          <w:bCs/>
          <w:color w:val="auto"/>
          <w:kern w:val="0"/>
          <w:sz w:val="28"/>
          <w:szCs w:val="28"/>
          <w:highlight w:val="none"/>
          <w:lang w:val="en-US" w:eastAsia="zh-CN" w:bidi="ar-SA"/>
        </w:rPr>
      </w:pPr>
      <w:r>
        <w:rPr>
          <w:rFonts w:hint="default" w:ascii="仿宋_GB2312" w:hAnsi="宋体" w:eastAsia="仿宋_GB2312" w:cs="宋体"/>
          <w:bCs/>
          <w:color w:val="auto"/>
          <w:kern w:val="0"/>
          <w:sz w:val="28"/>
          <w:szCs w:val="28"/>
          <w:highlight w:val="none"/>
          <w:lang w:val="en-US" w:eastAsia="zh-CN" w:bidi="ar-SA"/>
        </w:rPr>
        <w:t>2.货物在质保期（自货物安装调试验收合格之日起1年。）内如有质量问题或未能适配原有设备时，供应商必须24小时内立即响应。</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宋体" w:eastAsia="仿宋_GB2312" w:cs="宋体"/>
          <w:bCs/>
          <w:color w:val="auto"/>
          <w:kern w:val="0"/>
          <w:sz w:val="28"/>
          <w:szCs w:val="28"/>
          <w:highlight w:val="none"/>
          <w:lang w:val="en-US" w:eastAsia="zh-CN" w:bidi="ar-SA"/>
        </w:rPr>
      </w:pPr>
      <w:r>
        <w:rPr>
          <w:rFonts w:hint="eastAsia" w:ascii="仿宋_GB2312" w:hAnsi="宋体" w:eastAsia="仿宋_GB2312" w:cs="宋体"/>
          <w:bCs/>
          <w:color w:val="auto"/>
          <w:kern w:val="0"/>
          <w:sz w:val="28"/>
          <w:szCs w:val="28"/>
          <w:highlight w:val="none"/>
          <w:lang w:val="en-US" w:eastAsia="zh-CN" w:bidi="ar-SA"/>
        </w:rPr>
        <w:t>3.</w:t>
      </w:r>
      <w:r>
        <w:rPr>
          <w:rFonts w:hint="default" w:ascii="仿宋_GB2312" w:hAnsi="宋体" w:eastAsia="仿宋_GB2312" w:cs="宋体"/>
          <w:bCs/>
          <w:color w:val="auto"/>
          <w:kern w:val="0"/>
          <w:sz w:val="28"/>
          <w:szCs w:val="28"/>
          <w:highlight w:val="none"/>
          <w:lang w:val="en-US" w:eastAsia="zh-CN" w:bidi="ar-SA"/>
        </w:rPr>
        <w:t>付款方式：采用网银支付。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宋体" w:eastAsia="仿宋_GB2312" w:cs="宋体"/>
          <w:bCs/>
          <w:color w:val="auto"/>
          <w:kern w:val="0"/>
          <w:sz w:val="28"/>
          <w:szCs w:val="28"/>
          <w:highlight w:val="none"/>
          <w:lang w:val="en-US" w:eastAsia="zh-CN" w:bidi="ar-SA"/>
        </w:rPr>
      </w:pPr>
      <w:r>
        <w:rPr>
          <w:rFonts w:hint="eastAsia" w:ascii="仿宋_GB2312" w:hAnsi="宋体" w:eastAsia="仿宋_GB2312" w:cs="宋体"/>
          <w:bCs/>
          <w:color w:val="auto"/>
          <w:kern w:val="0"/>
          <w:sz w:val="28"/>
          <w:szCs w:val="28"/>
          <w:highlight w:val="none"/>
          <w:lang w:val="en-US" w:eastAsia="zh-CN" w:bidi="ar-SA"/>
        </w:rPr>
        <w:t>4.</w:t>
      </w:r>
      <w:r>
        <w:rPr>
          <w:rFonts w:hint="default" w:ascii="仿宋_GB2312" w:hAnsi="宋体" w:eastAsia="仿宋_GB2312" w:cs="宋体"/>
          <w:bCs/>
          <w:color w:val="auto"/>
          <w:kern w:val="0"/>
          <w:sz w:val="28"/>
          <w:szCs w:val="28"/>
          <w:highlight w:val="none"/>
          <w:lang w:val="en-US" w:eastAsia="zh-CN" w:bidi="ar-SA"/>
        </w:rPr>
        <w:t>自供应商履行完合同义务之日起15个工作日内组织验收，审定供应商供货的货物合格情况，进行结算审核。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宋体" w:eastAsia="仿宋_GB2312" w:cs="宋体"/>
          <w:bCs/>
          <w:color w:val="auto"/>
          <w:kern w:val="0"/>
          <w:sz w:val="28"/>
          <w:szCs w:val="28"/>
          <w:highlight w:val="none"/>
          <w:lang w:val="en-US" w:eastAsia="zh-CN" w:bidi="ar-SA"/>
        </w:rPr>
      </w:pPr>
      <w:r>
        <w:rPr>
          <w:rFonts w:hint="eastAsia" w:ascii="仿宋_GB2312" w:hAnsi="宋体" w:eastAsia="仿宋_GB2312" w:cs="宋体"/>
          <w:bCs/>
          <w:color w:val="auto"/>
          <w:kern w:val="0"/>
          <w:sz w:val="28"/>
          <w:szCs w:val="28"/>
          <w:highlight w:val="none"/>
          <w:lang w:val="en-US" w:eastAsia="zh-CN" w:bidi="ar-SA"/>
        </w:rPr>
        <w:t>5.</w:t>
      </w:r>
      <w:r>
        <w:rPr>
          <w:rFonts w:hint="default" w:ascii="仿宋_GB2312" w:hAnsi="宋体" w:eastAsia="仿宋_GB2312" w:cs="宋体"/>
          <w:bCs/>
          <w:color w:val="auto"/>
          <w:kern w:val="0"/>
          <w:sz w:val="28"/>
          <w:szCs w:val="28"/>
          <w:highlight w:val="none"/>
          <w:lang w:val="en-US" w:eastAsia="zh-CN" w:bidi="ar-SA"/>
        </w:rPr>
        <w:t>承包方式：单价包干。</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104" w:name="_Toc25925"/>
      <w:bookmarkStart w:id="105" w:name="_Toc4680"/>
      <w:bookmarkStart w:id="106" w:name="_Toc23353"/>
      <w:bookmarkStart w:id="107" w:name="_Toc1496"/>
      <w:bookmarkStart w:id="108" w:name="_Toc1284"/>
      <w:bookmarkStart w:id="109" w:name="_Toc12135"/>
      <w:bookmarkStart w:id="110" w:name="_Toc537"/>
      <w:bookmarkStart w:id="111" w:name="_Toc23330"/>
      <w:bookmarkStart w:id="112" w:name="_Toc18538"/>
      <w:bookmarkStart w:id="113" w:name="_Toc15570"/>
      <w:bookmarkStart w:id="114" w:name="_Toc29835"/>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7"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z+h4p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6"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eeAMX8gEAAOI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FWcOLF34&#10;r8/f7z99ufv68+7HNzbPCvUBFxS4dtt42mHYxkz30ESb/0SEHYqqx7Oq6pCYoMOXs/l8RnqLB1f1&#10;mBciptfKW5aNmmOKoNsurb1zdHU+ToqosH+DiSpT4kNCLmoc6zP8dEbgQKPY0AiQaQPRQdeWXPRG&#10;yxttTM7A2O7WJrI95HEoX+ZHuH+F5SIbwG6IK65hUDoF8pWTLB0DCeXoffDcglWSM6PoOWWLAGGR&#10;QJtLIqm0cdRBlngQNVs7L49F63JOV196PI1pnq0/9yX78W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XngD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104"/>
      <w:bookmarkEnd w:id="105"/>
      <w:bookmarkEnd w:id="106"/>
      <w:bookmarkEnd w:id="107"/>
      <w:bookmarkEnd w:id="108"/>
      <w:bookmarkEnd w:id="109"/>
      <w:bookmarkEnd w:id="110"/>
      <w:bookmarkEnd w:id="111"/>
      <w:bookmarkEnd w:id="112"/>
      <w:bookmarkEnd w:id="113"/>
      <w:bookmarkEnd w:id="114"/>
    </w:p>
    <w:p>
      <w:pPr>
        <w:pStyle w:val="34"/>
        <w:rPr>
          <w:color w:val="auto"/>
          <w:highlight w:val="none"/>
        </w:rPr>
      </w:pPr>
    </w:p>
    <w:p>
      <w:pPr>
        <w:pStyle w:val="4"/>
        <w:rPr>
          <w:color w:val="auto"/>
          <w:highlight w:val="none"/>
        </w:rPr>
      </w:pPr>
      <w:bookmarkStart w:id="115" w:name="_Toc323"/>
      <w:bookmarkStart w:id="116" w:name="_Toc22797"/>
      <w:bookmarkStart w:id="117" w:name="_Toc19686"/>
      <w:bookmarkStart w:id="118" w:name="_Toc87616386"/>
      <w:bookmarkStart w:id="119" w:name="_Toc1375"/>
      <w:bookmarkStart w:id="120" w:name="_Toc12721"/>
      <w:bookmarkStart w:id="121" w:name="_Toc8183"/>
      <w:bookmarkStart w:id="122" w:name="_Toc12980"/>
      <w:bookmarkStart w:id="123" w:name="_Toc88209949"/>
      <w:bookmarkStart w:id="124" w:name="_Toc13309"/>
      <w:bookmarkStart w:id="125" w:name="_Toc19088"/>
      <w:bookmarkStart w:id="126" w:name="_Toc12968"/>
      <w:bookmarkStart w:id="127" w:name="_Toc22501"/>
      <w:r>
        <w:rPr>
          <w:rFonts w:hint="eastAsia"/>
          <w:color w:val="auto"/>
          <w:highlight w:val="none"/>
        </w:rPr>
        <w:t>合同</w:t>
      </w:r>
      <w:bookmarkEnd w:id="115"/>
      <w:bookmarkEnd w:id="116"/>
      <w:bookmarkEnd w:id="117"/>
      <w:bookmarkEnd w:id="118"/>
      <w:bookmarkEnd w:id="119"/>
      <w:bookmarkEnd w:id="120"/>
      <w:bookmarkEnd w:id="121"/>
      <w:bookmarkEnd w:id="122"/>
      <w:bookmarkEnd w:id="123"/>
      <w:bookmarkEnd w:id="124"/>
      <w:bookmarkEnd w:id="125"/>
      <w:bookmarkEnd w:id="126"/>
      <w:bookmarkEnd w:id="12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both"/>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pStyle w:val="2"/>
        <w:ind w:left="0" w:leftChars="0" w:firstLine="0" w:firstLineChars="0"/>
        <w:rPr>
          <w:rFonts w:eastAsia="仿宋_GB2312" w:cs="仿宋_GB2312" w:asciiTheme="majorHAnsi" w:hAnsiTheme="majorHAnsi"/>
          <w:color w:val="auto"/>
          <w:sz w:val="52"/>
          <w:szCs w:val="52"/>
          <w:highlight w:val="none"/>
        </w:rPr>
      </w:pPr>
    </w:p>
    <w:p>
      <w:pPr>
        <w:spacing w:line="400" w:lineRule="atLeast"/>
        <w:jc w:val="center"/>
        <w:rPr>
          <w:rFonts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广州市净水有限公司</w:t>
      </w:r>
    </w:p>
    <w:p>
      <w:pPr>
        <w:spacing w:line="400" w:lineRule="atLeast"/>
        <w:jc w:val="center"/>
        <w:rPr>
          <w:rFonts w:cs="Times New Roman" w:asciiTheme="majorHAnsi" w:hAnsiTheme="majorHAnsi" w:eastAsiaTheme="majorEastAsia"/>
          <w:b/>
          <w:bCs/>
          <w:color w:val="auto"/>
          <w:sz w:val="52"/>
          <w:szCs w:val="52"/>
          <w:highlight w:val="none"/>
        </w:rPr>
      </w:pPr>
      <w:r>
        <w:rPr>
          <w:rFonts w:hint="eastAsia" w:ascii="宋体" w:hAnsi="宋体" w:eastAsia="宋体" w:cs="宋体"/>
          <w:b/>
          <w:bCs/>
          <w:color w:val="auto"/>
          <w:sz w:val="48"/>
          <w:szCs w:val="48"/>
          <w:highlight w:val="none"/>
        </w:rPr>
        <w:t>设备维修维护/技改项目合同</w:t>
      </w:r>
    </w:p>
    <w:p>
      <w:pPr>
        <w:spacing w:line="400" w:lineRule="atLeast"/>
        <w:jc w:val="center"/>
        <w:rPr>
          <w:rFonts w:ascii="宋体" w:hAnsi="宋体" w:eastAsia="宋体" w:cs="Times New Roman"/>
          <w:b/>
          <w:color w:val="auto"/>
          <w:sz w:val="28"/>
          <w:szCs w:val="24"/>
          <w:highlight w:val="none"/>
        </w:rPr>
      </w:pPr>
    </w:p>
    <w:p>
      <w:pPr>
        <w:spacing w:line="400" w:lineRule="atLeast"/>
        <w:jc w:val="center"/>
        <w:rPr>
          <w:rFonts w:ascii="宋体" w:hAnsi="宋体" w:eastAsia="宋体" w:cs="Times New Roman"/>
          <w:b/>
          <w:color w:val="auto"/>
          <w:sz w:val="28"/>
          <w:szCs w:val="24"/>
          <w:highlight w:val="none"/>
        </w:rPr>
      </w:pPr>
    </w:p>
    <w:p>
      <w:pPr>
        <w:spacing w:line="0" w:lineRule="atLeast"/>
        <w:rPr>
          <w:rFonts w:ascii="宋体" w:hAnsi="宋体" w:eastAsia="宋体" w:cs="Times New Roman"/>
          <w:b/>
          <w:color w:val="auto"/>
          <w:sz w:val="30"/>
          <w:szCs w:val="24"/>
          <w:highlight w:val="none"/>
        </w:rPr>
      </w:pPr>
    </w:p>
    <w:p>
      <w:pPr>
        <w:spacing w:line="0" w:lineRule="atLeast"/>
        <w:rPr>
          <w:rFonts w:ascii="仿宋_GB2312" w:hAnsi="宋体" w:eastAsia="仿宋_GB2312" w:cs="Times New Roman"/>
          <w:b/>
          <w:color w:val="auto"/>
          <w:sz w:val="30"/>
          <w:szCs w:val="30"/>
          <w:highlight w:val="none"/>
        </w:rPr>
      </w:pPr>
    </w:p>
    <w:p>
      <w:pPr>
        <w:spacing w:line="0" w:lineRule="atLeast"/>
        <w:ind w:left="1506" w:hanging="1506" w:hangingChars="500"/>
        <w:rPr>
          <w:rFonts w:hint="eastAsia" w:ascii="宋体" w:hAnsi="宋体" w:eastAsia="宋体" w:cs="宋体"/>
          <w:b/>
          <w:color w:val="auto"/>
          <w:sz w:val="30"/>
          <w:szCs w:val="30"/>
          <w:highlight w:val="none"/>
          <w:u w:val="single"/>
          <w:lang w:eastAsia="zh-CN"/>
        </w:rPr>
      </w:pPr>
      <w:r>
        <w:rPr>
          <w:rFonts w:hint="eastAsia" w:ascii="宋体" w:hAnsi="宋体" w:eastAsia="宋体" w:cs="宋体"/>
          <w:b/>
          <w:color w:val="auto"/>
          <w:sz w:val="30"/>
          <w:szCs w:val="30"/>
          <w:highlight w:val="none"/>
        </w:rPr>
        <w:t>项目名称:</w:t>
      </w:r>
    </w:p>
    <w:p>
      <w:pPr>
        <w:autoSpaceDE w:val="0"/>
        <w:autoSpaceDN w:val="0"/>
        <w:adjustRightInd w:val="0"/>
        <w:jc w:val="left"/>
        <w:rPr>
          <w:rFonts w:ascii="宋体" w:hAnsi="宋体" w:eastAsia="宋体" w:cs="宋体"/>
          <w:color w:val="auto"/>
          <w:kern w:val="0"/>
          <w:sz w:val="24"/>
          <w:szCs w:val="24"/>
          <w:highlight w:val="none"/>
        </w:rPr>
      </w:pPr>
      <w:r>
        <w:rPr>
          <w:rFonts w:hint="eastAsia" w:ascii="宋体" w:hAnsi="宋体" w:eastAsia="宋体" w:cs="宋体"/>
          <w:b/>
          <w:color w:val="auto"/>
          <w:sz w:val="30"/>
          <w:szCs w:val="30"/>
          <w:highlight w:val="none"/>
        </w:rPr>
        <w:t>项目</w:t>
      </w:r>
      <w:r>
        <w:rPr>
          <w:rFonts w:hint="eastAsia" w:ascii="宋体" w:hAnsi="宋体" w:eastAsia="宋体" w:cs="宋体"/>
          <w:b/>
          <w:color w:val="auto"/>
          <w:kern w:val="0"/>
          <w:sz w:val="30"/>
          <w:szCs w:val="30"/>
          <w:highlight w:val="none"/>
        </w:rPr>
        <w:t>编号</w:t>
      </w:r>
      <w:r>
        <w:rPr>
          <w:rFonts w:hint="eastAsia" w:ascii="宋体" w:hAnsi="宋体" w:eastAsia="宋体" w:cs="宋体"/>
          <w:b/>
          <w:color w:val="auto"/>
          <w:sz w:val="30"/>
          <w:szCs w:val="30"/>
          <w:highlight w:val="none"/>
        </w:rPr>
        <w:t>:</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p>
    <w:p>
      <w:pPr>
        <w:spacing w:line="480" w:lineRule="auto"/>
        <w:rPr>
          <w:rFonts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合同编号：</w:t>
      </w:r>
      <w:r>
        <w:rPr>
          <w:rFonts w:hint="eastAsia" w:ascii="宋体" w:hAnsi="宋体" w:eastAsia="宋体" w:cs="宋体"/>
          <w:b/>
          <w:bCs/>
          <w:color w:val="auto"/>
          <w:sz w:val="30"/>
          <w:szCs w:val="30"/>
          <w:highlight w:val="none"/>
        </w:rPr>
        <w:t>穗净水合[     ]    号</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甲方： 广州市净水有限公司</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乙方</w:t>
      </w:r>
      <w:r>
        <w:rPr>
          <w:rFonts w:hint="eastAsia" w:ascii="宋体" w:hAnsi="宋体" w:eastAsia="宋体" w:cs="宋体"/>
          <w:color w:val="auto"/>
          <w:sz w:val="30"/>
          <w:szCs w:val="30"/>
          <w:highlight w:val="none"/>
        </w:rPr>
        <w:t>：</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签订日期：       年   月   日       </w:t>
      </w:r>
    </w:p>
    <w:p>
      <w:pPr>
        <w:spacing w:line="400" w:lineRule="atLeast"/>
        <w:rPr>
          <w:rFonts w:ascii="宋体" w:hAnsi="宋体" w:eastAsia="宋体" w:cs="宋体"/>
          <w:b/>
          <w:color w:val="auto"/>
          <w:sz w:val="30"/>
          <w:szCs w:val="24"/>
          <w:highlight w:val="none"/>
        </w:rPr>
      </w:pPr>
      <w:r>
        <w:rPr>
          <w:rFonts w:hint="eastAsia" w:ascii="宋体" w:hAnsi="宋体" w:eastAsia="宋体" w:cs="宋体"/>
          <w:b/>
          <w:color w:val="auto"/>
          <w:sz w:val="30"/>
          <w:szCs w:val="24"/>
          <w:highlight w:val="none"/>
        </w:rPr>
        <w:t>签约地点：广州市</w:t>
      </w:r>
    </w:p>
    <w:p>
      <w:pPr>
        <w:spacing w:before="93" w:beforeLines="30" w:line="384" w:lineRule="auto"/>
        <w:ind w:left="210" w:leftChars="100" w:firstLine="600" w:firstLineChars="250"/>
        <w:rPr>
          <w:rFonts w:hint="eastAsia" w:ascii="宋体" w:hAnsi="宋体" w:eastAsia="宋体" w:cs="宋体"/>
          <w:color w:val="auto"/>
          <w:sz w:val="24"/>
          <w:szCs w:val="24"/>
          <w:highlight w:val="none"/>
        </w:rPr>
      </w:pPr>
    </w:p>
    <w:p>
      <w:pPr>
        <w:spacing w:before="93" w:beforeLines="30" w:line="384" w:lineRule="auto"/>
        <w:ind w:left="210" w:leftChars="100"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根据《中华人民共和国民法典》及其他有关法律、行政法规，</w:t>
      </w:r>
      <w:r>
        <w:rPr>
          <w:rFonts w:hint="eastAsia" w:ascii="宋体" w:hAnsi="宋体" w:eastAsia="宋体" w:cs="宋体"/>
          <w:color w:val="auto"/>
          <w:sz w:val="24"/>
          <w:szCs w:val="24"/>
          <w:highlight w:val="none"/>
          <w:u w:val="single"/>
        </w:rPr>
        <w:t>广州市净水有限公司</w:t>
      </w:r>
      <w:r>
        <w:rPr>
          <w:rFonts w:hint="eastAsia" w:ascii="宋体" w:hAnsi="宋体" w:eastAsia="宋体" w:cs="宋体"/>
          <w:color w:val="auto"/>
          <w:sz w:val="24"/>
          <w:szCs w:val="24"/>
          <w:highlight w:val="none"/>
        </w:rPr>
        <w:t xml:space="preserve"> （以下简称“甲方”）与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（以下简称“乙方”）就 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组成合同的文件及优先顺序</w:t>
      </w:r>
    </w:p>
    <w:p>
      <w:pPr>
        <w:spacing w:line="384" w:lineRule="auto"/>
        <w:ind w:firstLine="482"/>
        <w:rPr>
          <w:rFonts w:ascii="宋体" w:hAnsi="宋体" w:eastAsia="宋体" w:cs="宋体"/>
          <w:bCs/>
          <w:color w:val="auto"/>
          <w:sz w:val="24"/>
          <w:szCs w:val="24"/>
          <w:highlight w:val="none"/>
        </w:rPr>
      </w:pPr>
      <w:r>
        <w:rPr>
          <w:rFonts w:hint="eastAsia" w:ascii="Times New Roman" w:hAnsi="宋体" w:eastAsia="宋体" w:cs="宋体"/>
          <w:bCs/>
          <w:color w:val="auto"/>
          <w:sz w:val="24"/>
          <w:szCs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⑴ </w:t>
      </w:r>
      <w:r>
        <w:rPr>
          <w:rFonts w:hint="eastAsia" w:ascii="宋体" w:hAnsi="宋体" w:eastAsia="宋体" w:cs="宋体"/>
          <w:color w:val="auto"/>
          <w:sz w:val="24"/>
          <w:szCs w:val="24"/>
          <w:highlight w:val="none"/>
        </w:rPr>
        <w:t>在本合同实施过程双方签署的补充与修正文件</w:t>
      </w:r>
      <w:r>
        <w:rPr>
          <w:rFonts w:hint="eastAsia" w:ascii="宋体" w:hAnsi="宋体" w:eastAsia="宋体" w:cs="宋体"/>
          <w:bCs/>
          <w:color w:val="auto"/>
          <w:sz w:val="24"/>
          <w:szCs w:val="24"/>
          <w:highlight w:val="none"/>
        </w:rPr>
        <w:t>；</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 本合同书；</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⑶ 中标通知书/发包通知书/成交通知书/委托函；</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⑷ 招标文件/询价文件；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⑸ 投标文件/响应文件；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⑹ 标准、规范及有关技术性文件；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⑺ 图纸；</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⑻ 工程量清单/</w:t>
      </w:r>
      <w:r>
        <w:rPr>
          <w:rFonts w:hint="eastAsia" w:ascii="宋体" w:hAnsi="宋体" w:eastAsia="宋体" w:cs="宋体"/>
          <w:color w:val="auto"/>
          <w:sz w:val="24"/>
          <w:szCs w:val="24"/>
          <w:highlight w:val="none"/>
        </w:rPr>
        <w:t>工程报价单或预算书；</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⑼ 本合同其他附件；</w:t>
      </w:r>
    </w:p>
    <w:p>
      <w:pPr>
        <w:spacing w:line="384"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项目概况、项目承包范围</w:t>
      </w:r>
    </w:p>
    <w:p>
      <w:pPr>
        <w:spacing w:line="384"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2.1项目名称：</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lang w:eastAsia="zh-CN"/>
        </w:rPr>
        <w:t>石井净</w:t>
      </w:r>
      <w:r>
        <w:rPr>
          <w:rFonts w:hint="eastAsia" w:ascii="仿宋_GB2312" w:eastAsia="仿宋_GB2312"/>
          <w:color w:val="auto"/>
          <w:sz w:val="28"/>
          <w:szCs w:val="28"/>
          <w:highlight w:val="none"/>
          <w:u w:val="single"/>
          <w:lang w:val="en-US" w:eastAsia="zh-CN"/>
        </w:rPr>
        <w:t>水</w:t>
      </w:r>
      <w:r>
        <w:rPr>
          <w:rFonts w:hint="eastAsia" w:ascii="仿宋_GB2312" w:eastAsia="仿宋_GB2312"/>
          <w:color w:val="auto"/>
          <w:sz w:val="28"/>
          <w:szCs w:val="28"/>
          <w:highlight w:val="none"/>
          <w:u w:val="single"/>
          <w:lang w:eastAsia="zh-CN"/>
        </w:rPr>
        <w:t>分公司生产区域道闸采购项目</w:t>
      </w:r>
      <w:r>
        <w:rPr>
          <w:rFonts w:hint="eastAsia" w:ascii="宋体" w:hAnsi="宋体" w:eastAsia="宋体" w:cs="宋体"/>
          <w:color w:val="auto"/>
          <w:sz w:val="24"/>
          <w:szCs w:val="24"/>
          <w:highlight w:val="none"/>
          <w:u w:val="single"/>
          <w:lang w:eastAsia="zh-CN"/>
        </w:rPr>
        <w:t>。</w:t>
      </w:r>
    </w:p>
    <w:p>
      <w:pPr>
        <w:spacing w:line="384"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2.2项目地点：</w:t>
      </w:r>
      <w:r>
        <w:rPr>
          <w:rFonts w:hint="eastAsia" w:ascii="宋体" w:hAnsi="宋体" w:eastAsia="宋体" w:cs="宋体"/>
          <w:color w:val="auto"/>
          <w:sz w:val="24"/>
          <w:szCs w:val="24"/>
          <w:highlight w:val="none"/>
          <w:u w:val="single"/>
        </w:rPr>
        <w:t xml:space="preserve"> 广州市区。</w:t>
      </w:r>
    </w:p>
    <w:p>
      <w:pPr>
        <w:spacing w:line="384" w:lineRule="auto"/>
        <w:ind w:firstLine="480" w:firstLineChars="200"/>
        <w:rPr>
          <w:rFonts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2.3项目内容：</w:t>
      </w:r>
      <w:r>
        <w:rPr>
          <w:rFonts w:hint="eastAsia" w:ascii="宋体" w:hAnsi="宋体" w:eastAsia="宋体" w:cs="宋体"/>
          <w:color w:val="auto"/>
          <w:sz w:val="24"/>
          <w:szCs w:val="24"/>
          <w:highlight w:val="none"/>
          <w:u w:val="single"/>
          <w:lang w:val="en-US" w:eastAsia="zh-CN"/>
        </w:rPr>
        <w:t xml:space="preserve">本项目共计安装46套人脸识别一体主机，门禁道闸13套，需要与已建设的智慧园区系统兼容，接入系统中统一管理。详见附件清单  </w:t>
      </w:r>
      <w:r>
        <w:rPr>
          <w:rFonts w:hint="eastAsia" w:ascii="仿宋_GB2312" w:eastAsia="仿宋_GB2312"/>
          <w:color w:val="auto"/>
          <w:sz w:val="28"/>
          <w:szCs w:val="28"/>
          <w:highlight w:val="none"/>
          <w:u w:val="single"/>
        </w:rPr>
        <w:t>。</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pStyle w:val="2"/>
        <w:rPr>
          <w:color w:val="auto"/>
          <w:highlight w:val="none"/>
        </w:rPr>
      </w:pPr>
    </w:p>
    <w:tbl>
      <w:tblPr>
        <w:tblStyle w:val="21"/>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3544" w:type="dxa"/>
            <w:tcBorders>
              <w:left w:val="single" w:color="auto" w:sz="4" w:space="0"/>
            </w:tcBorders>
            <w:vAlign w:val="center"/>
          </w:tcPr>
          <w:p>
            <w:pPr>
              <w:widowControl/>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参数要求</w:t>
            </w:r>
          </w:p>
        </w:tc>
        <w:tc>
          <w:tcPr>
            <w:tcW w:w="1305" w:type="dxa"/>
            <w:tcBorders>
              <w:righ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63" w:type="dxa"/>
            <w:tcBorders>
              <w:lef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544"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1305"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963"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544"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1305"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963"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r>
    </w:tbl>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项目承包方式</w:t>
      </w:r>
    </w:p>
    <w:p>
      <w:pPr>
        <w:spacing w:line="384" w:lineRule="auto"/>
        <w:ind w:firstLine="420" w:firstLineChars="200"/>
        <w:rPr>
          <w:rFonts w:ascii="宋体" w:hAnsi="宋体" w:eastAsia="宋体" w:cs="宋体"/>
          <w:color w:val="auto"/>
          <w:sz w:val="24"/>
          <w:szCs w:val="24"/>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 w:val="24"/>
          <w:szCs w:val="24"/>
          <w:highlight w:val="none"/>
        </w:rPr>
        <w:t>包工、包料、包工期、包质量、包安全、包文明施工。综合单价包干、项目措施费包干。（单价包干要求附工程量报价</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工程预算书）</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bCs/>
          <w:color w:val="auto"/>
          <w:sz w:val="24"/>
          <w:highlight w:val="none"/>
        </w:rPr>
        <w:sym w:font="Wingdings" w:char="00A8"/>
      </w:r>
      <w:r>
        <w:rPr>
          <w:rFonts w:hint="eastAsia" w:ascii="宋体" w:hAnsi="宋体" w:eastAsia="宋体" w:cs="宋体"/>
          <w:color w:val="auto"/>
          <w:sz w:val="24"/>
          <w:szCs w:val="24"/>
          <w:highlight w:val="none"/>
        </w:rPr>
        <w:t>包工、包料、包质量、包工期、包安全、包文明施工、包设计、包调试、包验收的施工图纸，以总价包干形式。</w:t>
      </w:r>
    </w:p>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第四条合同价款</w:t>
      </w:r>
    </w:p>
    <w:p>
      <w:pPr>
        <w:spacing w:line="384" w:lineRule="auto"/>
        <w:ind w:firstLine="480" w:firstLineChars="200"/>
        <w:rPr>
          <w:rFonts w:ascii="宋体" w:hAnsi="宋体" w:eastAsia="宋体" w:cs="宋体"/>
          <w:bCs/>
          <w:color w:val="auto"/>
          <w:sz w:val="24"/>
          <w:szCs w:val="24"/>
          <w:highlight w:val="none"/>
          <w:bdr w:val="single" w:color="auto" w:sz="4" w:space="0"/>
        </w:rPr>
      </w:pPr>
      <w:r>
        <w:rPr>
          <w:rFonts w:ascii="宋体" w:hAnsi="宋体" w:eastAsia="宋体" w:cs="宋体"/>
          <w:color w:val="auto"/>
          <w:sz w:val="24"/>
          <w:szCs w:val="24"/>
          <w:highlight w:val="none"/>
        </w:rPr>
        <w:t>4.1</w:t>
      </w:r>
      <w:r>
        <w:rPr>
          <w:rFonts w:hint="eastAsia" w:ascii="宋体" w:hAnsi="宋体" w:eastAsia="宋体" w:cs="宋体"/>
          <w:color w:val="auto"/>
          <w:sz w:val="24"/>
          <w:szCs w:val="24"/>
          <w:highlight w:val="none"/>
        </w:rPr>
        <w:t>合同价款按以下（</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合同暂定总价为：</w:t>
      </w:r>
      <w:r>
        <w:rPr>
          <w:rFonts w:hint="eastAsia" w:ascii="宋体" w:hAnsi="宋体" w:eastAsia="宋体" w:cs="宋体"/>
          <w:b/>
          <w:color w:val="auto"/>
          <w:sz w:val="24"/>
          <w:szCs w:val="24"/>
          <w:highlight w:val="none"/>
          <w:u w:val="single"/>
        </w:rPr>
        <w:t>人民币…元</w:t>
      </w:r>
      <w:r>
        <w:rPr>
          <w:rFonts w:hint="eastAsia" w:ascii="宋体" w:hAnsi="宋体" w:eastAsia="宋体" w:cs="宋体"/>
          <w:color w:val="auto"/>
          <w:sz w:val="24"/>
          <w:szCs w:val="24"/>
          <w:highlight w:val="none"/>
        </w:rPr>
        <w:t>（大写</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综合单价为：</w:t>
      </w:r>
      <w:r>
        <w:rPr>
          <w:rFonts w:hint="eastAsia" w:ascii="宋体" w:hAnsi="宋体" w:eastAsia="宋体" w:cs="宋体"/>
          <w:color w:val="auto"/>
          <w:sz w:val="24"/>
          <w:szCs w:val="24"/>
          <w:highlight w:val="none"/>
          <w:u w:val="single"/>
        </w:rPr>
        <w:t>人民币…元</w:t>
      </w:r>
      <w:r>
        <w:rPr>
          <w:rFonts w:ascii="宋体" w:hAnsi="宋体" w:eastAsia="宋体" w:cs="宋体"/>
          <w:color w:val="auto"/>
          <w:sz w:val="24"/>
          <w:szCs w:val="24"/>
          <w:highlight w:val="none"/>
          <w:u w:val="single"/>
        </w:rPr>
        <w:t>/m</w:t>
      </w:r>
      <w:r>
        <w:rPr>
          <w:rFonts w:ascii="宋体" w:hAnsi="宋体" w:eastAsia="宋体" w:cs="宋体"/>
          <w:color w:val="auto"/>
          <w:sz w:val="24"/>
          <w:szCs w:val="24"/>
          <w:highlight w:val="none"/>
          <w:u w:val="single"/>
          <w:vertAlign w:val="superscript"/>
        </w:rPr>
        <w:t>3</w:t>
      </w:r>
      <w:r>
        <w:rPr>
          <w:rFonts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大写：…</w:t>
      </w:r>
      <w:r>
        <w:rPr>
          <w:rFonts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eastAsia="宋体" w:cs="宋体"/>
          <w:color w:val="auto"/>
          <w:sz w:val="24"/>
          <w:szCs w:val="24"/>
          <w:highlight w:val="none"/>
        </w:rPr>
      </w:pP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合同以总价包干形式，合同暂定总价为：</w:t>
      </w:r>
      <w:r>
        <w:rPr>
          <w:rFonts w:hint="eastAsia" w:ascii="宋体" w:hAnsi="宋体" w:eastAsia="宋体" w:cs="宋体"/>
          <w:b/>
          <w:color w:val="auto"/>
          <w:sz w:val="24"/>
          <w:szCs w:val="24"/>
          <w:highlight w:val="none"/>
          <w:u w:val="single"/>
        </w:rPr>
        <w:t>人民币</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万元</w:t>
      </w:r>
      <w:r>
        <w:rPr>
          <w:rFonts w:hint="eastAsia" w:ascii="宋体" w:hAnsi="宋体" w:eastAsia="宋体" w:cs="宋体"/>
          <w:color w:val="auto"/>
          <w:sz w:val="24"/>
          <w:szCs w:val="24"/>
          <w:highlight w:val="none"/>
        </w:rPr>
        <w:t>（大写</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val="zh-CN"/>
        </w:rPr>
        <w:t>4.2</w:t>
      </w:r>
      <w:r>
        <w:rPr>
          <w:rFonts w:hint="eastAsia" w:ascii="宋体" w:hAnsi="宋体" w:eastAsia="宋体" w:cs="宋体"/>
          <w:color w:val="auto"/>
          <w:kern w:val="0"/>
          <w:sz w:val="24"/>
          <w:szCs w:val="24"/>
          <w:highlight w:val="none"/>
        </w:rPr>
        <w:t>本合同约定的价格为含税价价格</w:t>
      </w:r>
      <w:r>
        <w:rPr>
          <w:rFonts w:hint="eastAsia" w:ascii="宋体" w:hAnsi="宋体" w:eastAsia="宋体" w:cs="宋体"/>
          <w:color w:val="auto"/>
          <w:sz w:val="24"/>
          <w:szCs w:val="24"/>
          <w:highlight w:val="none"/>
        </w:rPr>
        <w:t>（税率</w:t>
      </w:r>
      <w:r>
        <w:rPr>
          <w:rFonts w:hint="eastAsia" w:ascii="宋体" w:hAnsi="宋体" w:eastAsia="宋体" w:cs="宋体"/>
          <w:color w:val="auto"/>
          <w:sz w:val="24"/>
          <w:szCs w:val="24"/>
          <w:highlight w:val="none"/>
          <w:u w:val="single"/>
        </w:rPr>
        <w:t>9</w:t>
      </w:r>
      <w:r>
        <w:rPr>
          <w:rFonts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w:t>
      </w:r>
      <w:r>
        <w:rPr>
          <w:rFonts w:hint="eastAsia" w:ascii="宋体" w:hAnsi="宋体" w:eastAsia="宋体" w:cs="宋体"/>
          <w:color w:val="auto"/>
          <w:kern w:val="0"/>
          <w:sz w:val="24"/>
          <w:szCs w:val="24"/>
          <w:highlight w:val="none"/>
        </w:rPr>
        <w:t>因非乙方原因引起工程量报价清单中工程量发生增减，且单个子目工程量变化幅度在25%以内（含）时，按工程量报价清单中列明的子目单价结算。否则，按新增单价执行。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4.4合同中没有适用于变更工程项目的单价的，按新增单价执行。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新增单价计价原则：</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2.项目计价材料、设备价格的控制：按以下顺序作为降序优先级依次采用工程开工报告中开工日期当月的下列价格：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autoSpaceDE w:val="0"/>
        <w:autoSpaceDN w:val="0"/>
        <w:adjustRightInd w:val="0"/>
        <w:jc w:val="left"/>
        <w:rPr>
          <w:rFonts w:ascii="宋体" w:hAnsi="Times New Roman"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t>（4）通过市场询价双方协商确定。</w:t>
      </w: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3.按1、2组价后下浮5%计取。</w:t>
      </w:r>
    </w:p>
    <w:p>
      <w:pPr>
        <w:tabs>
          <w:tab w:val="left" w:pos="851"/>
        </w:tabs>
        <w:adjustRightInd w:val="0"/>
        <w:snapToGrid w:val="0"/>
        <w:spacing w:line="384" w:lineRule="auto"/>
        <w:ind w:firstLine="480" w:firstLineChars="200"/>
        <w:rPr>
          <w:rFonts w:ascii="宋体" w:hAnsi="宋体" w:eastAsia="宋体" w:cs="宋体"/>
          <w:color w:val="auto"/>
          <w:sz w:val="24"/>
          <w:szCs w:val="24"/>
          <w:highlight w:val="none"/>
        </w:rPr>
      </w:pPr>
    </w:p>
    <w:p>
      <w:pPr>
        <w:widowControl/>
        <w:tabs>
          <w:tab w:val="left" w:pos="851"/>
        </w:tabs>
        <w:adjustRightInd w:val="0"/>
        <w:snapToGrid w:val="0"/>
        <w:spacing w:line="384" w:lineRule="auto"/>
        <w:ind w:firstLine="482" w:firstLineChars="200"/>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第五条工期及要求</w:t>
      </w:r>
    </w:p>
    <w:p>
      <w:pPr>
        <w:widowControl/>
        <w:spacing w:line="384"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5.1</w:t>
      </w:r>
      <w:r>
        <w:rPr>
          <w:rFonts w:hint="eastAsia" w:ascii="宋体" w:hAnsi="宋体" w:eastAsia="宋体" w:cs="宋体"/>
          <w:color w:val="auto"/>
          <w:sz w:val="24"/>
          <w:szCs w:val="24"/>
          <w:highlight w:val="none"/>
        </w:rPr>
        <w:t>开工日期暂定为：</w:t>
      </w:r>
      <w:r>
        <w:rPr>
          <w:rFonts w:hint="eastAsia" w:ascii="宋体" w:hAnsi="宋体" w:eastAsia="宋体" w:cs="宋体"/>
          <w:color w:val="auto"/>
          <w:sz w:val="24"/>
          <w:szCs w:val="24"/>
          <w:highlight w:val="none"/>
          <w:u w:val="single"/>
        </w:rPr>
        <w:t>…年…月…日</w:t>
      </w:r>
      <w:r>
        <w:rPr>
          <w:rFonts w:hint="eastAsia" w:ascii="宋体" w:hAnsi="宋体" w:eastAsia="宋体" w:cs="宋体"/>
          <w:color w:val="auto"/>
          <w:sz w:val="24"/>
          <w:szCs w:val="24"/>
          <w:highlight w:val="none"/>
        </w:rPr>
        <w:t>，具体日期以甲方发出的开工报告</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通知为准。乙方不能按时开工，应当于开工报告</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通知载明的开工日期</w:t>
      </w:r>
      <w:r>
        <w:rPr>
          <w:rFonts w:ascii="宋体" w:hAnsi="宋体" w:eastAsia="宋体" w:cs="宋体"/>
          <w:color w:val="auto"/>
          <w:sz w:val="24"/>
          <w:szCs w:val="24"/>
          <w:highlight w:val="none"/>
        </w:rPr>
        <w:t>7</w:t>
      </w:r>
      <w:r>
        <w:rPr>
          <w:rFonts w:hint="eastAsia" w:ascii="宋体" w:hAnsi="宋体" w:eastAsia="宋体" w:cs="宋体"/>
          <w:color w:val="auto"/>
          <w:sz w:val="24"/>
          <w:szCs w:val="24"/>
          <w:highlight w:val="none"/>
        </w:rPr>
        <w:t>天前，以书面形式向甲方提出延期开工的理由。甲方应当在接到延期开工申请后的</w:t>
      </w:r>
      <w:r>
        <w:rPr>
          <w:rFonts w:ascii="宋体" w:hAnsi="宋体" w:eastAsia="宋体" w:cs="宋体"/>
          <w:color w:val="auto"/>
          <w:sz w:val="24"/>
          <w:szCs w:val="24"/>
          <w:highlight w:val="none"/>
        </w:rPr>
        <w:t>48</w:t>
      </w:r>
      <w:r>
        <w:rPr>
          <w:rFonts w:hint="eastAsia" w:ascii="宋体" w:hAnsi="宋体" w:eastAsia="宋体" w:cs="宋体"/>
          <w:color w:val="auto"/>
          <w:sz w:val="24"/>
          <w:szCs w:val="24"/>
          <w:highlight w:val="none"/>
        </w:rPr>
        <w:t>小时内以书面形式答复乙方。甲方在接到延期开工申请后</w:t>
      </w:r>
      <w:r>
        <w:rPr>
          <w:rFonts w:ascii="宋体" w:hAnsi="宋体" w:eastAsia="宋体" w:cs="宋体"/>
          <w:color w:val="auto"/>
          <w:sz w:val="24"/>
          <w:szCs w:val="24"/>
          <w:highlight w:val="none"/>
        </w:rPr>
        <w:t>48</w:t>
      </w:r>
      <w:r>
        <w:rPr>
          <w:rFonts w:hint="eastAsia" w:ascii="宋体" w:hAnsi="宋体" w:eastAsia="宋体" w:cs="宋体"/>
          <w:color w:val="auto"/>
          <w:sz w:val="24"/>
          <w:szCs w:val="24"/>
          <w:highlight w:val="none"/>
        </w:rPr>
        <w:t>小时内不答复，视为同意乙方要求，工期相应顺延。甲方不同意延期要求或乙方未在规定时间内提出延期开工，工期不予顺延。合同工期总日历天数</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天。乙方未能按合同工期竣工验收的，每逾期一天，甲方有权要求乙方按</w:t>
      </w:r>
      <w:r>
        <w:rPr>
          <w:rFonts w:hint="eastAsia" w:ascii="宋体" w:hAnsi="宋体" w:eastAsia="宋体" w:cs="宋体"/>
          <w:color w:val="auto"/>
          <w:sz w:val="24"/>
          <w:szCs w:val="24"/>
          <w:highlight w:val="none"/>
          <w:u w:val="single"/>
        </w:rPr>
        <w:t>合同暂定总价的</w:t>
      </w:r>
      <w:r>
        <w:rPr>
          <w:rFonts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rPr>
        <w:t>支付违约金，逾期达到</w:t>
      </w:r>
      <w:r>
        <w:rPr>
          <w:rFonts w:hint="eastAsia" w:ascii="宋体" w:hAnsi="宋体" w:eastAsia="宋体" w:cs="宋体"/>
          <w:color w:val="auto"/>
          <w:sz w:val="24"/>
          <w:szCs w:val="24"/>
          <w:highlight w:val="none"/>
          <w:u w:val="single"/>
        </w:rPr>
        <w:t xml:space="preserve">  3</w:t>
      </w:r>
      <w:r>
        <w:rPr>
          <w:rFonts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天及以上的，甲方有权解除合同并要求乙方支付</w:t>
      </w:r>
      <w:r>
        <w:rPr>
          <w:rFonts w:hint="eastAsia" w:ascii="宋体" w:hAnsi="宋体" w:eastAsia="宋体" w:cs="宋体"/>
          <w:color w:val="auto"/>
          <w:sz w:val="24"/>
          <w:szCs w:val="24"/>
          <w:highlight w:val="none"/>
          <w:u w:val="single"/>
        </w:rPr>
        <w:t>合同暂定总价的</w:t>
      </w:r>
      <w:r>
        <w:rPr>
          <w:rFonts w:ascii="宋体" w:hAnsi="宋体" w:eastAsia="宋体" w:cs="宋体"/>
          <w:color w:val="auto"/>
          <w:sz w:val="24"/>
          <w:szCs w:val="24"/>
          <w:highlight w:val="none"/>
          <w:u w:val="single"/>
        </w:rPr>
        <w:t>20%</w:t>
      </w:r>
      <w:r>
        <w:rPr>
          <w:rFonts w:ascii="宋体" w:hAnsi="宋体" w:eastAsia="宋体" w:cs="宋体"/>
          <w:color w:val="auto"/>
          <w:sz w:val="24"/>
          <w:szCs w:val="24"/>
          <w:highlight w:val="none"/>
        </w:rPr>
        <w:t>作为违约金。</w:t>
      </w:r>
    </w:p>
    <w:p>
      <w:pPr>
        <w:widowControl/>
        <w:spacing w:line="384" w:lineRule="auto"/>
        <w:ind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5.2</w:t>
      </w:r>
      <w:r>
        <w:rPr>
          <w:rFonts w:hint="eastAsia" w:ascii="宋体" w:hAnsi="宋体" w:eastAsia="宋体" w:cs="宋体"/>
          <w:bCs/>
          <w:color w:val="auto"/>
          <w:sz w:val="24"/>
          <w:szCs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5%/</w:t>
      </w:r>
      <w:r>
        <w:rPr>
          <w:rFonts w:hint="eastAsia" w:ascii="宋体" w:hAnsi="宋体" w:eastAsia="宋体" w:cs="宋体"/>
          <w:bCs/>
          <w:color w:val="auto"/>
          <w:sz w:val="24"/>
          <w:szCs w:val="24"/>
          <w:highlight w:val="none"/>
          <w:u w:val="single"/>
        </w:rPr>
        <w:t>次</w:t>
      </w:r>
      <w:r>
        <w:rPr>
          <w:rFonts w:hint="eastAsia" w:ascii="宋体" w:hAnsi="宋体" w:eastAsia="宋体" w:cs="宋体"/>
          <w:bCs/>
          <w:color w:val="auto"/>
          <w:sz w:val="24"/>
          <w:szCs w:val="24"/>
          <w:highlight w:val="none"/>
        </w:rPr>
        <w:t>作为违约金，超过三次（含三次）的，甲方有权解除合同，要求乙方支付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20%</w:t>
      </w:r>
      <w:r>
        <w:rPr>
          <w:rFonts w:hint="eastAsia" w:ascii="宋体" w:hAnsi="宋体" w:eastAsia="宋体" w:cs="宋体"/>
          <w:bCs/>
          <w:color w:val="auto"/>
          <w:sz w:val="24"/>
          <w:szCs w:val="24"/>
          <w:highlight w:val="none"/>
        </w:rPr>
        <w:t>作为违约金。由此造成的经济和法律责任，均由乙方负责。</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5.3</w:t>
      </w:r>
      <w:r>
        <w:rPr>
          <w:rFonts w:hint="eastAsia" w:ascii="宋体" w:hAnsi="宋体" w:eastAsia="宋体" w:cs="宋体"/>
          <w:bCs/>
          <w:color w:val="auto"/>
          <w:sz w:val="24"/>
          <w:szCs w:val="24"/>
          <w:highlight w:val="none"/>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5.4</w:t>
      </w:r>
      <w:r>
        <w:rPr>
          <w:rFonts w:hint="eastAsia" w:ascii="宋体" w:hAnsi="宋体" w:eastAsia="宋体" w:cs="宋体"/>
          <w:bCs/>
          <w:color w:val="auto"/>
          <w:sz w:val="24"/>
          <w:szCs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eastAsia="宋体" w:cs="宋体"/>
          <w:bCs/>
          <w:color w:val="auto"/>
          <w:sz w:val="24"/>
          <w:szCs w:val="24"/>
          <w:highlight w:val="none"/>
          <w:u w:val="single"/>
        </w:rPr>
        <w:t>1万元</w:t>
      </w:r>
      <w:r>
        <w:rPr>
          <w:rFonts w:ascii="宋体" w:hAnsi="宋体" w:eastAsia="宋体" w:cs="宋体"/>
          <w:bCs/>
          <w:color w:val="auto"/>
          <w:sz w:val="24"/>
          <w:szCs w:val="24"/>
          <w:highlight w:val="none"/>
        </w:rPr>
        <w:t>，超过_</w:t>
      </w:r>
      <w:r>
        <w:rPr>
          <w:rFonts w:hint="eastAsia" w:ascii="宋体" w:hAnsi="宋体" w:eastAsia="宋体" w:cs="宋体"/>
          <w:bCs/>
          <w:color w:val="auto"/>
          <w:sz w:val="24"/>
          <w:szCs w:val="24"/>
          <w:highlight w:val="none"/>
          <w:u w:val="single"/>
        </w:rPr>
        <w:t>1</w:t>
      </w:r>
      <w:r>
        <w:rPr>
          <w:rFonts w:ascii="宋体" w:hAnsi="宋体" w:eastAsia="宋体" w:cs="宋体"/>
          <w:bCs/>
          <w:color w:val="auto"/>
          <w:sz w:val="24"/>
          <w:szCs w:val="24"/>
          <w:highlight w:val="none"/>
          <w:u w:val="single"/>
        </w:rPr>
        <w:t>5</w:t>
      </w:r>
      <w:r>
        <w:rPr>
          <w:rFonts w:ascii="宋体" w:hAnsi="宋体" w:eastAsia="宋体" w:cs="宋体"/>
          <w:bCs/>
          <w:color w:val="auto"/>
          <w:sz w:val="24"/>
          <w:szCs w:val="24"/>
          <w:highlight w:val="none"/>
        </w:rPr>
        <w:t>_日，甲方有权解除合同并要求乙方支付</w:t>
      </w:r>
      <w:r>
        <w:rPr>
          <w:rFonts w:ascii="宋体" w:hAnsi="宋体" w:eastAsia="宋体" w:cs="宋体"/>
          <w:bCs/>
          <w:color w:val="auto"/>
          <w:sz w:val="24"/>
          <w:szCs w:val="24"/>
          <w:highlight w:val="none"/>
          <w:u w:val="single"/>
        </w:rPr>
        <w:t>合同暂定总价的20%</w:t>
      </w:r>
      <w:r>
        <w:rPr>
          <w:rFonts w:ascii="宋体" w:hAnsi="宋体" w:eastAsia="宋体" w:cs="宋体"/>
          <w:bCs/>
          <w:color w:val="auto"/>
          <w:sz w:val="24"/>
          <w:szCs w:val="24"/>
          <w:highlight w:val="none"/>
        </w:rPr>
        <w:t>作为违约金</w:t>
      </w:r>
      <w:r>
        <w:rPr>
          <w:rFonts w:hint="eastAsia" w:cs="Times New Roman" w:asciiTheme="minorEastAsia" w:hAnsiTheme="minorEastAsia"/>
          <w:bCs/>
          <w:color w:val="auto"/>
          <w:sz w:val="24"/>
          <w:szCs w:val="24"/>
          <w:highlight w:val="none"/>
        </w:rPr>
        <w:t>（</w:t>
      </w:r>
      <w:r>
        <w:rPr>
          <w:rFonts w:hint="eastAsia" w:ascii="Times New Roman" w:hAnsi="Times New Roman" w:eastAsia="宋体" w:cs="宋体"/>
          <w:color w:val="auto"/>
          <w:sz w:val="24"/>
          <w:szCs w:val="24"/>
          <w:highlight w:val="none"/>
        </w:rPr>
        <w:t>如合同另行约定违约责任，从其约定</w:t>
      </w:r>
      <w:r>
        <w:rPr>
          <w:rFonts w:hint="eastAsia" w:cs="Times New Roman" w:asciiTheme="minorEastAsia" w:hAnsiTheme="minorEastAsia"/>
          <w:bCs/>
          <w:color w:val="auto"/>
          <w:sz w:val="24"/>
          <w:szCs w:val="24"/>
          <w:highlight w:val="none"/>
        </w:rPr>
        <w:t>）</w:t>
      </w:r>
      <w:r>
        <w:rPr>
          <w:rFonts w:ascii="宋体" w:hAnsi="宋体" w:eastAsia="宋体" w:cs="宋体"/>
          <w:bCs/>
          <w:color w:val="auto"/>
          <w:sz w:val="24"/>
          <w:szCs w:val="24"/>
          <w:highlight w:val="none"/>
        </w:rPr>
        <w:t>。</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5.6乙方不得随意更换项目负责人及附件5中的相关人员，如确须更换，应提前征得甲方同意。如有违反，甲方有权解除合同并要求乙方支付</w:t>
      </w:r>
      <w:r>
        <w:rPr>
          <w:rFonts w:hint="eastAsia" w:asciiTheme="minorEastAsia" w:hAnsiTheme="minorEastAsia" w:cstheme="minorEastAsia"/>
          <w:color w:val="auto"/>
          <w:sz w:val="24"/>
          <w:szCs w:val="24"/>
          <w:highlight w:val="none"/>
          <w:u w:val="single"/>
        </w:rPr>
        <w:t>5000元/人次</w:t>
      </w:r>
      <w:r>
        <w:rPr>
          <w:rFonts w:hint="eastAsia" w:asciiTheme="minorEastAsia" w:hAnsiTheme="minorEastAsia" w:cstheme="minorEastAsia"/>
          <w:color w:val="auto"/>
          <w:sz w:val="24"/>
          <w:szCs w:val="24"/>
          <w:highlight w:val="none"/>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5.7施工过程中，项目负责人应驻场管理，否则甲方有权要求乙方支付违约</w:t>
      </w:r>
      <w:r>
        <w:rPr>
          <w:rFonts w:hint="eastAsia" w:asciiTheme="minorEastAsia" w:hAnsiTheme="minorEastAsia" w:cstheme="minorEastAsia"/>
          <w:color w:val="auto"/>
          <w:sz w:val="24"/>
          <w:szCs w:val="24"/>
          <w:highlight w:val="none"/>
          <w:u w:val="single"/>
        </w:rPr>
        <w:t xml:space="preserve"> 1000元/天</w:t>
      </w:r>
      <w:r>
        <w:rPr>
          <w:rFonts w:hint="eastAsia" w:asciiTheme="minorEastAsia" w:hAnsiTheme="minorEastAsia" w:cstheme="minorEastAsia"/>
          <w:color w:val="auto"/>
          <w:sz w:val="24"/>
          <w:szCs w:val="24"/>
          <w:highlight w:val="none"/>
        </w:rPr>
        <w:t>，因此造成损失的，按实际发生额赔偿。</w:t>
      </w:r>
    </w:p>
    <w:p>
      <w:pPr>
        <w:topLinePunct/>
        <w:autoSpaceDE/>
        <w:autoSpaceDN/>
        <w:adjustRightInd/>
        <w:spacing w:line="500" w:lineRule="exact"/>
        <w:ind w:firstLine="480" w:firstLineChars="200"/>
        <w:jc w:val="left"/>
        <w:rPr>
          <w:rFonts w:hint="eastAsia" w:asciiTheme="minorEastAsia" w:hAnsiTheme="minorEastAsia" w:cstheme="minorEastAsia"/>
          <w:color w:val="auto"/>
          <w:kern w:val="2"/>
          <w:sz w:val="24"/>
          <w:szCs w:val="24"/>
          <w:highlight w:val="none"/>
        </w:rPr>
      </w:pPr>
      <w:r>
        <w:rPr>
          <w:rFonts w:hint="eastAsia" w:asciiTheme="minorEastAsia" w:hAnsiTheme="minorEastAsia" w:cstheme="minorEastAsia"/>
          <w:color w:val="auto"/>
          <w:kern w:val="2"/>
          <w:sz w:val="24"/>
          <w:szCs w:val="24"/>
          <w:highlight w:val="none"/>
        </w:rPr>
        <w:t>5.8施工过程中，乙方应负责配备现场的应急物资。具体应急物资配备详见附件应急救援物资清单。（如需）</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5.9在合同有效期内，乙方自愿接受甲方按《广州市净水有限公司经营建设项目参建企业不诚信行为管理办法》、《营运项目承包单位日常履约考评参照表（安全）》处理，具体处理标准详见附件3。</w:t>
      </w:r>
    </w:p>
    <w:p>
      <w:pPr>
        <w:autoSpaceDE w:val="0"/>
        <w:autoSpaceDN w:val="0"/>
        <w:adjustRightInd w:val="0"/>
        <w:jc w:val="left"/>
        <w:rPr>
          <w:rFonts w:ascii="宋体" w:hAnsi="Times New Roman" w:eastAsia="仿宋_GB2312" w:cs="宋体"/>
          <w:color w:val="auto"/>
          <w:kern w:val="0"/>
          <w:sz w:val="24"/>
          <w:szCs w:val="24"/>
          <w:highlight w:val="none"/>
        </w:rPr>
      </w:pPr>
    </w:p>
    <w:p>
      <w:pPr>
        <w:tabs>
          <w:tab w:val="left" w:pos="851"/>
        </w:tabs>
        <w:adjustRightInd w:val="0"/>
        <w:snapToGrid w:val="0"/>
        <w:spacing w:line="360" w:lineRule="auto"/>
        <w:ind w:firstLine="482" w:firstLineChars="200"/>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第六条实施条件及管理要求</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6.1</w:t>
      </w:r>
      <w:r>
        <w:rPr>
          <w:rFonts w:hint="eastAsia" w:ascii="宋体" w:hAnsi="宋体" w:eastAsia="宋体" w:cs="宋体"/>
          <w:color w:val="auto"/>
          <w:sz w:val="24"/>
          <w:szCs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6.2</w:t>
      </w:r>
      <w:r>
        <w:rPr>
          <w:rFonts w:hint="eastAsia" w:ascii="宋体" w:hAnsi="宋体" w:eastAsia="宋体" w:cs="宋体"/>
          <w:color w:val="auto"/>
          <w:sz w:val="24"/>
          <w:szCs w:val="24"/>
          <w:highlight w:val="none"/>
        </w:rPr>
        <w:t>施工用水用电采用以下</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方式执行。</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（1）由甲方提供施工用水用电接口，水电费按合同综合单价水电含量计算，从甲方支付的工程款中直接扣回。</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（2）由甲方提供施工用水用电接口，费用按（月/项目）结算，由乙方向甲方或甲方下辖分公司/子公司支付。水电费用按所属供电局、自来水公司收费标准按实计算。</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（3）由乙方自行负责。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6.3</w:t>
      </w:r>
      <w:r>
        <w:rPr>
          <w:rFonts w:hint="eastAsia" w:ascii="宋体" w:hAnsi="宋体" w:eastAsia="宋体" w:cs="宋体"/>
          <w:color w:val="auto"/>
          <w:sz w:val="24"/>
          <w:szCs w:val="24"/>
          <w:highlight w:val="none"/>
        </w:rPr>
        <w:t>施工时间安排：上午</w:t>
      </w:r>
      <w:r>
        <w:rPr>
          <w:rFonts w:ascii="宋体" w:hAnsi="宋体" w:eastAsia="宋体" w:cs="宋体"/>
          <w:color w:val="auto"/>
          <w:sz w:val="24"/>
          <w:szCs w:val="24"/>
          <w:highlight w:val="none"/>
        </w:rPr>
        <w:t>7</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00-12</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w:t>
      </w:r>
      <w:r>
        <w:rPr>
          <w:rFonts w:hint="eastAsia" w:ascii="宋体" w:hAnsi="宋体" w:eastAsia="宋体" w:cs="宋体"/>
          <w:color w:val="auto"/>
          <w:sz w:val="24"/>
          <w:szCs w:val="24"/>
          <w:highlight w:val="none"/>
        </w:rPr>
        <w:t>，下午</w:t>
      </w:r>
      <w:r>
        <w:rPr>
          <w:rFonts w:ascii="宋体" w:hAnsi="宋体" w:eastAsia="宋体" w:cs="宋体"/>
          <w:color w:val="auto"/>
          <w:sz w:val="24"/>
          <w:szCs w:val="24"/>
          <w:highlight w:val="none"/>
        </w:rPr>
        <w:t>14</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00-18</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w:t>
      </w:r>
      <w:r>
        <w:rPr>
          <w:rFonts w:hint="eastAsia" w:ascii="宋体" w:hAnsi="宋体" w:eastAsia="宋体" w:cs="宋体"/>
          <w:color w:val="auto"/>
          <w:sz w:val="24"/>
          <w:szCs w:val="24"/>
          <w:highlight w:val="none"/>
        </w:rPr>
        <w:t>，施工时间如需变动，以甲方的书面或口头通知为准。</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6.4</w:t>
      </w:r>
      <w:r>
        <w:rPr>
          <w:rFonts w:hint="eastAsia" w:ascii="宋体" w:hAnsi="宋体" w:eastAsia="宋体" w:cs="宋体"/>
          <w:color w:val="auto"/>
          <w:sz w:val="24"/>
          <w:szCs w:val="24"/>
          <w:highlight w:val="none"/>
        </w:rPr>
        <w:t>进场施工人员必须严格遵守</w:t>
      </w:r>
      <w:r>
        <w:rPr>
          <w:rFonts w:hint="eastAsia" w:ascii="宋体" w:hAnsi="宋体" w:eastAsia="宋体" w:cs="宋体"/>
          <w:color w:val="auto"/>
          <w:kern w:val="10"/>
          <w:sz w:val="24"/>
          <w:szCs w:val="24"/>
          <w:highlight w:val="none"/>
        </w:rPr>
        <w:t>污水处理厂</w:t>
      </w:r>
      <w:r>
        <w:rPr>
          <w:rFonts w:hint="eastAsia" w:ascii="宋体" w:hAnsi="宋体" w:eastAsia="宋体" w:cs="宋体"/>
          <w:color w:val="auto"/>
          <w:sz w:val="24"/>
          <w:szCs w:val="24"/>
          <w:highlight w:val="none"/>
        </w:rPr>
        <w:t>一切规章制度。进入施工现场人员必须佩戴出入证，并自觉接受门岗检查。</w:t>
      </w:r>
    </w:p>
    <w:p>
      <w:pPr>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6.5</w:t>
      </w:r>
      <w:r>
        <w:rPr>
          <w:rFonts w:hint="eastAsia" w:ascii="宋体" w:hAnsi="宋体" w:eastAsia="宋体" w:cs="宋体"/>
          <w:color w:val="auto"/>
          <w:sz w:val="24"/>
          <w:szCs w:val="24"/>
          <w:highlight w:val="none"/>
        </w:rPr>
        <w:t>环境保护要求：</w:t>
      </w:r>
    </w:p>
    <w:p>
      <w:pPr>
        <w:snapToGrid w:val="0"/>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）做好施工噪声、废气、废水等控制；</w:t>
      </w:r>
    </w:p>
    <w:p>
      <w:pPr>
        <w:snapToGrid w:val="0"/>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）按照国家及广州市相关规定做好建筑垃圾的处理。</w:t>
      </w:r>
    </w:p>
    <w:p>
      <w:pPr>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6.6</w:t>
      </w:r>
      <w:r>
        <w:rPr>
          <w:rFonts w:hint="eastAsia" w:ascii="宋体" w:hAnsi="宋体" w:eastAsia="宋体" w:cs="宋体"/>
          <w:color w:val="auto"/>
          <w:sz w:val="24"/>
          <w:szCs w:val="24"/>
          <w:highlight w:val="none"/>
        </w:rPr>
        <w:t>按相关法律法规及甲方相关作业施工管理要求执行。</w:t>
      </w:r>
    </w:p>
    <w:p>
      <w:pPr>
        <w:spacing w:line="384"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材料及设备供应</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7.1</w:t>
      </w:r>
      <w:r>
        <w:rPr>
          <w:rFonts w:hint="eastAsia" w:ascii="宋体" w:hAnsi="宋体" w:eastAsia="宋体" w:cs="宋体"/>
          <w:color w:val="auto"/>
          <w:sz w:val="24"/>
          <w:szCs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eastAsia="宋体" w:cs="宋体"/>
          <w:color w:val="auto"/>
          <w:sz w:val="24"/>
          <w:szCs w:val="24"/>
          <w:highlight w:val="none"/>
        </w:rPr>
      </w:pPr>
      <w:r>
        <w:rPr>
          <w:rFonts w:ascii="宋体" w:hAnsi="宋体" w:eastAsia="宋体" w:cs="宋体"/>
          <w:color w:val="auto"/>
          <w:sz w:val="24"/>
          <w:szCs w:val="24"/>
          <w:highlight w:val="none"/>
        </w:rPr>
        <w:t>7.2</w:t>
      </w:r>
      <w:r>
        <w:rPr>
          <w:rFonts w:hint="eastAsia" w:ascii="宋体" w:hAnsi="宋体" w:eastAsia="宋体" w:cs="宋体"/>
          <w:color w:val="auto"/>
          <w:sz w:val="24"/>
          <w:szCs w:val="24"/>
          <w:highlight w:val="none"/>
        </w:rPr>
        <w:t>所有材料必须具备合格证明，并保证产品的有效性。</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7.3</w:t>
      </w:r>
      <w:r>
        <w:rPr>
          <w:rFonts w:hint="eastAsia" w:ascii="宋体" w:hAnsi="宋体" w:eastAsia="宋体" w:cs="宋体"/>
          <w:color w:val="auto"/>
          <w:sz w:val="24"/>
          <w:szCs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7.4</w:t>
      </w:r>
      <w:r>
        <w:rPr>
          <w:rFonts w:hint="eastAsia" w:ascii="宋体" w:hAnsi="宋体" w:eastAsia="宋体" w:cs="宋体"/>
          <w:color w:val="auto"/>
          <w:sz w:val="24"/>
          <w:szCs w:val="24"/>
          <w:highlight w:val="none"/>
        </w:rPr>
        <w:t>乙方必须根据投标文件</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7.5 </w:t>
      </w:r>
      <w:r>
        <w:rPr>
          <w:rFonts w:hint="eastAsia" w:ascii="宋体" w:hAnsi="宋体" w:eastAsia="宋体" w:cs="宋体"/>
          <w:color w:val="auto"/>
          <w:sz w:val="24"/>
          <w:szCs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7.6 </w:t>
      </w:r>
      <w:r>
        <w:rPr>
          <w:rFonts w:hint="eastAsia" w:ascii="宋体" w:hAnsi="宋体" w:eastAsia="宋体" w:cs="宋体"/>
          <w:color w:val="auto"/>
          <w:sz w:val="24"/>
          <w:szCs w:val="24"/>
          <w:highlight w:val="none"/>
        </w:rPr>
        <w:t>承包范围之内工程所用之设备，由乙方提供。</w:t>
      </w:r>
    </w:p>
    <w:p>
      <w:pPr>
        <w:spacing w:line="384"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第八条付</w:t>
      </w:r>
      <w:r>
        <w:rPr>
          <w:rFonts w:hint="eastAsia" w:ascii="宋体" w:hAnsi="宋体" w:eastAsia="宋体" w:cs="宋体"/>
          <w:b/>
          <w:color w:val="auto"/>
          <w:sz w:val="24"/>
          <w:szCs w:val="24"/>
          <w:highlight w:val="none"/>
        </w:rPr>
        <w:t>款及履约担保</w:t>
      </w:r>
    </w:p>
    <w:p>
      <w:pPr>
        <w:spacing w:line="384" w:lineRule="auto"/>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Cs/>
          <w:color w:val="auto"/>
          <w:sz w:val="24"/>
          <w:highlight w:val="none"/>
        </w:rPr>
        <w:sym w:font="Wingdings" w:char="F0A8"/>
      </w:r>
      <w:r>
        <w:rPr>
          <w:rFonts w:hint="eastAsia" w:ascii="宋体" w:hAnsi="宋体" w:cs="宋体"/>
          <w:bCs/>
          <w:color w:val="auto"/>
          <w:sz w:val="24"/>
          <w:highlight w:val="none"/>
        </w:rPr>
        <w:t>无；</w:t>
      </w:r>
      <w:r>
        <w:rPr>
          <w:rFonts w:ascii="宋体" w:hAnsi="宋体" w:cs="宋体"/>
          <w:bCs/>
          <w:color w:val="auto"/>
          <w:sz w:val="24"/>
          <w:highlight w:val="none"/>
        </w:rPr>
        <w:sym w:font="Wingdings" w:char="00FE"/>
      </w:r>
      <w:r>
        <w:rPr>
          <w:rFonts w:hint="eastAsia" w:ascii="宋体" w:hAnsi="宋体" w:cs="宋体"/>
          <w:bCs/>
          <w:color w:val="auto"/>
          <w:sz w:val="24"/>
          <w:highlight w:val="none"/>
        </w:rPr>
        <w:t>有,合同签订后，乙方开具等额的增值税专用发票及提交履约担保担保（如有）后</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hint="eastAsia" w:ascii="宋体" w:hAnsi="宋体" w:cs="宋体"/>
          <w:bCs/>
          <w:color w:val="auto"/>
          <w:sz w:val="24"/>
          <w:highlight w:val="none"/>
          <w:u w:val="single"/>
        </w:rPr>
        <w:t>（不得超过</w:t>
      </w:r>
      <w:r>
        <w:rPr>
          <w:rFonts w:ascii="宋体" w:hAnsi="宋体" w:cs="宋体"/>
          <w:bCs/>
          <w:color w:val="auto"/>
          <w:sz w:val="24"/>
          <w:highlight w:val="none"/>
          <w:u w:val="single"/>
        </w:rPr>
        <w:t>30%</w:t>
      </w:r>
      <w:r>
        <w:rPr>
          <w:rFonts w:hint="eastAsia" w:ascii="宋体" w:hAnsi="宋体" w:cs="宋体"/>
          <w:bCs/>
          <w:color w:val="auto"/>
          <w:sz w:val="24"/>
          <w:highlight w:val="none"/>
          <w:u w:val="single"/>
        </w:rPr>
        <w:t>）</w:t>
      </w:r>
      <w:r>
        <w:rPr>
          <w:rFonts w:hint="eastAsia" w:ascii="宋体" w:hAnsi="宋体" w:cs="宋体"/>
          <w:color w:val="auto"/>
          <w:sz w:val="24"/>
          <w:highlight w:val="none"/>
        </w:rPr>
        <w:t>即</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元，（大写：</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2"/>
        <w:spacing w:line="384" w:lineRule="auto"/>
        <w:ind w:firstLine="480" w:firstLineChars="200"/>
        <w:outlineLvl w:val="1"/>
        <w:rPr>
          <w:rFonts w:hint="eastAsia" w:hAnsi="宋体" w:eastAsia="宋体" w:cs="宋体"/>
          <w:color w:val="auto"/>
          <w:sz w:val="24"/>
          <w:szCs w:val="24"/>
          <w:highlight w:val="none"/>
          <w:u w:val="single"/>
          <w:lang w:val="en-US" w:eastAsia="zh-CN"/>
        </w:rPr>
      </w:pPr>
      <w:r>
        <w:rPr>
          <w:rFonts w:hAnsi="宋体" w:cs="宋体"/>
          <w:color w:val="auto"/>
          <w:sz w:val="24"/>
          <w:szCs w:val="24"/>
          <w:highlight w:val="none"/>
        </w:rPr>
        <w:t>8.2</w:t>
      </w:r>
      <w:r>
        <w:rPr>
          <w:rFonts w:hint="eastAsia" w:hAnsi="宋体" w:cs="宋体"/>
          <w:color w:val="auto"/>
          <w:sz w:val="24"/>
          <w:szCs w:val="24"/>
          <w:highlight w:val="none"/>
          <w:u w:val="single"/>
        </w:rPr>
        <w:t>乙方完成 设备到货且经甲方验收合格，由乙方提交申请支付资料 20 个工作日内，甲方支付至合同暂定总价的 60%即    元，（大写：       ）。</w:t>
      </w:r>
    </w:p>
    <w:p>
      <w:pPr>
        <w:tabs>
          <w:tab w:val="left" w:pos="0"/>
        </w:tabs>
        <w:adjustRightInd w:val="0"/>
        <w:snapToGrid w:val="0"/>
        <w:spacing w:line="360" w:lineRule="auto"/>
        <w:ind w:firstLine="480" w:firstLineChars="200"/>
        <w:jc w:val="left"/>
        <w:rPr>
          <w:rFonts w:hint="eastAsia" w:ascii="宋体" w:hAnsi="宋体" w:cs="宋体"/>
          <w:color w:val="auto"/>
          <w:sz w:val="24"/>
          <w:highlight w:val="none"/>
          <w:u w:val="single"/>
          <w:lang w:val="en-US" w:eastAsia="zh-CN"/>
        </w:rPr>
      </w:pPr>
      <w:r>
        <w:rPr>
          <w:rFonts w:ascii="宋体" w:hAnsi="宋体" w:cs="宋体"/>
          <w:color w:val="auto"/>
          <w:sz w:val="24"/>
          <w:highlight w:val="none"/>
        </w:rPr>
        <w:t>8.2.1</w:t>
      </w:r>
      <w:r>
        <w:rPr>
          <w:rFonts w:hint="eastAsia" w:ascii="宋体" w:hAnsi="宋体" w:cs="宋体"/>
          <w:color w:val="auto"/>
          <w:sz w:val="24"/>
          <w:highlight w:val="none"/>
          <w:u w:val="single"/>
          <w:lang w:val="en-US" w:eastAsia="zh-CN"/>
        </w:rPr>
        <w:t>乙方完成系统建设且经甲方验收合格后 15日内，由乙方提交申请支付资料 20 个工作日内，甲方支付至合同暂定总价的 80%即       元，（大写：       ）。乙方提交工作总结报告，经甲方或甲方委托有资质第三方机构结算审核后，由乙方提交申请支付资料 15个工作日内，甲方支付至合同结算价的95%。</w:t>
      </w:r>
    </w:p>
    <w:p>
      <w:pPr>
        <w:spacing w:line="384" w:lineRule="auto"/>
        <w:ind w:firstLine="480" w:firstLineChars="200"/>
        <w:outlineLvl w:val="1"/>
        <w:rPr>
          <w:rFonts w:hint="eastAsia"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2"/>
        <w:spacing w:line="384" w:lineRule="auto"/>
        <w:ind w:firstLine="480" w:firstLineChars="200"/>
        <w:outlineLvl w:val="1"/>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8.2.3</w:t>
      </w:r>
      <w:r>
        <w:rPr>
          <w:rFonts w:hint="eastAsia" w:hAnsi="宋体" w:cs="宋体"/>
          <w:color w:val="auto"/>
          <w:sz w:val="24"/>
          <w:szCs w:val="24"/>
          <w:highlight w:val="none"/>
        </w:rPr>
        <w:t>本项目工程款的支付单位为：</w:t>
      </w:r>
      <w:r>
        <w:rPr>
          <w:rFonts w:hint="eastAsia" w:hAnsi="宋体" w:cs="宋体"/>
          <w:color w:val="auto"/>
          <w:sz w:val="24"/>
          <w:szCs w:val="24"/>
          <w:highlight w:val="none"/>
          <w:u w:val="single"/>
          <w:lang w:val="en-US" w:eastAsia="zh-CN"/>
        </w:rPr>
        <w:t xml:space="preserve"> … </w:t>
      </w:r>
    </w:p>
    <w:p>
      <w:pPr>
        <w:spacing w:line="384" w:lineRule="auto"/>
        <w:ind w:firstLine="480" w:firstLineChars="200"/>
        <w:rPr>
          <w:rFonts w:ascii="宋体" w:hAnsi="宋体" w:cs="宋体"/>
          <w:color w:val="auto"/>
          <w:sz w:val="24"/>
          <w:highlight w:val="none"/>
          <w:u w:val="single"/>
        </w:rPr>
      </w:pPr>
      <w:r>
        <w:rPr>
          <w:rFonts w:ascii="宋体" w:hAnsi="宋体" w:cs="宋体"/>
          <w:color w:val="auto"/>
          <w:sz w:val="24"/>
          <w:highlight w:val="none"/>
        </w:rPr>
        <w:t>8.3</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收款账号：</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开户行：</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宋体" w:hAnsi="宋体" w:cs="宋体"/>
          <w:color w:val="auto"/>
          <w:szCs w:val="21"/>
          <w:highlight w:val="none"/>
        </w:rPr>
        <w:t>□</w:t>
      </w:r>
      <w:r>
        <w:rPr>
          <w:rFonts w:hint="eastAsia" w:ascii="宋体" w:hAnsi="宋体" w:cs="宋体"/>
          <w:bCs/>
          <w:color w:val="auto"/>
          <w:sz w:val="24"/>
          <w:highlight w:val="none"/>
        </w:rPr>
        <w:t>无；</w:t>
      </w: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（大写人民币：</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0"/>
        <w:spacing w:before="0" w:beforeAutospacing="0" w:after="0" w:afterAutospacing="0" w:line="384" w:lineRule="auto"/>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0"/>
        <w:spacing w:before="0" w:beforeAutospacing="0" w:after="0" w:afterAutospacing="0" w:line="360" w:lineRule="auto"/>
        <w:ind w:firstLine="480"/>
        <w:rPr>
          <w:color w:val="auto"/>
          <w:highlight w:val="none"/>
        </w:rPr>
      </w:pPr>
      <w:r>
        <w:rPr>
          <w:rFonts w:hint="eastAsia"/>
          <w:color w:val="auto"/>
          <w:highlight w:val="none"/>
        </w:rPr>
        <w:t>（1）符合甲方要求（详见附件7保函格式）的银行独立保函，</w:t>
      </w:r>
    </w:p>
    <w:p>
      <w:pPr>
        <w:pStyle w:val="20"/>
        <w:spacing w:before="0" w:beforeAutospacing="0" w:after="0" w:afterAutospacing="0" w:line="360" w:lineRule="auto"/>
        <w:ind w:firstLine="480"/>
        <w:rPr>
          <w:color w:val="auto"/>
          <w:highlight w:val="none"/>
        </w:rPr>
      </w:pPr>
      <w:r>
        <w:rPr>
          <w:rFonts w:hint="eastAsia"/>
          <w:color w:val="auto"/>
          <w:highlight w:val="none"/>
        </w:rPr>
        <w:t>（2）现金转账至甲方以下指定账户：</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384" w:lineRule="auto"/>
        <w:ind w:firstLine="480"/>
        <w:outlineLvl w:val="0"/>
        <w:rPr>
          <w:rFonts w:ascii="宋体" w:hAnsi="宋体" w:cs="宋体"/>
          <w:color w:val="auto"/>
          <w:sz w:val="24"/>
          <w:highlight w:val="none"/>
        </w:rPr>
      </w:pPr>
      <w:r>
        <w:rPr>
          <w:rFonts w:hint="eastAsia" w:ascii="宋体" w:hAnsi="宋体" w:cs="宋体"/>
          <w:color w:val="auto"/>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color w:val="auto"/>
          <w:sz w:val="24"/>
          <w:highlight w:val="none"/>
        </w:rPr>
      </w:pPr>
      <w:r>
        <w:rPr>
          <w:rFonts w:hint="eastAsia" w:ascii="宋体" w:hAnsi="宋体" w:cs="宋体"/>
          <w:color w:val="auto"/>
          <w:sz w:val="24"/>
          <w:highlight w:val="none"/>
        </w:rPr>
        <w:t>⑶延长担保期限。乙方以履约银行保函形式提交履约保证金的，在银行保函到期前，乙方应提前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0"/>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384" w:lineRule="auto"/>
        <w:rPr>
          <w:rFonts w:ascii="宋体" w:hAnsi="宋体" w:cs="宋体"/>
          <w:color w:val="auto"/>
          <w:sz w:val="24"/>
          <w:highlight w:val="none"/>
        </w:rPr>
      </w:pPr>
      <w:r>
        <w:rPr>
          <w:rFonts w:ascii="宋体" w:hAnsi="宋体" w:cs="宋体"/>
          <w:color w:val="auto"/>
          <w:sz w:val="24"/>
          <w:highlight w:val="none"/>
          <w:u w:val="single"/>
        </w:rPr>
        <w:t xml:space="preserve">  7  </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color w:val="auto"/>
          <w:sz w:val="24"/>
          <w:highlight w:val="none"/>
          <w:bdr w:val="single" w:color="auto" w:sz="4" w:space="0"/>
        </w:rPr>
      </w:pPr>
      <w:r>
        <w:rPr>
          <w:rFonts w:hAnsi="宋体" w:cs="宋体"/>
          <w:color w:val="auto"/>
          <w:sz w:val="24"/>
          <w:highlight w:val="none"/>
        </w:rPr>
        <w:t>8.6</w:t>
      </w:r>
      <w:r>
        <w:rPr>
          <w:rFonts w:hint="eastAsia" w:asciiTheme="minorEastAsia" w:hAnsiTheme="minorEastAsia" w:eastAsiaTheme="minorEastAsia" w:cstheme="minorEastAsia"/>
          <w:color w:val="auto"/>
          <w:sz w:val="24"/>
          <w:highlight w:val="none"/>
        </w:rPr>
        <w:t xml:space="preserve">付款方式： </w:t>
      </w:r>
      <w:r>
        <w:rPr>
          <w:rFonts w:hint="eastAsia" w:asciiTheme="minorEastAsia" w:hAnsiTheme="minorEastAsia" w:eastAsiaTheme="minorEastAsia" w:cstheme="minorEastAsia"/>
          <w:color w:val="auto"/>
          <w:sz w:val="24"/>
          <w:highlight w:val="none"/>
        </w:rPr>
        <w:sym w:font="Wingdings" w:char="00FE"/>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p>
    <w:p>
      <w:pPr>
        <w:pStyle w:val="12"/>
        <w:spacing w:line="384" w:lineRule="auto"/>
        <w:ind w:firstLine="720" w:firstLineChars="300"/>
        <w:outlineLvl w:val="1"/>
        <w:rPr>
          <w:rFonts w:hint="eastAsia" w:hAnsi="宋体" w:cs="宋体"/>
          <w:color w:val="auto"/>
          <w:sz w:val="24"/>
          <w:szCs w:val="24"/>
          <w:highlight w:val="none"/>
        </w:rPr>
      </w:pPr>
      <w:r>
        <w:rPr>
          <w:rFonts w:hint="eastAsia" w:hAnsi="宋体" w:cs="宋体"/>
          <w:color w:val="auto"/>
          <w:sz w:val="24"/>
          <w:szCs w:val="24"/>
          <w:highlight w:val="none"/>
        </w:rPr>
        <w:t>（建议采用网银支付</w:t>
      </w:r>
      <w:r>
        <w:rPr>
          <w:rFonts w:hint="eastAsia" w:hAnsi="宋体" w:cs="宋体"/>
          <w:color w:val="auto"/>
          <w:sz w:val="24"/>
          <w:highlight w:val="none"/>
        </w:rPr>
        <w:t>、</w:t>
      </w:r>
      <w:r>
        <w:rPr>
          <w:rFonts w:hint="eastAsia" w:hAnsi="宋体" w:cs="宋体"/>
          <w:color w:val="auto"/>
          <w:sz w:val="24"/>
          <w:szCs w:val="24"/>
          <w:highlight w:val="none"/>
        </w:rPr>
        <w:t>支票两种形式</w:t>
      </w:r>
      <w:r>
        <w:rPr>
          <w:rFonts w:hint="eastAsia" w:hAnsi="宋体" w:cs="宋体"/>
          <w:color w:val="auto"/>
          <w:sz w:val="24"/>
          <w:highlight w:val="none"/>
        </w:rPr>
        <w:t>中之一</w:t>
      </w:r>
      <w:r>
        <w:rPr>
          <w:rFonts w:hint="eastAsia" w:hAnsi="宋体" w:cs="宋体"/>
          <w:color w:val="auto"/>
          <w:sz w:val="24"/>
          <w:szCs w:val="24"/>
          <w:highlight w:val="none"/>
        </w:rPr>
        <w:t>）。</w:t>
      </w:r>
    </w:p>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第九条竣工验收</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9.1</w:t>
      </w:r>
      <w:r>
        <w:rPr>
          <w:rFonts w:hint="eastAsia" w:ascii="宋体" w:hAnsi="宋体" w:eastAsia="宋体" w:cs="宋体"/>
          <w:color w:val="auto"/>
          <w:sz w:val="24"/>
          <w:szCs w:val="24"/>
          <w:highlight w:val="none"/>
        </w:rPr>
        <w:t>乙方应在工程完工后</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天内将经甲方审核的完整竣工资料（含竣工图）和竣工验收报告各</w:t>
      </w:r>
      <w:r>
        <w:rPr>
          <w:rFonts w:hint="eastAsia" w:ascii="宋体" w:hAnsi="宋体" w:eastAsia="宋体" w:cs="宋体"/>
          <w:color w:val="auto"/>
          <w:sz w:val="24"/>
          <w:szCs w:val="24"/>
          <w:highlight w:val="none"/>
          <w:u w:val="single"/>
        </w:rPr>
        <w:t>一式四份</w:t>
      </w:r>
      <w:r>
        <w:rPr>
          <w:rFonts w:hint="eastAsia" w:ascii="宋体" w:hAnsi="宋体" w:eastAsia="宋体" w:cs="宋体"/>
          <w:color w:val="auto"/>
          <w:sz w:val="24"/>
          <w:szCs w:val="24"/>
          <w:highlight w:val="none"/>
        </w:rPr>
        <w:t>交甲方，不按时报送工程竣工资料的，每逾期一天，甲方要求乙方支付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w:t>
      </w:r>
      <w:r>
        <w:rPr>
          <w:rFonts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rPr>
        <w:t>天</w:t>
      </w:r>
      <w:r>
        <w:rPr>
          <w:rFonts w:hint="eastAsia" w:ascii="宋体" w:hAnsi="宋体" w:eastAsia="宋体" w:cs="宋体"/>
          <w:color w:val="auto"/>
          <w:sz w:val="24"/>
          <w:szCs w:val="24"/>
          <w:highlight w:val="none"/>
        </w:rPr>
        <w:t>，并在支付合同款时抵扣。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9.2</w:t>
      </w:r>
      <w:r>
        <w:rPr>
          <w:rFonts w:hint="eastAsia" w:ascii="宋体" w:hAnsi="宋体" w:eastAsia="宋体" w:cs="宋体"/>
          <w:color w:val="auto"/>
          <w:sz w:val="24"/>
          <w:szCs w:val="24"/>
          <w:highlight w:val="none"/>
        </w:rPr>
        <w:t>甲方收到完整的竣工验收资料（完整的竣工验收资料：施工方案、开工</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竣工报告、安全备案整套资料、本合同书、询价文件</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响应文件、中标通知书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发包通知书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委托书、工程预算送审报告、工程结算书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签证记录、备件开箱记录表或送货单、竣工图等，如有必须提供）和竣工验收报告后</w:t>
      </w:r>
      <w:r>
        <w:rPr>
          <w:rFonts w:ascii="宋体" w:hAnsi="宋体" w:eastAsia="宋体" w:cs="宋体"/>
          <w:color w:val="auto"/>
          <w:sz w:val="24"/>
          <w:szCs w:val="24"/>
          <w:highlight w:val="none"/>
        </w:rPr>
        <w:t>20</w:t>
      </w:r>
      <w:r>
        <w:rPr>
          <w:rFonts w:hint="eastAsia" w:ascii="宋体" w:hAnsi="宋体" w:eastAsia="宋体" w:cs="宋体"/>
          <w:color w:val="auto"/>
          <w:sz w:val="24"/>
          <w:szCs w:val="24"/>
          <w:highlight w:val="none"/>
        </w:rPr>
        <w:t>天内组织有关单位进行验收，工程竣工验收严格按国家、省、市、部门有关文件执行，并在验收后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天内给予认可或提出修改意见。乙方按要求修改，并承担修改的费用。</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9.3</w:t>
      </w:r>
      <w:r>
        <w:rPr>
          <w:rFonts w:hint="eastAsia" w:ascii="宋体" w:hAnsi="宋体" w:eastAsia="宋体" w:cs="宋体"/>
          <w:color w:val="auto"/>
          <w:sz w:val="24"/>
          <w:szCs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9.4</w:t>
      </w:r>
      <w:r>
        <w:rPr>
          <w:rFonts w:hint="eastAsia" w:ascii="宋体" w:hAnsi="宋体" w:eastAsia="宋体" w:cs="宋体"/>
          <w:color w:val="auto"/>
          <w:sz w:val="24"/>
          <w:szCs w:val="24"/>
          <w:highlight w:val="none"/>
        </w:rPr>
        <w:t>竣工档案的整理和移交</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a</w:t>
      </w:r>
      <w:r>
        <w:rPr>
          <w:rFonts w:hint="eastAsia" w:ascii="宋体" w:hAnsi="宋体" w:eastAsia="宋体" w:cs="宋体"/>
          <w:color w:val="auto"/>
          <w:sz w:val="24"/>
          <w:szCs w:val="24"/>
          <w:highlight w:val="none"/>
        </w:rPr>
        <w:t>）竣工文件资料、竣工图档案（原件）各一式四份；</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b</w:t>
      </w:r>
      <w:r>
        <w:rPr>
          <w:rFonts w:hint="eastAsia" w:ascii="宋体" w:hAnsi="宋体" w:eastAsia="宋体" w:cs="宋体"/>
          <w:color w:val="auto"/>
          <w:sz w:val="24"/>
          <w:szCs w:val="24"/>
          <w:highlight w:val="none"/>
        </w:rPr>
        <w:t>）与本款（</w:t>
      </w:r>
      <w:r>
        <w:rPr>
          <w:rFonts w:ascii="宋体" w:hAnsi="宋体" w:eastAsia="宋体" w:cs="宋体"/>
          <w:color w:val="auto"/>
          <w:sz w:val="24"/>
          <w:szCs w:val="24"/>
          <w:highlight w:val="none"/>
        </w:rPr>
        <w:t>a</w:t>
      </w:r>
      <w:r>
        <w:rPr>
          <w:rFonts w:hint="eastAsia" w:ascii="宋体" w:hAnsi="宋体" w:eastAsia="宋体" w:cs="宋体"/>
          <w:color w:val="auto"/>
          <w:sz w:val="24"/>
          <w:szCs w:val="24"/>
          <w:highlight w:val="none"/>
        </w:rPr>
        <w:t>）项内容相同的电子版档案一式二份；</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）乙方移交竣工档案的时限：乙方应于工程竣工验收后</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天内将竣工档案提交甲方签认。乙方应于甲方签认后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天内将竣工档案移交给甲方归档并同时移交有关归档的证明文件。甲方经审查合格的，应在收到竣工档案后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天内签署档案验收意见；不合格的，乙方应按甲方要求限期补正，直至合格为止。乙方超过本条规定的时限，每逾期一天支付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w:t>
      </w:r>
      <w:r>
        <w:rPr>
          <w:rFonts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rPr>
        <w:t>天</w:t>
      </w:r>
      <w:r>
        <w:rPr>
          <w:rFonts w:hint="eastAsia" w:ascii="宋体" w:hAnsi="宋体" w:eastAsia="宋体" w:cs="宋体"/>
          <w:color w:val="auto"/>
          <w:sz w:val="24"/>
          <w:szCs w:val="24"/>
          <w:highlight w:val="none"/>
        </w:rPr>
        <w:t>违约金。</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）电子版竣工图的编制，以甲方提供的电子版施工图为基础。乙方在移交竣工档案时，应一并移交甲方提供的电子版施工图。</w:t>
      </w:r>
    </w:p>
    <w:p>
      <w:pPr>
        <w:spacing w:line="384"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电子版施工图和电子版竣工图的知识产权归属甲方所有，非经甲方许可，乙方不得以任何方式复制、备份、转让和利用。否则，由此引起的任何纠纷和责任由乙方承担。</w:t>
      </w:r>
    </w:p>
    <w:p>
      <w:pPr>
        <w:autoSpaceDE w:val="0"/>
        <w:autoSpaceDN w:val="0"/>
        <w:adjustRightInd w:val="0"/>
        <w:ind w:firstLine="480" w:firstLineChars="200"/>
        <w:jc w:val="left"/>
        <w:rPr>
          <w:rFonts w:asciiTheme="minorEastAsia" w:hAnsiTheme="minorEastAsia" w:cstheme="minorEastAsia"/>
          <w:color w:val="auto"/>
          <w:kern w:val="0"/>
          <w:sz w:val="24"/>
          <w:szCs w:val="24"/>
          <w:highlight w:val="none"/>
          <w:u w:val="single"/>
        </w:rPr>
      </w:pPr>
      <w:r>
        <w:rPr>
          <w:rFonts w:hint="eastAsia" w:asciiTheme="minorEastAsia" w:hAnsiTheme="minorEastAsia" w:cstheme="minorEastAsia"/>
          <w:color w:val="auto"/>
          <w:kern w:val="0"/>
          <w:sz w:val="24"/>
          <w:szCs w:val="24"/>
          <w:highlight w:val="none"/>
        </w:rPr>
        <w:t>9.5本合同竣工验收结算单位为</w:t>
      </w:r>
      <w:r>
        <w:rPr>
          <w:rFonts w:hint="eastAsia" w:asciiTheme="minorEastAsia" w:hAnsiTheme="minorEastAsia" w:cstheme="minorEastAsia"/>
          <w:color w:val="auto"/>
          <w:kern w:val="0"/>
          <w:sz w:val="24"/>
          <w:szCs w:val="24"/>
          <w:highlight w:val="none"/>
          <w:u w:val="single"/>
        </w:rPr>
        <w:t xml:space="preserve">：    </w:t>
      </w:r>
    </w:p>
    <w:p>
      <w:pPr>
        <w:numPr>
          <w:ilvl w:val="0"/>
          <w:numId w:val="5"/>
        </w:numPr>
        <w:spacing w:before="120" w:after="156" w:afterLines="50" w:line="384" w:lineRule="auto"/>
        <w:ind w:firstLine="482" w:firstLineChars="200"/>
        <w:jc w:val="left"/>
        <w:rPr>
          <w:rFonts w:ascii="宋体" w:hAnsi="宋体" w:eastAsia="宋体" w:cs="宋体"/>
          <w:b/>
          <w:bCs/>
          <w:color w:val="auto"/>
          <w:sz w:val="24"/>
          <w:szCs w:val="24"/>
          <w:highlight w:val="none"/>
        </w:rPr>
      </w:pPr>
      <w:bookmarkStart w:id="128" w:name="_Toc518992994"/>
      <w:bookmarkStart w:id="129" w:name="_Toc520190034"/>
      <w:bookmarkStart w:id="130" w:name="_Toc474245220"/>
      <w:r>
        <w:rPr>
          <w:rFonts w:hint="eastAsia" w:ascii="宋体" w:hAnsi="宋体" w:eastAsia="宋体" w:cs="宋体"/>
          <w:b/>
          <w:bCs/>
          <w:color w:val="auto"/>
          <w:sz w:val="24"/>
          <w:szCs w:val="24"/>
          <w:highlight w:val="none"/>
        </w:rPr>
        <w:t>质量保证</w:t>
      </w:r>
      <w:bookmarkEnd w:id="128"/>
      <w:bookmarkEnd w:id="129"/>
      <w:bookmarkEnd w:id="130"/>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10.1</w:t>
      </w:r>
      <w:r>
        <w:rPr>
          <w:rFonts w:hint="eastAsia" w:ascii="宋体" w:hAnsi="宋体" w:eastAsia="宋体" w:cs="宋体"/>
          <w:color w:val="auto"/>
          <w:sz w:val="24"/>
          <w:szCs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eastAsia="宋体" w:cs="宋体"/>
          <w:color w:val="auto"/>
          <w:kern w:val="0"/>
          <w:sz w:val="24"/>
          <w:szCs w:val="24"/>
          <w:highlight w:val="none"/>
          <w:lang w:val="zh-CN"/>
        </w:rPr>
      </w:pPr>
      <w:r>
        <w:rPr>
          <w:rFonts w:ascii="宋体" w:hAnsi="宋体" w:eastAsia="宋体" w:cs="宋体"/>
          <w:bCs/>
          <w:color w:val="auto"/>
          <w:sz w:val="24"/>
          <w:szCs w:val="24"/>
          <w:highlight w:val="none"/>
        </w:rPr>
        <w:t xml:space="preserve">10.2 </w:t>
      </w:r>
      <w:r>
        <w:rPr>
          <w:rFonts w:hint="eastAsia" w:ascii="宋体" w:hAnsi="宋体" w:eastAsia="宋体" w:cs="宋体"/>
          <w:bCs/>
          <w:color w:val="auto"/>
          <w:sz w:val="24"/>
          <w:szCs w:val="24"/>
          <w:highlight w:val="none"/>
        </w:rPr>
        <w:t>本项目质量保修期为</w:t>
      </w:r>
      <w:r>
        <w:rPr>
          <w:rFonts w:hint="eastAsia" w:ascii="宋体" w:hAnsi="宋体" w:eastAsia="宋体" w:cs="宋体"/>
          <w:color w:val="auto"/>
          <w:kern w:val="0"/>
          <w:sz w:val="24"/>
          <w:szCs w:val="24"/>
          <w:highlight w:val="none"/>
          <w:lang w:val="zh-CN"/>
        </w:rPr>
        <w:t>自验收合格之日起</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lang w:val="zh-CN"/>
        </w:rPr>
        <w:t>年。</w:t>
      </w:r>
    </w:p>
    <w:p>
      <w:pPr>
        <w:spacing w:line="384" w:lineRule="auto"/>
        <w:ind w:firstLine="420" w:firstLineChars="175"/>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10.3</w:t>
      </w:r>
      <w:r>
        <w:rPr>
          <w:rFonts w:hint="eastAsia" w:ascii="宋体" w:hAnsi="宋体" w:eastAsia="宋体" w:cs="宋体"/>
          <w:bCs/>
          <w:color w:val="auto"/>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10%/</w:t>
      </w:r>
      <w:r>
        <w:rPr>
          <w:rFonts w:hint="eastAsia" w:ascii="宋体" w:hAnsi="宋体" w:eastAsia="宋体" w:cs="宋体"/>
          <w:bCs/>
          <w:color w:val="auto"/>
          <w:sz w:val="24"/>
          <w:szCs w:val="24"/>
          <w:highlight w:val="none"/>
          <w:u w:val="single"/>
        </w:rPr>
        <w:t>次</w:t>
      </w:r>
      <w:r>
        <w:rPr>
          <w:rFonts w:hint="eastAsia" w:ascii="宋体" w:hAnsi="宋体" w:eastAsia="宋体" w:cs="宋体"/>
          <w:bCs/>
          <w:color w:val="auto"/>
          <w:sz w:val="24"/>
          <w:szCs w:val="24"/>
          <w:highlight w:val="none"/>
        </w:rPr>
        <w:t>作为违约金。</w:t>
      </w:r>
    </w:p>
    <w:p>
      <w:pPr>
        <w:spacing w:before="156" w:beforeLines="50" w:after="156" w:afterLines="50" w:line="384" w:lineRule="auto"/>
        <w:ind w:firstLine="422" w:firstLineChars="175"/>
        <w:jc w:val="left"/>
        <w:rPr>
          <w:rFonts w:ascii="宋体" w:hAnsi="宋体" w:eastAsia="宋体" w:cs="宋体"/>
          <w:color w:val="auto"/>
          <w:sz w:val="24"/>
          <w:szCs w:val="24"/>
          <w:highlight w:val="none"/>
        </w:rPr>
      </w:pPr>
      <w:bookmarkStart w:id="131" w:name="_Toc306350467"/>
      <w:bookmarkStart w:id="132" w:name="_Toc520190040"/>
      <w:bookmarkStart w:id="133" w:name="_Toc518993000"/>
      <w:bookmarkStart w:id="134" w:name="_Toc183666531"/>
      <w:bookmarkStart w:id="135" w:name="_Toc474245226"/>
      <w:bookmarkStart w:id="136" w:name="_Toc19692"/>
      <w:bookmarkStart w:id="137" w:name="_Toc107447255"/>
      <w:bookmarkStart w:id="138" w:name="_Toc107446862"/>
      <w:r>
        <w:rPr>
          <w:rFonts w:hint="eastAsia" w:ascii="宋体" w:hAnsi="宋体" w:eastAsia="宋体" w:cs="宋体"/>
          <w:b/>
          <w:bCs/>
          <w:color w:val="auto"/>
          <w:sz w:val="24"/>
          <w:szCs w:val="24"/>
          <w:highlight w:val="none"/>
        </w:rPr>
        <w:t>第十一条不可抗力</w:t>
      </w:r>
      <w:bookmarkEnd w:id="131"/>
      <w:bookmarkEnd w:id="132"/>
      <w:bookmarkEnd w:id="133"/>
      <w:bookmarkEnd w:id="134"/>
      <w:bookmarkEnd w:id="135"/>
      <w:bookmarkEnd w:id="136"/>
      <w:bookmarkEnd w:id="137"/>
      <w:bookmarkEnd w:id="138"/>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bookmarkStart w:id="139" w:name="_Toc183666532"/>
      <w:bookmarkStart w:id="140" w:name="_Toc306350468"/>
      <w:bookmarkStart w:id="141" w:name="_Toc12010"/>
      <w:r>
        <w:rPr>
          <w:rFonts w:ascii="宋体" w:hAnsi="宋体" w:eastAsia="宋体" w:cs="宋体"/>
          <w:bCs/>
          <w:color w:val="auto"/>
          <w:sz w:val="24"/>
          <w:szCs w:val="24"/>
          <w:highlight w:val="none"/>
        </w:rPr>
        <w:t xml:space="preserve">11.1 </w:t>
      </w:r>
      <w:r>
        <w:rPr>
          <w:rFonts w:hint="eastAsia" w:ascii="宋体" w:hAnsi="宋体" w:eastAsia="宋体" w:cs="宋体"/>
          <w:bCs/>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⑴地震、火山爆发、滑坡、暴雨（橙色预警及以上）、台风（黄色预警及以上）、海啸、龙卷风、大面积流行病</w:t>
      </w:r>
      <w:r>
        <w:rPr>
          <w:rFonts w:ascii="宋体" w:hAnsi="宋体" w:eastAsia="宋体" w:cs="宋体"/>
          <w:bCs/>
          <w:color w:val="auto"/>
          <w:sz w:val="24"/>
          <w:szCs w:val="24"/>
          <w:highlight w:val="none"/>
        </w:rPr>
        <w:t>(如：非典型性肺炎等)或瘟疫；</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11.2 </w:t>
      </w:r>
      <w:r>
        <w:rPr>
          <w:rFonts w:hint="eastAsia" w:ascii="宋体" w:hAnsi="宋体" w:eastAsia="宋体" w:cs="宋体"/>
          <w:bCs/>
          <w:color w:val="auto"/>
          <w:sz w:val="24"/>
          <w:szCs w:val="24"/>
          <w:highlight w:val="none"/>
        </w:rPr>
        <w:t>声称受到不可抗力影响的一方，应在发生不可抗力或知道发生不可抗力之后</w:t>
      </w:r>
      <w:r>
        <w:rPr>
          <w:rFonts w:ascii="宋体" w:hAnsi="宋体" w:eastAsia="宋体" w:cs="宋体"/>
          <w:bCs/>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11.3 </w:t>
      </w:r>
      <w:r>
        <w:rPr>
          <w:rFonts w:hint="eastAsia" w:ascii="宋体" w:hAnsi="宋体" w:eastAsia="宋体" w:cs="宋体"/>
          <w:bCs/>
          <w:color w:val="auto"/>
          <w:sz w:val="24"/>
          <w:szCs w:val="24"/>
          <w:highlight w:val="none"/>
        </w:rPr>
        <w:t>因不可抗力导致合同无法履行的时间自该不可抗力发生日起连续超过玖拾</w:t>
      </w:r>
      <w:r>
        <w:rPr>
          <w:rFonts w:ascii="宋体" w:hAnsi="宋体" w:eastAsia="宋体" w:cs="宋体"/>
          <w:bCs/>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11.4 </w:t>
      </w:r>
      <w:r>
        <w:rPr>
          <w:rFonts w:hint="eastAsia" w:ascii="宋体" w:hAnsi="宋体" w:eastAsia="宋体" w:cs="宋体"/>
          <w:bCs/>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42" w:name="_Toc520190041"/>
      <w:bookmarkStart w:id="143" w:name="_Toc107447257"/>
      <w:bookmarkStart w:id="144" w:name="_Toc107446864"/>
      <w:bookmarkStart w:id="145" w:name="_Toc518993001"/>
      <w:bookmarkStart w:id="146" w:name="_Toc474245227"/>
      <w:bookmarkStart w:id="147" w:name="_Toc118172294"/>
    </w:p>
    <w:p>
      <w:pPr>
        <w:spacing w:before="156" w:beforeLines="50" w:after="156" w:afterLines="50" w:line="384" w:lineRule="auto"/>
        <w:ind w:firstLine="482"/>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十二条争议解决</w:t>
      </w:r>
      <w:bookmarkEnd w:id="139"/>
      <w:bookmarkEnd w:id="140"/>
      <w:bookmarkEnd w:id="141"/>
      <w:bookmarkEnd w:id="142"/>
      <w:bookmarkEnd w:id="143"/>
      <w:bookmarkEnd w:id="144"/>
      <w:bookmarkEnd w:id="145"/>
      <w:bookmarkEnd w:id="146"/>
      <w:bookmarkEnd w:id="147"/>
    </w:p>
    <w:p>
      <w:pPr>
        <w:spacing w:line="384" w:lineRule="auto"/>
        <w:ind w:firstLine="482"/>
        <w:rPr>
          <w:rFonts w:ascii="宋体" w:hAnsi="宋体" w:eastAsia="宋体" w:cs="宋体"/>
          <w:bCs/>
          <w:color w:val="auto"/>
          <w:sz w:val="24"/>
          <w:szCs w:val="24"/>
          <w:highlight w:val="none"/>
        </w:rPr>
      </w:pPr>
      <w:bookmarkStart w:id="148" w:name="_Toc306350469"/>
      <w:bookmarkStart w:id="149" w:name="_Toc183666533"/>
      <w:r>
        <w:rPr>
          <w:rFonts w:ascii="宋体" w:hAnsi="宋体" w:eastAsia="宋体" w:cs="宋体"/>
          <w:bCs/>
          <w:color w:val="auto"/>
          <w:sz w:val="24"/>
          <w:szCs w:val="24"/>
          <w:highlight w:val="none"/>
        </w:rPr>
        <w:t xml:space="preserve">12.1 </w:t>
      </w:r>
      <w:r>
        <w:rPr>
          <w:rFonts w:hint="eastAsia" w:ascii="宋体" w:hAnsi="宋体" w:eastAsia="宋体" w:cs="宋体"/>
          <w:bCs/>
          <w:color w:val="auto"/>
          <w:sz w:val="24"/>
          <w:szCs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eastAsia="宋体" w:cs="宋体"/>
          <w:color w:val="auto"/>
          <w:sz w:val="24"/>
          <w:szCs w:val="24"/>
          <w:highlight w:val="none"/>
        </w:rPr>
      </w:pPr>
      <w:r>
        <w:rPr>
          <w:rFonts w:ascii="宋体" w:hAnsi="宋体" w:eastAsia="宋体" w:cs="宋体"/>
          <w:bCs/>
          <w:color w:val="auto"/>
          <w:sz w:val="24"/>
          <w:szCs w:val="24"/>
          <w:highlight w:val="none"/>
        </w:rPr>
        <w:t xml:space="preserve">12.2 </w:t>
      </w:r>
      <w:r>
        <w:rPr>
          <w:rFonts w:hint="eastAsia" w:ascii="宋体" w:hAnsi="宋体" w:eastAsia="宋体" w:cs="宋体"/>
          <w:color w:val="auto"/>
          <w:sz w:val="24"/>
          <w:szCs w:val="24"/>
          <w:highlight w:val="none"/>
        </w:rPr>
        <w:t>在甲方同意的情况下，除有争端之外的合同其它部分在争端解决前应继续执行。</w:t>
      </w:r>
      <w:bookmarkEnd w:id="148"/>
      <w:bookmarkEnd w:id="149"/>
      <w:bookmarkStart w:id="150" w:name="_Toc518993003"/>
      <w:bookmarkStart w:id="151" w:name="_Toc520190043"/>
      <w:bookmarkStart w:id="152" w:name="_Toc474245229"/>
    </w:p>
    <w:p>
      <w:pPr>
        <w:spacing w:line="384" w:lineRule="auto"/>
        <w:ind w:firstLine="482"/>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第十三条</w:t>
      </w:r>
      <w:bookmarkStart w:id="153" w:name="_Toc107446871"/>
      <w:bookmarkStart w:id="154" w:name="_Toc107447264"/>
      <w:r>
        <w:rPr>
          <w:rFonts w:hint="eastAsia" w:ascii="宋体" w:hAnsi="宋体" w:eastAsia="宋体" w:cs="宋体"/>
          <w:b/>
          <w:bCs/>
          <w:color w:val="auto"/>
          <w:sz w:val="24"/>
          <w:szCs w:val="24"/>
          <w:highlight w:val="none"/>
        </w:rPr>
        <w:t>合同生效及其他</w:t>
      </w:r>
      <w:bookmarkEnd w:id="150"/>
      <w:bookmarkEnd w:id="151"/>
      <w:bookmarkEnd w:id="152"/>
      <w:bookmarkEnd w:id="153"/>
      <w:bookmarkEnd w:id="154"/>
    </w:p>
    <w:p>
      <w:pPr>
        <w:spacing w:line="384"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13.1</w:t>
      </w:r>
      <w:r>
        <w:rPr>
          <w:rFonts w:hint="eastAsia" w:ascii="宋体" w:hAnsi="宋体" w:eastAsia="宋体" w:cs="宋体"/>
          <w:color w:val="auto"/>
          <w:sz w:val="24"/>
          <w:szCs w:val="24"/>
          <w:highlight w:val="none"/>
        </w:rPr>
        <w:t>本合同经双方法定代表人或授权代表签字并加盖双方公章后生效</w:t>
      </w:r>
      <w:r>
        <w:rPr>
          <w:rFonts w:ascii="宋体" w:hAnsi="宋体" w:eastAsia="宋体" w:cs="宋体"/>
          <w:color w:val="auto"/>
          <w:sz w:val="24"/>
          <w:szCs w:val="24"/>
          <w:highlight w:val="none"/>
        </w:rPr>
        <w:t>.</w:t>
      </w:r>
    </w:p>
    <w:p>
      <w:pPr>
        <w:spacing w:line="384"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13.2</w:t>
      </w:r>
      <w:r>
        <w:rPr>
          <w:rFonts w:hint="eastAsia" w:ascii="宋体" w:hAnsi="宋体" w:eastAsia="宋体" w:cs="宋体"/>
          <w:color w:val="auto"/>
          <w:sz w:val="24"/>
          <w:szCs w:val="24"/>
          <w:highlight w:val="none"/>
        </w:rPr>
        <w:t>本合同正文一式六份，其中：甲方四份，乙方二份。</w:t>
      </w:r>
    </w:p>
    <w:p>
      <w:pPr>
        <w:spacing w:line="384" w:lineRule="auto"/>
        <w:ind w:firstLine="480"/>
        <w:rPr>
          <w:rFonts w:ascii="宋体" w:hAnsi="宋体" w:eastAsia="宋体" w:cs="宋体"/>
          <w:color w:val="auto"/>
          <w:sz w:val="24"/>
          <w:szCs w:val="24"/>
          <w:highlight w:val="none"/>
          <w:u w:val="single"/>
        </w:rPr>
      </w:pPr>
      <w:r>
        <w:rPr>
          <w:rFonts w:ascii="宋体" w:hAnsi="宋体" w:eastAsia="宋体" w:cs="宋体"/>
          <w:color w:val="auto"/>
          <w:sz w:val="24"/>
          <w:szCs w:val="24"/>
          <w:highlight w:val="none"/>
        </w:rPr>
        <w:t>13.</w:t>
      </w:r>
      <w:r>
        <w:rPr>
          <w:rFonts w:hint="eastAsia" w:ascii="宋体" w:hAnsi="宋体" w:eastAsia="宋体" w:cs="宋体"/>
          <w:color w:val="auto"/>
          <w:sz w:val="24"/>
          <w:szCs w:val="24"/>
          <w:highlight w:val="none"/>
        </w:rPr>
        <w:t>3补充条款</w:t>
      </w:r>
      <w:r>
        <w:rPr>
          <w:rFonts w:hint="eastAsia" w:ascii="宋体" w:hAnsi="宋体" w:eastAsia="宋体" w:cs="宋体"/>
          <w:color w:val="auto"/>
          <w:sz w:val="24"/>
          <w:szCs w:val="24"/>
          <w:highlight w:val="none"/>
          <w:u w:val="single"/>
        </w:rPr>
        <w:t>：…</w:t>
      </w:r>
    </w:p>
    <w:p>
      <w:pPr>
        <w:spacing w:line="384" w:lineRule="auto"/>
        <w:ind w:firstLine="480"/>
        <w:rPr>
          <w:rFonts w:ascii="宋体" w:hAnsi="宋体" w:eastAsia="宋体" w:cs="宋体"/>
          <w:color w:val="auto"/>
          <w:sz w:val="24"/>
          <w:szCs w:val="24"/>
          <w:highlight w:val="none"/>
          <w:u w:val="single"/>
        </w:rPr>
      </w:pPr>
    </w:p>
    <w:p>
      <w:pPr>
        <w:spacing w:line="384" w:lineRule="auto"/>
        <w:ind w:firstLine="480"/>
        <w:rPr>
          <w:rFonts w:ascii="宋体" w:hAnsi="宋体" w:eastAsia="宋体" w:cs="宋体"/>
          <w:color w:val="auto"/>
          <w:sz w:val="24"/>
          <w:szCs w:val="24"/>
          <w:highlight w:val="none"/>
          <w:u w:val="single"/>
        </w:rPr>
      </w:pPr>
    </w:p>
    <w:p>
      <w:pPr>
        <w:spacing w:line="384" w:lineRule="auto"/>
        <w:ind w:firstLine="480"/>
        <w:rPr>
          <w:rFonts w:ascii="宋体" w:hAnsi="宋体" w:eastAsia="宋体" w:cs="宋体"/>
          <w:color w:val="auto"/>
          <w:sz w:val="24"/>
          <w:szCs w:val="24"/>
          <w:highlight w:val="none"/>
          <w:u w:val="single"/>
        </w:rPr>
      </w:pPr>
    </w:p>
    <w:p>
      <w:pPr>
        <w:spacing w:line="384" w:lineRule="auto"/>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中标通知书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发包通知书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成交通知书/委托函（如有）</w:t>
      </w:r>
    </w:p>
    <w:p>
      <w:pPr>
        <w:spacing w:line="460" w:lineRule="exact"/>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2.廉洁协议</w:t>
      </w:r>
    </w:p>
    <w:p>
      <w:pPr>
        <w:spacing w:line="460" w:lineRule="exact"/>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3.不诚信行为的情形及相应被暂停参与投标活动的处理标准</w:t>
      </w:r>
    </w:p>
    <w:p>
      <w:pPr>
        <w:spacing w:line="384" w:lineRule="auto"/>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营运场所施工安全协议书（具体以安全办通知为准）</w:t>
      </w:r>
    </w:p>
    <w:p>
      <w:pPr>
        <w:spacing w:line="384"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工程量清单</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报价</w:t>
      </w:r>
    </w:p>
    <w:p>
      <w:pPr>
        <w:spacing w:line="384"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6</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项目投入人员架构表</w:t>
      </w:r>
      <w:r>
        <w:rPr>
          <w:rFonts w:ascii="宋体" w:hAnsi="宋体" w:eastAsia="宋体" w:cs="宋体"/>
          <w:color w:val="auto"/>
          <w:sz w:val="24"/>
          <w:szCs w:val="24"/>
          <w:highlight w:val="none"/>
        </w:rPr>
        <w:t xml:space="preserve"> </w:t>
      </w:r>
    </w:p>
    <w:p>
      <w:pPr>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7.</w:t>
      </w:r>
      <w:r>
        <w:rPr>
          <w:rFonts w:hint="eastAsia" w:ascii="宋体" w:hAnsi="宋体" w:eastAsia="宋体" w:cs="宋体"/>
          <w:color w:val="auto"/>
          <w:sz w:val="24"/>
          <w:szCs w:val="24"/>
          <w:highlight w:val="none"/>
        </w:rPr>
        <w:t>履约保函（模板）</w:t>
      </w:r>
    </w:p>
    <w:p>
      <w:pPr>
        <w:spacing w:line="360" w:lineRule="auto"/>
        <w:ind w:firstLine="720" w:firstLineChars="300"/>
        <w:rPr>
          <w:rFonts w:asciiTheme="minorEastAsia" w:hAnsiTheme="minorEastAsia" w:cstheme="minorEastAsia"/>
          <w:color w:val="auto"/>
          <w:sz w:val="24"/>
          <w:szCs w:val="24"/>
          <w:highlight w:val="none"/>
        </w:rPr>
      </w:pPr>
      <w:r>
        <w:rPr>
          <w:rFonts w:hint="eastAsia" w:ascii="宋体" w:hAnsi="宋体" w:eastAsia="宋体" w:cs="宋体"/>
          <w:color w:val="auto"/>
          <w:sz w:val="24"/>
          <w:szCs w:val="24"/>
          <w:highlight w:val="none"/>
        </w:rPr>
        <w:t>8.</w:t>
      </w:r>
      <w:r>
        <w:rPr>
          <w:rFonts w:hint="eastAsia" w:asciiTheme="minorEastAsia" w:hAnsiTheme="minorEastAsia" w:cstheme="minorEastAsia"/>
          <w:color w:val="auto"/>
          <w:sz w:val="24"/>
          <w:szCs w:val="24"/>
          <w:highlight w:val="none"/>
        </w:rPr>
        <w:t>应急救援物资清单（如需）</w:t>
      </w:r>
    </w:p>
    <w:p>
      <w:pPr>
        <w:spacing w:line="360" w:lineRule="auto"/>
        <w:ind w:left="718" w:leftChars="342"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9.授权委托证明（如需）</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10.预付款保函</w:t>
      </w:r>
    </w:p>
    <w:p>
      <w:pPr>
        <w:adjustRightInd w:val="0"/>
        <w:snapToGrid w:val="0"/>
        <w:ind w:firstLine="720" w:firstLineChars="300"/>
        <w:rPr>
          <w:rFonts w:ascii="宋体" w:hAnsi="宋体" w:eastAsia="宋体" w:cs="宋体"/>
          <w:color w:val="auto"/>
          <w:sz w:val="24"/>
          <w:szCs w:val="24"/>
          <w:highlight w:val="none"/>
        </w:rPr>
      </w:pPr>
    </w:p>
    <w:p>
      <w:pPr>
        <w:spacing w:line="384" w:lineRule="auto"/>
        <w:ind w:firstLine="720" w:firstLineChars="300"/>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甲方：广州市净水有限公司（盖章）     乙方：（盖章）</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 或                         法定代表人或</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                         授权代理人：</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                              经办人：</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联系电话：</w:t>
      </w:r>
    </w:p>
    <w:p>
      <w:pPr>
        <w:spacing w:line="384" w:lineRule="auto"/>
        <w:ind w:left="6360" w:hanging="6360" w:hangingChars="26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                                传真：</w:t>
      </w:r>
    </w:p>
    <w:p>
      <w:pPr>
        <w:spacing w:line="384" w:lineRule="auto"/>
        <w:ind w:left="6360" w:hanging="6360" w:hangingChars="26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签署日期：年月日                    签署日期：年月日</w:t>
      </w:r>
    </w:p>
    <w:p>
      <w:pPr>
        <w:spacing w:line="360" w:lineRule="auto"/>
        <w:rPr>
          <w:rFonts w:ascii="宋体" w:hAnsi="宋体" w:eastAsia="宋体" w:cs="宋体"/>
          <w:b/>
          <w:bCs/>
          <w:color w:val="auto"/>
          <w:szCs w:val="21"/>
          <w:highlight w:val="none"/>
        </w:rPr>
      </w:pPr>
    </w:p>
    <w:p>
      <w:pPr>
        <w:widowControl/>
        <w:jc w:val="left"/>
        <w:rPr>
          <w:rFonts w:ascii="宋体" w:hAnsi="宋体" w:eastAsia="宋体" w:cs="宋体"/>
          <w:b/>
          <w:bCs/>
          <w:color w:val="auto"/>
          <w:szCs w:val="21"/>
          <w:highlight w:val="none"/>
        </w:rPr>
      </w:pPr>
      <w:r>
        <w:rPr>
          <w:rFonts w:ascii="宋体" w:hAnsi="宋体" w:eastAsia="宋体" w:cs="宋体"/>
          <w:b/>
          <w:bCs/>
          <w:color w:val="auto"/>
          <w:szCs w:val="21"/>
          <w:highlight w:val="none"/>
        </w:rPr>
        <w:br w:type="page"/>
      </w: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附件1  中标通知书/发包通知书/委托函（如有）</w:t>
      </w:r>
    </w:p>
    <w:p>
      <w:pPr>
        <w:spacing w:line="360" w:lineRule="auto"/>
        <w:rPr>
          <w:rFonts w:ascii="宋体" w:hAnsi="宋体" w:eastAsia="宋体" w:cs="宋体"/>
          <w:b/>
          <w:bCs/>
          <w:color w:val="auto"/>
          <w:szCs w:val="21"/>
          <w:highlight w:val="none"/>
        </w:rPr>
      </w:pPr>
      <w:bookmarkStart w:id="155" w:name="_Toc389815031"/>
      <w:bookmarkStart w:id="156" w:name="_Toc389815339"/>
      <w:bookmarkStart w:id="157" w:name="_Toc387080836"/>
      <w:r>
        <w:rPr>
          <w:rFonts w:hint="eastAsia" w:ascii="宋体" w:hAnsi="宋体" w:eastAsia="宋体" w:cs="宋体"/>
          <w:b/>
          <w:bCs/>
          <w:color w:val="auto"/>
          <w:szCs w:val="21"/>
          <w:highlight w:val="none"/>
        </w:rPr>
        <w:t>附件</w:t>
      </w: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：廉洁协议</w:t>
      </w:r>
    </w:p>
    <w:p>
      <w:pPr>
        <w:spacing w:line="560" w:lineRule="exact"/>
        <w:ind w:firstLine="3640" w:firstLineChars="13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60" w:lineRule="exact"/>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(以下称甲方)与(以下称乙方)，特此订立本协议共同遵照执行。</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spacing w:after="120" w:line="560" w:lineRule="exact"/>
        <w:ind w:left="420" w:left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1、扣除主合同的全部履约保证金；</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2、解除主合同；</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3、追究乙方其他违约责任；</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4、根据甲方的有关规章制度，在一定时间内暂停乙方参与甲方及下属单位所有项目的交易资格；</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5、根据甲方的有关规章制度，将乙方清退出甲方相关企业库；</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6、根据甲方上级单位、行政主管部门的意见、决定执行；</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7、按规定向有关行政监督部门、乙方业务管理部门进行投诉、报告。</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rPr>
        <w:t>（合同名称）+（合同编号）</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第七条本协议一式</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份，甲方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份，乙方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w:t>
      </w:r>
    </w:p>
    <w:p>
      <w:pPr>
        <w:spacing w:line="560" w:lineRule="exact"/>
        <w:ind w:firstLine="560" w:firstLineChars="200"/>
        <w:rPr>
          <w:rFonts w:ascii="仿宋_GB2312" w:hAnsi="仿宋_GB2312" w:eastAsia="仿宋_GB2312" w:cs="仿宋_GB2312"/>
          <w:bCs/>
          <w:color w:val="auto"/>
          <w:sz w:val="28"/>
          <w:szCs w:val="28"/>
          <w:highlight w:val="none"/>
        </w:rPr>
      </w:pPr>
    </w:p>
    <w:p>
      <w:pPr>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甲方（盖章）：                     乙方（盖章）：</w:t>
      </w:r>
    </w:p>
    <w:p>
      <w:pPr>
        <w:tabs>
          <w:tab w:val="left" w:pos="5100"/>
        </w:tabs>
        <w:spacing w:line="560" w:lineRule="exact"/>
        <w:ind w:left="7200"/>
        <w:jc w:val="left"/>
        <w:rPr>
          <w:rFonts w:ascii="仿宋_GB2312" w:hAnsi="仿宋_GB2312" w:eastAsia="仿宋_GB2312" w:cs="仿宋_GB2312"/>
          <w:bCs/>
          <w:color w:val="auto"/>
          <w:sz w:val="28"/>
          <w:szCs w:val="28"/>
          <w:highlight w:val="none"/>
        </w:rPr>
      </w:pPr>
    </w:p>
    <w:p>
      <w:pPr>
        <w:tabs>
          <w:tab w:val="left" w:pos="5100"/>
        </w:tabs>
        <w:spacing w:line="560" w:lineRule="exact"/>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日期:    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  年  月  日</w:t>
      </w:r>
    </w:p>
    <w:p>
      <w:pPr>
        <w:spacing w:line="360" w:lineRule="auto"/>
        <w:ind w:firstLine="560" w:firstLineChars="200"/>
        <w:rPr>
          <w:rFonts w:ascii="仿宋_GB2312" w:hAnsi="仿宋_GB2312" w:eastAsia="仿宋_GB2312" w:cs="仿宋_GB2312"/>
          <w:bCs/>
          <w:color w:val="auto"/>
          <w:sz w:val="28"/>
          <w:szCs w:val="28"/>
          <w:highlight w:val="none"/>
        </w:rPr>
      </w:pPr>
    </w:p>
    <w:p>
      <w:pPr>
        <w:spacing w:line="360" w:lineRule="auto"/>
        <w:rPr>
          <w:rFonts w:ascii="仿宋_GB2312" w:hAnsi="仿宋_GB2312" w:eastAsia="仿宋_GB2312" w:cs="仿宋_GB2312"/>
          <w:bCs/>
          <w:color w:val="auto"/>
          <w:sz w:val="28"/>
          <w:szCs w:val="28"/>
          <w:highlight w:val="none"/>
        </w:rPr>
      </w:pPr>
    </w:p>
    <w:p>
      <w:pPr>
        <w:adjustRightInd w:val="0"/>
        <w:snapToGrid w:val="0"/>
        <w:rPr>
          <w:rFonts w:ascii="宋体" w:hAnsi="宋体" w:eastAsia="宋体" w:cs="宋体"/>
          <w:color w:val="auto"/>
          <w:szCs w:val="21"/>
          <w:highlight w:val="none"/>
        </w:rPr>
      </w:pPr>
      <w:r>
        <w:rPr>
          <w:rFonts w:hint="eastAsia" w:ascii="宋体" w:hAnsi="宋体" w:eastAsia="宋体" w:cs="宋体"/>
          <w:b/>
          <w:bCs/>
          <w:color w:val="auto"/>
          <w:szCs w:val="21"/>
          <w:highlight w:val="none"/>
        </w:rPr>
        <w:t>附件3.</w:t>
      </w:r>
      <w:r>
        <w:rPr>
          <w:rFonts w:hint="eastAsia" w:ascii="宋体" w:hAnsi="宋体" w:eastAsia="宋体" w:cs="宋体"/>
          <w:color w:val="auto"/>
          <w:szCs w:val="21"/>
          <w:highlight w:val="none"/>
        </w:rPr>
        <w:t>不诚信行为的情形及相应被暂停参与投标活动的处理标准</w:t>
      </w: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发生重伤或死亡1～2人的，暂停投标1年至2年（含）。</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发生重伤或死亡3～9人的，暂停投标2年以上至4年。</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bl>
    <w:tbl>
      <w:tblPr>
        <w:tblStyle w:val="21"/>
        <w:tblpPr w:leftFromText="180" w:rightFromText="180" w:vertAnchor="text" w:horzAnchor="page" w:tblpX="1200" w:tblpY="618"/>
        <w:tblOverlap w:val="never"/>
        <w:tblW w:w="10478" w:type="dxa"/>
        <w:tblInd w:w="0" w:type="dxa"/>
        <w:tblLayout w:type="autofit"/>
        <w:tblCellMar>
          <w:top w:w="0" w:type="dxa"/>
          <w:left w:w="0" w:type="dxa"/>
          <w:bottom w:w="0" w:type="dxa"/>
          <w:right w:w="0" w:type="dxa"/>
        </w:tblCellMar>
      </w:tblPr>
      <w:tblGrid>
        <w:gridCol w:w="420"/>
        <w:gridCol w:w="875"/>
        <w:gridCol w:w="729"/>
        <w:gridCol w:w="4362"/>
        <w:gridCol w:w="1023"/>
        <w:gridCol w:w="1023"/>
        <w:gridCol w:w="1023"/>
        <w:gridCol w:w="1023"/>
      </w:tblGrid>
      <w:tr>
        <w:tblPrEx>
          <w:tblCellMar>
            <w:top w:w="0" w:type="dxa"/>
            <w:left w:w="0" w:type="dxa"/>
            <w:bottom w:w="0" w:type="dxa"/>
            <w:right w:w="0" w:type="dxa"/>
          </w:tblCellMar>
        </w:tblPrEx>
        <w:trPr>
          <w:trHeight w:val="300" w:hRule="atLeast"/>
        </w:trPr>
        <w:tc>
          <w:tcPr>
            <w:tcW w:w="1295" w:type="dxa"/>
            <w:gridSpan w:val="2"/>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729" w:type="dxa"/>
            <w:tcBorders>
              <w:top w:val="nil"/>
              <w:left w:val="nil"/>
              <w:bottom w:val="nil"/>
              <w:right w:val="nil"/>
            </w:tcBorders>
            <w:shd w:val="clear" w:color="auto" w:fill="auto"/>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4362"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23"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23"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23"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23" w:type="dxa"/>
            <w:tcBorders>
              <w:top w:val="nil"/>
              <w:left w:val="nil"/>
              <w:bottom w:val="nil"/>
              <w:right w:val="nil"/>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trPr>
        <w:tc>
          <w:tcPr>
            <w:tcW w:w="10478" w:type="dxa"/>
            <w:gridSpan w:val="8"/>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436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4092"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436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扣合同金额的30%～50%；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或1万～2万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扣合同金额的20%～30%；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或2万～4万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扣合同金额的10%～20%；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或4万～8万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扣合同金额的5%～10%;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扣合同金额的20%～30%;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或5000～1万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扣合同金额的10%～20%；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或1万～2万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扣合同金额的5%～10%；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或2万～4万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扣合同金额的3%～5%；</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扣合同金额的10%～20%；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或2000～3000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扣合同金额的5%～10%；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或5000～1万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扣合同金额的3%～5%；</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或1万～2万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扣合同金额的1%～2%；</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1.发生事故或事件隐瞒不报的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2.未在1小时内向业主单位上报事故的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4.未按规定和程序组织事故调查和事故处理的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5.未及时处理导致事故扩大的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6.未落实“四不放过”的</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扣合同金额的30%～50%；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或1万～2万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扣合同金额的20%～30%；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或2万～4万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扣合同金额的10%～20%；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或4万～8万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扣合同金额的5%～10%;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2.施工单位对施工人员的三级安全教育材料</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缺资料扣合同金额的5%或500；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资料有问题扣合同金额的3%或300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缺资料扣合同金额的2%或2000；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资料有问题扣合同金额的1%或1000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缺资料扣合同金额的1%或4500；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资料有问题扣合同金额的0.4%或2000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缺资料扣合同金额的0.4%或8000；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4.施工方案，应满足合同要求，内容至少包括：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施工点介绍</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施工内容（含作业流程、风险分析、施工工艺等）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施工设备和材料（必要时含构件测试手段等）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缺施工方案扣合同金额的6%或700；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资料有问题扣合同金额的3%或300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缺施工方案扣合同金额的3%或3500；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资料有问题扣合同金额的1%或1000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缺施工方案扣合同金额的1.5%或5000；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资料有问题扣合同金额的0.5%或2500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缺施工方案扣合同金额的0.5%或1万；</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5.应急预案，内容至少包括：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现场情况介绍</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风险评估</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应急流程</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应急物资清单</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缺应急预案扣合同金额的6%或700；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资料有问题扣合同金额的3%或300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缺应急预案扣合同金额的3%或3500；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资料有问题扣合同金额的1%或1000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缺应急预案扣合同金额的1.5%或5000；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资料有问题扣合同金额的0.5%或2500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缺应急预案扣合同金额的0.5%或1万；</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安全责任人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施工负责人（可与安全责任人为同一个人）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设备、物资管理人员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缺安全架构扣合同金额的10%或2000；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缺安全架构扣合同金额的5%或5000；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缺安全架构扣合同金额的2%或1万；</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缺安全架构扣合同金额的1%或2万；</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7.施工人员花名册，人员应包含：</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施工负责人（需要施工管理人员资格证书）</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一般施工人员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缺花名册扣合同金额的5%或500；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缺花名册扣合同金额的2%或2000；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缺花名册扣合同金额的1%或4500；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缺花名册扣合同金额的0.4%或8000；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1.施工现场未开展有效围蔽</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3.现场无危险源公示、告知及相应警示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4.材料堆放存在重大隐患</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1.现场未按施工方案落实安全防范措施的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2.危险作业未经业主人员审批先行施工的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3.未按施工方案施工的</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1.违反9大危险作业相关作业规范的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3.人员错误使用劳保用品3次以上的</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1.未设置应急物资点，未统一存放应急物资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2.应急物资点无应急物资清单或无应急物资每日检查表</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扣合同金额的3%～5%；</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或300～500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扣合同金额的1%～2%；</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或1000～2000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扣合同金额的0.5%～1%；</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或2500～4500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扣合同金额的0.3%～0.4%；</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trPr>
        <w:tc>
          <w:tcPr>
            <w:tcW w:w="10478" w:type="dxa"/>
            <w:gridSpan w:val="8"/>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eastAsia="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rPr>
                <w:color w:val="auto"/>
                <w:highlight w:val="none"/>
              </w:rPr>
            </w:pPr>
          </w:p>
        </w:tc>
      </w:tr>
    </w:tbl>
    <w:p>
      <w:pPr>
        <w:contextualSpacing/>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备注：本处理标准出自《广州市净水有限公司经营建设项目参建企业不诚信行为管理办法》。</w:t>
      </w:r>
    </w:p>
    <w:p>
      <w:pPr>
        <w:pStyle w:val="2"/>
        <w:ind w:firstLine="0"/>
        <w:rPr>
          <w:rFonts w:cs="宋体"/>
          <w:b/>
          <w:bCs/>
          <w:color w:val="auto"/>
          <w:highlight w:val="none"/>
        </w:rPr>
      </w:pPr>
    </w:p>
    <w:p>
      <w:pPr>
        <w:pStyle w:val="2"/>
        <w:ind w:firstLine="0"/>
        <w:rPr>
          <w:rFonts w:cs="宋体"/>
          <w:b/>
          <w:bCs/>
          <w:color w:val="auto"/>
          <w:highlight w:val="none"/>
        </w:rPr>
      </w:pPr>
    </w:p>
    <w:tbl>
      <w:tblPr>
        <w:tblStyle w:val="21"/>
        <w:tblW w:w="9300" w:type="dxa"/>
        <w:tblInd w:w="0" w:type="dxa"/>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1.发生事故或事件隐瞒不报的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2.未在1小时内向业主单位上报事故的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4.未按规定和程序组织事故调查和事故处理的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5.未及时处理导致事故扩大的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2.施工单位对施工人员的三级安全教育材料</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缺资料扣3～5分/项；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4.施工方案，应满足合同要求，内容至少包括：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施工点介绍</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施工内容（含作业流程、风险分析、施工工艺等）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施工设备和材料（必要时含构件测试手段等）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缺施工方案扣4～8分/项；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5.应急预案，内容至少包括：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现场情况介绍</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风险评估</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应急流程</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应急物资清单</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缺应急预案扣4～8分/项；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安全责任人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施工负责人（可与安全责任人为同一个人）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设备、物资管理人员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缺安全架构扣5～10分/项；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7.施工人员花名册，人员应包含：</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施工负责人（需要施工管理人员资格证书）</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一般施工人员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缺花名册扣3～5分/项；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缺特种作业人员或特种作业人员不满足合同要求扣3～5分/项；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1.施工现场未开展有效围蔽</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3.现场无危险源公示、告知及相应警示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1.现场未按施工方案落实安全防范措施的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2.危险作业未经业主人员审批先行施工的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1.违反9大危险作业相关作业规范的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1.未设置应急物资点，未统一存放应急物资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2.应急物资点无应急物资清单或无应急物资每日检查表</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注：1、综合考评满分100分，各考评项目扣分不设上限；</w:t>
            </w:r>
            <w:r>
              <w:rPr>
                <w:rFonts w:hint="eastAsia"/>
                <w:color w:val="auto"/>
                <w:sz w:val="13"/>
                <w:szCs w:val="13"/>
                <w:highlight w:val="none"/>
              </w:rPr>
              <w:br w:type="textWrapping"/>
            </w:r>
            <w:r>
              <w:rPr>
                <w:rFonts w:hint="eastAsia"/>
                <w:color w:val="auto"/>
                <w:sz w:val="13"/>
                <w:szCs w:val="13"/>
                <w:highlight w:val="none"/>
              </w:rPr>
              <w:t xml:space="preserve">    2、监理单位考评只作为参考及履职依据，不计入考评，无监理单位不需填写；</w:t>
            </w:r>
            <w:r>
              <w:rPr>
                <w:rFonts w:hint="eastAsia"/>
                <w:color w:val="auto"/>
                <w:sz w:val="13"/>
                <w:szCs w:val="13"/>
                <w:highlight w:val="none"/>
              </w:rPr>
              <w:br w:type="textWrapping"/>
            </w:r>
            <w:r>
              <w:rPr>
                <w:rFonts w:hint="eastAsia"/>
                <w:color w:val="auto"/>
                <w:sz w:val="13"/>
                <w:szCs w:val="13"/>
                <w:highlight w:val="none"/>
              </w:rPr>
              <w:t xml:space="preserve">    3、“公司考评”业务主管部门和安全办针对本部门检查发现的内容进行扣（奖）分，项目部已经进行扣（奖）分的不重复执行；</w:t>
            </w:r>
            <w:r>
              <w:rPr>
                <w:rFonts w:hint="eastAsia"/>
                <w:color w:val="auto"/>
                <w:sz w:val="13"/>
                <w:szCs w:val="13"/>
                <w:highlight w:val="none"/>
              </w:rPr>
              <w:br w:type="textWrapping"/>
            </w:r>
            <w:r>
              <w:rPr>
                <w:rFonts w:hint="eastAsia"/>
                <w:color w:val="auto"/>
                <w:sz w:val="13"/>
                <w:szCs w:val="13"/>
                <w:highlight w:val="none"/>
              </w:rPr>
              <w:t xml:space="preserve">    4、各分公司考评填写相应的得（扣）分数值，如奖2分则填写“2”，扣2分则填写“-2”；</w:t>
            </w:r>
            <w:r>
              <w:rPr>
                <w:rFonts w:hint="eastAsia"/>
                <w:color w:val="auto"/>
                <w:sz w:val="13"/>
                <w:szCs w:val="13"/>
                <w:highlight w:val="none"/>
              </w:rPr>
              <w:br w:type="textWrapping"/>
            </w:r>
            <w:r>
              <w:rPr>
                <w:rFonts w:hint="eastAsia"/>
                <w:color w:val="auto"/>
                <w:sz w:val="13"/>
                <w:szCs w:val="13"/>
                <w:highlight w:val="none"/>
              </w:rPr>
              <w:t xml:space="preserve">    5、单项“综合考评”=项目部考评+公司考评；综合考评总分=各单项“综合考评”+100</w:t>
            </w:r>
            <w:r>
              <w:rPr>
                <w:rFonts w:hint="eastAsia"/>
                <w:color w:val="auto"/>
                <w:sz w:val="13"/>
                <w:szCs w:val="13"/>
                <w:highlight w:val="none"/>
              </w:rPr>
              <w:br w:type="textWrapping"/>
            </w:r>
            <w:r>
              <w:rPr>
                <w:rFonts w:hint="eastAsia"/>
                <w:color w:val="auto"/>
                <w:sz w:val="13"/>
                <w:szCs w:val="13"/>
                <w:highlight w:val="none"/>
              </w:rPr>
              <w:t xml:space="preserve">    6、最后得分=综合考评总分X类别系数；</w:t>
            </w:r>
            <w:r>
              <w:rPr>
                <w:rFonts w:hint="eastAsia"/>
                <w:color w:val="auto"/>
                <w:sz w:val="13"/>
                <w:szCs w:val="13"/>
                <w:highlight w:val="none"/>
              </w:rPr>
              <w:br w:type="textWrapping"/>
            </w: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eastAsia="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rPr>
                <w:color w:val="auto"/>
                <w:highlight w:val="none"/>
              </w:rPr>
            </w:pPr>
          </w:p>
        </w:tc>
      </w:tr>
    </w:tbl>
    <w:p>
      <w:pPr>
        <w:spacing w:line="360" w:lineRule="auto"/>
        <w:rPr>
          <w:rFonts w:ascii="宋体" w:hAnsi="宋体" w:eastAsia="宋体" w:cs="Times New Roman"/>
          <w:b/>
          <w:color w:val="auto"/>
          <w:sz w:val="24"/>
          <w:szCs w:val="24"/>
          <w:highlight w:val="none"/>
        </w:rPr>
      </w:pPr>
    </w:p>
    <w:p>
      <w:pPr>
        <w:spacing w:line="360" w:lineRule="auto"/>
        <w:rPr>
          <w:rFonts w:ascii="宋体" w:hAnsi="宋体" w:eastAsia="宋体" w:cs="宋体"/>
          <w:b/>
          <w:color w:val="auto"/>
          <w:szCs w:val="21"/>
          <w:highlight w:val="none"/>
        </w:rPr>
      </w:pPr>
    </w:p>
    <w:p>
      <w:pPr>
        <w:spacing w:line="360" w:lineRule="auto"/>
        <w:ind w:firstLine="643" w:firstLineChars="200"/>
        <w:rPr>
          <w:rFonts w:ascii="宋体" w:hAnsi="宋体" w:eastAsia="仿宋_GB2312" w:cs="宋体"/>
          <w:b/>
          <w:color w:val="auto"/>
          <w:sz w:val="32"/>
          <w:szCs w:val="21"/>
          <w:highlight w:val="none"/>
        </w:rPr>
      </w:pPr>
    </w:p>
    <w:p>
      <w:pPr>
        <w:spacing w:line="360" w:lineRule="auto"/>
        <w:ind w:firstLine="643" w:firstLineChars="200"/>
        <w:rPr>
          <w:rFonts w:ascii="宋体" w:hAnsi="宋体" w:eastAsia="仿宋_GB2312" w:cs="宋体"/>
          <w:b/>
          <w:color w:val="auto"/>
          <w:sz w:val="32"/>
          <w:szCs w:val="21"/>
          <w:highlight w:val="none"/>
        </w:rPr>
      </w:pPr>
    </w:p>
    <w:p>
      <w:pPr>
        <w:spacing w:line="360" w:lineRule="auto"/>
        <w:ind w:firstLine="643" w:firstLineChars="200"/>
        <w:rPr>
          <w:rFonts w:ascii="宋体" w:hAnsi="宋体" w:eastAsia="仿宋_GB2312" w:cs="宋体"/>
          <w:b/>
          <w:color w:val="auto"/>
          <w:sz w:val="32"/>
          <w:szCs w:val="21"/>
          <w:highlight w:val="none"/>
        </w:rPr>
      </w:pPr>
    </w:p>
    <w:p>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附件4：</w:t>
      </w:r>
      <w:bookmarkEnd w:id="155"/>
      <w:bookmarkEnd w:id="156"/>
      <w:bookmarkEnd w:id="157"/>
      <w:r>
        <w:rPr>
          <w:rFonts w:hint="eastAsia" w:ascii="宋体" w:hAnsi="宋体" w:eastAsia="宋体" w:cs="宋体"/>
          <w:b/>
          <w:color w:val="auto"/>
          <w:szCs w:val="21"/>
          <w:highlight w:val="none"/>
        </w:rPr>
        <w:t>安全管理协议书</w:t>
      </w:r>
    </w:p>
    <w:p>
      <w:pPr>
        <w:spacing w:line="360" w:lineRule="auto"/>
        <w:jc w:val="center"/>
        <w:rPr>
          <w:rFonts w:ascii="宋体" w:hAnsi="宋体" w:eastAsia="宋体" w:cs="宋体"/>
          <w:b/>
          <w:bCs/>
          <w:color w:val="auto"/>
          <w:sz w:val="24"/>
          <w:szCs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s="Times New Roman"/>
          <w:color w:val="auto"/>
          <w:sz w:val="24"/>
          <w:szCs w:val="24"/>
          <w:highlight w:val="none"/>
        </w:rPr>
      </w:pPr>
    </w:p>
    <w:p>
      <w:pPr>
        <w:spacing w:line="560" w:lineRule="exact"/>
        <w:rPr>
          <w:rFonts w:ascii="宋体" w:hAnsi="宋体" w:eastAsia="宋体" w:cs="Arial"/>
          <w:color w:val="auto"/>
          <w:kern w:val="0"/>
          <w:sz w:val="24"/>
          <w:szCs w:val="24"/>
          <w:highlight w:val="none"/>
        </w:rPr>
      </w:pPr>
      <w:bookmarkStart w:id="158" w:name="_Toc21391"/>
      <w:r>
        <w:rPr>
          <w:rFonts w:hint="eastAsia" w:ascii="宋体" w:hAnsi="宋体" w:eastAsia="宋体" w:cs="Arial"/>
          <w:color w:val="auto"/>
          <w:kern w:val="0"/>
          <w:sz w:val="24"/>
          <w:szCs w:val="24"/>
          <w:highlight w:val="none"/>
        </w:rPr>
        <w:t>甲方：</w:t>
      </w:r>
      <w:r>
        <w:rPr>
          <w:rFonts w:hint="eastAsia" w:ascii="Times New Roman" w:hAnsi="Times New Roman" w:eastAsia="宋体" w:cs="Times New Roman"/>
          <w:color w:val="auto"/>
          <w:sz w:val="24"/>
          <w:szCs w:val="24"/>
          <w:highlight w:val="none"/>
        </w:rPr>
        <w:t>广州市净水有限公司</w:t>
      </w:r>
    </w:p>
    <w:p>
      <w:pPr>
        <w:spacing w:line="560" w:lineRule="exact"/>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 xml:space="preserve">乙方： </w:t>
      </w:r>
    </w:p>
    <w:p>
      <w:pPr>
        <w:adjustRightInd w:val="0"/>
        <w:snapToGrid w:val="0"/>
        <w:spacing w:line="560" w:lineRule="exact"/>
        <w:jc w:val="left"/>
        <w:rPr>
          <w:rFonts w:cs="Times New Roman" w:asciiTheme="minorEastAsia" w:hAnsiTheme="minorEastAsia"/>
          <w:bCs/>
          <w:color w:val="auto"/>
          <w:sz w:val="24"/>
          <w:szCs w:val="24"/>
          <w:highlight w:val="none"/>
          <w:u w:val="single"/>
        </w:rPr>
      </w:pPr>
    </w:p>
    <w:bookmarkEnd w:id="158"/>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一、本协议与主合同的关系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本协议作为</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的组成部分，与主合同具有同等法律效力。</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cs="Times New Roman" w:asciiTheme="minorEastAsia" w:hAnsiTheme="minorEastAsia"/>
          <w:b/>
          <w:color w:val="auto"/>
          <w:sz w:val="24"/>
          <w:szCs w:val="24"/>
          <w:highlight w:val="none"/>
        </w:rPr>
        <w:t xml:space="preserve"> 二、</w:t>
      </w:r>
      <w:r>
        <w:rPr>
          <w:rFonts w:hint="eastAsia" w:cs="Times New Roman" w:asciiTheme="minorEastAsia" w:hAnsiTheme="minorEastAsia"/>
          <w:b/>
          <w:color w:val="auto"/>
          <w:sz w:val="24"/>
          <w:szCs w:val="24"/>
          <w:highlight w:val="none"/>
        </w:rPr>
        <w:t>甲方权责</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（二）落实生产营运等相关配合措施，提供必要的施工条件。</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（三）要求乙方遵守的甲方安全管理要求。</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1.</w:t>
      </w:r>
      <w:r>
        <w:rPr>
          <w:rFonts w:hint="eastAsia" w:cs="Times New Roman" w:asciiTheme="minorEastAsia" w:hAnsiTheme="minorEastAsia"/>
          <w:color w:val="auto"/>
          <w:sz w:val="24"/>
          <w:szCs w:val="24"/>
          <w:highlight w:val="none"/>
        </w:rPr>
        <w:t>按主合同相关条款进行经济扣罚；</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2.</w:t>
      </w:r>
      <w:r>
        <w:rPr>
          <w:rFonts w:hint="eastAsia" w:cs="Times New Roman" w:asciiTheme="minorEastAsia" w:hAnsiTheme="minorEastAsia"/>
          <w:color w:val="auto"/>
          <w:sz w:val="24"/>
          <w:szCs w:val="24"/>
          <w:highlight w:val="none"/>
        </w:rPr>
        <w:t>根据《广州市水务局关于印发广州市水务工程施工和监理企业诚信评价管理办法的通知》（穗水建设〔2</w:t>
      </w:r>
      <w:r>
        <w:rPr>
          <w:rFonts w:cs="Times New Roman" w:asciiTheme="minorEastAsia" w:hAnsiTheme="minorEastAsia"/>
          <w:color w:val="auto"/>
          <w:sz w:val="24"/>
          <w:szCs w:val="24"/>
          <w:highlight w:val="none"/>
        </w:rPr>
        <w:t>014</w:t>
      </w:r>
      <w:r>
        <w:rPr>
          <w:rFonts w:hint="eastAsia" w:cs="Times New Roman" w:asciiTheme="minorEastAsia" w:hAnsiTheme="minorEastAsia"/>
          <w:color w:val="auto"/>
          <w:sz w:val="24"/>
          <w:szCs w:val="24"/>
          <w:highlight w:val="none"/>
        </w:rPr>
        <w:t>〕1</w:t>
      </w:r>
      <w:r>
        <w:rPr>
          <w:rFonts w:cs="Times New Roman" w:asciiTheme="minorEastAsia" w:hAnsiTheme="minorEastAsia"/>
          <w:color w:val="auto"/>
          <w:sz w:val="24"/>
          <w:szCs w:val="24"/>
          <w:highlight w:val="none"/>
        </w:rPr>
        <w:t>0</w:t>
      </w:r>
      <w:r>
        <w:rPr>
          <w:rFonts w:hint="eastAsia" w:cs="Times New Roman" w:asciiTheme="minorEastAsia" w:hAnsiTheme="minorEastAsia"/>
          <w:color w:val="auto"/>
          <w:sz w:val="24"/>
          <w:szCs w:val="24"/>
          <w:highlight w:val="none"/>
        </w:rPr>
        <w:t>号）、《市净水公司关于印发施工和监理企业诚信评价工作实施办法的通知》（穗净水〔201</w:t>
      </w:r>
      <w:r>
        <w:rPr>
          <w:rFonts w:cs="Times New Roman" w:asciiTheme="minorEastAsia" w:hAnsiTheme="minorEastAsia"/>
          <w:color w:val="auto"/>
          <w:sz w:val="24"/>
          <w:szCs w:val="24"/>
          <w:highlight w:val="none"/>
        </w:rPr>
        <w:t>5</w:t>
      </w:r>
      <w:r>
        <w:rPr>
          <w:rFonts w:hint="eastAsia" w:cs="Times New Roman" w:asciiTheme="minorEastAsia" w:hAnsiTheme="minorEastAsia"/>
          <w:color w:val="auto"/>
          <w:sz w:val="24"/>
          <w:szCs w:val="24"/>
          <w:highlight w:val="none"/>
        </w:rPr>
        <w:t>〕2</w:t>
      </w:r>
      <w:r>
        <w:rPr>
          <w:rFonts w:cs="Times New Roman" w:asciiTheme="minorEastAsia" w:hAnsiTheme="minorEastAsia"/>
          <w:color w:val="auto"/>
          <w:sz w:val="24"/>
          <w:szCs w:val="24"/>
          <w:highlight w:val="none"/>
        </w:rPr>
        <w:t>40</w:t>
      </w:r>
      <w:r>
        <w:rPr>
          <w:rFonts w:hint="eastAsia" w:cs="Times New Roman" w:asciiTheme="minorEastAsia" w:hAnsiTheme="minorEastAsia"/>
          <w:color w:val="auto"/>
          <w:sz w:val="24"/>
          <w:szCs w:val="24"/>
          <w:highlight w:val="none"/>
        </w:rPr>
        <w:t>号），进行诚信扣分（合同期内有新的文件印发的，按照最新的文件执行）；</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3</w:t>
      </w:r>
      <w:r>
        <w:rPr>
          <w:rFonts w:cs="Times New Roman" w:asciiTheme="minorEastAsia" w:hAnsiTheme="minorEastAsia"/>
          <w:color w:val="auto"/>
          <w:sz w:val="24"/>
          <w:szCs w:val="24"/>
          <w:highlight w:val="none"/>
        </w:rPr>
        <w:t>.</w:t>
      </w:r>
      <w:r>
        <w:rPr>
          <w:rFonts w:hint="eastAsia" w:cs="Times New Roman" w:asciiTheme="minorEastAsia" w:hAnsiTheme="minorEastAsia"/>
          <w:color w:val="auto"/>
          <w:sz w:val="24"/>
          <w:szCs w:val="24"/>
          <w:highlight w:val="none"/>
        </w:rPr>
        <w:t>限制投保，或经其他单位承包后以分别方参与项目实施；</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4.</w:t>
      </w:r>
      <w:r>
        <w:rPr>
          <w:rFonts w:hint="eastAsia" w:cs="Times New Roman" w:asciiTheme="minorEastAsia" w:hAnsiTheme="minorEastAsia"/>
          <w:color w:val="auto"/>
          <w:sz w:val="24"/>
          <w:szCs w:val="24"/>
          <w:highlight w:val="none"/>
        </w:rPr>
        <w:t>向上级进行反映，包括但不限于广东省市政行业协会、广州市市政公路协会等。</w:t>
      </w:r>
    </w:p>
    <w:p>
      <w:pPr>
        <w:spacing w:line="560" w:lineRule="exact"/>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三、乙方权责</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（三）乙方应在合同签订后</w:t>
      </w:r>
      <w:r>
        <w:rPr>
          <w:rFonts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配合甲方的安全监督检查，并立即对提出的问题隐患进行整改。</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（八）严格履行本协议，遵守甲方各项管理规定，服从管理。</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四、事故责任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2" w:firstLineChars="200"/>
        <w:rPr>
          <w:rFonts w:cs="Times New Roman" w:asciiTheme="minorEastAsia" w:hAnsiTheme="minorEastAsia"/>
          <w:color w:val="auto"/>
          <w:sz w:val="24"/>
          <w:szCs w:val="24"/>
          <w:highlight w:val="none"/>
        </w:rPr>
      </w:pPr>
      <w:r>
        <w:rPr>
          <w:rFonts w:hint="eastAsia" w:cs="Times New Roman" w:asciiTheme="minorEastAsia" w:hAnsiTheme="minorEastAsia"/>
          <w:b/>
          <w:color w:val="auto"/>
          <w:sz w:val="24"/>
          <w:szCs w:val="24"/>
          <w:highlight w:val="none"/>
        </w:rPr>
        <w:t>五、补充条款：</w:t>
      </w:r>
      <w:r>
        <w:rPr>
          <w:rFonts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六、附则</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cs="Times New Roman" w:hAnsiTheme="minorEastAsia"/>
          <w:color w:val="auto"/>
          <w:sz w:val="24"/>
          <w:szCs w:val="24"/>
          <w:highlight w:val="none"/>
        </w:rPr>
      </w:pPr>
    </w:p>
    <w:tbl>
      <w:tblPr>
        <w:tblStyle w:val="4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甲方：</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签约代表：</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联系电话：</w:t>
            </w:r>
          </w:p>
          <w:p>
            <w:pPr>
              <w:adjustRightInd w:val="0"/>
              <w:snapToGrid w:val="0"/>
              <w:spacing w:line="560" w:lineRule="exact"/>
              <w:ind w:firstLine="240" w:firstLineChars="100"/>
              <w:jc w:val="righ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年</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月</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日</w:t>
            </w:r>
          </w:p>
        </w:tc>
        <w:tc>
          <w:tcPr>
            <w:tcW w:w="4474" w:type="dxa"/>
          </w:tcPr>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乙方：</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签约代表：</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联系电话：</w:t>
            </w:r>
          </w:p>
          <w:p>
            <w:pPr>
              <w:adjustRightInd w:val="0"/>
              <w:snapToGrid w:val="0"/>
              <w:spacing w:line="560" w:lineRule="exact"/>
              <w:jc w:val="righ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年</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月</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日</w:t>
            </w:r>
          </w:p>
        </w:tc>
      </w:tr>
    </w:tbl>
    <w:p>
      <w:pPr>
        <w:widowControl/>
        <w:spacing w:line="560" w:lineRule="exact"/>
        <w:ind w:firstLine="1560" w:firstLineChars="650"/>
        <w:jc w:val="left"/>
        <w:rPr>
          <w:rFonts w:ascii="宋体" w:hAnsi="宋体" w:eastAsia="宋体" w:cs="宋体"/>
          <w:color w:val="auto"/>
          <w:kern w:val="0"/>
          <w:sz w:val="24"/>
          <w:szCs w:val="24"/>
          <w:highlight w:val="none"/>
        </w:rPr>
      </w:pPr>
    </w:p>
    <w:p>
      <w:pPr>
        <w:spacing w:line="360" w:lineRule="auto"/>
        <w:rPr>
          <w:rFonts w:ascii="宋体" w:hAnsi="宋体" w:eastAsia="宋体" w:cs="宋体"/>
          <w:b/>
          <w:bCs/>
          <w:color w:val="auto"/>
          <w:szCs w:val="21"/>
          <w:highlight w:val="none"/>
        </w:rPr>
      </w:pPr>
    </w:p>
    <w:p>
      <w:pPr>
        <w:widowControl/>
        <w:jc w:val="left"/>
        <w:rPr>
          <w:rFonts w:ascii="宋体" w:hAnsi="宋体" w:eastAsia="宋体" w:cs="宋体"/>
          <w:b/>
          <w:bCs/>
          <w:color w:val="auto"/>
          <w:szCs w:val="21"/>
          <w:highlight w:val="none"/>
        </w:rPr>
      </w:pPr>
      <w:r>
        <w:rPr>
          <w:rFonts w:ascii="宋体" w:hAnsi="宋体" w:eastAsia="宋体" w:cs="宋体"/>
          <w:b/>
          <w:bCs/>
          <w:color w:val="auto"/>
          <w:szCs w:val="21"/>
          <w:highlight w:val="none"/>
        </w:rPr>
        <w:br w:type="page"/>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Cs w:val="21"/>
          <w:highlight w:val="none"/>
        </w:rPr>
        <w:t>附件5：</w:t>
      </w:r>
    </w:p>
    <w:p>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工程量报价</w:t>
      </w:r>
    </w:p>
    <w:tbl>
      <w:tblPr>
        <w:tblStyle w:val="21"/>
        <w:tblW w:w="91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46"/>
        <w:gridCol w:w="3432"/>
        <w:gridCol w:w="87"/>
        <w:gridCol w:w="1994"/>
        <w:gridCol w:w="2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6864"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6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工程名称：石井净分公司生产区域道闸采购项目</w:t>
            </w:r>
          </w:p>
        </w:tc>
        <w:tc>
          <w:tcPr>
            <w:tcW w:w="199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92"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34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343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208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2292"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spacing w:line="360" w:lineRule="auto"/>
        <w:rPr>
          <w:rFonts w:ascii="宋体" w:hAnsi="宋体" w:eastAsia="宋体" w:cs="宋体"/>
          <w:b/>
          <w:bCs/>
          <w:color w:val="auto"/>
          <w:szCs w:val="21"/>
          <w:highlight w:val="none"/>
        </w:rPr>
      </w:pPr>
    </w:p>
    <w:tbl>
      <w:tblPr>
        <w:tblStyle w:val="21"/>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6"/>
        <w:gridCol w:w="1487"/>
        <w:gridCol w:w="2833"/>
        <w:gridCol w:w="297"/>
        <w:gridCol w:w="595"/>
        <w:gridCol w:w="690"/>
        <w:gridCol w:w="175"/>
        <w:gridCol w:w="824"/>
        <w:gridCol w:w="1019"/>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683"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181"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工程名称：石井净分公司生产区域道闸采购项目</w:t>
            </w:r>
          </w:p>
        </w:tc>
        <w:tc>
          <w:tcPr>
            <w:tcW w:w="1757"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74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48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313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59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69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92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8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1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0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8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1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整个项目</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双目动态人脸识别机</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1.名称:人体生物特征识别</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2.规格：符合设计要求</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4口POE交换机</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1.名称:4口POE交换机</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2.功能:带POE供电</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门锁安装</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1.名称:门锁</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2.规格:280KG电磁吸力锁</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门禁开关</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1.名称:门禁按钮</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2.规格:符合设计要求</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门禁电源</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1.名称:门禁电源</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2.规格:符合设计要求</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自动平移人行道闸</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1.名称:自动平移人行道闸</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2.规格:宽：1150cm;高：1150cm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配管</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1.名称:镀锌电线管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2.规格:DN20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2200</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超五类网线</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1.名称:双绞线缆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2.规格及型号:符合设计要求</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3.线缆敷设、水晶头制安、标记、卡接</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4.测试</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5.其他:符合规范要求</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2200</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双绞线缆测试</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1.测试类别:双绞线缆测试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链路</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路面切割</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1.面层:沥青混凝土</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2.厚度:5cm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沥青贯入式</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1.名称:路面恢复</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2.用料:符合设计要求沥青</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3.厚度:5cm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系统调试</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1.名称:安全防范分系统调试</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2.通道数:符合设计要求</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系统</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拆除路面</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1.材质:混凝土路面拆除</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2.厚度:5cm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0.7</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高层施工增加</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脚手架搭拆费</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763" w:type="dxa"/>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763"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02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spacing w:line="360" w:lineRule="auto"/>
        <w:rPr>
          <w:rFonts w:ascii="宋体" w:hAnsi="宋体" w:eastAsia="宋体" w:cs="宋体"/>
          <w:b/>
          <w:bCs/>
          <w:color w:val="auto"/>
          <w:szCs w:val="21"/>
          <w:highlight w:val="none"/>
        </w:rPr>
      </w:pPr>
    </w:p>
    <w:tbl>
      <w:tblPr>
        <w:tblStyle w:val="21"/>
        <w:tblW w:w="96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3"/>
        <w:gridCol w:w="2"/>
        <w:gridCol w:w="1719"/>
        <w:gridCol w:w="6"/>
        <w:gridCol w:w="1601"/>
        <w:gridCol w:w="9"/>
        <w:gridCol w:w="900"/>
        <w:gridCol w:w="10"/>
        <w:gridCol w:w="77"/>
        <w:gridCol w:w="1294"/>
        <w:gridCol w:w="11"/>
        <w:gridCol w:w="783"/>
        <w:gridCol w:w="192"/>
        <w:gridCol w:w="12"/>
        <w:gridCol w:w="947"/>
        <w:gridCol w:w="13"/>
        <w:gridCol w:w="1281"/>
        <w:gridCol w:w="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795" w:hRule="atLeast"/>
        </w:trPr>
        <w:tc>
          <w:tcPr>
            <w:tcW w:w="9660" w:type="dxa"/>
            <w:gridSpan w:val="1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825" w:hRule="atLeast"/>
        </w:trPr>
        <w:tc>
          <w:tcPr>
            <w:tcW w:w="5127"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工程名称：石井净分公司生产区域道闸采购项目</w:t>
            </w:r>
          </w:p>
        </w:tc>
        <w:tc>
          <w:tcPr>
            <w:tcW w:w="208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44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570" w:hRule="atLeast"/>
        </w:trPr>
        <w:tc>
          <w:tcPr>
            <w:tcW w:w="80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721"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60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90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138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986"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费率(%)</w:t>
            </w:r>
          </w:p>
        </w:tc>
        <w:tc>
          <w:tcPr>
            <w:tcW w:w="95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金额(元)</w:t>
            </w:r>
          </w:p>
        </w:tc>
        <w:tc>
          <w:tcPr>
            <w:tcW w:w="1294"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159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35.77</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21360.19</w:t>
            </w: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57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安装与生产同时进行增加费用</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 w:type="dxa"/>
          <w:trHeight w:val="57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在有害身体健康环境中施工增加费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108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在地下（暗）室、设备及大口径管道内等特殊施工部位进行施工增加费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2865"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 w:type="dxa"/>
          <w:trHeight w:val="108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夜间施工增加费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108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交通干扰工程施工增加费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2355"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文明工地增加费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795" w:hRule="atLeast"/>
        </w:trPr>
        <w:tc>
          <w:tcPr>
            <w:tcW w:w="803"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721"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地下管线交叉降效费</w:t>
            </w:r>
          </w:p>
        </w:tc>
        <w:tc>
          <w:tcPr>
            <w:tcW w:w="1607"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0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381"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0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6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3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按实际发生或经批准的施工组织设计方案计算</w:t>
            </w:r>
          </w:p>
        </w:tc>
      </w:tr>
    </w:tbl>
    <w:p>
      <w:pPr>
        <w:spacing w:line="360" w:lineRule="auto"/>
        <w:rPr>
          <w:rFonts w:ascii="宋体" w:hAnsi="宋体" w:eastAsia="宋体" w:cs="宋体"/>
          <w:b/>
          <w:bCs/>
          <w:color w:val="auto"/>
          <w:szCs w:val="21"/>
          <w:highlight w:val="none"/>
        </w:rPr>
      </w:pPr>
    </w:p>
    <w:tbl>
      <w:tblPr>
        <w:tblStyle w:val="21"/>
        <w:tblW w:w="9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41"/>
        <w:gridCol w:w="2861"/>
        <w:gridCol w:w="4"/>
        <w:gridCol w:w="1097"/>
        <w:gridCol w:w="781"/>
        <w:gridCol w:w="5"/>
        <w:gridCol w:w="1008"/>
        <w:gridCol w:w="510"/>
        <w:gridCol w:w="7"/>
        <w:gridCol w:w="2056"/>
        <w:gridCol w:w="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6998" w:type="dxa"/>
            <w:gridSpan w:val="7"/>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2572" w:type="dxa"/>
            <w:gridSpan w:val="3"/>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795" w:hRule="atLeast"/>
        </w:trPr>
        <w:tc>
          <w:tcPr>
            <w:tcW w:w="957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570" w:hRule="atLeast"/>
        </w:trPr>
        <w:tc>
          <w:tcPr>
            <w:tcW w:w="5204"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工程名称：石井净分公司生产区域道闸采购项目</w:t>
            </w:r>
          </w:p>
        </w:tc>
        <w:tc>
          <w:tcPr>
            <w:tcW w:w="179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57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75" w:hRule="atLeast"/>
        </w:trPr>
        <w:tc>
          <w:tcPr>
            <w:tcW w:w="124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86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88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523"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结算金额（元）</w:t>
            </w:r>
          </w:p>
        </w:tc>
        <w:tc>
          <w:tcPr>
            <w:tcW w:w="2063"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32236.61</w:t>
            </w: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材料暂估价</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专业工程暂估价</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8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883"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52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06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r>
    </w:tbl>
    <w:p>
      <w:pPr>
        <w:pStyle w:val="2"/>
        <w:rPr>
          <w:color w:val="auto"/>
          <w:highlight w:val="none"/>
        </w:rPr>
      </w:pPr>
    </w:p>
    <w:tbl>
      <w:tblPr>
        <w:tblStyle w:val="21"/>
        <w:tblW w:w="100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7"/>
        <w:gridCol w:w="2053"/>
        <w:gridCol w:w="2832"/>
        <w:gridCol w:w="228"/>
        <w:gridCol w:w="1454"/>
        <w:gridCol w:w="18"/>
        <w:gridCol w:w="899"/>
        <w:gridCol w:w="8"/>
        <w:gridCol w:w="1491"/>
        <w:gridCol w:w="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795" w:hRule="atLeast"/>
        </w:trPr>
        <w:tc>
          <w:tcPr>
            <w:tcW w:w="10050"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595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工程名称：石井净分公司生产区域道闸采购项目</w:t>
            </w:r>
          </w:p>
        </w:tc>
        <w:tc>
          <w:tcPr>
            <w:tcW w:w="17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39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106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05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306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145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计算基数</w:t>
            </w:r>
          </w:p>
        </w:tc>
        <w:tc>
          <w:tcPr>
            <w:tcW w:w="91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1499"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106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0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3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分部分项合计+措施合计+其他项目</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4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59"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合    计</w:t>
            </w:r>
          </w:p>
        </w:tc>
        <w:tc>
          <w:tcPr>
            <w:tcW w:w="1500"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p>
        </w:tc>
      </w:tr>
    </w:tbl>
    <w:p>
      <w:pPr>
        <w:pStyle w:val="2"/>
        <w:rPr>
          <w:color w:val="auto"/>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附件6 ：项目投入人员架构表</w:t>
      </w:r>
    </w:p>
    <w:tbl>
      <w:tblPr>
        <w:tblStyle w:val="2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4"/>
                <w:highlight w:val="none"/>
              </w:rPr>
            </w:pPr>
            <w:r>
              <w:rPr>
                <w:rFonts w:hint="eastAsia" w:ascii="宋体" w:hAnsi="宋体" w:cs="宋体"/>
                <w:color w:val="auto"/>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bl>
    <w:p>
      <w:pPr>
        <w:pStyle w:val="2"/>
        <w:rPr>
          <w:color w:val="auto"/>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附件7：履约保函（模板）</w:t>
      </w:r>
    </w:p>
    <w:p>
      <w:pPr>
        <w:jc w:val="center"/>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履约保函模板</w:t>
      </w:r>
    </w:p>
    <w:p>
      <w:pPr>
        <w:rPr>
          <w:rFonts w:cs="Times New Roman" w:asciiTheme="minorEastAsia" w:hAnsiTheme="minorEastAsia"/>
          <w:color w:val="auto"/>
          <w:sz w:val="24"/>
          <w:szCs w:val="24"/>
          <w:highlight w:val="none"/>
        </w:rPr>
      </w:pPr>
    </w:p>
    <w:p>
      <w:pPr>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致：</w:t>
      </w:r>
      <w:r>
        <w:rPr>
          <w:rFonts w:hint="eastAsia" w:cs="Times New Roman" w:asciiTheme="minorEastAsia" w:hAnsiTheme="minorEastAsia"/>
          <w:color w:val="auto"/>
          <w:sz w:val="24"/>
          <w:szCs w:val="24"/>
          <w:highlight w:val="none"/>
          <w:u w:val="single"/>
        </w:rPr>
        <w:t xml:space="preserve">               （受益人）</w:t>
      </w:r>
      <w:r>
        <w:rPr>
          <w:rFonts w:cs="Times New Roman" w:asciiTheme="minorEastAsia" w:hAnsiTheme="minorEastAsia"/>
          <w:color w:val="auto"/>
          <w:sz w:val="24"/>
          <w:szCs w:val="24"/>
          <w:highlight w:val="none"/>
        </w:rPr>
        <w:br w:type="textWrapping"/>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鉴于（以下简称“委托人”）与贵方于</w:t>
      </w:r>
      <w:r>
        <w:rPr>
          <w:rFonts w:hint="eastAsia" w:cs="Times New Roman" w:asciiTheme="minorEastAsia" w:hAnsiTheme="minorEastAsia"/>
          <w:color w:val="auto"/>
          <w:sz w:val="24"/>
          <w:szCs w:val="24"/>
          <w:highlight w:val="none"/>
          <w:u w:val="single"/>
        </w:rPr>
        <w:t xml:space="preserve">   年  月  日</w:t>
      </w:r>
      <w:r>
        <w:rPr>
          <w:rFonts w:hint="eastAsia" w:cs="Times New Roman" w:asciiTheme="minorEastAsia" w:hAnsiTheme="minorEastAsia"/>
          <w:color w:val="auto"/>
          <w:sz w:val="24"/>
          <w:szCs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二、贵单位的索赔申请应符合下述条件：</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（一）贵单位法定代表人或其授权代表签字并加盖单位公章；</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（二）在保函有效期内送达我行；</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（三）明确的索赔金额（不得超过本保函第一条所列之限额）。</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三、本保函自签发之日起生效，有效期至</w:t>
      </w:r>
      <w:r>
        <w:rPr>
          <w:rFonts w:hint="eastAsia" w:cs="Times New Roman" w:asciiTheme="minorEastAsia" w:hAnsiTheme="minorEastAsia"/>
          <w:color w:val="auto"/>
          <w:sz w:val="24"/>
          <w:szCs w:val="24"/>
          <w:highlight w:val="none"/>
          <w:u w:val="single"/>
        </w:rPr>
        <w:t xml:space="preserve">  年  月  日</w:t>
      </w:r>
      <w:r>
        <w:rPr>
          <w:rFonts w:hint="eastAsia" w:cs="Times New Roman" w:asciiTheme="minorEastAsia" w:hAnsiTheme="minorEastAsia"/>
          <w:color w:val="auto"/>
          <w:sz w:val="24"/>
          <w:szCs w:val="24"/>
          <w:highlight w:val="none"/>
        </w:rPr>
        <w:t>。本保函于下述任一事项发生之时立即失效，我行在本保函项下的保证义务即刻解除：</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（一）本保函有效期限届满；</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（二）我行保证的义务履行完毕。</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五、我行向你方支付索赔金额后，本保函担保金额即按贵方通知的索赔金额予以递减。</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六、保函失效后请将保函退回我行注销，无论正本最终退回与否，不影响本保函依上述约定自动失效。</w:t>
      </w:r>
    </w:p>
    <w:p>
      <w:pPr>
        <w:ind w:firstLine="420"/>
        <w:rPr>
          <w:rFonts w:cs="Times New Roman" w:asciiTheme="minorEastAsia" w:hAnsiTheme="minorEastAsia"/>
          <w:color w:val="auto"/>
          <w:sz w:val="24"/>
          <w:szCs w:val="24"/>
          <w:highlight w:val="none"/>
        </w:rPr>
      </w:pP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 xml:space="preserve">                                                   落款</w:t>
      </w:r>
    </w:p>
    <w:p>
      <w:pPr>
        <w:ind w:firstLine="420"/>
        <w:rPr>
          <w:rFonts w:cs="Times New Roman" w:asciiTheme="minorEastAsia" w:hAnsiTheme="minorEastAsia"/>
          <w:color w:val="auto"/>
          <w:sz w:val="24"/>
          <w:szCs w:val="24"/>
          <w:highlight w:val="none"/>
        </w:rPr>
      </w:pPr>
    </w:p>
    <w:p>
      <w:pPr>
        <w:ind w:firstLine="645"/>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保函说明：</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保函不得有下列或类似含义的表述：</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1.银行承担的为连带责任保证、一般保证。</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2.未经银行书面同意，受益人与申请人修改合同或其项下附件时，银行的保证义务解除。</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3.合同撤销或无效的，保函失效。</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4.申请人对受益人的抗辩，银行有权向受益人主张。</w:t>
      </w:r>
    </w:p>
    <w:p>
      <w:pPr>
        <w:ind w:firstLine="645"/>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5.受益人请求付款的请款单据包含法院裁判文书、仲裁裁决、第三方单位出具的鉴定书等申请人违约的证明材料。</w:t>
      </w: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附件10</w:t>
      </w:r>
    </w:p>
    <w:p>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预付款保函模板</w:t>
      </w:r>
    </w:p>
    <w:p>
      <w:pPr>
        <w:rPr>
          <w:color w:val="auto"/>
          <w:highlight w:val="none"/>
        </w:rPr>
      </w:pPr>
    </w:p>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（受益人）</w:t>
      </w:r>
    </w:p>
    <w:p>
      <w:pPr>
        <w:rPr>
          <w:rFonts w:ascii="仿宋" w:hAnsi="仿宋" w:eastAsia="仿宋"/>
          <w:color w:val="auto"/>
          <w:sz w:val="28"/>
          <w:szCs w:val="28"/>
          <w:highlight w:val="none"/>
        </w:rPr>
      </w:pPr>
    </w:p>
    <w:p>
      <w:pPr>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鉴于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（以下简称“委托人”）与你方于</w:t>
      </w:r>
      <w:r>
        <w:rPr>
          <w:rFonts w:hint="eastAsia" w:ascii="仿宋" w:hAnsi="仿宋" w:eastAsia="仿宋"/>
          <w:color w:val="auto"/>
          <w:sz w:val="28"/>
          <w:szCs w:val="28"/>
          <w:highlight w:val="none"/>
          <w:u w:val="single"/>
        </w:rPr>
        <w:t xml:space="preserve">   年  月  日</w:t>
      </w:r>
      <w:r>
        <w:rPr>
          <w:rFonts w:hint="eastAsia" w:ascii="仿宋" w:hAnsi="仿宋" w:eastAsia="仿宋"/>
          <w:color w:val="auto"/>
          <w:sz w:val="28"/>
          <w:szCs w:val="28"/>
          <w:highlight w:val="none"/>
        </w:rPr>
        <w:t>签订了</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（以下简称“合同”），你方将按上述基础交易合同约定向委托人支付预付款人民币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元（大写：</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）。我行接受委托人的申请，特此开立以你方为受益人的最高金额为人民币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（大写：</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）（以下称“保函金额”）的保函。</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一、本保函为不可撤销、见索即付的独立保函。</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二、在本保函的有效期内，如委托人违反上述基础交易合同约定的义务而未向你方退还预付款，我行将在收到你方提交的符合下述要求的索赔通知书后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日内，以上述保函金额为限向你方支付相应款项。</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（一）索赔通知书须写明请求付款的金额，并声明该款项并未由委托人或其代理人直接或间接地支付给你方；</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（二）索赔通知书应由你方法定代表人签字并加盖公章；</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（三）索赔通知书必须于本保函有效期截止日前送达我行。</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三、合同的任何修改、变更、解释或不可执行都不能削弱或免除我行按本保函应承担的义务。</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本保函金额将随我行已向你方支付的金额而自动作相应递减。</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四、本保函未经我行书面同意不得转让。</w:t>
      </w:r>
    </w:p>
    <w:p>
      <w:pPr>
        <w:pStyle w:val="2"/>
        <w:rPr>
          <w:color w:val="auto"/>
          <w:highlight w:val="none"/>
        </w:rPr>
      </w:pPr>
      <w:r>
        <w:rPr>
          <w:rFonts w:hint="eastAsia" w:ascii="仿宋" w:hAnsi="仿宋" w:eastAsia="仿宋"/>
          <w:color w:val="auto"/>
          <w:sz w:val="28"/>
          <w:szCs w:val="28"/>
          <w:highlight w:val="none"/>
        </w:rPr>
        <w:t>五、本保函自签发之日起生效，有效期至</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止。在上述期限内若累计赔偿额达到前述保函金额，本保函提前失效。本保函到期后，无论保函原件是否退回我行，皆告失效。</w:t>
      </w:r>
    </w:p>
    <w:p>
      <w:pPr>
        <w:rPr>
          <w:rFonts w:cs="仿宋_GB2312" w:asciiTheme="minorEastAsia" w:hAnsiTheme="minorEastAsia"/>
          <w:color w:val="auto"/>
          <w:sz w:val="24"/>
          <w:szCs w:val="24"/>
          <w:highlight w:val="none"/>
        </w:rPr>
      </w:pPr>
    </w:p>
    <w:p>
      <w:pPr>
        <w:rPr>
          <w:rFonts w:cs="仿宋_GB2312" w:asciiTheme="minorEastAsia" w:hAnsiTheme="minorEastAsia"/>
          <w:color w:val="auto"/>
          <w:sz w:val="24"/>
          <w:szCs w:val="24"/>
          <w:highlight w:val="none"/>
        </w:rPr>
      </w:pPr>
    </w:p>
    <w:p>
      <w:pPr>
        <w:rPr>
          <w:rFonts w:cs="仿宋_GB2312" w:asciiTheme="minorEastAsia" w:hAnsiTheme="minorEastAsia"/>
          <w:color w:val="auto"/>
          <w:sz w:val="24"/>
          <w:szCs w:val="24"/>
          <w:highlight w:val="none"/>
        </w:rPr>
      </w:pPr>
    </w:p>
    <w:p>
      <w:pPr>
        <w:pStyle w:val="4"/>
        <w:jc w:val="both"/>
        <w:rPr>
          <w:color w:val="auto"/>
          <w:highlight w:val="none"/>
        </w:rPr>
      </w:pPr>
      <w:bookmarkStart w:id="159" w:name="_Toc5129"/>
      <w:bookmarkStart w:id="160" w:name="_Toc8147"/>
      <w:bookmarkStart w:id="161" w:name="_Toc1563"/>
      <w:bookmarkStart w:id="162" w:name="_Toc16552"/>
      <w:bookmarkStart w:id="163" w:name="_Toc21847"/>
      <w:bookmarkStart w:id="164" w:name="_Toc3723"/>
      <w:bookmarkStart w:id="165" w:name="_Toc12169"/>
      <w:bookmarkStart w:id="166" w:name="_Toc30824"/>
      <w:bookmarkStart w:id="167" w:name="_Toc23515"/>
      <w:bookmarkStart w:id="168" w:name="_Toc6230"/>
      <w:bookmarkStart w:id="169" w:name="_Toc28358"/>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9"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bC+tcAAAALAQAADwAAAAAAAAABACAAAAAiAAAAZHJzL2Rvd25yZXYueG1sUEsBAhQA&#10;FAAAAAgAh07iQE/iIPvzAQAA4w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8"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w64ENcAAAAJAQAADwAAAAAAAAABACAAAAAiAAAAZHJzL2Rvd25yZXYueG1sUEsBAhQAFAAA&#10;AAgAh07iQDBnXnvwAQAA4wMAAA4AAAAAAAAAAQAgAAAAJg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第七章</w:t>
      </w:r>
      <w:bookmarkEnd w:id="159"/>
      <w:bookmarkEnd w:id="160"/>
      <w:bookmarkEnd w:id="161"/>
      <w:bookmarkEnd w:id="162"/>
      <w:bookmarkEnd w:id="163"/>
      <w:bookmarkEnd w:id="164"/>
      <w:bookmarkEnd w:id="165"/>
      <w:bookmarkEnd w:id="166"/>
      <w:bookmarkEnd w:id="167"/>
      <w:bookmarkEnd w:id="168"/>
      <w:bookmarkEnd w:id="169"/>
    </w:p>
    <w:p>
      <w:pPr>
        <w:pStyle w:val="34"/>
        <w:rPr>
          <w:color w:val="auto"/>
          <w:highlight w:val="none"/>
        </w:rPr>
      </w:pPr>
    </w:p>
    <w:p>
      <w:pPr>
        <w:pStyle w:val="4"/>
        <w:rPr>
          <w:color w:val="auto"/>
          <w:highlight w:val="none"/>
        </w:rPr>
      </w:pPr>
      <w:bookmarkStart w:id="170" w:name="_Toc12769"/>
      <w:bookmarkStart w:id="171" w:name="_Toc17119"/>
      <w:bookmarkStart w:id="172" w:name="_Toc10840"/>
      <w:bookmarkStart w:id="173" w:name="_Toc24815"/>
      <w:bookmarkStart w:id="174" w:name="_Toc24490"/>
      <w:bookmarkStart w:id="175" w:name="_Toc88209951"/>
      <w:bookmarkStart w:id="176" w:name="_Toc21675"/>
      <w:bookmarkStart w:id="177" w:name="_Toc30157"/>
      <w:bookmarkStart w:id="178" w:name="_Toc31564"/>
      <w:bookmarkStart w:id="179" w:name="_Toc87616388"/>
      <w:bookmarkStart w:id="180" w:name="_Toc22764"/>
      <w:bookmarkStart w:id="181" w:name="_Toc5342"/>
      <w:bookmarkStart w:id="182" w:name="_Toc12610"/>
      <w:r>
        <w:rPr>
          <w:rFonts w:hint="eastAsia"/>
          <w:color w:val="auto"/>
          <w:highlight w:val="none"/>
        </w:rPr>
        <w:t>响应文件格式要求</w:t>
      </w:r>
      <w:bookmarkEnd w:id="170"/>
      <w:bookmarkEnd w:id="171"/>
      <w:bookmarkEnd w:id="172"/>
      <w:bookmarkEnd w:id="173"/>
      <w:bookmarkEnd w:id="174"/>
      <w:bookmarkEnd w:id="175"/>
      <w:bookmarkEnd w:id="176"/>
      <w:bookmarkEnd w:id="177"/>
      <w:bookmarkEnd w:id="178"/>
      <w:bookmarkEnd w:id="179"/>
      <w:bookmarkEnd w:id="180"/>
      <w:bookmarkEnd w:id="181"/>
      <w:bookmarkEnd w:id="182"/>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ind w:firstLine="0"/>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83" w:name="_Toc87616389"/>
      <w:bookmarkStart w:id="184" w:name="_Toc88209952"/>
      <w:r>
        <w:rPr>
          <w:rFonts w:hint="eastAsia" w:ascii="仿宋_GB2312" w:eastAsia="仿宋_GB2312"/>
          <w:color w:val="auto"/>
          <w:sz w:val="28"/>
          <w:szCs w:val="28"/>
          <w:highlight w:val="none"/>
        </w:rPr>
        <w:t>1.响应函</w:t>
      </w:r>
      <w:bookmarkEnd w:id="183"/>
      <w:bookmarkEnd w:id="184"/>
    </w:p>
    <w:p>
      <w:pPr>
        <w:spacing w:line="600" w:lineRule="exact"/>
        <w:rPr>
          <w:rFonts w:ascii="仿宋_GB2312" w:eastAsia="仿宋_GB2312"/>
          <w:color w:val="auto"/>
          <w:sz w:val="28"/>
          <w:szCs w:val="28"/>
          <w:highlight w:val="none"/>
        </w:rPr>
      </w:pPr>
      <w:bookmarkStart w:id="185" w:name="_Toc88209953"/>
      <w:bookmarkStart w:id="186" w:name="_Toc87616390"/>
      <w:r>
        <w:rPr>
          <w:rFonts w:hint="eastAsia" w:ascii="仿宋_GB2312" w:eastAsia="仿宋_GB2312"/>
          <w:color w:val="auto"/>
          <w:sz w:val="28"/>
          <w:szCs w:val="28"/>
          <w:highlight w:val="none"/>
        </w:rPr>
        <w:t>2.法定代表人证明或授权委托书</w:t>
      </w:r>
      <w:bookmarkEnd w:id="185"/>
      <w:bookmarkEnd w:id="186"/>
      <w:bookmarkStart w:id="187" w:name="_Toc87616393"/>
      <w:bookmarkStart w:id="188"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87"/>
      <w:bookmarkEnd w:id="188"/>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2"/>
        <w:rPr>
          <w:rFonts w:ascii="宋体" w:eastAsia="等线"/>
          <w:color w:val="auto"/>
          <w:sz w:val="24"/>
          <w:szCs w:val="24"/>
          <w:highlight w:val="none"/>
        </w:rPr>
      </w:pPr>
    </w:p>
    <w:p>
      <w:pPr>
        <w:pStyle w:val="6"/>
        <w:rPr>
          <w:rFonts w:asciiTheme="minorEastAsia" w:hAnsiTheme="minorEastAsia" w:eastAsiaTheme="minorEastAsia"/>
          <w:color w:val="auto"/>
          <w:sz w:val="28"/>
          <w:szCs w:val="28"/>
          <w:highlight w:val="none"/>
        </w:rPr>
      </w:pPr>
      <w:bookmarkStart w:id="189" w:name="_Toc28619645"/>
      <w:bookmarkStart w:id="190" w:name="_Toc88209957"/>
      <w:bookmarkStart w:id="191" w:name="_Toc6313"/>
      <w:bookmarkStart w:id="192" w:name="_Toc87616394"/>
      <w:bookmarkStart w:id="193" w:name="_Toc12665"/>
      <w:r>
        <w:rPr>
          <w:rFonts w:hint="eastAsia" w:asciiTheme="minorEastAsia" w:hAnsiTheme="minorEastAsia" w:eastAsiaTheme="minorEastAsia"/>
          <w:color w:val="auto"/>
          <w:sz w:val="28"/>
          <w:szCs w:val="28"/>
          <w:highlight w:val="none"/>
        </w:rPr>
        <w:t>1.响应函</w:t>
      </w:r>
      <w:bookmarkEnd w:id="189"/>
      <w:bookmarkEnd w:id="190"/>
      <w:bookmarkEnd w:id="191"/>
      <w:bookmarkEnd w:id="192"/>
      <w:bookmarkEnd w:id="19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3.</w:t>
      </w:r>
      <w:r>
        <w:rPr>
          <w:rFonts w:hint="eastAsia" w:ascii="仿宋_GB2312" w:hAnsi="黑体" w:eastAsia="仿宋_GB2312"/>
          <w:color w:val="auto"/>
          <w:sz w:val="28"/>
          <w:szCs w:val="28"/>
          <w:highlight w:val="none"/>
          <w:u w:val="single"/>
        </w:rPr>
        <w:t>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94" w:name="_Toc22527"/>
      <w:bookmarkStart w:id="195" w:name="_Toc29833"/>
      <w:bookmarkStart w:id="196" w:name="_Toc87616395"/>
      <w:bookmarkStart w:id="197"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94"/>
      <w:bookmarkEnd w:id="195"/>
      <w:bookmarkEnd w:id="196"/>
      <w:bookmarkEnd w:id="19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6"/>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5"/>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IsPndd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4"/>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b+brN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98" w:name="_Toc88209963"/>
      <w:bookmarkStart w:id="199" w:name="_Toc8086"/>
      <w:bookmarkStart w:id="200" w:name="_Toc19830"/>
      <w:bookmarkStart w:id="201" w:name="_Toc87616400"/>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98"/>
      <w:bookmarkEnd w:id="199"/>
      <w:bookmarkEnd w:id="200"/>
      <w:bookmarkEnd w:id="20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right"/>
        <w:rPr>
          <w:rFonts w:cs="Times New Roman" w:asciiTheme="minorEastAsia" w:hAnsiTheme="minorEastAsia"/>
          <w:b/>
          <w:bCs/>
          <w:color w:val="auto"/>
          <w:sz w:val="28"/>
          <w:szCs w:val="28"/>
          <w:highlight w:val="none"/>
        </w:rPr>
      </w:pPr>
      <w:bookmarkStart w:id="202" w:name="_Hlk59025866"/>
      <w:r>
        <w:rPr>
          <w:rFonts w:hint="eastAsia" w:ascii="宋体" w:hAnsi="宋体" w:eastAsia="宋体" w:cs="宋体"/>
          <w:color w:val="auto"/>
          <w:sz w:val="24"/>
          <w:szCs w:val="24"/>
          <w:highlight w:val="none"/>
          <w:lang w:val="en-GB"/>
        </w:rPr>
        <w:t>供应商名称（加盖公章）：</w:t>
      </w:r>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202"/>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GB"/>
        </w:rPr>
        <w:t>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（1）与本项目其他供应商的单位负责人为同一人。</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（2）与本项目其他供应商存在控股或管理关系。</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（3）被本项目所在地省级以上行业主管部门依法暂停、取消投标或禁止参加采购活动且处于有效期内的。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（4）处于被责令停产停业、暂扣或者吊销执照、暂扣或者吊销许可证、吊销资质证书状态。</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（5）进入清算程序，或被宣告破产，或其他丧失履约能力情形的。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（6）近三年内因发生质量或安全生产事故等受到行政处罚且在处罚期内的。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（7）被最高人民法院在“信用中国”网站（www.creditchina.gov.cn）或各级信用信息共享平台中列入失信被执行人名单。</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（8）被“全国企业信用信息公示系统”（网址：http://www.gsxt.gov.cn/）</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列入经营异常名录和严重违法企业名单。</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（9）被“信用广州”网站纳入失信被执行人名单（失信黑名单）。</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（10）被纳入本项目采购人（包括市水投集团及相关所属企业）书面限制参与采购活动且处于有效期内的。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（11）其他违法违纪行为，经审查认为不宜被邀请参加采购活动的。</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jc w:val="right"/>
        <w:rPr>
          <w:color w:val="auto"/>
          <w:highlight w:val="none"/>
        </w:rPr>
      </w:pPr>
      <w:r>
        <w:rPr>
          <w:rFonts w:hint="eastAsia" w:ascii="宋体" w:hAnsi="宋体" w:eastAsia="宋体" w:cs="宋体"/>
          <w:color w:val="auto"/>
          <w:sz w:val="24"/>
          <w:szCs w:val="24"/>
          <w:highlight w:val="none"/>
          <w:lang w:val="en-GB"/>
        </w:rPr>
        <w:t>年  月  日</w:t>
      </w:r>
    </w:p>
    <w:p>
      <w:pPr>
        <w:jc w:val="left"/>
        <w:rPr>
          <w:rFonts w:hint="eastAsia" w:cs="Times New Roman" w:asciiTheme="minorEastAsia" w:hAnsiTheme="minorEastAsia"/>
          <w:b/>
          <w:bCs/>
          <w:color w:val="auto"/>
          <w:sz w:val="28"/>
          <w:szCs w:val="28"/>
          <w:highlight w:val="none"/>
        </w:rPr>
      </w:pPr>
    </w:p>
    <w:p>
      <w:pPr>
        <w:jc w:val="left"/>
        <w:rPr>
          <w:rFonts w:hint="eastAsia"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6"/>
        <w:rPr>
          <w:rFonts w:asciiTheme="minorEastAsia" w:hAnsiTheme="minorEastAsia" w:eastAsiaTheme="minorEastAsia"/>
          <w:color w:val="auto"/>
          <w:sz w:val="28"/>
          <w:szCs w:val="28"/>
          <w:highlight w:val="none"/>
        </w:rPr>
      </w:pPr>
      <w:bookmarkStart w:id="203" w:name="_Toc19423"/>
      <w:bookmarkStart w:id="204" w:name="_Toc32430"/>
      <w:r>
        <w:rPr>
          <w:rFonts w:hint="eastAsia" w:ascii="仿宋_GB2312" w:eastAsia="仿宋_GB2312" w:hAnsiTheme="minorEastAsia"/>
          <w:color w:val="auto"/>
          <w:sz w:val="28"/>
          <w:szCs w:val="28"/>
          <w:highlight w:val="none"/>
        </w:rPr>
        <w:t>5</w:t>
      </w:r>
      <w:r>
        <w:rPr>
          <w:rFonts w:hint="eastAsia" w:asciiTheme="minorEastAsia" w:hAnsiTheme="minorEastAsia" w:eastAsiaTheme="minorEastAsia"/>
          <w:color w:val="auto"/>
          <w:sz w:val="28"/>
          <w:szCs w:val="28"/>
          <w:highlight w:val="none"/>
        </w:rPr>
        <w:t>.报价表</w:t>
      </w:r>
      <w:bookmarkEnd w:id="203"/>
      <w:bookmarkEnd w:id="204"/>
    </w:p>
    <w:tbl>
      <w:tblPr>
        <w:tblStyle w:val="21"/>
        <w:tblW w:w="91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46"/>
        <w:gridCol w:w="3432"/>
        <w:gridCol w:w="87"/>
        <w:gridCol w:w="1994"/>
        <w:gridCol w:w="2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6864"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6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工程名称：石井净分公司生产区域道闸采购项目</w:t>
            </w:r>
          </w:p>
        </w:tc>
        <w:tc>
          <w:tcPr>
            <w:tcW w:w="199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92"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34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343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208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2292"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3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2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229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spacing w:line="360" w:lineRule="auto"/>
        <w:rPr>
          <w:rFonts w:ascii="宋体" w:hAnsi="宋体" w:eastAsia="宋体" w:cs="宋体"/>
          <w:b/>
          <w:bCs/>
          <w:color w:val="auto"/>
          <w:szCs w:val="21"/>
          <w:highlight w:val="none"/>
        </w:rPr>
      </w:pPr>
    </w:p>
    <w:tbl>
      <w:tblPr>
        <w:tblStyle w:val="21"/>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6"/>
        <w:gridCol w:w="1487"/>
        <w:gridCol w:w="2833"/>
        <w:gridCol w:w="297"/>
        <w:gridCol w:w="595"/>
        <w:gridCol w:w="690"/>
        <w:gridCol w:w="175"/>
        <w:gridCol w:w="824"/>
        <w:gridCol w:w="1019"/>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683"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181"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工程名称：石井净分公司生产区域道闸采购项目</w:t>
            </w:r>
          </w:p>
        </w:tc>
        <w:tc>
          <w:tcPr>
            <w:tcW w:w="1757"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74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48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313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59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69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92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8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1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0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8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1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整个项目</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双目动态人脸识别机</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1.名称:人体生物特征识别</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2.规格：符合设计要求</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4口POE交换机</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1.名称:4口POE交换机</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2.功能:带POE供电</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门锁安装</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1.名称:门锁</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2.规格:280KG电磁吸力锁</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门禁开关</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1.名称:门禁按钮</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2.规格:符合设计要求</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门禁电源</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1.名称:门禁电源</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2.规格:符合设计要求</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自动平移人行道闸</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1.名称:自动平移人行道闸</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2.规格:宽：1150cm;高：1150cm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配管</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1.名称:镀锌电线管</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2.规格:DN20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2200</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超五类网线</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1.名称:双绞线缆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2.规格及型号:符合设计要求</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3.线缆敷设、水晶头制安、标记、卡接</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4.测试</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5.其他:符合规范要求</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2200</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双绞线缆测试</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1.测试类别:双绞线缆测试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链路</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路面切割</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1.面层:沥青混凝土</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2.厚度:5cm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沥青贯入式</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1.名称:路面恢复</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2.用料:符合设计要求沥青</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3.厚度:5cm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系统调试</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1.名称:安全防范分系统调试</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2.通道数:符合设计要求</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系统</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拆除路面</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1.材质:混凝土路面拆除</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2.厚度:5cm</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0.7</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高层施工增加</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48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脚手架搭拆费</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763" w:type="dxa"/>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763"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02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0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spacing w:line="360" w:lineRule="auto"/>
        <w:rPr>
          <w:rFonts w:ascii="宋体" w:hAnsi="宋体" w:eastAsia="宋体" w:cs="宋体"/>
          <w:b/>
          <w:bCs/>
          <w:color w:val="auto"/>
          <w:szCs w:val="21"/>
          <w:highlight w:val="none"/>
        </w:rPr>
      </w:pPr>
    </w:p>
    <w:tbl>
      <w:tblPr>
        <w:tblStyle w:val="21"/>
        <w:tblW w:w="96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3"/>
        <w:gridCol w:w="2"/>
        <w:gridCol w:w="1719"/>
        <w:gridCol w:w="6"/>
        <w:gridCol w:w="1601"/>
        <w:gridCol w:w="9"/>
        <w:gridCol w:w="900"/>
        <w:gridCol w:w="10"/>
        <w:gridCol w:w="77"/>
        <w:gridCol w:w="1294"/>
        <w:gridCol w:w="11"/>
        <w:gridCol w:w="783"/>
        <w:gridCol w:w="192"/>
        <w:gridCol w:w="12"/>
        <w:gridCol w:w="947"/>
        <w:gridCol w:w="13"/>
        <w:gridCol w:w="1281"/>
        <w:gridCol w:w="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795" w:hRule="atLeast"/>
        </w:trPr>
        <w:tc>
          <w:tcPr>
            <w:tcW w:w="9660" w:type="dxa"/>
            <w:gridSpan w:val="1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825" w:hRule="atLeast"/>
        </w:trPr>
        <w:tc>
          <w:tcPr>
            <w:tcW w:w="5127"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工程名称：石井净分公司生产区域道闸采购项目</w:t>
            </w:r>
          </w:p>
        </w:tc>
        <w:tc>
          <w:tcPr>
            <w:tcW w:w="208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44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570" w:hRule="atLeast"/>
        </w:trPr>
        <w:tc>
          <w:tcPr>
            <w:tcW w:w="80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721"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60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90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138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986"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费率(%)</w:t>
            </w:r>
          </w:p>
        </w:tc>
        <w:tc>
          <w:tcPr>
            <w:tcW w:w="95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金额(元)</w:t>
            </w:r>
          </w:p>
        </w:tc>
        <w:tc>
          <w:tcPr>
            <w:tcW w:w="1294"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159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35.77</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21360.19</w:t>
            </w: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57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安装与生产同时进行增加费用</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57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在有害身体健康环境中施工增加费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108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在地下（暗）室、设备及大口径管道内等特殊施工部位进行施工增加费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2865"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108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夜间施工增加费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1080"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交通干扰工程施工增加费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2355" w:hRule="atLeast"/>
        </w:trPr>
        <w:tc>
          <w:tcPr>
            <w:tcW w:w="8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7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文明工地增加费</w:t>
            </w:r>
          </w:p>
        </w:tc>
        <w:tc>
          <w:tcPr>
            <w:tcW w:w="16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9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3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795" w:hRule="atLeast"/>
        </w:trPr>
        <w:tc>
          <w:tcPr>
            <w:tcW w:w="803"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721"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地下管线交叉降效费</w:t>
            </w:r>
          </w:p>
        </w:tc>
        <w:tc>
          <w:tcPr>
            <w:tcW w:w="1607"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0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381"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6"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5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4"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0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6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3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8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按实际发生或经批准的施工组织设计方案计算</w:t>
            </w:r>
          </w:p>
        </w:tc>
      </w:tr>
    </w:tbl>
    <w:p>
      <w:pPr>
        <w:spacing w:line="360" w:lineRule="auto"/>
        <w:rPr>
          <w:rFonts w:ascii="宋体" w:hAnsi="宋体" w:eastAsia="宋体" w:cs="宋体"/>
          <w:b/>
          <w:bCs/>
          <w:color w:val="auto"/>
          <w:szCs w:val="21"/>
          <w:highlight w:val="none"/>
        </w:rPr>
      </w:pPr>
    </w:p>
    <w:tbl>
      <w:tblPr>
        <w:tblStyle w:val="21"/>
        <w:tblW w:w="9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41"/>
        <w:gridCol w:w="2861"/>
        <w:gridCol w:w="4"/>
        <w:gridCol w:w="1097"/>
        <w:gridCol w:w="781"/>
        <w:gridCol w:w="5"/>
        <w:gridCol w:w="1008"/>
        <w:gridCol w:w="510"/>
        <w:gridCol w:w="7"/>
        <w:gridCol w:w="2056"/>
        <w:gridCol w:w="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6998" w:type="dxa"/>
            <w:gridSpan w:val="7"/>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2572" w:type="dxa"/>
            <w:gridSpan w:val="3"/>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795" w:hRule="atLeast"/>
        </w:trPr>
        <w:tc>
          <w:tcPr>
            <w:tcW w:w="957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570" w:hRule="atLeast"/>
        </w:trPr>
        <w:tc>
          <w:tcPr>
            <w:tcW w:w="5204"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工程名称：石井净分公司生产区域道闸采购项目</w:t>
            </w:r>
          </w:p>
        </w:tc>
        <w:tc>
          <w:tcPr>
            <w:tcW w:w="179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57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75" w:hRule="atLeast"/>
        </w:trPr>
        <w:tc>
          <w:tcPr>
            <w:tcW w:w="124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86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88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523"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结算金额（元）</w:t>
            </w:r>
          </w:p>
        </w:tc>
        <w:tc>
          <w:tcPr>
            <w:tcW w:w="2063"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32236.61</w:t>
            </w: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材料暂估价</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专业工程暂估价</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360" w:hRule="atLeast"/>
        </w:trPr>
        <w:tc>
          <w:tcPr>
            <w:tcW w:w="124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28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8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2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206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8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883"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52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206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r>
    </w:tbl>
    <w:p>
      <w:pPr>
        <w:pStyle w:val="2"/>
        <w:rPr>
          <w:color w:val="auto"/>
          <w:highlight w:val="none"/>
        </w:rPr>
      </w:pPr>
    </w:p>
    <w:tbl>
      <w:tblPr>
        <w:tblStyle w:val="21"/>
        <w:tblW w:w="100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7"/>
        <w:gridCol w:w="2053"/>
        <w:gridCol w:w="2832"/>
        <w:gridCol w:w="228"/>
        <w:gridCol w:w="1454"/>
        <w:gridCol w:w="18"/>
        <w:gridCol w:w="899"/>
        <w:gridCol w:w="8"/>
        <w:gridCol w:w="1491"/>
        <w:gridCol w:w="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795" w:hRule="atLeast"/>
        </w:trPr>
        <w:tc>
          <w:tcPr>
            <w:tcW w:w="10050"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595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工程名称：石井净分公司生产区域道闸采购项目</w:t>
            </w:r>
          </w:p>
        </w:tc>
        <w:tc>
          <w:tcPr>
            <w:tcW w:w="17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39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106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05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306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145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计算基数</w:t>
            </w:r>
          </w:p>
        </w:tc>
        <w:tc>
          <w:tcPr>
            <w:tcW w:w="91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1499"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106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0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3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分部分项合计+措施合计+其他项目</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9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4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59"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合    计</w:t>
            </w:r>
          </w:p>
        </w:tc>
        <w:tc>
          <w:tcPr>
            <w:tcW w:w="1500"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p>
        </w:tc>
      </w:tr>
    </w:tbl>
    <w:p>
      <w:pPr>
        <w:pStyle w:val="6"/>
        <w:rPr>
          <w:rFonts w:hint="eastAsia" w:eastAsiaTheme="majorEastAsia"/>
          <w:color w:val="auto"/>
          <w:highlight w:val="none"/>
          <w:lang w:val="en-US" w:eastAsia="zh-CN"/>
        </w:rPr>
      </w:pPr>
      <w:bookmarkStart w:id="205" w:name="_Toc16386"/>
      <w:bookmarkStart w:id="206" w:name="_Toc88209965"/>
      <w:bookmarkStart w:id="207" w:name="_Toc6058"/>
      <w:bookmarkStart w:id="208" w:name="_Toc87616402"/>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205"/>
      <w:bookmarkEnd w:id="206"/>
      <w:bookmarkEnd w:id="207"/>
      <w:bookmarkEnd w:id="208"/>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3I2lMkBAACa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pt6Aotcdzixi/fv11+/Lr8/Epe&#10;Z3/6ADW2PQRsTMOdH/DWzHnAZJY9qGjzGwURrCPU+equHBIR+aP1ar2usCSwNh8Qnz1+HiKkt9Jb&#10;koOGRlxfcZWf3kMaW+eWPM35e21MWaFxfyUQM2dY5j5yzFEa9sMkaO/bM+rpcfMNdXjRKTHvHBqL&#10;/NIcxDnYz8ExRH3okNqy8IJwe0xIonDLE0bYaTCurKibrle+E3+eS9fjL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cjaUyQEAAJoDAAAOAAAAAAAAAAEAIAAAAB4BAABkcnMvZTJvRG9j&#10;LnhtbFBLBQYAAAAABgAGAFkBAABZ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0V7MgBAACa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4Bzd9zixC/fv11+/Lr8/Epe&#10;5/70AWpMewiYmIY7P2Du7Ad0ZtmDijZ/URDBOHb3fO2uHBIR+dF6tV5XGBIYmy+Izx6fhwjprfSW&#10;ZKOhEcdXuspP7yGNqXNKrub8vTamjNC4vxyImT0scx85ZisN+2EStPftGfX0OPmGOlx0Ssw7h43N&#10;SzIbcTb2s3EMUR86pLYsvCDcHhOSKNxyhRF2KowjK+qm9co78ee9ZD3+U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fdFezIAQAAmgMAAA4AAAAAAAAAAQAgAAAAHgEAAGRycy9lMm9Eb2Mu&#10;eG1sUEsFBgAAAAAGAAYAWQEAAFg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0</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6/vtsgBAACa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3iJryhxHGLE798/3b58evy8ytZ&#10;5v70AWpMewiYmIY7P2Du7Ad0ZtmDijZ/URDBOHb3fO2uHBIR+dF6tV5XGBIYmy+Izx6fhwjprfSW&#10;ZKOhEcdXuspP7yGNqXNKrub8vTamjNC4vxyImT0scx85ZisN+2EStPftGfX0OPmGOlx0Ssw7h43N&#10;SzIbcTb2s3EMUR86pLYsvCDcHhOSKNxyhRF2KowjK+qm9co78ee9ZD3+U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Ov77bIAQAAmgMAAA4AAAAAAAAAAQAgAAAAHgEAAGRycy9lMm9Eb2Mu&#10;eG1sUEsFBgAAAAAGAAYAWQEAAFgFAAAAAA==&#10;">
              <v:fill on="f" focussize="0,0"/>
              <v:stroke on="f"/>
              <v:imagedata o:title=""/>
              <o:lock v:ext="edit" aspectratio="f"/>
              <v:textbox inset="0mm,0mm,0mm,0mm" style="mso-fit-shape-to-text:t;">
                <w:txbxContent>
                  <w:p>
                    <w:pPr>
                      <w:pStyle w:val="16"/>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B43CF"/>
    <w:multiLevelType w:val="singleLevel"/>
    <w:tmpl w:val="9A4B43CF"/>
    <w:lvl w:ilvl="0" w:tentative="0">
      <w:start w:val="1"/>
      <w:numFmt w:val="decimal"/>
      <w:lvlText w:val="(%1)"/>
      <w:lvlJc w:val="left"/>
      <w:pPr>
        <w:ind w:left="425" w:hanging="425"/>
      </w:pPr>
      <w:rPr>
        <w:rFonts w:hint="default"/>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057C32"/>
    <w:rsid w:val="001034EE"/>
    <w:rsid w:val="00141184"/>
    <w:rsid w:val="00172DEA"/>
    <w:rsid w:val="001C6E8F"/>
    <w:rsid w:val="001D15D4"/>
    <w:rsid w:val="002159A6"/>
    <w:rsid w:val="00224E4D"/>
    <w:rsid w:val="00230D30"/>
    <w:rsid w:val="00287833"/>
    <w:rsid w:val="00290A1F"/>
    <w:rsid w:val="00307272"/>
    <w:rsid w:val="00310667"/>
    <w:rsid w:val="00333161"/>
    <w:rsid w:val="003A487A"/>
    <w:rsid w:val="003C5165"/>
    <w:rsid w:val="003D60BA"/>
    <w:rsid w:val="003E6322"/>
    <w:rsid w:val="003F25BD"/>
    <w:rsid w:val="00411689"/>
    <w:rsid w:val="00421320"/>
    <w:rsid w:val="00421DDA"/>
    <w:rsid w:val="004353E4"/>
    <w:rsid w:val="00492586"/>
    <w:rsid w:val="00510B88"/>
    <w:rsid w:val="00593C26"/>
    <w:rsid w:val="005D5B8B"/>
    <w:rsid w:val="005D618A"/>
    <w:rsid w:val="005F6955"/>
    <w:rsid w:val="006121F1"/>
    <w:rsid w:val="006410F0"/>
    <w:rsid w:val="0065473F"/>
    <w:rsid w:val="006864A8"/>
    <w:rsid w:val="006C2EDF"/>
    <w:rsid w:val="006C67AA"/>
    <w:rsid w:val="007424C1"/>
    <w:rsid w:val="00806F1D"/>
    <w:rsid w:val="0082064E"/>
    <w:rsid w:val="00846D6F"/>
    <w:rsid w:val="00855D34"/>
    <w:rsid w:val="00872331"/>
    <w:rsid w:val="008820E7"/>
    <w:rsid w:val="008A5021"/>
    <w:rsid w:val="008E3991"/>
    <w:rsid w:val="00904370"/>
    <w:rsid w:val="00911ECD"/>
    <w:rsid w:val="009272DD"/>
    <w:rsid w:val="00993899"/>
    <w:rsid w:val="009D0D82"/>
    <w:rsid w:val="00A03A70"/>
    <w:rsid w:val="00A042E0"/>
    <w:rsid w:val="00A0743A"/>
    <w:rsid w:val="00A1246A"/>
    <w:rsid w:val="00A97F1E"/>
    <w:rsid w:val="00AC4307"/>
    <w:rsid w:val="00AC43D0"/>
    <w:rsid w:val="00B26BB1"/>
    <w:rsid w:val="00B26E21"/>
    <w:rsid w:val="00B33DC2"/>
    <w:rsid w:val="00B42E57"/>
    <w:rsid w:val="00B56C6E"/>
    <w:rsid w:val="00B6564F"/>
    <w:rsid w:val="00B83461"/>
    <w:rsid w:val="00B84BF0"/>
    <w:rsid w:val="00B9296A"/>
    <w:rsid w:val="00BA5C97"/>
    <w:rsid w:val="00C00C9A"/>
    <w:rsid w:val="00C87F9D"/>
    <w:rsid w:val="00CB05CD"/>
    <w:rsid w:val="00CB7BC0"/>
    <w:rsid w:val="00CD2B12"/>
    <w:rsid w:val="00CE1061"/>
    <w:rsid w:val="00CE53F6"/>
    <w:rsid w:val="00CF1678"/>
    <w:rsid w:val="00D058BB"/>
    <w:rsid w:val="00D92035"/>
    <w:rsid w:val="00DB7FAA"/>
    <w:rsid w:val="00DC0501"/>
    <w:rsid w:val="00DF3B26"/>
    <w:rsid w:val="00DF3C2B"/>
    <w:rsid w:val="00E0767A"/>
    <w:rsid w:val="00E15BC6"/>
    <w:rsid w:val="00E83AAB"/>
    <w:rsid w:val="00ED45F5"/>
    <w:rsid w:val="00EF4CD5"/>
    <w:rsid w:val="00F41C32"/>
    <w:rsid w:val="00F70EA2"/>
    <w:rsid w:val="00F83B64"/>
    <w:rsid w:val="00F83F8E"/>
    <w:rsid w:val="00F86DDC"/>
    <w:rsid w:val="00FA398D"/>
    <w:rsid w:val="00FB5963"/>
    <w:rsid w:val="00FC1A41"/>
    <w:rsid w:val="00FF0676"/>
    <w:rsid w:val="00FF06E0"/>
    <w:rsid w:val="013E3461"/>
    <w:rsid w:val="018067F2"/>
    <w:rsid w:val="018C2CBC"/>
    <w:rsid w:val="01BB0F13"/>
    <w:rsid w:val="02090C75"/>
    <w:rsid w:val="024F166C"/>
    <w:rsid w:val="029A7D90"/>
    <w:rsid w:val="02A23A3C"/>
    <w:rsid w:val="02D05EBE"/>
    <w:rsid w:val="035D130A"/>
    <w:rsid w:val="039110A9"/>
    <w:rsid w:val="03AC246A"/>
    <w:rsid w:val="03AE6061"/>
    <w:rsid w:val="03B23056"/>
    <w:rsid w:val="03DA023E"/>
    <w:rsid w:val="03DC3EBA"/>
    <w:rsid w:val="03F9794D"/>
    <w:rsid w:val="04377393"/>
    <w:rsid w:val="046A2461"/>
    <w:rsid w:val="051C2970"/>
    <w:rsid w:val="060C3611"/>
    <w:rsid w:val="063858F6"/>
    <w:rsid w:val="06C64829"/>
    <w:rsid w:val="070E7B6E"/>
    <w:rsid w:val="071D62B7"/>
    <w:rsid w:val="076D41A6"/>
    <w:rsid w:val="077D16D2"/>
    <w:rsid w:val="07F13FAE"/>
    <w:rsid w:val="082A69F3"/>
    <w:rsid w:val="08675FC8"/>
    <w:rsid w:val="09730B1D"/>
    <w:rsid w:val="09B713FD"/>
    <w:rsid w:val="09EF6ACC"/>
    <w:rsid w:val="09F47D86"/>
    <w:rsid w:val="0A315056"/>
    <w:rsid w:val="0AA213B4"/>
    <w:rsid w:val="0AF61C7E"/>
    <w:rsid w:val="0AFB45AD"/>
    <w:rsid w:val="0B2A2DD3"/>
    <w:rsid w:val="0B351E9B"/>
    <w:rsid w:val="0B4C50D3"/>
    <w:rsid w:val="0B806B92"/>
    <w:rsid w:val="0B827E94"/>
    <w:rsid w:val="0B842F76"/>
    <w:rsid w:val="0BD070E1"/>
    <w:rsid w:val="0BD65B6B"/>
    <w:rsid w:val="0C2361E7"/>
    <w:rsid w:val="0C247926"/>
    <w:rsid w:val="0D19191D"/>
    <w:rsid w:val="0D794204"/>
    <w:rsid w:val="0DA74285"/>
    <w:rsid w:val="0E2125D1"/>
    <w:rsid w:val="0E214211"/>
    <w:rsid w:val="0E5F2769"/>
    <w:rsid w:val="0EDF2E00"/>
    <w:rsid w:val="0F4D75A3"/>
    <w:rsid w:val="0F5B2DCA"/>
    <w:rsid w:val="0FC05ED4"/>
    <w:rsid w:val="0FED051E"/>
    <w:rsid w:val="0FEE4C29"/>
    <w:rsid w:val="10031608"/>
    <w:rsid w:val="10046082"/>
    <w:rsid w:val="104974DD"/>
    <w:rsid w:val="111703D2"/>
    <w:rsid w:val="112B101A"/>
    <w:rsid w:val="116E717D"/>
    <w:rsid w:val="119B53FC"/>
    <w:rsid w:val="1215733B"/>
    <w:rsid w:val="12424CDC"/>
    <w:rsid w:val="129A2738"/>
    <w:rsid w:val="12B56BF1"/>
    <w:rsid w:val="12CB1A89"/>
    <w:rsid w:val="131840FB"/>
    <w:rsid w:val="13467417"/>
    <w:rsid w:val="136E76CF"/>
    <w:rsid w:val="14123C2A"/>
    <w:rsid w:val="145F08C6"/>
    <w:rsid w:val="14E43F59"/>
    <w:rsid w:val="14EA0703"/>
    <w:rsid w:val="15007F26"/>
    <w:rsid w:val="15776308"/>
    <w:rsid w:val="15BC6B3C"/>
    <w:rsid w:val="15CC3F5D"/>
    <w:rsid w:val="160A31D3"/>
    <w:rsid w:val="16360A7B"/>
    <w:rsid w:val="164D40B0"/>
    <w:rsid w:val="1694429A"/>
    <w:rsid w:val="16EA20E0"/>
    <w:rsid w:val="171B1048"/>
    <w:rsid w:val="17635326"/>
    <w:rsid w:val="17B803EA"/>
    <w:rsid w:val="1815096B"/>
    <w:rsid w:val="18236EFD"/>
    <w:rsid w:val="189D5B1F"/>
    <w:rsid w:val="18A34CD0"/>
    <w:rsid w:val="18C60E4A"/>
    <w:rsid w:val="19A53EA8"/>
    <w:rsid w:val="19B64DBC"/>
    <w:rsid w:val="19D96F98"/>
    <w:rsid w:val="19EC6A4A"/>
    <w:rsid w:val="1A373ACF"/>
    <w:rsid w:val="1A7B10BA"/>
    <w:rsid w:val="1A895341"/>
    <w:rsid w:val="1B0D071F"/>
    <w:rsid w:val="1B4568CE"/>
    <w:rsid w:val="1B9015B7"/>
    <w:rsid w:val="1B950DA6"/>
    <w:rsid w:val="1BF54245"/>
    <w:rsid w:val="1D0E6976"/>
    <w:rsid w:val="1D5A79EE"/>
    <w:rsid w:val="1D98445F"/>
    <w:rsid w:val="1E0E2CD0"/>
    <w:rsid w:val="1E831280"/>
    <w:rsid w:val="1EBC4704"/>
    <w:rsid w:val="1EF932A5"/>
    <w:rsid w:val="1F172EB5"/>
    <w:rsid w:val="1F94592D"/>
    <w:rsid w:val="1FB02B8E"/>
    <w:rsid w:val="1FB860DE"/>
    <w:rsid w:val="203C5A02"/>
    <w:rsid w:val="20457135"/>
    <w:rsid w:val="209D4C94"/>
    <w:rsid w:val="20B44FCD"/>
    <w:rsid w:val="20E84705"/>
    <w:rsid w:val="218400BA"/>
    <w:rsid w:val="21AB1E2F"/>
    <w:rsid w:val="21D40498"/>
    <w:rsid w:val="22493963"/>
    <w:rsid w:val="22767047"/>
    <w:rsid w:val="22EB3FC4"/>
    <w:rsid w:val="23294AEC"/>
    <w:rsid w:val="23A05588"/>
    <w:rsid w:val="240476A1"/>
    <w:rsid w:val="24E40975"/>
    <w:rsid w:val="25431AEB"/>
    <w:rsid w:val="25BE3BFB"/>
    <w:rsid w:val="25BF43FD"/>
    <w:rsid w:val="25C30AA1"/>
    <w:rsid w:val="25F86BCD"/>
    <w:rsid w:val="2605748B"/>
    <w:rsid w:val="26396D26"/>
    <w:rsid w:val="264544A6"/>
    <w:rsid w:val="267702FB"/>
    <w:rsid w:val="267947E9"/>
    <w:rsid w:val="269E416A"/>
    <w:rsid w:val="26C11C6B"/>
    <w:rsid w:val="272100D3"/>
    <w:rsid w:val="272C72FC"/>
    <w:rsid w:val="275131CB"/>
    <w:rsid w:val="278F6521"/>
    <w:rsid w:val="27E172F9"/>
    <w:rsid w:val="27EB149D"/>
    <w:rsid w:val="27FD3E52"/>
    <w:rsid w:val="28AD07CC"/>
    <w:rsid w:val="28E11370"/>
    <w:rsid w:val="294A756A"/>
    <w:rsid w:val="29781BF8"/>
    <w:rsid w:val="29C33ED0"/>
    <w:rsid w:val="29D5322D"/>
    <w:rsid w:val="2A025DD9"/>
    <w:rsid w:val="2A2619CB"/>
    <w:rsid w:val="2A7C2231"/>
    <w:rsid w:val="2A920E4F"/>
    <w:rsid w:val="2ABB753D"/>
    <w:rsid w:val="2AFE6EC4"/>
    <w:rsid w:val="2B072196"/>
    <w:rsid w:val="2B7A49FA"/>
    <w:rsid w:val="2C204C18"/>
    <w:rsid w:val="2C615D26"/>
    <w:rsid w:val="2CB679ED"/>
    <w:rsid w:val="2CF726B9"/>
    <w:rsid w:val="2D173C07"/>
    <w:rsid w:val="2D424A86"/>
    <w:rsid w:val="2DDA66B7"/>
    <w:rsid w:val="2E6F2D11"/>
    <w:rsid w:val="2E7B52DB"/>
    <w:rsid w:val="2ED60115"/>
    <w:rsid w:val="2F324CFE"/>
    <w:rsid w:val="2F5E167A"/>
    <w:rsid w:val="2FBA09F1"/>
    <w:rsid w:val="2FEF2ACF"/>
    <w:rsid w:val="2FF93D20"/>
    <w:rsid w:val="301E71E2"/>
    <w:rsid w:val="30540211"/>
    <w:rsid w:val="30D34FFE"/>
    <w:rsid w:val="30E45100"/>
    <w:rsid w:val="31112A0D"/>
    <w:rsid w:val="311F4B20"/>
    <w:rsid w:val="312D7741"/>
    <w:rsid w:val="316F137F"/>
    <w:rsid w:val="31DF525F"/>
    <w:rsid w:val="31EC162B"/>
    <w:rsid w:val="32324C2E"/>
    <w:rsid w:val="32462F96"/>
    <w:rsid w:val="327171DF"/>
    <w:rsid w:val="33541711"/>
    <w:rsid w:val="3391569E"/>
    <w:rsid w:val="33ED56C2"/>
    <w:rsid w:val="341E3434"/>
    <w:rsid w:val="34BB4442"/>
    <w:rsid w:val="34F01F80"/>
    <w:rsid w:val="3584136B"/>
    <w:rsid w:val="35FF5AA4"/>
    <w:rsid w:val="360B7EBA"/>
    <w:rsid w:val="36416867"/>
    <w:rsid w:val="367D5DD4"/>
    <w:rsid w:val="36932551"/>
    <w:rsid w:val="369C32FD"/>
    <w:rsid w:val="37666E72"/>
    <w:rsid w:val="38081EA3"/>
    <w:rsid w:val="38143FD9"/>
    <w:rsid w:val="38167A04"/>
    <w:rsid w:val="381C3783"/>
    <w:rsid w:val="394B167A"/>
    <w:rsid w:val="399F745E"/>
    <w:rsid w:val="39DA2868"/>
    <w:rsid w:val="3A055F4B"/>
    <w:rsid w:val="3A4329C0"/>
    <w:rsid w:val="3A4E4336"/>
    <w:rsid w:val="3A6007FE"/>
    <w:rsid w:val="3A802587"/>
    <w:rsid w:val="3A852164"/>
    <w:rsid w:val="3AF93D6C"/>
    <w:rsid w:val="3AFD06C8"/>
    <w:rsid w:val="3B7C2CE4"/>
    <w:rsid w:val="3BAF716B"/>
    <w:rsid w:val="3BF21AC7"/>
    <w:rsid w:val="3C0B5355"/>
    <w:rsid w:val="3C4A19EF"/>
    <w:rsid w:val="3CD4176B"/>
    <w:rsid w:val="3D1F44D9"/>
    <w:rsid w:val="3D5C38CD"/>
    <w:rsid w:val="3E5070F1"/>
    <w:rsid w:val="3E6D1CF1"/>
    <w:rsid w:val="3E7F0DAE"/>
    <w:rsid w:val="3E9A01F4"/>
    <w:rsid w:val="3EC06A6A"/>
    <w:rsid w:val="3EC370CB"/>
    <w:rsid w:val="3F6C3589"/>
    <w:rsid w:val="3F78332B"/>
    <w:rsid w:val="3F850180"/>
    <w:rsid w:val="3F9004D6"/>
    <w:rsid w:val="3FEE7CFA"/>
    <w:rsid w:val="400E4D5E"/>
    <w:rsid w:val="40E1138C"/>
    <w:rsid w:val="413814BA"/>
    <w:rsid w:val="41872511"/>
    <w:rsid w:val="41DF1251"/>
    <w:rsid w:val="424236D9"/>
    <w:rsid w:val="42466655"/>
    <w:rsid w:val="42C82F57"/>
    <w:rsid w:val="435707E5"/>
    <w:rsid w:val="43C76AF7"/>
    <w:rsid w:val="43E97E4A"/>
    <w:rsid w:val="446828F0"/>
    <w:rsid w:val="44A532F6"/>
    <w:rsid w:val="45093E85"/>
    <w:rsid w:val="45C13B4D"/>
    <w:rsid w:val="46054BCA"/>
    <w:rsid w:val="464C6AFC"/>
    <w:rsid w:val="468B0091"/>
    <w:rsid w:val="46A107C3"/>
    <w:rsid w:val="46B15CE2"/>
    <w:rsid w:val="46BE113D"/>
    <w:rsid w:val="46E44B13"/>
    <w:rsid w:val="4703508A"/>
    <w:rsid w:val="472B40E0"/>
    <w:rsid w:val="475023F8"/>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F518D"/>
    <w:rsid w:val="4A1F42D0"/>
    <w:rsid w:val="4A221E36"/>
    <w:rsid w:val="4A7F3979"/>
    <w:rsid w:val="4ADA1F63"/>
    <w:rsid w:val="4AE23D89"/>
    <w:rsid w:val="4B202D2A"/>
    <w:rsid w:val="4B2038D0"/>
    <w:rsid w:val="4B296E7D"/>
    <w:rsid w:val="4B79394E"/>
    <w:rsid w:val="4B877F28"/>
    <w:rsid w:val="4BBA0128"/>
    <w:rsid w:val="4C1233E7"/>
    <w:rsid w:val="4D916BA6"/>
    <w:rsid w:val="4DC44169"/>
    <w:rsid w:val="4DE24E21"/>
    <w:rsid w:val="4E1B19A3"/>
    <w:rsid w:val="4E48787F"/>
    <w:rsid w:val="4EF0709E"/>
    <w:rsid w:val="4F0469A4"/>
    <w:rsid w:val="4F8B29E8"/>
    <w:rsid w:val="4F8D1DDB"/>
    <w:rsid w:val="500E56F4"/>
    <w:rsid w:val="50540C73"/>
    <w:rsid w:val="50752AF8"/>
    <w:rsid w:val="513C6A7B"/>
    <w:rsid w:val="5224454D"/>
    <w:rsid w:val="52C47588"/>
    <w:rsid w:val="52EC6EC2"/>
    <w:rsid w:val="532D486F"/>
    <w:rsid w:val="5333545B"/>
    <w:rsid w:val="538D0E89"/>
    <w:rsid w:val="5450213C"/>
    <w:rsid w:val="546711F3"/>
    <w:rsid w:val="54D24048"/>
    <w:rsid w:val="54D64CD5"/>
    <w:rsid w:val="55111DD2"/>
    <w:rsid w:val="5532287C"/>
    <w:rsid w:val="55887D69"/>
    <w:rsid w:val="55E241D5"/>
    <w:rsid w:val="561A0928"/>
    <w:rsid w:val="56423872"/>
    <w:rsid w:val="569E06BC"/>
    <w:rsid w:val="56B279F0"/>
    <w:rsid w:val="56CF7548"/>
    <w:rsid w:val="56F20F86"/>
    <w:rsid w:val="579D710E"/>
    <w:rsid w:val="581F22F6"/>
    <w:rsid w:val="583E4749"/>
    <w:rsid w:val="586E1E17"/>
    <w:rsid w:val="58862C35"/>
    <w:rsid w:val="58C14957"/>
    <w:rsid w:val="58CC23D2"/>
    <w:rsid w:val="58E66050"/>
    <w:rsid w:val="596E4C89"/>
    <w:rsid w:val="59FC7994"/>
    <w:rsid w:val="5A0A173D"/>
    <w:rsid w:val="5AE83A50"/>
    <w:rsid w:val="5B2E764E"/>
    <w:rsid w:val="5B353193"/>
    <w:rsid w:val="5BAB2917"/>
    <w:rsid w:val="5BFC33FA"/>
    <w:rsid w:val="5C09457D"/>
    <w:rsid w:val="5C3107A4"/>
    <w:rsid w:val="5C3B1B93"/>
    <w:rsid w:val="5C69772C"/>
    <w:rsid w:val="5C9220DF"/>
    <w:rsid w:val="5D4A15F3"/>
    <w:rsid w:val="5D69542A"/>
    <w:rsid w:val="5D783B72"/>
    <w:rsid w:val="5E0930EF"/>
    <w:rsid w:val="5E3D4D53"/>
    <w:rsid w:val="5E4717E6"/>
    <w:rsid w:val="5E55774C"/>
    <w:rsid w:val="5E8A70FF"/>
    <w:rsid w:val="60045F96"/>
    <w:rsid w:val="60104DDC"/>
    <w:rsid w:val="605C0804"/>
    <w:rsid w:val="60913E6F"/>
    <w:rsid w:val="61733C3E"/>
    <w:rsid w:val="6189617B"/>
    <w:rsid w:val="61AD3C17"/>
    <w:rsid w:val="61B52BB6"/>
    <w:rsid w:val="61B749C2"/>
    <w:rsid w:val="62280D20"/>
    <w:rsid w:val="62B4786E"/>
    <w:rsid w:val="62CA2457"/>
    <w:rsid w:val="638240A1"/>
    <w:rsid w:val="63833423"/>
    <w:rsid w:val="63A5257B"/>
    <w:rsid w:val="63BD3DCC"/>
    <w:rsid w:val="63C61741"/>
    <w:rsid w:val="64203A51"/>
    <w:rsid w:val="64560967"/>
    <w:rsid w:val="656B1D10"/>
    <w:rsid w:val="65916B9F"/>
    <w:rsid w:val="65B841F9"/>
    <w:rsid w:val="66022B28"/>
    <w:rsid w:val="664A38E2"/>
    <w:rsid w:val="66581E87"/>
    <w:rsid w:val="66FA11D5"/>
    <w:rsid w:val="674302C7"/>
    <w:rsid w:val="67832FBE"/>
    <w:rsid w:val="67CB09D8"/>
    <w:rsid w:val="67EE3B0F"/>
    <w:rsid w:val="680A5986"/>
    <w:rsid w:val="680D5F4B"/>
    <w:rsid w:val="68113F51"/>
    <w:rsid w:val="681165A2"/>
    <w:rsid w:val="68E94770"/>
    <w:rsid w:val="68F949C9"/>
    <w:rsid w:val="695A4290"/>
    <w:rsid w:val="6A334932"/>
    <w:rsid w:val="6A3353FF"/>
    <w:rsid w:val="6A5D63E6"/>
    <w:rsid w:val="6A5F24D1"/>
    <w:rsid w:val="6A6F5E3C"/>
    <w:rsid w:val="6ACA70C4"/>
    <w:rsid w:val="6AE347EB"/>
    <w:rsid w:val="6B330365"/>
    <w:rsid w:val="6B434AF0"/>
    <w:rsid w:val="6B57675A"/>
    <w:rsid w:val="6B87098A"/>
    <w:rsid w:val="6B9F6CC6"/>
    <w:rsid w:val="6BDD7B4D"/>
    <w:rsid w:val="6C44786E"/>
    <w:rsid w:val="6D747CDF"/>
    <w:rsid w:val="6E1E1D3F"/>
    <w:rsid w:val="6EA93F33"/>
    <w:rsid w:val="6EBC0B3A"/>
    <w:rsid w:val="6EF51C7D"/>
    <w:rsid w:val="6F8363E5"/>
    <w:rsid w:val="6F841DCF"/>
    <w:rsid w:val="6FA80CCD"/>
    <w:rsid w:val="6FAC3CC5"/>
    <w:rsid w:val="6FC746F5"/>
    <w:rsid w:val="70317AC6"/>
    <w:rsid w:val="704B26F7"/>
    <w:rsid w:val="70697B21"/>
    <w:rsid w:val="70863262"/>
    <w:rsid w:val="70A76ED3"/>
    <w:rsid w:val="71860B17"/>
    <w:rsid w:val="723B27CC"/>
    <w:rsid w:val="723E08BB"/>
    <w:rsid w:val="72687227"/>
    <w:rsid w:val="72A03FD9"/>
    <w:rsid w:val="73406CFF"/>
    <w:rsid w:val="7383028C"/>
    <w:rsid w:val="73A25E44"/>
    <w:rsid w:val="741E1B73"/>
    <w:rsid w:val="741F68CF"/>
    <w:rsid w:val="75252DF3"/>
    <w:rsid w:val="75621536"/>
    <w:rsid w:val="75BF3154"/>
    <w:rsid w:val="764A07CF"/>
    <w:rsid w:val="764F6B3D"/>
    <w:rsid w:val="76872831"/>
    <w:rsid w:val="769006E9"/>
    <w:rsid w:val="76CD2B7B"/>
    <w:rsid w:val="76D80645"/>
    <w:rsid w:val="76E03371"/>
    <w:rsid w:val="76E2215D"/>
    <w:rsid w:val="771211AA"/>
    <w:rsid w:val="77DE3FFE"/>
    <w:rsid w:val="780E5898"/>
    <w:rsid w:val="782642CC"/>
    <w:rsid w:val="7894095E"/>
    <w:rsid w:val="78964555"/>
    <w:rsid w:val="78C7785D"/>
    <w:rsid w:val="78CF4963"/>
    <w:rsid w:val="79000679"/>
    <w:rsid w:val="791C0FE5"/>
    <w:rsid w:val="798F01A7"/>
    <w:rsid w:val="79A416F0"/>
    <w:rsid w:val="79B03EB6"/>
    <w:rsid w:val="79B61437"/>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C86878"/>
    <w:rsid w:val="7F16390D"/>
    <w:rsid w:val="7F2769BD"/>
    <w:rsid w:val="7F752917"/>
    <w:rsid w:val="7FE1767D"/>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8"/>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29"/>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0"/>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8"/>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alloon Text"/>
    <w:basedOn w:val="1"/>
    <w:link w:val="33"/>
    <w:semiHidden/>
    <w:unhideWhenUsed/>
    <w:qFormat/>
    <w:uiPriority w:val="99"/>
    <w:rPr>
      <w:sz w:val="18"/>
      <w:szCs w:val="18"/>
    </w:rPr>
  </w:style>
  <w:style w:type="paragraph" w:styleId="16">
    <w:name w:val="footer"/>
    <w:basedOn w:val="1"/>
    <w:link w:val="27"/>
    <w:unhideWhenUsed/>
    <w:qFormat/>
    <w:uiPriority w:val="99"/>
    <w:pPr>
      <w:tabs>
        <w:tab w:val="center" w:pos="4153"/>
        <w:tab w:val="right" w:pos="8306"/>
      </w:tabs>
      <w:snapToGrid w:val="0"/>
      <w:jc w:val="left"/>
    </w:pPr>
    <w:rPr>
      <w:sz w:val="18"/>
      <w:szCs w:val="18"/>
    </w:rPr>
  </w:style>
  <w:style w:type="paragraph" w:styleId="17">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paragraph" w:customStyle="1" w:styleId="2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6">
    <w:name w:val="页眉 字符"/>
    <w:basedOn w:val="23"/>
    <w:link w:val="17"/>
    <w:qFormat/>
    <w:uiPriority w:val="99"/>
    <w:rPr>
      <w:sz w:val="18"/>
      <w:szCs w:val="18"/>
    </w:rPr>
  </w:style>
  <w:style w:type="character" w:customStyle="1" w:styleId="27">
    <w:name w:val="页脚 字符"/>
    <w:basedOn w:val="23"/>
    <w:link w:val="16"/>
    <w:qFormat/>
    <w:uiPriority w:val="99"/>
    <w:rPr>
      <w:sz w:val="18"/>
      <w:szCs w:val="18"/>
    </w:rPr>
  </w:style>
  <w:style w:type="character" w:customStyle="1" w:styleId="28">
    <w:name w:val="标题 1 字符"/>
    <w:basedOn w:val="23"/>
    <w:link w:val="4"/>
    <w:qFormat/>
    <w:uiPriority w:val="9"/>
    <w:rPr>
      <w:rFonts w:eastAsia="方正小标宋简体"/>
      <w:bCs/>
      <w:kern w:val="44"/>
      <w:sz w:val="44"/>
      <w:szCs w:val="44"/>
    </w:rPr>
  </w:style>
  <w:style w:type="character" w:customStyle="1" w:styleId="29">
    <w:name w:val="标题 2 字符"/>
    <w:basedOn w:val="23"/>
    <w:link w:val="5"/>
    <w:qFormat/>
    <w:uiPriority w:val="9"/>
    <w:rPr>
      <w:rFonts w:eastAsia="方正小标宋简体" w:asciiTheme="majorHAnsi" w:hAnsiTheme="majorHAnsi" w:cstheme="majorBidi"/>
      <w:bCs/>
      <w:sz w:val="36"/>
      <w:szCs w:val="32"/>
    </w:rPr>
  </w:style>
  <w:style w:type="character" w:customStyle="1" w:styleId="30">
    <w:name w:val="标题 3 字符"/>
    <w:basedOn w:val="23"/>
    <w:link w:val="6"/>
    <w:qFormat/>
    <w:uiPriority w:val="9"/>
    <w:rPr>
      <w:rFonts w:ascii="Calibri" w:hAnsi="Calibri" w:eastAsia="宋体" w:cs="Times New Roman"/>
      <w:b/>
      <w:bCs/>
      <w:sz w:val="32"/>
      <w:szCs w:val="32"/>
    </w:rPr>
  </w:style>
  <w:style w:type="paragraph" w:styleId="31">
    <w:name w:val="List Paragraph"/>
    <w:basedOn w:val="1"/>
    <w:link w:val="39"/>
    <w:qFormat/>
    <w:uiPriority w:val="34"/>
    <w:pPr>
      <w:ind w:firstLine="420" w:firstLineChars="200"/>
    </w:p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23"/>
    <w:link w:val="15"/>
    <w:semiHidden/>
    <w:qFormat/>
    <w:uiPriority w:val="99"/>
    <w:rPr>
      <w:sz w:val="18"/>
      <w:szCs w:val="18"/>
    </w:rPr>
  </w:style>
  <w:style w:type="paragraph" w:styleId="3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CM97"/>
    <w:basedOn w:val="13"/>
    <w:next w:val="13"/>
    <w:qFormat/>
    <w:uiPriority w:val="0"/>
    <w:pPr>
      <w:spacing w:after="373"/>
    </w:pPr>
    <w:rPr>
      <w:color w:val="auto"/>
    </w:rPr>
  </w:style>
  <w:style w:type="paragraph" w:customStyle="1" w:styleId="36">
    <w:name w:val="CM91"/>
    <w:basedOn w:val="13"/>
    <w:next w:val="13"/>
    <w:qFormat/>
    <w:uiPriority w:val="0"/>
    <w:pPr>
      <w:spacing w:after="160"/>
    </w:pPr>
    <w:rPr>
      <w:color w:val="auto"/>
    </w:rPr>
  </w:style>
  <w:style w:type="character" w:customStyle="1" w:styleId="37">
    <w:name w:val="正文文本 3 Char"/>
    <w:qFormat/>
    <w:uiPriority w:val="99"/>
    <w:rPr>
      <w:sz w:val="16"/>
      <w:szCs w:val="16"/>
    </w:rPr>
  </w:style>
  <w:style w:type="character" w:customStyle="1" w:styleId="38">
    <w:name w:val="正文文本 3 字符"/>
    <w:basedOn w:val="23"/>
    <w:link w:val="8"/>
    <w:semiHidden/>
    <w:qFormat/>
    <w:uiPriority w:val="99"/>
    <w:rPr>
      <w:sz w:val="16"/>
      <w:szCs w:val="16"/>
    </w:rPr>
  </w:style>
  <w:style w:type="character" w:customStyle="1" w:styleId="39">
    <w:name w:val="列出段落 字符"/>
    <w:link w:val="31"/>
    <w:qFormat/>
    <w:uiPriority w:val="34"/>
  </w:style>
  <w:style w:type="paragraph" w:customStyle="1" w:styleId="40">
    <w:name w:val="1"/>
    <w:basedOn w:val="1"/>
    <w:next w:val="12"/>
    <w:qFormat/>
    <w:uiPriority w:val="99"/>
    <w:rPr>
      <w:rFonts w:ascii="宋体" w:hAnsi="Courier New"/>
    </w:rPr>
  </w:style>
  <w:style w:type="paragraph" w:customStyle="1" w:styleId="41">
    <w:name w:val="WPSOffice手动目录 1"/>
    <w:qFormat/>
    <w:uiPriority w:val="0"/>
    <w:rPr>
      <w:rFonts w:asciiTheme="minorHAnsi" w:hAnsiTheme="minorHAnsi" w:eastAsiaTheme="minorEastAsia" w:cstheme="minorBidi"/>
      <w:lang w:val="en-US" w:eastAsia="zh-CN" w:bidi="ar-SA"/>
    </w:rPr>
  </w:style>
  <w:style w:type="paragraph" w:customStyle="1" w:styleId="4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3">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4">
    <w:name w:val="_Style 1"/>
    <w:basedOn w:val="1"/>
    <w:qFormat/>
    <w:uiPriority w:val="0"/>
    <w:pPr>
      <w:ind w:firstLine="200" w:firstLineChars="200"/>
    </w:pPr>
    <w:rPr>
      <w:rFonts w:ascii="Calibri" w:hAnsi="Calibri" w:eastAsia="宋体" w:cs="Times New Roman"/>
    </w:rPr>
  </w:style>
  <w:style w:type="table" w:customStyle="1" w:styleId="45">
    <w:name w:val="网格型1"/>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
    <w:name w:val="_"/>
    <w:basedOn w:val="1"/>
    <w:qFormat/>
    <w:uiPriority w:val="0"/>
    <w:pPr>
      <w:spacing w:line="360" w:lineRule="auto"/>
      <w:ind w:left="480"/>
    </w:pPr>
    <w:rPr>
      <w:rFonts w:ascii="Calibri" w:hAnsi="Calibri" w:eastAsia="宋体" w:cs="Times New Roman"/>
      <w:sz w:val="24"/>
    </w:rPr>
  </w:style>
  <w:style w:type="character" w:customStyle="1" w:styleId="47">
    <w:name w:val="*正文 Char"/>
    <w:link w:val="48"/>
    <w:qFormat/>
    <w:uiPriority w:val="0"/>
    <w:rPr>
      <w:rFonts w:ascii="仿宋_GB2312" w:hAnsi="Times New Roman" w:eastAsia="仿宋_GB2312" w:cs="Times New Roman"/>
      <w:sz w:val="24"/>
      <w:szCs w:val="28"/>
    </w:rPr>
  </w:style>
  <w:style w:type="paragraph" w:customStyle="1" w:styleId="48">
    <w:name w:val="*正文"/>
    <w:basedOn w:val="1"/>
    <w:next w:val="1"/>
    <w:link w:val="47"/>
    <w:qFormat/>
    <w:uiPriority w:val="0"/>
    <w:pPr>
      <w:widowControl/>
      <w:ind w:firstLine="200" w:firstLineChars="200"/>
    </w:pPr>
    <w:rPr>
      <w:rFonts w:ascii="仿宋_GB2312" w:hAnsi="Times New Roman" w:eastAsia="仿宋_GB2312" w:cs="Times New Roman"/>
      <w:kern w:val="0"/>
      <w:sz w:val="24"/>
      <w:szCs w:val="28"/>
    </w:rPr>
  </w:style>
  <w:style w:type="character" w:customStyle="1" w:styleId="49">
    <w:name w:val="表格标题(居中) Char"/>
    <w:link w:val="50"/>
    <w:qFormat/>
    <w:uiPriority w:val="0"/>
    <w:rPr>
      <w:rFonts w:eastAsia="黑体"/>
      <w:kern w:val="2"/>
      <w:sz w:val="24"/>
    </w:rPr>
  </w:style>
  <w:style w:type="paragraph" w:customStyle="1" w:styleId="50">
    <w:name w:val="表格标题(居中)"/>
    <w:basedOn w:val="1"/>
    <w:link w:val="49"/>
    <w:qFormat/>
    <w:uiPriority w:val="0"/>
    <w:pPr>
      <w:snapToGrid w:val="0"/>
      <w:spacing w:line="300" w:lineRule="auto"/>
      <w:jc w:val="center"/>
    </w:pPr>
    <w:rPr>
      <w:rFonts w:eastAsia="黑体"/>
      <w:sz w:val="24"/>
      <w:szCs w:val="20"/>
    </w:rPr>
  </w:style>
  <w:style w:type="paragraph" w:customStyle="1" w:styleId="51">
    <w:name w:val="表格(五号)"/>
    <w:basedOn w:val="1"/>
    <w:qFormat/>
    <w:uiPriority w:val="0"/>
    <w:pPr>
      <w:adjustRightInd w:val="0"/>
      <w:snapToGrid w:val="0"/>
      <w:spacing w:before="60" w:after="60"/>
      <w:ind w:left="11"/>
      <w:jc w:val="center"/>
    </w:pPr>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30211</Words>
  <Characters>32040</Characters>
  <Lines>294</Lines>
  <Paragraphs>82</Paragraphs>
  <TotalTime>2</TotalTime>
  <ScaleCrop>false</ScaleCrop>
  <LinksUpToDate>false</LinksUpToDate>
  <CharactersWithSpaces>34184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2022-11-04T06:43:00Z</cp:lastPrinted>
  <dcterms:modified xsi:type="dcterms:W3CDTF">2022-11-08T08:19:14Z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24C3C2EAC30542D290866CB02B24EE6C</vt:lpwstr>
  </property>
</Properties>
</file>