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hAnsiTheme="minorHAnsi" w:cstheme="minorBidi"/>
          <w:b w:val="0"/>
          <w:bCs w:val="0"/>
          <w:color w:val="auto"/>
          <w:sz w:val="52"/>
          <w:szCs w:val="52"/>
          <w:highlight w:val="none"/>
          <w:u w:val="none"/>
        </w:rPr>
      </w:pPr>
      <w:r>
        <w:rPr>
          <w:rFonts w:hint="eastAsia" w:ascii="方正小标宋简体" w:eastAsia="方正小标宋简体" w:cstheme="minorBidi"/>
          <w:b w:val="0"/>
          <w:color w:val="auto"/>
          <w:sz w:val="52"/>
          <w:szCs w:val="52"/>
          <w:highlight w:val="none"/>
          <w:u w:val="none"/>
          <w:lang w:val="en-US" w:eastAsia="zh-CN"/>
        </w:rPr>
        <w:t>广州市净水有限公司2022年</w:t>
      </w:r>
      <w:r>
        <w:rPr>
          <w:rFonts w:hint="eastAsia" w:ascii="方正小标宋简体" w:eastAsia="方正小标宋简体" w:hAnsiTheme="minorHAnsi" w:cstheme="minorBidi"/>
          <w:b w:val="0"/>
          <w:bCs w:val="0"/>
          <w:color w:val="auto"/>
          <w:sz w:val="52"/>
          <w:szCs w:val="52"/>
          <w:highlight w:val="none"/>
          <w:u w:val="none"/>
        </w:rPr>
        <w:t>龙归</w:t>
      </w:r>
    </w:p>
    <w:p>
      <w:pPr>
        <w:ind w:firstLine="0" w:firstLineChars="0"/>
        <w:jc w:val="center"/>
        <w:rPr>
          <w:rFonts w:hint="eastAsia" w:ascii="方正小标宋简体" w:eastAsia="方正小标宋简体" w:hAnsiTheme="minorHAnsi" w:cstheme="minorBidi"/>
          <w:b w:val="0"/>
          <w:bCs w:val="0"/>
          <w:color w:val="auto"/>
          <w:sz w:val="52"/>
          <w:szCs w:val="52"/>
          <w:highlight w:val="none"/>
          <w:u w:val="none"/>
        </w:rPr>
      </w:pPr>
      <w:r>
        <w:rPr>
          <w:rFonts w:hint="eastAsia" w:ascii="方正小标宋简体" w:eastAsia="方正小标宋简体" w:hAnsiTheme="minorHAnsi" w:cstheme="minorBidi"/>
          <w:b w:val="0"/>
          <w:bCs w:val="0"/>
          <w:color w:val="auto"/>
          <w:sz w:val="52"/>
          <w:szCs w:val="52"/>
          <w:highlight w:val="none"/>
          <w:u w:val="none"/>
        </w:rPr>
        <w:t>分公司视频传输网络优化及</w:t>
      </w:r>
    </w:p>
    <w:p>
      <w:pPr>
        <w:ind w:firstLine="0" w:firstLineChars="0"/>
        <w:jc w:val="center"/>
        <w:rPr>
          <w:rFonts w:hint="eastAsia" w:ascii="方正小标宋简体" w:eastAsia="方正小标宋简体" w:cstheme="minorBidi"/>
          <w:b w:val="0"/>
          <w:color w:val="auto"/>
          <w:sz w:val="52"/>
          <w:szCs w:val="52"/>
          <w:highlight w:val="none"/>
          <w:u w:val="none"/>
          <w:lang w:val="en-US" w:eastAsia="zh-CN"/>
        </w:rPr>
      </w:pPr>
      <w:r>
        <w:rPr>
          <w:rFonts w:hint="eastAsia" w:ascii="方正小标宋简体" w:eastAsia="方正小标宋简体" w:hAnsiTheme="minorHAnsi" w:cstheme="minorBidi"/>
          <w:b w:val="0"/>
          <w:bCs w:val="0"/>
          <w:color w:val="auto"/>
          <w:sz w:val="52"/>
          <w:szCs w:val="52"/>
          <w:highlight w:val="none"/>
          <w:u w:val="none"/>
        </w:rPr>
        <w:t>办公楼WIFI覆盖</w:t>
      </w:r>
      <w:r>
        <w:rPr>
          <w:rFonts w:hint="eastAsia" w:ascii="方正小标宋简体" w:eastAsia="方正小标宋简体" w:hAnsiTheme="minorHAnsi" w:cstheme="minorBidi"/>
          <w:b w:val="0"/>
          <w:bCs w:val="0"/>
          <w:color w:val="auto"/>
          <w:sz w:val="52"/>
          <w:szCs w:val="52"/>
          <w:highlight w:val="none"/>
          <w:u w:val="none"/>
          <w:lang w:val="en-US" w:eastAsia="zh-CN"/>
        </w:rPr>
        <w:t>项目</w:t>
      </w:r>
    </w:p>
    <w:p>
      <w:pPr>
        <w:jc w:val="center"/>
        <w:rPr>
          <w:rFonts w:hint="eastAsia" w:ascii="方正小标宋简体" w:eastAsia="方正小标宋简体" w:cstheme="minorBidi"/>
          <w:b w:val="0"/>
          <w:color w:val="auto"/>
          <w:sz w:val="52"/>
          <w:szCs w:val="52"/>
          <w:highlight w:val="none"/>
          <w:u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3"/>
        <w:rPr>
          <w:color w:val="auto"/>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3"/>
        <w:rPr>
          <w:color w:val="auto"/>
          <w:highlight w:val="none"/>
        </w:rPr>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4"/>
        <w:jc w:val="both"/>
        <w:rPr>
          <w:rFonts w:hint="eastAsia"/>
          <w:color w:val="auto"/>
          <w:highlight w:val="none"/>
        </w:rPr>
      </w:pPr>
      <w:bookmarkStart w:id="4" w:name="_Toc31938"/>
      <w:bookmarkStart w:id="5" w:name="_Toc7519"/>
      <w:bookmarkStart w:id="6" w:name="_Toc4275"/>
      <w:bookmarkStart w:id="7" w:name="_Toc19609"/>
      <w:bookmarkStart w:id="8" w:name="_Toc17801"/>
      <w:bookmarkStart w:id="9" w:name="_Toc11322"/>
      <w:bookmarkStart w:id="10" w:name="_Toc1669"/>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2364740</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2pt;margin-top:39.95pt;height:0pt;width:75.5pt;z-index:251671552;mso-width-relative:page;mso-height-relative:page;" filled="f" stroked="t" coordsize="21600,21600" o:gfxdata="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IAgt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4"/>
        <w:rPr>
          <w:color w:val="auto"/>
          <w:highlight w:val="none"/>
        </w:rPr>
      </w:pPr>
      <w:bookmarkStart w:id="11" w:name="_Toc14238"/>
      <w:bookmarkStart w:id="12" w:name="_Toc28995"/>
      <w:bookmarkStart w:id="13" w:name="_Toc999"/>
      <w:bookmarkStart w:id="14" w:name="_Toc30989"/>
      <w:bookmarkStart w:id="15" w:name="_Toc26363"/>
      <w:bookmarkStart w:id="16" w:name="_Toc8201"/>
      <w:bookmarkStart w:id="17" w:name="_Toc88209924"/>
      <w:bookmarkStart w:id="18" w:name="_Toc15709"/>
      <w:bookmarkStart w:id="19" w:name="_Toc5230"/>
      <w:bookmarkStart w:id="20" w:name="_Toc30131"/>
      <w:bookmarkStart w:id="21" w:name="_Toc2659"/>
      <w:bookmarkStart w:id="22" w:name="_Toc10122"/>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ind w:left="1440" w:hanging="1440" w:hangingChars="400"/>
        <w:jc w:val="left"/>
        <w:rPr>
          <w:color w:val="auto"/>
          <w:highlight w:val="none"/>
        </w:rPr>
      </w:pPr>
      <w:bookmarkStart w:id="23" w:name="_Toc21373"/>
      <w:bookmarkStart w:id="24" w:name="_Toc9680"/>
      <w:r>
        <w:rPr>
          <w:rFonts w:hint="eastAsia" w:cstheme="majorBidi"/>
          <w:b w:val="0"/>
          <w:color w:val="auto"/>
          <w:sz w:val="36"/>
          <w:szCs w:val="32"/>
          <w:highlight w:val="none"/>
          <w:u w:val="single"/>
          <w:lang w:val="en-US" w:eastAsia="zh-CN"/>
        </w:rPr>
        <w:t>广州市净水有限公司2022年龙归分公司视频传输网络优化及办公楼WIFI覆盖项目</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stheme="minorBidi"/>
          <w:b w:val="0"/>
          <w:color w:val="auto"/>
          <w:sz w:val="28"/>
          <w:szCs w:val="28"/>
          <w:highlight w:val="none"/>
          <w:u w:val="single"/>
          <w:lang w:val="en-US" w:eastAsia="zh-CN"/>
        </w:rPr>
        <w:t>广州市净水有限公司2022年</w:t>
      </w:r>
      <w:r>
        <w:rPr>
          <w:rFonts w:hint="eastAsia" w:ascii="仿宋_GB2312" w:eastAsia="仿宋_GB2312" w:hAnsiTheme="minorHAnsi" w:cstheme="minorBidi"/>
          <w:b w:val="0"/>
          <w:bCs w:val="0"/>
          <w:color w:val="auto"/>
          <w:sz w:val="28"/>
          <w:szCs w:val="28"/>
          <w:highlight w:val="none"/>
          <w:u w:val="single"/>
        </w:rPr>
        <w:t>龙归分公司视频传输网络优化及办公楼WIFI覆盖</w:t>
      </w:r>
      <w:r>
        <w:rPr>
          <w:rFonts w:hint="eastAsia" w:ascii="仿宋_GB2312" w:eastAsia="仿宋_GB2312" w:hAnsiTheme="minorHAnsi" w:cstheme="minorBidi"/>
          <w:b w:val="0"/>
          <w:bCs w:val="0"/>
          <w:color w:val="auto"/>
          <w:sz w:val="28"/>
          <w:szCs w:val="28"/>
          <w:highlight w:val="none"/>
          <w:u w:val="single"/>
          <w:lang w:val="en-US" w:eastAsia="zh-CN"/>
        </w:rPr>
        <w:t>项目</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non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广州市净水有限公司2022年</w:t>
      </w:r>
      <w:r>
        <w:rPr>
          <w:rFonts w:hint="eastAsia" w:ascii="仿宋_GB2312" w:eastAsia="仿宋_GB2312"/>
          <w:color w:val="auto"/>
          <w:sz w:val="28"/>
          <w:szCs w:val="28"/>
          <w:highlight w:val="none"/>
          <w:u w:val="single"/>
        </w:rPr>
        <w:t>龙归分公司视频传输网络优化及办公楼WIFI覆盖</w:t>
      </w:r>
      <w:r>
        <w:rPr>
          <w:rFonts w:hint="eastAsia" w:ascii="仿宋_GB2312" w:eastAsia="仿宋_GB2312"/>
          <w:color w:val="auto"/>
          <w:sz w:val="28"/>
          <w:szCs w:val="28"/>
          <w:highlight w:val="none"/>
          <w:u w:val="single"/>
          <w:lang w:val="en-US" w:eastAsia="zh-CN"/>
        </w:rPr>
        <w:t>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XJ-20221104-3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utoSpaceDE w:val="0"/>
        <w:autoSpaceDN w:val="0"/>
        <w:ind w:firstLine="0" w:firstLineChars="0"/>
        <w:rPr>
          <w:rFonts w:ascii="仿宋_GB2312" w:hAnsi="仿宋_GB2312" w:eastAsia="仿宋_GB2312" w:cs="仿宋_GB2312"/>
          <w:color w:val="auto"/>
          <w:sz w:val="28"/>
          <w:szCs w:val="28"/>
          <w:highlight w:val="none"/>
          <w:lang w:val="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hAnsi="仿宋_GB2312" w:eastAsia="仿宋_GB2312" w:cs="仿宋_GB2312"/>
          <w:color w:val="auto"/>
          <w:sz w:val="28"/>
          <w:szCs w:val="28"/>
          <w:highlight w:val="none"/>
          <w:u w:val="single"/>
        </w:rPr>
        <w:t>295316.75</w:t>
      </w:r>
      <w:r>
        <w:rPr>
          <w:rFonts w:hint="eastAsia" w:ascii="仿宋_GB2312" w:hAnsi="仿宋_GB2312" w:eastAsia="仿宋_GB2312" w:cs="仿宋_GB2312"/>
          <w:color w:val="auto"/>
          <w:sz w:val="28"/>
          <w:szCs w:val="28"/>
          <w:highlight w:val="none"/>
          <w:u w:val="single"/>
          <w:lang w:val="zh-CN"/>
        </w:rPr>
        <w:t>元（人民币），其中不含税工程造价为270932.8元，税率为9%,绿色施工安全防护措施费为13663.99元，绿色施工安全防护措施费为非竞争性费用，报价时须按</w:t>
      </w:r>
      <w:r>
        <w:rPr>
          <w:rFonts w:hint="eastAsia" w:ascii="仿宋_GB2312" w:hAnsi="仿宋_GB2312" w:eastAsia="仿宋_GB2312" w:cs="仿宋_GB2312"/>
          <w:color w:val="auto"/>
          <w:sz w:val="28"/>
          <w:szCs w:val="28"/>
          <w:highlight w:val="none"/>
          <w:u w:val="single"/>
          <w:lang w:val="zh-CN" w:eastAsia="zh-CN"/>
        </w:rPr>
        <w:t>采购</w:t>
      </w:r>
      <w:r>
        <w:rPr>
          <w:rFonts w:hint="eastAsia" w:ascii="仿宋_GB2312" w:hAnsi="仿宋_GB2312" w:eastAsia="仿宋_GB2312" w:cs="仿宋_GB2312"/>
          <w:color w:val="auto"/>
          <w:sz w:val="28"/>
          <w:szCs w:val="28"/>
          <w:highlight w:val="none"/>
          <w:u w:val="single"/>
          <w:lang w:val="zh-CN"/>
        </w:rPr>
        <w:t>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龙归净水公司一二期办公区域及三期负一、负二层WIFI信号（WIFI6）覆盖项目。主要覆盖区域是一二期办公区域及三期负一、负二层工作区域、走道、设备工作间等工作人员活动区域。</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项目主要内容及需求如下：</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1.现场勘查,根据项目内容与需求明确要求出具布点图，项目实施前提供系统技术方案。</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2.综合布线,针对所需无线覆盖区域做网线拉通处理。</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3.无线设备安装,针对定好的无线点位,安装AP无线设备及片区终端网络机柜。</w:t>
      </w:r>
    </w:p>
    <w:p>
      <w:pPr>
        <w:ind w:firstLine="560" w:firstLineChars="200"/>
        <w:rPr>
          <w:rFonts w:asciiTheme="minorEastAsia" w:hAnsiTheme="minorEastAsia" w:eastAsiaTheme="minorEastAsia" w:cstheme="minorEastAsia"/>
          <w:color w:val="auto"/>
          <w:sz w:val="28"/>
          <w:szCs w:val="28"/>
          <w:highlight w:val="none"/>
        </w:rPr>
      </w:pPr>
      <w:r>
        <w:rPr>
          <w:rFonts w:hint="eastAsia" w:ascii="仿宋" w:hAnsi="仿宋" w:eastAsia="仿宋" w:cs="仿宋"/>
          <w:color w:val="auto"/>
          <w:sz w:val="28"/>
          <w:szCs w:val="28"/>
          <w:highlight w:val="none"/>
        </w:rPr>
        <w:t>4.网络进行联调测试，实现龙归净水公司地下空间的WIFI全面覆盖。</w:t>
      </w:r>
    </w:p>
    <w:p>
      <w:pPr>
        <w:snapToGrid w:val="0"/>
        <w:spacing w:line="600" w:lineRule="exact"/>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30日</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 w:hAnsi="仿宋" w:eastAsia="仿宋" w:cs="仿宋"/>
          <w:color w:val="auto"/>
          <w:sz w:val="28"/>
          <w:szCs w:val="28"/>
          <w:highlight w:val="none"/>
          <w:u w:val="single"/>
          <w:lang w:val="en-US" w:eastAsia="zh-CN"/>
        </w:rPr>
        <w:t>广州市净水有限公司龙归分公司。</w:t>
      </w:r>
      <w:r>
        <w:rPr>
          <w:rFonts w:hint="eastAsia" w:ascii="仿宋" w:hAnsi="仿宋" w:eastAsia="仿宋" w:cs="仿宋"/>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□货物质量标准或主要技术性能指标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按合同条款和有关技术标准规范进行验收。</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使用的各种材料必须符合设计和</w:t>
      </w:r>
      <w:r>
        <w:rPr>
          <w:rFonts w:hint="eastAsia" w:ascii="仿宋_GB2312" w:eastAsia="仿宋_GB2312"/>
          <w:color w:val="auto"/>
          <w:sz w:val="28"/>
          <w:szCs w:val="28"/>
          <w:highlight w:val="none"/>
          <w:u w:val="single"/>
          <w:lang w:val="en-US" w:eastAsia="zh-CN"/>
        </w:rPr>
        <w:t>有关技术标准</w:t>
      </w:r>
      <w:r>
        <w:rPr>
          <w:rFonts w:hint="eastAsia" w:ascii="仿宋_GB2312" w:eastAsia="仿宋_GB2312"/>
          <w:color w:val="auto"/>
          <w:sz w:val="28"/>
          <w:szCs w:val="28"/>
          <w:highlight w:val="none"/>
          <w:u w:val="single"/>
        </w:rPr>
        <w:t>规范要求。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严格遵守净水公司的安全管理规定和要求。</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color w:val="auto"/>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numPr>
          <w:ilvl w:val="-1"/>
          <w:numId w:val="0"/>
        </w:numPr>
        <w:autoSpaceDE w:val="0"/>
        <w:autoSpaceDN w:val="0"/>
        <w:adjustRightInd/>
        <w:snapToGrid/>
        <w:spacing w:line="240" w:lineRule="auto"/>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hAnsi="仿宋" w:eastAsia="仿宋_GB2312" w:cs="仿宋_GB2312"/>
          <w:color w:val="auto"/>
          <w:sz w:val="28"/>
          <w:szCs w:val="28"/>
          <w:highlight w:val="none"/>
          <w:u w:val="none"/>
        </w:rPr>
        <w:t>电子与智能化工程专业承包二级（或以上级别）资质</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同时</w:t>
      </w:r>
      <w:r>
        <w:rPr>
          <w:rFonts w:hint="eastAsia" w:ascii="仿宋_GB2312" w:hAnsi="仿宋" w:eastAsia="仿宋_GB2312" w:cs="仿宋_GB2312"/>
          <w:color w:val="auto"/>
          <w:sz w:val="28"/>
          <w:szCs w:val="28"/>
          <w:highlight w:val="none"/>
          <w:u w:val="none"/>
        </w:rPr>
        <w:t>具有建设主管部门颁发且在有效期内的《安全生产许可证》</w:t>
      </w:r>
      <w:r>
        <w:rPr>
          <w:rFonts w:hint="eastAsia" w:ascii="仿宋_GB2312" w:hAnsi="仿宋"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提供复印件，加盖单位公章）；</w:t>
      </w:r>
    </w:p>
    <w:p>
      <w:pPr>
        <w:numPr>
          <w:ilvl w:val="0"/>
          <w:numId w:val="2"/>
        </w:numPr>
        <w:adjustRightInd w:val="0"/>
        <w:snapToGrid w:val="0"/>
        <w:spacing w:line="600" w:lineRule="exact"/>
        <w:ind w:left="0" w:leftChars="0"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2019</w:t>
      </w:r>
      <w:r>
        <w:rPr>
          <w:rFonts w:hint="eastAsia" w:ascii="仿宋_GB2312" w:eastAsia="仿宋_GB2312"/>
          <w:color w:val="auto"/>
          <w:sz w:val="28"/>
          <w:szCs w:val="28"/>
          <w:highlight w:val="none"/>
          <w:lang w:val="en-US" w:eastAsia="zh-CN"/>
        </w:rPr>
        <w:t>年1月1日至今，</w:t>
      </w:r>
      <w:r>
        <w:rPr>
          <w:rFonts w:ascii="仿宋_GB2312" w:hAnsi="仿宋" w:eastAsia="仿宋_GB2312" w:cs="仿宋_GB2312"/>
          <w:color w:val="auto"/>
          <w:sz w:val="28"/>
          <w:szCs w:val="28"/>
          <w:highlight w:val="none"/>
          <w:u w:val="none"/>
        </w:rPr>
        <w:t>最少具有一项</w:t>
      </w:r>
      <w:r>
        <w:rPr>
          <w:rFonts w:hint="eastAsia" w:ascii="仿宋_GB2312" w:hAnsi="仿宋" w:eastAsia="仿宋_GB2312" w:cs="仿宋_GB2312"/>
          <w:color w:val="auto"/>
          <w:sz w:val="28"/>
          <w:szCs w:val="28"/>
          <w:highlight w:val="none"/>
          <w:u w:val="none"/>
        </w:rPr>
        <w:t>类似</w:t>
      </w:r>
      <w:r>
        <w:rPr>
          <w:rFonts w:hint="eastAsia" w:ascii="仿宋_GB2312" w:hAnsi="仿宋_GB2312" w:eastAsia="仿宋_GB2312" w:cs="仿宋_GB2312"/>
          <w:color w:val="auto"/>
          <w:sz w:val="28"/>
          <w:szCs w:val="28"/>
          <w:highlight w:val="none"/>
          <w:u w:val="none"/>
        </w:rPr>
        <w:t>无线网络建设</w:t>
      </w:r>
      <w:r>
        <w:rPr>
          <w:rFonts w:hint="eastAsia" w:ascii="仿宋_GB2312" w:hAnsi="仿宋" w:eastAsia="仿宋_GB2312" w:cs="仿宋_GB2312"/>
          <w:color w:val="auto"/>
          <w:sz w:val="28"/>
          <w:szCs w:val="28"/>
          <w:highlight w:val="none"/>
          <w:u w:val="none"/>
        </w:rPr>
        <w:t>工程项目</w:t>
      </w:r>
      <w:r>
        <w:rPr>
          <w:rFonts w:hint="eastAsia" w:ascii="仿宋_GB2312" w:hAnsi="仿宋_GB2312" w:eastAsia="仿宋_GB2312" w:cs="仿宋_GB2312"/>
          <w:color w:val="auto"/>
          <w:sz w:val="28"/>
          <w:szCs w:val="28"/>
          <w:highlight w:val="none"/>
          <w:u w:val="none"/>
          <w:lang w:val="zh-CN"/>
        </w:rPr>
        <w:t>业绩（提供合同复印件证明，包括但不限于项目名称、金额及实施内容、合同盖章、签订日期，并加盖单位公章）</w:t>
      </w:r>
      <w:r>
        <w:rPr>
          <w:rFonts w:hint="eastAsia" w:ascii="仿宋" w:hAnsi="仿宋" w:eastAsia="仿宋" w:cs="仿宋_GB2312"/>
          <w:color w:val="auto"/>
          <w:sz w:val="28"/>
          <w:szCs w:val="28"/>
          <w:highlight w:val="none"/>
          <w:u w:val="none"/>
          <w:lang w:val="zh-CN"/>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）报价单位拟担任本工程项目负责人和安全员的人员资质须满足下列要求，且项目负责人不得同时兼任本项目专职安全人员</w:t>
      </w:r>
      <w:r>
        <w:rPr>
          <w:rFonts w:hint="eastAsia" w:ascii="仿宋_GB2312" w:eastAsia="仿宋_GB2312"/>
          <w:color w:val="auto"/>
          <w:sz w:val="28"/>
          <w:szCs w:val="28"/>
          <w:highlight w:val="none"/>
          <w:lang w:val="en-US" w:eastAsia="zh-CN"/>
        </w:rPr>
        <w:t>：</w:t>
      </w:r>
    </w:p>
    <w:p>
      <w:pPr>
        <w:pStyle w:val="22"/>
        <w:widowControl/>
        <w:numPr>
          <w:ilvl w:val="0"/>
          <w:numId w:val="3"/>
        </w:numPr>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left="425" w:hanging="425" w:firstLineChars="0"/>
        <w:jc w:val="both"/>
        <w:rPr>
          <w:rFonts w:hint="eastAsia" w:ascii="仿宋_GB2312" w:eastAsia="仿宋_GB2312" w:hAnsiTheme="minorHAnsi" w:cstheme="minorBidi"/>
          <w:color w:val="auto"/>
          <w:kern w:val="2"/>
          <w:sz w:val="28"/>
          <w:szCs w:val="28"/>
          <w:highlight w:val="none"/>
          <w:u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项目负责人要求：</w:t>
      </w:r>
      <w:r>
        <w:rPr>
          <w:rFonts w:hint="eastAsia" w:ascii="仿宋_GB2312" w:hAnsi="仿宋" w:eastAsia="仿宋_GB2312" w:cs="仿宋_GB2312"/>
          <w:color w:val="auto"/>
          <w:sz w:val="28"/>
          <w:szCs w:val="28"/>
          <w:highlight w:val="none"/>
          <w:u w:val="none"/>
        </w:rPr>
        <w:t>机电专业</w:t>
      </w:r>
      <w:r>
        <w:rPr>
          <w:rFonts w:ascii="仿宋_GB2312" w:hAnsi="仿宋" w:eastAsia="仿宋_GB2312" w:cs="仿宋_GB2312"/>
          <w:color w:val="auto"/>
          <w:sz w:val="28"/>
          <w:szCs w:val="28"/>
          <w:highlight w:val="none"/>
          <w:u w:val="none"/>
        </w:rPr>
        <w:t>二级</w:t>
      </w:r>
      <w:r>
        <w:rPr>
          <w:rFonts w:hint="eastAsia" w:ascii="仿宋_GB2312" w:hAnsi="仿宋" w:eastAsia="仿宋_GB2312" w:cs="仿宋_GB2312"/>
          <w:color w:val="auto"/>
          <w:sz w:val="28"/>
          <w:szCs w:val="28"/>
          <w:highlight w:val="none"/>
          <w:u w:val="none"/>
        </w:rPr>
        <w:t>（</w:t>
      </w:r>
      <w:r>
        <w:rPr>
          <w:rFonts w:ascii="仿宋_GB2312" w:hAnsi="仿宋" w:eastAsia="仿宋_GB2312" w:cs="仿宋_GB2312"/>
          <w:color w:val="auto"/>
          <w:sz w:val="28"/>
          <w:szCs w:val="28"/>
          <w:highlight w:val="none"/>
          <w:u w:val="none"/>
        </w:rPr>
        <w:t>或以上级别</w:t>
      </w:r>
      <w:r>
        <w:rPr>
          <w:rFonts w:hint="eastAsia" w:ascii="仿宋_GB2312" w:hAnsi="仿宋" w:eastAsia="仿宋_GB2312" w:cs="仿宋_GB2312"/>
          <w:color w:val="auto"/>
          <w:sz w:val="28"/>
          <w:szCs w:val="28"/>
          <w:highlight w:val="none"/>
          <w:u w:val="none"/>
        </w:rPr>
        <w:t>）</w:t>
      </w:r>
      <w:r>
        <w:rPr>
          <w:rFonts w:ascii="仿宋_GB2312" w:hAnsi="仿宋" w:eastAsia="仿宋_GB2312" w:cs="仿宋_GB2312"/>
          <w:color w:val="auto"/>
          <w:sz w:val="28"/>
          <w:szCs w:val="28"/>
          <w:highlight w:val="none"/>
          <w:u w:val="none"/>
        </w:rPr>
        <w:t>的注册建造师（或具备符合粤建市〔2010〕26号文规定的小型项目负责人资格），</w:t>
      </w:r>
      <w:r>
        <w:rPr>
          <w:rFonts w:hint="eastAsia" w:ascii="仿宋_GB2312" w:hAnsi="仿宋" w:eastAsia="仿宋_GB2312" w:cs="仿宋_GB2312"/>
          <w:color w:val="auto"/>
          <w:sz w:val="28"/>
          <w:szCs w:val="28"/>
          <w:highlight w:val="none"/>
          <w:u w:val="none"/>
        </w:rPr>
        <w:t>同时</w:t>
      </w:r>
      <w:r>
        <w:rPr>
          <w:rFonts w:ascii="仿宋_GB2312" w:hAnsi="仿宋" w:eastAsia="仿宋_GB2312" w:cs="仿宋_GB2312"/>
          <w:color w:val="auto"/>
          <w:sz w:val="28"/>
          <w:szCs w:val="28"/>
          <w:highlight w:val="none"/>
          <w:u w:val="none"/>
        </w:rPr>
        <w:t>持有项目负责人安全生产考核合格证（B）类；</w:t>
      </w:r>
      <w:r>
        <w:rPr>
          <w:rFonts w:hint="eastAsia" w:ascii="仿宋_GB2312" w:eastAsia="仿宋_GB2312" w:hAnsiTheme="minorHAnsi" w:cstheme="minorBidi"/>
          <w:color w:val="auto"/>
          <w:kern w:val="2"/>
          <w:sz w:val="28"/>
          <w:szCs w:val="28"/>
          <w:highlight w:val="none"/>
          <w:u w:val="none"/>
          <w:lang w:val="en-US" w:eastAsia="zh-CN" w:bidi="ar-SA"/>
        </w:rPr>
        <w:t>（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22"/>
        <w:widowControl/>
        <w:numPr>
          <w:ilvl w:val="0"/>
          <w:numId w:val="3"/>
        </w:numPr>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left="425" w:hanging="425" w:firstLineChars="0"/>
        <w:jc w:val="both"/>
        <w:rPr>
          <w:rFonts w:hint="eastAsia" w:ascii="仿宋_GB2312" w:eastAsia="仿宋_GB2312" w:hAnsiTheme="minorHAnsi" w:cstheme="minorBidi"/>
          <w:color w:val="auto"/>
          <w:kern w:val="2"/>
          <w:sz w:val="28"/>
          <w:szCs w:val="28"/>
          <w:highlight w:val="none"/>
          <w:u w:val="none"/>
          <w:lang w:val="en-US" w:eastAsia="zh-CN" w:bidi="ar-SA"/>
        </w:rPr>
      </w:pPr>
      <w:r>
        <w:rPr>
          <w:rFonts w:hint="eastAsia" w:ascii="仿宋_GB2312" w:eastAsia="仿宋_GB2312" w:hAnsiTheme="minorHAnsi" w:cstheme="minorBidi"/>
          <w:color w:val="auto"/>
          <w:kern w:val="2"/>
          <w:sz w:val="28"/>
          <w:szCs w:val="28"/>
          <w:highlight w:val="none"/>
          <w:u w:val="none"/>
          <w:lang w:val="en-US" w:eastAsia="zh-CN" w:bidi="ar-SA"/>
        </w:rPr>
        <w:t>专职安全人员要求：</w:t>
      </w:r>
      <w:r>
        <w:rPr>
          <w:rFonts w:hint="eastAsia" w:ascii="仿宋_GB2312" w:eastAsia="仿宋_GB2312" w:hAnsiTheme="minorHAnsi" w:cstheme="minorBidi"/>
          <w:color w:val="auto"/>
          <w:kern w:val="2"/>
          <w:sz w:val="28"/>
          <w:szCs w:val="28"/>
          <w:highlight w:val="none"/>
          <w:u w:val="none"/>
          <w:lang w:val="en-US" w:eastAsia="zh-CN" w:bidi="ar-SA"/>
        </w:rPr>
        <w:t>须具有安全生产考核合格证（C类）（或能够提供广东省建筑施工企业管理人员安全生产考核信息系统安全生产管理人员证书信息的网页截图）。</w:t>
      </w:r>
      <w:r>
        <w:rPr>
          <w:rFonts w:hint="eastAsia" w:ascii="仿宋_GB2312" w:eastAsia="仿宋_GB2312" w:hAnsiTheme="minorHAnsi" w:cstheme="minorBidi"/>
          <w:color w:val="auto"/>
          <w:kern w:val="2"/>
          <w:sz w:val="28"/>
          <w:szCs w:val="28"/>
          <w:highlight w:val="none"/>
          <w:lang w:val="en-US" w:eastAsia="zh-CN" w:bidi="ar-SA"/>
        </w:rPr>
        <w:t>项目负责人与</w:t>
      </w:r>
      <w:r>
        <w:rPr>
          <w:rFonts w:hint="eastAsia" w:ascii="仿宋_GB2312" w:eastAsia="仿宋_GB2312" w:hAnsiTheme="minorHAnsi" w:cstheme="minorBidi"/>
          <w:color w:val="auto"/>
          <w:kern w:val="2"/>
          <w:sz w:val="28"/>
          <w:szCs w:val="28"/>
          <w:highlight w:val="none"/>
          <w:u w:val="none"/>
          <w:lang w:val="en-US" w:eastAsia="zh-CN" w:bidi="ar-SA"/>
        </w:rPr>
        <w:t>专职安全人员不得为同一人。</w:t>
      </w:r>
    </w:p>
    <w:p>
      <w:pPr>
        <w:pStyle w:val="2"/>
        <w:ind w:firstLine="560" w:firstLineChars="200"/>
        <w:rPr>
          <w:rFonts w:eastAsia="仿宋"/>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hAnsi="仿宋_GB2312" w:eastAsia="仿宋_GB2312" w:cs="仿宋_GB2312"/>
          <w:sz w:val="28"/>
          <w:szCs w:val="28"/>
          <w:u w:val="none"/>
        </w:rPr>
        <w:t>中标单位在收到中标通知书/发包通知书后</w:t>
      </w: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rPr>
        <w:t>天内必须提供</w:t>
      </w:r>
      <w:r>
        <w:rPr>
          <w:rFonts w:hint="eastAsia" w:ascii="仿宋_GB2312" w:hAnsi="仿宋_GB2312" w:eastAsia="仿宋_GB2312" w:cs="仿宋_GB2312"/>
          <w:sz w:val="28"/>
          <w:szCs w:val="28"/>
          <w:u w:val="none"/>
          <w:lang w:val="en-US" w:eastAsia="zh-CN"/>
        </w:rPr>
        <w:t>设备生产商原厂证明函</w:t>
      </w:r>
      <w:r>
        <w:rPr>
          <w:rFonts w:hint="eastAsia" w:ascii="仿宋_GB2312" w:hAnsi="仿宋_GB2312" w:eastAsia="仿宋_GB2312" w:cs="仿宋_GB2312"/>
          <w:sz w:val="28"/>
          <w:szCs w:val="28"/>
          <w:u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9</w:t>
      </w:r>
      <w:bookmarkStart w:id="172" w:name="_GoBack"/>
      <w:bookmarkEnd w:id="172"/>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4"/>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4"/>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400" w:firstLineChars="5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default" w:ascii="仿宋_GB2312" w:eastAsia="仿宋_GB2312" w:hAnsiTheme="majorEastAsia"/>
          <w:color w:val="auto"/>
          <w:sz w:val="28"/>
          <w:szCs w:val="28"/>
          <w:highlight w:val="none"/>
        </w:rPr>
      </w:pP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514350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40.5pt;height:0pt;width:75.5pt;z-index:251673600;mso-width-relative:page;mso-height-relative:page;" filled="f" stroked="t" coordsize="21600,21600" o:gfxdata="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SjTI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bookmarkStart w:id="25" w:name="_Toc9448"/>
      <w:bookmarkStart w:id="26" w:name="_Toc23749"/>
      <w:bookmarkStart w:id="27" w:name="_Toc25603"/>
      <w:bookmarkStart w:id="28" w:name="_Toc16705"/>
      <w:bookmarkStart w:id="29" w:name="_Toc2331"/>
      <w:bookmarkStart w:id="30" w:name="_Toc7340"/>
      <w:bookmarkStart w:id="31" w:name="_Toc19295"/>
      <w:bookmarkStart w:id="32" w:name="_Toc32588"/>
      <w:bookmarkStart w:id="33" w:name="_Toc10891"/>
      <w:bookmarkStart w:id="34" w:name="_Toc16557"/>
      <w:bookmarkStart w:id="35" w:name="_Toc2324"/>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5"/>
        <w:rPr>
          <w:rFonts w:hint="eastAsia"/>
          <w:color w:val="auto"/>
          <w:highlight w:val="none"/>
        </w:rPr>
      </w:pPr>
    </w:p>
    <w:p>
      <w:pPr>
        <w:pStyle w:val="5"/>
        <w:rPr>
          <w:rFonts w:hint="eastAsia"/>
          <w:color w:val="auto"/>
          <w:highlight w:val="none"/>
        </w:rPr>
      </w:pPr>
      <w:bookmarkStart w:id="36" w:name="_Toc2339"/>
      <w:bookmarkStart w:id="37" w:name="_Toc3416"/>
      <w:r>
        <w:rPr>
          <w:rFonts w:hint="eastAsia"/>
          <w:color w:val="auto"/>
          <w:highlight w:val="none"/>
        </w:rPr>
        <w:t>供应商须知</w:t>
      </w:r>
      <w:bookmarkEnd w:id="36"/>
      <w:bookmarkEnd w:id="37"/>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ind w:firstLine="0"/>
        <w:rPr>
          <w:rFonts w:hint="eastAsia"/>
          <w:color w:val="auto"/>
          <w:highlight w:val="none"/>
        </w:rPr>
      </w:pPr>
    </w:p>
    <w:p>
      <w:pPr>
        <w:pStyle w:val="23"/>
        <w:ind w:firstLine="0"/>
        <w:rPr>
          <w:rFonts w:hint="eastAsia"/>
          <w:color w:val="auto"/>
          <w:highlight w:val="none"/>
        </w:rPr>
      </w:pPr>
    </w:p>
    <w:p>
      <w:pPr>
        <w:numPr>
          <w:ilvl w:val="0"/>
          <w:numId w:val="5"/>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3"/>
        <w:rPr>
          <w:rFonts w:hint="eastAsia" w:ascii="仿宋_GB2312" w:eastAsia="仿宋_GB2312"/>
          <w:color w:val="auto"/>
          <w:sz w:val="28"/>
          <w:szCs w:val="28"/>
          <w:highlight w:val="none"/>
        </w:rPr>
      </w:pPr>
    </w:p>
    <w:p>
      <w:pPr>
        <w:pStyle w:val="23"/>
        <w:rPr>
          <w:rFonts w:hint="eastAsia" w:ascii="仿宋_GB2312" w:eastAsia="仿宋_GB2312"/>
          <w:color w:val="auto"/>
          <w:sz w:val="28"/>
          <w:szCs w:val="28"/>
          <w:highlight w:val="none"/>
        </w:rPr>
      </w:pPr>
    </w:p>
    <w:p>
      <w:pPr>
        <w:pStyle w:val="23"/>
        <w:rPr>
          <w:rFonts w:hint="eastAsia" w:ascii="仿宋_GB2312" w:eastAsia="仿宋_GB2312"/>
          <w:color w:val="auto"/>
          <w:sz w:val="28"/>
          <w:szCs w:val="28"/>
          <w:highlight w:val="none"/>
        </w:rPr>
      </w:pPr>
    </w:p>
    <w:p>
      <w:pPr>
        <w:pStyle w:val="23"/>
        <w:rPr>
          <w:rFonts w:hint="eastAsia" w:ascii="仿宋_GB2312" w:eastAsia="仿宋_GB2312"/>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8" w:name="_Toc2867"/>
      <w:bookmarkStart w:id="39"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38"/>
        <w:rPr>
          <w:color w:val="auto"/>
          <w:highlight w:val="none"/>
        </w:rPr>
      </w:pPr>
    </w:p>
    <w:p>
      <w:pPr>
        <w:pStyle w:val="5"/>
        <w:rPr>
          <w:color w:val="auto"/>
          <w:highlight w:val="none"/>
        </w:rPr>
      </w:pPr>
      <w:bookmarkStart w:id="40" w:name="_Toc88209934"/>
      <w:bookmarkStart w:id="41" w:name="_Toc7040"/>
      <w:bookmarkStart w:id="42" w:name="_Toc87616371"/>
      <w:bookmarkStart w:id="43" w:name="_Toc7303"/>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9"/>
        <w:rPr>
          <w:rFonts w:ascii="方正小标宋简体" w:eastAsia="方正小标宋简体"/>
          <w:color w:val="auto"/>
          <w:sz w:val="44"/>
          <w:szCs w:val="44"/>
          <w:highlight w:val="none"/>
        </w:rPr>
      </w:pPr>
    </w:p>
    <w:p>
      <w:pPr>
        <w:pStyle w:val="29"/>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5"/>
        <w:rPr>
          <w:color w:val="auto"/>
          <w:highlight w:val="none"/>
        </w:rPr>
      </w:pPr>
      <w:bookmarkStart w:id="44" w:name="_Toc3789"/>
      <w:bookmarkStart w:id="45" w:name="_Toc24895"/>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46" w:name="_Toc20594"/>
      <w:bookmarkStart w:id="47" w:name="_Toc4952"/>
      <w:bookmarkStart w:id="48" w:name="_Toc14870"/>
      <w:bookmarkStart w:id="49" w:name="_Toc3156"/>
      <w:bookmarkStart w:id="50" w:name="_Toc7437"/>
      <w:bookmarkStart w:id="51" w:name="_Toc10930"/>
      <w:bookmarkStart w:id="52" w:name="_Toc14552"/>
      <w:bookmarkStart w:id="53" w:name="_Toc19050"/>
      <w:bookmarkStart w:id="54" w:name="_Toc7118"/>
      <w:bookmarkStart w:id="55" w:name="_Toc19759"/>
      <w:bookmarkStart w:id="56" w:name="_Toc23581"/>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38"/>
        <w:rPr>
          <w:color w:val="auto"/>
          <w:highlight w:val="none"/>
        </w:rPr>
      </w:pPr>
    </w:p>
    <w:p>
      <w:pPr>
        <w:pStyle w:val="4"/>
        <w:rPr>
          <w:color w:val="auto"/>
          <w:highlight w:val="none"/>
        </w:rPr>
      </w:pPr>
      <w:bookmarkStart w:id="57" w:name="_Toc12177"/>
      <w:bookmarkStart w:id="58" w:name="_Toc88209941"/>
      <w:bookmarkStart w:id="59" w:name="_Toc32607"/>
      <w:bookmarkStart w:id="60" w:name="_Toc29484"/>
      <w:bookmarkStart w:id="61" w:name="_Toc22212"/>
      <w:bookmarkStart w:id="62" w:name="_Toc6308"/>
      <w:bookmarkStart w:id="63" w:name="_Toc87616378"/>
      <w:bookmarkStart w:id="64" w:name="_Toc7831"/>
      <w:bookmarkStart w:id="65" w:name="_Toc13898"/>
      <w:bookmarkStart w:id="66" w:name="_Toc29345"/>
      <w:bookmarkStart w:id="67" w:name="_Toc21079"/>
      <w:bookmarkStart w:id="68" w:name="_Toc30530"/>
      <w:bookmarkStart w:id="69" w:name="_Toc21840"/>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5"/>
        <w:rPr>
          <w:color w:val="auto"/>
          <w:highlight w:val="none"/>
        </w:rPr>
      </w:pPr>
      <w:bookmarkStart w:id="70" w:name="_Toc23033"/>
      <w:bookmarkStart w:id="71" w:name="_Toc26826"/>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color w:val="auto"/>
          <w:highlight w:val="none"/>
        </w:rPr>
      </w:pPr>
    </w:p>
    <w:p>
      <w:pPr>
        <w:pStyle w:val="23"/>
        <w:ind w:firstLine="0"/>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4"/>
        <w:rPr>
          <w:color w:val="auto"/>
          <w:highlight w:val="none"/>
        </w:rPr>
      </w:pPr>
      <w:bookmarkStart w:id="72"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jc w:val="both"/>
        <w:rPr>
          <w:rFonts w:hint="eastAsia"/>
          <w:color w:val="auto"/>
          <w:szCs w:val="44"/>
          <w:highlight w:val="none"/>
        </w:rPr>
      </w:pPr>
    </w:p>
    <w:p>
      <w:pPr>
        <w:pStyle w:val="5"/>
        <w:rPr>
          <w:rFonts w:hint="eastAsia"/>
          <w:color w:val="auto"/>
          <w:szCs w:val="44"/>
          <w:highlight w:val="none"/>
        </w:rPr>
      </w:pPr>
      <w:r>
        <w:rPr>
          <w:rFonts w:hint="eastAsia"/>
          <w:color w:val="auto"/>
          <w:szCs w:val="44"/>
          <w:highlight w:val="none"/>
        </w:rPr>
        <w:t>采购需求</w:t>
      </w:r>
    </w:p>
    <w:p>
      <w:pPr>
        <w:pStyle w:val="5"/>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9"/>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9"/>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9"/>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9"/>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9"/>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9"/>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9"/>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9"/>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9"/>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9"/>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9"/>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9"/>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9"/>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13"/>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一、项目情况介绍</w:t>
      </w:r>
    </w:p>
    <w:p>
      <w:pPr>
        <w:pStyle w:val="29"/>
        <w:ind w:firstLine="560" w:firstLineChars="200"/>
        <w:jc w:val="both"/>
        <w:rPr>
          <w:color w:val="auto"/>
          <w:highlight w:val="none"/>
          <w:lang w:val="zh-CN"/>
        </w:rPr>
      </w:pPr>
      <w:r>
        <w:rPr>
          <w:rFonts w:hint="eastAsia" w:ascii="仿宋_GB2312" w:hAnsi="仿宋_GB2312" w:cs="仿宋_GB2312"/>
          <w:color w:val="auto"/>
          <w:sz w:val="28"/>
          <w:szCs w:val="28"/>
          <w:highlight w:val="none"/>
          <w:lang w:val="zh-CN"/>
        </w:rPr>
        <w:t>一二期综合办公楼及生产部办公室无WIFI信号覆盖，三期厂区的WIFI信号已覆盖到负一负二层部分区域，在车道及部分区域能实现WIFI信号连接，但部分配电房及部分工作区域WIFI信号差，造成生产线所在区域的WIFI网络实时接收和发送图片以及视频信号输出较慢或卡顿情况，严重影响生产信息有效传达的及时性。计划对龙归</w:t>
      </w:r>
      <w:r>
        <w:rPr>
          <w:rFonts w:hint="eastAsia" w:ascii="仿宋_GB2312" w:hAnsi="仿宋_GB2312" w:cs="仿宋_GB2312"/>
          <w:color w:val="auto"/>
          <w:sz w:val="28"/>
          <w:szCs w:val="28"/>
          <w:highlight w:val="none"/>
        </w:rPr>
        <w:t>净水公司一二期综合办公楼，</w:t>
      </w:r>
      <w:r>
        <w:rPr>
          <w:rFonts w:hint="eastAsia" w:ascii="仿宋_GB2312" w:hAnsi="仿宋_GB2312" w:cs="仿宋_GB2312"/>
          <w:color w:val="auto"/>
          <w:sz w:val="28"/>
          <w:szCs w:val="28"/>
          <w:highlight w:val="none"/>
          <w:lang w:val="zh-CN"/>
        </w:rPr>
        <w:t>三期负一、二层进行无线WIFI覆盖。</w:t>
      </w:r>
    </w:p>
    <w:p>
      <w:pPr>
        <w:pStyle w:val="13"/>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、项目技术、内容要求</w:t>
      </w:r>
    </w:p>
    <w:p>
      <w:pPr>
        <w:widowControl/>
        <w:ind w:left="15" w:leftChars="7"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根据龙归净水公司的实际需求，总体设计</w:t>
      </w:r>
      <w:r>
        <w:rPr>
          <w:rFonts w:hint="eastAsia" w:ascii="仿宋_GB2312" w:hAnsi="宋体" w:eastAsia="仿宋_GB2312"/>
          <w:color w:val="auto"/>
          <w:sz w:val="28"/>
          <w:szCs w:val="28"/>
          <w:highlight w:val="none"/>
        </w:rPr>
        <w:t>建设必须遵循技术先进、性能稳定、节约成本的原则。综合考虑施工、维护及操作因素，并将为今后的发展、扩建、改造等因素留有扩充余地</w:t>
      </w:r>
      <w:r>
        <w:rPr>
          <w:rFonts w:hint="eastAsia" w:ascii="仿宋_GB2312" w:hAnsi="仿宋_GB2312" w:eastAsia="仿宋_GB2312" w:cs="仿宋_GB2312"/>
          <w:color w:val="auto"/>
          <w:sz w:val="28"/>
          <w:szCs w:val="28"/>
          <w:highlight w:val="none"/>
          <w:lang w:val="zh-CN"/>
        </w:rPr>
        <w:t>进行设计：</w:t>
      </w:r>
    </w:p>
    <w:p>
      <w:pPr>
        <w:adjustRightInd w:val="0"/>
        <w:snapToGrid w:val="0"/>
        <w:ind w:firstLine="560" w:firstLineChars="200"/>
        <w:outlineLvl w:val="1"/>
        <w:rPr>
          <w:rFonts w:ascii="仿宋_GB2312" w:hAnsi="仿宋_GB2312" w:eastAsia="仿宋_GB2312" w:cs="仿宋_GB2312"/>
          <w:color w:val="auto"/>
          <w:sz w:val="28"/>
          <w:szCs w:val="28"/>
          <w:highlight w:val="none"/>
        </w:rPr>
      </w:pPr>
      <w:bookmarkStart w:id="73" w:name="_Toc29160"/>
      <w:r>
        <w:rPr>
          <w:rFonts w:hint="eastAsia" w:ascii="仿宋_GB2312" w:hAnsi="仿宋_GB2312" w:eastAsia="仿宋_GB2312" w:cs="仿宋_GB2312"/>
          <w:color w:val="auto"/>
          <w:sz w:val="28"/>
          <w:szCs w:val="28"/>
          <w:highlight w:val="none"/>
        </w:rPr>
        <w:t>1.</w:t>
      </w:r>
      <w:bookmarkEnd w:id="73"/>
      <w:r>
        <w:rPr>
          <w:rFonts w:hint="eastAsia" w:ascii="仿宋_GB2312" w:hAnsi="仿宋_GB2312" w:eastAsia="仿宋_GB2312" w:cs="仿宋_GB2312"/>
          <w:color w:val="auto"/>
          <w:sz w:val="28"/>
          <w:szCs w:val="28"/>
          <w:highlight w:val="none"/>
        </w:rPr>
        <w:t>无线网络设计架构</w:t>
      </w:r>
    </w:p>
    <w:p>
      <w:pPr>
        <w:spacing w:after="156" w:afterLines="50"/>
        <w:ind w:left="15" w:leftChars="7"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龙归净水公司</w:t>
      </w:r>
      <w:r>
        <w:rPr>
          <w:rFonts w:hint="eastAsia" w:ascii="仿宋_GB2312" w:hAnsi="仿宋_GB2312" w:eastAsia="仿宋_GB2312" w:cs="仿宋_GB2312"/>
          <w:color w:val="auto"/>
          <w:sz w:val="28"/>
          <w:szCs w:val="28"/>
          <w:highlight w:val="none"/>
        </w:rPr>
        <w:t>无线</w:t>
      </w:r>
      <w:r>
        <w:rPr>
          <w:rFonts w:ascii="仿宋_GB2312" w:hAnsi="宋体" w:eastAsia="仿宋_GB2312"/>
          <w:color w:val="auto"/>
          <w:sz w:val="28"/>
          <w:szCs w:val="28"/>
          <w:highlight w:val="none"/>
        </w:rPr>
        <w:t>网络设计架构包含了三个层次,包括终端层</w:t>
      </w:r>
      <w:r>
        <w:rPr>
          <w:rFonts w:hint="eastAsia" w:ascii="仿宋_GB2312" w:hAnsi="宋体" w:eastAsia="仿宋_GB2312"/>
          <w:color w:val="auto"/>
          <w:sz w:val="28"/>
          <w:szCs w:val="28"/>
          <w:highlight w:val="none"/>
        </w:rPr>
        <w:t>、网络层、控制层、接入层由各类型的最新无线室内室外</w:t>
      </w:r>
      <w:r>
        <w:rPr>
          <w:rFonts w:ascii="仿宋_GB2312" w:hAnsi="宋体" w:eastAsia="仿宋_GB2312"/>
          <w:color w:val="auto"/>
          <w:sz w:val="28"/>
          <w:szCs w:val="28"/>
          <w:highlight w:val="none"/>
        </w:rPr>
        <w:t>Wi-Fi6 AP</w:t>
      </w:r>
      <w:r>
        <w:rPr>
          <w:rFonts w:hint="eastAsia" w:ascii="仿宋_GB2312" w:hAnsi="宋体" w:eastAsia="仿宋_GB2312"/>
          <w:color w:val="auto"/>
          <w:sz w:val="28"/>
          <w:szCs w:val="28"/>
          <w:highlight w:val="none"/>
        </w:rPr>
        <w:t>、移动办公无线终端构成，传输网络中</w:t>
      </w:r>
      <w:r>
        <w:rPr>
          <w:rFonts w:ascii="仿宋_GB2312" w:hAnsi="宋体" w:eastAsia="仿宋_GB2312"/>
          <w:color w:val="auto"/>
          <w:sz w:val="28"/>
          <w:szCs w:val="28"/>
          <w:highlight w:val="none"/>
        </w:rPr>
        <w:t>,部署POE交换机</w:t>
      </w:r>
      <w:r>
        <w:rPr>
          <w:rFonts w:hint="eastAsia" w:ascii="仿宋_GB2312" w:hAnsi="宋体" w:eastAsia="仿宋_GB2312"/>
          <w:color w:val="auto"/>
          <w:sz w:val="28"/>
          <w:szCs w:val="28"/>
          <w:highlight w:val="none"/>
        </w:rPr>
        <w:t>、汇聚交换机</w:t>
      </w:r>
      <w:r>
        <w:rPr>
          <w:rFonts w:ascii="仿宋_GB2312" w:hAnsi="宋体" w:eastAsia="仿宋_GB2312"/>
          <w:color w:val="auto"/>
          <w:sz w:val="28"/>
          <w:szCs w:val="28"/>
          <w:highlight w:val="none"/>
        </w:rPr>
        <w:t>,提供大带宽骨干网络性能</w:t>
      </w:r>
      <w:r>
        <w:rPr>
          <w:rFonts w:hint="eastAsia" w:ascii="仿宋_GB2312" w:hAnsi="宋体" w:eastAsia="仿宋_GB2312"/>
          <w:color w:val="auto"/>
          <w:sz w:val="28"/>
          <w:szCs w:val="28"/>
          <w:highlight w:val="none"/>
        </w:rPr>
        <w:t>，控制层由高性能网络控制器组成</w:t>
      </w:r>
      <w:r>
        <w:rPr>
          <w:rFonts w:ascii="仿宋_GB2312" w:hAnsi="宋体" w:eastAsia="仿宋_GB2312"/>
          <w:color w:val="auto"/>
          <w:sz w:val="28"/>
          <w:szCs w:val="28"/>
          <w:highlight w:val="none"/>
        </w:rPr>
        <w:t>,控制器集用户认证,上网行为管理与审计,可视化大数据管理等于一体</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无线</w:t>
      </w:r>
      <w:r>
        <w:rPr>
          <w:rFonts w:ascii="仿宋_GB2312" w:hAnsi="宋体" w:eastAsia="仿宋_GB2312"/>
          <w:color w:val="auto"/>
          <w:sz w:val="28"/>
          <w:szCs w:val="28"/>
          <w:highlight w:val="none"/>
        </w:rPr>
        <w:t>网络设计架构</w:t>
      </w:r>
      <w:r>
        <w:rPr>
          <w:rFonts w:hint="eastAsia" w:ascii="仿宋_GB2312" w:hAnsi="仿宋_GB2312" w:eastAsia="仿宋_GB2312" w:cs="仿宋_GB2312"/>
          <w:color w:val="auto"/>
          <w:sz w:val="28"/>
          <w:szCs w:val="28"/>
          <w:highlight w:val="none"/>
          <w:lang w:val="zh-CN"/>
        </w:rPr>
        <w:t>如图1所示：</w:t>
      </w:r>
    </w:p>
    <w:p>
      <w:pPr>
        <w:adjustRightInd w:val="0"/>
        <w:snapToGrid w:val="0"/>
        <w:spacing w:line="360" w:lineRule="auto"/>
        <w:jc w:val="center"/>
        <w:rPr>
          <w:rFonts w:ascii="宋体" w:hAnsi="宋体" w:cs="宋体"/>
          <w:color w:val="auto"/>
          <w:highlight w:val="none"/>
        </w:rPr>
      </w:pPr>
      <w:r>
        <w:rPr>
          <w:color w:val="auto"/>
          <w:highlight w:val="none"/>
        </w:rPr>
        <w:drawing>
          <wp:anchor distT="0" distB="0" distL="114935" distR="114935" simplePos="0" relativeHeight="251676672" behindDoc="0" locked="0" layoutInCell="1" allowOverlap="1">
            <wp:simplePos x="0" y="0"/>
            <wp:positionH relativeFrom="column">
              <wp:posOffset>262890</wp:posOffset>
            </wp:positionH>
            <wp:positionV relativeFrom="paragraph">
              <wp:posOffset>-351790</wp:posOffset>
            </wp:positionV>
            <wp:extent cx="5236210" cy="4103370"/>
            <wp:effectExtent l="0" t="0" r="2540" b="11430"/>
            <wp:wrapTopAndBottom/>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0"/>
                    <a:stretch>
                      <a:fillRect/>
                    </a:stretch>
                  </pic:blipFill>
                  <pic:spPr>
                    <a:xfrm>
                      <a:off x="0" y="0"/>
                      <a:ext cx="5236210" cy="4103370"/>
                    </a:xfrm>
                    <a:prstGeom prst="rect">
                      <a:avLst/>
                    </a:prstGeom>
                    <a:noFill/>
                    <a:ln>
                      <a:noFill/>
                    </a:ln>
                  </pic:spPr>
                </pic:pic>
              </a:graphicData>
            </a:graphic>
          </wp:anchor>
        </w:drawing>
      </w:r>
    </w:p>
    <w:p>
      <w:pPr>
        <w:adjustRightInd w:val="0"/>
        <w:snapToGrid w:val="0"/>
        <w:spacing w:line="360" w:lineRule="auto"/>
        <w:jc w:val="center"/>
        <w:rPr>
          <w:rFonts w:ascii="宋体" w:hAnsi="宋体" w:cs="宋体"/>
          <w:color w:val="auto"/>
          <w:highlight w:val="none"/>
        </w:rPr>
      </w:pPr>
    </w:p>
    <w:p>
      <w:pPr>
        <w:pStyle w:val="29"/>
        <w:snapToGrid w:val="0"/>
        <w:spacing w:line="360" w:lineRule="auto"/>
        <w:jc w:val="center"/>
        <w:rPr>
          <w:rFonts w:hAnsi="宋体"/>
          <w:color w:val="auto"/>
          <w:highlight w:val="none"/>
        </w:rPr>
      </w:pPr>
      <w:r>
        <w:rPr>
          <w:rFonts w:hint="eastAsia"/>
          <w:color w:val="auto"/>
          <w:highlight w:val="none"/>
        </w:rPr>
        <w:t xml:space="preserve">图 1 </w:t>
      </w:r>
      <w:r>
        <w:rPr>
          <w:rFonts w:hint="eastAsia" w:ascii="仿宋_GB2312" w:hAnsi="宋体"/>
          <w:color w:val="auto"/>
          <w:sz w:val="28"/>
          <w:szCs w:val="28"/>
          <w:highlight w:val="none"/>
        </w:rPr>
        <w:t>总体架构图</w:t>
      </w:r>
    </w:p>
    <w:p>
      <w:pPr>
        <w:adjustRightInd w:val="0"/>
        <w:snapToGrid w:val="0"/>
        <w:ind w:firstLine="560" w:firstLineChars="200"/>
        <w:outlineLvl w:val="1"/>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2.方案设计要求</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根据龙归净水公司无线网络建设项目目标,本次项目的内容分为:无线WIFI系统设计、建设、调试与质保。</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（1）现场勘查,出具系统方案及布点图。</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（2）综合布线,针对所需无线覆盖区域做网线拉通处理。</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（3）无线设备安装,针对定好的无线点位,安装AP无线设备及片区终端网络机柜。</w:t>
      </w:r>
    </w:p>
    <w:p>
      <w:pPr>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（4）网络进行联调测试，实现龙归净水公司地下空间的WIFI全面覆盖。</w:t>
      </w:r>
    </w:p>
    <w:p>
      <w:pPr>
        <w:adjustRightInd w:val="0"/>
        <w:snapToGrid w:val="0"/>
        <w:ind w:firstLine="560" w:firstLineChars="200"/>
        <w:outlineLvl w:val="1"/>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3.主设备选型内容要求</w:t>
      </w:r>
      <w:bookmarkStart w:id="74" w:name="_Toc16423"/>
    </w:p>
    <w:p>
      <w:pPr>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本项目有开阔的厂区,封闭的设备、电房、仪表间等生产环境、此类环境中使用支持802.11 ax协议的面板AP和室外AP,既满足此类环境对无线性能的要求,</w:t>
      </w:r>
      <w:r>
        <w:rPr>
          <w:rFonts w:hint="eastAsia" w:ascii="仿宋_GB2312" w:hAnsi="仿宋_GB2312" w:eastAsia="仿宋_GB2312" w:cs="仿宋_GB2312"/>
          <w:color w:val="auto"/>
          <w:sz w:val="28"/>
          <w:szCs w:val="28"/>
          <w:highlight w:val="none"/>
        </w:rPr>
        <w:t>同时</w:t>
      </w:r>
      <w:r>
        <w:rPr>
          <w:rFonts w:hint="eastAsia" w:ascii="仿宋_GB2312" w:hAnsi="仿宋_GB2312" w:eastAsia="仿宋_GB2312" w:cs="仿宋_GB2312"/>
          <w:color w:val="auto"/>
          <w:sz w:val="28"/>
          <w:szCs w:val="28"/>
          <w:highlight w:val="none"/>
          <w:lang w:val="zh-CN"/>
        </w:rPr>
        <w:t>满足办公、生产以及智慧净水示范工程对无线</w:t>
      </w:r>
      <w:r>
        <w:rPr>
          <w:rFonts w:hint="eastAsia" w:ascii="仿宋_GB2312" w:hAnsi="仿宋_GB2312" w:eastAsia="仿宋_GB2312" w:cs="仿宋_GB2312"/>
          <w:color w:val="auto"/>
          <w:sz w:val="28"/>
          <w:szCs w:val="28"/>
          <w:highlight w:val="none"/>
        </w:rPr>
        <w:t>网络</w:t>
      </w:r>
      <w:r>
        <w:rPr>
          <w:rFonts w:hint="eastAsia" w:ascii="仿宋_GB2312" w:hAnsi="仿宋_GB2312" w:eastAsia="仿宋_GB2312" w:cs="仿宋_GB2312"/>
          <w:color w:val="auto"/>
          <w:sz w:val="28"/>
          <w:szCs w:val="28"/>
          <w:highlight w:val="none"/>
          <w:lang w:val="zh-CN"/>
        </w:rPr>
        <w:t>的需求。</w:t>
      </w:r>
    </w:p>
    <w:p>
      <w:pPr>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zh-CN"/>
        </w:rPr>
        <w:t>）开阔厂区</w:t>
      </w:r>
      <w:r>
        <w:rPr>
          <w:rFonts w:hint="eastAsia" w:ascii="仿宋_GB2312" w:hAnsi="仿宋_GB2312" w:eastAsia="仿宋_GB2312" w:cs="仿宋_GB2312"/>
          <w:color w:val="auto"/>
          <w:sz w:val="28"/>
          <w:szCs w:val="28"/>
          <w:highlight w:val="none"/>
        </w:rPr>
        <w:t>主设备选型要求</w:t>
      </w:r>
      <w:r>
        <w:rPr>
          <w:rFonts w:hint="eastAsia" w:ascii="仿宋_GB2312" w:hAnsi="仿宋_GB2312" w:eastAsia="仿宋_GB2312" w:cs="仿宋_GB2312"/>
          <w:color w:val="auto"/>
          <w:sz w:val="28"/>
          <w:szCs w:val="28"/>
          <w:highlight w:val="none"/>
          <w:lang w:val="zh-CN"/>
        </w:rPr>
        <w:t>:室外WIFI6定向AP</w:t>
      </w:r>
    </w:p>
    <w:p>
      <w:pPr>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室外Wi-Fi 6无线AP内置矩阵式智能天线,基于最新的Wi-Fi 6标准开发,支持2×2 UL MU-MIMO技术、OFDMA空间复用技术和1024-QAM调制解调算法,整机最高速率达1.775Gbps,可提供更快的无线上网和更大的无线覆盖范围。满足各种</w:t>
      </w:r>
      <w:r>
        <w:rPr>
          <w:rFonts w:hint="eastAsia" w:ascii="仿宋_GB2312" w:hAnsi="仿宋_GB2312" w:eastAsia="仿宋_GB2312" w:cs="仿宋_GB2312"/>
          <w:color w:val="auto"/>
          <w:sz w:val="28"/>
          <w:szCs w:val="28"/>
          <w:highlight w:val="none"/>
        </w:rPr>
        <w:t>日常</w:t>
      </w:r>
      <w:r>
        <w:rPr>
          <w:rFonts w:hint="eastAsia" w:ascii="仿宋_GB2312" w:hAnsi="仿宋_GB2312" w:eastAsia="仿宋_GB2312" w:cs="仿宋_GB2312"/>
          <w:color w:val="auto"/>
          <w:sz w:val="28"/>
          <w:szCs w:val="28"/>
          <w:highlight w:val="none"/>
          <w:lang w:val="zh-CN"/>
        </w:rPr>
        <w:t>办公、生产以及智慧净水示范工程无线业务的承载使用,如视频、语音等多媒体业务,并提供智能射频、服务质量保证、无缝漫游等。采用千兆以太网口上行链路,保证无线高速传输,支持PoE远程供电,可根据现场供电环境进行灵活选择，配合控制器,带来更快速的网络体验和更安全的业务接入。</w:t>
      </w:r>
    </w:p>
    <w:p>
      <w:pPr>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zh-CN"/>
        </w:rPr>
        <w:t>）室内小型办公点主设备选型</w:t>
      </w:r>
      <w:r>
        <w:rPr>
          <w:rFonts w:hint="eastAsia" w:ascii="仿宋_GB2312" w:hAnsi="仿宋_GB2312" w:eastAsia="仿宋_GB2312" w:cs="仿宋_GB2312"/>
          <w:color w:val="auto"/>
          <w:sz w:val="28"/>
          <w:szCs w:val="28"/>
          <w:highlight w:val="none"/>
        </w:rPr>
        <w:t>要求</w:t>
      </w:r>
      <w:r>
        <w:rPr>
          <w:rFonts w:hint="eastAsia" w:ascii="仿宋_GB2312" w:hAnsi="仿宋_GB2312" w:eastAsia="仿宋_GB2312" w:cs="仿宋_GB2312"/>
          <w:color w:val="auto"/>
          <w:sz w:val="28"/>
          <w:szCs w:val="28"/>
          <w:highlight w:val="none"/>
          <w:lang w:val="zh-CN"/>
        </w:rPr>
        <w:t>:室内WiFi6AP</w:t>
      </w:r>
    </w:p>
    <w:p>
      <w:pPr>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室内无线AP内置矩阵式智能天线,基于最新的Wi-Fi 6标准,支持802.11ax协议,支持2×2 MU-MIMO技术,支持双频双路4条空间流,OFDMA空分复用技术和1024QAM调制解调算法,整机最高速率达1.775Gbps,支持USB口,可提供更快的无线上网和更大的无线覆盖范围。满足各种</w:t>
      </w:r>
      <w:r>
        <w:rPr>
          <w:rFonts w:hint="eastAsia" w:ascii="仿宋_GB2312" w:hAnsi="仿宋_GB2312" w:eastAsia="仿宋_GB2312" w:cs="仿宋_GB2312"/>
          <w:color w:val="auto"/>
          <w:sz w:val="28"/>
          <w:szCs w:val="28"/>
          <w:highlight w:val="none"/>
        </w:rPr>
        <w:t>日常</w:t>
      </w:r>
      <w:r>
        <w:rPr>
          <w:rFonts w:hint="eastAsia" w:ascii="仿宋_GB2312" w:hAnsi="仿宋_GB2312" w:eastAsia="仿宋_GB2312" w:cs="仿宋_GB2312"/>
          <w:color w:val="auto"/>
          <w:sz w:val="28"/>
          <w:szCs w:val="28"/>
          <w:highlight w:val="none"/>
          <w:lang w:val="zh-CN"/>
        </w:rPr>
        <w:t>办公、生产以及智慧净水示范工程无线业务的承载使用,如视频、语音等多媒体业务,并提供智能射频、服务质量保证、无缝漫游等。室内无线AP采用千兆以太网口上行链路,保证无线高速传输;支持本地供电与POE远程供电,可根据现场供电环境进行灵活选择。室内无线AP支持802.1X/CA证书/移动OA/微信小程序/短信/多因素等多种认证方式，APP缓存、数据探针、智能负载均衡、网关、VPN、QoS、潜在风险终端和网络访问流量的识别与封堵，胖瘦一体化、室内无线AP适用于吸顶、壁挂以及桌面放装。</w:t>
      </w:r>
    </w:p>
    <w:p>
      <w:pPr>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为保证整个系统的质量，</w:t>
      </w:r>
      <w:r>
        <w:rPr>
          <w:rFonts w:hint="eastAsia" w:ascii="仿宋_GB2312" w:hAnsi="仿宋_GB2312" w:eastAsia="仿宋_GB2312" w:cs="仿宋_GB2312"/>
          <w:color w:val="auto"/>
          <w:sz w:val="28"/>
          <w:szCs w:val="28"/>
          <w:highlight w:val="none"/>
        </w:rPr>
        <w:t>室内无线AP、室外无线AP、无线控制器AC，品牌参照或相当于华为、信锐、华三等</w:t>
      </w:r>
      <w:r>
        <w:rPr>
          <w:rFonts w:hint="eastAsia" w:ascii="仿宋_GB2312" w:hAnsi="仿宋_GB2312" w:eastAsia="仿宋_GB2312" w:cs="仿宋_GB2312"/>
          <w:color w:val="auto"/>
          <w:sz w:val="28"/>
          <w:szCs w:val="28"/>
          <w:highlight w:val="none"/>
          <w:lang w:val="zh-CN"/>
        </w:rPr>
        <w:t>知名品牌。</w:t>
      </w:r>
    </w:p>
    <w:p>
      <w:pPr>
        <w:pStyle w:val="29"/>
        <w:ind w:firstLine="560" w:firstLineChars="200"/>
        <w:jc w:val="both"/>
        <w:rPr>
          <w:rFonts w:ascii="仿宋_GB2312" w:hAnsi="仿宋_GB2312" w:cs="仿宋_GB2312"/>
          <w:color w:val="auto"/>
          <w:kern w:val="2"/>
          <w:sz w:val="28"/>
          <w:szCs w:val="28"/>
          <w:highlight w:val="none"/>
          <w:lang w:val="zh-CN"/>
        </w:rPr>
      </w:pPr>
      <w:bookmarkStart w:id="75" w:name="_Toc80228227"/>
      <w:r>
        <w:rPr>
          <w:rFonts w:hint="eastAsia" w:ascii="仿宋_GB2312" w:hAnsi="仿宋_GB2312" w:cs="仿宋_GB2312"/>
          <w:color w:val="auto"/>
          <w:kern w:val="2"/>
          <w:sz w:val="28"/>
          <w:szCs w:val="28"/>
          <w:highlight w:val="none"/>
        </w:rPr>
        <w:t>4.</w:t>
      </w:r>
      <w:r>
        <w:rPr>
          <w:rFonts w:hint="eastAsia" w:ascii="仿宋_GB2312" w:hAnsi="仿宋_GB2312" w:cs="仿宋_GB2312"/>
          <w:color w:val="auto"/>
          <w:kern w:val="2"/>
          <w:sz w:val="28"/>
          <w:szCs w:val="28"/>
          <w:highlight w:val="none"/>
          <w:lang w:val="zh-CN"/>
        </w:rPr>
        <w:t>供电线缆选型要求</w:t>
      </w:r>
      <w:bookmarkEnd w:id="75"/>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（1）主干电源线</w:t>
      </w:r>
    </w:p>
    <w:p>
      <w:pPr>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主干线缆选用RVV3*2.5mm2；额定电压：300V/500V。</w:t>
      </w:r>
    </w:p>
    <w:p>
      <w:pPr>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导体：多股铜导体，符合GB/T 3956 第5类（等同于IEC60228.5）。</w:t>
      </w:r>
    </w:p>
    <w:p>
      <w:pPr>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绝缘：聚氯乙烯混合料（PVC）。</w:t>
      </w:r>
    </w:p>
    <w:p>
      <w:pPr>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芯线标识：≤5芯，彩色芯线；黑色芯线白色数字编号，黄绿地线。</w:t>
      </w:r>
    </w:p>
    <w:p>
      <w:pPr>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截面积：0.75-2.5mm&amp;sup2;，0.5、2.5—35mm&amp;sup2;</w:t>
      </w:r>
    </w:p>
    <w:p>
      <w:pPr>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测试电压：2000V，5min。绝缘电阻：&gt;200M欧姆×KM。</w:t>
      </w:r>
    </w:p>
    <w:p>
      <w:pPr>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使用温度：-30~ +70℃。弯曲半径：15×电缆外径。</w:t>
      </w:r>
    </w:p>
    <w:p>
      <w:pPr>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阻燃特性：IEC 60 332.1。参考标准：GB 5023、IEC60227、HD VDE21.5 S3。</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（2）支线电源线</w:t>
      </w:r>
    </w:p>
    <w:p>
      <w:pPr>
        <w:pStyle w:val="52"/>
        <w:ind w:firstLine="560"/>
        <w:rPr>
          <w:rFonts w:hAnsi="仿宋_GB2312" w:cs="仿宋_GB2312"/>
          <w:color w:val="auto"/>
          <w:sz w:val="28"/>
          <w:highlight w:val="none"/>
        </w:rPr>
      </w:pPr>
      <w:r>
        <w:rPr>
          <w:rFonts w:hint="eastAsia" w:hAnsi="仿宋_GB2312" w:cs="仿宋_GB2312"/>
          <w:color w:val="auto"/>
          <w:sz w:val="28"/>
          <w:highlight w:val="none"/>
        </w:rPr>
        <w:t>末端AP均为POE供电，根据网络要求选择六类四对非屏蔽双绞线</w:t>
      </w:r>
    </w:p>
    <w:p>
      <w:pPr>
        <w:pStyle w:val="52"/>
        <w:ind w:firstLine="560"/>
        <w:rPr>
          <w:rFonts w:hAnsi="仿宋_GB2312" w:cs="仿宋_GB2312"/>
          <w:color w:val="auto"/>
          <w:sz w:val="28"/>
          <w:highlight w:val="none"/>
        </w:rPr>
      </w:pPr>
      <w:r>
        <w:rPr>
          <w:rFonts w:hint="eastAsia" w:hAnsi="仿宋_GB2312" w:cs="仿宋_GB2312"/>
          <w:color w:val="auto"/>
          <w:sz w:val="28"/>
          <w:highlight w:val="none"/>
        </w:rPr>
        <w:t>芯线规格：23AWG芯线对数：4对，每芯带有彩色护套</w:t>
      </w:r>
    </w:p>
    <w:p>
      <w:pPr>
        <w:pStyle w:val="52"/>
        <w:ind w:firstLine="560"/>
        <w:rPr>
          <w:rFonts w:hAnsi="仿宋_GB2312" w:cs="仿宋_GB2312"/>
          <w:color w:val="auto"/>
          <w:sz w:val="28"/>
          <w:highlight w:val="none"/>
        </w:rPr>
      </w:pPr>
      <w:r>
        <w:rPr>
          <w:rFonts w:hint="eastAsia" w:hAnsi="仿宋_GB2312" w:cs="仿宋_GB2312"/>
          <w:color w:val="auto"/>
          <w:sz w:val="28"/>
          <w:highlight w:val="none"/>
        </w:rPr>
        <w:t>标准：ISO/IEC11801TIA/EIA568B带宽：≥250MHz</w:t>
      </w:r>
    </w:p>
    <w:p>
      <w:pPr>
        <w:pStyle w:val="29"/>
        <w:ind w:firstLine="560" w:firstLineChars="200"/>
        <w:jc w:val="both"/>
        <w:rPr>
          <w:rFonts w:ascii="仿宋_GB2312" w:hAnsi="仿宋_GB2312" w:cs="仿宋_GB2312"/>
          <w:color w:val="auto"/>
          <w:sz w:val="28"/>
          <w:szCs w:val="28"/>
          <w:highlight w:val="none"/>
          <w:lang w:val="zh-CN"/>
        </w:rPr>
      </w:pPr>
      <w:bookmarkStart w:id="76" w:name="_Toc32079"/>
      <w:bookmarkStart w:id="77" w:name="_Toc1960"/>
      <w:bookmarkStart w:id="78" w:name="_Toc16811"/>
      <w:bookmarkStart w:id="79" w:name="_Toc736"/>
      <w:bookmarkStart w:id="80" w:name="_Toc1188"/>
      <w:bookmarkStart w:id="81" w:name="_Toc499646446"/>
      <w:bookmarkStart w:id="82" w:name="_Toc28063"/>
      <w:bookmarkStart w:id="83" w:name="_Toc4447"/>
      <w:bookmarkStart w:id="84" w:name="_Toc6682"/>
      <w:bookmarkStart w:id="85" w:name="_Toc15491"/>
      <w:bookmarkStart w:id="86" w:name="_Toc31994"/>
      <w:bookmarkStart w:id="87" w:name="_Toc7706"/>
      <w:bookmarkStart w:id="88" w:name="_Toc8943"/>
      <w:bookmarkStart w:id="89" w:name="_Toc6042"/>
      <w:bookmarkStart w:id="90" w:name="_Toc19955"/>
      <w:bookmarkStart w:id="91" w:name="_Toc20956"/>
      <w:bookmarkStart w:id="92" w:name="_Toc80228228"/>
      <w:r>
        <w:rPr>
          <w:rFonts w:hint="eastAsia" w:ascii="仿宋_GB2312" w:hAnsi="仿宋_GB2312" w:cs="仿宋_GB2312"/>
          <w:color w:val="auto"/>
          <w:sz w:val="28"/>
          <w:szCs w:val="28"/>
          <w:highlight w:val="none"/>
        </w:rPr>
        <w:t>5.</w:t>
      </w:r>
      <w:r>
        <w:rPr>
          <w:rFonts w:hint="eastAsia" w:ascii="仿宋_GB2312" w:hAnsi="仿宋_GB2312" w:cs="仿宋_GB2312"/>
          <w:color w:val="auto"/>
          <w:sz w:val="28"/>
          <w:szCs w:val="28"/>
          <w:highlight w:val="none"/>
          <w:lang w:val="zh-CN"/>
        </w:rPr>
        <w:t>传输线缆</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hint="eastAsia" w:ascii="仿宋_GB2312" w:hAnsi="仿宋_GB2312" w:cs="仿宋_GB2312"/>
          <w:color w:val="auto"/>
          <w:sz w:val="28"/>
          <w:szCs w:val="28"/>
          <w:highlight w:val="none"/>
          <w:lang w:val="zh-CN"/>
        </w:rPr>
        <w:t>要求</w:t>
      </w:r>
      <w:bookmarkEnd w:id="92"/>
    </w:p>
    <w:p>
      <w:pPr>
        <w:pStyle w:val="52"/>
        <w:ind w:firstLine="560"/>
        <w:rPr>
          <w:rFonts w:hAnsi="仿宋_GB2312" w:cs="仿宋_GB2312"/>
          <w:color w:val="auto"/>
          <w:sz w:val="28"/>
          <w:highlight w:val="none"/>
        </w:rPr>
      </w:pPr>
      <w:r>
        <w:rPr>
          <w:rFonts w:hint="eastAsia" w:hAnsi="仿宋_GB2312" w:cs="仿宋_GB2312"/>
          <w:color w:val="auto"/>
          <w:sz w:val="28"/>
          <w:highlight w:val="none"/>
        </w:rPr>
        <w:t>对于光缆的敷设实现端到端到位，并在各端盘留一定的长度，对于光缆的型号、芯数和光端机的选择充分考虑传输距离、信号、施工和环境的要求，考虑后续扩容需要，在选择上预留一定的冗余。</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机房及所有汇聚点的主干、支线光纤要求满融到光纤配线架上，满足今后扩容需要。</w:t>
      </w:r>
    </w:p>
    <w:p>
      <w:pPr>
        <w:pStyle w:val="5"/>
        <w:spacing w:line="240" w:lineRule="auto"/>
        <w:ind w:firstLine="0" w:firstLineChars="0"/>
        <w:jc w:val="both"/>
        <w:rPr>
          <w:rFonts w:ascii="仿宋_GB2312" w:eastAsia="仿宋_GB2312"/>
          <w:b w:val="0"/>
          <w:bCs w:val="0"/>
          <w:color w:val="auto"/>
          <w:sz w:val="28"/>
          <w:szCs w:val="28"/>
          <w:highlight w:val="none"/>
        </w:rPr>
      </w:pPr>
      <w:bookmarkStart w:id="93" w:name="_Toc80228229"/>
      <w:r>
        <w:rPr>
          <w:rFonts w:hint="eastAsia" w:ascii="仿宋_GB2312" w:eastAsia="仿宋_GB2312"/>
          <w:b w:val="0"/>
          <w:bCs w:val="0"/>
          <w:color w:val="auto"/>
          <w:sz w:val="28"/>
          <w:szCs w:val="28"/>
          <w:highlight w:val="none"/>
        </w:rPr>
        <w:t>6.实施要求</w:t>
      </w:r>
      <w:bookmarkEnd w:id="93"/>
    </w:p>
    <w:p>
      <w:pPr>
        <w:pStyle w:val="6"/>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项目实施单位须根据地埋式污水处理厂安全生产的需要做好综合布线路由规划，协助厂区管理人员制定日常实施细则，当出现紧急情况下，应急指挥可灵活调整系统设置。保证通讯信号畅通，互不干扰，互为补充。</w:t>
      </w:r>
    </w:p>
    <w:p>
      <w:pPr>
        <w:pStyle w:val="6"/>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2.线路的安装要规范美观，要求每隔1米须固定一次，转弯须适当增加加固点。</w:t>
      </w:r>
    </w:p>
    <w:p>
      <w:pPr>
        <w:pStyle w:val="6"/>
        <w:ind w:firstLine="560" w:firstLineChars="200"/>
        <w:rPr>
          <w:rFonts w:ascii="仿宋_GB2312" w:hAnsi="仿宋_GB2312" w:eastAsia="仿宋_GB2312" w:cs="仿宋_GB2312"/>
          <w:color w:val="auto"/>
          <w:sz w:val="28"/>
          <w:szCs w:val="28"/>
          <w:highlight w:val="none"/>
        </w:rPr>
      </w:pPr>
      <w:r>
        <w:rPr>
          <w:rFonts w:hint="eastAsia" w:ascii="仿宋_GB2312" w:eastAsia="仿宋_GB2312"/>
          <w:color w:val="auto"/>
          <w:sz w:val="28"/>
          <w:szCs w:val="28"/>
          <w:highlight w:val="none"/>
        </w:rPr>
        <w:t>3.由施工单位提供规范的测试方案，经我方审批通过后开展整体测试，达到我方技术参数要求，</w:t>
      </w:r>
      <w:r>
        <w:rPr>
          <w:rFonts w:hint="eastAsia" w:ascii="仿宋_GB2312" w:hAnsi="仿宋_GB2312" w:eastAsia="仿宋_GB2312" w:cs="仿宋_GB2312"/>
          <w:color w:val="auto"/>
          <w:sz w:val="28"/>
          <w:szCs w:val="28"/>
          <w:highlight w:val="none"/>
        </w:rPr>
        <w:t>实现龙归净水公司地下空间的WIFI全面覆盖</w:t>
      </w:r>
      <w:r>
        <w:rPr>
          <w:rFonts w:hint="eastAsia" w:ascii="仿宋_GB2312" w:eastAsia="仿宋_GB2312"/>
          <w:color w:val="auto"/>
          <w:sz w:val="28"/>
          <w:szCs w:val="28"/>
          <w:highlight w:val="none"/>
        </w:rPr>
        <w:t>后方可申请竣工验收。</w:t>
      </w:r>
    </w:p>
    <w:p>
      <w:pPr>
        <w:pStyle w:val="29"/>
        <w:rPr>
          <w:rFonts w:ascii="仿宋_GB2312" w:hAnsi="仿宋_GB2312" w:cs="仿宋_GB2312"/>
          <w:color w:val="auto"/>
          <w:highlight w:val="none"/>
        </w:rPr>
      </w:pPr>
    </w:p>
    <w:bookmarkEnd w:id="74"/>
    <w:p>
      <w:pPr>
        <w:adjustRightInd w:val="0"/>
        <w:snapToGrid w:val="0"/>
        <w:spacing w:line="360" w:lineRule="auto"/>
        <w:ind w:firstLine="420"/>
        <w:outlineLvl w:val="1"/>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7.技术要求</w:t>
      </w:r>
    </w:p>
    <w:p>
      <w:pPr>
        <w:spacing w:line="300" w:lineRule="auto"/>
        <w:ind w:firstLine="420"/>
        <w:rPr>
          <w:rFonts w:ascii="仿宋_GB2312" w:hAnsi="仿宋_GB2312" w:eastAsia="仿宋_GB2312" w:cs="仿宋_GB2312"/>
          <w:color w:val="auto"/>
          <w:sz w:val="28"/>
          <w:szCs w:val="28"/>
          <w:highlight w:val="none"/>
          <w:u w:val="single"/>
          <w:lang w:val="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u w:val="single"/>
          <w:lang w:val="zh-CN"/>
        </w:rPr>
        <w:t>供应商</w:t>
      </w:r>
      <w:r>
        <w:rPr>
          <w:rFonts w:hint="eastAsia" w:ascii="仿宋_GB2312" w:hAnsi="仿宋_GB2312" w:eastAsia="仿宋_GB2312" w:cs="仿宋_GB2312"/>
          <w:color w:val="auto"/>
          <w:sz w:val="28"/>
          <w:szCs w:val="28"/>
          <w:highlight w:val="none"/>
          <w:u w:val="single"/>
        </w:rPr>
        <w:t>递交响应文件时</w:t>
      </w:r>
      <w:r>
        <w:rPr>
          <w:rFonts w:hint="eastAsia" w:ascii="仿宋_GB2312" w:hAnsi="仿宋_GB2312" w:eastAsia="仿宋_GB2312" w:cs="仿宋_GB2312"/>
          <w:color w:val="auto"/>
          <w:sz w:val="28"/>
          <w:szCs w:val="28"/>
          <w:highlight w:val="none"/>
          <w:u w:val="single"/>
          <w:lang w:val="zh-CN"/>
        </w:rPr>
        <w:t>须出具承诺函，承诺所提供报价货物/设备备件均为制造商全新原装产品，</w:t>
      </w:r>
      <w:r>
        <w:rPr>
          <w:rFonts w:hint="eastAsia" w:ascii="仿宋_GB2312" w:hAnsi="仿宋_GB2312" w:eastAsia="仿宋_GB2312" w:cs="仿宋_GB2312"/>
          <w:color w:val="auto"/>
          <w:sz w:val="28"/>
          <w:szCs w:val="28"/>
          <w:highlight w:val="none"/>
          <w:u w:val="single"/>
        </w:rPr>
        <w:t>且</w:t>
      </w:r>
      <w:r>
        <w:rPr>
          <w:rFonts w:hint="eastAsia" w:ascii="仿宋_GB2312" w:hAnsi="仿宋_GB2312" w:eastAsia="仿宋_GB2312" w:cs="仿宋_GB2312"/>
          <w:color w:val="auto"/>
          <w:sz w:val="28"/>
          <w:szCs w:val="28"/>
          <w:highlight w:val="none"/>
          <w:u w:val="single"/>
          <w:lang w:val="zh-CN"/>
        </w:rPr>
        <w:t>产品出厂</w:t>
      </w:r>
      <w:r>
        <w:rPr>
          <w:rFonts w:hint="eastAsia" w:ascii="仿宋_GB2312" w:hAnsi="仿宋_GB2312" w:eastAsia="仿宋_GB2312" w:cs="仿宋_GB2312"/>
          <w:color w:val="auto"/>
          <w:sz w:val="28"/>
          <w:szCs w:val="28"/>
          <w:highlight w:val="none"/>
          <w:u w:val="single"/>
        </w:rPr>
        <w:t>日期为</w:t>
      </w:r>
      <w:r>
        <w:rPr>
          <w:rFonts w:hint="eastAsia" w:ascii="仿宋_GB2312" w:hAnsi="仿宋_GB2312" w:eastAsia="仿宋_GB2312" w:cs="仿宋_GB2312"/>
          <w:color w:val="auto"/>
          <w:sz w:val="28"/>
          <w:szCs w:val="28"/>
          <w:highlight w:val="none"/>
          <w:u w:val="single"/>
          <w:lang w:val="zh-CN"/>
        </w:rPr>
        <w:t>半年内，</w:t>
      </w:r>
      <w:r>
        <w:rPr>
          <w:rFonts w:hint="eastAsia" w:ascii="仿宋_GB2312" w:hAnsi="仿宋_GB2312" w:eastAsia="仿宋_GB2312" w:cs="仿宋_GB2312"/>
          <w:color w:val="auto"/>
          <w:sz w:val="28"/>
          <w:szCs w:val="28"/>
          <w:highlight w:val="none"/>
          <w:u w:val="single"/>
        </w:rPr>
        <w:t>供货时出具设备出厂合格证明</w:t>
      </w:r>
      <w:r>
        <w:rPr>
          <w:rFonts w:hint="eastAsia" w:ascii="仿宋_GB2312" w:hAnsi="仿宋_GB2312" w:eastAsia="仿宋_GB2312" w:cs="仿宋_GB2312"/>
          <w:color w:val="auto"/>
          <w:sz w:val="28"/>
          <w:szCs w:val="28"/>
          <w:highlight w:val="none"/>
          <w:u w:val="single"/>
          <w:lang w:val="zh-CN"/>
        </w:rPr>
        <w:t>。</w:t>
      </w:r>
    </w:p>
    <w:p>
      <w:pPr>
        <w:pStyle w:val="29"/>
        <w:ind w:firstLine="420"/>
        <w:rPr>
          <w:rFonts w:ascii="仿宋_GB2312" w:hAnsi="仿宋_GB2312" w:cs="仿宋_GB2312"/>
          <w:bCs/>
          <w:color w:val="auto"/>
          <w:sz w:val="28"/>
          <w:szCs w:val="28"/>
          <w:highlight w:val="none"/>
        </w:rPr>
      </w:pPr>
      <w:r>
        <w:rPr>
          <w:rFonts w:hint="eastAsia" w:ascii="仿宋_GB2312" w:hAnsi="仿宋_GB2312" w:cs="仿宋_GB2312"/>
          <w:color w:val="auto"/>
          <w:sz w:val="28"/>
          <w:szCs w:val="28"/>
          <w:highlight w:val="none"/>
        </w:rPr>
        <w:t>（2）</w:t>
      </w:r>
      <w:r>
        <w:rPr>
          <w:rFonts w:hint="eastAsia" w:ascii="仿宋_GB2312" w:hAnsi="仿宋_GB2312" w:cs="仿宋_GB2312"/>
          <w:bCs/>
          <w:color w:val="auto"/>
          <w:sz w:val="28"/>
          <w:szCs w:val="28"/>
          <w:highlight w:val="none"/>
        </w:rPr>
        <w:t>拟采购的软硬件配置及服务要求如下：</w:t>
      </w:r>
    </w:p>
    <w:tbl>
      <w:tblPr>
        <w:tblStyle w:val="24"/>
        <w:tblW w:w="9260" w:type="dxa"/>
        <w:jc w:val="center"/>
        <w:tblLayout w:type="autofit"/>
        <w:tblCellMar>
          <w:top w:w="0" w:type="dxa"/>
          <w:left w:w="108" w:type="dxa"/>
          <w:bottom w:w="0" w:type="dxa"/>
          <w:right w:w="108" w:type="dxa"/>
        </w:tblCellMar>
      </w:tblPr>
      <w:tblGrid>
        <w:gridCol w:w="660"/>
        <w:gridCol w:w="1660"/>
        <w:gridCol w:w="5340"/>
        <w:gridCol w:w="840"/>
        <w:gridCol w:w="760"/>
      </w:tblGrid>
      <w:tr>
        <w:tblPrEx>
          <w:tblCellMar>
            <w:top w:w="0" w:type="dxa"/>
            <w:left w:w="108" w:type="dxa"/>
            <w:bottom w:w="0" w:type="dxa"/>
            <w:right w:w="108" w:type="dxa"/>
          </w:tblCellMar>
        </w:tblPrEx>
        <w:trPr>
          <w:trHeight w:val="330"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color w:val="auto"/>
                <w:kern w:val="0"/>
                <w:sz w:val="22"/>
                <w:szCs w:val="22"/>
                <w:highlight w:val="none"/>
              </w:rPr>
            </w:pPr>
            <w:r>
              <w:rPr>
                <w:rFonts w:hint="eastAsia" w:ascii="仿宋_GB2312" w:hAnsi="仿宋_GB2312" w:eastAsia="仿宋_GB2312" w:cs="仿宋_GB2312"/>
                <w:b/>
                <w:bCs/>
                <w:color w:val="auto"/>
                <w:kern w:val="0"/>
                <w:sz w:val="22"/>
                <w:szCs w:val="22"/>
                <w:highlight w:val="none"/>
              </w:rPr>
              <w:t>序号</w:t>
            </w:r>
          </w:p>
        </w:tc>
        <w:tc>
          <w:tcPr>
            <w:tcW w:w="16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color w:val="auto"/>
                <w:kern w:val="0"/>
                <w:sz w:val="22"/>
                <w:szCs w:val="22"/>
                <w:highlight w:val="none"/>
              </w:rPr>
            </w:pPr>
            <w:r>
              <w:rPr>
                <w:rFonts w:hint="eastAsia" w:ascii="仿宋_GB2312" w:hAnsi="仿宋_GB2312" w:eastAsia="仿宋_GB2312" w:cs="仿宋_GB2312"/>
                <w:b/>
                <w:bCs/>
                <w:color w:val="auto"/>
                <w:kern w:val="0"/>
                <w:sz w:val="22"/>
                <w:szCs w:val="22"/>
                <w:highlight w:val="none"/>
              </w:rPr>
              <w:t>项目</w:t>
            </w:r>
          </w:p>
        </w:tc>
        <w:tc>
          <w:tcPr>
            <w:tcW w:w="53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color w:val="auto"/>
                <w:kern w:val="0"/>
                <w:sz w:val="22"/>
                <w:szCs w:val="22"/>
                <w:highlight w:val="none"/>
              </w:rPr>
            </w:pPr>
            <w:r>
              <w:rPr>
                <w:rFonts w:hint="eastAsia" w:ascii="仿宋_GB2312" w:hAnsi="仿宋_GB2312" w:eastAsia="仿宋_GB2312" w:cs="仿宋_GB2312"/>
                <w:b/>
                <w:bCs/>
                <w:color w:val="auto"/>
                <w:kern w:val="0"/>
                <w:sz w:val="22"/>
                <w:szCs w:val="22"/>
                <w:highlight w:val="none"/>
              </w:rPr>
              <w:t>规格参数</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color w:val="auto"/>
                <w:kern w:val="0"/>
                <w:sz w:val="22"/>
                <w:szCs w:val="22"/>
                <w:highlight w:val="none"/>
              </w:rPr>
            </w:pPr>
            <w:r>
              <w:rPr>
                <w:rFonts w:hint="eastAsia" w:ascii="仿宋_GB2312" w:hAnsi="仿宋_GB2312" w:eastAsia="仿宋_GB2312" w:cs="仿宋_GB2312"/>
                <w:b/>
                <w:bCs/>
                <w:color w:val="auto"/>
                <w:kern w:val="0"/>
                <w:sz w:val="22"/>
                <w:szCs w:val="22"/>
                <w:highlight w:val="none"/>
              </w:rPr>
              <w:t>单位</w:t>
            </w:r>
          </w:p>
        </w:tc>
        <w:tc>
          <w:tcPr>
            <w:tcW w:w="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color w:val="auto"/>
                <w:kern w:val="0"/>
                <w:sz w:val="22"/>
                <w:szCs w:val="22"/>
                <w:highlight w:val="none"/>
              </w:rPr>
            </w:pPr>
            <w:r>
              <w:rPr>
                <w:rFonts w:hint="eastAsia" w:ascii="仿宋_GB2312" w:hAnsi="仿宋_GB2312" w:eastAsia="仿宋_GB2312" w:cs="仿宋_GB2312"/>
                <w:b/>
                <w:bCs/>
                <w:color w:val="auto"/>
                <w:kern w:val="0"/>
                <w:sz w:val="22"/>
                <w:szCs w:val="22"/>
                <w:highlight w:val="none"/>
              </w:rPr>
              <w:t>数量</w:t>
            </w:r>
          </w:p>
        </w:tc>
      </w:tr>
      <w:tr>
        <w:tblPrEx>
          <w:tblCellMar>
            <w:top w:w="0" w:type="dxa"/>
            <w:left w:w="108" w:type="dxa"/>
            <w:bottom w:w="0" w:type="dxa"/>
            <w:right w:w="108" w:type="dxa"/>
          </w:tblCellMar>
        </w:tblPrEx>
        <w:trPr>
          <w:trHeight w:val="9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无线AP</w:t>
            </w:r>
          </w:p>
        </w:tc>
        <w:tc>
          <w:tcPr>
            <w:tcW w:w="534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室外型Wi-Fi6无线接入点，内置定向天线，支持OFDMA、UL-MU-MIMO、空间复用技术和1024QAM调制解调算法，整机4条空间流，支持2.4G和5G同时工作，整机最大接入速率1775Mbps；一个SFP光口和两个千兆电口；内置天馈防雷器,支持POE供电；支持802.1X/CA证书/阿里钉钉/企业微信/微信小程序/短信/多因素等多种认证方式、APP缓存、数据探针、智能负载均衡、网关、VPN、QoS、潜在风险终端和网络访问流量的识别与封堵、胖瘦一体化。</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1、支持802.11ax 协议，兼容802.11a/b/g/n/ac/Wave2协议，支持2.4G和5G同时工作；</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2、支持2.4G 2*2条流及 5G 2*2条流；2.4G最大传输速率≥570Mbps，5G最大传输速率≥1200Mbps，整机最大传输速率≥1.7Gbps；</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3、千兆以太网口≥2个，千兆SFP光口≥1个；</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4、支持内置定向天线，无需外接天线即可实现远距离覆盖；</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5、支持802.3at标准的PoE供电；</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6、AP满负荷工作功耗≤25W；</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7、IP防护等级≥68；</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8、单射频接入人数≥512，整机最大接入人数≥1024，支持基于SSID的接入用户数限制；</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9、支持Fat和Fit 两种工作模式，根据网络规划的需要，可以灵活地在Fat和Fit两种工作模式中切换，同时可以根据应用需求，选择工作模式；</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w:t>
            </w:r>
            <w:r>
              <w:rPr>
                <w:rFonts w:hint="eastAsia" w:ascii="仿宋_GB2312" w:hAnsi="仿宋_GB2312" w:eastAsia="仿宋_GB2312" w:cs="仿宋_GB2312"/>
                <w:color w:val="auto"/>
                <w:sz w:val="20"/>
                <w:szCs w:val="20"/>
                <w:highlight w:val="none"/>
                <w:u w:val="single"/>
              </w:rPr>
              <w:t>支持接入点VPN功能，可以跨互联网与异地的管理端建立加密通信隧道，实现加密远程访问（提供功能截图证明）；</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11、支持802.1x 认证、MAC 地址认证、PSK 认证、Portal认证等方式，支持针对外部人员的二维码扫码审核认证；</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12、无线AP支持联动安全策略，通过安全策略可以实现对疑似感染病毒或已感染病毒的无线客户端进行识别、监控与隔离等多种方式的处理（提供功能截图证明）；</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13、支持无线带宽平均分配，让不同协商速率的终端占用相等的无线信道时间，防止低速终端拉低网络整体速率；</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14、支持将Fit AP切换成网关模式（非Fat AP模式），支持PPPoE拨号、静态IP、DHCP三种上网方式（提供功能配置截图证明）；</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15、支持逃生模式，AP与管理端连接中断后，原有用户在线、新用户正常接入，业务不中断。</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台</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15</w:t>
            </w:r>
          </w:p>
        </w:tc>
      </w:tr>
      <w:tr>
        <w:tblPrEx>
          <w:tblCellMar>
            <w:top w:w="0" w:type="dxa"/>
            <w:left w:w="108" w:type="dxa"/>
            <w:bottom w:w="0" w:type="dxa"/>
            <w:right w:w="108" w:type="dxa"/>
          </w:tblCellMar>
        </w:tblPrEx>
        <w:trPr>
          <w:trHeight w:val="555"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无线AP</w:t>
            </w:r>
          </w:p>
        </w:tc>
        <w:tc>
          <w:tcPr>
            <w:tcW w:w="534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室内Wi-Fi 6 高性能无线接入点，支持802.11ax协议，支持OFDMA、UL-MU-MIMO、空间复用技术和1024QAM调制解调算法，整机4条空间流，内置天线，整机最大接入速率1775Mbps，支持USB口；支持802.1X/CA证书/移动OA/微信小程序/短信/多因素等多种认证方式、APP缓存、数据探针、智能负载均衡、网关、VPN、QoS、潜在风险终端和网络访问流量的识别与封堵、胖瘦一体化； 支持1个千兆以太网口，支持PoE和12V/2A本地供电。</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1、支持802.11ax 协议，兼容802.11a/b/g/n/ac协议，支持2.4G和5G同时工作；</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2、支持2.4G 2*2条流及 5G 2*2条流；2.4G最大传输速率≥570Mbps，5G最大传输速率≥1200Mbps，整机最大传输速率≥1.7Gbps；</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3、上联千兆以太网口≥1个，下联千兆以太网口≥4个，提供背侧面pass through≥1对；</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4、内置智能天线，安装尺寸符合86盒国家标准；</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5、支持802.3at标准的PoE供电，满负荷工作功耗≤14W；</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6、单射频接入人数≥500，整机最大接入人数≥1000；</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7、支持虚拟AP技术，单射频SSID数量≥16，整机≥32；</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8、支持Fat和Fit 两种工作模式，根据网络规划的需要，可以灵活地在Fat和Fit两种工作模式中切换，同时可以根据应用需求，选择工作模式；</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9、支持Wi-Fi报文进行侦听捕获并实时镜像到本地分析设备供网络管理员进行故障排查、优化分析；</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10、支持802.1x 认证、MAC 地址认证、PSK 认证、Portal认证等认证方式，支持面向访客的二维码审核认证方式；</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11、支持802.11h 动态频率选择(DFS)、信道自动扫描功能，自动规避干扰；</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12、支持无线带宽平均分配，让不同协商速率的终端占用相等的无线信道时间，防止低速终端拉低网络整体速率；</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13、通过基于特征和协议的射频优化，有效提升无线部署中高密度接入、流媒体传输等场景中的应用加速能力和质量保障效果；</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14、</w:t>
            </w:r>
            <w:r>
              <w:rPr>
                <w:rFonts w:hint="eastAsia" w:ascii="仿宋_GB2312" w:hAnsi="仿宋_GB2312" w:eastAsia="仿宋_GB2312" w:cs="仿宋_GB2312"/>
                <w:color w:val="auto"/>
                <w:sz w:val="20"/>
                <w:szCs w:val="20"/>
                <w:highlight w:val="none"/>
                <w:u w:val="single"/>
              </w:rPr>
              <w:t>无线AP支持联动安全策略，通过安全策略可以实现对疑似感染病毒或已感染病毒的无线客户端进行识别、监控与隔离等多种方式的处理（提供功能截图证明）；</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15、支持将在内网进行ARP扫描、IP扫描、端口扫描达到阈值后的终端执行告警或自动拉入动态黑名单；</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16、</w:t>
            </w:r>
            <w:r>
              <w:rPr>
                <w:rFonts w:hint="eastAsia" w:ascii="仿宋_GB2312" w:hAnsi="仿宋_GB2312" w:eastAsia="仿宋_GB2312" w:cs="仿宋_GB2312"/>
                <w:color w:val="auto"/>
                <w:sz w:val="20"/>
                <w:szCs w:val="20"/>
                <w:highlight w:val="none"/>
                <w:u w:val="single"/>
              </w:rPr>
              <w:t>支持Fit AP切换成网关模式（非Fat AP模式），支持PPPoE拨号、静态IP、DHCP三种上网方式（提供功能配置截图证明）；</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17、支持逃生模式，AP与控制器连接中断后，原有用户在线、新用户正常接入，业务不中断。</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台</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17</w:t>
            </w:r>
          </w:p>
        </w:tc>
      </w:tr>
      <w:tr>
        <w:tblPrEx>
          <w:tblCellMar>
            <w:top w:w="0" w:type="dxa"/>
            <w:left w:w="108" w:type="dxa"/>
            <w:bottom w:w="0" w:type="dxa"/>
            <w:right w:w="108" w:type="dxa"/>
          </w:tblCellMar>
        </w:tblPrEx>
        <w:trPr>
          <w:trHeight w:val="462"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无线控制器AC</w:t>
            </w:r>
          </w:p>
        </w:tc>
        <w:tc>
          <w:tcPr>
            <w:tcW w:w="534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下一代千兆无线控制器， 自带6个千兆电口，默认管理16个AP，集中转发最大支持144个AP，本地转发最大支持900个AP，支持在线用户数8K，支持身份认证、行为管理、行为审计、应用层流控、VPN、AP统一管理、有线无线一体化、集群管理、可视化网管、微信认证、营销推广、用户画像、客流分析，内置128G固态硬盘</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1、千兆以太网口数≥6个，RJ-45 Console管理口≥1个；</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2、具备USB接口数≥2个，以用于外界硬件设备；</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3、集中转发模式下最大可支持管理AP数≥256，单台设备最大可支持管理AP数≥1024；</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w:t>
            </w:r>
            <w:r>
              <w:rPr>
                <w:rFonts w:hint="eastAsia" w:ascii="仿宋_GB2312" w:hAnsi="仿宋_GB2312" w:eastAsia="仿宋_GB2312" w:cs="仿宋_GB2312"/>
                <w:color w:val="auto"/>
                <w:sz w:val="20"/>
                <w:szCs w:val="20"/>
                <w:highlight w:val="none"/>
                <w:u w:val="single"/>
              </w:rPr>
              <w:t>内置硬盘，硬盘大小≥128GB（提供官网截图以及官网链接）；</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5、支持802.11a、802.11b、802.11g、802.11n、802.11ac、802.11ac wave2、802.11e、802.11h、802.11i、802.11k、802.11v等无线协议；</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6、支持802.1x、Portal、MAC地址认证、CA证书认证、WAPI、802.1X WEP等内网认证；</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7、支持二维码审核认证、微信实名认证、短信认证、APP认证、临时访客账号等外网认证方式；</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8、支持关联RADIUS、微软AD域、LDAP、数据库（Oracle、MySQL、MS-SQL）、Portal2.0、AS等外置认证服务器，实现802.1x、Portal等第三方认证；</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9、支持对接移动OA平台进行用户认证，包括阿里钉钉、微信企业号、口袋助理等主流平台，实现同步组织架构实现不同部门人员分配不同的上网权限策略，同时可以直接通过APP或轻应用即可自助管理账号密码（提供功能截图证明）；</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为了保证网络的可扩展性，需要支持兼容其他品牌无线设备实现统一Portal/Web和802.1X认证，包括短信认证、二维码审核、802.1X、Web账号密码认证，兼容的厂商包括但不限于华三、华为、信锐、锐捷、思科、Aruba、Ruckus等（提供功能截图证明）；</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台</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1</w:t>
            </w:r>
          </w:p>
        </w:tc>
      </w:tr>
      <w:tr>
        <w:tblPrEx>
          <w:tblCellMar>
            <w:top w:w="0" w:type="dxa"/>
            <w:left w:w="108" w:type="dxa"/>
            <w:bottom w:w="0" w:type="dxa"/>
            <w:right w:w="108" w:type="dxa"/>
          </w:tblCellMar>
        </w:tblPrEx>
        <w:trPr>
          <w:trHeight w:val="57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管理AP数Lic</w:t>
            </w:r>
          </w:p>
        </w:tc>
        <w:tc>
          <w:tcPr>
            <w:tcW w:w="534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NAP接入授权，每增加一个管理的AP数量</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个</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32</w:t>
            </w:r>
          </w:p>
        </w:tc>
      </w:tr>
      <w:tr>
        <w:tblPrEx>
          <w:tblCellMar>
            <w:top w:w="0" w:type="dxa"/>
            <w:left w:w="108" w:type="dxa"/>
            <w:bottom w:w="0" w:type="dxa"/>
            <w:right w:w="108" w:type="dxa"/>
          </w:tblCellMar>
        </w:tblPrEx>
        <w:trPr>
          <w:trHeight w:val="60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5</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8口POE交换机</w:t>
            </w:r>
          </w:p>
        </w:tc>
        <w:tc>
          <w:tcPr>
            <w:tcW w:w="534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POE交换机，8个千兆POE电口，4个 1G/2.5G SFP光口；交换容量≥256Gbps/2.56Tbps，包转发率≥27Mpps/102Mpps，支持全端口线速转发；支持IEEE 802.3af/at供电标准，单端口最大输出PoE功率30W，整机最大输出PoE功率135W；支持NAC统一管理、统一查看状态、VLAN等配置管理；支持终端识别、终端准入、安全防护及安全画像可视；支持胖瘦一体化。</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1、千兆POE电口数≥8个，千兆SFP光口≥4个；</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2、支持IEEE 802.3af/at供电标准，单端口最大输出功率≥30W，整机最大输出功率≥135W；</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3、交换性能≥256Gbps/2.56Tbps，包转发率≥27Mpps/102Mpps，若存在双参数，以生产制造商官网最小参数为准；</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4、支持MAC地址≥16K，支持MAC地址自动学习、源MAC地址过滤、接口MAC地址学习个数限制；</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5、支持基于端口或堆叠口的ACL策略、基于源目IP/MAC地址的ACL策略、基于协议的ACL策略、基于时间的ACL策略；</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6、支持M-LAG虚拟化技术，跨设备链路聚合（非堆叠技术实现），要求配对的设备有独立的控制平面，提高组网可靠性；</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7、支持Qos特性，通过多种调度模式（例如：轮询模式、严格优先模式等）实现流量基于报文或端口的优先级；</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8、支持DHCP Snooping，可将交换机端口设置为信任端口或非信任端口，非信任端口也可设置白名单响应DHCP报文；</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9、支持STP、RSTP、MSTP防环协议；</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10、支持IGMP v1/v2/v3 Snooping组播协议；</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w:t>
            </w:r>
            <w:r>
              <w:rPr>
                <w:rFonts w:hint="eastAsia" w:ascii="仿宋_GB2312" w:hAnsi="仿宋_GB2312" w:eastAsia="仿宋_GB2312" w:cs="仿宋_GB2312"/>
                <w:color w:val="auto"/>
                <w:sz w:val="20"/>
                <w:szCs w:val="20"/>
                <w:highlight w:val="none"/>
                <w:u w:val="single"/>
              </w:rPr>
              <w:t>为实现对终端的接入安全进行管控，交换机应支持终端业务可视化，对端口下终端的活跃状态、流量趋势、安全事件、终端维度的流量进行分析，并查看其主机名、IP地址、接入位置以及特征变化等信息（提供权威第三方检测报告证明）；</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12、支持端口保护、隔离，并有效防止DOS、ARP攻击，支持对CPU的保护功能；</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13、</w:t>
            </w:r>
            <w:r>
              <w:rPr>
                <w:rFonts w:hint="eastAsia" w:ascii="仿宋_GB2312" w:hAnsi="仿宋_GB2312" w:eastAsia="仿宋_GB2312" w:cs="仿宋_GB2312"/>
                <w:color w:val="auto"/>
                <w:sz w:val="20"/>
                <w:szCs w:val="20"/>
                <w:highlight w:val="none"/>
                <w:u w:val="single"/>
              </w:rPr>
              <w:t>支持内网终端互访情况、东西向流量安全记录并呈现，并实现自动阻塞内网病毒传播、远程桌面等恶意流量（提供权威第三方检测报告证明）；</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台</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5</w:t>
            </w:r>
          </w:p>
        </w:tc>
      </w:tr>
      <w:tr>
        <w:tblPrEx>
          <w:tblCellMar>
            <w:top w:w="0" w:type="dxa"/>
            <w:left w:w="108" w:type="dxa"/>
            <w:bottom w:w="0" w:type="dxa"/>
            <w:right w:w="108" w:type="dxa"/>
          </w:tblCellMar>
        </w:tblPrEx>
        <w:trPr>
          <w:trHeight w:val="84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6</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24口POE交换机</w:t>
            </w:r>
          </w:p>
        </w:tc>
        <w:tc>
          <w:tcPr>
            <w:tcW w:w="534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POE交换机，24个千兆POE电口，4个 1G/2.5G SFP光口；交换容量≥336Gbps/3.36Tbps，包转发率≥108Mpps/126Mpps，支持全端口线速转发；支持IEEE 802.3af/at供电标准，单端口最大输出PoE功率30W，整机最大输出PoE功率370W；支持NAC统一管理、统一查看状态、VLAN等配置管理；支持终端识别、终端准入、安全防护及安全画像可视；支持胖瘦一体化。</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1、千兆POE电口≥24个， 千兆 SFP千兆光口≥4个；</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2、支持IEEE 802.3af/at供电标准，单端口最大输出功率≥30W，整机最大输出功率≥370W；</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3、交换性能≥336Gbps/3.36Tbps，包转发率≥96Mpps/126Mpps，若存在双参数，以生产制造商官网最小参数为准；</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4、支持MAC地址≥16K，支持MAC地址自动学习、源MAC地址过滤、接口MAC地址学习个数限制；</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5、支持基于端口或堆叠口的ACL策略、基于源目IP/MAC地址的ACL策略、基于协议的ACL策略、基于时间的ACL策略；</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6、支持M-LAG虚拟化技术，跨设备链路聚合（非堆叠技术实现），要求配对的设备有独立的控制平面，提高组网可靠性；</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7、支持Qos特性，通过多种调度模式（例如：轮询模式、严格优先模式等）实现流量基于报文或端口的优先级；</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8、支持DHCP Snooping，可将交换机端口设置为信任端口或非信任端口，非信任端口也可设置白名单响应DHCP报文；</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9、支持STP、RSTP、MSTP防环协议；</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10、支持IGMP v1/v2/v3 Snooping组播协议；</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w:t>
            </w:r>
            <w:r>
              <w:rPr>
                <w:rFonts w:hint="eastAsia" w:ascii="仿宋_GB2312" w:hAnsi="仿宋_GB2312" w:eastAsia="仿宋_GB2312" w:cs="仿宋_GB2312"/>
                <w:color w:val="auto"/>
                <w:sz w:val="20"/>
                <w:szCs w:val="20"/>
                <w:highlight w:val="none"/>
                <w:u w:val="single"/>
              </w:rPr>
              <w:t>为实现对终端的接入安全进行管控，交换机应支持终端业务可视化，对端口下终端的活跃状态、流量趋势、安全事件、终端维度的流量进行分析，并查看其主机名、IP地址、接入位置以及特征变化等信息（提供权威第三方检测报告证明）；</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12、支持端口保护、隔离，并有效防止DOS、ARP攻击，支持对CPU的保护功能；</w:t>
            </w:r>
          </w:p>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13、</w:t>
            </w:r>
            <w:r>
              <w:rPr>
                <w:rFonts w:hint="eastAsia" w:ascii="仿宋_GB2312" w:hAnsi="仿宋_GB2312" w:eastAsia="仿宋_GB2312" w:cs="仿宋_GB2312"/>
                <w:color w:val="auto"/>
                <w:sz w:val="20"/>
                <w:szCs w:val="20"/>
                <w:highlight w:val="none"/>
                <w:u w:val="single"/>
              </w:rPr>
              <w:t>支持内网终端互访情况、东西向流量安全记录并呈现，并实现自动阻塞内网病毒传播、远程桌面等恶意流量（提供权威第三方检测报告证明）；</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台</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3</w:t>
            </w:r>
          </w:p>
        </w:tc>
      </w:tr>
      <w:tr>
        <w:tblPrEx>
          <w:tblCellMar>
            <w:top w:w="0" w:type="dxa"/>
            <w:left w:w="108" w:type="dxa"/>
            <w:bottom w:w="0" w:type="dxa"/>
            <w:right w:w="108" w:type="dxa"/>
          </w:tblCellMar>
        </w:tblPrEx>
        <w:trPr>
          <w:trHeight w:val="439"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7</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光纤模块</w:t>
            </w:r>
          </w:p>
        </w:tc>
        <w:tc>
          <w:tcPr>
            <w:tcW w:w="534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SFP 千兆单模光模块，单模，1310nm，最大传输距离 10km，接头类型：LC</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块</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16</w:t>
            </w:r>
          </w:p>
        </w:tc>
      </w:tr>
      <w:tr>
        <w:tblPrEx>
          <w:tblCellMar>
            <w:top w:w="0" w:type="dxa"/>
            <w:left w:w="108" w:type="dxa"/>
            <w:bottom w:w="0" w:type="dxa"/>
            <w:right w:w="108" w:type="dxa"/>
          </w:tblCellMar>
        </w:tblPrEx>
        <w:trPr>
          <w:trHeight w:val="439"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8</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辅材</w:t>
            </w:r>
          </w:p>
        </w:tc>
        <w:tc>
          <w:tcPr>
            <w:tcW w:w="534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线材、管材、电源线、设备工具、标签、配件</w:t>
            </w:r>
          </w:p>
        </w:tc>
        <w:tc>
          <w:tcPr>
            <w:tcW w:w="84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批</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1</w:t>
            </w:r>
          </w:p>
        </w:tc>
      </w:tr>
      <w:tr>
        <w:tblPrEx>
          <w:tblCellMar>
            <w:top w:w="0" w:type="dxa"/>
            <w:left w:w="108" w:type="dxa"/>
            <w:bottom w:w="0" w:type="dxa"/>
            <w:right w:w="108" w:type="dxa"/>
          </w:tblCellMar>
        </w:tblPrEx>
        <w:trPr>
          <w:trHeight w:val="439"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9</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技术服务</w:t>
            </w:r>
          </w:p>
        </w:tc>
        <w:tc>
          <w:tcPr>
            <w:tcW w:w="534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施工安装调试、技术服务等</w:t>
            </w:r>
          </w:p>
        </w:tc>
        <w:tc>
          <w:tcPr>
            <w:tcW w:w="84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项</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bidi="ar"/>
              </w:rPr>
              <w:t>1</w:t>
            </w:r>
          </w:p>
        </w:tc>
      </w:tr>
    </w:tbl>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项目交付中所需线材等辅助性材料包含在报价中。</w:t>
      </w:r>
    </w:p>
    <w:p>
      <w:pPr>
        <w:pStyle w:val="29"/>
        <w:rPr>
          <w:color w:val="auto"/>
          <w:highlight w:val="none"/>
          <w:lang w:val="zh-CN"/>
        </w:rPr>
      </w:pPr>
    </w:p>
    <w:p>
      <w:pPr>
        <w:pStyle w:val="29"/>
        <w:rPr>
          <w:color w:val="auto"/>
          <w:highlight w:val="none"/>
          <w:lang w:val="zh-CN"/>
        </w:rPr>
      </w:pPr>
    </w:p>
    <w:p>
      <w:pPr>
        <w:adjustRightInd w:val="0"/>
        <w:snapToGrid w:val="0"/>
        <w:spacing w:line="360" w:lineRule="auto"/>
        <w:ind w:firstLine="420"/>
        <w:outlineLvl w:val="1"/>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8.服务要求</w:t>
      </w:r>
    </w:p>
    <w:p>
      <w:pPr>
        <w:ind w:left="420" w:leftChars="200" w:firstLine="109" w:firstLineChars="52"/>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highlight w:val="none"/>
          <w:lang w:val="zh-CN"/>
        </w:rPr>
        <w:t xml:space="preserve">    </w:t>
      </w:r>
      <w:r>
        <w:rPr>
          <w:rFonts w:hint="eastAsia" w:ascii="仿宋_GB2312" w:hAnsi="仿宋_GB2312" w:eastAsia="仿宋_GB2312" w:cs="仿宋_GB2312"/>
          <w:color w:val="auto"/>
          <w:sz w:val="28"/>
          <w:szCs w:val="28"/>
          <w:highlight w:val="none"/>
        </w:rPr>
        <w:t>项目必须提供的具体服务内容如下：</w:t>
      </w:r>
    </w:p>
    <w:p>
      <w:pPr>
        <w:ind w:firstLine="560" w:firstLineChars="200"/>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
          <w:color w:val="auto"/>
          <w:sz w:val="28"/>
          <w:szCs w:val="28"/>
          <w:highlight w:val="none"/>
        </w:rPr>
        <w:t>质保期服务内容</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A、报价人明确承诺:本项目的软硬件需提供一年免费售后服务。</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B、报价人产品属于国家规定“三包”范围的，其产品质量保证期不得低于“三包”规定。</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C、报价人的质量保证期承诺优于国家“三包”规定的，按承包人实际承诺执行。</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D、</w:t>
      </w:r>
      <w:r>
        <w:rPr>
          <w:rFonts w:hint="eastAsia" w:ascii="仿宋_GB2312" w:hAnsi="仿宋_GB2312" w:eastAsia="仿宋_GB2312" w:cs="仿宋_GB2312"/>
          <w:color w:val="auto"/>
          <w:sz w:val="28"/>
          <w:szCs w:val="28"/>
          <w:highlight w:val="none"/>
          <w:u w:val="single"/>
        </w:rPr>
        <w:t>报价人产品如由原厂负责标准售后服务的，应当在报价文件中予以明确说明,并附厂家售后服务承诺内容（如有）。</w:t>
      </w:r>
    </w:p>
    <w:p>
      <w:pPr>
        <w:ind w:firstLine="560" w:firstLineChars="200"/>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b/>
          <w:color w:val="auto"/>
          <w:sz w:val="28"/>
          <w:szCs w:val="28"/>
          <w:highlight w:val="none"/>
        </w:rPr>
        <w:t>售后服务内容</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承包人在质量保证期内应当为询价人提供以下技术支持和服务:</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A、电话咨询</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承包人应当为询价人提供其单位以及原厂的技术援助电话，解答询价人在使用中遇到的问题，及时为询价人提出解决问题的建议。</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B、现场响应</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C、技术升级</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在质保期内，如果承包人的销售的产品发现漏洞或能够技术升级，承包人应及时通知询价人，如询价人有相应要求，承包人应对询价人购买的产品进行升级服务。</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（2）质保期外服务要求</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A、质量保证期过后，承包人应同样提供免费电话咨询服务，并应承诺提供产品上门维护服务。</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B、质量保证期过后，询价人需要继续由承包人提供售后服务的，该承包人应以优惠价格提供售后服务。</w:t>
      </w:r>
    </w:p>
    <w:p>
      <w:pPr>
        <w:adjustRightInd w:val="0"/>
        <w:snapToGrid w:val="0"/>
        <w:spacing w:line="360" w:lineRule="auto"/>
        <w:ind w:firstLine="420"/>
        <w:outlineLvl w:val="1"/>
        <w:rPr>
          <w:rFonts w:ascii="仿宋_GB2312" w:hAnsi="仿宋_GB2312" w:eastAsia="仿宋_GB2312" w:cs="仿宋_GB2312"/>
          <w:color w:val="auto"/>
          <w:sz w:val="28"/>
          <w:szCs w:val="28"/>
          <w:highlight w:val="none"/>
        </w:rPr>
      </w:pPr>
    </w:p>
    <w:p>
      <w:pPr>
        <w:adjustRightInd w:val="0"/>
        <w:snapToGrid w:val="0"/>
        <w:spacing w:line="360" w:lineRule="auto"/>
        <w:ind w:firstLine="420"/>
        <w:outlineLvl w:val="1"/>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9.培训要求</w:t>
      </w:r>
    </w:p>
    <w:p>
      <w:pPr>
        <w:pStyle w:val="53"/>
        <w:autoSpaceDE w:val="0"/>
        <w:autoSpaceDN w:val="0"/>
        <w:adjustRightInd w:val="0"/>
        <w:spacing w:line="360" w:lineRule="auto"/>
        <w:ind w:firstLine="56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承包单位应根据项目实施的计划、进度和需要与询价人的合理要求，及时安排对询价人的相关人员进行培训。</w:t>
      </w:r>
    </w:p>
    <w:p>
      <w:pPr>
        <w:pStyle w:val="53"/>
        <w:autoSpaceDE w:val="0"/>
        <w:autoSpaceDN w:val="0"/>
        <w:adjustRightInd w:val="0"/>
        <w:spacing w:line="360" w:lineRule="auto"/>
        <w:ind w:left="-134" w:leftChars="-64" w:firstLine="56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培训目标为使受训者能够独立、熟练地完成操作，实现本项目所有软硬件的基本操作。具体如下：</w:t>
      </w:r>
    </w:p>
    <w:p>
      <w:pPr>
        <w:pStyle w:val="53"/>
        <w:autoSpaceDE w:val="0"/>
        <w:autoSpaceDN w:val="0"/>
        <w:adjustRightInd w:val="0"/>
        <w:spacing w:line="360" w:lineRule="auto"/>
        <w:ind w:left="-142" w:firstLine="56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由承包单位组织正式培训，采用准备好的注释、讲义、讨论会、视听演示以及在现场进行实际操作示范，培训人员应做好操作、管理、维护的充分准备，承包单位应提交一份培训计划给询价人以获批准。</w:t>
      </w:r>
    </w:p>
    <w:p>
      <w:pPr>
        <w:pStyle w:val="53"/>
        <w:autoSpaceDE w:val="0"/>
        <w:autoSpaceDN w:val="0"/>
        <w:adjustRightInd w:val="0"/>
        <w:spacing w:line="360" w:lineRule="auto"/>
        <w:ind w:left="420" w:firstLine="0" w:firstLineChars="0"/>
        <w:textAlignment w:val="baseline"/>
        <w:rPr>
          <w:rFonts w:ascii="仿宋_GB2312" w:hAnsi="仿宋_GB2312" w:eastAsia="仿宋_GB2312" w:cs="仿宋_GB2312"/>
          <w:color w:val="auto"/>
          <w:sz w:val="28"/>
          <w:szCs w:val="28"/>
          <w:highlight w:val="none"/>
        </w:rPr>
      </w:pPr>
      <w:bookmarkStart w:id="94" w:name="_Toc4510_WPSOffice_Level3"/>
      <w:r>
        <w:rPr>
          <w:rFonts w:hint="eastAsia" w:ascii="仿宋_GB2312" w:hAnsi="仿宋_GB2312" w:eastAsia="仿宋_GB2312" w:cs="仿宋_GB2312"/>
          <w:color w:val="auto"/>
          <w:sz w:val="28"/>
          <w:szCs w:val="28"/>
          <w:highlight w:val="none"/>
        </w:rPr>
        <w:t>1.培训范围：软硬件设备以及系统的日常使用及维护操作</w:t>
      </w:r>
      <w:bookmarkEnd w:id="94"/>
    </w:p>
    <w:p>
      <w:pPr>
        <w:pStyle w:val="53"/>
        <w:autoSpaceDE w:val="0"/>
        <w:autoSpaceDN w:val="0"/>
        <w:adjustRightInd w:val="0"/>
        <w:spacing w:line="360" w:lineRule="auto"/>
        <w:ind w:left="420" w:firstLine="0" w:firstLineChars="0"/>
        <w:textAlignment w:val="baseline"/>
        <w:rPr>
          <w:rFonts w:ascii="仿宋_GB2312" w:hAnsi="仿宋_GB2312" w:eastAsia="仿宋_GB2312" w:cs="仿宋_GB2312"/>
          <w:color w:val="auto"/>
          <w:sz w:val="28"/>
          <w:szCs w:val="28"/>
          <w:highlight w:val="none"/>
        </w:rPr>
      </w:pPr>
      <w:bookmarkStart w:id="95" w:name="_Toc23160_WPSOffice_Level3"/>
      <w:r>
        <w:rPr>
          <w:rFonts w:hint="eastAsia" w:ascii="仿宋_GB2312" w:hAnsi="仿宋_GB2312" w:eastAsia="仿宋_GB2312" w:cs="仿宋_GB2312"/>
          <w:color w:val="auto"/>
          <w:sz w:val="28"/>
          <w:szCs w:val="28"/>
          <w:highlight w:val="none"/>
        </w:rPr>
        <w:t>2.培训地点：广州市净水有限公司</w:t>
      </w:r>
      <w:bookmarkEnd w:id="95"/>
      <w:r>
        <w:rPr>
          <w:rFonts w:hint="eastAsia" w:ascii="仿宋_GB2312" w:hAnsi="仿宋_GB2312" w:eastAsia="仿宋_GB2312" w:cs="仿宋_GB2312"/>
          <w:color w:val="auto"/>
          <w:sz w:val="28"/>
          <w:szCs w:val="28"/>
          <w:highlight w:val="none"/>
        </w:rPr>
        <w:t>龙归分公司</w:t>
      </w:r>
    </w:p>
    <w:p>
      <w:pPr>
        <w:pStyle w:val="53"/>
        <w:autoSpaceDE w:val="0"/>
        <w:autoSpaceDN w:val="0"/>
        <w:adjustRightInd w:val="0"/>
        <w:spacing w:line="360" w:lineRule="auto"/>
        <w:ind w:left="420" w:firstLine="0" w:firstLineChars="0"/>
        <w:textAlignment w:val="baseline"/>
        <w:rPr>
          <w:rFonts w:ascii="仿宋_GB2312" w:hAnsi="仿宋_GB2312" w:eastAsia="仿宋_GB2312" w:cs="仿宋_GB2312"/>
          <w:color w:val="auto"/>
          <w:sz w:val="28"/>
          <w:szCs w:val="28"/>
          <w:highlight w:val="none"/>
        </w:rPr>
      </w:pPr>
      <w:bookmarkStart w:id="96" w:name="_Toc5209_WPSOffice_Level3"/>
      <w:r>
        <w:rPr>
          <w:rFonts w:hint="eastAsia" w:ascii="仿宋_GB2312" w:hAnsi="仿宋_GB2312" w:eastAsia="仿宋_GB2312" w:cs="仿宋_GB2312"/>
          <w:color w:val="auto"/>
          <w:sz w:val="28"/>
          <w:szCs w:val="28"/>
          <w:highlight w:val="none"/>
        </w:rPr>
        <w:t>3.培训时间：在项目施工完成后进行培训</w:t>
      </w:r>
      <w:bookmarkEnd w:id="96"/>
    </w:p>
    <w:p>
      <w:pPr>
        <w:pStyle w:val="53"/>
        <w:autoSpaceDE w:val="0"/>
        <w:autoSpaceDN w:val="0"/>
        <w:adjustRightInd w:val="0"/>
        <w:spacing w:line="360" w:lineRule="auto"/>
        <w:ind w:left="420" w:firstLine="0" w:firstLineChars="0"/>
        <w:textAlignment w:val="baseline"/>
        <w:rPr>
          <w:rFonts w:ascii="仿宋_GB2312" w:hAnsi="仿宋_GB2312" w:eastAsia="仿宋_GB2312" w:cs="仿宋_GB2312"/>
          <w:color w:val="auto"/>
          <w:sz w:val="28"/>
          <w:szCs w:val="28"/>
          <w:highlight w:val="none"/>
        </w:rPr>
      </w:pPr>
      <w:bookmarkStart w:id="97" w:name="_Toc2260_WPSOffice_Level3"/>
      <w:r>
        <w:rPr>
          <w:rFonts w:hint="eastAsia" w:ascii="仿宋_GB2312" w:hAnsi="仿宋_GB2312" w:eastAsia="仿宋_GB2312" w:cs="仿宋_GB2312"/>
          <w:color w:val="auto"/>
          <w:sz w:val="28"/>
          <w:szCs w:val="28"/>
          <w:highlight w:val="none"/>
        </w:rPr>
        <w:t>4.培训内容：</w:t>
      </w:r>
      <w:bookmarkEnd w:id="97"/>
    </w:p>
    <w:p>
      <w:pPr>
        <w:pStyle w:val="53"/>
        <w:autoSpaceDE w:val="0"/>
        <w:autoSpaceDN w:val="0"/>
        <w:adjustRightInd w:val="0"/>
        <w:spacing w:line="360" w:lineRule="auto"/>
        <w:ind w:firstLine="56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根据用户对设备日常维护需求提供相关的培训及答疑，次数至少1次。</w:t>
      </w:r>
    </w:p>
    <w:p>
      <w:pPr>
        <w:pStyle w:val="53"/>
        <w:autoSpaceDE w:val="0"/>
        <w:autoSpaceDN w:val="0"/>
        <w:adjustRightInd w:val="0"/>
        <w:spacing w:line="360" w:lineRule="auto"/>
        <w:ind w:firstLine="56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若用户对设备以及系统日常维护管理及使用仍存在疑问，在运行和维护期间乙方必须持续提供咨询服务。</w:t>
      </w:r>
    </w:p>
    <w:bookmarkEnd w:id="72"/>
    <w:p>
      <w:pPr>
        <w:pStyle w:val="29"/>
        <w:rPr>
          <w:rFonts w:hint="eastAsia" w:ascii="仿宋_GB2312" w:hAnsi="Times New Roman" w:cs="宋体"/>
          <w:b w:val="0"/>
          <w:bCs w:val="0"/>
          <w:color w:val="auto"/>
          <w:kern w:val="0"/>
          <w:sz w:val="28"/>
          <w:szCs w:val="28"/>
          <w:highlight w:val="none"/>
          <w:u w:val="none"/>
          <w:lang w:val="en-US" w:eastAsia="zh-CN" w:bidi="ar-SA"/>
        </w:rPr>
      </w:pPr>
    </w:p>
    <w:p>
      <w:pPr>
        <w:pStyle w:val="29"/>
        <w:rPr>
          <w:rFonts w:hint="eastAsia" w:ascii="仿宋_GB2312"/>
          <w:color w:val="auto"/>
          <w:sz w:val="28"/>
          <w:szCs w:val="28"/>
          <w:highlight w:val="none"/>
          <w:lang w:val="en-US" w:eastAsia="zh-CN"/>
        </w:rPr>
      </w:pPr>
    </w:p>
    <w:p>
      <w:pPr>
        <w:pStyle w:val="29"/>
        <w:rPr>
          <w:rFonts w:hint="eastAsia" w:ascii="仿宋_GB2312"/>
          <w:color w:val="auto"/>
          <w:sz w:val="28"/>
          <w:szCs w:val="28"/>
          <w:highlight w:val="none"/>
          <w:lang w:val="en-US" w:eastAsia="zh-CN"/>
        </w:rPr>
      </w:pPr>
    </w:p>
    <w:p>
      <w:pPr>
        <w:pStyle w:val="29"/>
        <w:rPr>
          <w:rFonts w:hint="eastAsia" w:ascii="仿宋_GB2312"/>
          <w:color w:val="auto"/>
          <w:sz w:val="28"/>
          <w:szCs w:val="28"/>
          <w:highlight w:val="none"/>
          <w:lang w:val="en-US" w:eastAsia="zh-CN"/>
        </w:rPr>
      </w:pPr>
    </w:p>
    <w:p>
      <w:pPr>
        <w:pStyle w:val="29"/>
        <w:rPr>
          <w:rFonts w:hint="eastAsia" w:ascii="仿宋_GB2312"/>
          <w:color w:val="auto"/>
          <w:sz w:val="28"/>
          <w:szCs w:val="28"/>
          <w:highlight w:val="none"/>
          <w:lang w:val="en-US" w:eastAsia="zh-CN"/>
        </w:rPr>
      </w:pPr>
    </w:p>
    <w:p>
      <w:pPr>
        <w:pStyle w:val="29"/>
        <w:rPr>
          <w:rFonts w:hint="eastAsia" w:ascii="仿宋_GB2312"/>
          <w:color w:val="auto"/>
          <w:sz w:val="28"/>
          <w:szCs w:val="28"/>
          <w:highlight w:val="none"/>
          <w:lang w:val="en-US" w:eastAsia="zh-CN"/>
        </w:rPr>
      </w:pPr>
    </w:p>
    <w:p>
      <w:pPr>
        <w:pStyle w:val="29"/>
        <w:rPr>
          <w:rFonts w:hint="eastAsia" w:ascii="仿宋_GB2312"/>
          <w:color w:val="auto"/>
          <w:sz w:val="28"/>
          <w:szCs w:val="28"/>
          <w:highlight w:val="none"/>
          <w:lang w:val="en-US" w:eastAsia="zh-CN"/>
        </w:rPr>
      </w:pPr>
    </w:p>
    <w:p>
      <w:pPr>
        <w:pStyle w:val="29"/>
        <w:rPr>
          <w:rFonts w:hint="eastAsia" w:ascii="仿宋_GB2312"/>
          <w:color w:val="auto"/>
          <w:sz w:val="28"/>
          <w:szCs w:val="28"/>
          <w:highlight w:val="none"/>
          <w:lang w:val="en-US" w:eastAsia="zh-CN"/>
        </w:rPr>
      </w:pPr>
    </w:p>
    <w:p>
      <w:pPr>
        <w:pStyle w:val="29"/>
        <w:rPr>
          <w:rFonts w:hint="eastAsia" w:ascii="仿宋_GB2312"/>
          <w:color w:val="auto"/>
          <w:sz w:val="28"/>
          <w:szCs w:val="28"/>
          <w:highlight w:val="none"/>
          <w:lang w:val="en-US" w:eastAsia="zh-CN"/>
        </w:rPr>
      </w:pPr>
    </w:p>
    <w:p>
      <w:pPr>
        <w:pStyle w:val="29"/>
        <w:rPr>
          <w:rFonts w:hint="eastAsia" w:ascii="仿宋_GB2312"/>
          <w:color w:val="auto"/>
          <w:sz w:val="28"/>
          <w:szCs w:val="28"/>
          <w:highlight w:val="none"/>
          <w:lang w:val="en-US" w:eastAsia="zh-CN"/>
        </w:rPr>
      </w:pPr>
    </w:p>
    <w:p>
      <w:pPr>
        <w:pStyle w:val="29"/>
        <w:rPr>
          <w:rFonts w:hint="eastAsia" w:ascii="仿宋_GB2312"/>
          <w:color w:val="auto"/>
          <w:sz w:val="28"/>
          <w:szCs w:val="28"/>
          <w:highlight w:val="none"/>
          <w:lang w:val="en-US" w:eastAsia="zh-CN"/>
        </w:rPr>
      </w:pPr>
    </w:p>
    <w:p>
      <w:pPr>
        <w:pStyle w:val="29"/>
        <w:rPr>
          <w:rFonts w:hint="eastAsia" w:ascii="仿宋_GB2312"/>
          <w:color w:val="auto"/>
          <w:sz w:val="28"/>
          <w:szCs w:val="28"/>
          <w:highlight w:val="none"/>
          <w:lang w:val="en-US" w:eastAsia="zh-CN"/>
        </w:rPr>
      </w:pPr>
    </w:p>
    <w:p>
      <w:pPr>
        <w:pStyle w:val="29"/>
        <w:rPr>
          <w:rFonts w:hint="eastAsia" w:ascii="仿宋_GB2312"/>
          <w:color w:val="auto"/>
          <w:sz w:val="28"/>
          <w:szCs w:val="28"/>
          <w:highlight w:val="none"/>
          <w:lang w:val="en-US" w:eastAsia="zh-CN"/>
        </w:rPr>
      </w:pPr>
    </w:p>
    <w:p>
      <w:pPr>
        <w:pStyle w:val="23"/>
        <w:ind w:firstLine="0"/>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4"/>
        <w:rPr>
          <w:color w:val="auto"/>
          <w:highlight w:val="none"/>
        </w:rPr>
      </w:pPr>
      <w:bookmarkStart w:id="98" w:name="_Toc23330"/>
      <w:bookmarkStart w:id="99" w:name="_Toc4680"/>
      <w:bookmarkStart w:id="100" w:name="_Toc15570"/>
      <w:bookmarkStart w:id="101" w:name="_Toc1496"/>
      <w:bookmarkStart w:id="102" w:name="_Toc12135"/>
      <w:bookmarkStart w:id="103" w:name="_Toc18538"/>
      <w:bookmarkStart w:id="104" w:name="_Toc25925"/>
      <w:bookmarkStart w:id="105" w:name="_Toc23353"/>
      <w:bookmarkStart w:id="106" w:name="_Toc1284"/>
      <w:bookmarkStart w:id="107" w:name="_Toc29835"/>
      <w:bookmarkStart w:id="108" w:name="_Toc53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98"/>
      <w:bookmarkEnd w:id="99"/>
      <w:bookmarkEnd w:id="100"/>
      <w:bookmarkEnd w:id="101"/>
      <w:bookmarkEnd w:id="102"/>
      <w:bookmarkEnd w:id="103"/>
      <w:bookmarkEnd w:id="104"/>
      <w:bookmarkEnd w:id="105"/>
      <w:bookmarkEnd w:id="106"/>
      <w:bookmarkEnd w:id="107"/>
      <w:bookmarkEnd w:id="108"/>
    </w:p>
    <w:p>
      <w:pPr>
        <w:pStyle w:val="38"/>
        <w:rPr>
          <w:color w:val="auto"/>
          <w:highlight w:val="none"/>
        </w:rPr>
      </w:pPr>
    </w:p>
    <w:p>
      <w:pPr>
        <w:pStyle w:val="4"/>
        <w:rPr>
          <w:color w:val="auto"/>
          <w:highlight w:val="none"/>
        </w:rPr>
      </w:pPr>
      <w:bookmarkStart w:id="109" w:name="_Toc19088"/>
      <w:bookmarkStart w:id="110" w:name="_Toc1375"/>
      <w:bookmarkStart w:id="111" w:name="_Toc13309"/>
      <w:bookmarkStart w:id="112" w:name="_Toc323"/>
      <w:bookmarkStart w:id="113" w:name="_Toc88209949"/>
      <w:bookmarkStart w:id="114" w:name="_Toc12968"/>
      <w:bookmarkStart w:id="115" w:name="_Toc87616386"/>
      <w:bookmarkStart w:id="116" w:name="_Toc12980"/>
      <w:bookmarkStart w:id="117" w:name="_Toc22797"/>
      <w:bookmarkStart w:id="118" w:name="_Toc12721"/>
      <w:bookmarkStart w:id="119" w:name="_Toc19686"/>
      <w:bookmarkStart w:id="120" w:name="_Toc22501"/>
      <w:bookmarkStart w:id="121" w:name="_Toc8183"/>
      <w:r>
        <w:rPr>
          <w:rFonts w:hint="eastAsia"/>
          <w:color w:val="auto"/>
          <w:highlight w:val="none"/>
        </w:rPr>
        <w:t>合同</w:t>
      </w:r>
      <w:bookmarkEnd w:id="109"/>
      <w:bookmarkEnd w:id="110"/>
      <w:bookmarkEnd w:id="111"/>
      <w:bookmarkEnd w:id="112"/>
      <w:bookmarkEnd w:id="113"/>
      <w:bookmarkEnd w:id="114"/>
      <w:bookmarkEnd w:id="115"/>
      <w:bookmarkEnd w:id="116"/>
      <w:bookmarkEnd w:id="117"/>
      <w:bookmarkEnd w:id="118"/>
      <w:bookmarkEnd w:id="119"/>
      <w:bookmarkEnd w:id="120"/>
      <w:bookmarkEnd w:id="12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3"/>
        <w:rPr>
          <w:rFonts w:hint="eastAsia"/>
          <w:color w:val="auto"/>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3"/>
        <w:rPr>
          <w:rFonts w:hint="default" w:ascii="宋体" w:eastAsia="等线"/>
          <w:color w:val="auto"/>
          <w:sz w:val="24"/>
          <w:szCs w:val="24"/>
          <w:highlight w:val="none"/>
        </w:rPr>
      </w:pPr>
    </w:p>
    <w:p>
      <w:pPr>
        <w:spacing w:line="400" w:lineRule="atLeast"/>
        <w:jc w:val="center"/>
        <w:rPr>
          <w:rFonts w:hint="eastAsia" w:ascii="宋体" w:hAnsi="宋体" w:eastAsia="宋体" w:cs="宋体"/>
          <w:b/>
          <w:bCs/>
          <w:color w:val="auto"/>
          <w:sz w:val="48"/>
          <w:szCs w:val="48"/>
          <w:highlight w:val="none"/>
        </w:rPr>
      </w:pPr>
    </w:p>
    <w:p>
      <w:pPr>
        <w:spacing w:line="400" w:lineRule="atLeast"/>
        <w:jc w:val="center"/>
        <w:rPr>
          <w:rFonts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广州市净水有限公司</w:t>
      </w:r>
    </w:p>
    <w:p>
      <w:pPr>
        <w:spacing w:line="400" w:lineRule="atLeast"/>
        <w:jc w:val="center"/>
        <w:rPr>
          <w:rFonts w:ascii="Cambria" w:hAnsi="Cambria" w:eastAsia="宋体" w:cs="Times New Roman"/>
          <w:b/>
          <w:bCs/>
          <w:color w:val="auto"/>
          <w:sz w:val="52"/>
          <w:szCs w:val="52"/>
          <w:highlight w:val="none"/>
        </w:rPr>
      </w:pPr>
      <w:r>
        <w:rPr>
          <w:rFonts w:hint="eastAsia" w:ascii="宋体" w:hAnsi="宋体" w:eastAsia="宋体" w:cs="宋体"/>
          <w:b/>
          <w:bCs/>
          <w:color w:val="auto"/>
          <w:sz w:val="48"/>
          <w:szCs w:val="48"/>
          <w:highlight w:val="none"/>
        </w:rPr>
        <w:t>设备维修维护/技改项目合同</w:t>
      </w:r>
    </w:p>
    <w:p>
      <w:pPr>
        <w:spacing w:line="0" w:lineRule="atLeast"/>
        <w:rPr>
          <w:rFonts w:hint="eastAsia" w:ascii="宋体" w:hAnsi="宋体" w:eastAsia="宋体" w:cs="Times New Roman"/>
          <w:bCs/>
          <w:color w:val="auto"/>
          <w:sz w:val="28"/>
          <w:highlight w:val="none"/>
          <w:lang w:val="en-US" w:eastAsia="zh-CN"/>
        </w:rPr>
      </w:pPr>
      <w:r>
        <w:rPr>
          <w:rFonts w:hint="eastAsia" w:ascii="宋体" w:hAnsi="宋体" w:eastAsia="宋体" w:cs="Times New Roman"/>
          <w:bCs/>
          <w:color w:val="auto"/>
          <w:sz w:val="28"/>
          <w:highlight w:val="none"/>
          <w:lang w:val="en-US" w:eastAsia="zh-CN"/>
        </w:rPr>
        <w:t xml:space="preserve"> </w:t>
      </w:r>
    </w:p>
    <w:p>
      <w:pPr>
        <w:pStyle w:val="23"/>
        <w:rPr>
          <w:rFonts w:hint="eastAsia"/>
          <w:color w:val="auto"/>
          <w:highlight w:val="none"/>
          <w:lang w:eastAsia="zh-CN"/>
        </w:rPr>
      </w:pPr>
    </w:p>
    <w:p>
      <w:pPr>
        <w:spacing w:line="0" w:lineRule="atLeast"/>
        <w:rPr>
          <w:rFonts w:ascii="仿宋_GB2312" w:hAnsi="宋体" w:eastAsia="仿宋_GB2312" w:cs="Times New Roman"/>
          <w:b/>
          <w:color w:val="auto"/>
          <w:sz w:val="30"/>
          <w:szCs w:val="30"/>
          <w:highlight w:val="none"/>
        </w:rPr>
      </w:pPr>
    </w:p>
    <w:p>
      <w:pPr>
        <w:jc w:val="left"/>
        <w:rPr>
          <w:rFonts w:hint="eastAsia" w:ascii="宋体" w:hAnsi="宋体" w:eastAsia="宋体" w:cs="宋体"/>
          <w:b/>
          <w:color w:val="auto"/>
          <w:sz w:val="30"/>
          <w:szCs w:val="30"/>
          <w:highlight w:val="none"/>
          <w:u w:val="none"/>
          <w:lang w:val="en-US" w:eastAsia="zh-CN"/>
        </w:rPr>
      </w:pPr>
      <w:r>
        <w:rPr>
          <w:rFonts w:hint="eastAsia" w:ascii="宋体" w:hAnsi="宋体" w:eastAsia="宋体" w:cs="宋体"/>
          <w:b/>
          <w:color w:val="auto"/>
          <w:sz w:val="30"/>
          <w:szCs w:val="30"/>
          <w:highlight w:val="none"/>
        </w:rPr>
        <w:t>项目名称:</w:t>
      </w:r>
    </w:p>
    <w:p>
      <w:pPr>
        <w:spacing w:line="0" w:lineRule="atLeast"/>
        <w:ind w:left="0" w:leftChars="0" w:firstLine="0" w:firstLineChars="0"/>
        <w:rPr>
          <w:rFonts w:hint="eastAsia" w:ascii="宋体" w:hAnsi="宋体" w:eastAsia="宋体" w:cs="宋体"/>
          <w:b/>
          <w:bCs w:val="0"/>
          <w:color w:val="auto"/>
          <w:sz w:val="30"/>
          <w:szCs w:val="30"/>
          <w:highlight w:val="none"/>
          <w:lang w:val="en-US" w:eastAsia="zh-CN"/>
        </w:rPr>
      </w:pPr>
      <w:r>
        <w:rPr>
          <w:rFonts w:hint="eastAsia" w:ascii="宋体" w:hAnsi="宋体" w:cs="宋体"/>
          <w:b/>
          <w:color w:val="auto"/>
          <w:sz w:val="30"/>
          <w:szCs w:val="30"/>
          <w:highlight w:val="none"/>
        </w:rPr>
        <w:t xml:space="preserve"> </w:t>
      </w:r>
    </w:p>
    <w:p>
      <w:pPr>
        <w:spacing w:line="0" w:lineRule="atLeast"/>
        <w:ind w:left="1506" w:hanging="1506" w:hangingChars="500"/>
        <w:rPr>
          <w:rFonts w:hint="eastAsia" w:ascii="宋体" w:hAnsi="宋体" w:eastAsia="宋体" w:cs="宋体"/>
          <w:b/>
          <w:color w:val="auto"/>
          <w:sz w:val="30"/>
          <w:szCs w:val="30"/>
          <w:highlight w:val="none"/>
        </w:rPr>
      </w:pPr>
    </w:p>
    <w:p>
      <w:pPr>
        <w:widowControl w:val="0"/>
        <w:autoSpaceDE w:val="0"/>
        <w:autoSpaceDN w:val="0"/>
        <w:adjustRightInd w:val="0"/>
        <w:rPr>
          <w:rFonts w:ascii="宋体" w:hAnsi="宋体" w:eastAsia="仿宋_GB2312" w:cs="宋体"/>
          <w:b/>
          <w:color w:val="auto"/>
          <w:sz w:val="30"/>
          <w:szCs w:val="30"/>
          <w:highlight w:val="none"/>
          <w:lang w:val="en-US" w:eastAsia="zh-CN" w:bidi="ar-SA"/>
        </w:rPr>
      </w:pPr>
      <w:r>
        <w:rPr>
          <w:rFonts w:hint="eastAsia" w:ascii="宋体" w:hAnsi="宋体" w:eastAsia="宋体" w:cs="宋体"/>
          <w:b/>
          <w:color w:val="auto"/>
          <w:sz w:val="30"/>
          <w:szCs w:val="30"/>
          <w:highlight w:val="none"/>
          <w:lang w:val="en-US" w:eastAsia="zh-CN" w:bidi="ar-SA"/>
        </w:rPr>
        <w:t>项目编号：</w:t>
      </w:r>
    </w:p>
    <w:p>
      <w:pPr>
        <w:spacing w:line="400" w:lineRule="atLeast"/>
        <w:rPr>
          <w:rFonts w:ascii="宋体" w:hAnsi="宋体" w:eastAsia="宋体" w:cs="宋体"/>
          <w:b/>
          <w:color w:val="auto"/>
          <w:sz w:val="30"/>
          <w:szCs w:val="30"/>
          <w:highlight w:val="none"/>
        </w:rPr>
      </w:pPr>
    </w:p>
    <w:p>
      <w:pPr>
        <w:spacing w:line="480" w:lineRule="auto"/>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合同编号：</w:t>
      </w:r>
      <w:r>
        <w:rPr>
          <w:rFonts w:hint="eastAsia" w:ascii="宋体" w:hAnsi="宋体" w:eastAsia="宋体" w:cs="宋体"/>
          <w:b/>
          <w:bCs/>
          <w:color w:val="auto"/>
          <w:sz w:val="30"/>
          <w:szCs w:val="30"/>
          <w:highlight w:val="none"/>
        </w:rPr>
        <w:t>穗净水合[</w:t>
      </w:r>
      <w:r>
        <w:rPr>
          <w:rFonts w:hint="eastAsia" w:ascii="宋体" w:hAnsi="宋体" w:cs="宋体"/>
          <w:b/>
          <w:bCs/>
          <w:color w:val="auto"/>
          <w:sz w:val="30"/>
          <w:szCs w:val="30"/>
          <w:highlight w:val="none"/>
          <w:lang w:val="en-US" w:eastAsia="zh-CN"/>
        </w:rPr>
        <w:t>2022</w:t>
      </w:r>
      <w:r>
        <w:rPr>
          <w:rFonts w:hint="eastAsia" w:ascii="宋体" w:hAnsi="宋体" w:eastAsia="宋体" w:cs="宋体"/>
          <w:b/>
          <w:bCs/>
          <w:color w:val="auto"/>
          <w:sz w:val="30"/>
          <w:szCs w:val="30"/>
          <w:highlight w:val="none"/>
        </w:rPr>
        <w:t>]    号</w:t>
      </w:r>
    </w:p>
    <w:p>
      <w:pPr>
        <w:spacing w:line="400" w:lineRule="atLeast"/>
        <w:ind w:firstLine="602" w:firstLineChars="200"/>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甲方： 广州市净水有限公司</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乙方</w:t>
      </w:r>
      <w:r>
        <w:rPr>
          <w:rFonts w:hint="eastAsia" w:ascii="宋体" w:hAnsi="宋体" w:eastAsia="宋体" w:cs="宋体"/>
          <w:color w:val="auto"/>
          <w:sz w:val="30"/>
          <w:szCs w:val="30"/>
          <w:highlight w:val="none"/>
        </w:rPr>
        <w:t>：</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签订日期：       年   月   日       </w:t>
      </w:r>
    </w:p>
    <w:p>
      <w:pPr>
        <w:spacing w:line="400" w:lineRule="atLeast"/>
        <w:rPr>
          <w:rFonts w:ascii="宋体" w:hAnsi="宋体" w:eastAsia="宋体" w:cs="宋体"/>
          <w:color w:val="auto"/>
          <w:sz w:val="24"/>
          <w:highlight w:val="none"/>
          <w:u w:val="single"/>
        </w:rPr>
      </w:pPr>
      <w:r>
        <w:rPr>
          <w:rFonts w:hint="eastAsia" w:ascii="宋体" w:hAnsi="宋体" w:eastAsia="宋体" w:cs="宋体"/>
          <w:b/>
          <w:color w:val="auto"/>
          <w:sz w:val="30"/>
          <w:highlight w:val="none"/>
        </w:rPr>
        <w:t>签约地点：广州市</w:t>
      </w:r>
    </w:p>
    <w:p>
      <w:pPr>
        <w:spacing w:beforeLines="30" w:line="384" w:lineRule="auto"/>
        <w:ind w:left="210" w:leftChars="100" w:firstLine="600" w:firstLineChars="250"/>
        <w:rPr>
          <w:rFonts w:hint="eastAsia" w:ascii="宋体" w:hAnsi="宋体" w:eastAsia="宋体" w:cs="宋体"/>
          <w:color w:val="auto"/>
          <w:sz w:val="24"/>
          <w:highlight w:val="none"/>
        </w:rPr>
      </w:pPr>
    </w:p>
    <w:p>
      <w:pPr>
        <w:pStyle w:val="23"/>
        <w:ind w:firstLine="0"/>
        <w:rPr>
          <w:rFonts w:hint="default" w:ascii="宋体" w:hAnsi="宋体" w:eastAsia="宋体" w:cs="宋体"/>
          <w:color w:val="auto"/>
          <w:sz w:val="24"/>
          <w:highlight w:val="none"/>
        </w:rPr>
      </w:pPr>
    </w:p>
    <w:p>
      <w:pPr>
        <w:spacing w:before="93" w:beforeLines="30" w:line="480" w:lineRule="exact"/>
        <w:ind w:firstLine="720" w:firstLineChars="300"/>
        <w:rPr>
          <w:rFonts w:ascii="宋体" w:hAnsi="宋体" w:cs="宋体"/>
          <w:color w:val="auto"/>
          <w:sz w:val="24"/>
          <w:highlight w:val="none"/>
        </w:rPr>
      </w:pP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（以下简称“乙方”）依照</w:t>
      </w:r>
      <w:r>
        <w:rPr>
          <w:rFonts w:hint="eastAsia" w:ascii="宋体" w:hAnsi="宋体" w:cs="宋体"/>
          <w:color w:val="auto"/>
          <w:sz w:val="24"/>
          <w:highlight w:val="none"/>
          <w:shd w:val="clear" w:color="auto" w:fill="FFFFFF"/>
        </w:rPr>
        <w:t>《中华人民共和国网络安全法》及相关</w:t>
      </w:r>
      <w:r>
        <w:rPr>
          <w:rFonts w:hint="eastAsia" w:ascii="宋体" w:hAnsi="宋体" w:cs="宋体"/>
          <w:color w:val="auto"/>
          <w:sz w:val="24"/>
          <w:highlight w:val="none"/>
        </w:rPr>
        <w:t>法律法规，就</w:t>
      </w:r>
      <w:r>
        <w:rPr>
          <w:rFonts w:hint="eastAsia" w:ascii="宋体" w:hAnsi="宋体" w:cs="宋体" w:eastAsiaTheme="minorEastAsia"/>
          <w:b w:val="0"/>
          <w:color w:val="auto"/>
          <w:sz w:val="24"/>
          <w:szCs w:val="22"/>
          <w:highlight w:val="none"/>
          <w:u w:val="none"/>
          <w:lang w:val="en-US" w:eastAsia="zh-CN"/>
        </w:rPr>
        <w:t>广州市净水有限公司2022年</w:t>
      </w:r>
      <w:r>
        <w:rPr>
          <w:rFonts w:hint="eastAsia" w:ascii="宋体" w:hAnsi="宋体" w:cs="宋体" w:eastAsiaTheme="minorEastAsia"/>
          <w:b w:val="0"/>
          <w:bCs w:val="0"/>
          <w:color w:val="auto"/>
          <w:sz w:val="24"/>
          <w:szCs w:val="22"/>
          <w:highlight w:val="none"/>
          <w:u w:val="none"/>
        </w:rPr>
        <w:t>龙归分公司视频传输网络优化及办公楼WIFI覆盖</w:t>
      </w:r>
      <w:r>
        <w:rPr>
          <w:rFonts w:hint="eastAsia" w:ascii="宋体" w:hAnsi="宋体" w:cs="宋体" w:eastAsiaTheme="minorEastAsia"/>
          <w:b w:val="0"/>
          <w:bCs w:val="0"/>
          <w:color w:val="auto"/>
          <w:sz w:val="24"/>
          <w:szCs w:val="22"/>
          <w:highlight w:val="none"/>
          <w:u w:val="none"/>
          <w:lang w:val="en-US" w:eastAsia="zh-CN"/>
        </w:rPr>
        <w:t>项目</w:t>
      </w:r>
      <w:r>
        <w:rPr>
          <w:rFonts w:hint="eastAsia" w:ascii="宋体" w:hAnsi="宋体" w:cs="宋体"/>
          <w:color w:val="auto"/>
          <w:sz w:val="24"/>
          <w:highlight w:val="none"/>
        </w:rPr>
        <w:t>遵循平等、自愿、公平和诚实信用的原则，经双方协商一致，特订立本合同。</w:t>
      </w:r>
    </w:p>
    <w:p>
      <w:pPr>
        <w:spacing w:before="93" w:beforeLines="30"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一、组成合同的文件及优先顺序</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480" w:lineRule="exact"/>
        <w:ind w:firstLine="482"/>
        <w:rPr>
          <w:rFonts w:asciiTheme="minorEastAsia" w:hAnsiTheme="minorEastAsia" w:eastAsiaTheme="minorEastAsia" w:cstheme="minorEastAsia"/>
          <w:bCs/>
          <w:color w:val="auto"/>
          <w:sz w:val="24"/>
          <w:highlight w:val="none"/>
        </w:rPr>
      </w:pPr>
      <w:r>
        <w:rPr>
          <w:rFonts w:hint="eastAsia" w:ascii="宋体" w:hAnsi="宋体" w:cs="宋体"/>
          <w:bCs/>
          <w:color w:val="auto"/>
          <w:sz w:val="24"/>
          <w:highlight w:val="none"/>
        </w:rPr>
        <w:t xml:space="preserve">⑶ </w:t>
      </w:r>
      <w:r>
        <w:rPr>
          <w:rFonts w:hint="eastAsia" w:asciiTheme="minorEastAsia" w:hAnsiTheme="minorEastAsia" w:eastAsiaTheme="minorEastAsia" w:cstheme="minorEastAsia"/>
          <w:bCs/>
          <w:color w:val="auto"/>
          <w:sz w:val="24"/>
          <w:highlight w:val="none"/>
        </w:rPr>
        <w:t>发包通知书；</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⑺ 技术需求书</w:t>
      </w:r>
    </w:p>
    <w:p>
      <w:pPr>
        <w:spacing w:line="48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（8） 本合同其他附件；</w:t>
      </w:r>
    </w:p>
    <w:p>
      <w:pPr>
        <w:spacing w:line="480" w:lineRule="exact"/>
        <w:rPr>
          <w:rFonts w:ascii="宋体" w:hAnsi="宋体" w:cs="宋体"/>
          <w:b/>
          <w:color w:val="auto"/>
          <w:sz w:val="24"/>
          <w:highlight w:val="none"/>
        </w:rPr>
      </w:pPr>
      <w:r>
        <w:rPr>
          <w:rFonts w:hint="eastAsia" w:ascii="宋体" w:hAnsi="宋体" w:cs="宋体"/>
          <w:color w:val="auto"/>
          <w:sz w:val="24"/>
          <w:highlight w:val="none"/>
        </w:rPr>
        <w:t>　　</w:t>
      </w:r>
      <w:r>
        <w:rPr>
          <w:rFonts w:hint="eastAsia" w:ascii="宋体" w:hAnsi="宋体" w:cs="宋体"/>
          <w:b/>
          <w:color w:val="auto"/>
          <w:sz w:val="24"/>
          <w:highlight w:val="none"/>
        </w:rPr>
        <w:t>二、服务内容及建设目标：</w:t>
      </w:r>
    </w:p>
    <w:p>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2.1服务内容：</w:t>
      </w:r>
      <w:r>
        <w:rPr>
          <w:rFonts w:hint="eastAsia" w:ascii="宋体" w:hAnsi="宋体" w:cs="宋体" w:eastAsiaTheme="minorEastAsia"/>
          <w:b w:val="0"/>
          <w:color w:val="auto"/>
          <w:sz w:val="24"/>
          <w:szCs w:val="22"/>
          <w:highlight w:val="none"/>
          <w:u w:val="none"/>
          <w:lang w:val="en-US" w:eastAsia="zh-CN"/>
        </w:rPr>
        <w:t>广州市净水有限公司2022年</w:t>
      </w:r>
      <w:r>
        <w:rPr>
          <w:rFonts w:hint="eastAsia" w:ascii="宋体" w:hAnsi="宋体" w:cs="宋体" w:eastAsiaTheme="minorEastAsia"/>
          <w:b w:val="0"/>
          <w:bCs w:val="0"/>
          <w:color w:val="auto"/>
          <w:sz w:val="24"/>
          <w:szCs w:val="22"/>
          <w:highlight w:val="none"/>
          <w:u w:val="none"/>
        </w:rPr>
        <w:t>龙归分公司视频传输网络优化及办公楼WIFI覆盖</w:t>
      </w:r>
      <w:r>
        <w:rPr>
          <w:rFonts w:hint="eastAsia" w:ascii="宋体" w:hAnsi="宋体" w:cs="宋体" w:eastAsiaTheme="minorEastAsia"/>
          <w:b w:val="0"/>
          <w:bCs w:val="0"/>
          <w:color w:val="auto"/>
          <w:sz w:val="24"/>
          <w:szCs w:val="22"/>
          <w:highlight w:val="none"/>
          <w:u w:val="none"/>
          <w:lang w:val="en-US" w:eastAsia="zh-CN"/>
        </w:rPr>
        <w:t>项目</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建设目标：1.现场勘查,根据项目内容与需求明确要求出具布点图，项目实施前提供系统技术方案。2.综合布线,针对所需无线覆盖区域做网线拉通处理。3.无线设备安装,针对定好的无线点位,安装AP无线设备及片区终端网络机柜。4.网络进行联调测试，实现龙归净水公司地下空间的WIFI全面覆盖。</w:t>
      </w:r>
    </w:p>
    <w:p>
      <w:pPr>
        <w:spacing w:line="48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三、建设周期及承包方式：</w:t>
      </w:r>
    </w:p>
    <w:p>
      <w:pPr>
        <w:spacing w:line="480" w:lineRule="exact"/>
        <w:rPr>
          <w:rFonts w:ascii="宋体" w:hAnsi="宋体" w:cs="宋体"/>
          <w:color w:val="auto"/>
          <w:sz w:val="24"/>
          <w:highlight w:val="none"/>
        </w:rPr>
      </w:pPr>
      <w:r>
        <w:rPr>
          <w:rFonts w:hint="eastAsia" w:ascii="宋体" w:hAnsi="宋体" w:cs="宋体"/>
          <w:color w:val="auto"/>
          <w:sz w:val="24"/>
          <w:highlight w:val="none"/>
        </w:rPr>
        <w:t>　　3.1建设周期：</w:t>
      </w:r>
      <w:r>
        <w:rPr>
          <w:rFonts w:hint="eastAsia" w:ascii="宋体" w:hAnsi="宋体" w:cs="宋体"/>
          <w:color w:val="auto"/>
          <w:sz w:val="24"/>
          <w:highlight w:val="none"/>
          <w:u w:val="single"/>
        </w:rPr>
        <w:t xml:space="preserve"> 30天。</w:t>
      </w:r>
    </w:p>
    <w:p>
      <w:pPr>
        <w:spacing w:line="480" w:lineRule="exact"/>
        <w:ind w:firstLine="480" w:firstLineChars="200"/>
        <w:outlineLvl w:val="0"/>
        <w:rPr>
          <w:rFonts w:ascii="宋体" w:hAnsi="宋体" w:cs="宋体"/>
          <w:color w:val="auto"/>
          <w:sz w:val="24"/>
          <w:highlight w:val="none"/>
          <w:u w:val="single"/>
        </w:rPr>
      </w:pPr>
      <w:r>
        <w:rPr>
          <w:rFonts w:ascii="宋体" w:hAnsi="宋体" w:cs="宋体"/>
          <w:color w:val="auto"/>
          <w:sz w:val="24"/>
          <w:highlight w:val="none"/>
          <w:u w:val="single"/>
        </w:rPr>
        <w:t>3.2</w:t>
      </w:r>
      <w:r>
        <w:rPr>
          <w:rFonts w:hint="eastAsia" w:ascii="宋体" w:hAnsi="宋体" w:cs="宋体"/>
          <w:color w:val="auto"/>
          <w:sz w:val="24"/>
          <w:highlight w:val="none"/>
          <w:u w:val="single"/>
        </w:rPr>
        <w:t>进度要求：合同签订后</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天内设备到货，30天内完成施工。</w:t>
      </w:r>
    </w:p>
    <w:p>
      <w:pPr>
        <w:spacing w:line="48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3.3承包方式按以下（</w:t>
      </w:r>
      <w:r>
        <w:rPr>
          <w:rFonts w:hint="eastAsia" w:ascii="宋体" w:hAnsi="宋体" w:cs="宋体"/>
          <w:color w:val="auto"/>
          <w:sz w:val="24"/>
          <w:highlight w:val="none"/>
          <w:lang w:val="en-US" w:eastAsia="zh-CN"/>
        </w:rPr>
        <w:t>1</w:t>
      </w:r>
      <w:r>
        <w:rPr>
          <w:rFonts w:hint="eastAsia" w:ascii="宋体" w:hAnsi="宋体" w:cs="宋体"/>
          <w:color w:val="auto"/>
          <w:sz w:val="24"/>
          <w:highlight w:val="none"/>
          <w:u w:val="single"/>
        </w:rPr>
        <w:t>）</w:t>
      </w:r>
      <w:r>
        <w:rPr>
          <w:rFonts w:hint="eastAsia" w:ascii="宋体" w:hAnsi="宋体" w:cs="宋体"/>
          <w:color w:val="auto"/>
          <w:sz w:val="24"/>
          <w:highlight w:val="none"/>
        </w:rPr>
        <w:t>执行。</w:t>
      </w:r>
    </w:p>
    <w:p>
      <w:pPr>
        <w:spacing w:line="480" w:lineRule="exact"/>
        <w:ind w:firstLine="480" w:firstLineChars="200"/>
        <w:outlineLvl w:val="0"/>
        <w:rPr>
          <w:rFonts w:ascii="宋体" w:hAnsi="宋体" w:cs="宋体"/>
          <w:color w:val="auto"/>
          <w:sz w:val="24"/>
          <w:highlight w:val="none"/>
          <w:u w:val="single"/>
        </w:rPr>
      </w:pPr>
      <w:r>
        <w:rPr>
          <w:rFonts w:hint="eastAsia" w:ascii="宋体" w:hAnsi="宋体" w:cs="宋体"/>
          <w:color w:val="auto"/>
          <w:sz w:val="24"/>
          <w:highlight w:val="none"/>
        </w:rPr>
        <w:t>（1）按实际工作量结算，合同价包括且不限于：</w:t>
      </w:r>
      <w:r>
        <w:rPr>
          <w:rFonts w:hint="eastAsia" w:ascii="宋体" w:hAnsi="宋体" w:cs="宋体"/>
          <w:color w:val="auto"/>
          <w:sz w:val="24"/>
          <w:highlight w:val="none"/>
          <w:u w:val="single"/>
        </w:rPr>
        <w:t>系统建设、软件开发、安装实施、维修维护、培训、税费、售后服务、运维服务、人工费及因项目产生的一切可预见及不可预见的相关费用。</w:t>
      </w:r>
    </w:p>
    <w:p>
      <w:pPr>
        <w:spacing w:line="480" w:lineRule="exact"/>
        <w:ind w:firstLine="480" w:firstLineChars="200"/>
        <w:outlineLvl w:val="0"/>
        <w:rPr>
          <w:rFonts w:ascii="宋体" w:hAnsi="宋体" w:cs="宋体"/>
          <w:color w:val="auto"/>
          <w:sz w:val="24"/>
          <w:highlight w:val="none"/>
          <w:u w:val="single"/>
        </w:rPr>
      </w:pPr>
      <w:r>
        <w:rPr>
          <w:rFonts w:hint="eastAsia" w:ascii="宋体" w:hAnsi="宋体" w:cs="宋体"/>
          <w:color w:val="auto"/>
          <w:sz w:val="24"/>
          <w:highlight w:val="none"/>
        </w:rPr>
        <w:t>（2）本合同为总价包干形式，合同价包括但不限于：</w:t>
      </w:r>
      <w:r>
        <w:rPr>
          <w:rFonts w:hint="eastAsia" w:ascii="宋体" w:hAnsi="宋体" w:cs="宋体"/>
          <w:color w:val="auto"/>
          <w:sz w:val="24"/>
          <w:highlight w:val="none"/>
          <w:u w:val="single"/>
        </w:rPr>
        <w:t>系统建设、软件开发、安装实施、维修维护、培训、税费、售后服务、运维服务、人工费及因项目产生的一切可预见及不可预见的相关费用。</w:t>
      </w:r>
    </w:p>
    <w:p>
      <w:pPr>
        <w:spacing w:line="480" w:lineRule="exact"/>
        <w:ind w:firstLine="480" w:firstLineChars="200"/>
        <w:rPr>
          <w:rFonts w:ascii="宋体" w:hAnsi="宋体" w:cs="宋体"/>
          <w:color w:val="auto"/>
          <w:sz w:val="24"/>
          <w:highlight w:val="none"/>
        </w:rPr>
      </w:pPr>
    </w:p>
    <w:p>
      <w:pPr>
        <w:spacing w:line="48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四、合同价款</w:t>
      </w:r>
    </w:p>
    <w:p>
      <w:pPr>
        <w:spacing w:line="480" w:lineRule="exact"/>
        <w:ind w:firstLine="480" w:firstLineChars="200"/>
        <w:rPr>
          <w:rFonts w:ascii="宋体" w:hAnsi="宋体" w:cs="宋体"/>
          <w:bCs/>
          <w:color w:val="auto"/>
          <w:sz w:val="24"/>
          <w:highlight w:val="none"/>
          <w:bdr w:val="single" w:color="auto" w:sz="4" w:space="0"/>
        </w:rPr>
      </w:pPr>
      <w:r>
        <w:rPr>
          <w:rFonts w:hint="eastAsia" w:ascii="宋体" w:hAnsi="宋体" w:cs="宋体"/>
          <w:color w:val="auto"/>
          <w:sz w:val="24"/>
          <w:highlight w:val="none"/>
        </w:rPr>
        <w:t>4.1合同价款按以下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执行。</w:t>
      </w:r>
    </w:p>
    <w:p>
      <w:pPr>
        <w:spacing w:line="48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 xml:space="preserve">人民币 </w:t>
      </w:r>
      <w:r>
        <w:rPr>
          <w:rFonts w:hint="eastAsia" w:ascii="宋体" w:hAnsi="宋体" w:cs="宋体"/>
          <w:color w:val="auto"/>
          <w:szCs w:val="21"/>
          <w:highlight w:val="none"/>
          <w:u w:val="single"/>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hint="eastAsia" w:ascii="宋体" w:hAnsi="宋体" w:cs="宋体"/>
          <w:b/>
          <w:color w:val="auto"/>
          <w:sz w:val="24"/>
          <w:highlight w:val="none"/>
          <w:u w:val="single"/>
        </w:rPr>
        <w:t xml:space="preserve">  </w:t>
      </w:r>
      <w:r>
        <w:rPr>
          <w:rFonts w:hint="eastAsia" w:ascii="宋体" w:hAnsi="宋体" w:cs="宋体"/>
          <w:color w:val="auto"/>
          <w:szCs w:val="21"/>
          <w:highlight w:val="none"/>
          <w:u w:val="single"/>
        </w:rPr>
        <w:t>/</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），按实结算。经甲方或甲方委托有资质第三方机构审核后，审核价作为合同结算价。若合同结算价超合同暂定总价，双方另行签订补充协议。</w:t>
      </w:r>
    </w:p>
    <w:p>
      <w:pPr>
        <w:spacing w:line="48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    元</w:t>
      </w:r>
      <w:r>
        <w:rPr>
          <w:rFonts w:hint="eastAsia" w:ascii="宋体" w:hAnsi="宋体" w:cs="宋体"/>
          <w:color w:val="auto"/>
          <w:sz w:val="24"/>
          <w:highlight w:val="none"/>
        </w:rPr>
        <w:t>（大写:</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此费用在项目实施期间费用均不得调整。</w:t>
      </w:r>
    </w:p>
    <w:p>
      <w:pPr>
        <w:tabs>
          <w:tab w:val="left" w:pos="851"/>
        </w:tabs>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本合同约定的价格已含税价价格</w:t>
      </w:r>
      <w:r>
        <w:rPr>
          <w:rFonts w:hint="eastAsia" w:ascii="宋体" w:hAnsi="宋体" w:cs="宋体"/>
          <w:color w:val="auto"/>
          <w:sz w:val="24"/>
          <w:highlight w:val="none"/>
        </w:rPr>
        <w:t>（税率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pStyle w:val="29"/>
        <w:spacing w:line="480" w:lineRule="exact"/>
        <w:ind w:firstLine="480" w:firstLineChars="200"/>
        <w:rPr>
          <w:rFonts w:hAnsi="宋体" w:eastAsia="宋体"/>
          <w:color w:val="auto"/>
          <w:highlight w:val="none"/>
        </w:rPr>
      </w:pPr>
      <w:r>
        <w:rPr>
          <w:rFonts w:hint="eastAsia" w:hAnsi="宋体" w:eastAsia="宋体"/>
          <w:color w:val="auto"/>
          <w:highlight w:val="none"/>
        </w:rPr>
        <w:t>4.3因非</w:t>
      </w:r>
      <w:r>
        <w:rPr>
          <w:rFonts w:hint="eastAsia" w:hAnsi="宋体" w:eastAsia="宋体"/>
          <w:color w:val="auto"/>
          <w:highlight w:val="none"/>
          <w:lang w:val="en-US" w:eastAsia="zh-CN"/>
        </w:rPr>
        <w:t>乙</w:t>
      </w:r>
      <w:r>
        <w:rPr>
          <w:rFonts w:hint="eastAsia" w:hAnsi="宋体" w:eastAsia="宋体"/>
          <w:color w:val="auto"/>
          <w:highlight w:val="none"/>
        </w:rPr>
        <w:t>方原因引起工程量报价清单中工程量发生增减，且单个子目工程量变化幅度在</w:t>
      </w:r>
      <w:r>
        <w:rPr>
          <w:rFonts w:hint="eastAsia" w:hAnsi="宋体" w:eastAsia="宋体"/>
          <w:color w:val="auto"/>
          <w:highlight w:val="none"/>
          <w:lang w:val="en-US" w:eastAsia="zh-CN"/>
        </w:rPr>
        <w:t>2</w:t>
      </w:r>
      <w:r>
        <w:rPr>
          <w:rFonts w:hint="eastAsia" w:hAnsi="宋体" w:eastAsia="宋体"/>
          <w:color w:val="auto"/>
          <w:highlight w:val="none"/>
        </w:rPr>
        <w:t>5%以内（含）时，按工程量报价清单中列明的子目单价结算。否则，按新增单价执行。</w:t>
      </w:r>
    </w:p>
    <w:p>
      <w:pPr>
        <w:pStyle w:val="29"/>
        <w:spacing w:line="480" w:lineRule="exact"/>
        <w:ind w:firstLine="480" w:firstLineChars="200"/>
        <w:rPr>
          <w:rFonts w:hAnsi="宋体" w:eastAsia="宋体"/>
          <w:color w:val="auto"/>
          <w:highlight w:val="none"/>
        </w:rPr>
      </w:pPr>
      <w:r>
        <w:rPr>
          <w:rFonts w:hint="eastAsia" w:hAnsi="宋体" w:eastAsia="宋体"/>
          <w:color w:val="auto"/>
          <w:highlight w:val="none"/>
        </w:rPr>
        <w:t>4.4合同中没有适用于变更工程项目的单价的，按新增单价执行。</w:t>
      </w:r>
    </w:p>
    <w:p>
      <w:pPr>
        <w:pStyle w:val="29"/>
        <w:spacing w:line="480" w:lineRule="exact"/>
        <w:ind w:firstLine="480" w:firstLineChars="200"/>
        <w:rPr>
          <w:rFonts w:hAnsi="宋体" w:eastAsia="宋体"/>
          <w:color w:val="auto"/>
          <w:highlight w:val="none"/>
        </w:rPr>
      </w:pPr>
      <w:r>
        <w:rPr>
          <w:rFonts w:hint="eastAsia" w:hAnsi="宋体" w:eastAsia="宋体"/>
          <w:color w:val="auto"/>
          <w:highlight w:val="none"/>
        </w:rPr>
        <w:t>新增单价计价原则：</w:t>
      </w:r>
    </w:p>
    <w:p>
      <w:pPr>
        <w:pStyle w:val="29"/>
        <w:spacing w:line="480" w:lineRule="exact"/>
        <w:ind w:firstLine="480" w:firstLineChars="200"/>
        <w:rPr>
          <w:rFonts w:hAnsi="宋体" w:eastAsia="宋体"/>
          <w:color w:val="auto"/>
          <w:highlight w:val="none"/>
        </w:rPr>
      </w:pPr>
      <w:r>
        <w:rPr>
          <w:rFonts w:hint="eastAsia" w:hAnsi="宋体" w:eastAsia="宋体"/>
          <w:color w:val="auto"/>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29"/>
        <w:spacing w:line="480" w:lineRule="exact"/>
        <w:ind w:firstLine="480" w:firstLineChars="200"/>
        <w:rPr>
          <w:rFonts w:hAnsi="宋体" w:eastAsia="宋体"/>
          <w:color w:val="auto"/>
          <w:highlight w:val="none"/>
        </w:rPr>
      </w:pPr>
      <w:r>
        <w:rPr>
          <w:rFonts w:hint="eastAsia" w:hAnsi="宋体" w:eastAsia="宋体"/>
          <w:color w:val="auto"/>
          <w:highlight w:val="none"/>
        </w:rPr>
        <w:t>2.项目计价材料、设备价格的控制：按以下顺序作为降序优先级依次采用工程开工报告中开工日期当月的下列价格：</w:t>
      </w:r>
    </w:p>
    <w:p>
      <w:pPr>
        <w:pStyle w:val="29"/>
        <w:spacing w:line="480" w:lineRule="exact"/>
        <w:ind w:firstLine="480" w:firstLineChars="200"/>
        <w:rPr>
          <w:rFonts w:hAnsi="宋体" w:eastAsia="宋体"/>
          <w:color w:val="auto"/>
          <w:highlight w:val="none"/>
        </w:rPr>
      </w:pPr>
      <w:r>
        <w:rPr>
          <w:rFonts w:hint="eastAsia" w:hAnsi="宋体" w:eastAsia="宋体"/>
          <w:color w:val="auto"/>
          <w:highlight w:val="none"/>
        </w:rPr>
        <w:t>（1）《广州地区建设工程常用材料税前综合价格》（下称综合价格）。</w:t>
      </w:r>
    </w:p>
    <w:p>
      <w:pPr>
        <w:pStyle w:val="29"/>
        <w:spacing w:line="480" w:lineRule="exact"/>
        <w:ind w:firstLine="480" w:firstLineChars="200"/>
        <w:rPr>
          <w:rFonts w:hAnsi="宋体" w:eastAsia="宋体"/>
          <w:color w:val="auto"/>
          <w:highlight w:val="none"/>
        </w:rPr>
      </w:pPr>
      <w:r>
        <w:rPr>
          <w:rFonts w:hint="eastAsia" w:hAnsi="宋体" w:eastAsia="宋体"/>
          <w:color w:val="auto"/>
          <w:highlight w:val="none"/>
        </w:rPr>
        <w:t>（2）《广州地区建设工程材料（设备）厂商价格信息》（下称厂商价格）下浮10-20%。</w:t>
      </w:r>
    </w:p>
    <w:p>
      <w:pPr>
        <w:pStyle w:val="29"/>
        <w:spacing w:line="480" w:lineRule="exact"/>
        <w:ind w:firstLine="480" w:firstLineChars="200"/>
        <w:rPr>
          <w:rFonts w:hAnsi="宋体" w:eastAsia="宋体"/>
          <w:color w:val="auto"/>
          <w:highlight w:val="none"/>
        </w:rPr>
      </w:pPr>
      <w:r>
        <w:rPr>
          <w:rFonts w:hint="eastAsia" w:hAnsi="宋体" w:eastAsia="宋体"/>
          <w:color w:val="auto"/>
          <w:highlight w:val="none"/>
        </w:rPr>
        <w:t>（3）综合价格、厂商价格中缺项的，采用由北京瑞恒达建筑咨询有限公司提供服务的“慧讯网”中查到的相应材料、设备价格的工程价。</w:t>
      </w:r>
    </w:p>
    <w:p>
      <w:pPr>
        <w:pStyle w:val="29"/>
        <w:spacing w:line="480" w:lineRule="exact"/>
        <w:ind w:firstLine="480" w:firstLineChars="200"/>
        <w:rPr>
          <w:rFonts w:hAnsi="宋体" w:eastAsia="宋体"/>
          <w:color w:val="auto"/>
          <w:highlight w:val="none"/>
        </w:rPr>
      </w:pPr>
      <w:r>
        <w:rPr>
          <w:rFonts w:hint="eastAsia" w:hAnsi="宋体" w:eastAsia="宋体"/>
          <w:color w:val="auto"/>
          <w:highlight w:val="none"/>
        </w:rPr>
        <w:t>（4）通过市场询价双方协商确定。</w:t>
      </w:r>
    </w:p>
    <w:p>
      <w:pPr>
        <w:pStyle w:val="29"/>
        <w:spacing w:line="480" w:lineRule="exact"/>
        <w:ind w:firstLine="480" w:firstLineChars="200"/>
        <w:rPr>
          <w:rFonts w:hAnsi="宋体" w:eastAsia="宋体"/>
          <w:color w:val="auto"/>
          <w:highlight w:val="none"/>
        </w:rPr>
      </w:pPr>
      <w:r>
        <w:rPr>
          <w:rFonts w:hint="eastAsia" w:hAnsi="宋体" w:eastAsia="宋体"/>
          <w:color w:val="auto"/>
          <w:highlight w:val="none"/>
        </w:rPr>
        <w:t xml:space="preserve">  3.按1、2组价后下浮5%计取。</w:t>
      </w:r>
    </w:p>
    <w:p>
      <w:pPr>
        <w:spacing w:line="480" w:lineRule="exact"/>
        <w:ind w:firstLine="490" w:firstLineChars="200"/>
        <w:rPr>
          <w:rFonts w:ascii="宋体" w:hAnsi="宋体" w:cs="宋体"/>
          <w:b/>
          <w:color w:val="auto"/>
          <w:spacing w:val="2"/>
          <w:kern w:val="36"/>
          <w:position w:val="2"/>
          <w:sz w:val="24"/>
          <w:highlight w:val="none"/>
        </w:rPr>
      </w:pPr>
      <w:r>
        <w:rPr>
          <w:rFonts w:hint="eastAsia" w:ascii="宋体" w:hAnsi="宋体" w:cs="宋体"/>
          <w:b/>
          <w:color w:val="auto"/>
          <w:spacing w:val="2"/>
          <w:kern w:val="36"/>
          <w:position w:val="2"/>
          <w:sz w:val="24"/>
          <w:highlight w:val="none"/>
        </w:rPr>
        <w:t>五、支付方式及履约担保：</w:t>
      </w:r>
    </w:p>
    <w:p>
      <w:pPr>
        <w:spacing w:line="480" w:lineRule="exact"/>
        <w:ind w:firstLine="488" w:firstLineChars="200"/>
        <w:rPr>
          <w:rFonts w:ascii="宋体" w:hAnsi="宋体" w:cs="宋体"/>
          <w:color w:val="auto"/>
          <w:sz w:val="24"/>
          <w:highlight w:val="none"/>
        </w:rPr>
      </w:pPr>
      <w:r>
        <w:rPr>
          <w:rFonts w:hint="eastAsia" w:ascii="宋体" w:hAnsi="宋体" w:cs="宋体"/>
          <w:bCs/>
          <w:color w:val="auto"/>
          <w:spacing w:val="2"/>
          <w:kern w:val="36"/>
          <w:position w:val="2"/>
          <w:sz w:val="24"/>
          <w:highlight w:val="none"/>
        </w:rPr>
        <w:t>5.1</w:t>
      </w:r>
      <w:r>
        <w:rPr>
          <w:rFonts w:hint="eastAsia" w:ascii="宋体" w:hAnsi="宋体" w:cs="宋体"/>
          <w:bCs/>
          <w:color w:val="auto"/>
          <w:sz w:val="24"/>
          <w:highlight w:val="none"/>
        </w:rPr>
        <w:t>预付款的支付：</w:t>
      </w:r>
      <w:r>
        <w:rPr>
          <w:rFonts w:hint="eastAsia" w:ascii="宋体" w:hAnsi="宋体" w:cs="宋体"/>
          <w:bCs/>
          <w:color w:val="auto"/>
          <w:sz w:val="24"/>
          <w:highlight w:val="none"/>
        </w:rPr>
        <w:sym w:font="Wingdings" w:char="00A8"/>
      </w:r>
      <w:r>
        <w:rPr>
          <w:rFonts w:hint="eastAsia" w:ascii="宋体" w:hAnsi="宋体" w:cs="宋体"/>
          <w:bCs/>
          <w:color w:val="auto"/>
          <w:sz w:val="24"/>
          <w:highlight w:val="none"/>
        </w:rPr>
        <w:t xml:space="preserve">无；     </w:t>
      </w:r>
      <w:r>
        <w:rPr>
          <w:rFonts w:hint="eastAsia" w:ascii="宋体" w:hAnsi="宋体" w:cs="宋体"/>
          <w:bCs/>
          <w:color w:val="auto"/>
          <w:sz w:val="24"/>
          <w:highlight w:val="none"/>
        </w:rPr>
        <w:sym w:font="Wingdings" w:char="00FE"/>
      </w:r>
      <w:r>
        <w:rPr>
          <w:rFonts w:hint="eastAsia" w:ascii="宋体" w:hAnsi="宋体" w:cs="宋体"/>
          <w:bCs/>
          <w:color w:val="auto"/>
          <w:sz w:val="24"/>
          <w:highlight w:val="none"/>
        </w:rPr>
        <w:t>有，合同签订后乙方开具等额的增值税专用发票及提交履约担保（如有）后</w:t>
      </w:r>
      <w:r>
        <w:rPr>
          <w:rFonts w:hint="eastAsia" w:ascii="宋体" w:hAnsi="宋体" w:cs="宋体"/>
          <w:bCs/>
          <w:color w:val="auto"/>
          <w:sz w:val="24"/>
          <w:highlight w:val="none"/>
          <w:u w:val="single"/>
        </w:rPr>
        <w:t xml:space="preserve"> </w:t>
      </w:r>
      <w:r>
        <w:rPr>
          <w:rFonts w:hint="eastAsia" w:ascii="宋体" w:hAnsi="宋体" w:cs="宋体"/>
          <w:color w:val="auto"/>
          <w:szCs w:val="21"/>
          <w:highlight w:val="none"/>
          <w:u w:val="single"/>
        </w:rPr>
        <w:t>10</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 xml:space="preserve">  30%  </w:t>
      </w:r>
      <w:r>
        <w:rPr>
          <w:rFonts w:hint="eastAsia" w:ascii="宋体" w:hAnsi="宋体" w:cs="宋体"/>
          <w:color w:val="auto"/>
          <w:sz w:val="24"/>
          <w:highlight w:val="none"/>
        </w:rPr>
        <w:t>即</w:t>
      </w:r>
      <w:r>
        <w:rPr>
          <w:rFonts w:hint="eastAsia" w:ascii="宋体" w:hAnsi="宋体" w:cs="宋体"/>
          <w:color w:val="auto"/>
          <w:sz w:val="24"/>
          <w:highlight w:val="none"/>
          <w:u w:val="single"/>
        </w:rPr>
        <w:t xml:space="preserve">   </w:t>
      </w:r>
      <w:r>
        <w:rPr>
          <w:rFonts w:hint="eastAsia" w:ascii="宋体" w:hAnsi="宋体" w:cs="宋体"/>
          <w:color w:val="auto"/>
          <w:szCs w:val="21"/>
          <w:highlight w:val="none"/>
          <w:u w:val="single"/>
        </w:rPr>
        <w:t>/</w:t>
      </w:r>
      <w:r>
        <w:rPr>
          <w:rFonts w:hint="eastAsia" w:ascii="宋体" w:hAnsi="宋体" w:cs="宋体"/>
          <w:color w:val="auto"/>
          <w:sz w:val="24"/>
          <w:highlight w:val="none"/>
          <w:u w:val="single"/>
        </w:rPr>
        <w:t xml:space="preserve"> 元，（大写：</w:t>
      </w:r>
      <w:r>
        <w:rPr>
          <w:rFonts w:hint="eastAsia" w:ascii="宋体" w:hAnsi="宋体" w:cs="宋体"/>
          <w:color w:val="auto"/>
          <w:szCs w:val="21"/>
          <w:highlight w:val="none"/>
          <w:u w:val="single"/>
        </w:rPr>
        <w:t>/</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w:t>
      </w:r>
    </w:p>
    <w:p>
      <w:pPr>
        <w:spacing w:line="480" w:lineRule="exact"/>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5.2乙方完成</w:t>
      </w:r>
      <w:r>
        <w:rPr>
          <w:rFonts w:hint="eastAsia" w:ascii="宋体" w:hAnsi="宋体" w:cs="宋体"/>
          <w:color w:val="auto"/>
          <w:sz w:val="24"/>
          <w:highlight w:val="none"/>
          <w:u w:val="single"/>
        </w:rPr>
        <w:t xml:space="preserve"> 设备到货且经甲方验收合格，</w:t>
      </w:r>
      <w:r>
        <w:rPr>
          <w:rFonts w:hint="eastAsia" w:ascii="宋体" w:hAnsi="宋体" w:cs="宋体"/>
          <w:color w:val="auto"/>
          <w:sz w:val="24"/>
          <w:highlight w:val="none"/>
        </w:rPr>
        <w:t>由乙方</w:t>
      </w:r>
      <w:r>
        <w:rPr>
          <w:rFonts w:hint="eastAsia" w:ascii="宋体" w:hAnsi="宋体" w:cs="宋体"/>
          <w:color w:val="auto"/>
          <w:sz w:val="24"/>
          <w:highlight w:val="none"/>
          <w:u w:val="single"/>
        </w:rPr>
        <w:t xml:space="preserve">提交申请支付资料 20 </w:t>
      </w:r>
      <w:r>
        <w:rPr>
          <w:rFonts w:hint="eastAsia" w:ascii="宋体" w:hAnsi="宋体" w:cs="宋体"/>
          <w:color w:val="auto"/>
          <w:sz w:val="24"/>
          <w:highlight w:val="none"/>
        </w:rPr>
        <w:t>个工作日内，甲方支付至合同暂定总价的</w:t>
      </w:r>
      <w:r>
        <w:rPr>
          <w:rFonts w:hint="eastAsia" w:ascii="宋体" w:hAnsi="宋体" w:cs="宋体"/>
          <w:color w:val="auto"/>
          <w:sz w:val="24"/>
          <w:highlight w:val="none"/>
          <w:u w:val="single"/>
        </w:rPr>
        <w:t xml:space="preserve"> 60%即    元，（大写：       ）。</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 5.3乙</w:t>
      </w:r>
      <w:r>
        <w:rPr>
          <w:rFonts w:hint="eastAsia" w:ascii="宋体" w:hAnsi="宋体" w:cs="宋体"/>
          <w:color w:val="auto"/>
          <w:kern w:val="0"/>
          <w:sz w:val="24"/>
          <w:highlight w:val="none"/>
        </w:rPr>
        <w:t>方完成系统建设且</w:t>
      </w:r>
      <w:r>
        <w:rPr>
          <w:rFonts w:hint="eastAsia" w:ascii="宋体" w:hAnsi="宋体" w:cs="宋体"/>
          <w:color w:val="auto"/>
          <w:sz w:val="24"/>
          <w:highlight w:val="none"/>
          <w:u w:val="single"/>
        </w:rPr>
        <w:t>经甲方</w:t>
      </w:r>
      <w:r>
        <w:rPr>
          <w:rFonts w:hint="eastAsia" w:ascii="宋体" w:hAnsi="宋体" w:cs="宋体"/>
          <w:color w:val="auto"/>
          <w:kern w:val="0"/>
          <w:sz w:val="24"/>
          <w:highlight w:val="none"/>
        </w:rPr>
        <w:t xml:space="preserve">验收合格后 </w:t>
      </w:r>
      <w:r>
        <w:rPr>
          <w:rFonts w:hint="eastAsia" w:ascii="宋体" w:hAnsi="宋体" w:cs="宋体"/>
          <w:color w:val="auto"/>
          <w:kern w:val="0"/>
          <w:sz w:val="24"/>
          <w:highlight w:val="none"/>
          <w:u w:val="single"/>
        </w:rPr>
        <w:t>15</w:t>
      </w:r>
      <w:r>
        <w:rPr>
          <w:rFonts w:hint="eastAsia" w:ascii="宋体" w:hAnsi="宋体" w:cs="宋体"/>
          <w:color w:val="auto"/>
          <w:kern w:val="0"/>
          <w:sz w:val="24"/>
          <w:highlight w:val="none"/>
        </w:rPr>
        <w:t>日内，</w:t>
      </w:r>
      <w:r>
        <w:rPr>
          <w:rFonts w:hint="eastAsia" w:ascii="宋体" w:hAnsi="宋体" w:cs="宋体"/>
          <w:color w:val="auto"/>
          <w:sz w:val="24"/>
          <w:highlight w:val="none"/>
        </w:rPr>
        <w:t>由乙方</w:t>
      </w:r>
      <w:r>
        <w:rPr>
          <w:rFonts w:hint="eastAsia" w:ascii="宋体" w:hAnsi="宋体" w:cs="宋体"/>
          <w:color w:val="auto"/>
          <w:sz w:val="24"/>
          <w:highlight w:val="none"/>
          <w:u w:val="single"/>
        </w:rPr>
        <w:t xml:space="preserve">提交申请支付资料 20 </w:t>
      </w:r>
      <w:r>
        <w:rPr>
          <w:rFonts w:hint="eastAsia" w:ascii="宋体" w:hAnsi="宋体" w:cs="宋体"/>
          <w:color w:val="auto"/>
          <w:sz w:val="24"/>
          <w:highlight w:val="none"/>
        </w:rPr>
        <w:t>个工作日内，甲方支付至合同暂定总价的</w:t>
      </w:r>
      <w:r>
        <w:rPr>
          <w:rFonts w:hint="eastAsia" w:ascii="宋体" w:hAnsi="宋体" w:cs="宋体"/>
          <w:color w:val="auto"/>
          <w:sz w:val="24"/>
          <w:highlight w:val="none"/>
          <w:u w:val="single"/>
        </w:rPr>
        <w:t xml:space="preserve"> 80%即       元，（大写：       ）。</w:t>
      </w:r>
      <w:r>
        <w:rPr>
          <w:rFonts w:hint="eastAsia" w:ascii="宋体" w:hAnsi="宋体" w:cs="宋体"/>
          <w:color w:val="auto"/>
          <w:kern w:val="0"/>
          <w:sz w:val="24"/>
          <w:highlight w:val="none"/>
        </w:rPr>
        <w:t>乙方提交工作总结报告，</w:t>
      </w:r>
      <w:r>
        <w:rPr>
          <w:rFonts w:hint="eastAsia" w:ascii="宋体" w:hAnsi="宋体" w:cs="宋体"/>
          <w:color w:val="auto"/>
          <w:sz w:val="24"/>
          <w:highlight w:val="none"/>
        </w:rPr>
        <w:t>经</w:t>
      </w:r>
      <w:r>
        <w:rPr>
          <w:rFonts w:hint="eastAsia" w:ascii="宋体" w:hAnsi="宋体" w:cs="宋体"/>
          <w:color w:val="auto"/>
          <w:sz w:val="24"/>
          <w:highlight w:val="none"/>
          <w:u w:val="single"/>
        </w:rPr>
        <w:t>甲方或甲方委托有资质第三方机构结算审核</w:t>
      </w:r>
      <w:r>
        <w:rPr>
          <w:rFonts w:hint="eastAsia" w:ascii="宋体" w:hAnsi="宋体" w:cs="宋体"/>
          <w:color w:val="auto"/>
          <w:sz w:val="24"/>
          <w:highlight w:val="none"/>
        </w:rPr>
        <w:t>后，由乙方提交申请支付资料</w:t>
      </w:r>
      <w:r>
        <w:rPr>
          <w:rFonts w:hint="eastAsia" w:ascii="宋体" w:hAnsi="宋体" w:cs="宋体"/>
          <w:color w:val="auto"/>
          <w:sz w:val="24"/>
          <w:highlight w:val="none"/>
          <w:u w:val="single"/>
        </w:rPr>
        <w:t xml:space="preserve"> 15</w:t>
      </w:r>
      <w:r>
        <w:rPr>
          <w:rFonts w:hint="eastAsia" w:ascii="宋体" w:hAnsi="宋体" w:cs="宋体"/>
          <w:color w:val="auto"/>
          <w:sz w:val="24"/>
          <w:highlight w:val="none"/>
        </w:rPr>
        <w:t>个工作日内，甲方支付至合同结算价的</w:t>
      </w:r>
      <w:r>
        <w:rPr>
          <w:rFonts w:hint="eastAsia" w:ascii="宋体" w:hAnsi="宋体" w:cs="宋体"/>
          <w:color w:val="auto"/>
          <w:sz w:val="24"/>
          <w:highlight w:val="none"/>
          <w:u w:val="single"/>
        </w:rPr>
        <w:t>95%。</w:t>
      </w:r>
    </w:p>
    <w:p>
      <w:pPr>
        <w:spacing w:line="480" w:lineRule="exact"/>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5.4 按合同约定完成</w:t>
      </w:r>
      <w:r>
        <w:rPr>
          <w:rFonts w:hint="eastAsia" w:ascii="宋体" w:hAnsi="宋体" w:cs="宋体"/>
          <w:color w:val="auto"/>
          <w:sz w:val="24"/>
          <w:highlight w:val="none"/>
          <w:u w:val="single"/>
        </w:rPr>
        <w:t>质量保修期</w:t>
      </w:r>
      <w:r>
        <w:rPr>
          <w:rFonts w:hint="eastAsia" w:ascii="宋体" w:hAnsi="宋体" w:cs="宋体"/>
          <w:color w:val="auto"/>
          <w:sz w:val="24"/>
          <w:highlight w:val="none"/>
        </w:rPr>
        <w:t>满后且乙方不存在违约情形，由乙方提交申请支付资料</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个工作日内，甲方支付合同结算价的5％给乙方（无息）。</w:t>
      </w:r>
    </w:p>
    <w:p>
      <w:pPr>
        <w:spacing w:line="480" w:lineRule="exact"/>
        <w:ind w:firstLine="560"/>
        <w:rPr>
          <w:rFonts w:ascii="宋体" w:hAnsi="宋体" w:cs="宋体"/>
          <w:color w:val="auto"/>
          <w:sz w:val="24"/>
          <w:highlight w:val="none"/>
        </w:rPr>
      </w:pPr>
      <w:r>
        <w:rPr>
          <w:rFonts w:hint="eastAsia" w:ascii="宋体" w:hAnsi="宋体" w:cs="宋体"/>
          <w:color w:val="auto"/>
          <w:sz w:val="24"/>
          <w:highlight w:val="none"/>
        </w:rPr>
        <w:t>5.5如乙方应向甲方支付违约金、赔偿款或者其他款项，应当在接到甲方通知后</w:t>
      </w:r>
      <w:r>
        <w:rPr>
          <w:rFonts w:hint="eastAsia" w:ascii="宋体" w:hAnsi="宋体" w:cs="宋体"/>
          <w:color w:val="auto"/>
          <w:sz w:val="24"/>
          <w:highlight w:val="none"/>
          <w:u w:val="single"/>
        </w:rPr>
        <w:t>30</w:t>
      </w:r>
      <w:r>
        <w:rPr>
          <w:rFonts w:hint="eastAsia" w:ascii="宋体" w:hAnsi="宋体" w:cs="宋体"/>
          <w:color w:val="auto"/>
          <w:sz w:val="24"/>
          <w:highlight w:val="none"/>
        </w:rPr>
        <w:t>日内付清，甲方有权直接从应付款项中抵扣。</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5.6乙方收款账户：</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spacing w:line="480" w:lineRule="exact"/>
        <w:ind w:firstLine="840" w:firstLineChars="35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spacing w:line="480" w:lineRule="exact"/>
        <w:ind w:firstLine="840" w:firstLineChars="35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5.7乙方在收款前需提交等额增值税专用发票给甲方。增值税专用发票信息： </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hint="eastAsia" w:ascii="宋体" w:hAnsi="宋体" w:cs="宋体"/>
          <w:color w:val="auto"/>
          <w:sz w:val="24"/>
          <w:highlight w:val="none"/>
          <w:u w:val="single"/>
        </w:rPr>
        <w:t>91440101755584729Q</w:t>
      </w:r>
    </w:p>
    <w:p>
      <w:pPr>
        <w:spacing w:line="384" w:lineRule="auto"/>
        <w:ind w:firstLine="960" w:firstLineChars="4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广州市天河区临江大道501号</w:t>
      </w:r>
    </w:p>
    <w:p>
      <w:pPr>
        <w:spacing w:line="384" w:lineRule="auto"/>
        <w:ind w:firstLine="960" w:firstLineChars="400"/>
        <w:outlineLvl w:val="0"/>
        <w:rPr>
          <w:rFonts w:ascii="宋体" w:hAnsi="宋体" w:cs="宋体"/>
          <w:color w:val="auto"/>
          <w:sz w:val="24"/>
          <w:highlight w:val="none"/>
        </w:rPr>
      </w:pPr>
      <w:r>
        <w:rPr>
          <w:rFonts w:hint="eastAsia" w:ascii="宋体" w:hAnsi="宋体" w:cs="宋体"/>
          <w:color w:val="auto"/>
          <w:sz w:val="24"/>
          <w:highlight w:val="none"/>
          <w:u w:val="single"/>
        </w:rPr>
        <w:t>联系电话：020-38890283</w:t>
      </w:r>
    </w:p>
    <w:p>
      <w:pPr>
        <w:spacing w:line="48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5.8履约担保：</w:t>
      </w:r>
      <w:r>
        <w:rPr>
          <w:rFonts w:hint="eastAsia" w:ascii="宋体" w:hAnsi="宋体" w:cs="宋体"/>
          <w:color w:val="auto"/>
          <w:sz w:val="24"/>
          <w:highlight w:val="none"/>
        </w:rPr>
        <w:sym w:font="Wingdings 2" w:char="00A3"/>
      </w:r>
      <w:r>
        <w:rPr>
          <w:rFonts w:hint="eastAsia" w:ascii="宋体" w:hAnsi="宋体" w:cs="宋体"/>
          <w:bCs/>
          <w:color w:val="auto"/>
          <w:sz w:val="24"/>
          <w:highlight w:val="none"/>
        </w:rPr>
        <w:t xml:space="preserve">无；     </w:t>
      </w:r>
      <w:r>
        <w:rPr>
          <w:rFonts w:hint="eastAsia" w:ascii="宋体" w:hAnsi="宋体" w:cs="宋体"/>
          <w:color w:val="auto"/>
          <w:sz w:val="24"/>
          <w:highlight w:val="none"/>
        </w:rPr>
        <w:sym w:font="Wingdings 2" w:char="0052"/>
      </w:r>
      <w:r>
        <w:rPr>
          <w:rFonts w:hint="eastAsia" w:ascii="宋体" w:hAnsi="宋体" w:cs="宋体"/>
          <w:color w:val="auto"/>
          <w:sz w:val="24"/>
          <w:highlight w:val="none"/>
        </w:rPr>
        <w:t>有，乙方于本合同签订后</w:t>
      </w:r>
      <w:r>
        <w:rPr>
          <w:rFonts w:hint="eastAsia" w:ascii="宋体" w:hAnsi="宋体" w:cs="宋体"/>
          <w:color w:val="auto"/>
          <w:sz w:val="24"/>
          <w:highlight w:val="none"/>
          <w:u w:val="singl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按照合同暂定总价的10%提交履约保证金，</w:t>
      </w:r>
      <w:r>
        <w:rPr>
          <w:rFonts w:hint="eastAsia" w:ascii="宋体" w:hAnsi="宋体" w:cs="宋体"/>
          <w:color w:val="auto"/>
          <w:sz w:val="24"/>
          <w:highlight w:val="none"/>
        </w:rPr>
        <w:t>金额：</w:t>
      </w:r>
      <w:r>
        <w:rPr>
          <w:rFonts w:hint="eastAsia" w:ascii="宋体" w:hAnsi="宋体" w:cs="宋体"/>
          <w:color w:val="auto"/>
          <w:sz w:val="24"/>
          <w:highlight w:val="none"/>
          <w:u w:val="single"/>
        </w:rPr>
        <w:t xml:space="preserve"> </w:t>
      </w:r>
      <w:r>
        <w:rPr>
          <w:rFonts w:hint="eastAsia" w:ascii="宋体" w:hAnsi="宋体" w:cs="宋体"/>
          <w:color w:val="auto"/>
          <w:szCs w:val="21"/>
          <w:highlight w:val="none"/>
          <w:u w:val="single"/>
        </w:rPr>
        <w:t>/</w:t>
      </w:r>
      <w:r>
        <w:rPr>
          <w:rFonts w:hint="eastAsia" w:ascii="宋体" w:hAnsi="宋体" w:cs="宋体"/>
          <w:color w:val="auto"/>
          <w:sz w:val="24"/>
          <w:highlight w:val="none"/>
          <w:u w:val="single"/>
        </w:rPr>
        <w:t>（大写人民币：</w:t>
      </w:r>
      <w:r>
        <w:rPr>
          <w:rFonts w:hint="eastAsia" w:ascii="宋体" w:hAnsi="宋体" w:cs="宋体"/>
          <w:color w:val="auto"/>
          <w:szCs w:val="21"/>
          <w:highlight w:val="none"/>
          <w:u w:val="single"/>
        </w:rPr>
        <w:t>/</w:t>
      </w:r>
      <w:r>
        <w:rPr>
          <w:rFonts w:hint="eastAsia" w:ascii="宋体" w:hAnsi="宋体" w:cs="宋体"/>
          <w:color w:val="auto"/>
          <w:sz w:val="24"/>
          <w:highlight w:val="none"/>
          <w:u w:val="singl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合同暂定总价20%</w:t>
      </w:r>
      <w:r>
        <w:rPr>
          <w:rFonts w:hint="eastAsia" w:ascii="宋体" w:hAnsi="宋体" w:cs="宋体"/>
          <w:color w:val="auto"/>
          <w:sz w:val="24"/>
          <w:highlight w:val="none"/>
        </w:rPr>
        <w:t>作为违约金。</w:t>
      </w:r>
    </w:p>
    <w:p>
      <w:pPr>
        <w:pStyle w:val="22"/>
        <w:spacing w:before="156" w:beforeAutospacing="0" w:after="156" w:afterAutospacing="0" w:line="480" w:lineRule="exact"/>
        <w:ind w:firstLine="480" w:firstLineChars="200"/>
        <w:rPr>
          <w:rFonts w:cs="宋体"/>
          <w:color w:val="auto"/>
          <w:highlight w:val="none"/>
        </w:rPr>
      </w:pPr>
      <w:r>
        <w:rPr>
          <w:rFonts w:hint="eastAsia" w:cs="宋体"/>
          <w:color w:val="auto"/>
          <w:highlight w:val="none"/>
        </w:rPr>
        <w:t>5.8.1履约担保按以下任一种形式提供：</w:t>
      </w:r>
    </w:p>
    <w:p>
      <w:pPr>
        <w:pStyle w:val="22"/>
        <w:spacing w:before="156" w:beforeAutospacing="0" w:after="156" w:afterAutospacing="0" w:line="480" w:lineRule="exact"/>
        <w:ind w:firstLine="480"/>
        <w:rPr>
          <w:rFonts w:cs="宋体"/>
          <w:color w:val="auto"/>
          <w:highlight w:val="none"/>
        </w:rPr>
      </w:pPr>
      <w:r>
        <w:rPr>
          <w:rFonts w:hint="eastAsia" w:cs="宋体"/>
          <w:color w:val="auto"/>
          <w:highlight w:val="none"/>
        </w:rPr>
        <w:t>（1）符合甲方要求（详见附件8保函格式）的银行独立保函，</w:t>
      </w:r>
    </w:p>
    <w:p>
      <w:pPr>
        <w:pStyle w:val="22"/>
        <w:spacing w:before="156" w:beforeAutospacing="0" w:after="156" w:afterAutospacing="0" w:line="480" w:lineRule="exact"/>
        <w:ind w:firstLine="480"/>
        <w:rPr>
          <w:rFonts w:cs="宋体"/>
          <w:color w:val="auto"/>
          <w:highlight w:val="none"/>
        </w:rPr>
      </w:pPr>
      <w:r>
        <w:rPr>
          <w:rFonts w:hint="eastAsia" w:cs="宋体"/>
          <w:color w:val="auto"/>
          <w:highlight w:val="none"/>
        </w:rPr>
        <w:t>（2）现金转账至甲方以下指定账户：</w:t>
      </w:r>
    </w:p>
    <w:p>
      <w:pPr>
        <w:tabs>
          <w:tab w:val="left" w:pos="1995"/>
        </w:tabs>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账号：82010154900000342</w:t>
      </w:r>
    </w:p>
    <w:p>
      <w:pPr>
        <w:tabs>
          <w:tab w:val="left" w:pos="1995"/>
        </w:tabs>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48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5.8.2履约担保的担保期限和返还</w:t>
      </w:r>
    </w:p>
    <w:p>
      <w:pPr>
        <w:spacing w:line="480" w:lineRule="exact"/>
        <w:ind w:firstLine="480"/>
        <w:outlineLvl w:val="0"/>
        <w:rPr>
          <w:rFonts w:ascii="宋体" w:hAnsi="宋体" w:cs="宋体"/>
          <w:color w:val="auto"/>
          <w:sz w:val="24"/>
          <w:highlight w:val="none"/>
        </w:rPr>
      </w:pPr>
      <w:r>
        <w:rPr>
          <w:rFonts w:hint="eastAsia" w:ascii="宋体" w:hAnsi="宋体" w:cs="宋体"/>
          <w:color w:val="auto"/>
          <w:sz w:val="24"/>
          <w:highlight w:val="none"/>
        </w:rPr>
        <w:t xml:space="preserve"> ⑴ 履约银行保函（或现金履约保证金）的担保期限：从提供履约担保（或转账成功）之日起至合同履行完成。</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⑵ 履约银行保函在合同履行完成后，由乙方提出申请，甲方在28日内返还，不支付利息： </w:t>
      </w:r>
    </w:p>
    <w:p>
      <w:pPr>
        <w:spacing w:line="480" w:lineRule="exact"/>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 延长担保期限。乙方以履约银行保函形式提交履约保证金的，在银行保函到期前，乙方应提前</w:t>
      </w:r>
      <w:r>
        <w:rPr>
          <w:rFonts w:hint="eastAsia"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2"/>
        <w:spacing w:before="156" w:beforeAutospacing="0" w:after="156" w:afterAutospacing="0" w:line="480" w:lineRule="exact"/>
        <w:ind w:left="199" w:leftChars="95" w:firstLine="360" w:firstLineChars="150"/>
        <w:rPr>
          <w:rFonts w:cs="宋体"/>
          <w:color w:val="auto"/>
          <w:highlight w:val="none"/>
          <w:u w:val="single"/>
        </w:rPr>
      </w:pPr>
      <w:r>
        <w:rPr>
          <w:rFonts w:hint="eastAsia" w:cs="宋体"/>
          <w:color w:val="auto"/>
          <w:highlight w:val="none"/>
        </w:rPr>
        <w:t>（4）现金履约保证金的退还：合同履行完成后，由乙方提出申请，甲方在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5.8.3甲方按本合同规定提取履约担保金额后，乙方应在收到甲方通知后</w:t>
      </w:r>
    </w:p>
    <w:p>
      <w:pPr>
        <w:spacing w:line="480" w:lineRule="exact"/>
        <w:rPr>
          <w:rFonts w:ascii="宋体" w:hAnsi="宋体" w:cs="宋体"/>
          <w:color w:val="auto"/>
          <w:sz w:val="24"/>
          <w:highlight w:val="none"/>
        </w:rPr>
      </w:pPr>
      <w:r>
        <w:rPr>
          <w:rFonts w:hint="eastAsia" w:ascii="宋体" w:hAnsi="宋体" w:cs="宋体"/>
          <w:color w:val="auto"/>
          <w:sz w:val="24"/>
          <w:highlight w:val="none"/>
          <w:u w:val="single"/>
        </w:rPr>
        <w:t>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480" w:lineRule="exact"/>
        <w:ind w:firstLine="480" w:firstLineChars="200"/>
        <w:jc w:val="left"/>
        <w:outlineLvl w:val="1"/>
        <w:rPr>
          <w:rFonts w:ascii="宋体" w:hAnsi="宋体" w:cs="宋体"/>
          <w:color w:val="auto"/>
          <w:sz w:val="24"/>
          <w:highlight w:val="none"/>
          <w:u w:val="single"/>
        </w:rPr>
      </w:pPr>
      <w:r>
        <w:rPr>
          <w:rFonts w:hint="eastAsia" w:ascii="宋体" w:hAnsi="宋体" w:cs="宋体"/>
          <w:color w:val="auto"/>
          <w:sz w:val="24"/>
          <w:highlight w:val="none"/>
        </w:rPr>
        <w:t xml:space="preserve">5.9付款方式： </w:t>
      </w:r>
      <w:r>
        <w:rPr>
          <w:rFonts w:hint="eastAsia" w:ascii="宋体" w:hAnsi="宋体" w:cs="宋体"/>
          <w:color w:val="auto"/>
          <w:sz w:val="24"/>
          <w:highlight w:val="none"/>
        </w:rPr>
        <w:sym w:font="Wingdings" w:char="00FE"/>
      </w:r>
      <w:r>
        <w:rPr>
          <w:rFonts w:hint="eastAsia" w:ascii="宋体" w:hAnsi="宋体" w:cs="宋体"/>
          <w:color w:val="auto"/>
          <w:sz w:val="24"/>
          <w:highlight w:val="none"/>
        </w:rPr>
        <w:t xml:space="preserve">网银支付；  </w:t>
      </w:r>
      <w:r>
        <w:rPr>
          <w:rFonts w:hint="eastAsia" w:ascii="宋体" w:hAnsi="宋体" w:cs="宋体"/>
          <w:color w:val="auto"/>
          <w:sz w:val="24"/>
          <w:highlight w:val="none"/>
        </w:rPr>
        <w:sym w:font="Wingdings" w:char="00A8"/>
      </w:r>
      <w:r>
        <w:rPr>
          <w:rFonts w:hint="eastAsia" w:ascii="宋体" w:hAnsi="宋体" w:cs="宋体"/>
          <w:color w:val="auto"/>
          <w:sz w:val="24"/>
          <w:highlight w:val="none"/>
        </w:rPr>
        <w:t xml:space="preserve">支票；   </w:t>
      </w:r>
      <w:r>
        <w:rPr>
          <w:rFonts w:hint="eastAsia" w:ascii="宋体" w:hAnsi="宋体" w:cs="宋体"/>
          <w:color w:val="auto"/>
          <w:sz w:val="24"/>
          <w:highlight w:val="none"/>
        </w:rPr>
        <w:sym w:font="Wingdings" w:char="00A8"/>
      </w:r>
      <w:r>
        <w:rPr>
          <w:rFonts w:hint="eastAsia" w:ascii="宋体" w:hAnsi="宋体" w:cs="宋体"/>
          <w:color w:val="auto"/>
          <w:sz w:val="24"/>
          <w:highlight w:val="none"/>
        </w:rPr>
        <w:t>其他：</w:t>
      </w:r>
      <w:r>
        <w:rPr>
          <w:rFonts w:hint="eastAsia" w:ascii="宋体" w:hAnsi="宋体" w:cs="宋体"/>
          <w:color w:val="auto"/>
          <w:sz w:val="24"/>
          <w:highlight w:val="none"/>
          <w:u w:val="single"/>
        </w:rPr>
        <w:t xml:space="preserve"> … </w:t>
      </w:r>
    </w:p>
    <w:p>
      <w:pPr>
        <w:tabs>
          <w:tab w:val="left" w:pos="851"/>
        </w:tabs>
        <w:adjustRightInd w:val="0"/>
        <w:snapToGrid w:val="0"/>
        <w:spacing w:line="480" w:lineRule="exact"/>
        <w:ind w:firstLine="480" w:firstLineChars="200"/>
        <w:jc w:val="left"/>
        <w:outlineLvl w:val="1"/>
        <w:rPr>
          <w:rFonts w:ascii="宋体" w:hAnsi="宋体" w:cs="宋体"/>
          <w:color w:val="auto"/>
          <w:sz w:val="24"/>
          <w:highlight w:val="none"/>
        </w:rPr>
      </w:pPr>
      <w:r>
        <w:rPr>
          <w:rFonts w:hint="eastAsia" w:ascii="宋体" w:hAnsi="宋体" w:cs="宋体"/>
          <w:color w:val="auto"/>
          <w:sz w:val="24"/>
          <w:highlight w:val="none"/>
        </w:rPr>
        <w:t>（建议采用网银支付、支票两种形式中之一）</w:t>
      </w:r>
    </w:p>
    <w:p>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5.10结算价超过合同暂定总价时，暂停合同的工程款支付程序，签订补充协议后支付。</w:t>
      </w:r>
    </w:p>
    <w:p>
      <w:pPr>
        <w:spacing w:line="480" w:lineRule="exact"/>
        <w:ind w:firstLine="492"/>
        <w:rPr>
          <w:rFonts w:ascii="宋体" w:hAnsi="宋体" w:cs="宋体"/>
          <w:b/>
          <w:color w:val="auto"/>
          <w:sz w:val="24"/>
          <w:highlight w:val="none"/>
        </w:rPr>
      </w:pPr>
      <w:r>
        <w:rPr>
          <w:rFonts w:hint="eastAsia" w:ascii="宋体" w:hAnsi="宋体" w:cs="宋体"/>
          <w:b/>
          <w:color w:val="auto"/>
          <w:sz w:val="24"/>
          <w:highlight w:val="none"/>
        </w:rPr>
        <w:t>六、验收标准及双方责任：</w:t>
      </w:r>
    </w:p>
    <w:p>
      <w:pPr>
        <w:tabs>
          <w:tab w:val="left" w:pos="2670"/>
        </w:tabs>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乙方应在工程完工后30天内将经甲方审核的完整竣工资料（含竣工图）和竣工验收报告各一式四份交甲方，不按时报送工程竣工资料的，每逾期一天，甲方要求乙方支付合同暂定总价万分之五/天，并在支付合同款时抵扣。</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w:t>
      </w:r>
      <w:r>
        <w:rPr>
          <w:rFonts w:hint="eastAsia" w:ascii="宋体" w:hAnsi="宋体" w:cs="宋体"/>
          <w:color w:val="auto"/>
          <w:sz w:val="24"/>
          <w:highlight w:val="none"/>
        </w:rPr>
        <w:t>2甲方收到完整的竣工验收资料（完整的竣工验收资料：施工方案、开工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w:t>
      </w:r>
      <w:r>
        <w:rPr>
          <w:rFonts w:hint="eastAsia" w:ascii="宋体" w:hAnsi="宋体" w:cs="宋体"/>
          <w:color w:val="auto"/>
          <w:sz w:val="24"/>
          <w:highlight w:val="none"/>
        </w:rPr>
        <w:t>3工程竣工验收通过，乙方送交完整的竣工验收资料和竣工验收报告的日期为实际竣工日期。工程按甲方要求修改后通过竣工验收的，实际竣工日期为乙方修改后提请甲方验收的日期。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29"/>
        <w:ind w:firstLine="480" w:firstLineChars="200"/>
        <w:rPr>
          <w:color w:val="auto"/>
          <w:highlight w:val="none"/>
        </w:rPr>
      </w:pPr>
      <w:r>
        <w:rPr>
          <w:rFonts w:hint="eastAsia" w:hAnsi="宋体" w:eastAsia="宋体"/>
          <w:color w:val="auto"/>
          <w:highlight w:val="none"/>
        </w:rPr>
        <w:t>6.5本合同竣工验收结算单位为</w:t>
      </w:r>
      <w:r>
        <w:rPr>
          <w:rFonts w:hint="eastAsia" w:hAnsi="宋体" w:eastAsia="宋体"/>
          <w:color w:val="auto"/>
          <w:highlight w:val="none"/>
          <w:u w:val="single"/>
        </w:rPr>
        <w:t xml:space="preserve">：广州市净水有限公司龙归分公司    </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6.6项目验收合格后，乙方提供 </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 xml:space="preserve"> 年</w:t>
      </w:r>
      <w:r>
        <w:rPr>
          <w:rFonts w:hint="eastAsia" w:ascii="宋体" w:hAnsi="宋体" w:cs="宋体"/>
          <w:color w:val="auto"/>
          <w:sz w:val="24"/>
          <w:highlight w:val="none"/>
          <w:u w:val="single"/>
        </w:rPr>
        <w:t>售后服务、质量保修</w:t>
      </w:r>
      <w:r>
        <w:rPr>
          <w:rFonts w:hint="eastAsia" w:ascii="宋体" w:hAnsi="宋体" w:cs="宋体"/>
          <w:color w:val="auto"/>
          <w:sz w:val="24"/>
          <w:highlight w:val="none"/>
        </w:rPr>
        <w:t>，服务内容如下：</w:t>
      </w:r>
      <w:r>
        <w:rPr>
          <w:rFonts w:hint="eastAsia" w:ascii="宋体" w:hAnsi="宋体" w:cs="宋体"/>
          <w:color w:val="auto"/>
          <w:sz w:val="24"/>
          <w:highlight w:val="none"/>
          <w:u w:val="single"/>
        </w:rPr>
        <w:t>龙归净水公司无线网络建设项目如系统发现故障时，乙方在收到通知 48小时内提供维护，并排除故障。如现场无法解决的，应同步出具应急方案，并配合甲方启动应急方案，确保甲方信息系统正常运行。</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6.7项目系统软件升级：</w:t>
      </w:r>
      <w:r>
        <w:rPr>
          <w:rFonts w:hint="eastAsia" w:ascii="宋体" w:hAnsi="宋体" w:cs="宋体"/>
          <w:color w:val="auto"/>
          <w:sz w:val="24"/>
          <w:highlight w:val="none"/>
          <w:u w:val="single"/>
        </w:rPr>
        <w:t>乙方应无偿提供升级版本和相应的支持服务。系统软件升级后，乙方应提供软件的培训服务</w:t>
      </w:r>
      <w:r>
        <w:rPr>
          <w:rFonts w:hint="eastAsia" w:ascii="宋体" w:hAnsi="宋体" w:cs="宋体"/>
          <w:color w:val="auto"/>
          <w:sz w:val="24"/>
          <w:highlight w:val="none"/>
        </w:rPr>
        <w:t>。</w:t>
      </w:r>
    </w:p>
    <w:p>
      <w:pPr>
        <w:pStyle w:val="54"/>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6.8乙方不得传播公司内部网络、服务器、应用系统等有关的资料。</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6.9乙方履行合同时，应严格遵守国家法律法规和甲方相关的各项规章制度，服从甲方管理指挥。乙方不按规范作业或者乙方原因造成的</w:t>
      </w:r>
      <w:r>
        <w:rPr>
          <w:rFonts w:hint="eastAsia" w:ascii="宋体" w:hAnsi="宋体"/>
          <w:color w:val="auto"/>
          <w:sz w:val="24"/>
          <w:highlight w:val="none"/>
        </w:rPr>
        <w:t>财产损失、</w:t>
      </w:r>
      <w:r>
        <w:rPr>
          <w:rFonts w:hint="eastAsia" w:ascii="宋体" w:hAnsi="宋体" w:cs="宋体"/>
          <w:color w:val="auto"/>
          <w:sz w:val="24"/>
          <w:highlight w:val="none"/>
        </w:rPr>
        <w:t>人员伤亡，由乙方自行承担责任。</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6.10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6.11乙方严禁对甲方机房物理空间结构、计算机设备、消防设施、文档资料等进行拍照或摄像，严禁将涉密的各种资料或介质私自携带出去。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6.12乙方严禁擅自安装、拆卸、调整、挪动任何设备。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6.13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auto"/>
          <w:sz w:val="24"/>
          <w:highlight w:val="none"/>
          <w:u w:val="single"/>
        </w:rPr>
      </w:pPr>
      <w:r>
        <w:rPr>
          <w:rFonts w:hint="eastAsia" w:ascii="宋体" w:hAnsi="宋体" w:cs="宋体"/>
          <w:color w:val="auto"/>
          <w:sz w:val="24"/>
          <w:highlight w:val="none"/>
        </w:rPr>
        <w:t>6.14驻场服务：</w:t>
      </w:r>
      <w:r>
        <w:rPr>
          <w:rFonts w:hint="eastAsia" w:ascii="宋体" w:hAnsi="宋体" w:cs="宋体"/>
          <w:color w:val="auto"/>
          <w:sz w:val="24"/>
          <w:highlight w:val="none"/>
          <w:u w:val="single"/>
        </w:rPr>
        <w:t>乙方若需提供驻场服务时，驻场人员不得少于2名。</w:t>
      </w:r>
    </w:p>
    <w:p>
      <w:pPr>
        <w:adjustRightInd w:val="0"/>
        <w:spacing w:line="480" w:lineRule="exact"/>
        <w:ind w:firstLine="560"/>
        <w:textAlignment w:val="baseline"/>
        <w:rPr>
          <w:rFonts w:ascii="宋体" w:hAnsi="宋体" w:cs="宋体"/>
          <w:color w:val="auto"/>
          <w:sz w:val="24"/>
          <w:highlight w:val="none"/>
        </w:rPr>
      </w:pPr>
      <w:r>
        <w:rPr>
          <w:rFonts w:hint="eastAsia" w:ascii="宋体" w:hAnsi="宋体" w:cs="宋体"/>
          <w:color w:val="auto"/>
          <w:sz w:val="24"/>
          <w:highlight w:val="none"/>
        </w:rPr>
        <w:t>6.15乙方应及时做好软件、数据备份，防止数据丢失。</w:t>
      </w:r>
    </w:p>
    <w:p>
      <w:pPr>
        <w:adjustRightInd w:val="0"/>
        <w:spacing w:line="480" w:lineRule="exact"/>
        <w:ind w:firstLine="560"/>
        <w:textAlignment w:val="baseline"/>
        <w:rPr>
          <w:rFonts w:ascii="宋体" w:hAnsi="宋体" w:cs="宋体"/>
          <w:color w:val="auto"/>
          <w:sz w:val="24"/>
          <w:highlight w:val="none"/>
        </w:rPr>
      </w:pPr>
      <w:r>
        <w:rPr>
          <w:rFonts w:hint="eastAsia" w:ascii="宋体" w:hAnsi="宋体" w:cs="宋体"/>
          <w:color w:val="auto"/>
          <w:sz w:val="24"/>
          <w:highlight w:val="none"/>
        </w:rPr>
        <w:t>6.16乙方应按甲方要求提供专项培训。</w:t>
      </w:r>
    </w:p>
    <w:p>
      <w:pPr>
        <w:spacing w:line="480" w:lineRule="exact"/>
        <w:ind w:firstLine="241" w:firstLineChars="100"/>
        <w:rPr>
          <w:rFonts w:ascii="宋体" w:hAnsi="宋体" w:cs="宋体"/>
          <w:b/>
          <w:color w:val="auto"/>
          <w:kern w:val="0"/>
          <w:sz w:val="24"/>
          <w:highlight w:val="none"/>
        </w:rPr>
      </w:pPr>
      <w:r>
        <w:rPr>
          <w:rFonts w:hint="eastAsia" w:ascii="宋体" w:hAnsi="宋体" w:cs="宋体"/>
          <w:b/>
          <w:color w:val="auto"/>
          <w:kern w:val="0"/>
          <w:sz w:val="24"/>
          <w:highlight w:val="none"/>
        </w:rPr>
        <w:t>七、知识产权</w:t>
      </w:r>
    </w:p>
    <w:p>
      <w:pPr>
        <w:widowControl/>
        <w:spacing w:line="480" w:lineRule="exact"/>
        <w:ind w:firstLine="424" w:firstLineChars="177"/>
        <w:jc w:val="left"/>
        <w:rPr>
          <w:rFonts w:ascii="宋体" w:hAnsi="宋体" w:cs="宋体"/>
          <w:color w:val="auto"/>
          <w:kern w:val="0"/>
          <w:sz w:val="24"/>
          <w:highlight w:val="none"/>
        </w:rPr>
      </w:pPr>
      <w:r>
        <w:rPr>
          <w:rFonts w:hint="eastAsia" w:ascii="宋体" w:hAnsi="宋体" w:cs="宋体"/>
          <w:color w:val="auto"/>
          <w:kern w:val="0"/>
          <w:sz w:val="24"/>
          <w:highlight w:val="none"/>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auto"/>
          <w:kern w:val="0"/>
          <w:sz w:val="24"/>
          <w:highlight w:val="none"/>
        </w:rPr>
      </w:pPr>
      <w:r>
        <w:rPr>
          <w:rFonts w:hint="eastAsia" w:ascii="宋体" w:hAnsi="宋体" w:cs="宋体"/>
          <w:color w:val="auto"/>
          <w:kern w:val="0"/>
          <w:sz w:val="24"/>
          <w:highlight w:val="none"/>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auto"/>
          <w:kern w:val="0"/>
          <w:sz w:val="24"/>
          <w:highlight w:val="none"/>
        </w:rPr>
      </w:pPr>
      <w:r>
        <w:rPr>
          <w:rFonts w:hint="eastAsia" w:ascii="宋体" w:hAnsi="宋体" w:cs="宋体"/>
          <w:color w:val="auto"/>
          <w:kern w:val="0"/>
          <w:sz w:val="24"/>
          <w:highlight w:val="none"/>
        </w:rPr>
        <w:t>7.3未经甲方书面许可或授权，乙方不得使用甲方的商标、商号和标志（合称“标识”）。</w:t>
      </w:r>
    </w:p>
    <w:p>
      <w:pPr>
        <w:spacing w:line="480" w:lineRule="exact"/>
        <w:ind w:firstLine="424" w:firstLineChars="177"/>
        <w:rPr>
          <w:rFonts w:ascii="宋体" w:hAnsi="宋体" w:cs="宋体"/>
          <w:bCs/>
          <w:color w:val="auto"/>
          <w:kern w:val="0"/>
          <w:sz w:val="24"/>
          <w:highlight w:val="none"/>
        </w:rPr>
      </w:pPr>
      <w:r>
        <w:rPr>
          <w:rFonts w:hint="eastAsia" w:ascii="宋体" w:hAnsi="宋体" w:cs="宋体"/>
          <w:color w:val="auto"/>
          <w:kern w:val="0"/>
          <w:sz w:val="24"/>
          <w:highlight w:val="none"/>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auto"/>
          <w:sz w:val="24"/>
          <w:highlight w:val="none"/>
        </w:rPr>
      </w:pPr>
      <w:r>
        <w:rPr>
          <w:rFonts w:hint="eastAsia" w:ascii="宋体" w:hAnsi="宋体" w:cs="宋体"/>
          <w:b/>
          <w:color w:val="auto"/>
          <w:sz w:val="24"/>
          <w:highlight w:val="none"/>
        </w:rPr>
        <w:t>　　八、权利与义务 ：</w:t>
      </w:r>
    </w:p>
    <w:p>
      <w:pPr>
        <w:spacing w:line="480" w:lineRule="exact"/>
        <w:rPr>
          <w:rFonts w:ascii="宋体" w:hAnsi="宋体" w:cs="宋体"/>
          <w:color w:val="auto"/>
          <w:sz w:val="24"/>
          <w:highlight w:val="none"/>
        </w:rPr>
      </w:pPr>
      <w:r>
        <w:rPr>
          <w:rFonts w:hint="eastAsia" w:ascii="宋体" w:hAnsi="宋体" w:cs="宋体"/>
          <w:color w:val="auto"/>
          <w:sz w:val="24"/>
          <w:highlight w:val="none"/>
        </w:rPr>
        <w:t>　　除本合同其他条款约定的权利、义务外，双方约定如下：</w:t>
      </w:r>
    </w:p>
    <w:p>
      <w:pPr>
        <w:spacing w:line="480" w:lineRule="exact"/>
        <w:rPr>
          <w:rFonts w:ascii="宋体" w:hAnsi="宋体" w:cs="宋体"/>
          <w:b/>
          <w:color w:val="auto"/>
          <w:sz w:val="24"/>
          <w:highlight w:val="none"/>
        </w:rPr>
      </w:pPr>
      <w:r>
        <w:rPr>
          <w:rFonts w:hint="eastAsia" w:ascii="宋体" w:hAnsi="宋体" w:cs="宋体"/>
          <w:b/>
          <w:color w:val="auto"/>
          <w:sz w:val="24"/>
          <w:highlight w:val="none"/>
        </w:rPr>
        <w:t>　　8.1甲方的权利与义务：</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8.1.1有权督促乙方按期开展工作。</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8.1.2有权根据需要调整工作内容和工作计划。</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8.1.4如乙方团队人员不符合合同工作，甲方有权要求更换，乙方在收到更换通知的3日内完成人员更换。</w:t>
      </w:r>
    </w:p>
    <w:p>
      <w:pPr>
        <w:spacing w:line="480" w:lineRule="exact"/>
        <w:ind w:firstLine="555"/>
        <w:rPr>
          <w:rFonts w:ascii="宋体" w:hAnsi="宋体" w:cs="宋体"/>
          <w:color w:val="auto"/>
          <w:sz w:val="24"/>
          <w:highlight w:val="none"/>
        </w:rPr>
      </w:pPr>
      <w:r>
        <w:rPr>
          <w:rFonts w:hint="eastAsia" w:ascii="宋体" w:hAnsi="宋体" w:cs="宋体"/>
          <w:color w:val="auto"/>
          <w:sz w:val="24"/>
          <w:highlight w:val="none"/>
        </w:rPr>
        <w:t>8.1.5合同生效后，由于不可抗力或客观原因导致合同提前终止的，甲方按实际完成工作量支付相关费用，不承担任何责任。</w:t>
      </w:r>
    </w:p>
    <w:p>
      <w:pPr>
        <w:spacing w:line="480" w:lineRule="exact"/>
        <w:rPr>
          <w:rFonts w:ascii="宋体" w:hAnsi="宋体" w:cs="宋体"/>
          <w:bCs/>
          <w:color w:val="auto"/>
          <w:kern w:val="0"/>
          <w:sz w:val="24"/>
          <w:highlight w:val="none"/>
        </w:rPr>
      </w:pPr>
      <w:r>
        <w:rPr>
          <w:rFonts w:hint="eastAsia" w:ascii="宋体" w:hAnsi="宋体" w:cs="宋体"/>
          <w:color w:val="auto"/>
          <w:sz w:val="24"/>
          <w:highlight w:val="none"/>
        </w:rPr>
        <w:t>　　8.1.6</w:t>
      </w:r>
      <w:r>
        <w:rPr>
          <w:rFonts w:hint="eastAsia" w:ascii="宋体" w:hAnsi="宋体" w:cs="宋体"/>
          <w:bCs/>
          <w:color w:val="auto"/>
          <w:kern w:val="0"/>
          <w:sz w:val="24"/>
          <w:highlight w:val="none"/>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auto"/>
          <w:kern w:val="0"/>
          <w:sz w:val="24"/>
          <w:highlight w:val="none"/>
        </w:rPr>
      </w:pPr>
      <w:r>
        <w:rPr>
          <w:rFonts w:hint="eastAsia" w:ascii="宋体" w:hAnsi="宋体" w:cs="宋体"/>
          <w:bCs/>
          <w:color w:val="auto"/>
          <w:kern w:val="0"/>
          <w:sz w:val="24"/>
          <w:highlight w:val="none"/>
        </w:rPr>
        <w:t>8.1.7甲方向乙方提供本项目工作所必需的资料及文件等。</w:t>
      </w:r>
    </w:p>
    <w:p>
      <w:pPr>
        <w:spacing w:line="480" w:lineRule="exact"/>
        <w:rPr>
          <w:rFonts w:ascii="宋体" w:hAnsi="宋体" w:cs="宋体"/>
          <w:b/>
          <w:color w:val="auto"/>
          <w:sz w:val="24"/>
          <w:highlight w:val="none"/>
        </w:rPr>
      </w:pPr>
      <w:r>
        <w:rPr>
          <w:rFonts w:hint="eastAsia" w:ascii="宋体" w:hAnsi="宋体" w:cs="宋体"/>
          <w:b/>
          <w:color w:val="auto"/>
          <w:sz w:val="24"/>
          <w:highlight w:val="none"/>
        </w:rPr>
        <w:t>　　8.2乙方的权利与义务：</w:t>
      </w:r>
    </w:p>
    <w:p>
      <w:pPr>
        <w:spacing w:line="480" w:lineRule="exact"/>
        <w:rPr>
          <w:rFonts w:ascii="宋体" w:hAnsi="宋体" w:cs="宋体"/>
          <w:color w:val="auto"/>
          <w:sz w:val="24"/>
          <w:highlight w:val="none"/>
        </w:rPr>
      </w:pPr>
      <w:r>
        <w:rPr>
          <w:rFonts w:hint="eastAsia" w:ascii="宋体" w:hAnsi="宋体" w:cs="宋体"/>
          <w:color w:val="auto"/>
          <w:sz w:val="24"/>
          <w:highlight w:val="none"/>
        </w:rPr>
        <w:t>　　8.2.1 有权要求甲方提供项目所必需的前期资料。</w:t>
      </w:r>
    </w:p>
    <w:p>
      <w:pPr>
        <w:spacing w:line="480" w:lineRule="exact"/>
        <w:rPr>
          <w:rFonts w:ascii="宋体" w:hAnsi="宋体" w:cs="宋体"/>
          <w:color w:val="auto"/>
          <w:sz w:val="24"/>
          <w:highlight w:val="none"/>
        </w:rPr>
      </w:pPr>
      <w:r>
        <w:rPr>
          <w:rFonts w:hint="eastAsia" w:ascii="宋体" w:hAnsi="宋体" w:cs="宋体"/>
          <w:color w:val="auto"/>
          <w:sz w:val="24"/>
          <w:highlight w:val="none"/>
        </w:rPr>
        <w:t>　　8.2.2发现甲方提供的上述资料或工作条件不符合合同约定时，须在接到上述资料或开始工作的</w:t>
      </w:r>
      <w:r>
        <w:rPr>
          <w:rFonts w:hint="eastAsia" w:ascii="宋体" w:hAnsi="宋体" w:cs="宋体"/>
          <w:color w:val="auto"/>
          <w:sz w:val="24"/>
          <w:highlight w:val="none"/>
          <w:u w:val="single"/>
        </w:rPr>
        <w:t>　3　</w:t>
      </w:r>
      <w:r>
        <w:rPr>
          <w:rFonts w:hint="eastAsia" w:ascii="宋体" w:hAnsi="宋体" w:cs="宋体"/>
          <w:color w:val="auto"/>
          <w:sz w:val="24"/>
          <w:highlight w:val="none"/>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auto"/>
          <w:kern w:val="0"/>
          <w:sz w:val="24"/>
          <w:highlight w:val="none"/>
        </w:rPr>
      </w:pPr>
      <w:r>
        <w:rPr>
          <w:rFonts w:hint="eastAsia" w:ascii="宋体" w:hAnsi="宋体" w:cs="宋体"/>
          <w:color w:val="auto"/>
          <w:sz w:val="24"/>
          <w:highlight w:val="none"/>
        </w:rPr>
        <w:t>8.2.3</w:t>
      </w:r>
      <w:r>
        <w:rPr>
          <w:rFonts w:hint="eastAsia" w:ascii="宋体" w:hAnsi="宋体" w:cs="宋体"/>
          <w:bCs/>
          <w:color w:val="auto"/>
          <w:kern w:val="0"/>
          <w:sz w:val="24"/>
          <w:highlight w:val="none"/>
        </w:rPr>
        <w:t>乙方在合同签订后</w:t>
      </w:r>
      <w:r>
        <w:rPr>
          <w:rFonts w:hint="eastAsia" w:ascii="宋体" w:hAnsi="宋体" w:cs="宋体"/>
          <w:bCs/>
          <w:color w:val="auto"/>
          <w:kern w:val="0"/>
          <w:sz w:val="24"/>
          <w:highlight w:val="none"/>
          <w:u w:val="single"/>
        </w:rPr>
        <w:t>3日</w:t>
      </w:r>
      <w:r>
        <w:rPr>
          <w:rFonts w:hint="eastAsia" w:ascii="宋体" w:hAnsi="宋体" w:cs="宋体"/>
          <w:bCs/>
          <w:color w:val="auto"/>
          <w:kern w:val="0"/>
          <w:sz w:val="24"/>
          <w:highlight w:val="none"/>
        </w:rPr>
        <w:t>内书面向甲方提交项目计划书、组织人员架构表，负责合同实施期间的联络人员名单及联系方式。项目计划书</w:t>
      </w:r>
      <w:r>
        <w:rPr>
          <w:rFonts w:hint="eastAsia" w:ascii="宋体" w:hAnsi="宋体" w:cs="宋体"/>
          <w:bCs/>
          <w:color w:val="auto"/>
          <w:kern w:val="0"/>
          <w:sz w:val="24"/>
          <w:highlight w:val="none"/>
          <w:u w:val="single"/>
        </w:rPr>
        <w:t>（计划书需包含以下方案：开工报告、施工方案、安全生产事故应急预案、安全生产管理架构及相关责任人和安全员信息、风险点、危险源登记表、项目实施人员统计表）</w:t>
      </w:r>
      <w:r>
        <w:rPr>
          <w:rFonts w:hint="eastAsia" w:ascii="宋体" w:hAnsi="宋体" w:cs="宋体"/>
          <w:bCs/>
          <w:color w:val="auto"/>
          <w:kern w:val="0"/>
          <w:sz w:val="24"/>
          <w:highlight w:val="none"/>
        </w:rPr>
        <w:t>经甲方同意后实施。</w:t>
      </w:r>
    </w:p>
    <w:p>
      <w:pPr>
        <w:spacing w:line="480" w:lineRule="exact"/>
        <w:ind w:firstLine="480" w:firstLineChars="200"/>
        <w:rPr>
          <w:rFonts w:ascii="宋体" w:hAnsi="宋体" w:cs="宋体"/>
          <w:bCs/>
          <w:color w:val="auto"/>
          <w:kern w:val="0"/>
          <w:sz w:val="24"/>
          <w:highlight w:val="none"/>
        </w:rPr>
      </w:pPr>
      <w:r>
        <w:rPr>
          <w:rFonts w:hint="eastAsia" w:ascii="宋体" w:hAnsi="宋体" w:cs="宋体"/>
          <w:color w:val="auto"/>
          <w:sz w:val="24"/>
          <w:highlight w:val="none"/>
        </w:rPr>
        <w:t>8.2.4</w:t>
      </w:r>
      <w:r>
        <w:rPr>
          <w:rFonts w:hint="eastAsia" w:ascii="宋体" w:hAnsi="宋体" w:cs="宋体"/>
          <w:bCs/>
          <w:color w:val="auto"/>
          <w:kern w:val="0"/>
          <w:sz w:val="24"/>
          <w:highlight w:val="none"/>
        </w:rPr>
        <w:t>乙方应按甲方确认的项目计划书开展服务，按合同规定的进度要求提交质量合格的系统开发及服务，确保项目符合《技术要求》的要求。</w:t>
      </w:r>
    </w:p>
    <w:p>
      <w:pPr>
        <w:spacing w:line="480" w:lineRule="exact"/>
        <w:ind w:firstLine="480" w:firstLineChars="200"/>
        <w:rPr>
          <w:rFonts w:ascii="宋体" w:hAnsi="宋体" w:cs="宋体"/>
          <w:bCs/>
          <w:color w:val="auto"/>
          <w:kern w:val="0"/>
          <w:sz w:val="24"/>
          <w:highlight w:val="none"/>
        </w:rPr>
      </w:pPr>
      <w:r>
        <w:rPr>
          <w:rFonts w:hint="eastAsia" w:ascii="宋体" w:hAnsi="宋体" w:cs="宋体"/>
          <w:color w:val="auto"/>
          <w:sz w:val="24"/>
          <w:highlight w:val="none"/>
        </w:rPr>
        <w:t>82.5</w:t>
      </w:r>
      <w:r>
        <w:rPr>
          <w:rFonts w:hint="eastAsia" w:ascii="宋体" w:hAnsi="宋体" w:cs="宋体"/>
          <w:bCs/>
          <w:color w:val="auto"/>
          <w:kern w:val="0"/>
          <w:sz w:val="24"/>
          <w:highlight w:val="none"/>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auto"/>
          <w:kern w:val="0"/>
          <w:sz w:val="24"/>
          <w:highlight w:val="none"/>
          <w:u w:val="single"/>
        </w:rPr>
        <w:t>每人次扣合同暂定总价5%</w:t>
      </w:r>
      <w:r>
        <w:rPr>
          <w:rFonts w:hint="eastAsia" w:ascii="宋体" w:hAnsi="宋体" w:cs="宋体"/>
          <w:bCs/>
          <w:color w:val="auto"/>
          <w:kern w:val="0"/>
          <w:sz w:val="24"/>
          <w:highlight w:val="none"/>
        </w:rPr>
        <w:t>作为违约金。</w:t>
      </w:r>
    </w:p>
    <w:p>
      <w:pPr>
        <w:spacing w:line="480" w:lineRule="exact"/>
        <w:ind w:firstLine="480" w:firstLineChars="200"/>
        <w:rPr>
          <w:rFonts w:ascii="宋体" w:hAnsi="宋体" w:cs="宋体"/>
          <w:bCs/>
          <w:color w:val="auto"/>
          <w:kern w:val="0"/>
          <w:sz w:val="24"/>
          <w:highlight w:val="none"/>
        </w:rPr>
      </w:pPr>
      <w:r>
        <w:rPr>
          <w:rFonts w:hint="eastAsia" w:ascii="宋体" w:hAnsi="宋体" w:cs="宋体"/>
          <w:color w:val="auto"/>
          <w:sz w:val="24"/>
          <w:highlight w:val="none"/>
        </w:rPr>
        <w:t>8.2.6</w:t>
      </w:r>
      <w:r>
        <w:rPr>
          <w:rFonts w:hint="eastAsia" w:ascii="宋体" w:hAnsi="宋体" w:cs="宋体"/>
          <w:bCs/>
          <w:color w:val="auto"/>
          <w:kern w:val="0"/>
          <w:sz w:val="24"/>
          <w:highlight w:val="none"/>
        </w:rPr>
        <w:t xml:space="preserve">乙方为完成系统开发及服务事项而向甲方收取的重要证件、文件、资料时，应向甲方开具规范的收件清单，并妥善保管；项目验收合格后，乙方应在  15日内将上述证件、文件、资料退还甲方。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8.2.7</w:t>
      </w:r>
      <w:r>
        <w:rPr>
          <w:rFonts w:hint="eastAsia" w:ascii="宋体" w:hAnsi="宋体" w:cs="宋体"/>
          <w:bCs/>
          <w:color w:val="auto"/>
          <w:kern w:val="0"/>
          <w:sz w:val="24"/>
          <w:highlight w:val="none"/>
        </w:rPr>
        <w:t>乙方对项目中涉及的甲方商业秘密应予以保护，禁止向任何第三方公开，否则应向甲方承担相应赔偿责任。</w:t>
      </w:r>
    </w:p>
    <w:p>
      <w:pPr>
        <w:spacing w:line="480" w:lineRule="exact"/>
        <w:rPr>
          <w:rFonts w:ascii="宋体" w:hAnsi="宋体" w:cs="宋体"/>
          <w:b/>
          <w:color w:val="auto"/>
          <w:sz w:val="24"/>
          <w:highlight w:val="none"/>
        </w:rPr>
      </w:pPr>
      <w:r>
        <w:rPr>
          <w:rFonts w:hint="eastAsia" w:ascii="宋体" w:hAnsi="宋体" w:cs="宋体"/>
          <w:b/>
          <w:color w:val="auto"/>
          <w:sz w:val="24"/>
          <w:highlight w:val="none"/>
        </w:rPr>
        <w:t>　九、违约责任</w:t>
      </w:r>
    </w:p>
    <w:p>
      <w:pPr>
        <w:spacing w:line="480" w:lineRule="exact"/>
        <w:ind w:firstLine="560"/>
        <w:rPr>
          <w:rFonts w:ascii="宋体" w:hAnsi="宋体" w:cs="宋体"/>
          <w:bCs/>
          <w:color w:val="auto"/>
          <w:sz w:val="24"/>
          <w:highlight w:val="none"/>
        </w:rPr>
      </w:pPr>
      <w:r>
        <w:rPr>
          <w:rFonts w:hint="eastAsia" w:ascii="宋体" w:hAnsi="宋体" w:cs="宋体"/>
          <w:color w:val="auto"/>
          <w:sz w:val="24"/>
          <w:highlight w:val="none"/>
        </w:rPr>
        <w:t>9.1</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auto"/>
          <w:sz w:val="24"/>
          <w:highlight w:val="none"/>
          <w:u w:val="single"/>
        </w:rPr>
        <w:t>1万元</w:t>
      </w:r>
      <w:r>
        <w:rPr>
          <w:rFonts w:hint="eastAsia" w:ascii="宋体" w:hAnsi="宋体" w:cs="宋体"/>
          <w:bCs/>
          <w:color w:val="auto"/>
          <w:sz w:val="24"/>
          <w:highlight w:val="none"/>
        </w:rPr>
        <w:t>，超过</w:t>
      </w:r>
      <w:r>
        <w:rPr>
          <w:rFonts w:hint="eastAsia" w:ascii="宋体" w:hAnsi="宋体" w:cs="宋体"/>
          <w:bCs/>
          <w:color w:val="auto"/>
          <w:sz w:val="24"/>
          <w:highlight w:val="none"/>
          <w:u w:val="single"/>
        </w:rPr>
        <w:t>15</w:t>
      </w:r>
      <w:r>
        <w:rPr>
          <w:rFonts w:hint="eastAsia" w:ascii="宋体" w:hAnsi="宋体" w:cs="宋体"/>
          <w:bCs/>
          <w:color w:val="auto"/>
          <w:sz w:val="24"/>
          <w:highlight w:val="none"/>
        </w:rPr>
        <w:t>日，甲方有权解除合同并要求乙方支付</w:t>
      </w:r>
      <w:r>
        <w:rPr>
          <w:rFonts w:hint="eastAsia" w:ascii="宋体" w:hAnsi="宋体" w:cs="宋体"/>
          <w:bCs/>
          <w:color w:val="auto"/>
          <w:sz w:val="24"/>
          <w:highlight w:val="none"/>
          <w:u w:val="single"/>
        </w:rPr>
        <w:t>合同暂定总价的20%</w:t>
      </w:r>
      <w:r>
        <w:rPr>
          <w:rFonts w:hint="eastAsia" w:ascii="宋体" w:hAnsi="宋体" w:cs="宋体"/>
          <w:bCs/>
          <w:color w:val="auto"/>
          <w:sz w:val="24"/>
          <w:highlight w:val="none"/>
        </w:rPr>
        <w:t>作为违约金，由此造成的责任及损失由乙方承担。（</w:t>
      </w:r>
      <w:r>
        <w:rPr>
          <w:rFonts w:hint="eastAsia" w:ascii="宋体" w:hAnsi="宋体" w:cs="宋体"/>
          <w:color w:val="auto"/>
          <w:sz w:val="24"/>
          <w:highlight w:val="none"/>
        </w:rPr>
        <w:t>如合同另行约定违约责任，从其约定</w:t>
      </w:r>
      <w:r>
        <w:rPr>
          <w:rFonts w:hint="eastAsia" w:ascii="宋体" w:hAnsi="宋体" w:cs="宋体"/>
          <w:bCs/>
          <w:color w:val="auto"/>
          <w:sz w:val="24"/>
          <w:highlight w:val="none"/>
        </w:rPr>
        <w:t>）。</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9.2由于乙方原因造成甲方设备及其他硬件损坏，乙方按照损坏设备的原价赔偿并负责恢复设备使用。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9.3乙方未能及时处理故障，每延误故障处理1日，甲方有权要求乙方支付</w:t>
      </w:r>
      <w:r>
        <w:rPr>
          <w:rFonts w:hint="eastAsia" w:ascii="宋体" w:hAnsi="宋体" w:cs="宋体"/>
          <w:color w:val="auto"/>
          <w:sz w:val="24"/>
          <w:highlight w:val="none"/>
          <w:u w:val="single"/>
        </w:rPr>
        <w:t>合同暂定总价的 10 ‰/日</w:t>
      </w:r>
      <w:r>
        <w:rPr>
          <w:rFonts w:hint="eastAsia" w:ascii="宋体" w:hAnsi="宋体" w:cs="宋体"/>
          <w:color w:val="auto"/>
          <w:sz w:val="24"/>
          <w:highlight w:val="none"/>
        </w:rPr>
        <w:t>作为违约金。</w:t>
      </w:r>
    </w:p>
    <w:p>
      <w:pPr>
        <w:topLinePunct/>
        <w:spacing w:line="480" w:lineRule="exact"/>
        <w:ind w:firstLine="480"/>
        <w:rPr>
          <w:rFonts w:ascii="宋体" w:hAnsi="宋体" w:cs="宋体"/>
          <w:bCs/>
          <w:color w:val="auto"/>
          <w:sz w:val="24"/>
          <w:highlight w:val="none"/>
        </w:rPr>
      </w:pPr>
      <w:r>
        <w:rPr>
          <w:rFonts w:hint="eastAsia" w:ascii="宋体" w:hAnsi="宋体" w:cs="宋体"/>
          <w:color w:val="auto"/>
          <w:sz w:val="24"/>
          <w:highlight w:val="none"/>
        </w:rPr>
        <w:t>9.4乙方无法按合同进度要求完成工作，逾期交付工作成果，</w:t>
      </w:r>
      <w:r>
        <w:rPr>
          <w:rFonts w:hint="eastAsia" w:ascii="宋体" w:hAnsi="宋体" w:cs="宋体"/>
          <w:bCs/>
          <w:color w:val="auto"/>
          <w:sz w:val="24"/>
          <w:highlight w:val="none"/>
        </w:rPr>
        <w:t>每超过1日支付违约金</w:t>
      </w:r>
      <w:r>
        <w:rPr>
          <w:rFonts w:hint="eastAsia" w:ascii="宋体" w:hAnsi="宋体" w:cs="宋体"/>
          <w:bCs/>
          <w:color w:val="auto"/>
          <w:sz w:val="24"/>
          <w:highlight w:val="none"/>
          <w:u w:val="single"/>
        </w:rPr>
        <w:t>合同暂定总价的1%</w:t>
      </w:r>
      <w:r>
        <w:rPr>
          <w:rFonts w:hint="eastAsia" w:ascii="宋体" w:hAnsi="宋体" w:cs="宋体"/>
          <w:bCs/>
          <w:color w:val="auto"/>
          <w:sz w:val="24"/>
          <w:highlight w:val="none"/>
        </w:rPr>
        <w:t>，超过</w:t>
      </w:r>
      <w:r>
        <w:rPr>
          <w:rFonts w:hint="eastAsia" w:ascii="宋体" w:hAnsi="宋体" w:cs="宋体"/>
          <w:bCs/>
          <w:color w:val="auto"/>
          <w:sz w:val="24"/>
          <w:highlight w:val="none"/>
          <w:u w:val="single"/>
        </w:rPr>
        <w:t>30</w:t>
      </w:r>
      <w:r>
        <w:rPr>
          <w:rFonts w:hint="eastAsia" w:ascii="宋体" w:hAnsi="宋体" w:cs="宋体"/>
          <w:bCs/>
          <w:color w:val="auto"/>
          <w:sz w:val="24"/>
          <w:highlight w:val="none"/>
        </w:rPr>
        <w:t>日，甲方有权解除合同并要求乙方支付</w:t>
      </w:r>
      <w:r>
        <w:rPr>
          <w:rFonts w:hint="eastAsia" w:ascii="宋体" w:hAnsi="宋体" w:cs="宋体"/>
          <w:bCs/>
          <w:color w:val="auto"/>
          <w:sz w:val="24"/>
          <w:highlight w:val="none"/>
          <w:u w:val="single"/>
        </w:rPr>
        <w:t>合同暂定总价的20%</w:t>
      </w:r>
      <w:r>
        <w:rPr>
          <w:rFonts w:hint="eastAsia" w:ascii="宋体" w:hAnsi="宋体" w:cs="宋体"/>
          <w:bCs/>
          <w:color w:val="auto"/>
          <w:sz w:val="24"/>
          <w:highlight w:val="none"/>
        </w:rPr>
        <w:t>作为违约金。</w:t>
      </w:r>
    </w:p>
    <w:p>
      <w:pPr>
        <w:topLinePunct/>
        <w:spacing w:line="480" w:lineRule="exact"/>
        <w:ind w:firstLine="480"/>
        <w:rPr>
          <w:rFonts w:ascii="宋体" w:hAnsi="宋体" w:cs="宋体"/>
          <w:color w:val="auto"/>
          <w:sz w:val="24"/>
          <w:highlight w:val="none"/>
        </w:rPr>
      </w:pPr>
      <w:r>
        <w:rPr>
          <w:rFonts w:hint="eastAsia" w:ascii="宋体" w:hAnsi="宋体" w:cs="宋体"/>
          <w:color w:val="auto"/>
          <w:sz w:val="24"/>
          <w:highlight w:val="none"/>
        </w:rPr>
        <w:t>9.5乙方违反本合同保密协议的，甲方有权解除合同，乙方应返还已收的合同款项，并赔偿由此给甲方造成的损失。</w:t>
      </w:r>
    </w:p>
    <w:p>
      <w:pPr>
        <w:topLinePunct/>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9.6在合同有效期内，若乙方发生不诚信行为情形的，乙方自愿接受甲方按《广州市净水有限公司经营建设项目参建企业不诚信行为管理办法》处理，具体处罚标准详见附件7。</w:t>
      </w:r>
    </w:p>
    <w:p>
      <w:pPr>
        <w:spacing w:before="156" w:beforeLines="50" w:after="156" w:afterLines="50" w:line="48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十、不可抗力</w:t>
      </w:r>
    </w:p>
    <w:p>
      <w:pPr>
        <w:widowControl/>
        <w:autoSpaceDE w:val="0"/>
        <w:autoSpaceDN w:val="0"/>
        <w:adjustRightInd w:val="0"/>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auto"/>
          <w:sz w:val="24"/>
          <w:highlight w:val="none"/>
        </w:rPr>
      </w:pPr>
      <w:r>
        <w:rPr>
          <w:rFonts w:hint="eastAsia" w:ascii="宋体" w:hAnsi="宋体" w:cs="宋体"/>
          <w:bCs/>
          <w:color w:val="auto"/>
          <w:sz w:val="24"/>
          <w:highlight w:val="none"/>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48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十一、争议解决</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auto"/>
          <w:sz w:val="24"/>
          <w:highlight w:val="none"/>
        </w:rPr>
      </w:pPr>
      <w:r>
        <w:rPr>
          <w:rFonts w:hint="eastAsia" w:ascii="宋体" w:hAnsi="宋体" w:cs="宋体"/>
          <w:bCs/>
          <w:color w:val="auto"/>
          <w:sz w:val="24"/>
          <w:highlight w:val="none"/>
        </w:rPr>
        <w:t>11.2</w:t>
      </w:r>
      <w:r>
        <w:rPr>
          <w:rFonts w:hint="eastAsia" w:ascii="宋体" w:hAnsi="宋体" w:cs="宋体"/>
          <w:color w:val="auto"/>
          <w:sz w:val="24"/>
          <w:highlight w:val="none"/>
        </w:rPr>
        <w:t>在甲方同意的情况下，除有争端之外的合同其它部分在争端解决前应继续执行。</w:t>
      </w:r>
    </w:p>
    <w:p>
      <w:pPr>
        <w:spacing w:line="48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十二、合同生效及其他</w:t>
      </w:r>
    </w:p>
    <w:p>
      <w:pPr>
        <w:spacing w:line="480" w:lineRule="exact"/>
        <w:ind w:firstLine="480"/>
        <w:rPr>
          <w:rFonts w:ascii="宋体" w:hAnsi="宋体" w:cs="宋体"/>
          <w:color w:val="auto"/>
          <w:sz w:val="24"/>
          <w:highlight w:val="none"/>
        </w:rPr>
      </w:pPr>
      <w:r>
        <w:rPr>
          <w:rFonts w:hint="eastAsia" w:ascii="宋体" w:hAnsi="宋体" w:cs="宋体"/>
          <w:color w:val="auto"/>
          <w:sz w:val="24"/>
          <w:highlight w:val="none"/>
        </w:rPr>
        <w:t>12.1本合同经双方法定代表人或授权代表签字并加盖双方公章后生效.</w:t>
      </w:r>
    </w:p>
    <w:p>
      <w:pPr>
        <w:spacing w:line="480" w:lineRule="exact"/>
        <w:ind w:firstLine="480"/>
        <w:rPr>
          <w:rFonts w:ascii="宋体" w:hAnsi="宋体" w:cs="宋体"/>
          <w:color w:val="auto"/>
          <w:sz w:val="24"/>
          <w:highlight w:val="none"/>
        </w:rPr>
      </w:pPr>
      <w:r>
        <w:rPr>
          <w:rFonts w:hint="eastAsia" w:ascii="宋体" w:hAnsi="宋体" w:cs="宋体"/>
          <w:color w:val="auto"/>
          <w:sz w:val="24"/>
          <w:highlight w:val="none"/>
        </w:rPr>
        <w:t>12.2本合同正文一式</w:t>
      </w:r>
      <w:r>
        <w:rPr>
          <w:rFonts w:hint="eastAsia" w:ascii="宋体" w:hAnsi="宋体" w:cs="宋体"/>
          <w:color w:val="auto"/>
          <w:sz w:val="24"/>
          <w:highlight w:val="none"/>
          <w:u w:val="single"/>
        </w:rPr>
        <w:t xml:space="preserve">  柒 </w:t>
      </w:r>
      <w:r>
        <w:rPr>
          <w:rFonts w:hint="eastAsia" w:ascii="宋体" w:hAnsi="宋体" w:cs="宋体"/>
          <w:color w:val="auto"/>
          <w:sz w:val="24"/>
          <w:highlight w:val="none"/>
        </w:rPr>
        <w:t xml:space="preserve"> 份，其中：甲方</w:t>
      </w:r>
      <w:r>
        <w:rPr>
          <w:rFonts w:hint="eastAsia" w:ascii="宋体" w:hAnsi="宋体" w:cs="宋体"/>
          <w:color w:val="auto"/>
          <w:sz w:val="24"/>
          <w:highlight w:val="none"/>
          <w:u w:val="single"/>
        </w:rPr>
        <w:t xml:space="preserve">    伍   </w:t>
      </w:r>
      <w:r>
        <w:rPr>
          <w:rFonts w:hint="eastAsia" w:ascii="宋体" w:hAnsi="宋体" w:cs="宋体"/>
          <w:color w:val="auto"/>
          <w:sz w:val="24"/>
          <w:highlight w:val="none"/>
        </w:rPr>
        <w:t>份，乙方</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w:t>
      </w:r>
    </w:p>
    <w:p>
      <w:pPr>
        <w:spacing w:line="480" w:lineRule="exact"/>
        <w:ind w:firstLine="480"/>
        <w:rPr>
          <w:rFonts w:ascii="宋体" w:hAnsi="宋体" w:cs="宋体"/>
          <w:color w:val="auto"/>
          <w:sz w:val="24"/>
          <w:highlight w:val="none"/>
        </w:rPr>
      </w:pPr>
      <w:r>
        <w:rPr>
          <w:rFonts w:hint="eastAsia" w:ascii="宋体" w:hAnsi="宋体" w:cs="宋体"/>
          <w:color w:val="auto"/>
          <w:sz w:val="24"/>
          <w:highlight w:val="none"/>
        </w:rPr>
        <w:t>12.3补充条款</w:t>
      </w:r>
      <w:r>
        <w:rPr>
          <w:rFonts w:hint="eastAsia" w:ascii="宋体" w:hAnsi="宋体" w:cs="宋体"/>
          <w:color w:val="auto"/>
          <w:sz w:val="24"/>
          <w:highlight w:val="none"/>
          <w:u w:val="single"/>
        </w:rPr>
        <w:t xml:space="preserve">：/ </w:t>
      </w:r>
    </w:p>
    <w:p>
      <w:pPr>
        <w:spacing w:line="480" w:lineRule="exact"/>
        <w:ind w:firstLine="480"/>
        <w:rPr>
          <w:rFonts w:ascii="宋体" w:hAnsi="宋体" w:cs="宋体"/>
          <w:color w:val="auto"/>
          <w:sz w:val="24"/>
          <w:highlight w:val="none"/>
        </w:rPr>
      </w:pPr>
    </w:p>
    <w:p>
      <w:pPr>
        <w:spacing w:line="480" w:lineRule="exact"/>
        <w:ind w:firstLine="480"/>
        <w:rPr>
          <w:rFonts w:ascii="宋体" w:hAnsi="宋体" w:cs="宋体"/>
          <w:color w:val="auto"/>
          <w:sz w:val="24"/>
          <w:highlight w:val="none"/>
        </w:rPr>
      </w:pPr>
    </w:p>
    <w:p>
      <w:pPr>
        <w:spacing w:line="480" w:lineRule="exact"/>
        <w:ind w:firstLine="482"/>
        <w:rPr>
          <w:rFonts w:ascii="宋体" w:hAnsi="宋体" w:cs="宋体"/>
          <w:color w:val="auto"/>
          <w:sz w:val="24"/>
          <w:highlight w:val="none"/>
        </w:rPr>
      </w:pPr>
      <w:r>
        <w:rPr>
          <w:rFonts w:hint="eastAsia" w:ascii="宋体" w:hAnsi="宋体" w:cs="宋体"/>
          <w:color w:val="auto"/>
          <w:sz w:val="24"/>
          <w:highlight w:val="none"/>
        </w:rPr>
        <w:t xml:space="preserve">附件： 1. </w:t>
      </w:r>
      <w:r>
        <w:rPr>
          <w:rFonts w:hint="eastAsia" w:ascii="宋体" w:hAnsi="宋体" w:cs="宋体"/>
          <w:bCs/>
          <w:color w:val="auto"/>
          <w:sz w:val="24"/>
          <w:highlight w:val="none"/>
        </w:rPr>
        <w:t>发包通知书</w:t>
      </w:r>
    </w:p>
    <w:p>
      <w:pPr>
        <w:spacing w:line="480" w:lineRule="exact"/>
        <w:rPr>
          <w:rFonts w:ascii="宋体" w:hAnsi="宋体" w:cs="宋体"/>
          <w:color w:val="auto"/>
          <w:sz w:val="24"/>
          <w:highlight w:val="none"/>
        </w:rPr>
      </w:pPr>
      <w:r>
        <w:rPr>
          <w:rFonts w:hint="eastAsia" w:ascii="宋体" w:hAnsi="宋体" w:cs="宋体"/>
          <w:color w:val="auto"/>
          <w:sz w:val="24"/>
          <w:highlight w:val="none"/>
        </w:rPr>
        <w:t xml:space="preserve">           2. 廉洁协议书</w:t>
      </w:r>
    </w:p>
    <w:p>
      <w:pPr>
        <w:spacing w:line="480" w:lineRule="exact"/>
        <w:rPr>
          <w:rFonts w:ascii="宋体" w:hAnsi="宋体" w:cs="宋体"/>
          <w:color w:val="auto"/>
          <w:sz w:val="24"/>
          <w:highlight w:val="none"/>
        </w:rPr>
      </w:pPr>
      <w:r>
        <w:rPr>
          <w:rFonts w:hint="eastAsia" w:ascii="宋体" w:hAnsi="宋体" w:cs="宋体"/>
          <w:color w:val="auto"/>
          <w:sz w:val="24"/>
          <w:highlight w:val="none"/>
        </w:rPr>
        <w:t xml:space="preserve">           3. 保密协议</w:t>
      </w:r>
    </w:p>
    <w:p>
      <w:pPr>
        <w:spacing w:line="480" w:lineRule="exact"/>
        <w:ind w:firstLine="1440" w:firstLineChars="600"/>
        <w:jc w:val="left"/>
        <w:rPr>
          <w:rFonts w:hint="eastAsia" w:ascii="宋体" w:hAnsi="宋体" w:cs="宋体" w:eastAsiaTheme="minorEastAsia"/>
          <w:bCs w:val="0"/>
          <w:color w:val="auto"/>
          <w:kern w:val="2"/>
          <w:sz w:val="24"/>
          <w:szCs w:val="22"/>
          <w:highlight w:val="none"/>
        </w:rPr>
      </w:pPr>
      <w:r>
        <w:rPr>
          <w:rFonts w:hint="eastAsia" w:ascii="宋体" w:hAnsi="宋体" w:cs="宋体"/>
          <w:color w:val="auto"/>
          <w:sz w:val="24"/>
          <w:highlight w:val="none"/>
        </w:rPr>
        <w:t xml:space="preserve">4. </w:t>
      </w:r>
      <w:r>
        <w:rPr>
          <w:rFonts w:hint="eastAsia" w:ascii="宋体" w:hAnsi="宋体" w:cs="宋体" w:eastAsiaTheme="minorEastAsia"/>
          <w:bCs w:val="0"/>
          <w:color w:val="auto"/>
          <w:kern w:val="2"/>
          <w:sz w:val="24"/>
          <w:szCs w:val="22"/>
          <w:highlight w:val="none"/>
        </w:rPr>
        <w:t>营运场所施工安全协议书</w:t>
      </w:r>
    </w:p>
    <w:p>
      <w:pPr>
        <w:spacing w:line="480" w:lineRule="exact"/>
        <w:ind w:firstLine="1320" w:firstLineChars="550"/>
        <w:rPr>
          <w:rFonts w:hint="eastAsia" w:ascii="宋体" w:hAnsi="宋体" w:cs="宋体"/>
          <w:b w:val="0"/>
          <w:color w:val="auto"/>
          <w:sz w:val="24"/>
          <w:szCs w:val="22"/>
          <w:highlight w:val="none"/>
          <w:lang w:val="en-US" w:eastAsia="zh-CN"/>
        </w:rPr>
      </w:pPr>
      <w:r>
        <w:rPr>
          <w:rFonts w:hint="eastAsia" w:ascii="宋体" w:hAnsi="宋体" w:cs="宋体"/>
          <w:color w:val="auto"/>
          <w:sz w:val="24"/>
          <w:highlight w:val="none"/>
        </w:rPr>
        <w:t xml:space="preserve">5. </w:t>
      </w:r>
      <w:r>
        <w:rPr>
          <w:rFonts w:hint="eastAsia" w:ascii="宋体" w:hAnsi="宋体" w:cs="宋体"/>
          <w:b w:val="0"/>
          <w:color w:val="auto"/>
          <w:sz w:val="24"/>
          <w:szCs w:val="22"/>
          <w:highlight w:val="none"/>
          <w:lang w:val="en-US" w:eastAsia="zh-CN"/>
        </w:rPr>
        <w:t>工程量清单报价</w:t>
      </w:r>
    </w:p>
    <w:p>
      <w:pPr>
        <w:spacing w:line="480" w:lineRule="exact"/>
        <w:ind w:firstLine="1320" w:firstLineChars="550"/>
        <w:rPr>
          <w:rFonts w:hint="eastAsia" w:ascii="宋体" w:hAnsi="宋体" w:cs="宋体"/>
          <w:color w:val="auto"/>
          <w:sz w:val="24"/>
          <w:highlight w:val="none"/>
        </w:rPr>
      </w:pPr>
      <w:r>
        <w:rPr>
          <w:rFonts w:hint="eastAsia" w:ascii="宋体" w:hAnsi="宋体" w:cs="宋体"/>
          <w:color w:val="auto"/>
          <w:sz w:val="24"/>
          <w:highlight w:val="none"/>
        </w:rPr>
        <w:t>6. 不诚信行为的情形及相应被暂停参与投标活动的处理标准</w:t>
      </w:r>
    </w:p>
    <w:p>
      <w:pPr>
        <w:spacing w:after="120" w:line="240" w:lineRule="auto"/>
        <w:rPr>
          <w:rFonts w:hint="eastAsia" w:ascii="宋体" w:hAnsi="宋体" w:cs="宋体" w:eastAsiaTheme="minorEastAsia"/>
          <w:b w:val="0"/>
          <w:bCs w:val="0"/>
          <w:color w:val="auto"/>
          <w:sz w:val="24"/>
          <w:szCs w:val="22"/>
          <w:highlight w:val="none"/>
        </w:rPr>
      </w:pPr>
      <w:r>
        <w:rPr>
          <w:rFonts w:hint="eastAsia" w:ascii="宋体" w:hAnsi="宋体" w:cs="宋体"/>
          <w:color w:val="auto"/>
          <w:sz w:val="24"/>
          <w:highlight w:val="none"/>
          <w:lang w:val="en-US" w:eastAsia="zh-CN"/>
        </w:rPr>
        <w:t xml:space="preserve">       </w:t>
      </w:r>
      <w:r>
        <w:rPr>
          <w:rFonts w:hint="eastAsia" w:ascii="宋体" w:hAnsi="宋体" w:cs="宋体"/>
          <w:b w:val="0"/>
          <w:bCs w:val="0"/>
          <w:color w:val="auto"/>
          <w:sz w:val="24"/>
          <w:szCs w:val="22"/>
          <w:highlight w:val="none"/>
          <w:lang w:eastAsia="zh-CN"/>
        </w:rPr>
        <w:t xml:space="preserve"> </w:t>
      </w:r>
      <w:r>
        <w:rPr>
          <w:rFonts w:hint="eastAsia" w:ascii="宋体" w:hAnsi="宋体" w:cs="宋体"/>
          <w:b w:val="0"/>
          <w:bCs w:val="0"/>
          <w:color w:val="auto"/>
          <w:sz w:val="24"/>
          <w:szCs w:val="22"/>
          <w:highlight w:val="none"/>
          <w:lang w:val="en-US" w:eastAsia="zh-CN"/>
        </w:rPr>
        <w:t xml:space="preserve">   </w:t>
      </w:r>
      <w:r>
        <w:rPr>
          <w:rFonts w:hint="eastAsia" w:ascii="宋体" w:hAnsi="宋体" w:cs="宋体" w:eastAsiaTheme="minorEastAsia"/>
          <w:b w:val="0"/>
          <w:bCs w:val="0"/>
          <w:color w:val="auto"/>
          <w:sz w:val="24"/>
          <w:szCs w:val="22"/>
          <w:highlight w:val="none"/>
          <w:lang w:val="en-US" w:eastAsia="zh-CN"/>
        </w:rPr>
        <w:t>7</w:t>
      </w:r>
      <w:r>
        <w:rPr>
          <w:rFonts w:hint="eastAsia" w:ascii="宋体" w:hAnsi="宋体" w:cs="宋体"/>
          <w:b w:val="0"/>
          <w:bCs w:val="0"/>
          <w:color w:val="auto"/>
          <w:sz w:val="24"/>
          <w:szCs w:val="22"/>
          <w:highlight w:val="none"/>
          <w:lang w:val="en-US" w:eastAsia="zh-CN"/>
        </w:rPr>
        <w:t>.</w:t>
      </w:r>
      <w:r>
        <w:rPr>
          <w:rFonts w:hint="eastAsia" w:ascii="宋体" w:hAnsi="宋体" w:cs="宋体" w:eastAsiaTheme="minorEastAsia"/>
          <w:b w:val="0"/>
          <w:bCs w:val="0"/>
          <w:color w:val="auto"/>
          <w:sz w:val="24"/>
          <w:szCs w:val="22"/>
          <w:highlight w:val="none"/>
        </w:rPr>
        <w:t>履约保函（模板）</w:t>
      </w:r>
    </w:p>
    <w:p>
      <w:pPr>
        <w:spacing w:after="120" w:line="240" w:lineRule="auto"/>
        <w:rPr>
          <w:rFonts w:hint="default" w:ascii="宋体" w:hAnsi="宋体" w:cs="宋体" w:eastAsiaTheme="minorEastAsia"/>
          <w:b w:val="0"/>
          <w:bCs w:val="0"/>
          <w:color w:val="auto"/>
          <w:sz w:val="24"/>
          <w:szCs w:val="22"/>
          <w:highlight w:val="none"/>
        </w:rPr>
      </w:pPr>
      <w:r>
        <w:rPr>
          <w:rFonts w:hint="eastAsia" w:ascii="宋体" w:hAnsi="宋体" w:cs="宋体"/>
          <w:b w:val="0"/>
          <w:bCs w:val="0"/>
          <w:color w:val="auto"/>
          <w:sz w:val="24"/>
          <w:szCs w:val="22"/>
          <w:highlight w:val="none"/>
          <w:lang w:val="en-US" w:eastAsia="zh-CN"/>
        </w:rPr>
        <w:t xml:space="preserve">           </w:t>
      </w:r>
      <w:r>
        <w:rPr>
          <w:rFonts w:hint="eastAsia" w:ascii="宋体" w:hAnsi="宋体" w:cs="宋体" w:eastAsiaTheme="minorEastAsia"/>
          <w:color w:val="auto"/>
          <w:sz w:val="24"/>
          <w:szCs w:val="22"/>
          <w:highlight w:val="none"/>
          <w:lang w:val="en-US" w:eastAsia="zh-CN"/>
        </w:rPr>
        <w:t>8</w:t>
      </w:r>
      <w:r>
        <w:rPr>
          <w:rFonts w:hint="eastAsia" w:ascii="宋体" w:hAnsi="宋体" w:cs="宋体"/>
          <w:color w:val="auto"/>
          <w:sz w:val="24"/>
          <w:szCs w:val="22"/>
          <w:highlight w:val="none"/>
          <w:lang w:val="en-US" w:eastAsia="zh-CN"/>
        </w:rPr>
        <w:t>.</w:t>
      </w:r>
      <w:r>
        <w:rPr>
          <w:rFonts w:hint="eastAsia" w:ascii="宋体" w:hAnsi="宋体" w:cs="宋体" w:eastAsiaTheme="minorEastAsia"/>
          <w:color w:val="auto"/>
          <w:sz w:val="24"/>
          <w:szCs w:val="22"/>
          <w:highlight w:val="none"/>
        </w:rPr>
        <w:t>预付款保函模板</w:t>
      </w:r>
    </w:p>
    <w:p>
      <w:pPr>
        <w:pStyle w:val="9"/>
        <w:rPr>
          <w:rFonts w:hint="default" w:eastAsia="微软雅黑"/>
          <w:color w:val="auto"/>
          <w:highlight w:val="none"/>
          <w:lang w:val="en-US" w:eastAsia="zh-CN"/>
        </w:rPr>
      </w:pPr>
    </w:p>
    <w:p>
      <w:pPr>
        <w:pStyle w:val="29"/>
        <w:ind w:firstLine="1440" w:firstLineChars="600"/>
        <w:rPr>
          <w:color w:val="auto"/>
          <w:highlight w:val="none"/>
        </w:rPr>
      </w:pPr>
    </w:p>
    <w:p>
      <w:pPr>
        <w:pStyle w:val="29"/>
        <w:rPr>
          <w:rFonts w:hAnsi="宋体"/>
          <w:color w:val="auto"/>
          <w:highlight w:val="none"/>
        </w:rPr>
      </w:pPr>
    </w:p>
    <w:p>
      <w:pPr>
        <w:pStyle w:val="29"/>
        <w:rPr>
          <w:rFonts w:hAnsi="宋体"/>
          <w:color w:val="auto"/>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     乙方：（盖章）</w:t>
      </w:r>
    </w:p>
    <w:p>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法定代表人或                         法定代表人或</w:t>
      </w:r>
    </w:p>
    <w:p>
      <w:pPr>
        <w:spacing w:line="480" w:lineRule="exact"/>
        <w:rPr>
          <w:rFonts w:ascii="宋体" w:hAnsi="宋体" w:cs="宋体"/>
          <w:color w:val="auto"/>
          <w:sz w:val="24"/>
          <w:highlight w:val="none"/>
        </w:rPr>
      </w:pPr>
      <w:r>
        <w:rPr>
          <w:rFonts w:hint="eastAsia" w:ascii="宋体" w:hAnsi="宋体" w:cs="宋体"/>
          <w:color w:val="auto"/>
          <w:sz w:val="24"/>
          <w:highlight w:val="none"/>
        </w:rPr>
        <w:t>授权代理人：                         授权代理人：</w:t>
      </w:r>
    </w:p>
    <w:p>
      <w:pPr>
        <w:spacing w:line="480" w:lineRule="exact"/>
        <w:rPr>
          <w:rFonts w:ascii="宋体" w:hAnsi="宋体" w:cs="宋体"/>
          <w:color w:val="auto"/>
          <w:sz w:val="24"/>
          <w:highlight w:val="none"/>
        </w:rPr>
      </w:pPr>
      <w:r>
        <w:rPr>
          <w:rFonts w:hint="eastAsia" w:ascii="宋体" w:hAnsi="宋体" w:cs="宋体"/>
          <w:color w:val="auto"/>
          <w:sz w:val="24"/>
          <w:highlight w:val="none"/>
        </w:rPr>
        <w:t>地址：                               地址：</w:t>
      </w:r>
    </w:p>
    <w:p>
      <w:pPr>
        <w:spacing w:line="480" w:lineRule="exact"/>
        <w:rPr>
          <w:rFonts w:ascii="宋体" w:hAnsi="宋体" w:cs="宋体"/>
          <w:color w:val="auto"/>
          <w:sz w:val="24"/>
          <w:highlight w:val="none"/>
        </w:rPr>
      </w:pPr>
      <w:r>
        <w:rPr>
          <w:rFonts w:hint="eastAsia" w:ascii="宋体" w:hAnsi="宋体" w:cs="宋体"/>
          <w:color w:val="auto"/>
          <w:sz w:val="24"/>
          <w:highlight w:val="none"/>
        </w:rPr>
        <w:t>经办人：                             经办人：</w:t>
      </w:r>
    </w:p>
    <w:p>
      <w:pPr>
        <w:spacing w:line="480" w:lineRule="exact"/>
        <w:rPr>
          <w:rFonts w:ascii="宋体" w:hAnsi="宋体" w:cs="宋体"/>
          <w:color w:val="auto"/>
          <w:sz w:val="24"/>
          <w:highlight w:val="none"/>
        </w:rPr>
      </w:pPr>
      <w:r>
        <w:rPr>
          <w:rFonts w:hint="eastAsia" w:ascii="宋体" w:hAnsi="宋体" w:cs="宋体"/>
          <w:color w:val="auto"/>
          <w:sz w:val="24"/>
          <w:highlight w:val="none"/>
        </w:rPr>
        <w:t>联系电话：                           联系电话：</w:t>
      </w:r>
    </w:p>
    <w:p>
      <w:pPr>
        <w:spacing w:line="48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                               传真：</w:t>
      </w:r>
    </w:p>
    <w:p>
      <w:pPr>
        <w:spacing w:line="48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 xml:space="preserve">签署日期：    年    月    日         签署日期：    年    月    日  </w:t>
      </w:r>
    </w:p>
    <w:p>
      <w:pPr>
        <w:spacing w:line="480" w:lineRule="exact"/>
        <w:rPr>
          <w:rFonts w:ascii="仿宋_GB2312" w:eastAsia="仿宋_GB2312"/>
          <w:color w:val="auto"/>
          <w:w w:val="90"/>
          <w:kern w:val="10"/>
          <w:sz w:val="24"/>
          <w:highlight w:val="none"/>
        </w:rPr>
      </w:pPr>
      <w:r>
        <w:rPr>
          <w:rFonts w:hint="eastAsia" w:ascii="仿宋_GB2312" w:eastAsia="仿宋_GB2312"/>
          <w:color w:val="auto"/>
          <w:w w:val="90"/>
          <w:kern w:val="10"/>
          <w:sz w:val="24"/>
          <w:highlight w:val="none"/>
        </w:rPr>
        <w:t xml:space="preserve">                                      </w:t>
      </w:r>
    </w:p>
    <w:p>
      <w:pPr>
        <w:rPr>
          <w:rFonts w:ascii="仿宋_GB2312" w:eastAsia="仿宋_GB2312"/>
          <w:color w:val="auto"/>
          <w:sz w:val="28"/>
          <w:szCs w:val="28"/>
          <w:highlight w:val="none"/>
        </w:rPr>
      </w:pPr>
    </w:p>
    <w:p>
      <w:pPr>
        <w:widowControl/>
        <w:jc w:val="left"/>
        <w:rPr>
          <w:rFonts w:ascii="宋体" w:hAnsi="宋体" w:cs="宋体"/>
          <w:b/>
          <w:bCs/>
          <w:color w:val="auto"/>
          <w:szCs w:val="21"/>
          <w:highlight w:val="none"/>
        </w:rPr>
      </w:pPr>
      <w:r>
        <w:rPr>
          <w:rFonts w:hint="eastAsia" w:ascii="宋体" w:hAnsi="宋体" w:cs="宋体"/>
          <w:b/>
          <w:bCs/>
          <w:color w:val="auto"/>
          <w:szCs w:val="21"/>
          <w:highlight w:val="none"/>
        </w:rPr>
        <w:t>附件1 发包通知书</w:t>
      </w:r>
    </w:p>
    <w:p>
      <w:pPr>
        <w:widowControl/>
        <w:jc w:val="left"/>
        <w:rPr>
          <w:rFonts w:ascii="宋体" w:hAnsi="宋体" w:cs="宋体"/>
          <w:color w:val="auto"/>
          <w:szCs w:val="21"/>
          <w:highlight w:val="none"/>
        </w:rPr>
      </w:pPr>
      <w:r>
        <w:rPr>
          <w:rFonts w:hint="eastAsia" w:ascii="宋体" w:hAnsi="宋体" w:cs="宋体"/>
          <w:b/>
          <w:bCs/>
          <w:color w:val="auto"/>
          <w:szCs w:val="21"/>
          <w:highlight w:val="none"/>
        </w:rPr>
        <w:t>附件2</w:t>
      </w:r>
    </w:p>
    <w:p>
      <w:pPr>
        <w:spacing w:line="520" w:lineRule="exact"/>
        <w:jc w:val="center"/>
        <w:rPr>
          <w:rFonts w:ascii="宋体" w:hAnsi="宋体" w:cs="宋体"/>
          <w:bCs/>
          <w:color w:val="auto"/>
          <w:sz w:val="24"/>
          <w:highlight w:val="none"/>
        </w:rPr>
      </w:pPr>
      <w:r>
        <w:rPr>
          <w:rFonts w:hint="eastAsia" w:ascii="宋体" w:hAnsi="宋体" w:cs="宋体"/>
          <w:bCs/>
          <w:color w:val="auto"/>
          <w:sz w:val="24"/>
          <w:highlight w:val="none"/>
        </w:rPr>
        <w:t>廉洁协议</w:t>
      </w:r>
    </w:p>
    <w:p>
      <w:pPr>
        <w:spacing w:line="520" w:lineRule="exact"/>
        <w:ind w:firstLine="540" w:firstLineChars="225"/>
        <w:rPr>
          <w:rFonts w:ascii="宋体" w:hAnsi="宋体" w:cs="宋体"/>
          <w:bCs/>
          <w:color w:val="auto"/>
          <w:sz w:val="24"/>
          <w:highlight w:val="none"/>
        </w:rPr>
      </w:pPr>
      <w:r>
        <w:rPr>
          <w:rFonts w:hint="eastAsia" w:ascii="宋体" w:hAnsi="宋体" w:cs="宋体"/>
          <w:bCs/>
          <w:color w:val="auto"/>
          <w:sz w:val="24"/>
          <w:highlight w:val="none"/>
        </w:rPr>
        <w:t>为促进双方诚信经营、廉洁从业，防范商业贿赂，保护国家、集体和当事人的合法权益，根据国家有关法律法规和广东省、广州市廉政建设的规定，</w:t>
      </w:r>
      <w:r>
        <w:rPr>
          <w:rFonts w:hint="eastAsia" w:ascii="宋体" w:hAnsi="宋体" w:cs="宋体"/>
          <w:bCs/>
          <w:color w:val="auto"/>
          <w:sz w:val="24"/>
          <w:highlight w:val="none"/>
          <w:u w:val="single"/>
        </w:rPr>
        <w:t>广州市净水有限公司</w:t>
      </w:r>
      <w:r>
        <w:rPr>
          <w:rFonts w:hint="eastAsia" w:ascii="宋体" w:hAnsi="宋体" w:cs="宋体"/>
          <w:bCs/>
          <w:color w:val="auto"/>
          <w:sz w:val="24"/>
          <w:highlight w:val="none"/>
        </w:rPr>
        <w:t>(以下称甲方)与(以下称乙方)，特此订立本协议共同遵照执行。</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第一条 甲乙双方的权利和义务</w:t>
      </w:r>
    </w:p>
    <w:p>
      <w:pPr>
        <w:spacing w:line="52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（二）严格执行</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合同（以下简称：主合同），自觉履行合同约定的相关义务。</w:t>
      </w:r>
    </w:p>
    <w:p>
      <w:pPr>
        <w:spacing w:line="52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（三）在业务活动中坚持公开、公正、诚信、透明的原则，不得损害国家、集体利益。</w:t>
      </w:r>
    </w:p>
    <w:p>
      <w:pPr>
        <w:spacing w:line="52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第二条甲方的义务</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cs="宋体"/>
          <w:bCs/>
          <w:color w:val="auto"/>
          <w:sz w:val="24"/>
          <w:highlight w:val="none"/>
        </w:rPr>
      </w:pPr>
      <w:r>
        <w:rPr>
          <w:rFonts w:hint="eastAsia" w:ascii="宋体" w:hAnsi="宋体" w:cs="宋体"/>
          <w:bCs/>
          <w:color w:val="auto"/>
          <w:sz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cs="宋体"/>
          <w:bCs/>
          <w:color w:val="auto"/>
          <w:sz w:val="24"/>
          <w:highlight w:val="none"/>
        </w:rPr>
      </w:pPr>
      <w:r>
        <w:rPr>
          <w:rFonts w:hint="eastAsia" w:ascii="宋体" w:hAnsi="宋体" w:cs="宋体"/>
          <w:bCs/>
          <w:color w:val="auto"/>
          <w:sz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cs="宋体"/>
          <w:bCs/>
          <w:color w:val="auto"/>
          <w:sz w:val="24"/>
          <w:highlight w:val="none"/>
        </w:rPr>
      </w:pPr>
      <w:r>
        <w:rPr>
          <w:rFonts w:hint="eastAsia" w:ascii="宋体" w:hAnsi="宋体" w:cs="宋体"/>
          <w:bCs/>
          <w:color w:val="auto"/>
          <w:sz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cs="宋体"/>
          <w:bCs/>
          <w:color w:val="auto"/>
          <w:sz w:val="24"/>
          <w:highlight w:val="none"/>
        </w:rPr>
      </w:pPr>
      <w:r>
        <w:rPr>
          <w:rFonts w:hint="eastAsia" w:ascii="宋体" w:hAnsi="宋体" w:cs="宋体"/>
          <w:bCs/>
          <w:color w:val="auto"/>
          <w:sz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cs="宋体"/>
          <w:bCs/>
          <w:color w:val="auto"/>
          <w:sz w:val="24"/>
          <w:highlight w:val="none"/>
        </w:rPr>
      </w:pPr>
      <w:r>
        <w:rPr>
          <w:rFonts w:hint="eastAsia" w:ascii="宋体" w:hAnsi="宋体" w:cs="宋体"/>
          <w:bCs/>
          <w:color w:val="auto"/>
          <w:sz w:val="24"/>
          <w:highlight w:val="none"/>
        </w:rPr>
        <w:t>（七）甲方工作人员不得接受乙方给予或赠送的干股或红利。</w:t>
      </w:r>
    </w:p>
    <w:p>
      <w:pPr>
        <w:spacing w:line="520" w:lineRule="exact"/>
        <w:ind w:left="15" w:leftChars="7" w:firstLine="480" w:firstLineChars="200"/>
        <w:rPr>
          <w:rFonts w:ascii="宋体" w:hAnsi="宋体" w:cs="宋体"/>
          <w:bCs/>
          <w:color w:val="auto"/>
          <w:sz w:val="24"/>
          <w:highlight w:val="none"/>
        </w:rPr>
      </w:pPr>
      <w:r>
        <w:rPr>
          <w:rFonts w:hint="eastAsia" w:ascii="宋体" w:hAnsi="宋体" w:cs="宋体"/>
          <w:bCs/>
          <w:color w:val="auto"/>
          <w:sz w:val="24"/>
          <w:highlight w:val="none"/>
        </w:rPr>
        <w:t>(八）不得存在其他违反廉洁规定的行为。</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第三条乙方的义务</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（一）乙方不得以任何理由向甲方及其工作人员行贿或馈赠礼金、有价证券、贵重礼品。</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cs="宋体"/>
          <w:bCs/>
          <w:color w:val="auto"/>
          <w:sz w:val="24"/>
          <w:highlight w:val="none"/>
        </w:rPr>
      </w:pPr>
      <w:r>
        <w:rPr>
          <w:rFonts w:hint="eastAsia" w:ascii="宋体" w:hAnsi="宋体" w:cs="宋体"/>
          <w:bCs/>
          <w:color w:val="auto"/>
          <w:sz w:val="24"/>
          <w:highlight w:val="none"/>
        </w:rPr>
        <w:t>（三）乙方不得以任何理由安排甲方工作人员参加可能影响相关业务公开、公正、公平性的宴请及娱乐活动。</w:t>
      </w:r>
    </w:p>
    <w:p>
      <w:pPr>
        <w:pStyle w:val="16"/>
        <w:spacing w:line="520" w:lineRule="exact"/>
        <w:rPr>
          <w:rFonts w:ascii="宋体" w:hAnsi="宋体" w:cs="宋体"/>
          <w:bCs/>
          <w:color w:val="auto"/>
          <w:sz w:val="24"/>
          <w:highlight w:val="none"/>
        </w:rPr>
      </w:pPr>
      <w:r>
        <w:rPr>
          <w:rFonts w:hint="eastAsia" w:ascii="宋体" w:hAnsi="宋体" w:cs="宋体"/>
          <w:bCs/>
          <w:color w:val="auto"/>
          <w:sz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（七）乙方不得向甲方工作人员提供干股或红利。</w:t>
      </w:r>
    </w:p>
    <w:p>
      <w:pPr>
        <w:spacing w:line="520" w:lineRule="exact"/>
        <w:ind w:left="15" w:leftChars="7" w:firstLine="480" w:firstLineChars="200"/>
        <w:rPr>
          <w:rFonts w:ascii="宋体" w:hAnsi="宋体" w:cs="宋体"/>
          <w:bCs/>
          <w:color w:val="auto"/>
          <w:sz w:val="24"/>
          <w:highlight w:val="none"/>
        </w:rPr>
      </w:pPr>
      <w:r>
        <w:rPr>
          <w:rFonts w:hint="eastAsia" w:ascii="宋体" w:hAnsi="宋体" w:cs="宋体"/>
          <w:bCs/>
          <w:color w:val="auto"/>
          <w:sz w:val="24"/>
          <w:highlight w:val="none"/>
        </w:rPr>
        <w:t>(八）不得存在其他违反廉洁规定的行为。</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第四条违约责任</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甲方举报投诉联系部门：广州市净水有限公司</w:t>
      </w:r>
      <w:r>
        <w:rPr>
          <w:rFonts w:hint="eastAsia" w:ascii="宋体" w:hAnsi="宋体" w:cs="宋体"/>
          <w:bCs/>
          <w:color w:val="auto"/>
          <w:sz w:val="24"/>
          <w:highlight w:val="none"/>
          <w:u w:val="single"/>
        </w:rPr>
        <w:t>纪检室</w:t>
      </w:r>
      <w:r>
        <w:rPr>
          <w:rFonts w:hint="eastAsia" w:ascii="宋体" w:hAnsi="宋体" w:cs="宋体"/>
          <w:bCs/>
          <w:color w:val="auto"/>
          <w:sz w:val="24"/>
          <w:highlight w:val="none"/>
        </w:rPr>
        <w:t>，联系电话：</w:t>
      </w:r>
      <w:r>
        <w:rPr>
          <w:rFonts w:hint="eastAsia" w:ascii="宋体" w:hAnsi="宋体" w:cs="宋体"/>
          <w:bCs/>
          <w:color w:val="auto"/>
          <w:sz w:val="24"/>
          <w:highlight w:val="none"/>
          <w:u w:val="single"/>
        </w:rPr>
        <w:t xml:space="preserve"> 020-38890265 </w:t>
      </w:r>
      <w:r>
        <w:rPr>
          <w:rFonts w:hint="eastAsia" w:ascii="宋体" w:hAnsi="宋体" w:cs="宋体"/>
          <w:bCs/>
          <w:color w:val="auto"/>
          <w:sz w:val="24"/>
          <w:highlight w:val="none"/>
        </w:rPr>
        <w:t>。</w:t>
      </w:r>
    </w:p>
    <w:p>
      <w:pPr>
        <w:pStyle w:val="22"/>
        <w:spacing w:beforeAutospacing="0" w:line="520" w:lineRule="exact"/>
        <w:rPr>
          <w:rFonts w:cs="宋体"/>
          <w:bCs/>
          <w:color w:val="auto"/>
          <w:highlight w:val="none"/>
        </w:rPr>
      </w:pPr>
      <w:r>
        <w:rPr>
          <w:rFonts w:hint="eastAsia" w:cs="宋体"/>
          <w:bCs/>
          <w:color w:val="auto"/>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spacing w:beforeAutospacing="0" w:line="520" w:lineRule="exact"/>
        <w:rPr>
          <w:rFonts w:cs="宋体"/>
          <w:bCs/>
          <w:color w:val="auto"/>
          <w:highlight w:val="none"/>
        </w:rPr>
      </w:pPr>
      <w:r>
        <w:rPr>
          <w:rFonts w:hint="eastAsia" w:cs="宋体"/>
          <w:bCs/>
          <w:color w:val="auto"/>
          <w:highlight w:val="none"/>
        </w:rPr>
        <w:t>1、扣除主合同的全部履约保证金；</w:t>
      </w:r>
    </w:p>
    <w:p>
      <w:pPr>
        <w:pStyle w:val="22"/>
        <w:spacing w:beforeAutospacing="0" w:line="520" w:lineRule="exact"/>
        <w:rPr>
          <w:rFonts w:cs="宋体"/>
          <w:bCs/>
          <w:color w:val="auto"/>
          <w:highlight w:val="none"/>
        </w:rPr>
      </w:pPr>
      <w:r>
        <w:rPr>
          <w:rFonts w:hint="eastAsia" w:cs="宋体"/>
          <w:bCs/>
          <w:color w:val="auto"/>
          <w:highlight w:val="none"/>
        </w:rPr>
        <w:t>2、解除主合同；</w:t>
      </w:r>
    </w:p>
    <w:p>
      <w:pPr>
        <w:pStyle w:val="22"/>
        <w:spacing w:beforeAutospacing="0" w:line="520" w:lineRule="exact"/>
        <w:rPr>
          <w:rFonts w:cs="宋体"/>
          <w:bCs/>
          <w:color w:val="auto"/>
          <w:highlight w:val="none"/>
        </w:rPr>
      </w:pPr>
      <w:r>
        <w:rPr>
          <w:rFonts w:hint="eastAsia" w:cs="宋体"/>
          <w:bCs/>
          <w:color w:val="auto"/>
          <w:highlight w:val="none"/>
        </w:rPr>
        <w:t>3、追究乙方其他违约责任；</w:t>
      </w:r>
    </w:p>
    <w:p>
      <w:pPr>
        <w:pStyle w:val="22"/>
        <w:spacing w:beforeAutospacing="0" w:line="520" w:lineRule="exact"/>
        <w:rPr>
          <w:rFonts w:cs="宋体"/>
          <w:bCs/>
          <w:color w:val="auto"/>
          <w:highlight w:val="none"/>
        </w:rPr>
      </w:pPr>
      <w:r>
        <w:rPr>
          <w:rFonts w:hint="eastAsia" w:cs="宋体"/>
          <w:bCs/>
          <w:color w:val="auto"/>
          <w:highlight w:val="none"/>
        </w:rPr>
        <w:t>4、根据甲方的有关规章制度，在一定时间内暂停乙方参与甲方及下属单位所有项目的交易资格；</w:t>
      </w:r>
    </w:p>
    <w:p>
      <w:pPr>
        <w:pStyle w:val="22"/>
        <w:spacing w:beforeAutospacing="0" w:line="520" w:lineRule="exact"/>
        <w:rPr>
          <w:rFonts w:cs="宋体"/>
          <w:bCs/>
          <w:color w:val="auto"/>
          <w:highlight w:val="none"/>
        </w:rPr>
      </w:pPr>
      <w:r>
        <w:rPr>
          <w:rFonts w:hint="eastAsia" w:cs="宋体"/>
          <w:bCs/>
          <w:color w:val="auto"/>
          <w:highlight w:val="none"/>
        </w:rPr>
        <w:t>5、根据甲方的有关规章制度，将乙方清退出甲方相关企业库；</w:t>
      </w:r>
    </w:p>
    <w:p>
      <w:pPr>
        <w:pStyle w:val="22"/>
        <w:spacing w:beforeAutospacing="0" w:line="520" w:lineRule="exact"/>
        <w:rPr>
          <w:rFonts w:cs="宋体"/>
          <w:bCs/>
          <w:color w:val="auto"/>
          <w:highlight w:val="none"/>
        </w:rPr>
      </w:pPr>
      <w:r>
        <w:rPr>
          <w:rFonts w:hint="eastAsia" w:cs="宋体"/>
          <w:bCs/>
          <w:color w:val="auto"/>
          <w:highlight w:val="none"/>
        </w:rPr>
        <w:t>6、根据甲方上级单位、行政主管部门的意见、决定执行；</w:t>
      </w:r>
    </w:p>
    <w:p>
      <w:pPr>
        <w:pStyle w:val="22"/>
        <w:spacing w:beforeAutospacing="0" w:line="520" w:lineRule="exact"/>
        <w:rPr>
          <w:rFonts w:cs="宋体"/>
          <w:bCs/>
          <w:color w:val="auto"/>
          <w:highlight w:val="none"/>
        </w:rPr>
      </w:pPr>
      <w:r>
        <w:rPr>
          <w:rFonts w:hint="eastAsia" w:cs="宋体"/>
          <w:bCs/>
          <w:color w:val="auto"/>
          <w:highlight w:val="none"/>
        </w:rPr>
        <w:t>7、按规定向有关行政监督部门、乙方业务管理部门进行投诉、报告。</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cs="宋体"/>
          <w:bCs/>
          <w:color w:val="auto"/>
          <w:kern w:val="0"/>
          <w:sz w:val="24"/>
          <w:highlight w:val="none"/>
        </w:rPr>
      </w:pPr>
      <w:r>
        <w:rPr>
          <w:rFonts w:hint="eastAsia" w:ascii="宋体" w:hAnsi="宋体" w:cs="宋体"/>
          <w:bCs/>
          <w:color w:val="auto"/>
          <w:sz w:val="24"/>
          <w:highlight w:val="none"/>
        </w:rPr>
        <w:t xml:space="preserve">第五条 </w:t>
      </w:r>
      <w:r>
        <w:rPr>
          <w:rFonts w:hint="eastAsia" w:ascii="宋体" w:hAnsi="宋体" w:cs="宋体"/>
          <w:bCs/>
          <w:color w:val="auto"/>
          <w:kern w:val="0"/>
          <w:sz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第六条本协议作为</w:t>
      </w:r>
      <w:r>
        <w:rPr>
          <w:rFonts w:hint="eastAsia" w:ascii="宋体" w:hAnsi="宋体" w:cs="宋体"/>
          <w:bCs/>
          <w:color w:val="auto"/>
          <w:sz w:val="24"/>
          <w:highlight w:val="none"/>
          <w:u w:val="single"/>
        </w:rPr>
        <w:t>（合同名称）+（合同编号）</w:t>
      </w:r>
      <w:r>
        <w:rPr>
          <w:rFonts w:hint="eastAsia" w:ascii="宋体" w:hAnsi="宋体" w:cs="宋体"/>
          <w:bCs/>
          <w:color w:val="auto"/>
          <w:sz w:val="24"/>
          <w:highlight w:val="none"/>
        </w:rPr>
        <w:t>合同的附件，并具有同等的法律效力，本协议自双方签字盖章之日起生效，与主合同同时终止。</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第七条本协议一式</w:t>
      </w:r>
      <w:r>
        <w:rPr>
          <w:rFonts w:hint="eastAsia" w:ascii="宋体" w:hAnsi="宋体" w:cs="宋体"/>
          <w:bCs/>
          <w:color w:val="auto"/>
          <w:sz w:val="24"/>
          <w:highlight w:val="none"/>
          <w:u w:val="single"/>
        </w:rPr>
        <w:t>…</w:t>
      </w:r>
      <w:r>
        <w:rPr>
          <w:rFonts w:hint="eastAsia" w:ascii="宋体" w:hAnsi="宋体" w:cs="宋体"/>
          <w:bCs/>
          <w:color w:val="auto"/>
          <w:sz w:val="24"/>
          <w:highlight w:val="none"/>
        </w:rPr>
        <w:t>份，甲方</w:t>
      </w:r>
      <w:r>
        <w:rPr>
          <w:rFonts w:hint="eastAsia" w:ascii="宋体" w:hAnsi="宋体" w:cs="宋体"/>
          <w:bCs/>
          <w:color w:val="auto"/>
          <w:sz w:val="24"/>
          <w:highlight w:val="none"/>
          <w:u w:val="single"/>
        </w:rPr>
        <w:t>…</w:t>
      </w:r>
      <w:r>
        <w:rPr>
          <w:rFonts w:hint="eastAsia" w:ascii="宋体" w:hAnsi="宋体" w:cs="宋体"/>
          <w:bCs/>
          <w:color w:val="auto"/>
          <w:sz w:val="24"/>
          <w:highlight w:val="none"/>
        </w:rPr>
        <w:t>份，乙方</w:t>
      </w:r>
      <w:r>
        <w:rPr>
          <w:rFonts w:hint="eastAsia" w:ascii="宋体" w:hAnsi="宋体" w:cs="宋体"/>
          <w:bCs/>
          <w:color w:val="auto"/>
          <w:sz w:val="24"/>
          <w:highlight w:val="none"/>
          <w:u w:val="single"/>
        </w:rPr>
        <w:t>…</w:t>
      </w:r>
      <w:r>
        <w:rPr>
          <w:rFonts w:hint="eastAsia" w:ascii="宋体" w:hAnsi="宋体" w:cs="宋体"/>
          <w:bCs/>
          <w:color w:val="auto"/>
          <w:sz w:val="24"/>
          <w:highlight w:val="none"/>
        </w:rPr>
        <w:t>份。</w:t>
      </w:r>
    </w:p>
    <w:p>
      <w:pPr>
        <w:spacing w:line="520" w:lineRule="exact"/>
        <w:ind w:firstLine="480" w:firstLineChars="200"/>
        <w:rPr>
          <w:rFonts w:ascii="宋体" w:hAnsi="宋体" w:cs="宋体"/>
          <w:bCs/>
          <w:color w:val="auto"/>
          <w:sz w:val="24"/>
          <w:highlight w:val="none"/>
        </w:rPr>
      </w:pPr>
    </w:p>
    <w:p>
      <w:pPr>
        <w:spacing w:line="520" w:lineRule="exact"/>
        <w:rPr>
          <w:rFonts w:ascii="宋体" w:hAnsi="宋体" w:cs="宋体"/>
          <w:bCs/>
          <w:color w:val="auto"/>
          <w:sz w:val="24"/>
          <w:highlight w:val="none"/>
        </w:rPr>
      </w:pPr>
      <w:r>
        <w:rPr>
          <w:rFonts w:hint="eastAsia" w:ascii="宋体" w:hAnsi="宋体" w:cs="宋体"/>
          <w:bCs/>
          <w:color w:val="auto"/>
          <w:sz w:val="24"/>
          <w:highlight w:val="none"/>
        </w:rPr>
        <w:br w:type="textWrapping"/>
      </w:r>
      <w:r>
        <w:rPr>
          <w:rFonts w:hint="eastAsia" w:ascii="宋体" w:hAnsi="宋体" w:cs="宋体"/>
          <w:bCs/>
          <w:color w:val="auto"/>
          <w:sz w:val="24"/>
          <w:highlight w:val="none"/>
        </w:rPr>
        <w:t>甲方（盖章）：                     乙方（盖章）：</w:t>
      </w:r>
    </w:p>
    <w:p>
      <w:pPr>
        <w:pStyle w:val="35"/>
        <w:tabs>
          <w:tab w:val="left" w:pos="5100"/>
        </w:tabs>
        <w:spacing w:line="520" w:lineRule="exact"/>
        <w:ind w:left="7200" w:firstLine="0" w:firstLineChars="0"/>
        <w:jc w:val="left"/>
        <w:rPr>
          <w:rFonts w:ascii="宋体" w:hAnsi="宋体" w:cs="宋体"/>
          <w:bCs/>
          <w:color w:val="auto"/>
          <w:sz w:val="24"/>
          <w:szCs w:val="24"/>
          <w:highlight w:val="none"/>
        </w:rPr>
      </w:pPr>
    </w:p>
    <w:p>
      <w:pPr>
        <w:tabs>
          <w:tab w:val="left" w:pos="5100"/>
        </w:tabs>
        <w:spacing w:line="520" w:lineRule="exact"/>
        <w:ind w:left="7200" w:hanging="7200" w:hangingChars="3000"/>
        <w:rPr>
          <w:rFonts w:ascii="宋体" w:hAnsi="宋体" w:cs="宋体"/>
          <w:bCs/>
          <w:color w:val="auto"/>
          <w:sz w:val="24"/>
          <w:highlight w:val="none"/>
        </w:rPr>
      </w:pPr>
      <w:r>
        <w:rPr>
          <w:rFonts w:hint="eastAsia" w:ascii="宋体" w:hAnsi="宋体" w:cs="宋体"/>
          <w:bCs/>
          <w:color w:val="auto"/>
          <w:sz w:val="24"/>
          <w:highlight w:val="none"/>
        </w:rPr>
        <w:t>签约代表：                         签约代表：</w:t>
      </w:r>
    </w:p>
    <w:p>
      <w:pPr>
        <w:spacing w:line="360" w:lineRule="auto"/>
        <w:jc w:val="center"/>
        <w:rPr>
          <w:rFonts w:ascii="宋体" w:hAnsi="宋体" w:cs="宋体"/>
          <w:b/>
          <w:color w:val="auto"/>
          <w:szCs w:val="21"/>
          <w:highlight w:val="none"/>
        </w:rPr>
      </w:pPr>
      <w:r>
        <w:rPr>
          <w:rFonts w:hint="eastAsia" w:ascii="宋体" w:hAnsi="宋体" w:cs="宋体"/>
          <w:bCs/>
          <w:color w:val="auto"/>
          <w:sz w:val="24"/>
          <w:highlight w:val="none"/>
        </w:rPr>
        <w:t>日期:    年  月  日</w:t>
      </w:r>
      <w:r>
        <w:rPr>
          <w:rFonts w:hint="eastAsia" w:ascii="宋体" w:hAnsi="宋体" w:cs="宋体"/>
          <w:bCs/>
          <w:color w:val="auto"/>
          <w:sz w:val="24"/>
          <w:highlight w:val="none"/>
        </w:rPr>
        <w:tab/>
      </w:r>
      <w:r>
        <w:rPr>
          <w:rFonts w:hint="eastAsia" w:ascii="宋体" w:hAnsi="宋体" w:cs="宋体"/>
          <w:bCs/>
          <w:color w:val="auto"/>
          <w:sz w:val="24"/>
          <w:highlight w:val="none"/>
        </w:rPr>
        <w:t>日期：  年  月  日</w:t>
      </w:r>
    </w:p>
    <w:p>
      <w:pPr>
        <w:tabs>
          <w:tab w:val="left" w:pos="4170"/>
        </w:tabs>
        <w:spacing w:line="360" w:lineRule="auto"/>
        <w:rPr>
          <w:rFonts w:ascii="宋体" w:hAnsi="宋体" w:cs="宋体"/>
          <w:color w:val="auto"/>
          <w:szCs w:val="21"/>
          <w:highlight w:val="none"/>
        </w:rPr>
      </w:pPr>
    </w:p>
    <w:p>
      <w:pPr>
        <w:rPr>
          <w:rFonts w:ascii="宋体" w:hAnsi="宋体" w:cs="宋体"/>
          <w:color w:val="auto"/>
          <w:szCs w:val="21"/>
          <w:highlight w:val="none"/>
        </w:rPr>
      </w:pPr>
    </w:p>
    <w:p>
      <w:pPr>
        <w:spacing w:line="540" w:lineRule="exact"/>
        <w:rPr>
          <w:rFonts w:ascii="宋体" w:hAnsi="宋体" w:cs="宋体"/>
          <w:color w:val="auto"/>
          <w:szCs w:val="21"/>
          <w:highlight w:val="none"/>
        </w:rPr>
      </w:pPr>
    </w:p>
    <w:p>
      <w:pPr>
        <w:pStyle w:val="9"/>
        <w:rPr>
          <w:rFonts w:ascii="宋体" w:hAnsi="宋体" w:cs="宋体"/>
          <w:color w:val="auto"/>
          <w:szCs w:val="21"/>
          <w:highlight w:val="none"/>
        </w:rPr>
      </w:pPr>
    </w:p>
    <w:p>
      <w:pPr>
        <w:pStyle w:val="9"/>
        <w:rPr>
          <w:rFonts w:ascii="宋体" w:hAnsi="宋体" w:cs="宋体"/>
          <w:color w:val="auto"/>
          <w:szCs w:val="21"/>
          <w:highlight w:val="none"/>
        </w:rPr>
      </w:pPr>
    </w:p>
    <w:p>
      <w:pPr>
        <w:pStyle w:val="9"/>
        <w:rPr>
          <w:rFonts w:ascii="宋体" w:hAnsi="宋体" w:cs="宋体"/>
          <w:color w:val="auto"/>
          <w:szCs w:val="21"/>
          <w:highlight w:val="none"/>
        </w:rPr>
      </w:pPr>
    </w:p>
    <w:p>
      <w:pPr>
        <w:pStyle w:val="9"/>
        <w:rPr>
          <w:rFonts w:ascii="宋体" w:hAnsi="宋体" w:cs="宋体"/>
          <w:color w:val="auto"/>
          <w:szCs w:val="21"/>
          <w:highlight w:val="none"/>
        </w:rPr>
      </w:pPr>
    </w:p>
    <w:p>
      <w:pPr>
        <w:pStyle w:val="9"/>
        <w:rPr>
          <w:rFonts w:ascii="宋体" w:hAnsi="宋体" w:cs="宋体"/>
          <w:color w:val="auto"/>
          <w:szCs w:val="21"/>
          <w:highlight w:val="none"/>
        </w:rPr>
      </w:pPr>
    </w:p>
    <w:p>
      <w:pPr>
        <w:pStyle w:val="9"/>
        <w:rPr>
          <w:rFonts w:ascii="宋体" w:hAnsi="宋体" w:cs="宋体"/>
          <w:color w:val="auto"/>
          <w:szCs w:val="21"/>
          <w:highlight w:val="none"/>
        </w:rPr>
      </w:pPr>
    </w:p>
    <w:p>
      <w:pPr>
        <w:pStyle w:val="9"/>
        <w:rPr>
          <w:rFonts w:ascii="宋体" w:hAnsi="宋体" w:cs="宋体"/>
          <w:color w:val="auto"/>
          <w:szCs w:val="21"/>
          <w:highlight w:val="none"/>
        </w:rPr>
      </w:pPr>
    </w:p>
    <w:p>
      <w:pPr>
        <w:pStyle w:val="9"/>
        <w:rPr>
          <w:rFonts w:ascii="宋体" w:hAnsi="宋体" w:cs="宋体"/>
          <w:color w:val="auto"/>
          <w:szCs w:val="21"/>
          <w:highlight w:val="none"/>
        </w:rPr>
      </w:pPr>
    </w:p>
    <w:p>
      <w:pPr>
        <w:pStyle w:val="9"/>
        <w:rPr>
          <w:rFonts w:ascii="宋体" w:hAnsi="宋体" w:cs="宋体"/>
          <w:color w:val="auto"/>
          <w:szCs w:val="21"/>
          <w:highlight w:val="none"/>
        </w:rPr>
      </w:pPr>
    </w:p>
    <w:p>
      <w:pPr>
        <w:pStyle w:val="9"/>
        <w:rPr>
          <w:rFonts w:ascii="宋体" w:hAnsi="宋体" w:cs="宋体"/>
          <w:color w:val="auto"/>
          <w:szCs w:val="21"/>
          <w:highlight w:val="none"/>
        </w:rPr>
      </w:pPr>
    </w:p>
    <w:p>
      <w:pPr>
        <w:pStyle w:val="9"/>
        <w:rPr>
          <w:rFonts w:ascii="宋体" w:hAnsi="宋体" w:cs="宋体"/>
          <w:color w:val="auto"/>
          <w:szCs w:val="21"/>
          <w:highlight w:val="none"/>
        </w:rPr>
      </w:pPr>
    </w:p>
    <w:p>
      <w:pPr>
        <w:pStyle w:val="8"/>
        <w:rPr>
          <w:rFonts w:ascii="宋体" w:hAnsi="宋体" w:cs="宋体"/>
          <w:color w:val="auto"/>
          <w:szCs w:val="21"/>
          <w:highlight w:val="none"/>
        </w:rPr>
      </w:pPr>
      <w:r>
        <w:rPr>
          <w:rFonts w:hint="eastAsia" w:ascii="宋体" w:hAnsi="宋体" w:cs="宋体"/>
          <w:color w:val="auto"/>
          <w:szCs w:val="21"/>
          <w:highlight w:val="none"/>
        </w:rPr>
        <w:t>附件3</w:t>
      </w:r>
    </w:p>
    <w:p>
      <w:pPr>
        <w:spacing w:line="560" w:lineRule="exact"/>
        <w:jc w:val="center"/>
        <w:rPr>
          <w:rFonts w:ascii="宋体" w:hAnsi="宋体" w:cs="宋体"/>
          <w:b/>
          <w:color w:val="auto"/>
          <w:szCs w:val="21"/>
          <w:highlight w:val="none"/>
        </w:rPr>
      </w:pP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保密协议</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乙方： </w:t>
      </w:r>
    </w:p>
    <w:p>
      <w:pPr>
        <w:kinsoku/>
        <w:overflowPunct/>
        <w:autoSpaceDE/>
        <w:autoSpaceDN/>
        <w:spacing w:line="240" w:lineRule="auto"/>
        <w:ind w:firstLine="0" w:firstLineChars="0"/>
        <w:jc w:val="left"/>
        <w:textAlignment w:val="auto"/>
        <w:rPr>
          <w:rFonts w:ascii="宋体" w:hAnsi="宋体" w:cs="宋体"/>
          <w:color w:val="auto"/>
          <w:szCs w:val="21"/>
          <w:highlight w:val="none"/>
        </w:rPr>
      </w:pPr>
      <w:r>
        <w:rPr>
          <w:rFonts w:hint="eastAsia" w:ascii="宋体" w:hAnsi="宋体" w:cs="宋体"/>
          <w:color w:val="auto"/>
          <w:szCs w:val="21"/>
          <w:highlight w:val="none"/>
        </w:rPr>
        <w:t>甲乙双方就</w:t>
      </w:r>
      <w:r>
        <w:rPr>
          <w:rFonts w:hint="eastAsia" w:ascii="宋体" w:hAnsi="宋体" w:cs="宋体"/>
          <w:color w:val="auto"/>
          <w:szCs w:val="21"/>
          <w:highlight w:val="none"/>
          <w:lang w:val="en-US" w:eastAsia="zh-CN"/>
        </w:rPr>
        <w:t>广州市净水有限公司2022年</w:t>
      </w:r>
      <w:r>
        <w:rPr>
          <w:rFonts w:hint="eastAsia" w:ascii="宋体" w:hAnsi="宋体" w:cs="宋体"/>
          <w:color w:val="auto"/>
          <w:szCs w:val="21"/>
          <w:highlight w:val="none"/>
        </w:rPr>
        <w:t>龙归分公司视频传输网络优化及办公楼WIFI覆盖</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5"/>
        <w:kinsoku w:val="0"/>
        <w:overflowPunct w:val="0"/>
        <w:autoSpaceDE w:val="0"/>
        <w:autoSpaceDN w:val="0"/>
        <w:spacing w:line="440" w:lineRule="exact"/>
        <w:ind w:left="420"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二、保密义务</w:t>
      </w:r>
    </w:p>
    <w:p>
      <w:pPr>
        <w:pStyle w:val="35"/>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管，不得遗失、转借、复印。</w:t>
      </w:r>
    </w:p>
    <w:p>
      <w:pPr>
        <w:pStyle w:val="35"/>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三、本协议作为</w:t>
      </w:r>
      <w:r>
        <w:rPr>
          <w:rFonts w:hint="eastAsia" w:ascii="宋体" w:hAnsi="宋体" w:cs="宋体"/>
          <w:color w:val="auto"/>
          <w:szCs w:val="21"/>
          <w:highlight w:val="none"/>
          <w:u w:val="single"/>
        </w:rPr>
        <w:t xml:space="preserve">龙归分公司视频传输网络优化及办公楼WIFI覆盖，穗净水合【2021】  </w:t>
      </w:r>
      <w:r>
        <w:rPr>
          <w:rFonts w:hint="eastAsia" w:ascii="宋体" w:hAnsi="宋体" w:cs="宋体"/>
          <w:color w:val="auto"/>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四、本协议一式</w:t>
      </w:r>
      <w:r>
        <w:rPr>
          <w:rFonts w:hint="eastAsia" w:ascii="宋体" w:hAnsi="宋体" w:cs="宋体"/>
          <w:color w:val="auto"/>
          <w:szCs w:val="21"/>
          <w:highlight w:val="none"/>
          <w:u w:val="single"/>
        </w:rPr>
        <w:t xml:space="preserve"> 柒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伍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贰 </w:t>
      </w:r>
      <w:r>
        <w:rPr>
          <w:rFonts w:hint="eastAsia" w:ascii="宋体" w:hAnsi="宋体" w:cs="宋体"/>
          <w:color w:val="auto"/>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日期：                       日期：  </w:t>
      </w:r>
    </w:p>
    <w:p>
      <w:pPr>
        <w:spacing w:line="540" w:lineRule="exact"/>
        <w:rPr>
          <w:rFonts w:ascii="宋体" w:hAnsi="宋体" w:cs="宋体"/>
          <w:color w:val="auto"/>
          <w:szCs w:val="21"/>
          <w:highlight w:val="none"/>
        </w:rPr>
      </w:pPr>
    </w:p>
    <w:p>
      <w:pPr>
        <w:spacing w:line="360" w:lineRule="auto"/>
        <w:jc w:val="left"/>
        <w:rPr>
          <w:rFonts w:ascii="黑体" w:hAnsi="Batang" w:eastAsia="黑体" w:cs="Batang"/>
          <w:bCs/>
          <w:color w:val="auto"/>
          <w:kern w:val="0"/>
          <w:sz w:val="44"/>
          <w:szCs w:val="44"/>
          <w:highlight w:val="none"/>
        </w:rPr>
      </w:pPr>
      <w:r>
        <w:rPr>
          <w:rFonts w:hint="eastAsia" w:ascii="宋体" w:hAnsi="宋体" w:cs="宋体"/>
          <w:b/>
          <w:bCs/>
          <w:color w:val="auto"/>
          <w:szCs w:val="21"/>
          <w:highlight w:val="none"/>
        </w:rPr>
        <w:t>附件4</w:t>
      </w:r>
      <w:r>
        <w:rPr>
          <w:rFonts w:hint="eastAsia" w:ascii="宋体" w:hAnsi="宋体" w:cs="宋体"/>
          <w:b/>
          <w:bCs/>
          <w:color w:val="auto"/>
          <w:szCs w:val="21"/>
          <w:highlight w:val="none"/>
          <w:lang w:val="en-US" w:eastAsia="zh-CN"/>
        </w:rPr>
        <w:t>.</w:t>
      </w:r>
      <w:r>
        <w:rPr>
          <w:rFonts w:hint="eastAsia" w:ascii="宋体" w:hAnsi="宋体" w:cs="宋体" w:eastAsiaTheme="minorEastAsia"/>
          <w:b/>
          <w:bCs/>
          <w:color w:val="auto"/>
          <w:kern w:val="2"/>
          <w:sz w:val="21"/>
          <w:szCs w:val="21"/>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乙方：</w:t>
      </w:r>
    </w:p>
    <w:p>
      <w:pPr>
        <w:adjustRightInd w:val="0"/>
        <w:snapToGrid w:val="0"/>
        <w:spacing w:line="560" w:lineRule="exact"/>
        <w:jc w:val="left"/>
        <w:rPr>
          <w:rStyle w:val="27"/>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stheme="minorBidi"/>
          <w:b w:val="0"/>
          <w:color w:val="auto"/>
          <w:sz w:val="24"/>
          <w:szCs w:val="22"/>
          <w:highlight w:val="none"/>
          <w:u w:val="none"/>
          <w:lang w:val="en-US" w:eastAsia="zh-CN"/>
        </w:rPr>
        <w:t>2022年</w:t>
      </w:r>
      <w:r>
        <w:rPr>
          <w:rFonts w:hint="eastAsia" w:asciiTheme="minorEastAsia" w:hAnsiTheme="minorEastAsia" w:eastAsiaTheme="minorEastAsia" w:cstheme="minorBidi"/>
          <w:b w:val="0"/>
          <w:bCs w:val="0"/>
          <w:color w:val="auto"/>
          <w:sz w:val="24"/>
          <w:szCs w:val="22"/>
          <w:highlight w:val="none"/>
          <w:u w:val="none"/>
        </w:rPr>
        <w:t>龙归分公司视频传输网络优化及办公楼WIFI覆盖</w:t>
      </w:r>
      <w:r>
        <w:rPr>
          <w:rFonts w:hint="eastAsia" w:asciiTheme="minorEastAsia" w:hAnsiTheme="minorEastAsia" w:cstheme="minorBidi"/>
          <w:color w:val="auto"/>
          <w:sz w:val="24"/>
          <w:szCs w:val="22"/>
          <w:highlight w:val="none"/>
          <w:u w:val="none"/>
          <w:lang w:val="en-US" w:eastAsia="zh-CN"/>
        </w:rPr>
        <w:t>项目</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stheme="minorBidi"/>
                <w:color w:val="auto"/>
                <w:sz w:val="24"/>
                <w:highlight w:val="none"/>
              </w:rPr>
            </w:pPr>
            <w:r>
              <w:rPr>
                <w:rFonts w:hint="eastAsia" w:asciiTheme="minorEastAsia" w:hAnsiTheme="minorEastAsia" w:eastAsiaTheme="minorEastAsia" w:cstheme="minorBidi"/>
                <w:color w:val="auto"/>
                <w:sz w:val="24"/>
                <w:highlight w:val="none"/>
              </w:rPr>
              <w:t>甲方：</w:t>
            </w:r>
          </w:p>
          <w:p>
            <w:pPr>
              <w:adjustRightInd w:val="0"/>
              <w:snapToGrid w:val="0"/>
              <w:spacing w:line="560" w:lineRule="exact"/>
              <w:rPr>
                <w:rFonts w:asciiTheme="minorEastAsia" w:hAnsiTheme="minorEastAsia" w:eastAsiaTheme="minorEastAsia" w:cstheme="minorBidi"/>
                <w:color w:val="auto"/>
                <w:sz w:val="24"/>
                <w:highlight w:val="none"/>
              </w:rPr>
            </w:pPr>
            <w:r>
              <w:rPr>
                <w:rFonts w:hint="eastAsia" w:asciiTheme="minorEastAsia" w:hAnsiTheme="minorEastAsia" w:eastAsiaTheme="minorEastAsia" w:cstheme="minorBidi"/>
                <w:color w:val="auto"/>
                <w:sz w:val="24"/>
                <w:highlight w:val="none"/>
              </w:rPr>
              <w:t>签约代表：</w:t>
            </w:r>
          </w:p>
          <w:p>
            <w:pPr>
              <w:adjustRightInd w:val="0"/>
              <w:snapToGrid w:val="0"/>
              <w:spacing w:line="560" w:lineRule="exact"/>
              <w:rPr>
                <w:rFonts w:asciiTheme="minorEastAsia" w:hAnsiTheme="minorEastAsia" w:eastAsiaTheme="minorEastAsia" w:cstheme="minorBidi"/>
                <w:color w:val="auto"/>
                <w:sz w:val="24"/>
                <w:highlight w:val="none"/>
              </w:rPr>
            </w:pPr>
            <w:r>
              <w:rPr>
                <w:rFonts w:hint="eastAsia" w:asciiTheme="minorEastAsia" w:hAnsiTheme="minorEastAsia" w:eastAsiaTheme="minorEastAsia" w:cstheme="minorBidi"/>
                <w:color w:val="auto"/>
                <w:sz w:val="24"/>
                <w:highlight w:val="none"/>
              </w:rPr>
              <w:t>联系电话：</w:t>
            </w:r>
          </w:p>
          <w:p>
            <w:pPr>
              <w:adjustRightInd w:val="0"/>
              <w:snapToGrid w:val="0"/>
              <w:spacing w:line="560" w:lineRule="exact"/>
              <w:ind w:firstLine="240" w:firstLineChars="100"/>
              <w:rPr>
                <w:rFonts w:asciiTheme="minorEastAsia" w:hAnsiTheme="minorEastAsia" w:eastAsiaTheme="minorEastAsia" w:cstheme="minorBidi"/>
                <w:color w:val="auto"/>
                <w:sz w:val="24"/>
                <w:highlight w:val="none"/>
              </w:rPr>
            </w:pPr>
            <w:r>
              <w:rPr>
                <w:rFonts w:hint="eastAsia" w:asciiTheme="minorEastAsia" w:hAnsiTheme="minorEastAsia" w:eastAsiaTheme="minorEastAsia" w:cstheme="minorBidi"/>
                <w:color w:val="auto"/>
                <w:sz w:val="24"/>
                <w:highlight w:val="none"/>
              </w:rPr>
              <w:t>年</w:t>
            </w:r>
            <w:r>
              <w:rPr>
                <w:rFonts w:asciiTheme="minorEastAsia" w:hAnsiTheme="minorEastAsia" w:eastAsiaTheme="minorEastAsia" w:cstheme="minorBidi"/>
                <w:color w:val="auto"/>
                <w:sz w:val="24"/>
                <w:highlight w:val="none"/>
              </w:rPr>
              <w:t xml:space="preserve">    </w:t>
            </w:r>
            <w:r>
              <w:rPr>
                <w:rFonts w:hint="eastAsia" w:asciiTheme="minorEastAsia" w:hAnsiTheme="minorEastAsia" w:eastAsiaTheme="minorEastAsia" w:cstheme="minorBidi"/>
                <w:color w:val="auto"/>
                <w:sz w:val="24"/>
                <w:highlight w:val="none"/>
              </w:rPr>
              <w:t>月</w:t>
            </w:r>
            <w:r>
              <w:rPr>
                <w:rFonts w:asciiTheme="minorEastAsia" w:hAnsiTheme="minorEastAsia" w:eastAsiaTheme="minorEastAsia" w:cstheme="minorBidi"/>
                <w:color w:val="auto"/>
                <w:sz w:val="24"/>
                <w:highlight w:val="none"/>
              </w:rPr>
              <w:t xml:space="preserve">    </w:t>
            </w:r>
            <w:r>
              <w:rPr>
                <w:rFonts w:hint="eastAsia" w:asciiTheme="minorEastAsia" w:hAnsiTheme="minorEastAsia" w:eastAsiaTheme="minorEastAsia" w:cstheme="minorBidi"/>
                <w:color w:val="auto"/>
                <w:sz w:val="24"/>
                <w:highlight w:val="none"/>
              </w:rPr>
              <w:t>日</w:t>
            </w:r>
          </w:p>
        </w:tc>
        <w:tc>
          <w:tcPr>
            <w:tcW w:w="4474" w:type="dxa"/>
          </w:tcPr>
          <w:p>
            <w:pPr>
              <w:adjustRightInd w:val="0"/>
              <w:snapToGrid w:val="0"/>
              <w:spacing w:line="560" w:lineRule="exact"/>
              <w:rPr>
                <w:rFonts w:asciiTheme="minorEastAsia" w:hAnsiTheme="minorEastAsia" w:eastAsiaTheme="minorEastAsia" w:cstheme="minorBidi"/>
                <w:color w:val="auto"/>
                <w:sz w:val="24"/>
                <w:highlight w:val="none"/>
              </w:rPr>
            </w:pPr>
            <w:r>
              <w:rPr>
                <w:rFonts w:hint="eastAsia" w:asciiTheme="minorEastAsia" w:hAnsiTheme="minorEastAsia" w:eastAsiaTheme="minorEastAsia" w:cstheme="minorBidi"/>
                <w:color w:val="auto"/>
                <w:sz w:val="24"/>
                <w:highlight w:val="none"/>
              </w:rPr>
              <w:t>乙方：</w:t>
            </w:r>
          </w:p>
          <w:p>
            <w:pPr>
              <w:adjustRightInd w:val="0"/>
              <w:snapToGrid w:val="0"/>
              <w:spacing w:line="560" w:lineRule="exact"/>
              <w:rPr>
                <w:rFonts w:asciiTheme="minorEastAsia" w:hAnsiTheme="minorEastAsia" w:eastAsiaTheme="minorEastAsia" w:cstheme="minorBidi"/>
                <w:color w:val="auto"/>
                <w:sz w:val="24"/>
                <w:highlight w:val="none"/>
              </w:rPr>
            </w:pPr>
            <w:r>
              <w:rPr>
                <w:rFonts w:hint="eastAsia" w:asciiTheme="minorEastAsia" w:hAnsiTheme="minorEastAsia" w:eastAsiaTheme="minorEastAsia" w:cstheme="minorBidi"/>
                <w:color w:val="auto"/>
                <w:sz w:val="24"/>
                <w:highlight w:val="none"/>
              </w:rPr>
              <w:t>签约代表：</w:t>
            </w:r>
          </w:p>
          <w:p>
            <w:pPr>
              <w:adjustRightInd w:val="0"/>
              <w:snapToGrid w:val="0"/>
              <w:spacing w:line="560" w:lineRule="exact"/>
              <w:rPr>
                <w:rFonts w:asciiTheme="minorEastAsia" w:hAnsiTheme="minorEastAsia" w:eastAsiaTheme="minorEastAsia" w:cstheme="minorBidi"/>
                <w:color w:val="auto"/>
                <w:sz w:val="24"/>
                <w:highlight w:val="none"/>
              </w:rPr>
            </w:pPr>
            <w:r>
              <w:rPr>
                <w:rFonts w:hint="eastAsia" w:asciiTheme="minorEastAsia" w:hAnsiTheme="minorEastAsia" w:eastAsiaTheme="minorEastAsia" w:cstheme="minorBidi"/>
                <w:color w:val="auto"/>
                <w:sz w:val="24"/>
                <w:highlight w:val="none"/>
              </w:rPr>
              <w:t>联系电话：</w:t>
            </w:r>
          </w:p>
          <w:p>
            <w:pPr>
              <w:adjustRightInd w:val="0"/>
              <w:snapToGrid w:val="0"/>
              <w:spacing w:line="560" w:lineRule="exact"/>
              <w:jc w:val="center"/>
              <w:rPr>
                <w:rFonts w:asciiTheme="minorEastAsia" w:hAnsiTheme="minorEastAsia" w:eastAsiaTheme="minorEastAsia" w:cstheme="minorBidi"/>
                <w:color w:val="auto"/>
                <w:sz w:val="24"/>
                <w:highlight w:val="none"/>
              </w:rPr>
            </w:pPr>
            <w:r>
              <w:rPr>
                <w:rFonts w:hint="eastAsia" w:asciiTheme="minorEastAsia" w:hAnsiTheme="minorEastAsia" w:eastAsiaTheme="minorEastAsia" w:cstheme="minorBidi"/>
                <w:color w:val="auto"/>
                <w:sz w:val="24"/>
                <w:highlight w:val="none"/>
              </w:rPr>
              <w:t>年</w:t>
            </w:r>
            <w:r>
              <w:rPr>
                <w:rFonts w:asciiTheme="minorEastAsia" w:hAnsiTheme="minorEastAsia" w:eastAsiaTheme="minorEastAsia" w:cstheme="minorBidi"/>
                <w:color w:val="auto"/>
                <w:sz w:val="24"/>
                <w:highlight w:val="none"/>
              </w:rPr>
              <w:t xml:space="preserve">    </w:t>
            </w:r>
            <w:r>
              <w:rPr>
                <w:rFonts w:hint="eastAsia" w:asciiTheme="minorEastAsia" w:hAnsiTheme="minorEastAsia" w:eastAsiaTheme="minorEastAsia" w:cstheme="minorBidi"/>
                <w:color w:val="auto"/>
                <w:sz w:val="24"/>
                <w:highlight w:val="none"/>
              </w:rPr>
              <w:t>月</w:t>
            </w:r>
            <w:r>
              <w:rPr>
                <w:rFonts w:asciiTheme="minorEastAsia" w:hAnsiTheme="minorEastAsia" w:eastAsiaTheme="minorEastAsia" w:cstheme="minorBidi"/>
                <w:color w:val="auto"/>
                <w:sz w:val="24"/>
                <w:highlight w:val="none"/>
              </w:rPr>
              <w:t xml:space="preserve">    </w:t>
            </w:r>
            <w:r>
              <w:rPr>
                <w:rFonts w:hint="eastAsia" w:asciiTheme="minorEastAsia" w:hAnsiTheme="minorEastAsia" w:eastAsiaTheme="minorEastAsia" w:cstheme="minorBidi"/>
                <w:color w:val="auto"/>
                <w:sz w:val="24"/>
                <w:highlight w:val="none"/>
              </w:rPr>
              <w:t>日</w:t>
            </w:r>
          </w:p>
        </w:tc>
      </w:tr>
    </w:tbl>
    <w:p>
      <w:pPr>
        <w:rPr>
          <w:rFonts w:ascii="仿宋_GB2312" w:hAnsi="仿宋_GB2312" w:eastAsia="仿宋_GB2312" w:cs="仿宋_GB2312"/>
          <w:color w:val="auto"/>
          <w:sz w:val="28"/>
          <w:szCs w:val="28"/>
          <w:highlight w:val="none"/>
        </w:rPr>
      </w:pPr>
    </w:p>
    <w:p>
      <w:pPr>
        <w:pStyle w:val="3"/>
        <w:rPr>
          <w:rFonts w:ascii="方正小标宋简体" w:eastAsia="方正小标宋简体" w:cs="Times New Roman"/>
          <w:color w:val="auto"/>
          <w:sz w:val="44"/>
          <w:szCs w:val="44"/>
          <w:highlight w:val="none"/>
        </w:rPr>
      </w:pPr>
    </w:p>
    <w:p>
      <w:pPr>
        <w:widowControl w:val="0"/>
        <w:spacing w:after="120"/>
        <w:jc w:val="both"/>
        <w:rPr>
          <w:rFonts w:ascii="Calibri" w:hAnsi="Calibri" w:eastAsia="宋体" w:cs="Times New Roman"/>
          <w:color w:val="auto"/>
          <w:kern w:val="2"/>
          <w:sz w:val="21"/>
          <w:szCs w:val="22"/>
          <w:highlight w:val="none"/>
          <w:lang w:val="en-US" w:eastAsia="zh-CN" w:bidi="ar-SA"/>
        </w:rPr>
      </w:pPr>
    </w:p>
    <w:p>
      <w:pPr>
        <w:pStyle w:val="7"/>
        <w:widowControl w:val="0"/>
        <w:adjustRightInd w:val="0"/>
        <w:snapToGrid w:val="0"/>
        <w:spacing w:after="0" w:line="360" w:lineRule="auto"/>
        <w:ind w:left="0" w:leftChars="0" w:firstLine="420"/>
        <w:jc w:val="both"/>
        <w:textAlignment w:val="baseline"/>
        <w:rPr>
          <w:rFonts w:ascii="宋体" w:hAnsi="宋体" w:eastAsia="等线" w:cs="宋体"/>
          <w:b/>
          <w:bCs/>
          <w:color w:val="auto"/>
          <w:kern w:val="0"/>
          <w:sz w:val="24"/>
          <w:szCs w:val="21"/>
          <w:highlight w:val="none"/>
          <w:lang w:val="en-US" w:eastAsia="zh-CN" w:bidi="ar-SA"/>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w:t>
      </w:r>
      <w:r>
        <w:rPr>
          <w:rFonts w:hint="eastAsia" w:ascii="宋体" w:hAnsi="宋体" w:cs="宋体"/>
          <w:b/>
          <w:color w:val="auto"/>
          <w:szCs w:val="21"/>
          <w:highlight w:val="none"/>
          <w:lang w:val="en-US" w:eastAsia="zh-CN"/>
        </w:rPr>
        <w:t>工程量清单报价（</w:t>
      </w:r>
      <w:r>
        <w:rPr>
          <w:rFonts w:hint="eastAsia" w:ascii="宋体" w:hAnsi="宋体" w:cs="宋体"/>
          <w:b/>
          <w:bCs/>
          <w:color w:val="auto"/>
          <w:szCs w:val="21"/>
          <w:highlight w:val="none"/>
          <w:lang w:val="en-US" w:eastAsia="zh-CN"/>
        </w:rPr>
        <w:t>详见询价文件</w:t>
      </w:r>
      <w:r>
        <w:rPr>
          <w:rFonts w:hint="eastAsia" w:ascii="宋体" w:hAnsi="宋体" w:eastAsia="宋体" w:cs="宋体"/>
          <w:color w:val="auto"/>
          <w:sz w:val="32"/>
          <w:szCs w:val="21"/>
          <w:highlight w:val="none"/>
          <w:lang w:val="en-US" w:eastAsia="zh-CN"/>
        </w:rPr>
        <w:t>5</w:t>
      </w:r>
      <w:r>
        <w:rPr>
          <w:rFonts w:hint="eastAsia" w:ascii="宋体" w:hAnsi="宋体" w:eastAsia="宋体" w:cs="宋体"/>
          <w:color w:val="auto"/>
          <w:sz w:val="32"/>
          <w:szCs w:val="21"/>
          <w:highlight w:val="none"/>
        </w:rPr>
        <w:t>.报价表</w:t>
      </w:r>
      <w:r>
        <w:rPr>
          <w:rFonts w:hint="eastAsia" w:ascii="宋体" w:hAnsi="宋体" w:cs="宋体"/>
          <w:b/>
          <w:color w:val="auto"/>
          <w:szCs w:val="21"/>
          <w:highlight w:val="none"/>
          <w:lang w:val="en-US" w:eastAsia="zh-CN"/>
        </w:rPr>
        <w:t>）</w:t>
      </w:r>
    </w:p>
    <w:p>
      <w:pPr>
        <w:widowControl w:val="0"/>
        <w:adjustRightInd w:val="0"/>
        <w:snapToGrid w:val="0"/>
        <w:spacing w:after="0" w:line="360" w:lineRule="auto"/>
        <w:ind w:left="0" w:leftChars="0" w:firstLine="420"/>
        <w:jc w:val="both"/>
        <w:textAlignment w:val="baseline"/>
        <w:rPr>
          <w:rFonts w:ascii="宋体" w:hAnsi="宋体" w:eastAsia="等线" w:cs="宋体"/>
          <w:b/>
          <w:bCs/>
          <w:color w:val="auto"/>
          <w:kern w:val="0"/>
          <w:sz w:val="24"/>
          <w:szCs w:val="21"/>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pStyle w:val="9"/>
        <w:rPr>
          <w:rFonts w:hint="eastAsia" w:ascii="Calibri" w:hAnsi="Calibri" w:eastAsia="宋体" w:cs="Times New Roman"/>
          <w:color w:val="auto"/>
          <w:kern w:val="2"/>
          <w:sz w:val="21"/>
          <w:szCs w:val="22"/>
          <w:highlight w:val="none"/>
          <w:lang w:val="en-US" w:eastAsia="zh-CN" w:bidi="ar-SA"/>
        </w:rPr>
      </w:pPr>
    </w:p>
    <w:p>
      <w:pPr>
        <w:pStyle w:val="9"/>
        <w:rPr>
          <w:rFonts w:hint="eastAsia" w:ascii="Calibri" w:hAnsi="Calibri" w:eastAsia="宋体" w:cs="Times New Roman"/>
          <w:color w:val="auto"/>
          <w:kern w:val="2"/>
          <w:sz w:val="21"/>
          <w:szCs w:val="22"/>
          <w:highlight w:val="none"/>
          <w:lang w:val="en-US" w:eastAsia="zh-CN" w:bidi="ar-SA"/>
        </w:rPr>
      </w:pPr>
    </w:p>
    <w:p>
      <w:pPr>
        <w:pStyle w:val="9"/>
        <w:rPr>
          <w:rFonts w:hint="eastAsia" w:ascii="Calibri" w:hAnsi="Calibri" w:eastAsia="宋体" w:cs="Times New Roman"/>
          <w:color w:val="auto"/>
          <w:kern w:val="2"/>
          <w:sz w:val="21"/>
          <w:szCs w:val="22"/>
          <w:highlight w:val="none"/>
          <w:lang w:val="en-US" w:eastAsia="zh-CN" w:bidi="ar-SA"/>
        </w:rPr>
      </w:pPr>
    </w:p>
    <w:p>
      <w:pPr>
        <w:pStyle w:val="9"/>
        <w:rPr>
          <w:rFonts w:hint="eastAsia" w:ascii="Calibri" w:hAnsi="Calibri" w:eastAsia="宋体" w:cs="Times New Roman"/>
          <w:color w:val="auto"/>
          <w:kern w:val="2"/>
          <w:sz w:val="21"/>
          <w:szCs w:val="22"/>
          <w:highlight w:val="none"/>
          <w:lang w:val="en-US" w:eastAsia="zh-CN" w:bidi="ar-SA"/>
        </w:rPr>
      </w:pPr>
    </w:p>
    <w:p>
      <w:pPr>
        <w:pStyle w:val="9"/>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adjustRightInd w:val="0"/>
        <w:snapToGrid w:val="0"/>
        <w:rPr>
          <w:rFonts w:hint="eastAsia" w:ascii="宋体" w:hAnsi="宋体" w:cs="宋体"/>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w:t>
      </w:r>
      <w:r>
        <w:rPr>
          <w:rFonts w:hint="eastAsia" w:ascii="宋体" w:hAnsi="宋体" w:cs="宋体"/>
          <w:color w:val="auto"/>
          <w:szCs w:val="21"/>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处理</w:t>
            </w:r>
          </w:p>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发生重伤或死亡1～2人的，暂停投标1年至2年（含）。</w:t>
            </w:r>
          </w:p>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发生重伤或死亡3～9人的，暂停投标2年以上至4年。</w:t>
            </w:r>
          </w:p>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其他不诚信</w:t>
            </w:r>
          </w:p>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bl>
    <w:p>
      <w:pPr>
        <w:contextualSpacing/>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备注：本处理标准出自《广州市净水有限公司经营建设项目参建企业不诚信行为管理办法》。</w:t>
      </w: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pStyle w:val="9"/>
        <w:rPr>
          <w:rFonts w:hint="eastAsia" w:ascii="Calibri" w:hAnsi="Calibri" w:eastAsia="宋体" w:cs="Times New Roman"/>
          <w:color w:val="auto"/>
          <w:kern w:val="2"/>
          <w:sz w:val="21"/>
          <w:szCs w:val="22"/>
          <w:highlight w:val="none"/>
          <w:lang w:val="en-US" w:eastAsia="zh-CN" w:bidi="ar-SA"/>
        </w:rPr>
      </w:pPr>
    </w:p>
    <w:p>
      <w:pPr>
        <w:pStyle w:val="9"/>
        <w:rPr>
          <w:rFonts w:hint="eastAsia" w:ascii="Calibri" w:hAnsi="Calibri" w:eastAsia="宋体" w:cs="Times New Roman"/>
          <w:color w:val="auto"/>
          <w:kern w:val="2"/>
          <w:sz w:val="21"/>
          <w:szCs w:val="22"/>
          <w:highlight w:val="none"/>
          <w:lang w:val="en-US" w:eastAsia="zh-CN" w:bidi="ar-SA"/>
        </w:rPr>
      </w:pPr>
    </w:p>
    <w:p>
      <w:pPr>
        <w:pStyle w:val="9"/>
        <w:rPr>
          <w:rFonts w:hint="eastAsia" w:ascii="Calibri" w:hAnsi="Calibri" w:eastAsia="宋体" w:cs="Times New Roman"/>
          <w:color w:val="auto"/>
          <w:kern w:val="2"/>
          <w:sz w:val="21"/>
          <w:szCs w:val="22"/>
          <w:highlight w:val="none"/>
          <w:lang w:val="en-US" w:eastAsia="zh-CN" w:bidi="ar-SA"/>
        </w:rPr>
      </w:pPr>
    </w:p>
    <w:p>
      <w:pPr>
        <w:pStyle w:val="9"/>
        <w:rPr>
          <w:rFonts w:hint="eastAsia" w:ascii="Calibri" w:hAnsi="Calibri" w:eastAsia="宋体" w:cs="Times New Roman"/>
          <w:color w:val="auto"/>
          <w:kern w:val="2"/>
          <w:sz w:val="21"/>
          <w:szCs w:val="22"/>
          <w:highlight w:val="none"/>
          <w:lang w:val="en-US" w:eastAsia="zh-CN" w:bidi="ar-SA"/>
        </w:rPr>
      </w:pPr>
    </w:p>
    <w:p>
      <w:pPr>
        <w:pStyle w:val="9"/>
        <w:rPr>
          <w:rFonts w:hint="eastAsia" w:ascii="Calibri" w:hAnsi="Calibri" w:eastAsia="宋体" w:cs="Times New Roman"/>
          <w:color w:val="auto"/>
          <w:kern w:val="2"/>
          <w:sz w:val="21"/>
          <w:szCs w:val="22"/>
          <w:highlight w:val="none"/>
          <w:lang w:val="en-US" w:eastAsia="zh-CN" w:bidi="ar-SA"/>
        </w:rPr>
      </w:pPr>
    </w:p>
    <w:p>
      <w:pPr>
        <w:pStyle w:val="9"/>
        <w:rPr>
          <w:rFonts w:hint="eastAsia" w:ascii="Calibri" w:hAnsi="Calibri" w:eastAsia="宋体" w:cs="Times New Roman"/>
          <w:color w:val="auto"/>
          <w:kern w:val="2"/>
          <w:sz w:val="21"/>
          <w:szCs w:val="22"/>
          <w:highlight w:val="none"/>
          <w:lang w:val="en-US" w:eastAsia="zh-CN" w:bidi="ar-SA"/>
        </w:rPr>
      </w:pPr>
    </w:p>
    <w:p>
      <w:pPr>
        <w:pStyle w:val="9"/>
        <w:rPr>
          <w:rFonts w:hint="eastAsia" w:ascii="Calibri" w:hAnsi="Calibri" w:eastAsia="宋体" w:cs="Times New Roman"/>
          <w:color w:val="auto"/>
          <w:kern w:val="2"/>
          <w:sz w:val="21"/>
          <w:szCs w:val="22"/>
          <w:highlight w:val="none"/>
          <w:lang w:val="en-US" w:eastAsia="zh-CN" w:bidi="ar-SA"/>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：履约保函（模板）</w:t>
      </w:r>
    </w:p>
    <w:p>
      <w:pPr>
        <w:jc w:val="center"/>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履约保函模板</w:t>
      </w:r>
    </w:p>
    <w:p>
      <w:pPr>
        <w:rPr>
          <w:rFonts w:ascii="宋体" w:hAnsi="宋体" w:eastAsia="宋体" w:cs="Times New Roman"/>
          <w:color w:val="auto"/>
          <w:sz w:val="24"/>
          <w:highlight w:val="none"/>
        </w:rPr>
      </w:pPr>
    </w:p>
    <w:p>
      <w:pPr>
        <w:rPr>
          <w:rFonts w:ascii="宋体" w:hAnsi="宋体" w:eastAsia="宋体" w:cs="Times New Roman"/>
          <w:color w:val="auto"/>
          <w:sz w:val="24"/>
          <w:highlight w:val="none"/>
        </w:rPr>
      </w:pPr>
      <w:r>
        <w:rPr>
          <w:rFonts w:hint="eastAsia" w:ascii="宋体" w:hAnsi="宋体" w:eastAsia="宋体" w:cs="Times New Roman"/>
          <w:color w:val="auto"/>
          <w:sz w:val="24"/>
          <w:highlight w:val="none"/>
        </w:rPr>
        <w:t>致：</w:t>
      </w:r>
      <w:r>
        <w:rPr>
          <w:rFonts w:hint="eastAsia" w:ascii="宋体" w:hAnsi="宋体" w:eastAsia="宋体" w:cs="Times New Roman"/>
          <w:color w:val="auto"/>
          <w:sz w:val="24"/>
          <w:highlight w:val="none"/>
          <w:u w:val="single"/>
        </w:rPr>
        <w:t xml:space="preserve">               （受益人）</w:t>
      </w:r>
      <w:r>
        <w:rPr>
          <w:rFonts w:ascii="宋体" w:hAnsi="宋体" w:eastAsia="宋体" w:cs="Times New Roman"/>
          <w:color w:val="auto"/>
          <w:sz w:val="24"/>
          <w:highlight w:val="none"/>
        </w:rPr>
        <w:br w:type="textWrapping"/>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鉴于（以下简称“委托人”）与贵方于</w:t>
      </w:r>
      <w:r>
        <w:rPr>
          <w:rFonts w:hint="eastAsia" w:ascii="宋体" w:hAnsi="宋体" w:eastAsia="宋体" w:cs="Times New Roman"/>
          <w:color w:val="auto"/>
          <w:sz w:val="24"/>
          <w:highlight w:val="none"/>
          <w:u w:val="single"/>
        </w:rPr>
        <w:t xml:space="preserve">   年  月  日</w:t>
      </w:r>
      <w:r>
        <w:rPr>
          <w:rFonts w:hint="eastAsia" w:ascii="宋体" w:hAnsi="宋体" w:eastAsia="宋体" w:cs="Times New Roman"/>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二、贵单位的索赔申请应符合下述条件：</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（一）贵单位法定代表人或其授权代表签字并加盖单位公章；</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（二）在保函有效期内送达我行；</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（三）明确的索赔金额（不得超过本保函第一条所列之限额）。</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三、本保函自签发之日起生效，有效期至</w:t>
      </w:r>
      <w:r>
        <w:rPr>
          <w:rFonts w:hint="eastAsia" w:ascii="宋体" w:hAnsi="宋体" w:eastAsia="宋体" w:cs="Times New Roman"/>
          <w:color w:val="auto"/>
          <w:sz w:val="24"/>
          <w:highlight w:val="none"/>
          <w:u w:val="single"/>
        </w:rPr>
        <w:t xml:space="preserve">  年  月  日</w:t>
      </w:r>
      <w:r>
        <w:rPr>
          <w:rFonts w:hint="eastAsia" w:ascii="宋体" w:hAnsi="宋体" w:eastAsia="宋体" w:cs="Times New Roman"/>
          <w:color w:val="auto"/>
          <w:sz w:val="24"/>
          <w:highlight w:val="none"/>
        </w:rPr>
        <w:t>。本保函于下述任一事项发生之时立即失效，我行在本保函项下的保证义务即刻解除：</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（一）本保函有效期限届满；</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（二）我行保证的义务履行完毕。</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五、我行向你方支付索赔金额后，本保函担保金额即按贵方通知的索赔金额予以递减。</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六、保函失效后请将保函退回我行注销，无论正本最终退回与否，不影响本保函依上述约定自动失效。</w:t>
      </w:r>
    </w:p>
    <w:p>
      <w:pPr>
        <w:ind w:firstLine="420"/>
        <w:rPr>
          <w:rFonts w:ascii="宋体" w:hAnsi="宋体" w:eastAsia="宋体" w:cs="Times New Roman"/>
          <w:color w:val="auto"/>
          <w:sz w:val="24"/>
          <w:highlight w:val="none"/>
        </w:rPr>
      </w:pPr>
    </w:p>
    <w:p>
      <w:pPr>
        <w:ind w:firstLine="420"/>
        <w:rPr>
          <w:rFonts w:ascii="宋体" w:hAnsi="宋体" w:eastAsia="宋体" w:cs="Times New Roman"/>
          <w:color w:val="auto"/>
          <w:sz w:val="24"/>
          <w:highlight w:val="none"/>
        </w:rPr>
      </w:pP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落款</w:t>
      </w:r>
    </w:p>
    <w:p>
      <w:pPr>
        <w:ind w:firstLine="420"/>
        <w:rPr>
          <w:rFonts w:ascii="宋体" w:hAnsi="宋体" w:eastAsia="宋体" w:cs="Times New Roman"/>
          <w:color w:val="auto"/>
          <w:sz w:val="24"/>
          <w:highlight w:val="none"/>
        </w:rPr>
      </w:pPr>
    </w:p>
    <w:p>
      <w:pPr>
        <w:ind w:firstLine="645"/>
        <w:rPr>
          <w:rFonts w:ascii="宋体" w:hAnsi="宋体" w:eastAsia="宋体" w:cs="Times New Roman"/>
          <w:color w:val="auto"/>
          <w:sz w:val="24"/>
          <w:highlight w:val="none"/>
        </w:rPr>
      </w:pPr>
      <w:r>
        <w:rPr>
          <w:rFonts w:hint="eastAsia" w:ascii="宋体" w:hAnsi="宋体" w:eastAsia="宋体" w:cs="Times New Roman"/>
          <w:color w:val="auto"/>
          <w:sz w:val="24"/>
          <w:highlight w:val="none"/>
        </w:rPr>
        <w:t>保函说明：</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保函不得有下列或类似含义的表述：</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1.银行承担的为连带责任保证、一般保证。</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2.未经银行书面同意，受益人与申请人修改合同或其项下附件时，银行的保证义务解除。</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3.合同撤销或无效的，保函失效。</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4.申请人对受益人的抗辩，银行有权向受益人主张。</w:t>
      </w:r>
    </w:p>
    <w:p>
      <w:pPr>
        <w:ind w:firstLine="645"/>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5.受益人请求付款的请款单据包含法院裁判文书、仲裁裁决、第三方单位出具的鉴定书等申请人违约的证明材料。</w:t>
      </w:r>
    </w:p>
    <w:p>
      <w:pPr>
        <w:jc w:val="center"/>
        <w:rPr>
          <w:rFonts w:hint="eastAsia" w:ascii="黑体" w:hAnsi="黑体" w:eastAsia="黑体"/>
          <w:color w:val="auto"/>
          <w:sz w:val="36"/>
          <w:szCs w:val="36"/>
          <w:highlight w:val="none"/>
        </w:rPr>
      </w:pPr>
    </w:p>
    <w:p>
      <w:pPr>
        <w:jc w:val="left"/>
        <w:rPr>
          <w:rFonts w:hint="eastAsia" w:ascii="黑体" w:hAnsi="黑体" w:eastAsia="黑体"/>
          <w:color w:val="auto"/>
          <w:sz w:val="36"/>
          <w:szCs w:val="36"/>
          <w:highlight w:val="none"/>
        </w:rPr>
      </w:pPr>
      <w:r>
        <w:rPr>
          <w:rFonts w:hint="eastAsia" w:ascii="黑体" w:hAnsi="黑体" w:eastAsia="黑体"/>
          <w:color w:val="auto"/>
          <w:sz w:val="36"/>
          <w:szCs w:val="36"/>
          <w:highlight w:val="none"/>
          <w:lang w:val="en-US" w:eastAsia="zh-CN"/>
        </w:rPr>
        <w:t>附件8：</w:t>
      </w:r>
      <w:r>
        <w:rPr>
          <w:rFonts w:hint="eastAsia" w:ascii="黑体" w:hAnsi="黑体" w:eastAsia="黑体"/>
          <w:color w:val="auto"/>
          <w:sz w:val="36"/>
          <w:szCs w:val="36"/>
          <w:highlight w:val="none"/>
        </w:rPr>
        <w:t>预付款保函模板</w:t>
      </w:r>
    </w:p>
    <w:p>
      <w:pPr>
        <w:jc w:val="left"/>
        <w:rPr>
          <w:rFonts w:hint="default" w:ascii="黑体" w:hAnsi="黑体" w:eastAsia="黑体"/>
          <w:color w:val="auto"/>
          <w:sz w:val="36"/>
          <w:szCs w:val="36"/>
          <w:highlight w:val="none"/>
          <w:lang w:val="en-US" w:eastAsia="zh-CN"/>
        </w:rPr>
      </w:pPr>
    </w:p>
    <w:p>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预付款保函模板</w:t>
      </w:r>
    </w:p>
    <w:p>
      <w:pPr>
        <w:rPr>
          <w:color w:val="auto"/>
          <w:highlight w:val="none"/>
        </w:rPr>
      </w:pP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（受益人）</w:t>
      </w:r>
    </w:p>
    <w:p>
      <w:pPr>
        <w:rPr>
          <w:rFonts w:ascii="仿宋" w:hAnsi="仿宋" w:eastAsia="仿宋"/>
          <w:color w:val="auto"/>
          <w:sz w:val="28"/>
          <w:szCs w:val="28"/>
          <w:highlight w:val="none"/>
        </w:rPr>
      </w:pPr>
    </w:p>
    <w:p>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鉴于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（以下简称“委托人”）与你方于</w:t>
      </w:r>
      <w:r>
        <w:rPr>
          <w:rFonts w:hint="eastAsia" w:ascii="仿宋" w:hAnsi="仿宋" w:eastAsia="仿宋"/>
          <w:color w:val="auto"/>
          <w:sz w:val="28"/>
          <w:szCs w:val="28"/>
          <w:highlight w:val="none"/>
          <w:u w:val="single"/>
        </w:rPr>
        <w:t xml:space="preserve">   年  月  日</w:t>
      </w:r>
      <w:r>
        <w:rPr>
          <w:rFonts w:hint="eastAsia" w:ascii="仿宋" w:hAnsi="仿宋" w:eastAsia="仿宋"/>
          <w:color w:val="auto"/>
          <w:sz w:val="28"/>
          <w:szCs w:val="28"/>
          <w:highlight w:val="none"/>
        </w:rPr>
        <w:t>签订了</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（以下简称“合同”），你方将按上述基础交易合同约定向委托人支付预付款人民币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）。我行接受委托人的申请，特此开立以你方为受益人的最高金额为人民币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）（以下称“保函金额”）的保函。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一、本保函为不可撤销、见索即付的独立保函。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二、在本保函的有效期内，如委托人违反上述基础交易合同约定的义务而未向你方退还预付款，我行将在收到你方提交的符合下述要求的索赔通知书后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日内，以上述保函金额为限向你方支付相应款项。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（一）索赔通知书须写明请求付款的金额，并声明该款项并未由委托人或其代理人直接或间接地支付给你方；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（二）索赔通知书应由你方法定代表人签字并加盖公章；</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（三）索赔通知书必须于本保函有效期截止日前送达我行。</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三、合同的任何修改、变更、解释或不可执行都不能削弱或免除我行按本保函应承担的义务。</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本保函金额将随我行已向你方支付的金额而自动作相应递减。</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四、本保函未经我行书面同意不得转让。</w:t>
      </w:r>
    </w:p>
    <w:p>
      <w:pPr>
        <w:pStyle w:val="2"/>
        <w:rPr>
          <w:color w:val="auto"/>
          <w:highlight w:val="none"/>
        </w:rPr>
      </w:pPr>
      <w:r>
        <w:rPr>
          <w:rFonts w:hint="eastAsia" w:ascii="仿宋" w:hAnsi="仿宋" w:eastAsia="仿宋"/>
          <w:color w:val="auto"/>
          <w:sz w:val="28"/>
          <w:szCs w:val="28"/>
          <w:highlight w:val="none"/>
        </w:rPr>
        <w:t>五、本保函自签发之日起生效，有效期至</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止。在上述期限内若累计赔偿额达到前述保函金额，本保函提前失效。本保函到期后，无论保函原件是否退回我行，皆告失效。</w:t>
      </w:r>
    </w:p>
    <w:p>
      <w:pPr>
        <w:pStyle w:val="4"/>
        <w:jc w:val="both"/>
        <w:rPr>
          <w:rFonts w:hint="eastAsia"/>
          <w:color w:val="auto"/>
          <w:highlight w:val="none"/>
        </w:rPr>
      </w:pPr>
      <w:bookmarkStart w:id="122" w:name="_Toc12169"/>
      <w:bookmarkStart w:id="123" w:name="_Toc23515"/>
      <w:bookmarkStart w:id="124" w:name="_Toc8147"/>
      <w:bookmarkStart w:id="125" w:name="_Toc5129"/>
      <w:bookmarkStart w:id="126" w:name="_Toc28358"/>
      <w:bookmarkStart w:id="127" w:name="_Toc16552"/>
      <w:bookmarkStart w:id="128" w:name="_Toc6230"/>
      <w:bookmarkStart w:id="129" w:name="_Toc1563"/>
      <w:bookmarkStart w:id="130" w:name="_Toc30824"/>
      <w:bookmarkStart w:id="131" w:name="_Toc3723"/>
      <w:bookmarkStart w:id="132" w:name="_Toc21847"/>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22"/>
      <w:bookmarkEnd w:id="123"/>
      <w:bookmarkEnd w:id="124"/>
      <w:bookmarkEnd w:id="125"/>
      <w:bookmarkEnd w:id="126"/>
      <w:bookmarkEnd w:id="127"/>
      <w:bookmarkEnd w:id="128"/>
      <w:bookmarkEnd w:id="129"/>
      <w:bookmarkEnd w:id="130"/>
      <w:bookmarkEnd w:id="131"/>
      <w:bookmarkEnd w:id="132"/>
    </w:p>
    <w:p>
      <w:pPr>
        <w:pStyle w:val="38"/>
        <w:rPr>
          <w:color w:val="auto"/>
          <w:highlight w:val="none"/>
        </w:rPr>
      </w:pPr>
    </w:p>
    <w:p>
      <w:pPr>
        <w:pStyle w:val="4"/>
        <w:rPr>
          <w:color w:val="auto"/>
          <w:highlight w:val="none"/>
        </w:rPr>
      </w:pPr>
      <w:bookmarkStart w:id="133" w:name="_Toc17119"/>
      <w:bookmarkStart w:id="134" w:name="_Toc88209951"/>
      <w:bookmarkStart w:id="135" w:name="_Toc24815"/>
      <w:bookmarkStart w:id="136" w:name="_Toc5342"/>
      <w:bookmarkStart w:id="137" w:name="_Toc12769"/>
      <w:bookmarkStart w:id="138" w:name="_Toc31564"/>
      <w:bookmarkStart w:id="139" w:name="_Toc21675"/>
      <w:bookmarkStart w:id="140" w:name="_Toc10840"/>
      <w:bookmarkStart w:id="141" w:name="_Toc30157"/>
      <w:bookmarkStart w:id="142" w:name="_Toc22764"/>
      <w:bookmarkStart w:id="143" w:name="_Toc87616388"/>
      <w:bookmarkStart w:id="144" w:name="_Toc24490"/>
      <w:bookmarkStart w:id="145" w:name="_Toc12610"/>
      <w:r>
        <w:rPr>
          <w:rFonts w:hint="eastAsia"/>
          <w:color w:val="auto"/>
          <w:highlight w:val="none"/>
        </w:rPr>
        <w:t>响应文件</w:t>
      </w:r>
      <w:r>
        <w:rPr>
          <w:rFonts w:hint="eastAsia"/>
          <w:color w:val="auto"/>
          <w:highlight w:val="none"/>
          <w:lang w:val="en-US" w:eastAsia="zh-CN"/>
        </w:rPr>
        <w:t>格式要求</w:t>
      </w:r>
      <w:bookmarkEnd w:id="133"/>
      <w:bookmarkEnd w:id="134"/>
      <w:bookmarkEnd w:id="135"/>
      <w:bookmarkEnd w:id="136"/>
      <w:bookmarkEnd w:id="137"/>
      <w:bookmarkEnd w:id="138"/>
      <w:bookmarkEnd w:id="139"/>
      <w:bookmarkEnd w:id="140"/>
      <w:bookmarkEnd w:id="141"/>
      <w:bookmarkEnd w:id="142"/>
      <w:bookmarkEnd w:id="143"/>
      <w:bookmarkEnd w:id="144"/>
      <w:bookmarkEnd w:id="14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color w:val="auto"/>
          <w:sz w:val="44"/>
          <w:szCs w:val="44"/>
          <w:highlight w:val="none"/>
          <w:u w:val="none"/>
          <w:lang w:val="en-US" w:eastAsia="zh-CN"/>
        </w:rPr>
        <w:t>广州市净水有限公司2022年</w:t>
      </w:r>
      <w:r>
        <w:rPr>
          <w:rFonts w:hint="eastAsia" w:ascii="方正小标宋简体" w:hAnsi="方正小标宋简体" w:eastAsia="方正小标宋简体" w:cs="方正小标宋简体"/>
          <w:b w:val="0"/>
          <w:bCs w:val="0"/>
          <w:color w:val="auto"/>
          <w:sz w:val="44"/>
          <w:szCs w:val="44"/>
          <w:highlight w:val="none"/>
          <w:u w:val="none"/>
        </w:rPr>
        <w:t>龙归分公司视频传输网络优化及办公楼WIFI覆盖</w:t>
      </w:r>
      <w:r>
        <w:rPr>
          <w:rFonts w:hint="eastAsia" w:ascii="方正小标宋简体" w:hAnsi="方正小标宋简体" w:eastAsia="方正小标宋简体" w:cs="方正小标宋简体"/>
          <w:b w:val="0"/>
          <w:bCs w:val="0"/>
          <w:color w:val="auto"/>
          <w:sz w:val="44"/>
          <w:szCs w:val="44"/>
          <w:highlight w:val="none"/>
          <w:u w:val="none"/>
          <w:lang w:val="en-US" w:eastAsia="zh-CN"/>
        </w:rPr>
        <w:t>项目</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3"/>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6" w:name="_Toc88209952"/>
      <w:bookmarkStart w:id="147" w:name="_Toc87616389"/>
      <w:r>
        <w:rPr>
          <w:rFonts w:hint="eastAsia" w:ascii="仿宋_GB2312" w:eastAsia="仿宋_GB2312"/>
          <w:color w:val="auto"/>
          <w:sz w:val="28"/>
          <w:szCs w:val="28"/>
          <w:highlight w:val="none"/>
        </w:rPr>
        <w:t>1.响应函</w:t>
      </w:r>
      <w:bookmarkEnd w:id="146"/>
      <w:bookmarkEnd w:id="147"/>
    </w:p>
    <w:p>
      <w:pPr>
        <w:spacing w:line="600" w:lineRule="exact"/>
        <w:rPr>
          <w:rFonts w:hint="eastAsia" w:ascii="仿宋_GB2312" w:eastAsia="仿宋_GB2312"/>
          <w:color w:val="auto"/>
          <w:sz w:val="28"/>
          <w:szCs w:val="28"/>
          <w:highlight w:val="none"/>
        </w:rPr>
      </w:pPr>
      <w:bookmarkStart w:id="148" w:name="_Toc87616390"/>
      <w:bookmarkStart w:id="149" w:name="_Toc88209953"/>
      <w:r>
        <w:rPr>
          <w:rFonts w:hint="eastAsia" w:ascii="仿宋_GB2312" w:eastAsia="仿宋_GB2312"/>
          <w:color w:val="auto"/>
          <w:sz w:val="28"/>
          <w:szCs w:val="28"/>
          <w:highlight w:val="none"/>
        </w:rPr>
        <w:t>2.法定代表人证明或授权委托书</w:t>
      </w:r>
      <w:bookmarkEnd w:id="148"/>
      <w:bookmarkEnd w:id="149"/>
      <w:bookmarkStart w:id="150" w:name="_Toc87616393"/>
      <w:bookmarkStart w:id="151"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50"/>
      <w:bookmarkEnd w:id="15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7"/>
        <w:rPr>
          <w:rFonts w:asciiTheme="minorEastAsia" w:hAnsiTheme="minorEastAsia" w:eastAsiaTheme="minorEastAsia"/>
          <w:color w:val="auto"/>
          <w:sz w:val="28"/>
          <w:szCs w:val="28"/>
          <w:highlight w:val="none"/>
        </w:rPr>
      </w:pPr>
      <w:bookmarkStart w:id="152" w:name="_Toc88209957"/>
      <w:bookmarkStart w:id="153" w:name="_Toc28619645"/>
      <w:bookmarkStart w:id="154" w:name="_Toc6313"/>
      <w:bookmarkStart w:id="155" w:name="_Toc87616394"/>
      <w:bookmarkStart w:id="156" w:name="_Toc12665"/>
      <w:r>
        <w:rPr>
          <w:rFonts w:hint="eastAsia" w:asciiTheme="minorEastAsia" w:hAnsiTheme="minorEastAsia" w:eastAsiaTheme="minorEastAsia"/>
          <w:color w:val="auto"/>
          <w:sz w:val="28"/>
          <w:szCs w:val="28"/>
          <w:highlight w:val="none"/>
        </w:rPr>
        <w:t>1.响应函</w:t>
      </w:r>
      <w:bookmarkEnd w:id="152"/>
      <w:bookmarkEnd w:id="153"/>
      <w:bookmarkEnd w:id="154"/>
      <w:bookmarkEnd w:id="155"/>
      <w:bookmarkEnd w:id="15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stheme="minorBidi"/>
          <w:b w:val="0"/>
          <w:color w:val="auto"/>
          <w:sz w:val="28"/>
          <w:szCs w:val="28"/>
          <w:highlight w:val="none"/>
          <w:u w:val="none"/>
          <w:lang w:val="en-US" w:eastAsia="zh-CN"/>
        </w:rPr>
        <w:t>2022年</w:t>
      </w:r>
      <w:r>
        <w:rPr>
          <w:rFonts w:hint="eastAsia" w:ascii="仿宋_GB2312" w:hAnsi="黑体" w:eastAsia="仿宋_GB2312" w:cstheme="minorBidi"/>
          <w:b w:val="0"/>
          <w:bCs w:val="0"/>
          <w:color w:val="auto"/>
          <w:sz w:val="28"/>
          <w:szCs w:val="28"/>
          <w:highlight w:val="none"/>
          <w:u w:val="none"/>
        </w:rPr>
        <w:t>龙归分公司视频传输网络优化及办公楼WIFI覆盖</w:t>
      </w:r>
      <w:r>
        <w:rPr>
          <w:rFonts w:hint="eastAsia" w:ascii="仿宋_GB2312" w:hAnsi="黑体" w:eastAsia="仿宋_GB2312" w:cstheme="minorBidi"/>
          <w:color w:val="auto"/>
          <w:sz w:val="28"/>
          <w:szCs w:val="28"/>
          <w:highlight w:val="none"/>
          <w:u w:val="none"/>
          <w:lang w:val="en-US" w:eastAsia="zh-CN"/>
        </w:rPr>
        <w:t>项目</w:t>
      </w:r>
      <w:r>
        <w:rPr>
          <w:rFonts w:hint="eastAsia" w:ascii="仿宋_GB2312" w:hAnsi="黑体" w:eastAsia="仿宋_GB2312"/>
          <w:color w:val="auto"/>
          <w:sz w:val="28"/>
          <w:szCs w:val="28"/>
          <w:highlight w:val="none"/>
          <w:u w:val="none"/>
        </w:rPr>
        <w:t xml:space="preserve">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7" w:name="_Toc22527"/>
      <w:bookmarkStart w:id="158" w:name="_Toc87616395"/>
      <w:bookmarkStart w:id="159" w:name="_Toc88209958"/>
      <w:bookmarkStart w:id="160" w:name="_Toc29833"/>
    </w:p>
    <w:p>
      <w:pPr>
        <w:pStyle w:val="3"/>
        <w:rPr>
          <w:rFonts w:hint="eastAsia" w:asciiTheme="minorEastAsia" w:hAnsiTheme="minorEastAsia" w:eastAsiaTheme="minorEastAsia"/>
          <w:color w:val="auto"/>
          <w:sz w:val="28"/>
          <w:szCs w:val="28"/>
          <w:highlight w:val="none"/>
        </w:rPr>
      </w:pPr>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7"/>
      <w:bookmarkEnd w:id="158"/>
      <w:bookmarkEnd w:id="159"/>
      <w:bookmarkEnd w:id="16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54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54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54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54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54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54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54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广州市净水有限公司2022年大沙地、大坦沙、江高分公司电子与智能化改造项目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9"/>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9"/>
        <w:spacing w:after="0" w:line="600" w:lineRule="exact"/>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pStyle w:val="9"/>
        <w:spacing w:after="0" w:line="600" w:lineRule="exact"/>
        <w:ind w:firstLine="0"/>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7"/>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61" w:name="_Toc8086"/>
      <w:bookmarkStart w:id="162" w:name="_Toc19830"/>
      <w:bookmarkStart w:id="163" w:name="_Toc88209963"/>
      <w:bookmarkStart w:id="164"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61"/>
      <w:bookmarkEnd w:id="162"/>
      <w:bookmarkEnd w:id="163"/>
      <w:bookmarkEnd w:id="16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65"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广州市净水有限公司2022年</w:t>
      </w:r>
      <w:r>
        <w:rPr>
          <w:rFonts w:hint="eastAsia" w:ascii="宋体" w:hAnsi="宋体" w:eastAsia="宋体" w:cs="宋体"/>
          <w:color w:val="auto"/>
          <w:kern w:val="2"/>
          <w:sz w:val="24"/>
          <w:szCs w:val="24"/>
          <w:highlight w:val="none"/>
          <w:lang w:val="en-GB"/>
        </w:rPr>
        <w:t>龙归分公司视频传输网络优化及办公楼WIFI覆盖</w:t>
      </w:r>
      <w:r>
        <w:rPr>
          <w:rFonts w:hint="eastAsia" w:ascii="宋体" w:hAnsi="宋体" w:eastAsia="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ind w:firstLine="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3"/>
        <w:ind w:firstLine="6960" w:firstLineChars="2900"/>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3"/>
        <w:ind w:firstLine="0"/>
        <w:rPr>
          <w:rFonts w:hint="default" w:ascii="仿宋_GB2312" w:eastAsia="仿宋_GB2312" w:hAnsiTheme="minorEastAsia"/>
          <w:color w:val="auto"/>
          <w:sz w:val="28"/>
          <w:szCs w:val="28"/>
          <w:highlight w:val="none"/>
          <w:lang w:val="en-US" w:eastAsia="zh-CN"/>
        </w:rPr>
      </w:pPr>
    </w:p>
    <w:p>
      <w:pPr>
        <w:pStyle w:val="23"/>
        <w:ind w:firstLine="0"/>
        <w:rPr>
          <w:rFonts w:hint="default" w:ascii="仿宋_GB2312" w:eastAsia="仿宋_GB2312" w:hAnsiTheme="minorEastAsia"/>
          <w:color w:val="auto"/>
          <w:sz w:val="28"/>
          <w:szCs w:val="28"/>
          <w:highlight w:val="none"/>
          <w:lang w:val="en-US" w:eastAsia="zh-CN"/>
        </w:rPr>
      </w:pPr>
    </w:p>
    <w:p>
      <w:pPr>
        <w:pStyle w:val="23"/>
        <w:ind w:firstLine="0"/>
        <w:rPr>
          <w:rFonts w:hint="default" w:ascii="仿宋_GB2312" w:eastAsia="仿宋_GB2312" w:hAnsiTheme="minorEastAsia"/>
          <w:color w:val="auto"/>
          <w:sz w:val="28"/>
          <w:szCs w:val="28"/>
          <w:highlight w:val="none"/>
          <w:lang w:val="en-US" w:eastAsia="zh-CN"/>
        </w:rPr>
      </w:pPr>
    </w:p>
    <w:p>
      <w:pPr>
        <w:pStyle w:val="23"/>
        <w:ind w:firstLine="0"/>
        <w:rPr>
          <w:rFonts w:hint="default" w:ascii="仿宋_GB2312" w:eastAsia="仿宋_GB2312" w:hAnsiTheme="minorEastAsia"/>
          <w:color w:val="auto"/>
          <w:sz w:val="28"/>
          <w:szCs w:val="28"/>
          <w:highlight w:val="none"/>
          <w:lang w:val="en-US" w:eastAsia="zh-CN"/>
        </w:rPr>
      </w:pPr>
    </w:p>
    <w:p>
      <w:pPr>
        <w:pStyle w:val="7"/>
        <w:rPr>
          <w:rFonts w:asciiTheme="minorEastAsia" w:hAnsiTheme="minorEastAsia" w:eastAsiaTheme="minorEastAsia"/>
          <w:color w:val="auto"/>
          <w:sz w:val="28"/>
          <w:szCs w:val="28"/>
          <w:highlight w:val="none"/>
        </w:rPr>
      </w:pPr>
      <w:bookmarkStart w:id="166" w:name="_Toc32430"/>
      <w:bookmarkStart w:id="167"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6"/>
      <w:bookmarkEnd w:id="167"/>
    </w:p>
    <w:p>
      <w:pPr>
        <w:pageBreakBefore w:val="0"/>
        <w:wordWrap/>
        <w:topLinePunct w:val="0"/>
        <w:bidi w:val="0"/>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供应商名称： </w:t>
      </w:r>
    </w:p>
    <w:p>
      <w:pPr>
        <w:pStyle w:val="13"/>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[货币单位：人民币元]</w:t>
      </w:r>
    </w:p>
    <w:tbl>
      <w:tblPr>
        <w:tblStyle w:val="48"/>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7"/>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07" w:type="dxa"/>
            <w:gridSpan w:val="2"/>
            <w:tcBorders>
              <w:top w:val="single" w:color="auto" w:sz="4" w:space="0"/>
              <w:left w:val="single" w:color="auto" w:sz="4" w:space="0"/>
              <w:bottom w:val="single" w:color="auto" w:sz="4" w:space="0"/>
              <w:right w:val="single" w:color="auto" w:sz="4" w:space="0"/>
            </w:tcBorders>
            <w:vAlign w:val="center"/>
          </w:tcPr>
          <w:p>
            <w:pPr>
              <w:pageBreakBefore w:val="0"/>
              <w:wordWrap/>
              <w:topLinePunct w:val="0"/>
              <w:bidi w:val="0"/>
              <w:snapToGrid w:val="0"/>
              <w:spacing w:line="360" w:lineRule="auto"/>
              <w:jc w:val="center"/>
              <w:rPr>
                <w:rFonts w:hint="eastAsia" w:ascii="宋体" w:hAnsi="宋体" w:eastAsia="宋体" w:cs="宋体"/>
                <w:color w:val="auto"/>
                <w:highlight w:val="none"/>
                <w:lang w:eastAsia="zh-CN"/>
              </w:rPr>
            </w:pPr>
            <w:r>
              <w:rPr>
                <w:rFonts w:hint="eastAsia" w:ascii="宋体" w:hAnsi="宋体" w:eastAsia="宋体" w:cs="宋体"/>
                <w:b/>
                <w:color w:val="auto"/>
                <w:sz w:val="24"/>
                <w:szCs w:val="24"/>
                <w:highlight w:val="none"/>
                <w:u w:val="none"/>
                <w:lang w:val="en-GB" w:eastAsia="zh-CN"/>
              </w:rPr>
              <w:t xml:space="preserve"> </w:t>
            </w:r>
            <w:r>
              <w:rPr>
                <w:rFonts w:hint="eastAsia" w:asciiTheme="minorEastAsia" w:hAnsiTheme="minorEastAsia" w:eastAsiaTheme="minorEastAsia" w:cstheme="minorBidi"/>
                <w:b w:val="0"/>
                <w:color w:val="auto"/>
                <w:sz w:val="24"/>
                <w:szCs w:val="22"/>
                <w:highlight w:val="none"/>
                <w:u w:val="none"/>
                <w:lang w:val="en-US" w:eastAsia="zh-CN"/>
              </w:rPr>
              <w:t>2022年</w:t>
            </w:r>
            <w:r>
              <w:rPr>
                <w:rFonts w:hint="eastAsia" w:asciiTheme="minorEastAsia" w:hAnsiTheme="minorEastAsia" w:eastAsiaTheme="minorEastAsia" w:cstheme="minorBidi"/>
                <w:b w:val="0"/>
                <w:bCs w:val="0"/>
                <w:color w:val="auto"/>
                <w:sz w:val="24"/>
                <w:szCs w:val="22"/>
                <w:highlight w:val="none"/>
                <w:u w:val="none"/>
              </w:rPr>
              <w:t>龙归分公司视频传输网络优化及办公楼WIFI覆盖</w:t>
            </w:r>
            <w:r>
              <w:rPr>
                <w:rFonts w:hint="eastAsia" w:asciiTheme="minorEastAsia" w:hAnsiTheme="minorEastAsia" w:cstheme="minorBidi"/>
                <w:color w:val="auto"/>
                <w:sz w:val="24"/>
                <w:szCs w:val="22"/>
                <w:highlight w:val="none"/>
                <w:u w:val="no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7" w:type="dxa"/>
            <w:tcBorders>
              <w:top w:val="single" w:color="auto" w:sz="4" w:space="0"/>
              <w:left w:val="single" w:color="auto" w:sz="4" w:space="0"/>
              <w:bottom w:val="single" w:color="auto" w:sz="4" w:space="0"/>
              <w:right w:val="single" w:color="auto" w:sz="4" w:space="0"/>
            </w:tcBorders>
            <w:vAlign w:val="center"/>
          </w:tcPr>
          <w:p>
            <w:pPr>
              <w:pStyle w:val="29"/>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cs="宋体"/>
                <w:b/>
                <w:bCs/>
                <w:color w:val="auto"/>
                <w:highlight w:val="none"/>
                <w:lang w:val="en-US" w:eastAsia="zh-CN"/>
              </w:rPr>
              <w:t>项目</w:t>
            </w:r>
          </w:p>
        </w:tc>
        <w:tc>
          <w:tcPr>
            <w:tcW w:w="2730" w:type="dxa"/>
            <w:tcBorders>
              <w:top w:val="single" w:color="auto" w:sz="4" w:space="0"/>
              <w:left w:val="nil"/>
              <w:bottom w:val="single" w:color="auto" w:sz="4" w:space="0"/>
              <w:right w:val="single" w:color="auto" w:sz="4" w:space="0"/>
            </w:tcBorders>
            <w:vAlign w:val="center"/>
          </w:tcPr>
          <w:p>
            <w:pPr>
              <w:pStyle w:val="29"/>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b/>
                <w:bCs/>
                <w:color w:val="auto"/>
                <w:highlight w:val="none"/>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7" w:type="dxa"/>
            <w:tcBorders>
              <w:top w:val="single" w:color="auto" w:sz="4" w:space="0"/>
              <w:left w:val="single" w:color="auto" w:sz="4" w:space="0"/>
              <w:bottom w:val="single" w:color="auto" w:sz="4" w:space="0"/>
              <w:right w:val="single" w:color="auto" w:sz="4" w:space="0"/>
            </w:tcBorders>
            <w:vAlign w:val="center"/>
          </w:tcPr>
          <w:p>
            <w:pPr>
              <w:pStyle w:val="29"/>
              <w:spacing w:line="360" w:lineRule="auto"/>
              <w:jc w:val="left"/>
              <w:outlineLvl w:val="1"/>
              <w:rPr>
                <w:rFonts w:hint="eastAsia" w:hAnsi="宋体" w:eastAsia="宋体" w:cs="宋体"/>
                <w:b/>
                <w:bCs/>
                <w:color w:val="auto"/>
                <w:sz w:val="24"/>
                <w:szCs w:val="24"/>
                <w:highlight w:val="none"/>
              </w:rPr>
            </w:pPr>
            <w:r>
              <w:rPr>
                <w:rFonts w:hint="eastAsia" w:ascii="宋体" w:hAnsi="宋体" w:eastAsia="宋体" w:cs="宋体"/>
                <w:b/>
                <w:color w:val="auto"/>
                <w:sz w:val="24"/>
                <w:szCs w:val="24"/>
                <w:highlight w:val="none"/>
                <w:u w:val="none"/>
                <w:lang w:val="en-GB" w:eastAsia="zh-CN"/>
              </w:rPr>
              <w:t xml:space="preserve"> </w:t>
            </w:r>
            <w:r>
              <w:rPr>
                <w:rFonts w:hint="eastAsia" w:asciiTheme="minorEastAsia" w:hAnsiTheme="minorEastAsia" w:eastAsiaTheme="minorEastAsia" w:cstheme="minorBidi"/>
                <w:b w:val="0"/>
                <w:color w:val="auto"/>
                <w:sz w:val="24"/>
                <w:szCs w:val="22"/>
                <w:highlight w:val="none"/>
                <w:u w:val="none"/>
                <w:lang w:val="en-US" w:eastAsia="zh-CN"/>
              </w:rPr>
              <w:t>2022年</w:t>
            </w:r>
            <w:r>
              <w:rPr>
                <w:rFonts w:hint="eastAsia" w:asciiTheme="minorEastAsia" w:hAnsiTheme="minorEastAsia" w:eastAsiaTheme="minorEastAsia" w:cstheme="minorBidi"/>
                <w:b w:val="0"/>
                <w:bCs w:val="0"/>
                <w:color w:val="auto"/>
                <w:sz w:val="24"/>
                <w:szCs w:val="22"/>
                <w:highlight w:val="none"/>
                <w:u w:val="none"/>
              </w:rPr>
              <w:t>龙归分公司视频传输网络优化及办公楼WIFI覆盖</w:t>
            </w:r>
            <w:r>
              <w:rPr>
                <w:rFonts w:hint="eastAsia" w:asciiTheme="minorEastAsia" w:hAnsiTheme="minorEastAsia" w:cstheme="minorBidi"/>
                <w:color w:val="auto"/>
                <w:sz w:val="24"/>
                <w:szCs w:val="22"/>
                <w:highlight w:val="none"/>
                <w:u w:val="none"/>
                <w:lang w:val="en-US" w:eastAsia="zh-CN"/>
              </w:rPr>
              <w:t>项目</w:t>
            </w:r>
          </w:p>
        </w:tc>
        <w:tc>
          <w:tcPr>
            <w:tcW w:w="2730" w:type="dxa"/>
            <w:tcBorders>
              <w:top w:val="single" w:color="auto" w:sz="4" w:space="0"/>
              <w:left w:val="nil"/>
              <w:bottom w:val="single" w:color="auto" w:sz="4" w:space="0"/>
              <w:right w:val="single" w:color="auto" w:sz="4" w:space="0"/>
            </w:tcBorders>
            <w:vAlign w:val="center"/>
          </w:tcPr>
          <w:p>
            <w:pPr>
              <w:pStyle w:val="29"/>
              <w:pageBreakBefore w:val="0"/>
              <w:wordWrap/>
              <w:topLinePunct w:val="0"/>
              <w:bidi w:val="0"/>
              <w:snapToGrid w:val="0"/>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7" w:type="dxa"/>
            <w:tcBorders>
              <w:top w:val="single" w:color="auto" w:sz="4" w:space="0"/>
              <w:left w:val="single" w:color="auto" w:sz="4" w:space="0"/>
              <w:bottom w:val="single" w:color="auto" w:sz="4" w:space="0"/>
              <w:right w:val="single" w:color="auto" w:sz="4" w:space="0"/>
            </w:tcBorders>
            <w:vAlign w:val="center"/>
          </w:tcPr>
          <w:p>
            <w:pPr>
              <w:pStyle w:val="29"/>
              <w:spacing w:line="360" w:lineRule="auto"/>
              <w:jc w:val="left"/>
              <w:outlineLvl w:val="1"/>
              <w:rPr>
                <w:rFonts w:hint="eastAsia" w:hAnsi="宋体" w:eastAsia="宋体" w:cs="宋体"/>
                <w:b/>
                <w:bCs/>
                <w:color w:val="auto"/>
                <w:sz w:val="24"/>
                <w:szCs w:val="24"/>
                <w:highlight w:val="none"/>
              </w:rPr>
            </w:pPr>
          </w:p>
        </w:tc>
        <w:tc>
          <w:tcPr>
            <w:tcW w:w="2730" w:type="dxa"/>
            <w:tcBorders>
              <w:top w:val="single" w:color="auto" w:sz="4" w:space="0"/>
              <w:left w:val="nil"/>
              <w:bottom w:val="single" w:color="auto" w:sz="4" w:space="0"/>
              <w:right w:val="single" w:color="auto" w:sz="4" w:space="0"/>
            </w:tcBorders>
            <w:vAlign w:val="center"/>
          </w:tcPr>
          <w:p>
            <w:pPr>
              <w:pStyle w:val="29"/>
              <w:pageBreakBefore w:val="0"/>
              <w:wordWrap/>
              <w:topLinePunct w:val="0"/>
              <w:bidi w:val="0"/>
              <w:snapToGrid w:val="0"/>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7" w:type="dxa"/>
            <w:tcBorders>
              <w:top w:val="single" w:color="auto" w:sz="4" w:space="0"/>
              <w:left w:val="single" w:color="auto" w:sz="4" w:space="0"/>
              <w:bottom w:val="single" w:color="auto" w:sz="4" w:space="0"/>
              <w:right w:val="single" w:color="auto" w:sz="4" w:space="0"/>
            </w:tcBorders>
            <w:vAlign w:val="center"/>
          </w:tcPr>
          <w:p>
            <w:pPr>
              <w:pStyle w:val="29"/>
              <w:pageBreakBefore w:val="0"/>
              <w:wordWrap/>
              <w:topLinePunct w:val="0"/>
              <w:bidi w:val="0"/>
              <w:snapToGrid w:val="0"/>
              <w:spacing w:line="360" w:lineRule="auto"/>
              <w:jc w:val="center"/>
              <w:outlineLvl w:val="1"/>
              <w:rPr>
                <w:rFonts w:hint="eastAsia" w:ascii="宋体" w:hAnsi="宋体" w:eastAsia="宋体" w:cs="宋体"/>
                <w:b/>
                <w:bCs/>
                <w:color w:val="auto"/>
                <w:highlight w:val="none"/>
              </w:rPr>
            </w:pPr>
          </w:p>
        </w:tc>
        <w:tc>
          <w:tcPr>
            <w:tcW w:w="2730" w:type="dxa"/>
            <w:tcBorders>
              <w:top w:val="single" w:color="auto" w:sz="4" w:space="0"/>
              <w:left w:val="nil"/>
              <w:bottom w:val="single" w:color="auto" w:sz="4" w:space="0"/>
              <w:right w:val="single" w:color="auto" w:sz="4" w:space="0"/>
            </w:tcBorders>
            <w:vAlign w:val="center"/>
          </w:tcPr>
          <w:p>
            <w:pPr>
              <w:pStyle w:val="29"/>
              <w:pageBreakBefore w:val="0"/>
              <w:wordWrap/>
              <w:topLinePunct w:val="0"/>
              <w:bidi w:val="0"/>
              <w:snapToGrid w:val="0"/>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7" w:type="dxa"/>
            <w:tcBorders>
              <w:top w:val="single" w:color="auto" w:sz="4" w:space="0"/>
              <w:left w:val="single" w:color="auto" w:sz="4" w:space="0"/>
              <w:bottom w:val="single" w:color="auto" w:sz="4" w:space="0"/>
              <w:right w:val="single" w:color="auto" w:sz="4" w:space="0"/>
            </w:tcBorders>
            <w:vAlign w:val="center"/>
          </w:tcPr>
          <w:p>
            <w:pPr>
              <w:pStyle w:val="29"/>
              <w:pageBreakBefore w:val="0"/>
              <w:wordWrap/>
              <w:topLinePunct w:val="0"/>
              <w:bidi w:val="0"/>
              <w:snapToGrid/>
              <w:spacing w:line="360" w:lineRule="auto"/>
              <w:jc w:val="center"/>
              <w:outlineLvl w:val="1"/>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highlight w:val="none"/>
              </w:rPr>
              <w:t>合计</w:t>
            </w:r>
          </w:p>
        </w:tc>
        <w:tc>
          <w:tcPr>
            <w:tcW w:w="2730" w:type="dxa"/>
            <w:tcBorders>
              <w:top w:val="single" w:color="auto" w:sz="4" w:space="0"/>
              <w:left w:val="nil"/>
              <w:bottom w:val="single" w:color="auto" w:sz="4" w:space="0"/>
              <w:right w:val="single" w:color="auto" w:sz="4" w:space="0"/>
            </w:tcBorders>
            <w:vAlign w:val="center"/>
          </w:tcPr>
          <w:p>
            <w:pPr>
              <w:pStyle w:val="29"/>
              <w:pageBreakBefore w:val="0"/>
              <w:wordWrap/>
              <w:topLinePunct w:val="0"/>
              <w:bidi w:val="0"/>
              <w:snapToGrid w:val="0"/>
              <w:spacing w:line="360" w:lineRule="auto"/>
              <w:jc w:val="center"/>
              <w:rPr>
                <w:rFonts w:hint="eastAsia" w:ascii="宋体" w:hAnsi="宋体" w:eastAsia="宋体" w:cs="宋体"/>
                <w:color w:val="auto"/>
                <w:highlight w:val="none"/>
              </w:rPr>
            </w:pPr>
          </w:p>
        </w:tc>
      </w:tr>
    </w:tbl>
    <w:p>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lang w:val="en-GB"/>
        </w:rPr>
      </w:pPr>
    </w:p>
    <w:p>
      <w:pPr>
        <w:pStyle w:val="22"/>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bCs/>
          <w:color w:val="auto"/>
          <w:highlight w:val="none"/>
          <w:lang w:val="zh-CN"/>
        </w:rPr>
      </w:pPr>
      <w:r>
        <w:rPr>
          <w:rFonts w:hint="eastAsia" w:ascii="宋体" w:hAnsi="宋体" w:eastAsia="宋体" w:cs="宋体"/>
          <w:b/>
          <w:bCs/>
          <w:color w:val="auto"/>
          <w:sz w:val="24"/>
          <w:szCs w:val="24"/>
          <w:highlight w:val="none"/>
          <w:lang w:val="en-GB"/>
        </w:rPr>
        <w:t>注</w:t>
      </w:r>
      <w:r>
        <w:rPr>
          <w:rFonts w:hint="eastAsia" w:ascii="宋体" w:hAnsi="宋体" w:eastAsia="宋体" w:cs="宋体"/>
          <w:color w:val="auto"/>
          <w:sz w:val="24"/>
          <w:szCs w:val="24"/>
          <w:highlight w:val="none"/>
          <w:lang w:val="en-GB"/>
        </w:rPr>
        <w:t>：</w:t>
      </w:r>
      <w:r>
        <w:rPr>
          <w:rFonts w:hint="eastAsia" w:ascii="宋体" w:hAnsi="宋体" w:eastAsia="宋体" w:cs="宋体"/>
          <w:b/>
          <w:bCs/>
          <w:color w:val="auto"/>
          <w:highlight w:val="none"/>
          <w:lang w:val="zh-CN"/>
        </w:rPr>
        <w:t>△绿色施工安全防护措施费为非竞争性费用，在报价时须按</w:t>
      </w:r>
      <w:r>
        <w:rPr>
          <w:rFonts w:hint="eastAsia" w:eastAsia="宋体" w:cs="宋体"/>
          <w:b/>
          <w:bCs/>
          <w:color w:val="auto"/>
          <w:highlight w:val="none"/>
          <w:lang w:val="en-US" w:eastAsia="zh-CN"/>
        </w:rPr>
        <w:t>采购</w:t>
      </w:r>
      <w:r>
        <w:rPr>
          <w:rFonts w:hint="eastAsia" w:ascii="宋体" w:hAnsi="宋体" w:eastAsia="宋体" w:cs="宋体"/>
          <w:b/>
          <w:bCs/>
          <w:color w:val="auto"/>
          <w:highlight w:val="none"/>
          <w:lang w:val="zh-CN"/>
        </w:rPr>
        <w:t>文件规定的金额填写，不得参与竞争，否则按无效报价处理。</w:t>
      </w:r>
    </w:p>
    <w:p>
      <w:pPr>
        <w:pageBreakBefore w:val="0"/>
        <w:wordWrap/>
        <w:topLinePunct w:val="0"/>
        <w:bidi w:val="0"/>
        <w:adjustRightInd w:val="0"/>
        <w:snapToGrid w:val="0"/>
        <w:spacing w:line="360" w:lineRule="auto"/>
        <w:jc w:val="both"/>
        <w:rPr>
          <w:rFonts w:hint="eastAsia" w:ascii="宋体" w:hAnsi="宋体" w:eastAsia="宋体" w:cs="宋体"/>
          <w:color w:val="auto"/>
          <w:sz w:val="24"/>
          <w:szCs w:val="24"/>
          <w:highlight w:val="none"/>
          <w:lang w:val="en-GB"/>
        </w:rPr>
      </w:pPr>
    </w:p>
    <w:p>
      <w:pPr>
        <w:pStyle w:val="2"/>
        <w:pageBreakBefore w:val="0"/>
        <w:wordWrap/>
        <w:topLinePunct w:val="0"/>
        <w:bidi w:val="0"/>
        <w:adjustRightInd w:val="0"/>
        <w:snapToGrid w:val="0"/>
        <w:spacing w:after="0" w:line="360" w:lineRule="auto"/>
        <w:jc w:val="right"/>
        <w:rPr>
          <w:rFonts w:hint="eastAsia" w:ascii="宋体" w:hAnsi="宋体" w:eastAsia="宋体" w:cs="宋体"/>
          <w:color w:val="auto"/>
          <w:highlight w:val="none"/>
          <w:lang w:val="en-GB"/>
        </w:rPr>
      </w:pPr>
    </w:p>
    <w:p>
      <w:pPr>
        <w:pageBreakBefore w:val="0"/>
        <w:wordWrap/>
        <w:topLinePunct w:val="0"/>
        <w:bidi w:val="0"/>
        <w:adjustRightInd w:val="0"/>
        <w:snapToGrid w:val="0"/>
        <w:spacing w:line="360" w:lineRule="auto"/>
        <w:ind w:left="4253"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Style w:val="23"/>
        <w:rPr>
          <w:rFonts w:hint="eastAsia"/>
          <w:color w:val="auto"/>
          <w:highlight w:val="none"/>
        </w:rPr>
      </w:pPr>
    </w:p>
    <w:p>
      <w:pPr>
        <w:pageBreakBefore w:val="0"/>
        <w:wordWrap/>
        <w:topLinePunct w:val="0"/>
        <w:bidi w:val="0"/>
        <w:adjustRightInd w:val="0"/>
        <w:snapToGrid w:val="0"/>
        <w:spacing w:line="360" w:lineRule="auto"/>
        <w:ind w:firstLine="4200" w:firstLineChars="1750"/>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pageBreakBefore w:val="0"/>
        <w:wordWrap/>
        <w:topLinePunct w:val="0"/>
        <w:bidi w:val="0"/>
        <w:spacing w:line="360" w:lineRule="auto"/>
        <w:jc w:val="center"/>
        <w:rPr>
          <w:rFonts w:hint="eastAsia" w:ascii="宋体" w:hAnsi="宋体" w:eastAsia="宋体" w:cs="宋体"/>
          <w:b/>
          <w:bCs/>
          <w:color w:val="auto"/>
          <w:sz w:val="36"/>
          <w:szCs w:val="36"/>
          <w:highlight w:val="none"/>
        </w:rPr>
      </w:pPr>
    </w:p>
    <w:p>
      <w:pPr>
        <w:pStyle w:val="2"/>
        <w:rPr>
          <w:rFonts w:hint="eastAsia" w:ascii="宋体" w:hAnsi="宋体" w:eastAsia="宋体" w:cs="宋体"/>
          <w:b/>
          <w:bCs/>
          <w:color w:val="auto"/>
          <w:sz w:val="36"/>
          <w:szCs w:val="36"/>
          <w:highlight w:val="none"/>
        </w:rPr>
      </w:pPr>
    </w:p>
    <w:p>
      <w:pPr>
        <w:pStyle w:val="3"/>
        <w:rPr>
          <w:rFonts w:hint="eastAsia" w:ascii="宋体" w:hAnsi="宋体" w:eastAsia="宋体" w:cs="宋体"/>
          <w:b/>
          <w:bCs/>
          <w:color w:val="auto"/>
          <w:sz w:val="36"/>
          <w:szCs w:val="36"/>
          <w:highlight w:val="none"/>
        </w:rPr>
      </w:pPr>
    </w:p>
    <w:p>
      <w:pPr>
        <w:pStyle w:val="3"/>
        <w:rPr>
          <w:rFonts w:hint="eastAsia" w:ascii="宋体" w:hAnsi="宋体" w:eastAsia="宋体" w:cs="宋体"/>
          <w:b/>
          <w:bCs/>
          <w:color w:val="auto"/>
          <w:sz w:val="36"/>
          <w:szCs w:val="36"/>
          <w:highlight w:val="none"/>
        </w:rPr>
      </w:pPr>
    </w:p>
    <w:p>
      <w:pPr>
        <w:pStyle w:val="3"/>
        <w:rPr>
          <w:rFonts w:hint="eastAsia" w:ascii="宋体" w:hAnsi="宋体" w:eastAsia="宋体" w:cs="宋体"/>
          <w:b/>
          <w:bCs/>
          <w:color w:val="auto"/>
          <w:sz w:val="36"/>
          <w:szCs w:val="36"/>
          <w:highlight w:val="none"/>
        </w:rPr>
      </w:pPr>
    </w:p>
    <w:p>
      <w:pPr>
        <w:pageBreakBefore w:val="0"/>
        <w:wordWrap/>
        <w:topLinePunct w:val="0"/>
        <w:bidi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项目明细报价</w:t>
      </w:r>
    </w:p>
    <w:p>
      <w:pPr>
        <w:pStyle w:val="29"/>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color w:val="auto"/>
          <w:kern w:val="2"/>
          <w:sz w:val="28"/>
          <w:szCs w:val="28"/>
          <w:highlight w:val="none"/>
        </w:rPr>
        <w:t>工程量清单报价</w:t>
      </w:r>
    </w:p>
    <w:p>
      <w:pPr>
        <w:autoSpaceDE w:val="0"/>
        <w:autoSpaceDN w:val="0"/>
        <w:adjustRightInd/>
        <w:snapToGrid/>
        <w:spacing w:line="520" w:lineRule="exact"/>
        <w:ind w:firstLine="0"/>
        <w:rPr>
          <w:rFonts w:hint="default" w:ascii="宋体" w:hAnsi="宋体" w:eastAsia="宋体"/>
          <w:b/>
          <w:bCs/>
          <w:color w:val="auto"/>
          <w:sz w:val="24"/>
          <w:szCs w:val="24"/>
          <w:highlight w:val="none"/>
          <w:lang w:val="en-US" w:eastAsia="zh-CN"/>
        </w:rPr>
      </w:pPr>
      <w:r>
        <w:rPr>
          <w:rFonts w:hint="eastAsia" w:ascii="宋体" w:hAnsi="宋体" w:cs="宋体"/>
          <w:b/>
          <w:bCs/>
          <w:color w:val="auto"/>
          <w:sz w:val="24"/>
          <w:szCs w:val="24"/>
          <w:highlight w:val="none"/>
        </w:rPr>
        <w:t>项目：</w:t>
      </w:r>
      <w:r>
        <w:rPr>
          <w:rFonts w:hint="eastAsia" w:ascii="宋体" w:hAnsi="宋体" w:eastAsia="宋体" w:cs="宋体"/>
          <w:b/>
          <w:color w:val="auto"/>
          <w:sz w:val="24"/>
          <w:szCs w:val="24"/>
          <w:highlight w:val="none"/>
          <w:u w:val="none"/>
          <w:lang w:val="en-GB" w:eastAsia="zh-CN"/>
        </w:rPr>
        <w:t xml:space="preserve"> </w:t>
      </w:r>
      <w:r>
        <w:rPr>
          <w:rFonts w:hint="eastAsia" w:asciiTheme="minorEastAsia" w:hAnsiTheme="minorEastAsia" w:eastAsiaTheme="minorEastAsia" w:cstheme="minorBidi"/>
          <w:b w:val="0"/>
          <w:color w:val="auto"/>
          <w:sz w:val="24"/>
          <w:szCs w:val="22"/>
          <w:highlight w:val="none"/>
          <w:u w:val="none"/>
          <w:lang w:val="en-US" w:eastAsia="zh-CN"/>
        </w:rPr>
        <w:t>2022年</w:t>
      </w:r>
      <w:r>
        <w:rPr>
          <w:rFonts w:hint="eastAsia" w:asciiTheme="minorEastAsia" w:hAnsiTheme="minorEastAsia" w:eastAsiaTheme="minorEastAsia" w:cstheme="minorBidi"/>
          <w:b w:val="0"/>
          <w:bCs w:val="0"/>
          <w:color w:val="auto"/>
          <w:sz w:val="24"/>
          <w:szCs w:val="22"/>
          <w:highlight w:val="none"/>
          <w:u w:val="none"/>
        </w:rPr>
        <w:t>龙归分公司视频传输网络优化及办公楼WIFI覆盖</w:t>
      </w:r>
      <w:r>
        <w:rPr>
          <w:rFonts w:hint="eastAsia" w:asciiTheme="minorEastAsia" w:hAnsiTheme="minorEastAsia" w:cstheme="minorBidi"/>
          <w:color w:val="auto"/>
          <w:sz w:val="24"/>
          <w:szCs w:val="22"/>
          <w:highlight w:val="none"/>
          <w:u w:val="none"/>
          <w:lang w:val="en-US" w:eastAsia="zh-CN"/>
        </w:rPr>
        <w:t>项目</w:t>
      </w:r>
    </w:p>
    <w:p>
      <w:pPr>
        <w:adjustRightInd w:val="0"/>
        <w:snapToGrid w:val="0"/>
        <w:spacing w:line="600" w:lineRule="exact"/>
        <w:ind w:firstLine="2409" w:firstLineChars="600"/>
        <w:rPr>
          <w:rFonts w:ascii="仿宋_GB2312" w:hAnsi="宋体" w:eastAsia="仿宋_GB2312"/>
          <w:color w:val="auto"/>
          <w:sz w:val="28"/>
          <w:szCs w:val="28"/>
          <w:highlight w:val="none"/>
        </w:rPr>
      </w:pPr>
      <w:r>
        <w:rPr>
          <w:rFonts w:hint="eastAsia" w:ascii="宋体" w:hAnsi="宋体" w:eastAsia="宋体" w:cs="宋体"/>
          <w:b/>
          <w:i w:val="0"/>
          <w:color w:val="auto"/>
          <w:kern w:val="0"/>
          <w:sz w:val="40"/>
          <w:szCs w:val="40"/>
          <w:highlight w:val="none"/>
          <w:u w:val="none"/>
          <w:lang w:val="en-US" w:eastAsia="zh-CN" w:bidi="ar"/>
        </w:rPr>
        <w:t>单位工程预算汇总表</w:t>
      </w:r>
    </w:p>
    <w:tbl>
      <w:tblPr>
        <w:tblStyle w:val="24"/>
        <w:tblW w:w="9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3075"/>
        <w:gridCol w:w="1815"/>
        <w:gridCol w:w="630"/>
        <w:gridCol w:w="2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07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44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2424"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30"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投标报价合计=1+2+3+5</w:t>
            </w:r>
          </w:p>
        </w:tc>
        <w:tc>
          <w:tcPr>
            <w:tcW w:w="244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99" w:type="dxa"/>
            <w:gridSpan w:val="5"/>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30" w:type="dxa"/>
            <w:gridSpan w:val="2"/>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1815" w:type="dxa"/>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305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表—04</w:t>
            </w:r>
          </w:p>
        </w:tc>
      </w:tr>
    </w:tbl>
    <w:p>
      <w:pPr>
        <w:adjustRightInd w:val="0"/>
        <w:snapToGrid w:val="0"/>
        <w:spacing w:line="600" w:lineRule="exact"/>
        <w:ind w:firstLine="570"/>
        <w:rPr>
          <w:rFonts w:ascii="仿宋_GB2312" w:hAnsi="宋体" w:eastAsia="仿宋_GB2312"/>
          <w:color w:val="auto"/>
          <w:sz w:val="28"/>
          <w:szCs w:val="28"/>
          <w:highlight w:val="none"/>
        </w:rPr>
      </w:pPr>
    </w:p>
    <w:tbl>
      <w:tblPr>
        <w:tblStyle w:val="24"/>
        <w:tblW w:w="49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4"/>
        <w:gridCol w:w="27"/>
        <w:gridCol w:w="1203"/>
        <w:gridCol w:w="40"/>
        <w:gridCol w:w="1092"/>
        <w:gridCol w:w="362"/>
        <w:gridCol w:w="1168"/>
        <w:gridCol w:w="660"/>
        <w:gridCol w:w="60"/>
        <w:gridCol w:w="84"/>
        <w:gridCol w:w="453"/>
        <w:gridCol w:w="387"/>
        <w:gridCol w:w="391"/>
        <w:gridCol w:w="198"/>
        <w:gridCol w:w="183"/>
        <w:gridCol w:w="132"/>
        <w:gridCol w:w="301"/>
        <w:gridCol w:w="618"/>
        <w:gridCol w:w="211"/>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2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工程名称：广州市净水有限公司龙归分公司视频传输网络优化及办公楼WIFI覆盖</w:t>
            </w:r>
          </w:p>
        </w:tc>
        <w:tc>
          <w:tcPr>
            <w:tcW w:w="871"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6"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64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64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333"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5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4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361"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3"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4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73"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74"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3"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4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73"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74"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整个项目</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4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030501009001</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室外无线AP</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型号：室外型Wi-Fi6无线接入点，内置定向天线，支持OFDMA、UL-MU-MIMO、空间复用技术和1024QAM调制解调算法，整机4条空间流，支持2.4G和5G同时工作，整机最大接入速率1775Mbps；一个SFP光口和两个千兆电口；内置天馈防雷器,支持POE供电；支持802.1X/CA证书/阿里钉钉/企业微信/微信小程序/短信/多因素等多种认证方式、APP缓存、数据探针、智能负载均衡、网关、VPN、QoS、潜在风险终端和网络访问流量的识别与封堵、胖瘦一体化。</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4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030501009002</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室内无线AP</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1.规格型号：室内型Wi-Fi 6 高性能无线接入点，支持802.11ax协议，支持OFDMA、UL-MU-MIMO、空间复用技术和1024QAM调制解调算法，整机4条空间流，内置天线，整机最大接入速率1775Mbps，支持USB口；支持802.1X/CA证书/移动OA/微信小程序/短信/多因素等多种认证方式、APP缓存、数据探针、智能负载均衡、网关、VPN、QoS、潜在风险终端和网络访问流量的识别与封堵、胖瘦一体化；支持1个千兆以太网口，支持PoE和12V/2A本地供电。</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11" w:type="pct"/>
            <w:gridSpan w:val="1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7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2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882" w:type="pct"/>
            <w:gridSpan w:val="9"/>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1"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1246"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2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工程名称：广州市净水有限公司龙归分公司视频传输网络优化及办公楼WIFI覆盖</w:t>
            </w:r>
          </w:p>
        </w:tc>
        <w:tc>
          <w:tcPr>
            <w:tcW w:w="871"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6"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64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64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333"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5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4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361"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3"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4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73"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74"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3"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4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73"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74"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030501003001</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无线控制器AC</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1.规格型号：下一代千兆无线控制器， 自带6个千兆电口，默认管理16个AP，集中转发最大支持144个AP，本地转发最大支持900个AP，支持在线用户数8K，支持身份认证、行为管理、行为审计、应用层流控、VPN、AP统一管理、有线无线一体化、集群管理、可视化网管、微信认证、营销推广、用户画像、客流分析，内置128G固态硬盘</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030501017001</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管理AP数Lic</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1.AP接入授权，每增加一个管理的AP数量</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75"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030501012001</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8口POE交换机</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1.规格型号：POE交换机，8个千兆POE电口，4个 1G/2.5G SFP光口；交换容量≥256Gbps/2.56Tbps，包转发率≥27Mpps/102Mpps，支持全端口线速转发；支持IEEE 802.3af/at供电标准，单端口最大输出PoE功率30W，整机最大输出PoE功率135W；支持AC统一管理、统一查看状态、VLAN等配置管理；支持终端识别、终端准入、安全防护及安全画像可视</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75"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030501012002</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24口POE交换机</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1.规格型号：POE交换机，24个千兆POE电口，4个 1G/2.5G SFP光口；交换容量≥336Gbps/3.36Tbps，包转发率≥108Mpps/126Mpps，支持全端口线速转发；支持IEEE 802.3af/at供电标准，单端口最大输出PoE功率30W，整机最大输出PoE功率370W；支持AC统一管理、统一查看状态、VLAN等配置管理；支持终端识别、终端准入、安全防护及安全画像可视</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11" w:type="pct"/>
            <w:gridSpan w:val="1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7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2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882" w:type="pct"/>
            <w:gridSpan w:val="9"/>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1"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1246"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2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工程名称：广州市净水有限公司龙归分公司视频传输网络优化及办公楼WIFI覆盖</w:t>
            </w:r>
          </w:p>
        </w:tc>
        <w:tc>
          <w:tcPr>
            <w:tcW w:w="871"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6"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64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64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333"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5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4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361"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3"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4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73"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74"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3"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4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73"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74"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030501007001</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光纤模块</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1.规格型号：SFP 千兆单模光模块，单模，1310nm ，最大传输距离10km，接头类型：LC</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030411001006</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配管</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1.材质:PVC耐腐蚀阻燃管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2.规格:DN25*2.0mm</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1560</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030408001002</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电力电缆</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1.规格：国标 RVV3*2.5mm2</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390</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030502005001</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双绞线缆</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1.规格：国标六类双绞线</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975</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030502007002</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光缆</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1.规格：国标12芯</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180</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030408011002</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光分支箱</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1.名称：光分支箱</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030502013002</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光纤盒</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1.名称：光纤盒</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030502014002</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光纤连接</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1.类型：热熔焊接</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芯</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48</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030502009001</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跳线</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1.名称：六类非屏蔽跳线，4对</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条</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030501015001</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计算机应用、网络系统系统联调</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1.施工安装调试</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030501016001</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计算机应用、网络系统试运行</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1.系统试运行</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031302007001</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1.脚手架搭拆</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3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11" w:type="pct"/>
            <w:gridSpan w:val="1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11" w:type="pct"/>
            <w:gridSpan w:val="1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47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41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2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882" w:type="pct"/>
            <w:gridSpan w:val="9"/>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1"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1246"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316" w:type="pct"/>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auto"/>
                <w:sz w:val="18"/>
                <w:szCs w:val="18"/>
                <w:highlight w:val="none"/>
                <w:u w:val="none"/>
              </w:rPr>
            </w:pPr>
          </w:p>
        </w:tc>
        <w:tc>
          <w:tcPr>
            <w:tcW w:w="641" w:type="pct"/>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641" w:type="pct"/>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1282" w:type="pct"/>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259"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446" w:type="pct"/>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115"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357"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474" w:type="pct"/>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413"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316"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641" w:type="pct"/>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641" w:type="pct"/>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1282" w:type="pct"/>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50"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259"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446" w:type="pct"/>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115"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357"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474" w:type="pct"/>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c>
          <w:tcPr>
            <w:tcW w:w="413" w:type="pct"/>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2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88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工程名称：广州市净水有限公司龙归分公司视频传输网络优化及办公楼WIFI覆盖</w:t>
            </w:r>
          </w:p>
        </w:tc>
        <w:tc>
          <w:tcPr>
            <w:tcW w:w="978"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138"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0" w:type="pct"/>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64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82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6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37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569"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524"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费率(%)</w:t>
            </w:r>
          </w:p>
        </w:tc>
        <w:tc>
          <w:tcPr>
            <w:tcW w:w="525"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金额(元)</w:t>
            </w:r>
          </w:p>
        </w:tc>
        <w:tc>
          <w:tcPr>
            <w:tcW w:w="535"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35.77</w:t>
            </w: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color w:val="auto"/>
                <w:kern w:val="0"/>
                <w:sz w:val="20"/>
                <w:szCs w:val="20"/>
                <w:highlight w:val="none"/>
                <w:u w:val="none"/>
                <w:lang w:val="en-US" w:bidi="ar"/>
              </w:rPr>
              <w:t>13663.99</w:t>
            </w: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031301010001</w:t>
            </w: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安装与生产同时进行增加费用</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031301011001</w:t>
            </w: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在有害身体健康环境中施工增加费</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TSSGBWZJF001</w:t>
            </w: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在地下（暗）室、设备及大口径管道内等特殊施工部位进行施工增加费</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粤031302008001</w:t>
            </w: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031302002001</w:t>
            </w: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JTGRSGZJF001</w:t>
            </w: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交通干扰工程施工增加费</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粤031302009001</w:t>
            </w: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330"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648"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DXGXJCJXF001</w:t>
            </w:r>
          </w:p>
        </w:tc>
        <w:tc>
          <w:tcPr>
            <w:tcW w:w="828"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66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2117"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2" w:type="pct"/>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978" w:type="pct"/>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138" w:type="pct"/>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2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88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工程名称：广州市净水有限公司龙归分公司视频传输网络优化及办公楼WIFI覆盖</w:t>
            </w:r>
          </w:p>
        </w:tc>
        <w:tc>
          <w:tcPr>
            <w:tcW w:w="978"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138"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0" w:type="pct"/>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64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82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6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37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569"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524"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费率(%)</w:t>
            </w:r>
          </w:p>
        </w:tc>
        <w:tc>
          <w:tcPr>
            <w:tcW w:w="525"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金额(元)</w:t>
            </w:r>
          </w:p>
        </w:tc>
        <w:tc>
          <w:tcPr>
            <w:tcW w:w="535"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6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45" w:type="pct"/>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569"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color w:val="auto"/>
                <w:kern w:val="0"/>
                <w:sz w:val="20"/>
                <w:szCs w:val="20"/>
                <w:highlight w:val="none"/>
                <w:u w:val="none"/>
                <w:lang w:val="en-US" w:bidi="ar"/>
              </w:rPr>
              <w:t>13663.99</w:t>
            </w:r>
          </w:p>
        </w:tc>
        <w:tc>
          <w:tcPr>
            <w:tcW w:w="524"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5"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5"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2117"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2" w:type="pct"/>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978" w:type="pct"/>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138" w:type="pct"/>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bl>
    <w:p>
      <w:pPr>
        <w:adjustRightInd w:val="0"/>
        <w:snapToGrid w:val="0"/>
        <w:spacing w:line="600" w:lineRule="exact"/>
        <w:ind w:firstLine="570"/>
        <w:rPr>
          <w:rFonts w:ascii="仿宋_GB2312" w:hAnsi="宋体" w:eastAsia="仿宋_GB2312"/>
          <w:color w:val="auto"/>
          <w:sz w:val="28"/>
          <w:szCs w:val="28"/>
          <w:highlight w:val="none"/>
        </w:rPr>
      </w:pPr>
    </w:p>
    <w:tbl>
      <w:tblPr>
        <w:tblStyle w:val="2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6"/>
        <w:gridCol w:w="3400"/>
        <w:gridCol w:w="806"/>
        <w:gridCol w:w="804"/>
        <w:gridCol w:w="743"/>
        <w:gridCol w:w="701"/>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53" w:type="pct"/>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bookmarkStart w:id="168" w:name="_Toc87616402"/>
            <w:bookmarkStart w:id="169" w:name="_Toc6058"/>
            <w:bookmarkStart w:id="170" w:name="_Toc88209965"/>
            <w:bookmarkStart w:id="171" w:name="_Toc16386"/>
          </w:p>
        </w:tc>
        <w:tc>
          <w:tcPr>
            <w:tcW w:w="1246" w:type="pct"/>
            <w:gridSpan w:val="2"/>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工程名称：广州市净水有限公司龙归分公司视频传输网络优化及办公楼WIFI覆盖</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81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850"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4021.01</w:t>
            </w: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1916"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907"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4021.01</w:t>
            </w:r>
          </w:p>
        </w:tc>
        <w:tc>
          <w:tcPr>
            <w:tcW w:w="81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5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1" w:type="pct"/>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246" w:type="pct"/>
            <w:gridSpan w:val="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表—12</w:t>
            </w:r>
          </w:p>
        </w:tc>
      </w:tr>
    </w:tbl>
    <w:p>
      <w:pPr>
        <w:pStyle w:val="29"/>
        <w:rPr>
          <w:rFonts w:hint="default" w:ascii="宋体" w:hAnsi="宋体" w:eastAsia="宋体"/>
          <w:b/>
          <w:bCs/>
          <w:color w:val="auto"/>
          <w:sz w:val="24"/>
          <w:szCs w:val="24"/>
          <w:highlight w:val="none"/>
          <w:lang w:val="en-US" w:eastAsia="zh-CN"/>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7"/>
        <w:gridCol w:w="2057"/>
        <w:gridCol w:w="2279"/>
        <w:gridCol w:w="162"/>
        <w:gridCol w:w="1367"/>
        <w:gridCol w:w="18"/>
        <w:gridCol w:w="855"/>
        <w:gridCol w:w="1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工程名称：广州市净水有限公司龙归分公司视频传输网络优化及办公楼WIFI覆盖</w:t>
            </w:r>
          </w:p>
        </w:tc>
        <w:tc>
          <w:tcPr>
            <w:tcW w:w="871"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5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77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取费基数</w:t>
            </w:r>
          </w:p>
        </w:tc>
        <w:tc>
          <w:tcPr>
            <w:tcW w:w="48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765"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285192.42</w:t>
            </w: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25667.32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34" w:type="pct"/>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    计</w:t>
            </w:r>
          </w:p>
        </w:tc>
        <w:tc>
          <w:tcPr>
            <w:tcW w:w="765"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25667.32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1" w:type="pct"/>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编制人（造价人员）：</w:t>
            </w:r>
          </w:p>
        </w:tc>
        <w:tc>
          <w:tcPr>
            <w:tcW w:w="2118" w:type="pct"/>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1" w:type="pct"/>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71" w:type="pct"/>
            <w:gridSpan w:val="3"/>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24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表—13</w:t>
            </w:r>
          </w:p>
        </w:tc>
      </w:tr>
    </w:tbl>
    <w:p>
      <w:pPr>
        <w:pStyle w:val="7"/>
        <w:numPr>
          <w:ilvl w:val="-1"/>
          <w:numId w:val="0"/>
        </w:numPr>
        <w:rPr>
          <w:rFonts w:hint="eastAsia"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8"/>
      <w:bookmarkEnd w:id="169"/>
      <w:bookmarkEnd w:id="170"/>
      <w:bookmarkEnd w:id="171"/>
    </w:p>
    <w:p>
      <w:pPr>
        <w:adjustRightInd w:val="0"/>
        <w:snapToGrid w:val="0"/>
        <w:spacing w:line="600" w:lineRule="exact"/>
        <w:ind w:firstLine="0"/>
        <w:rPr>
          <w:rFonts w:hint="eastAsia" w:ascii="仿宋_GB2312" w:eastAsia="仿宋_GB2312" w:hAnsiTheme="minorEastAsia"/>
          <w:color w:val="auto"/>
          <w:sz w:val="28"/>
          <w:szCs w:val="28"/>
          <w:highlight w:val="none"/>
          <w:lang w:val="zh-CN" w:eastAsia="zh-CN"/>
        </w:rPr>
      </w:pPr>
      <w:r>
        <w:rPr>
          <w:rFonts w:hint="eastAsia" w:ascii="仿宋_GB2312" w:eastAsia="仿宋_GB2312" w:hAnsiTheme="minorEastAsia"/>
          <w:color w:val="auto"/>
          <w:sz w:val="28"/>
          <w:szCs w:val="28"/>
          <w:highlight w:val="none"/>
          <w:lang w:val="zh-CN" w:eastAsia="zh-CN"/>
        </w:rPr>
        <w:t>广州市净水有限公司：</w:t>
      </w: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我司</w:t>
      </w:r>
      <w:r>
        <w:rPr>
          <w:rFonts w:hint="eastAsia" w:ascii="仿宋_GB2312" w:eastAsia="仿宋_GB2312" w:hAnsiTheme="minorEastAsia"/>
          <w:color w:val="auto"/>
          <w:sz w:val="28"/>
          <w:szCs w:val="28"/>
          <w:highlight w:val="none"/>
          <w:lang w:val="zh-CN"/>
        </w:rPr>
        <w:t>承诺，所提供报价货物/设备备件均为制造商全新原装产品，</w:t>
      </w:r>
      <w:r>
        <w:rPr>
          <w:rFonts w:hint="eastAsia" w:ascii="仿宋_GB2312" w:eastAsia="仿宋_GB2312" w:hAnsiTheme="minorEastAsia"/>
          <w:color w:val="auto"/>
          <w:sz w:val="28"/>
          <w:szCs w:val="28"/>
          <w:highlight w:val="none"/>
        </w:rPr>
        <w:t>且</w:t>
      </w:r>
      <w:r>
        <w:rPr>
          <w:rFonts w:hint="eastAsia" w:ascii="仿宋_GB2312" w:eastAsia="仿宋_GB2312" w:hAnsiTheme="minorEastAsia"/>
          <w:color w:val="auto"/>
          <w:sz w:val="28"/>
          <w:szCs w:val="28"/>
          <w:highlight w:val="none"/>
          <w:lang w:val="zh-CN"/>
        </w:rPr>
        <w:t>产品出厂</w:t>
      </w:r>
      <w:r>
        <w:rPr>
          <w:rFonts w:hint="eastAsia" w:ascii="仿宋_GB2312" w:eastAsia="仿宋_GB2312" w:hAnsiTheme="minorEastAsia"/>
          <w:color w:val="auto"/>
          <w:sz w:val="28"/>
          <w:szCs w:val="28"/>
          <w:highlight w:val="none"/>
        </w:rPr>
        <w:t>日期为</w:t>
      </w:r>
      <w:r>
        <w:rPr>
          <w:rFonts w:hint="eastAsia" w:ascii="仿宋_GB2312" w:eastAsia="仿宋_GB2312" w:hAnsiTheme="minorEastAsia"/>
          <w:color w:val="auto"/>
          <w:sz w:val="28"/>
          <w:szCs w:val="28"/>
          <w:highlight w:val="none"/>
          <w:lang w:val="zh-CN"/>
        </w:rPr>
        <w:t>半年内，</w:t>
      </w:r>
      <w:r>
        <w:rPr>
          <w:rFonts w:hint="eastAsia" w:ascii="仿宋_GB2312" w:eastAsia="仿宋_GB2312" w:hAnsiTheme="minorEastAsia"/>
          <w:color w:val="auto"/>
          <w:sz w:val="28"/>
          <w:szCs w:val="28"/>
          <w:highlight w:val="none"/>
        </w:rPr>
        <w:t>供货时出具设备出厂合格证明</w:t>
      </w:r>
      <w:r>
        <w:rPr>
          <w:rFonts w:hint="eastAsia" w:ascii="仿宋_GB2312" w:eastAsia="仿宋_GB2312" w:hAnsiTheme="minorEastAsia"/>
          <w:color w:val="auto"/>
          <w:sz w:val="28"/>
          <w:szCs w:val="28"/>
          <w:highlight w:val="none"/>
          <w:lang w:val="zh-CN"/>
        </w:rPr>
        <w:t>。</w:t>
      </w:r>
    </w:p>
    <w:p>
      <w:pPr>
        <w:rPr>
          <w:color w:val="auto"/>
          <w:highlight w:val="none"/>
        </w:rPr>
      </w:pP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SnZIc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UbShy3OPHzzx/nX3/Ov7+T&#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ZKdkh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9GFTckBAACa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UbShy3OPHzzx/nX3/Ov7+T&#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0YVN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3Ts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OqGEsctTvzy/dvlx6/Lz69k&#10;mfXpA9SY9hgwMQ33fsCtmf2Azkx7UNHmLxIiGEd1z1d15ZCIyI/Wq/W6wpDA2HxBfPb0PERIb6W3&#10;JBsNjTi+oio/vYc0ps4puZrzD9qYMkLj/nIgZvaw3PvYY7bSsB8mQnvfnpFPj5NvqMNFp8S8cyhs&#10;XpLZiLOxn41jiPrQlS3K9SDcHRM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55LdO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B43CF"/>
    <w:multiLevelType w:val="singleLevel"/>
    <w:tmpl w:val="9A4B43CF"/>
    <w:lvl w:ilvl="0" w:tentative="0">
      <w:start w:val="1"/>
      <w:numFmt w:val="decimal"/>
      <w:lvlText w:val="(%1)"/>
      <w:lvlJc w:val="left"/>
      <w:pPr>
        <w:ind w:left="425" w:hanging="425"/>
      </w:pPr>
      <w:rPr>
        <w:rFonts w:hint="default"/>
      </w:rPr>
    </w:lvl>
  </w:abstractNum>
  <w:abstractNum w:abstractNumId="1">
    <w:nsid w:val="AA4D5C1E"/>
    <w:multiLevelType w:val="singleLevel"/>
    <w:tmpl w:val="AA4D5C1E"/>
    <w:lvl w:ilvl="0" w:tentative="0">
      <w:start w:val="1"/>
      <w:numFmt w:val="decimal"/>
      <w:suff w:val="nothing"/>
      <w:lvlText w:val="%1、"/>
      <w:lvlJc w:val="left"/>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4F17"/>
    <w:rsid w:val="003D60BA"/>
    <w:rsid w:val="00411689"/>
    <w:rsid w:val="005D618A"/>
    <w:rsid w:val="00911ECD"/>
    <w:rsid w:val="00A042E0"/>
    <w:rsid w:val="00B26BB1"/>
    <w:rsid w:val="00B26E21"/>
    <w:rsid w:val="00F83B64"/>
    <w:rsid w:val="015130E5"/>
    <w:rsid w:val="02090C75"/>
    <w:rsid w:val="02A23A3C"/>
    <w:rsid w:val="03AC246A"/>
    <w:rsid w:val="03B23056"/>
    <w:rsid w:val="03DC3EBA"/>
    <w:rsid w:val="03F9794D"/>
    <w:rsid w:val="043B2EAD"/>
    <w:rsid w:val="046A2461"/>
    <w:rsid w:val="06B9306F"/>
    <w:rsid w:val="06C64829"/>
    <w:rsid w:val="077D16D2"/>
    <w:rsid w:val="082633D8"/>
    <w:rsid w:val="085D452D"/>
    <w:rsid w:val="08675FC8"/>
    <w:rsid w:val="089037F3"/>
    <w:rsid w:val="09B713FD"/>
    <w:rsid w:val="09EF6ACC"/>
    <w:rsid w:val="0A315056"/>
    <w:rsid w:val="0AFB45AD"/>
    <w:rsid w:val="0AFC14B4"/>
    <w:rsid w:val="0B351E9B"/>
    <w:rsid w:val="0B4B1F4B"/>
    <w:rsid w:val="0B4C50D3"/>
    <w:rsid w:val="0B806B92"/>
    <w:rsid w:val="0B827E94"/>
    <w:rsid w:val="0B9642FA"/>
    <w:rsid w:val="0BCD0CAD"/>
    <w:rsid w:val="0BD070E1"/>
    <w:rsid w:val="0C247926"/>
    <w:rsid w:val="0D794204"/>
    <w:rsid w:val="0D9A3E43"/>
    <w:rsid w:val="0E2125D1"/>
    <w:rsid w:val="0E214211"/>
    <w:rsid w:val="0E5F2769"/>
    <w:rsid w:val="0F4D75A3"/>
    <w:rsid w:val="0F5B2DCA"/>
    <w:rsid w:val="0F6F4174"/>
    <w:rsid w:val="0FED051E"/>
    <w:rsid w:val="0FEE4C29"/>
    <w:rsid w:val="0FFA2F62"/>
    <w:rsid w:val="10046082"/>
    <w:rsid w:val="1088268D"/>
    <w:rsid w:val="112A3C81"/>
    <w:rsid w:val="112B101A"/>
    <w:rsid w:val="114F30A7"/>
    <w:rsid w:val="11992E28"/>
    <w:rsid w:val="119A19DB"/>
    <w:rsid w:val="119B53FC"/>
    <w:rsid w:val="12161F47"/>
    <w:rsid w:val="12424CDC"/>
    <w:rsid w:val="129A2738"/>
    <w:rsid w:val="12B56410"/>
    <w:rsid w:val="12B56BF1"/>
    <w:rsid w:val="12CB1A89"/>
    <w:rsid w:val="131840FB"/>
    <w:rsid w:val="13467417"/>
    <w:rsid w:val="136E76CF"/>
    <w:rsid w:val="15BC6B3C"/>
    <w:rsid w:val="1694429A"/>
    <w:rsid w:val="173A6C0B"/>
    <w:rsid w:val="17635326"/>
    <w:rsid w:val="17D92956"/>
    <w:rsid w:val="18236EFD"/>
    <w:rsid w:val="186310F0"/>
    <w:rsid w:val="189D5B1F"/>
    <w:rsid w:val="18A34CD0"/>
    <w:rsid w:val="19B64DBC"/>
    <w:rsid w:val="19CA11B1"/>
    <w:rsid w:val="1A373ACF"/>
    <w:rsid w:val="1A4F1D80"/>
    <w:rsid w:val="1A895341"/>
    <w:rsid w:val="1B0D071F"/>
    <w:rsid w:val="1B4568CE"/>
    <w:rsid w:val="1B547A40"/>
    <w:rsid w:val="1B9015B7"/>
    <w:rsid w:val="1C5B5A42"/>
    <w:rsid w:val="1D216C10"/>
    <w:rsid w:val="1D5A79EE"/>
    <w:rsid w:val="1E0E2CD0"/>
    <w:rsid w:val="1E831280"/>
    <w:rsid w:val="1EBC4704"/>
    <w:rsid w:val="1F172EB5"/>
    <w:rsid w:val="1F94592D"/>
    <w:rsid w:val="1FB860DE"/>
    <w:rsid w:val="202972F6"/>
    <w:rsid w:val="203C5A02"/>
    <w:rsid w:val="209D4C94"/>
    <w:rsid w:val="20E7131A"/>
    <w:rsid w:val="20E84705"/>
    <w:rsid w:val="212F0CEE"/>
    <w:rsid w:val="21696687"/>
    <w:rsid w:val="218400BA"/>
    <w:rsid w:val="21AB1E2F"/>
    <w:rsid w:val="21D40498"/>
    <w:rsid w:val="21DF2C72"/>
    <w:rsid w:val="22767047"/>
    <w:rsid w:val="23250B58"/>
    <w:rsid w:val="23A05588"/>
    <w:rsid w:val="23A93537"/>
    <w:rsid w:val="24E30CC7"/>
    <w:rsid w:val="25431AEB"/>
    <w:rsid w:val="259962FA"/>
    <w:rsid w:val="25BF43FD"/>
    <w:rsid w:val="25F86BCD"/>
    <w:rsid w:val="265F035B"/>
    <w:rsid w:val="269B6C8A"/>
    <w:rsid w:val="269E416A"/>
    <w:rsid w:val="26D32511"/>
    <w:rsid w:val="272100D3"/>
    <w:rsid w:val="272C72FC"/>
    <w:rsid w:val="27EB149D"/>
    <w:rsid w:val="27FD3E52"/>
    <w:rsid w:val="280D71A3"/>
    <w:rsid w:val="282B7F04"/>
    <w:rsid w:val="283E4CDA"/>
    <w:rsid w:val="284412AD"/>
    <w:rsid w:val="28E11370"/>
    <w:rsid w:val="28F34199"/>
    <w:rsid w:val="294A756A"/>
    <w:rsid w:val="299D4203"/>
    <w:rsid w:val="29D5322D"/>
    <w:rsid w:val="2A025DD9"/>
    <w:rsid w:val="2A286D87"/>
    <w:rsid w:val="2A7C2231"/>
    <w:rsid w:val="2ABB753D"/>
    <w:rsid w:val="2B7A49FA"/>
    <w:rsid w:val="2C615D26"/>
    <w:rsid w:val="2CB679ED"/>
    <w:rsid w:val="2D173C07"/>
    <w:rsid w:val="2D424A86"/>
    <w:rsid w:val="2D543946"/>
    <w:rsid w:val="2E7B52DB"/>
    <w:rsid w:val="2F324CFE"/>
    <w:rsid w:val="2FBA09F1"/>
    <w:rsid w:val="2FEF2ACF"/>
    <w:rsid w:val="30540211"/>
    <w:rsid w:val="312D7741"/>
    <w:rsid w:val="316F137F"/>
    <w:rsid w:val="31DF525F"/>
    <w:rsid w:val="31F11DBC"/>
    <w:rsid w:val="32324C2E"/>
    <w:rsid w:val="327171DF"/>
    <w:rsid w:val="32F92DC8"/>
    <w:rsid w:val="33694D20"/>
    <w:rsid w:val="341E3434"/>
    <w:rsid w:val="34BE3586"/>
    <w:rsid w:val="34E54289"/>
    <w:rsid w:val="360B7EBA"/>
    <w:rsid w:val="369C32FD"/>
    <w:rsid w:val="37666E72"/>
    <w:rsid w:val="38167A04"/>
    <w:rsid w:val="386C09BE"/>
    <w:rsid w:val="38D72A0F"/>
    <w:rsid w:val="394B167A"/>
    <w:rsid w:val="3A4E4336"/>
    <w:rsid w:val="3A6007FE"/>
    <w:rsid w:val="3B7C2CE4"/>
    <w:rsid w:val="3C0B5355"/>
    <w:rsid w:val="3CD4176B"/>
    <w:rsid w:val="3D1F44D9"/>
    <w:rsid w:val="3D5C38CD"/>
    <w:rsid w:val="3E5070F1"/>
    <w:rsid w:val="3E644713"/>
    <w:rsid w:val="3E8470FC"/>
    <w:rsid w:val="3F6C3589"/>
    <w:rsid w:val="3F850180"/>
    <w:rsid w:val="3F9004D6"/>
    <w:rsid w:val="400E4D5E"/>
    <w:rsid w:val="40697786"/>
    <w:rsid w:val="40E1138C"/>
    <w:rsid w:val="413814BA"/>
    <w:rsid w:val="41872511"/>
    <w:rsid w:val="41CF1479"/>
    <w:rsid w:val="42466655"/>
    <w:rsid w:val="42C82F57"/>
    <w:rsid w:val="43A32721"/>
    <w:rsid w:val="43C76AF7"/>
    <w:rsid w:val="446828F0"/>
    <w:rsid w:val="458C53CE"/>
    <w:rsid w:val="45C13B4D"/>
    <w:rsid w:val="46054BCA"/>
    <w:rsid w:val="464C6AFC"/>
    <w:rsid w:val="46880A60"/>
    <w:rsid w:val="468B0091"/>
    <w:rsid w:val="46A107C3"/>
    <w:rsid w:val="46B15CE2"/>
    <w:rsid w:val="46BE113D"/>
    <w:rsid w:val="46E44B13"/>
    <w:rsid w:val="4703508A"/>
    <w:rsid w:val="475023F8"/>
    <w:rsid w:val="479D361E"/>
    <w:rsid w:val="47B74789"/>
    <w:rsid w:val="47C35FD7"/>
    <w:rsid w:val="480F2B9D"/>
    <w:rsid w:val="48282920"/>
    <w:rsid w:val="485321E0"/>
    <w:rsid w:val="48546AD3"/>
    <w:rsid w:val="489C3870"/>
    <w:rsid w:val="48CA4868"/>
    <w:rsid w:val="48F005D3"/>
    <w:rsid w:val="498F4AF1"/>
    <w:rsid w:val="49C05787"/>
    <w:rsid w:val="49CF518D"/>
    <w:rsid w:val="4ADA1F63"/>
    <w:rsid w:val="4AE23D89"/>
    <w:rsid w:val="4B2038D0"/>
    <w:rsid w:val="4B296E7D"/>
    <w:rsid w:val="4B877F28"/>
    <w:rsid w:val="4B9764D7"/>
    <w:rsid w:val="4CE4572B"/>
    <w:rsid w:val="4CEA2FA6"/>
    <w:rsid w:val="4D916BA6"/>
    <w:rsid w:val="4DC44169"/>
    <w:rsid w:val="4DF02212"/>
    <w:rsid w:val="4E650903"/>
    <w:rsid w:val="4EF0709E"/>
    <w:rsid w:val="4F955A53"/>
    <w:rsid w:val="513C6A7B"/>
    <w:rsid w:val="5333545B"/>
    <w:rsid w:val="5450213C"/>
    <w:rsid w:val="54D24048"/>
    <w:rsid w:val="54D64CD5"/>
    <w:rsid w:val="55887D69"/>
    <w:rsid w:val="55A046B6"/>
    <w:rsid w:val="561A0928"/>
    <w:rsid w:val="56423872"/>
    <w:rsid w:val="56B279F0"/>
    <w:rsid w:val="579D710E"/>
    <w:rsid w:val="57C952FF"/>
    <w:rsid w:val="581F22F6"/>
    <w:rsid w:val="586E1E17"/>
    <w:rsid w:val="58862C35"/>
    <w:rsid w:val="58C14957"/>
    <w:rsid w:val="5AE83A50"/>
    <w:rsid w:val="5B233C35"/>
    <w:rsid w:val="5B517570"/>
    <w:rsid w:val="5BAB2917"/>
    <w:rsid w:val="5BFC33FA"/>
    <w:rsid w:val="5C3107A4"/>
    <w:rsid w:val="5C3B1B93"/>
    <w:rsid w:val="5C716343"/>
    <w:rsid w:val="5C9220DF"/>
    <w:rsid w:val="5D1518DC"/>
    <w:rsid w:val="5D4A15F3"/>
    <w:rsid w:val="5D69542A"/>
    <w:rsid w:val="5E0930EF"/>
    <w:rsid w:val="5E3D4D53"/>
    <w:rsid w:val="5E4717E6"/>
    <w:rsid w:val="5E55774C"/>
    <w:rsid w:val="5EBD0DD5"/>
    <w:rsid w:val="60104DDC"/>
    <w:rsid w:val="60587B4C"/>
    <w:rsid w:val="605C0804"/>
    <w:rsid w:val="608959AF"/>
    <w:rsid w:val="6189617B"/>
    <w:rsid w:val="61B52BB6"/>
    <w:rsid w:val="61B6639A"/>
    <w:rsid w:val="61B749C2"/>
    <w:rsid w:val="62280D20"/>
    <w:rsid w:val="6244208D"/>
    <w:rsid w:val="62CA2457"/>
    <w:rsid w:val="637B5D8A"/>
    <w:rsid w:val="638240A1"/>
    <w:rsid w:val="63A5257B"/>
    <w:rsid w:val="63BD3DCC"/>
    <w:rsid w:val="63C61741"/>
    <w:rsid w:val="64560967"/>
    <w:rsid w:val="65230025"/>
    <w:rsid w:val="656B1D10"/>
    <w:rsid w:val="65D27DFB"/>
    <w:rsid w:val="66022B28"/>
    <w:rsid w:val="664332E5"/>
    <w:rsid w:val="66581E87"/>
    <w:rsid w:val="66FA11D5"/>
    <w:rsid w:val="674302C7"/>
    <w:rsid w:val="674D4E6C"/>
    <w:rsid w:val="680A5986"/>
    <w:rsid w:val="680D5F4B"/>
    <w:rsid w:val="68113F51"/>
    <w:rsid w:val="68E94770"/>
    <w:rsid w:val="68F949C9"/>
    <w:rsid w:val="695A4290"/>
    <w:rsid w:val="6A334932"/>
    <w:rsid w:val="6A3353FF"/>
    <w:rsid w:val="6A5D63E6"/>
    <w:rsid w:val="6A5F24D1"/>
    <w:rsid w:val="6A6A37F8"/>
    <w:rsid w:val="6AE347EB"/>
    <w:rsid w:val="6B434AF0"/>
    <w:rsid w:val="6B57675A"/>
    <w:rsid w:val="6BDD7B4D"/>
    <w:rsid w:val="6CB0280D"/>
    <w:rsid w:val="6CB70A93"/>
    <w:rsid w:val="6D236214"/>
    <w:rsid w:val="6EBC0B3A"/>
    <w:rsid w:val="6EEE3C8D"/>
    <w:rsid w:val="6EF51C7D"/>
    <w:rsid w:val="6F8363E5"/>
    <w:rsid w:val="6FC746F5"/>
    <w:rsid w:val="6FF84E2D"/>
    <w:rsid w:val="70317AC6"/>
    <w:rsid w:val="70863262"/>
    <w:rsid w:val="70A76ED3"/>
    <w:rsid w:val="70C83694"/>
    <w:rsid w:val="71860B17"/>
    <w:rsid w:val="723B27CC"/>
    <w:rsid w:val="72687227"/>
    <w:rsid w:val="72A03FD9"/>
    <w:rsid w:val="73406CFF"/>
    <w:rsid w:val="7383028C"/>
    <w:rsid w:val="73A25E44"/>
    <w:rsid w:val="73BB01DC"/>
    <w:rsid w:val="741F68CF"/>
    <w:rsid w:val="74627397"/>
    <w:rsid w:val="74B675B2"/>
    <w:rsid w:val="75252DF3"/>
    <w:rsid w:val="75621536"/>
    <w:rsid w:val="759F40BA"/>
    <w:rsid w:val="75BF3154"/>
    <w:rsid w:val="75D957F1"/>
    <w:rsid w:val="761A4D3F"/>
    <w:rsid w:val="764A07CF"/>
    <w:rsid w:val="764F6B3D"/>
    <w:rsid w:val="76CD2B7B"/>
    <w:rsid w:val="76D80645"/>
    <w:rsid w:val="76E03371"/>
    <w:rsid w:val="7734373F"/>
    <w:rsid w:val="780E5898"/>
    <w:rsid w:val="782642CC"/>
    <w:rsid w:val="782C26F1"/>
    <w:rsid w:val="7894095E"/>
    <w:rsid w:val="79000679"/>
    <w:rsid w:val="79A416F0"/>
    <w:rsid w:val="79B03EB6"/>
    <w:rsid w:val="79F25641"/>
    <w:rsid w:val="7A280FC3"/>
    <w:rsid w:val="7AF37579"/>
    <w:rsid w:val="7AF87F64"/>
    <w:rsid w:val="7B1C0C84"/>
    <w:rsid w:val="7B5A62DF"/>
    <w:rsid w:val="7B73328D"/>
    <w:rsid w:val="7B7A04A8"/>
    <w:rsid w:val="7BF14344"/>
    <w:rsid w:val="7C0C3F6D"/>
    <w:rsid w:val="7C22163C"/>
    <w:rsid w:val="7C595075"/>
    <w:rsid w:val="7C6B07B2"/>
    <w:rsid w:val="7C9F2511"/>
    <w:rsid w:val="7D133243"/>
    <w:rsid w:val="7E394207"/>
    <w:rsid w:val="7E4007A2"/>
    <w:rsid w:val="7E791CAD"/>
    <w:rsid w:val="7EA50DFB"/>
    <w:rsid w:val="7EC86878"/>
    <w:rsid w:val="7F16390D"/>
    <w:rsid w:val="7F6220F9"/>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6"/>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customStyle="1" w:styleId="6">
    <w:name w:val="_"/>
    <w:basedOn w:val="1"/>
    <w:qFormat/>
    <w:uiPriority w:val="0"/>
    <w:pPr>
      <w:ind w:left="480"/>
    </w:pPr>
  </w:style>
  <w:style w:type="paragraph" w:styleId="9">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0">
    <w:name w:val="Body Text 3"/>
    <w:basedOn w:val="1"/>
    <w:link w:val="42"/>
    <w:unhideWhenUsed/>
    <w:qFormat/>
    <w:uiPriority w:val="99"/>
    <w:pPr>
      <w:spacing w:after="120"/>
    </w:pPr>
    <w:rPr>
      <w:sz w:val="16"/>
      <w:szCs w:val="16"/>
    </w:r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semiHidden/>
    <w:unhideWhenUsed/>
    <w:qFormat/>
    <w:uiPriority w:val="0"/>
    <w:pPr>
      <w:spacing w:after="120" w:line="480" w:lineRule="auto"/>
      <w:ind w:left="420" w:leftChars="200"/>
    </w:p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spacing w:before="100" w:beforeAutospacing="1" w:after="100" w:afterAutospacing="1"/>
    </w:pPr>
    <w:rPr>
      <w:rFonts w:ascii="宋体" w:hAnsi="宋体" w:cs="宋体"/>
      <w:sz w:val="24"/>
      <w:szCs w:val="24"/>
    </w:rPr>
  </w:style>
  <w:style w:type="paragraph" w:styleId="23">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kern w:val="2"/>
      <w:sz w:val="24"/>
      <w:szCs w:val="24"/>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6"/>
    <w:link w:val="19"/>
    <w:semiHidden/>
    <w:qFormat/>
    <w:uiPriority w:val="99"/>
    <w:rPr>
      <w:sz w:val="18"/>
      <w:szCs w:val="18"/>
    </w:rPr>
  </w:style>
  <w:style w:type="character" w:customStyle="1" w:styleId="31">
    <w:name w:val="页脚 Char"/>
    <w:basedOn w:val="26"/>
    <w:link w:val="18"/>
    <w:qFormat/>
    <w:uiPriority w:val="99"/>
    <w:rPr>
      <w:sz w:val="18"/>
      <w:szCs w:val="18"/>
    </w:rPr>
  </w:style>
  <w:style w:type="character" w:customStyle="1" w:styleId="32">
    <w:name w:val="标题 1 Char"/>
    <w:basedOn w:val="26"/>
    <w:link w:val="4"/>
    <w:qFormat/>
    <w:uiPriority w:val="9"/>
    <w:rPr>
      <w:rFonts w:eastAsia="方正小标宋简体"/>
      <w:bCs/>
      <w:kern w:val="44"/>
      <w:sz w:val="44"/>
      <w:szCs w:val="44"/>
    </w:rPr>
  </w:style>
  <w:style w:type="character" w:customStyle="1" w:styleId="33">
    <w:name w:val="标题 2 Char"/>
    <w:basedOn w:val="26"/>
    <w:link w:val="5"/>
    <w:qFormat/>
    <w:uiPriority w:val="9"/>
    <w:rPr>
      <w:rFonts w:eastAsia="方正小标宋简体" w:asciiTheme="majorHAnsi" w:hAnsiTheme="majorHAnsi" w:cstheme="majorBidi"/>
      <w:bCs/>
      <w:sz w:val="36"/>
      <w:szCs w:val="32"/>
    </w:rPr>
  </w:style>
  <w:style w:type="character" w:customStyle="1" w:styleId="34">
    <w:name w:val="标题 3 Char"/>
    <w:basedOn w:val="26"/>
    <w:link w:val="7"/>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6"/>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link w:val="10"/>
    <w:qFormat/>
    <w:uiPriority w:val="99"/>
    <w:rPr>
      <w:sz w:val="16"/>
      <w:szCs w:val="16"/>
    </w:rPr>
  </w:style>
  <w:style w:type="character" w:customStyle="1" w:styleId="42">
    <w:name w:val="正文文本 3 Char1"/>
    <w:basedOn w:val="26"/>
    <w:link w:val="10"/>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table" w:customStyle="1" w:styleId="48">
    <w:name w:val="网格型1"/>
    <w:basedOn w:val="24"/>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tech-specs-items-description-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mb-p"/>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2">
    <w:name w:val="*正文"/>
    <w:basedOn w:val="1"/>
    <w:next w:val="1"/>
    <w:qFormat/>
    <w:uiPriority w:val="0"/>
    <w:pPr>
      <w:widowControl/>
      <w:ind w:firstLine="200" w:firstLineChars="200"/>
    </w:pPr>
    <w:rPr>
      <w:rFonts w:ascii="仿宋_GB2312" w:eastAsia="仿宋_GB2312"/>
      <w:kern w:val="0"/>
      <w:szCs w:val="28"/>
    </w:rPr>
  </w:style>
  <w:style w:type="paragraph" w:customStyle="1" w:styleId="53">
    <w:name w:val="z-窗体顶端1"/>
    <w:basedOn w:val="1"/>
    <w:qFormat/>
    <w:uiPriority w:val="34"/>
    <w:pPr>
      <w:ind w:firstLine="420" w:firstLineChars="200"/>
    </w:pPr>
    <w:rPr>
      <w:rFonts w:ascii="Calibri" w:hAnsi="Calibri"/>
      <w:szCs w:val="22"/>
    </w:rPr>
  </w:style>
  <w:style w:type="paragraph" w:customStyle="1" w:styleId="54">
    <w:name w:val="列出段落3"/>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31775</Words>
  <Characters>34866</Characters>
  <Lines>300</Lines>
  <Paragraphs>84</Paragraphs>
  <TotalTime>2</TotalTime>
  <ScaleCrop>false</ScaleCrop>
  <LinksUpToDate>false</LinksUpToDate>
  <CharactersWithSpaces>37212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2022-11-02T00:39:00Z</cp:lastPrinted>
  <dcterms:modified xsi:type="dcterms:W3CDTF">2022-11-04T07:07:26Z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D66B973A62844DE894AE2A914FD8FCB8</vt:lpwstr>
  </property>
</Properties>
</file>