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eastAsia="zh-CN"/>
        </w:rPr>
        <w:t>广州市净水有限公司2022年猎德、大坦沙、大观分公司阀门采购项目（第二次）</w:t>
      </w:r>
    </w:p>
    <w:p>
      <w:pPr>
        <w:pStyle w:val="2"/>
        <w:rPr>
          <w:rFonts w:hint="eastAsia"/>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黑体" w:hAnsi="黑体" w:eastAsia="黑体"/>
          <w:color w:val="auto"/>
          <w:sz w:val="32"/>
          <w:szCs w:val="32"/>
          <w:highlight w:val="none"/>
        </w:rPr>
      </w:pPr>
      <w:r>
        <w:rPr>
          <w:rFonts w:hint="eastAsia" w:ascii="黑体" w:hAnsi="黑体" w:eastAsia="黑体" w:cs="仿宋_GB2312"/>
          <w:color w:val="auto"/>
          <w:sz w:val="32"/>
          <w:szCs w:val="32"/>
          <w:highlight w:val="none"/>
        </w:rPr>
        <w:t>广州市净水有限公司</w:t>
      </w:r>
    </w:p>
    <w:p>
      <w:pPr>
        <w:jc w:val="center"/>
        <w:rPr>
          <w:rFonts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二二年</w:t>
      </w:r>
      <w:r>
        <w:rPr>
          <w:rFonts w:hint="eastAsia" w:ascii="黑体" w:hAnsi="黑体" w:eastAsia="黑体" w:cs="仿宋_GB2312"/>
          <w:color w:val="auto"/>
          <w:sz w:val="32"/>
          <w:szCs w:val="32"/>
          <w:highlight w:val="none"/>
          <w:lang w:val="en-US" w:eastAsia="zh-CN"/>
        </w:rPr>
        <w:t>十一</w:t>
      </w:r>
      <w:r>
        <w:rPr>
          <w:rFonts w:hint="eastAsia" w:ascii="黑体" w:hAnsi="黑体" w:eastAsia="黑体" w:cs="仿宋_GB2312"/>
          <w:color w:val="auto"/>
          <w:sz w:val="32"/>
          <w:szCs w:val="32"/>
          <w:highlight w:val="none"/>
        </w:rPr>
        <w:t>月</w:t>
      </w:r>
    </w:p>
    <w:p>
      <w:pPr>
        <w:rPr>
          <w:color w:val="auto"/>
          <w:highlight w:val="none"/>
        </w:rPr>
        <w:sectPr>
          <w:footerReference r:id="rId5" w:type="first"/>
          <w:footerReference r:id="rId3" w:type="default"/>
          <w:footerReference r:id="rId4" w:type="even"/>
          <w:pgSz w:w="11906" w:h="16838"/>
          <w:pgMar w:top="2098" w:right="1474" w:bottom="1985" w:left="1588" w:header="851" w:footer="992" w:gutter="0"/>
          <w:pgNumType w:start="0"/>
          <w:cols w:space="425" w:num="1"/>
          <w:titlePg/>
          <w:docGrid w:type="lines" w:linePitch="312" w:charSpace="0"/>
        </w:sectPr>
      </w:pPr>
    </w:p>
    <w:p>
      <w:pPr>
        <w:pStyle w:val="2"/>
        <w:rPr>
          <w:color w:val="auto"/>
          <w:highlight w:val="none"/>
        </w:rPr>
      </w:pPr>
    </w:p>
    <w:p>
      <w:pPr>
        <w:pStyle w:val="39"/>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asciiTheme="minorEastAsia" w:hAnsiTheme="minorEastAsia"/>
          <w:color w:val="auto"/>
          <w:sz w:val="24"/>
          <w:szCs w:val="24"/>
          <w:highlight w:val="none"/>
        </w:rPr>
      </w:pPr>
    </w:p>
    <w:p>
      <w:pPr>
        <w:pStyle w:val="20"/>
        <w:numPr>
          <w:ilvl w:val="0"/>
          <w:numId w:val="1"/>
        </w:numPr>
        <w:tabs>
          <w:tab w:val="right" w:pos="8844"/>
        </w:tabs>
        <w:rPr>
          <w:color w:val="auto"/>
          <w:highlight w:val="none"/>
        </w:rPr>
      </w:pPr>
      <w:r>
        <w:rPr>
          <w:rFonts w:hint="eastAsia"/>
          <w:color w:val="auto"/>
          <w:highlight w:val="none"/>
        </w:rPr>
        <w:t>采购公告</w:t>
      </w:r>
    </w:p>
    <w:p>
      <w:pPr>
        <w:pStyle w:val="20"/>
        <w:numPr>
          <w:ilvl w:val="0"/>
          <w:numId w:val="1"/>
        </w:numPr>
        <w:tabs>
          <w:tab w:val="right" w:pos="8844"/>
        </w:tabs>
        <w:rPr>
          <w:color w:val="auto"/>
          <w:highlight w:val="none"/>
        </w:rPr>
      </w:pPr>
      <w:r>
        <w:rPr>
          <w:rFonts w:hint="eastAsia"/>
          <w:color w:val="auto"/>
          <w:highlight w:val="none"/>
        </w:rPr>
        <w:t>供应商须知</w:t>
      </w:r>
    </w:p>
    <w:p>
      <w:pPr>
        <w:pStyle w:val="20"/>
        <w:numPr>
          <w:ilvl w:val="0"/>
          <w:numId w:val="1"/>
        </w:numPr>
        <w:tabs>
          <w:tab w:val="right" w:pos="8844"/>
        </w:tabs>
        <w:rPr>
          <w:color w:val="auto"/>
          <w:highlight w:val="none"/>
        </w:rPr>
      </w:pPr>
      <w:r>
        <w:rPr>
          <w:rFonts w:hint="eastAsia"/>
          <w:color w:val="auto"/>
          <w:highlight w:val="none"/>
        </w:rPr>
        <w:t>采购方法</w:t>
      </w:r>
    </w:p>
    <w:p>
      <w:pPr>
        <w:pStyle w:val="20"/>
        <w:numPr>
          <w:ilvl w:val="0"/>
          <w:numId w:val="1"/>
        </w:numPr>
        <w:tabs>
          <w:tab w:val="right" w:pos="8844"/>
        </w:tabs>
        <w:rPr>
          <w:color w:val="auto"/>
          <w:highlight w:val="none"/>
        </w:rPr>
      </w:pPr>
      <w:r>
        <w:rPr>
          <w:rFonts w:hint="eastAsia"/>
          <w:color w:val="auto"/>
          <w:highlight w:val="none"/>
        </w:rPr>
        <w:t>评审方法</w:t>
      </w:r>
    </w:p>
    <w:p>
      <w:pPr>
        <w:pStyle w:val="20"/>
        <w:numPr>
          <w:ilvl w:val="0"/>
          <w:numId w:val="1"/>
        </w:numPr>
        <w:tabs>
          <w:tab w:val="right" w:pos="8844"/>
        </w:tabs>
        <w:rPr>
          <w:color w:val="auto"/>
          <w:highlight w:val="none"/>
        </w:rPr>
      </w:pPr>
      <w:r>
        <w:rPr>
          <w:rFonts w:hint="eastAsia"/>
          <w:color w:val="auto"/>
          <w:highlight w:val="none"/>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0" w:name="_Toc26148"/>
      <w:bookmarkStart w:id="1" w:name="_Toc18145"/>
    </w:p>
    <w:p>
      <w:pPr>
        <w:rPr>
          <w:color w:val="auto"/>
          <w:highlight w:val="none"/>
        </w:rPr>
      </w:pPr>
    </w:p>
    <w:p>
      <w:pPr>
        <w:pStyle w:val="4"/>
        <w:rPr>
          <w:color w:val="auto"/>
          <w:highlight w:val="none"/>
        </w:rPr>
      </w:pPr>
      <w:bookmarkStart w:id="2" w:name="_Toc17696"/>
      <w:bookmarkStart w:id="3" w:name="_Toc1711"/>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4" w:name="_Toc19609"/>
      <w:bookmarkStart w:id="5" w:name="_Toc1669"/>
      <w:bookmarkStart w:id="6" w:name="_Toc31938"/>
      <w:bookmarkStart w:id="7" w:name="_Toc4275"/>
      <w:bookmarkStart w:id="8" w:name="_Toc7519"/>
      <w:bookmarkStart w:id="9" w:name="_Toc11322"/>
      <w:bookmarkStart w:id="10" w:name="_Toc17801"/>
    </w:p>
    <w:p>
      <w:pPr>
        <w:pStyle w:val="4"/>
        <w:rPr>
          <w:color w:val="auto"/>
          <w:highlight w:val="none"/>
        </w:rPr>
      </w:pPr>
    </w:p>
    <w:p>
      <w:pPr>
        <w:pStyle w:val="4"/>
        <w:rPr>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2340610</wp:posOffset>
                </wp:positionH>
                <wp:positionV relativeFrom="paragraph">
                  <wp:posOffset>745490</wp:posOffset>
                </wp:positionV>
                <wp:extent cx="958850" cy="0"/>
                <wp:effectExtent l="5715" t="6985" r="6985" b="12065"/>
                <wp:wrapNone/>
                <wp:docPr id="30" name="AutoShape 17"/>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7" o:spid="_x0000_s1026" o:spt="32" type="#_x0000_t32" style="position:absolute;left:0pt;margin-left:184.3pt;margin-top:58.7pt;height:0pt;width:75.5pt;z-index:251671552;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2AsR1wAAAAsBAAAPAAAAAAAAAAEAIAAA&#10;ACIAAABkcnMvZG93bnJldi54bWxQSwECFAAUAAAACACHTuJABcmpp9QBAACzAwAADgAAAAAAAAAB&#10;ACAAAAAmAQAAZHJzL2Uyb0RvYy54bWxQSwUGAAAAAAYABgBZAQAAb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13335" t="7620" r="8890" b="11430"/>
                <wp:wrapNone/>
                <wp:docPr id="29" name="AutoShape 16"/>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Cti3rWAAAACQEAAA8AAAAAAAAAAQAgAAAA&#10;IgAAAGRycy9kb3ducmV2LnhtbFBLAQIUABQAAAAIAIdO4kCSoa941AEAALMDAAAOAAAAAAAAAAEA&#10;IAAAACUBAABkcnMvZTJvRG9jLnhtbFBLBQYAAAAABgAGAFkBAABrBQ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1"/>
        <w:rPr>
          <w:color w:val="auto"/>
          <w:highlight w:val="none"/>
        </w:rPr>
      </w:pPr>
    </w:p>
    <w:p>
      <w:pPr>
        <w:pStyle w:val="4"/>
        <w:rPr>
          <w:color w:val="auto"/>
          <w:highlight w:val="none"/>
        </w:rPr>
      </w:pPr>
      <w:bookmarkStart w:id="11" w:name="_Toc14238"/>
      <w:bookmarkStart w:id="12" w:name="_Toc15709"/>
      <w:bookmarkStart w:id="13" w:name="_Toc10122"/>
      <w:bookmarkStart w:id="14" w:name="_Toc8201"/>
      <w:bookmarkStart w:id="15" w:name="_Toc28995"/>
      <w:bookmarkStart w:id="16" w:name="_Toc999"/>
      <w:bookmarkStart w:id="17" w:name="_Toc88209924"/>
      <w:bookmarkStart w:id="18" w:name="_Toc30131"/>
      <w:bookmarkStart w:id="19" w:name="_Toc5230"/>
      <w:bookmarkStart w:id="20" w:name="_Toc30989"/>
      <w:bookmarkStart w:id="21" w:name="_Toc2659"/>
      <w:bookmarkStart w:id="22" w:name="_Toc26363"/>
      <w:r>
        <w:rPr>
          <w:rFonts w:hint="eastAsia"/>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156" w:beforeLines="50" w:after="156"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5"/>
        <w:spacing w:line="600" w:lineRule="exact"/>
        <w:rPr>
          <w:color w:val="auto"/>
          <w:highlight w:val="none"/>
        </w:rPr>
      </w:pPr>
      <w:bookmarkStart w:id="23" w:name="_Toc9680"/>
      <w:bookmarkStart w:id="24" w:name="_Toc21373"/>
      <w:r>
        <w:rPr>
          <w:rFonts w:hint="eastAsia"/>
          <w:color w:val="auto"/>
          <w:highlight w:val="none"/>
          <w:u w:val="single"/>
          <w:lang w:eastAsia="zh-CN"/>
        </w:rPr>
        <w:t>广州市净水有限公司2022年猎德、大坦沙、大观分公司阀门采购项目（第二次）</w:t>
      </w:r>
      <w:r>
        <w:rPr>
          <w:rFonts w:hint="eastAsia"/>
          <w:color w:val="auto"/>
          <w:highlight w:val="none"/>
        </w:rPr>
        <w:t>采购公告</w:t>
      </w:r>
      <w:bookmarkEnd w:id="23"/>
      <w:bookmarkEnd w:id="24"/>
    </w:p>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eastAsia="zh-CN"/>
        </w:rPr>
        <w:t>广州市净水有限公司2022年猎德、大坦沙、大观分公司阀门采购项目（第二次）</w:t>
      </w:r>
      <w:r>
        <w:rPr>
          <w:rFonts w:hint="eastAsia" w:ascii="仿宋_GB2312" w:eastAsia="仿宋_GB2312"/>
          <w:color w:val="auto"/>
          <w:sz w:val="28"/>
          <w:szCs w:val="28"/>
          <w:highlight w:val="none"/>
        </w:rPr>
        <w:t xml:space="preserve">已具备采购条件，现对该□施工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 □服务项目实施公开采购</w:t>
      </w:r>
      <w:bookmarkStart w:id="25" w:name="采购公告"/>
      <w:bookmarkEnd w:id="25"/>
      <w:r>
        <w:rPr>
          <w:rFonts w:hint="eastAsia" w:ascii="仿宋_GB2312" w:eastAsia="仿宋_GB2312"/>
          <w:color w:val="auto"/>
          <w:sz w:val="28"/>
          <w:szCs w:val="28"/>
          <w:highlight w:val="none"/>
        </w:rPr>
        <w:t>活动，采用</w:t>
      </w:r>
      <w:r>
        <w:rPr>
          <w:rFonts w:hint="eastAsia" w:ascii="仿宋_GB2312" w:eastAsia="仿宋_GB2312"/>
          <w:color w:val="auto"/>
          <w:sz w:val="28"/>
          <w:szCs w:val="28"/>
          <w:highlight w:val="none"/>
          <w:u w:val="single"/>
        </w:rPr>
        <w:t>询比采购</w:t>
      </w:r>
      <w:r>
        <w:rPr>
          <w:rFonts w:hint="eastAsia" w:ascii="仿宋_GB2312" w:eastAsia="仿宋_GB2312"/>
          <w:color w:val="auto"/>
          <w:sz w:val="28"/>
          <w:szCs w:val="28"/>
          <w:highlight w:val="none"/>
        </w:rPr>
        <w:t>方式公开邀请合格供应商参加本项目采购竞争。</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eastAsia="zh-CN"/>
        </w:rPr>
        <w:t>广州市净水有限公司2022年猎德、大坦沙、大观分公司阀门采购项目（第二次）</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default" w:ascii="仿宋_GB2312" w:eastAsia="仿宋_GB2312"/>
          <w:color w:val="auto"/>
          <w:sz w:val="28"/>
          <w:szCs w:val="28"/>
          <w:highlight w:val="non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XJ-20221104-2</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1.3资金来源：</w:t>
      </w:r>
      <w:r>
        <w:rPr>
          <w:rFonts w:hint="eastAsia" w:ascii="仿宋_GB2312" w:eastAsia="仿宋_GB2312"/>
          <w:color w:val="auto"/>
          <w:sz w:val="28"/>
          <w:szCs w:val="28"/>
          <w:highlight w:val="none"/>
          <w:u w:val="single"/>
        </w:rPr>
        <w:t>自有资金</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1.4最高限价（元）：</w:t>
      </w:r>
      <w:r>
        <w:rPr>
          <w:rFonts w:hint="eastAsia" w:ascii="仿宋_GB2312" w:eastAsia="仿宋_GB2312"/>
          <w:color w:val="auto"/>
          <w:sz w:val="28"/>
          <w:szCs w:val="28"/>
          <w:highlight w:val="none"/>
          <w:u w:val="single"/>
          <w:lang w:val="en-US" w:eastAsia="zh-CN"/>
        </w:rPr>
        <w:t>595412</w:t>
      </w:r>
      <w:r>
        <w:rPr>
          <w:rFonts w:hint="eastAsia" w:ascii="仿宋_GB2312" w:eastAsia="仿宋_GB2312"/>
          <w:color w:val="auto"/>
          <w:sz w:val="28"/>
          <w:szCs w:val="28"/>
          <w:highlight w:val="none"/>
          <w:u w:val="single"/>
        </w:rPr>
        <w:t>元</w:t>
      </w:r>
      <w:bookmarkStart w:id="202" w:name="_GoBack"/>
      <w:bookmarkEnd w:id="202"/>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lang w:val="en-US" w:eastAsia="zh-CN"/>
        </w:rPr>
        <w:t>项目一：396800元、</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u w:val="single"/>
          <w:lang w:val="en-US" w:eastAsia="zh-CN"/>
        </w:rPr>
        <w:t>二</w:t>
      </w:r>
      <w:r>
        <w:rPr>
          <w:rFonts w:hint="eastAsia" w:ascii="仿宋_GB2312" w:eastAsia="仿宋_GB2312"/>
          <w:color w:val="auto"/>
          <w:sz w:val="28"/>
          <w:szCs w:val="28"/>
          <w:highlight w:val="none"/>
          <w:u w:val="single"/>
        </w:rPr>
        <w:t>：35580</w:t>
      </w:r>
      <w:r>
        <w:rPr>
          <w:rFonts w:hint="eastAsia" w:ascii="仿宋_GB2312" w:eastAsia="仿宋_GB2312"/>
          <w:color w:val="auto"/>
          <w:sz w:val="28"/>
          <w:szCs w:val="28"/>
          <w:highlight w:val="none"/>
          <w:u w:val="single"/>
          <w:lang w:val="en-US" w:eastAsia="zh-CN"/>
        </w:rPr>
        <w:t>元</w:t>
      </w:r>
      <w:r>
        <w:rPr>
          <w:rFonts w:hint="eastAsia" w:ascii="仿宋_GB2312" w:eastAsia="仿宋_GB2312"/>
          <w:color w:val="auto"/>
          <w:sz w:val="28"/>
          <w:szCs w:val="28"/>
          <w:highlight w:val="none"/>
          <w:u w:val="single"/>
          <w:lang w:eastAsia="zh-CN"/>
        </w:rPr>
        <w:t>、</w:t>
      </w:r>
      <w:r>
        <w:rPr>
          <w:rFonts w:hint="eastAsia" w:ascii="仿宋_GB2312" w:eastAsia="仿宋_GB2312"/>
          <w:color w:val="auto"/>
          <w:sz w:val="28"/>
          <w:szCs w:val="28"/>
          <w:highlight w:val="none"/>
          <w:u w:val="single"/>
        </w:rPr>
        <w:t>项目</w:t>
      </w:r>
      <w:r>
        <w:rPr>
          <w:rFonts w:hint="eastAsia" w:ascii="仿宋_GB2312" w:eastAsia="仿宋_GB2312"/>
          <w:color w:val="auto"/>
          <w:sz w:val="28"/>
          <w:szCs w:val="28"/>
          <w:highlight w:val="none"/>
          <w:u w:val="single"/>
          <w:lang w:val="en-US" w:eastAsia="zh-CN"/>
        </w:rPr>
        <w:t>三</w:t>
      </w:r>
      <w:r>
        <w:rPr>
          <w:rFonts w:hint="eastAsia" w:ascii="仿宋_GB2312" w:eastAsia="仿宋_GB2312"/>
          <w:color w:val="auto"/>
          <w:sz w:val="28"/>
          <w:szCs w:val="28"/>
          <w:highlight w:val="none"/>
          <w:u w:val="single"/>
        </w:rPr>
        <w:t>：79500</w:t>
      </w:r>
      <w:r>
        <w:rPr>
          <w:rFonts w:hint="eastAsia" w:ascii="仿宋_GB2312" w:eastAsia="仿宋_GB2312"/>
          <w:color w:val="auto"/>
          <w:sz w:val="28"/>
          <w:szCs w:val="28"/>
          <w:highlight w:val="none"/>
          <w:u w:val="single"/>
          <w:lang w:val="en-US" w:eastAsia="zh-CN"/>
        </w:rPr>
        <w:t>元、项目四：83532元）</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1.5标段划分：</w:t>
      </w:r>
      <w:r>
        <w:rPr>
          <w:rFonts w:hint="eastAsia" w:ascii="仿宋_GB2312" w:eastAsia="仿宋_GB2312"/>
          <w:color w:val="auto"/>
          <w:sz w:val="28"/>
          <w:szCs w:val="28"/>
          <w:highlight w:val="none"/>
          <w:u w:val="single"/>
        </w:rPr>
        <w:t xml:space="preserve">      /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5"/>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137"/>
        <w:gridCol w:w="1913"/>
        <w:gridCol w:w="738"/>
        <w:gridCol w:w="75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592"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1137" w:type="dxa"/>
            <w:vAlign w:val="top"/>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rPr>
              <w:t>序号</w:t>
            </w:r>
          </w:p>
        </w:tc>
        <w:tc>
          <w:tcPr>
            <w:tcW w:w="1913"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738"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单位</w:t>
            </w:r>
          </w:p>
        </w:tc>
        <w:tc>
          <w:tcPr>
            <w:tcW w:w="750"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数量</w:t>
            </w:r>
          </w:p>
        </w:tc>
        <w:tc>
          <w:tcPr>
            <w:tcW w:w="135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猎德分公司</w:t>
            </w:r>
          </w:p>
        </w:tc>
        <w:tc>
          <w:tcPr>
            <w:tcW w:w="1137" w:type="dxa"/>
            <w:vMerge w:val="restart"/>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rPr>
            </w:pPr>
            <w:r>
              <w:rPr>
                <w:rFonts w:hint="eastAsia" w:ascii="仿宋_GB2312" w:hAnsi="仿宋" w:eastAsia="仿宋_GB2312" w:cs="宋体"/>
                <w:color w:val="auto"/>
                <w:kern w:val="0"/>
                <w:sz w:val="24"/>
                <w:szCs w:val="28"/>
                <w:highlight w:val="none"/>
                <w:lang w:val="en-US" w:eastAsia="zh-CN"/>
              </w:rPr>
              <w:t>项目一</w:t>
            </w:r>
          </w:p>
        </w:tc>
        <w:tc>
          <w:tcPr>
            <w:tcW w:w="1913" w:type="dxa"/>
            <w:vAlign w:val="center"/>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 w:eastAsia="仿宋_GB2312" w:cs="宋体"/>
                <w:color w:val="auto"/>
                <w:kern w:val="0"/>
                <w:sz w:val="24"/>
                <w:szCs w:val="28"/>
                <w:highlight w:val="none"/>
              </w:rPr>
              <w:t>止回阀</w:t>
            </w:r>
          </w:p>
        </w:tc>
        <w:tc>
          <w:tcPr>
            <w:tcW w:w="738"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台</w:t>
            </w:r>
          </w:p>
        </w:tc>
        <w:tc>
          <w:tcPr>
            <w:tcW w:w="750"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4</w:t>
            </w:r>
          </w:p>
        </w:tc>
        <w:tc>
          <w:tcPr>
            <w:tcW w:w="135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396800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137" w:type="dxa"/>
            <w:vMerge w:val="continue"/>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p>
        </w:tc>
        <w:tc>
          <w:tcPr>
            <w:tcW w:w="1913" w:type="dxa"/>
            <w:vAlign w:val="center"/>
          </w:tcPr>
          <w:p>
            <w:pPr>
              <w:spacing w:line="360" w:lineRule="auto"/>
              <w:ind w:right="-57" w:rightChars="-27"/>
              <w:jc w:val="center"/>
              <w:rPr>
                <w:rFonts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电动蝶阀</w:t>
            </w:r>
          </w:p>
        </w:tc>
        <w:tc>
          <w:tcPr>
            <w:tcW w:w="738"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台</w:t>
            </w:r>
          </w:p>
        </w:tc>
        <w:tc>
          <w:tcPr>
            <w:tcW w:w="750" w:type="dxa"/>
            <w:vAlign w:val="center"/>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4</w:t>
            </w:r>
          </w:p>
        </w:tc>
        <w:tc>
          <w:tcPr>
            <w:tcW w:w="1355" w:type="dxa"/>
            <w:vMerge w:val="continue"/>
          </w:tcPr>
          <w:p>
            <w:pPr>
              <w:spacing w:line="360" w:lineRule="auto"/>
              <w:ind w:right="-57" w:rightChars="-27"/>
              <w:jc w:val="center"/>
              <w:rPr>
                <w:rFonts w:ascii="仿宋_GB2312" w:hAnsi="Times New Roman" w:eastAsia="仿宋_GB2312" w:cs="Times New Roman"/>
                <w:color w:val="auto"/>
                <w:sz w:val="24"/>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1137"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项目二</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一期沉砂池电动阀门</w:t>
            </w:r>
          </w:p>
        </w:tc>
        <w:tc>
          <w:tcPr>
            <w:tcW w:w="738"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750"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35580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137" w:type="dxa"/>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913" w:type="dxa"/>
            <w:vAlign w:val="center"/>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738"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750" w:type="dxa"/>
            <w:vAlign w:val="center"/>
          </w:tcPr>
          <w:p>
            <w:pPr>
              <w:spacing w:line="360" w:lineRule="auto"/>
              <w:ind w:right="-57" w:rightChars="-27"/>
              <w:jc w:val="center"/>
              <w:rPr>
                <w:rFonts w:hint="eastAsia"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4</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79500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592"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大观分公司</w:t>
            </w:r>
          </w:p>
        </w:tc>
        <w:tc>
          <w:tcPr>
            <w:tcW w:w="1137" w:type="dxa"/>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项目四</w:t>
            </w:r>
          </w:p>
        </w:tc>
        <w:tc>
          <w:tcPr>
            <w:tcW w:w="1913" w:type="dxa"/>
            <w:vAlign w:val="center"/>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738"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750"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w:t>
            </w:r>
          </w:p>
        </w:tc>
        <w:tc>
          <w:tcPr>
            <w:tcW w:w="1355" w:type="dxa"/>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83532</w:t>
            </w:r>
          </w:p>
        </w:tc>
      </w:tr>
    </w:tbl>
    <w:p>
      <w:pPr>
        <w:adjustRightInd w:val="0"/>
        <w:snapToGrid w:val="0"/>
        <w:spacing w:line="600" w:lineRule="exact"/>
        <w:ind w:firstLine="565" w:firstLineChars="202"/>
        <w:jc w:val="left"/>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交货期  □服务期为</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725"/>
        <w:gridCol w:w="297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序号</w:t>
            </w:r>
          </w:p>
        </w:tc>
        <w:tc>
          <w:tcPr>
            <w:tcW w:w="172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2977"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项目一</w:t>
            </w:r>
          </w:p>
        </w:tc>
        <w:tc>
          <w:tcPr>
            <w:tcW w:w="1725"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猎德分公司</w:t>
            </w:r>
          </w:p>
        </w:tc>
        <w:tc>
          <w:tcPr>
            <w:tcW w:w="2977"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 w:eastAsia="仿宋_GB2312" w:cs="宋体"/>
                <w:color w:val="auto"/>
                <w:kern w:val="0"/>
                <w:sz w:val="24"/>
                <w:szCs w:val="28"/>
                <w:highlight w:val="none"/>
              </w:rPr>
              <w:t>止回阀</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电动蝶阀</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项目二</w:t>
            </w:r>
          </w:p>
        </w:tc>
        <w:tc>
          <w:tcPr>
            <w:tcW w:w="172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一期沉砂池电动阀门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项目四</w:t>
            </w:r>
          </w:p>
        </w:tc>
        <w:tc>
          <w:tcPr>
            <w:tcW w:w="1725"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大观分公司</w:t>
            </w:r>
          </w:p>
        </w:tc>
        <w:tc>
          <w:tcPr>
            <w:tcW w:w="2977" w:type="dxa"/>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20天</w:t>
            </w:r>
          </w:p>
        </w:tc>
      </w:tr>
    </w:tbl>
    <w:p>
      <w:pPr>
        <w:pStyle w:val="2"/>
        <w:rPr>
          <w:color w:val="auto"/>
          <w:highlight w:val="none"/>
        </w:rPr>
      </w:pP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2.3地点：□建设地点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猎德、大坦沙、大观</w:t>
      </w:r>
      <w:r>
        <w:rPr>
          <w:rFonts w:hint="eastAsia" w:ascii="仿宋_GB2312" w:eastAsia="仿宋_GB2312"/>
          <w:color w:val="auto"/>
          <w:sz w:val="28"/>
          <w:szCs w:val="28"/>
          <w:highlight w:val="none"/>
          <w:u w:val="single"/>
        </w:rPr>
        <w:t>分公司</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eastAsia="仿宋_GB2312"/>
          <w:color w:val="auto"/>
          <w:sz w:val="28"/>
          <w:szCs w:val="28"/>
          <w:highlight w:val="none"/>
          <w:u w:val="single"/>
          <w:lang w:val="en-US" w:eastAsia="zh-CN"/>
        </w:rPr>
        <w:t>所提供报价设备均为制造商全新原装产品，并有相关合格证、出厂证明，技术参数要求详见第五章采购需求。</w:t>
      </w:r>
      <w:r>
        <w:rPr>
          <w:rFonts w:hint="eastAsia" w:ascii="仿宋_GB2312" w:eastAsia="仿宋_GB2312"/>
          <w:color w:val="auto"/>
          <w:sz w:val="28"/>
          <w:szCs w:val="28"/>
          <w:highlight w:val="none"/>
          <w:u w:val="single"/>
        </w:rPr>
        <w:t>按合同条款和有关技术标准规范进行验收。使用的各种材料必须符合设计和有关技术标准规范要求。</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3.供应商资格要求（须提供复印件并加盖单位公章）</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□（2）供应商应当具备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资质。</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（3）</w:t>
      </w:r>
      <w:r>
        <w:rPr>
          <w:rFonts w:hint="eastAsia" w:ascii="仿宋_GB2312" w:eastAsia="仿宋_GB2312"/>
          <w:color w:val="auto"/>
          <w:sz w:val="28"/>
          <w:szCs w:val="28"/>
          <w:highlight w:val="none"/>
          <w:u w:val="single"/>
        </w:rPr>
        <w:t xml:space="preserve"> 2019  </w:t>
      </w:r>
      <w:r>
        <w:rPr>
          <w:rFonts w:hint="eastAsia" w:ascii="仿宋_GB2312" w:eastAsia="仿宋_GB2312"/>
          <w:color w:val="auto"/>
          <w:sz w:val="28"/>
          <w:szCs w:val="28"/>
          <w:highlight w:val="none"/>
        </w:rPr>
        <w:t>年1月1日至今，供应商最少具有一项</w:t>
      </w:r>
      <w:r>
        <w:rPr>
          <w:rFonts w:hint="eastAsia" w:ascii="仿宋_GB2312" w:eastAsia="仿宋_GB2312"/>
          <w:color w:val="auto"/>
          <w:sz w:val="28"/>
          <w:szCs w:val="28"/>
          <w:highlight w:val="none"/>
          <w:u w:val="none"/>
        </w:rPr>
        <w:t>鼓风机进、出风口管道（DN≥400）专用配件（不包括通用的开关阀门）</w:t>
      </w:r>
      <w:r>
        <w:rPr>
          <w:rFonts w:hint="eastAsia" w:ascii="仿宋_GB2312" w:eastAsia="仿宋_GB2312"/>
          <w:color w:val="auto"/>
          <w:sz w:val="28"/>
          <w:szCs w:val="28"/>
          <w:highlight w:val="none"/>
        </w:rPr>
        <w:t>项目的业绩。（提供合同复印件证明，包括但不限于项目名称、实施内容、合同盖章、签订日期</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发票证明、</w:t>
      </w:r>
      <w:r>
        <w:rPr>
          <w:rFonts w:hint="eastAsia" w:ascii="仿宋_GB2312" w:eastAsia="仿宋_GB2312"/>
          <w:color w:val="auto"/>
          <w:sz w:val="28"/>
          <w:szCs w:val="28"/>
          <w:highlight w:val="none"/>
        </w:rPr>
        <w:t>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□（4）项目负责人应当具备</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
        <w:spacing w:line="600" w:lineRule="exact"/>
        <w:ind w:firstLine="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（5）其他要求：</w:t>
      </w:r>
      <w:r>
        <w:rPr>
          <w:rFonts w:hint="eastAsia" w:ascii="仿宋_GB2312" w:eastAsia="仿宋_GB2312"/>
          <w:color w:val="auto"/>
          <w:sz w:val="28"/>
          <w:szCs w:val="28"/>
          <w:highlight w:val="none"/>
          <w:u w:val="none"/>
        </w:rPr>
        <w:t>报价单位须出具承诺函，承诺中选后提供报价货物为制造商全新原装产品（加盖单位公章）。</w:t>
      </w:r>
      <w:r>
        <w:rPr>
          <w:rFonts w:hint="eastAsia" w:ascii="仿宋_GB2312" w:eastAsia="仿宋_GB2312"/>
          <w:color w:val="auto"/>
          <w:sz w:val="28"/>
          <w:szCs w:val="28"/>
          <w:highlight w:val="none"/>
          <w:u w:val="none"/>
          <w:lang w:val="en-US" w:eastAsia="zh-CN"/>
        </w:rPr>
        <w:t>报价</w:t>
      </w:r>
      <w:r>
        <w:rPr>
          <w:rFonts w:hint="eastAsia" w:ascii="仿宋_GB2312" w:eastAsia="仿宋_GB2312"/>
          <w:color w:val="auto"/>
          <w:sz w:val="28"/>
          <w:szCs w:val="28"/>
          <w:highlight w:val="none"/>
          <w:u w:val="none"/>
        </w:rPr>
        <w:t>人提交的响应文件需说明响应设备的品牌和型号，并附设备说明书或型式试验证书等资料</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lang w:val="en-US" w:eastAsia="zh-CN"/>
        </w:rPr>
        <w:t>项目二、三需附压力管道元件证书</w:t>
      </w:r>
      <w:r>
        <w:rPr>
          <w:rFonts w:hint="eastAsia" w:ascii="仿宋_GB2312" w:eastAsia="仿宋_GB2312"/>
          <w:color w:val="auto"/>
          <w:sz w:val="28"/>
          <w:szCs w:val="28"/>
          <w:highlight w:val="none"/>
          <w:u w:val="none"/>
          <w:lang w:eastAsia="zh-CN"/>
        </w:rPr>
        <w:t>）</w:t>
      </w:r>
      <w:r>
        <w:rPr>
          <w:rFonts w:hint="eastAsia" w:ascii="仿宋_GB2312" w:eastAsia="仿宋_GB2312"/>
          <w:color w:val="auto"/>
          <w:sz w:val="28"/>
          <w:szCs w:val="28"/>
          <w:highlight w:val="none"/>
          <w:u w:val="none"/>
        </w:rPr>
        <w:t xml:space="preserve">用于核实响应设备是否满足技术要求，如无相关资料报价一律视为无效报价。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3.2供应商在响应文件提交截止日期止不得存在下列情形之一（须出具承诺函）：</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5</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rPr>
        <w:t>广州市净水有限公司门户网站</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踏勘现场</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不组织</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组织</w:t>
      </w:r>
    </w:p>
    <w:p>
      <w:pPr>
        <w:adjustRightInd w:val="0"/>
        <w:snapToGrid w:val="0"/>
        <w:spacing w:line="600" w:lineRule="exact"/>
        <w:ind w:firstLine="560" w:firstLineChars="200"/>
        <w:rPr>
          <w:rFonts w:ascii="仿宋_GB2312" w:eastAsia="仿宋_GB2312"/>
          <w:color w:val="auto"/>
          <w:sz w:val="28"/>
          <w:szCs w:val="28"/>
          <w:highlight w:val="none"/>
        </w:rPr>
      </w:pPr>
      <w:r>
        <w:rPr>
          <w:rFonts w:hint="eastAsia" w:ascii="仿宋_GB2312" w:eastAsia="仿宋_GB2312"/>
          <w:color w:val="auto"/>
          <w:sz w:val="28"/>
          <w:szCs w:val="28"/>
          <w:highlight w:val="none"/>
        </w:rPr>
        <w:t>项目根据实际情况须在提交响应文件前进行现场踏勘，未进行现场踏勘的，报价一律视为无效报价，提交报价响应文件时需附上现场踏勘委派书（需求单位及报价单位均需盖章，详见附件现场踏勘委派书）</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踏勘时间：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踏勘集中地点：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6.1递交响应文件截止时间：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00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分前（北京时间）。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6.2递交及快递地址：广州市天河区临江大道501号</w:t>
      </w:r>
      <w:r>
        <w:rPr>
          <w:rFonts w:hint="eastAsia" w:ascii="仿宋_GB2312" w:eastAsia="仿宋_GB2312"/>
          <w:color w:val="auto"/>
          <w:sz w:val="28"/>
          <w:szCs w:val="28"/>
          <w:highlight w:val="none"/>
          <w:u w:val="single"/>
        </w:rPr>
        <w:t>广州市净水有限公司6楼招标部</w:t>
      </w:r>
      <w:r>
        <w:rPr>
          <w:rFonts w:hint="eastAsia" w:ascii="仿宋_GB2312" w:eastAsia="仿宋_GB2312"/>
          <w:color w:val="auto"/>
          <w:sz w:val="28"/>
          <w:szCs w:val="28"/>
          <w:highlight w:val="none"/>
        </w:rPr>
        <w:t>。</w:t>
      </w:r>
    </w:p>
    <w:p>
      <w:pPr>
        <w:pStyle w:val="2"/>
        <w:ind w:firstLine="560" w:firstLineChars="200"/>
        <w:rPr>
          <w:rFonts w:eastAsia="仿宋_GB2312"/>
          <w:color w:val="auto"/>
          <w:highlight w:val="none"/>
        </w:rPr>
      </w:pPr>
      <w:r>
        <w:rPr>
          <w:rFonts w:hint="eastAsia" w:ascii="仿宋_GB2312" w:eastAsia="仿宋_GB2312"/>
          <w:color w:val="auto"/>
          <w:sz w:val="28"/>
          <w:szCs w:val="28"/>
          <w:highlight w:val="none"/>
        </w:rPr>
        <w:t>防疫要求：基于目前疫情防控形势，我公司仅接受快递或自行送达形式递交响应文件，响应文件须于递交截止时间前送达，并放置于公司正门保安处。</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7.其他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本项目采购公告同时在广州市净水有限公司门户网站和阳光平台上发布。本公告的补充、修改，在</w:t>
      </w:r>
      <w:r>
        <w:rPr>
          <w:rFonts w:hint="eastAsia" w:ascii="仿宋_GB2312" w:hAnsi="Calibri" w:eastAsia="仿宋_GB2312" w:cs="Times New Roman"/>
          <w:color w:val="auto"/>
          <w:sz w:val="28"/>
          <w:szCs w:val="28"/>
          <w:highlight w:val="none"/>
        </w:rPr>
        <w:t>净水公司门户网站发布。本公告在各媒体发布的文本如有不同之处，以净水公司门户网站为准。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rPr>
        <w:t>38890841</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9. 被书面限制参与采购活动的企业名单</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本项目采购人（包括市水投集团及其属下子公司）书面限制参与采购活动的企业名单：</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3402"/>
        <w:gridCol w:w="455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序号</w:t>
            </w:r>
          </w:p>
        </w:tc>
        <w:tc>
          <w:tcPr>
            <w:tcW w:w="3402"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单位名称</w:t>
            </w:r>
          </w:p>
        </w:tc>
        <w:tc>
          <w:tcPr>
            <w:tcW w:w="4557" w:type="dxa"/>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被书面限制参与采购活动的期限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1</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广州市水电建设工程有限公司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至202</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cs="宋体"/>
                <w:color w:val="auto"/>
                <w:sz w:val="24"/>
                <w:highlight w:val="none"/>
              </w:rPr>
              <w:t>2</w:t>
            </w:r>
          </w:p>
        </w:tc>
        <w:tc>
          <w:tcPr>
            <w:tcW w:w="3402"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rPr>
              <w:t>广州市南粤工程建设监理有限公司</w:t>
            </w:r>
          </w:p>
        </w:tc>
        <w:tc>
          <w:tcPr>
            <w:tcW w:w="4557" w:type="dxa"/>
            <w:vAlign w:val="center"/>
          </w:tcPr>
          <w:p>
            <w:pPr>
              <w:jc w:val="center"/>
              <w:rPr>
                <w:rFonts w:ascii="宋体" w:hAnsi="宋体" w:cs="宋体" w:eastAsiaTheme="minorEastAsia"/>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2021年11月18</w:t>
            </w:r>
            <w:r>
              <w:rPr>
                <w:rFonts w:hint="eastAsia" w:ascii="宋体" w:hAnsi="宋体" w:eastAsia="宋体" w:cs="宋体"/>
                <w:color w:val="auto"/>
                <w:sz w:val="24"/>
                <w:highlight w:val="none"/>
              </w:rPr>
              <w:t>至20</w:t>
            </w:r>
            <w:r>
              <w:rPr>
                <w:rFonts w:hint="eastAsia" w:ascii="宋体" w:hAnsi="宋体" w:cs="宋体"/>
                <w:color w:val="auto"/>
                <w:sz w:val="24"/>
                <w:highlight w:val="none"/>
                <w:lang w:val="en-US" w:eastAsia="zh-CN"/>
              </w:rPr>
              <w:t>23</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17</w:t>
            </w:r>
            <w:r>
              <w:rPr>
                <w:rFonts w:hint="eastAsia" w:ascii="宋体" w:hAnsi="宋体" w:eastAsia="宋体" w:cs="宋体"/>
                <w:color w:val="auto"/>
                <w:sz w:val="24"/>
                <w:highlight w:val="none"/>
              </w:rPr>
              <w:t>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01"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w:t>
            </w:r>
          </w:p>
        </w:tc>
        <w:tc>
          <w:tcPr>
            <w:tcW w:w="3402" w:type="dxa"/>
            <w:vAlign w:val="center"/>
          </w:tcPr>
          <w:p>
            <w:pPr>
              <w:jc w:val="center"/>
              <w:rPr>
                <w:rFonts w:hint="eastAsia" w:ascii="宋体" w:hAnsi="宋体" w:eastAsia="宋体" w:cs="宋体"/>
                <w:color w:val="auto"/>
                <w:kern w:val="2"/>
                <w:sz w:val="24"/>
                <w:szCs w:val="22"/>
                <w:highlight w:val="none"/>
                <w:lang w:val="en-US" w:eastAsia="zh-CN" w:bidi="ar-SA"/>
              </w:rPr>
            </w:pPr>
            <w:r>
              <w:rPr>
                <w:rFonts w:ascii="宋体" w:hAnsi="宋体" w:eastAsia="宋体" w:cs="宋体"/>
                <w:color w:val="auto"/>
                <w:sz w:val="24"/>
                <w:szCs w:val="24"/>
                <w:highlight w:val="none"/>
              </w:rPr>
              <w:t>广州市自来水工程有限公司</w:t>
            </w:r>
          </w:p>
        </w:tc>
        <w:tc>
          <w:tcPr>
            <w:tcW w:w="4557" w:type="dxa"/>
            <w:vAlign w:val="center"/>
          </w:tcPr>
          <w:p>
            <w:pPr>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202</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lang w:val="en-US" w:eastAsia="zh-CN"/>
              </w:rPr>
              <w:t>年1月</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至2022年</w:t>
            </w:r>
            <w:r>
              <w:rPr>
                <w:rFonts w:hint="eastAsia" w:ascii="宋体" w:hAnsi="宋体" w:cs="宋体"/>
                <w:color w:val="auto"/>
                <w:sz w:val="24"/>
                <w:highlight w:val="none"/>
                <w:lang w:val="en-US" w:eastAsia="zh-CN"/>
              </w:rPr>
              <w:t>12</w:t>
            </w:r>
            <w:r>
              <w:rPr>
                <w:rFonts w:hint="eastAsia" w:ascii="宋体" w:hAnsi="宋体" w:eastAsia="宋体" w:cs="宋体"/>
                <w:color w:val="auto"/>
                <w:sz w:val="24"/>
                <w:highlight w:val="none"/>
              </w:rPr>
              <w:t>月</w:t>
            </w:r>
            <w:r>
              <w:rPr>
                <w:rFonts w:hint="eastAsia" w:ascii="宋体" w:hAnsi="宋体" w:cs="宋体"/>
                <w:color w:val="auto"/>
                <w:sz w:val="24"/>
                <w:highlight w:val="none"/>
                <w:lang w:val="en-US" w:eastAsia="zh-CN"/>
              </w:rPr>
              <w:t>31</w:t>
            </w:r>
            <w:r>
              <w:rPr>
                <w:rFonts w:hint="eastAsia" w:ascii="宋体" w:hAnsi="宋体" w:eastAsia="宋体" w:cs="宋体"/>
                <w:color w:val="auto"/>
                <w:sz w:val="24"/>
                <w:highlight w:val="none"/>
              </w:rPr>
              <w:t>日</w:t>
            </w:r>
          </w:p>
        </w:tc>
      </w:tr>
    </w:tbl>
    <w:p>
      <w:pPr>
        <w:adjustRightInd w:val="0"/>
        <w:snapToGrid w:val="0"/>
        <w:spacing w:before="156" w:beforeLines="50" w:after="156" w:afterLines="50" w:line="600" w:lineRule="exact"/>
        <w:jc w:val="left"/>
        <w:rPr>
          <w:rFonts w:hint="eastAsia" w:asciiTheme="minorEastAsia" w:hAnsiTheme="minorEastAsia"/>
          <w:b/>
          <w:color w:val="auto"/>
          <w:sz w:val="32"/>
          <w:szCs w:val="32"/>
          <w:highlight w:val="none"/>
        </w:rPr>
      </w:pPr>
    </w:p>
    <w:p>
      <w:pPr>
        <w:adjustRightInd w:val="0"/>
        <w:snapToGrid w:val="0"/>
        <w:spacing w:before="156" w:beforeLines="50" w:after="156" w:afterLines="50" w:line="600" w:lineRule="exact"/>
        <w:jc w:val="left"/>
        <w:rPr>
          <w:rFonts w:hint="eastAsia" w:asciiTheme="minorEastAsia" w:hAnsiTheme="minorEastAsia"/>
          <w:b/>
          <w:color w:val="auto"/>
          <w:sz w:val="32"/>
          <w:szCs w:val="32"/>
          <w:highlight w:val="none"/>
        </w:rPr>
      </w:pPr>
    </w:p>
    <w:p>
      <w:pPr>
        <w:adjustRightInd w:val="0"/>
        <w:snapToGrid w:val="0"/>
        <w:spacing w:before="156" w:beforeLines="50" w:after="156"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10.联系方式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40"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40"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40"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5040"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5040" w:type="dxa"/>
          </w:tcPr>
          <w:p>
            <w:pPr>
              <w:adjustRightInd w:val="0"/>
              <w:snapToGrid w:val="0"/>
              <w:spacing w:line="600" w:lineRule="exact"/>
              <w:jc w:val="left"/>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u w:val="single"/>
                <w:lang w:val="en-US" w:eastAsia="zh-CN"/>
              </w:rPr>
              <w:t>2022</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11</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
        <w:ind w:firstLine="0"/>
        <w:rPr>
          <w:rFonts w:ascii="仿宋_GB2312" w:eastAsia="仿宋_GB2312" w:hAnsiTheme="majorEastAsia"/>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spacing w:line="480" w:lineRule="auto"/>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4"/>
        <w:rPr>
          <w:color w:val="auto"/>
          <w:highlight w:val="none"/>
        </w:rPr>
      </w:pPr>
      <w:bookmarkStart w:id="26" w:name="_Toc10891"/>
    </w:p>
    <w:p>
      <w:pPr>
        <w:pStyle w:val="4"/>
        <w:rPr>
          <w:color w:val="auto"/>
          <w:highlight w:val="none"/>
        </w:rPr>
      </w:pPr>
      <w:bookmarkStart w:id="27" w:name="_Toc23749"/>
      <w:bookmarkStart w:id="28" w:name="_Toc25603"/>
      <w:bookmarkStart w:id="29" w:name="_Toc32588"/>
      <w:bookmarkStart w:id="30" w:name="_Toc2324"/>
      <w:bookmarkStart w:id="31" w:name="_Toc16557"/>
      <w:bookmarkStart w:id="32" w:name="_Toc9448"/>
      <w:bookmarkStart w:id="33" w:name="_Toc2331"/>
      <w:bookmarkStart w:id="34" w:name="_Toc7340"/>
      <w:bookmarkStart w:id="35" w:name="_Toc16705"/>
      <w:bookmarkStart w:id="36" w:name="_Toc19295"/>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2340610</wp:posOffset>
                </wp:positionH>
                <wp:positionV relativeFrom="paragraph">
                  <wp:posOffset>540385</wp:posOffset>
                </wp:positionV>
                <wp:extent cx="958850" cy="0"/>
                <wp:effectExtent l="5715" t="11430" r="6985" b="7620"/>
                <wp:wrapNone/>
                <wp:docPr id="28" name="AutoShape 18"/>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8" o:spid="_x0000_s1026" o:spt="32" type="#_x0000_t32" style="position:absolute;left:0pt;margin-left:184.3pt;margin-top:42.55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zYCxHXAAAACwEAAA8AAAAAAAAAAQAgAAAA&#10;IgAAAGRycy9kb3ducmV2LnhtbFBLAQIUABQAAAAIAIdO4kA2IdYy0wEAALMDAAAOAAAAAAAAAAEA&#10;IAAAACYBAABkcnMvZTJvRG9jLnhtbFBLBQYAAAAABgAGAFkBAABr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13335" t="12065" r="8890" b="6985"/>
                <wp:wrapNone/>
                <wp:docPr id="27" name="AutoShape 19"/>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Cti3rWAAAACQEAAA8AAAAAAAAAAQAgAAAA&#10;IgAAAGRycy9kb3ducmV2LnhtbFBLAQIUABQAAAAIAIdO4kCJAJA+1AEAALMDAAAOAAAAAAAAAAEA&#10;IAAAACUBAABkcnMvZTJvRG9jLnhtbFBLBQYAAAAABgAGAFkBAABrBQAAAAA=&#10;">
                <v:fill on="f" focussize="0,0"/>
                <v:stroke color="#000000" joinstyle="round"/>
                <v:imagedata o:title=""/>
                <o:lock v:ext="edit" aspectratio="f"/>
              </v:shape>
            </w:pict>
          </mc:Fallback>
        </mc:AlternateContent>
      </w:r>
      <w:r>
        <w:rPr>
          <w:rFonts w:hint="eastAsia"/>
          <w:color w:val="auto"/>
          <w:highlight w:val="none"/>
        </w:rPr>
        <w:t>第二章</w:t>
      </w:r>
      <w:bookmarkEnd w:id="26"/>
      <w:bookmarkEnd w:id="27"/>
      <w:bookmarkEnd w:id="28"/>
      <w:bookmarkEnd w:id="29"/>
      <w:bookmarkEnd w:id="30"/>
      <w:bookmarkEnd w:id="31"/>
      <w:bookmarkEnd w:id="32"/>
      <w:bookmarkEnd w:id="33"/>
      <w:bookmarkEnd w:id="34"/>
      <w:bookmarkEnd w:id="35"/>
      <w:bookmarkEnd w:id="36"/>
    </w:p>
    <w:p>
      <w:pPr>
        <w:pStyle w:val="5"/>
        <w:rPr>
          <w:color w:val="auto"/>
          <w:highlight w:val="none"/>
        </w:rPr>
      </w:pPr>
    </w:p>
    <w:p>
      <w:pPr>
        <w:pStyle w:val="5"/>
        <w:rPr>
          <w:color w:val="auto"/>
          <w:highlight w:val="none"/>
        </w:rPr>
      </w:pPr>
      <w:bookmarkStart w:id="37" w:name="_Toc2339"/>
      <w:bookmarkStart w:id="38" w:name="_Toc3416"/>
      <w:r>
        <w:rPr>
          <w:rFonts w:hint="eastAsia"/>
          <w:color w:val="auto"/>
          <w:highlight w:val="none"/>
        </w:rPr>
        <w:t>供应商须知</w:t>
      </w:r>
      <w:bookmarkEnd w:id="37"/>
      <w:bookmarkEnd w:id="38"/>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rPr>
          <w:rFonts w:asciiTheme="minorEastAsia" w:hAnsiTheme="minorEastAsia"/>
          <w:b/>
          <w:color w:val="auto"/>
          <w:sz w:val="32"/>
          <w:szCs w:val="32"/>
          <w:highlight w:val="none"/>
        </w:rPr>
      </w:pPr>
    </w:p>
    <w:p>
      <w:pPr>
        <w:pStyle w:val="2"/>
        <w:ind w:firstLine="0"/>
        <w:rPr>
          <w:color w:val="auto"/>
          <w:highlight w:val="none"/>
        </w:rPr>
      </w:pPr>
    </w:p>
    <w:p>
      <w:pPr>
        <w:numPr>
          <w:ilvl w:val="0"/>
          <w:numId w:val="3"/>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1"/>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1"/>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1"/>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1"/>
        <w:rPr>
          <w:color w:val="auto"/>
          <w:highlight w:val="none"/>
        </w:rPr>
      </w:pPr>
    </w:p>
    <w:p>
      <w:pPr>
        <w:pStyle w:val="41"/>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rPr>
        <w:t xml:space="preserve">      项目</w:t>
      </w:r>
      <w:r>
        <w:rPr>
          <w:rFonts w:hint="eastAsia" w:ascii="仿宋_GB2312" w:eastAsia="仿宋_GB2312" w:hAnsiTheme="majorEastAsia"/>
          <w:color w:val="auto"/>
          <w:sz w:val="28"/>
          <w:szCs w:val="28"/>
          <w:highlight w:val="none"/>
        </w:rPr>
        <w:t>的成交供应商。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rPr>
        <w:t>30</w:t>
      </w:r>
      <w:r>
        <w:rPr>
          <w:rFonts w:hint="eastAsia" w:ascii="仿宋_GB2312" w:eastAsia="仿宋_GB2312" w:hAnsiTheme="majorEastAsia"/>
          <w:color w:val="auto"/>
          <w:sz w:val="28"/>
          <w:szCs w:val="28"/>
          <w:highlight w:val="none"/>
        </w:rPr>
        <w:t>日内与我方签订采购合同，逾期视为自动放弃成交资格。</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5"/>
        <w:rPr>
          <w:rFonts w:asciiTheme="minorHAnsi" w:hAnsiTheme="minorHAnsi" w:cstheme="minorBidi"/>
          <w:color w:val="auto"/>
          <w:kern w:val="44"/>
          <w:sz w:val="44"/>
          <w:szCs w:val="44"/>
          <w:highlight w:val="none"/>
        </w:rPr>
      </w:pPr>
      <w:bookmarkStart w:id="39" w:name="_Toc21455"/>
      <w:bookmarkStart w:id="40" w:name="_Toc2867"/>
      <w:r>
        <w:rPr>
          <w:rFonts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12065" t="8255" r="10160" b="10795"/>
                <wp:wrapNone/>
                <wp:docPr id="26" name="AutoShape 5"/>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JYRTt1gAAAAkBAAAPAAAAAAAAAAEAIAAAACIA&#10;AABkcnMvZG93bnJldi54bWxQSwECFAAUAAAACACHTuJAnhyP2NIBAACyAwAADgAAAAAAAAABACAA&#10;AAAlAQAAZHJzL2Uyb0RvYy54bWxQSwUGAAAAAAYABgBZAQAAaQUAAAAA&#10;">
                <v:fill on="f" focussize="0,0"/>
                <v:stroke color="#000000" joinstyle="round"/>
                <v:imagedata o:title=""/>
                <o:lock v:ext="edit" aspectratio="f"/>
              </v:shape>
            </w:pict>
          </mc:Fallback>
        </mc:AlternateContent>
      </w:r>
      <w:r>
        <w:rPr>
          <w:rFonts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9525" t="6350" r="12700" b="12700"/>
                <wp:wrapNone/>
                <wp:docPr id="25" name="AutoShape 3"/>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8C0PytYAAAAJAQAADwAAAAAAAAABACAAAAAiAAAA&#10;ZHJzL2Rvd25yZXYueG1sUEsBAhQAFAAAAAgAh07iQLDcXAvQAQAAsgMAAA4AAAAAAAAAAQAgAAAA&#10;JQEAAGRycy9lMm9Eb2MueG1sUEsFBgAAAAAGAAYAWQEAAGc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第三章</w:t>
      </w:r>
      <w:bookmarkEnd w:id="39"/>
      <w:bookmarkEnd w:id="40"/>
    </w:p>
    <w:p>
      <w:pPr>
        <w:pStyle w:val="41"/>
        <w:rPr>
          <w:color w:val="auto"/>
          <w:highlight w:val="none"/>
        </w:rPr>
      </w:pPr>
    </w:p>
    <w:p>
      <w:pPr>
        <w:pStyle w:val="5"/>
        <w:rPr>
          <w:color w:val="auto"/>
          <w:highlight w:val="none"/>
        </w:rPr>
      </w:pPr>
      <w:bookmarkStart w:id="41" w:name="_Toc88209934"/>
      <w:bookmarkStart w:id="42" w:name="_Toc7303"/>
      <w:bookmarkStart w:id="43" w:name="_Toc7040"/>
      <w:bookmarkStart w:id="44" w:name="_Toc87616371"/>
      <w:r>
        <w:rPr>
          <w:rFonts w:hint="eastAsia"/>
          <w:color w:val="auto"/>
          <w:highlight w:val="none"/>
        </w:rPr>
        <w:t>采购方法</w:t>
      </w:r>
      <w:bookmarkEnd w:id="41"/>
      <w:bookmarkEnd w:id="42"/>
      <w:bookmarkEnd w:id="43"/>
      <w:bookmarkEnd w:id="44"/>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color w:val="auto"/>
          <w:highlight w:val="none"/>
        </w:rPr>
      </w:pPr>
      <w:bookmarkStart w:id="45" w:name="_Toc3789"/>
      <w:bookmarkStart w:id="46" w:name="_Toc24895"/>
      <w:r>
        <w:rPr>
          <w:rFonts w:hint="eastAsia"/>
          <w:color w:val="auto"/>
          <w:highlight w:val="none"/>
        </w:rPr>
        <w:t>询比采购</w:t>
      </w:r>
      <w:bookmarkEnd w:id="45"/>
      <w:bookmarkEnd w:id="46"/>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47" w:name="_Toc14552"/>
      <w:bookmarkStart w:id="48" w:name="_Toc4952"/>
      <w:bookmarkStart w:id="49" w:name="_Toc10930"/>
      <w:bookmarkStart w:id="50" w:name="_Toc19050"/>
      <w:bookmarkStart w:id="51" w:name="_Toc20594"/>
      <w:bookmarkStart w:id="52" w:name="_Toc7437"/>
      <w:bookmarkStart w:id="53" w:name="_Toc19759"/>
      <w:bookmarkStart w:id="54" w:name="_Toc7118"/>
      <w:bookmarkStart w:id="55" w:name="_Toc23581"/>
      <w:bookmarkStart w:id="56" w:name="_Toc3156"/>
      <w:bookmarkStart w:id="57" w:name="_Toc1487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9525" t="13970" r="12700" b="5080"/>
                <wp:wrapNone/>
                <wp:docPr id="24" name="AutoShape 7"/>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VmwvrXAAAACwEAAA8AAAAAAAAAAQAgAAAA&#10;IgAAAGRycy9kb3ducmV2LnhtbFBLAQIUABQAAAAIAIdO4kCJ5Kt+0wEAALIDAAAOAAAAAAAAAAEA&#10;IAAAACYBAABkcnMvZTJvRG9jLnhtbFBLBQYAAAAABgAGAFkBAABr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9525" t="12065" r="12700" b="6985"/>
                <wp:wrapNone/>
                <wp:docPr id="23" name="AutoShape 6"/>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8OuBDXAAAACQEAAA8AAAAAAAAAAQAgAAAA&#10;IgAAAGRycy9kb3ducmV2LnhtbFBLAQIUABQAAAAIAIdO4kD5bVvK0wEAALIDAAAOAAAAAAAAAAEA&#10;IAAAACYBAABkcnMvZTJvRG9jLnhtbFBLBQYAAAAABgAGAFkBAABrBQAAAAA=&#10;">
                <v:fill on="f" focussize="0,0"/>
                <v:stroke color="#000000" joinstyle="round"/>
                <v:imagedata o:title=""/>
                <o:lock v:ext="edit" aspectratio="f"/>
              </v:shape>
            </w:pict>
          </mc:Fallback>
        </mc:AlternateContent>
      </w:r>
      <w:r>
        <w:rPr>
          <w:rFonts w:hint="eastAsia"/>
          <w:color w:val="auto"/>
          <w:highlight w:val="none"/>
        </w:rPr>
        <w:t>第四章</w:t>
      </w:r>
      <w:bookmarkEnd w:id="47"/>
      <w:bookmarkEnd w:id="48"/>
      <w:bookmarkEnd w:id="49"/>
      <w:bookmarkEnd w:id="50"/>
      <w:bookmarkEnd w:id="51"/>
      <w:bookmarkEnd w:id="52"/>
      <w:bookmarkEnd w:id="53"/>
      <w:bookmarkEnd w:id="54"/>
      <w:bookmarkEnd w:id="55"/>
      <w:bookmarkEnd w:id="56"/>
      <w:bookmarkEnd w:id="57"/>
    </w:p>
    <w:p>
      <w:pPr>
        <w:pStyle w:val="41"/>
        <w:rPr>
          <w:color w:val="auto"/>
          <w:highlight w:val="none"/>
        </w:rPr>
      </w:pPr>
    </w:p>
    <w:p>
      <w:pPr>
        <w:pStyle w:val="4"/>
        <w:rPr>
          <w:color w:val="auto"/>
          <w:highlight w:val="none"/>
        </w:rPr>
      </w:pPr>
      <w:bookmarkStart w:id="58" w:name="_Toc21840"/>
      <w:bookmarkStart w:id="59" w:name="_Toc12177"/>
      <w:bookmarkStart w:id="60" w:name="_Toc13898"/>
      <w:bookmarkStart w:id="61" w:name="_Toc87616378"/>
      <w:bookmarkStart w:id="62" w:name="_Toc30530"/>
      <w:bookmarkStart w:id="63" w:name="_Toc7831"/>
      <w:bookmarkStart w:id="64" w:name="_Toc6308"/>
      <w:bookmarkStart w:id="65" w:name="_Toc29345"/>
      <w:bookmarkStart w:id="66" w:name="_Toc29484"/>
      <w:bookmarkStart w:id="67" w:name="_Toc21079"/>
      <w:bookmarkStart w:id="68" w:name="_Toc22212"/>
      <w:bookmarkStart w:id="69" w:name="_Toc32607"/>
      <w:bookmarkStart w:id="70" w:name="_Toc88209941"/>
      <w:r>
        <w:rPr>
          <w:rFonts w:hint="eastAsia"/>
          <w:color w:val="auto"/>
          <w:highlight w:val="none"/>
        </w:rPr>
        <w:t>评审办法</w:t>
      </w:r>
      <w:bookmarkEnd w:id="58"/>
      <w:bookmarkEnd w:id="59"/>
      <w:bookmarkEnd w:id="60"/>
      <w:bookmarkEnd w:id="61"/>
      <w:bookmarkEnd w:id="62"/>
      <w:bookmarkEnd w:id="63"/>
      <w:bookmarkEnd w:id="64"/>
      <w:bookmarkEnd w:id="65"/>
      <w:bookmarkEnd w:id="66"/>
      <w:bookmarkEnd w:id="67"/>
      <w:bookmarkEnd w:id="68"/>
      <w:bookmarkEnd w:id="69"/>
      <w:bookmarkEnd w:id="70"/>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71" w:name="_Toc23033"/>
      <w:bookmarkStart w:id="72" w:name="_Toc26826"/>
      <w:r>
        <w:rPr>
          <w:rFonts w:hint="eastAsia"/>
          <w:color w:val="auto"/>
          <w:highlight w:val="none"/>
        </w:rPr>
        <w:t>经评审的最低价法</w:t>
      </w:r>
      <w:bookmarkEnd w:id="71"/>
      <w:bookmarkEnd w:id="72"/>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（1）运输费用及保险费。（如有）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rFonts w:hint="eastAsia" w:ascii="仿宋_GB2312" w:eastAsia="仿宋_GB2312" w:hAnsiTheme="minorEastAsia"/>
          <w:color w:val="auto"/>
          <w:szCs w:val="21"/>
          <w:highlight w:val="none"/>
        </w:rPr>
      </w:pPr>
    </w:p>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4"/>
        <w:rPr>
          <w:color w:val="auto"/>
          <w:highlight w:val="none"/>
        </w:rPr>
      </w:pPr>
      <w:bookmarkStart w:id="73" w:name="_Toc88209947"/>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5715" t="10795" r="6985" b="8255"/>
                <wp:wrapNone/>
                <wp:docPr id="14" name="AutoShape 24"/>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M2AsR1wAAAAsBAAAPAAAAAAAAAAEAIAAA&#10;ACIAAABkcnMvZG93bnJldi54bWxQSwECFAAUAAAACACHTuJAxsV2R9QBAACzAwAADgAAAAAAAAAB&#10;ACAAAAAmAQAAZHJzL2Uyb0RvYy54bWxQSwUGAAAAAAYABgBZAQAAbA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107950</wp:posOffset>
                </wp:positionV>
                <wp:extent cx="958850" cy="0"/>
                <wp:effectExtent l="13335" t="11430" r="8890" b="7620"/>
                <wp:wrapNone/>
                <wp:docPr id="12" name="AutoShape 25"/>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25" o:spid="_x0000_s1026" o:spt="32" type="#_x0000_t32" style="position:absolute;left:0pt;margin-left:184.9pt;margin-top:8.5pt;height:0pt;width:75.5pt;z-index:251674624;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K2LetYAAAAJAQAADwAAAAAAAAABACAAAAAiAAAA&#10;ZHJzL2Rvd25yZXYueG1sUEsBAhQAFAAAAAgAh07iQCN9zOvQAQAAswMAAA4AAAAAAAAAAQAgAAAA&#10;JQEAAGRycy9lMm9Eb2MueG1sUEsFBgAAAAAGAAYAWQEAAGcFAAAAAA==&#10;">
                <v:fill on="f" focussize="0,0"/>
                <v:stroke color="#000000" joinstyle="round"/>
                <v:imagedata o:title=""/>
                <o:lock v:ext="edit" aspectratio="f"/>
              </v:shape>
            </w:pict>
          </mc:Fallback>
        </mc:AlternateContent>
      </w:r>
      <w:r>
        <w:rPr>
          <w:rFonts w:hint="eastAsia"/>
          <w:color w:val="auto"/>
          <w:highlight w:val="none"/>
        </w:rPr>
        <w:t>第五章</w:t>
      </w:r>
    </w:p>
    <w:p>
      <w:pPr>
        <w:pStyle w:val="5"/>
        <w:rPr>
          <w:color w:val="auto"/>
          <w:highlight w:val="none"/>
        </w:rPr>
      </w:pPr>
    </w:p>
    <w:p>
      <w:pPr>
        <w:pStyle w:val="5"/>
        <w:rPr>
          <w:color w:val="auto"/>
          <w:szCs w:val="44"/>
          <w:highlight w:val="none"/>
        </w:rPr>
      </w:pPr>
      <w:r>
        <w:rPr>
          <w:rFonts w:hint="eastAsia"/>
          <w:color w:val="auto"/>
          <w:szCs w:val="44"/>
          <w:highlight w:val="none"/>
        </w:rPr>
        <w:t>采购需求</w:t>
      </w: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5"/>
        <w:rPr>
          <w:color w:val="auto"/>
          <w:szCs w:val="44"/>
          <w:highlight w:val="none"/>
        </w:rPr>
      </w:pPr>
    </w:p>
    <w:p>
      <w:pPr>
        <w:pStyle w:val="13"/>
        <w:numPr>
          <w:ilvl w:val="0"/>
          <w:numId w:val="0"/>
        </w:numPr>
        <w:adjustRightInd w:val="0"/>
        <w:snapToGrid w:val="0"/>
        <w:spacing w:line="360" w:lineRule="auto"/>
        <w:rPr>
          <w:rFonts w:hint="eastAsia" w:ascii="仿宋" w:hAnsi="仿宋" w:eastAsia="仿宋" w:cs="仿宋_GB2312"/>
          <w:b/>
          <w:bCs/>
          <w:color w:val="auto"/>
          <w:kern w:val="0"/>
          <w:sz w:val="28"/>
          <w:szCs w:val="28"/>
          <w:highlight w:val="none"/>
          <w:lang w:val="en-US" w:eastAsia="zh-CN"/>
        </w:rPr>
      </w:pPr>
      <w:r>
        <w:rPr>
          <w:rFonts w:hint="eastAsia" w:ascii="仿宋" w:hAnsi="仿宋" w:eastAsia="仿宋" w:cs="仿宋_GB2312"/>
          <w:b/>
          <w:bCs/>
          <w:color w:val="auto"/>
          <w:kern w:val="0"/>
          <w:sz w:val="28"/>
          <w:szCs w:val="28"/>
          <w:highlight w:val="none"/>
          <w:lang w:val="en-US" w:eastAsia="zh-CN"/>
        </w:rPr>
        <w:t>项目一：</w:t>
      </w:r>
    </w:p>
    <w:p>
      <w:pPr>
        <w:pStyle w:val="38"/>
        <w:autoSpaceDE w:val="0"/>
        <w:autoSpaceDN w:val="0"/>
        <w:ind w:firstLine="565" w:firstLineChars="20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猎德分公司一期鼓风机房现有4台鼓风机，于1999投产，品牌型号为德国KKK公司SF0G14.5鼓风机，本次计划采购4台出风口止回阀和4台电动蝶阀。具体货物及要求：</w:t>
      </w:r>
    </w:p>
    <w:tbl>
      <w:tblPr>
        <w:tblStyle w:val="24"/>
        <w:tblW w:w="52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506"/>
        <w:gridCol w:w="4221"/>
        <w:gridCol w:w="905"/>
        <w:gridCol w:w="903"/>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429"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序号</w:t>
            </w:r>
          </w:p>
        </w:tc>
        <w:tc>
          <w:tcPr>
            <w:tcW w:w="787"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备件名称</w:t>
            </w:r>
          </w:p>
        </w:tc>
        <w:tc>
          <w:tcPr>
            <w:tcW w:w="2206"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规格型号</w:t>
            </w:r>
          </w:p>
        </w:tc>
        <w:tc>
          <w:tcPr>
            <w:tcW w:w="47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单位</w:t>
            </w:r>
          </w:p>
        </w:tc>
        <w:tc>
          <w:tcPr>
            <w:tcW w:w="472"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数量</w:t>
            </w:r>
          </w:p>
        </w:tc>
        <w:tc>
          <w:tcPr>
            <w:tcW w:w="63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29"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787"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止回阀</w:t>
            </w:r>
          </w:p>
        </w:tc>
        <w:tc>
          <w:tcPr>
            <w:tcW w:w="2206" w:type="pct"/>
          </w:tcPr>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 形式：对夹双瓣，水平安装；</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 规格：DN500，PN10，美标法兰</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 介质 ：空气</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 进气压力：1.013 bar</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 出气压力：1.628bar</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 工作温度： -10～+90</w:t>
            </w:r>
            <w:r>
              <w:rPr>
                <w:rFonts w:hint="eastAsia" w:ascii="仿宋_GB2312" w:hAnsi="仿宋_GB2312" w:eastAsia="仿宋_GB2312" w:cs="仿宋_GB2312"/>
                <w:color w:val="auto"/>
                <w:sz w:val="28"/>
                <w:szCs w:val="28"/>
                <w:highlight w:val="none"/>
              </w:rPr>
              <w:sym w:font="Symbol" w:char="F0B0"/>
            </w:r>
            <w:r>
              <w:rPr>
                <w:rFonts w:hint="eastAsia" w:ascii="仿宋_GB2312" w:hAnsi="仿宋_GB2312" w:eastAsia="仿宋_GB2312" w:cs="仿宋_GB2312"/>
                <w:color w:val="auto"/>
                <w:sz w:val="28"/>
                <w:szCs w:val="28"/>
                <w:highlight w:val="none"/>
              </w:rPr>
              <w:t>C</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 进口空气相对湿度：10～80%</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 室内环境温度：5～45℃</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9. 室内相对湿度：10～80%</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 阀体标准：EN-GJS-400-15</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11. 阀板标准：EN-GJS-400-15</w:t>
            </w:r>
          </w:p>
        </w:tc>
        <w:tc>
          <w:tcPr>
            <w:tcW w:w="47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台</w:t>
            </w:r>
          </w:p>
        </w:tc>
        <w:tc>
          <w:tcPr>
            <w:tcW w:w="472"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p>
        </w:tc>
        <w:tc>
          <w:tcPr>
            <w:tcW w:w="633" w:type="pct"/>
          </w:tcPr>
          <w:p>
            <w:pPr>
              <w:spacing w:line="360" w:lineRule="auto"/>
              <w:ind w:right="-57" w:rightChars="-27"/>
              <w:jc w:val="center"/>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29"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tc>
        <w:tc>
          <w:tcPr>
            <w:tcW w:w="787" w:type="pct"/>
          </w:tcPr>
          <w:p>
            <w:pPr>
              <w:spacing w:line="360" w:lineRule="auto"/>
              <w:ind w:right="-57" w:rightChars="-27"/>
              <w:jc w:val="center"/>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电动蝶阀</w:t>
            </w:r>
          </w:p>
        </w:tc>
        <w:tc>
          <w:tcPr>
            <w:tcW w:w="2206" w:type="pct"/>
          </w:tcPr>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 形式：对夹双瓣，水平安装；</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 规格：DN500，PN10，美标法兰</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 工作温度： -10～+90</w:t>
            </w:r>
            <w:r>
              <w:rPr>
                <w:rFonts w:hint="eastAsia" w:ascii="仿宋_GB2312" w:hAnsi="仿宋_GB2312" w:eastAsia="仿宋_GB2312" w:cs="仿宋_GB2312"/>
                <w:color w:val="auto"/>
                <w:sz w:val="28"/>
                <w:szCs w:val="28"/>
                <w:highlight w:val="none"/>
              </w:rPr>
              <w:sym w:font="Symbol" w:char="F0B0"/>
            </w:r>
            <w:r>
              <w:rPr>
                <w:rFonts w:hint="eastAsia" w:ascii="仿宋_GB2312" w:hAnsi="仿宋_GB2312" w:eastAsia="仿宋_GB2312" w:cs="仿宋_GB2312"/>
                <w:color w:val="auto"/>
                <w:sz w:val="28"/>
                <w:szCs w:val="28"/>
                <w:highlight w:val="none"/>
              </w:rPr>
              <w:t>C</w:t>
            </w:r>
          </w:p>
          <w:p>
            <w:pPr>
              <w:spacing w:line="360" w:lineRule="auto"/>
              <w:ind w:right="-57" w:rightChars="-27"/>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 供电电源：380V/3Ph/50Hz</w:t>
            </w:r>
          </w:p>
        </w:tc>
        <w:tc>
          <w:tcPr>
            <w:tcW w:w="473"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台</w:t>
            </w:r>
          </w:p>
        </w:tc>
        <w:tc>
          <w:tcPr>
            <w:tcW w:w="472" w:type="pct"/>
          </w:tcPr>
          <w:p>
            <w:pPr>
              <w:spacing w:line="360" w:lineRule="auto"/>
              <w:ind w:right="-57" w:rightChars="-27"/>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p>
        </w:tc>
        <w:tc>
          <w:tcPr>
            <w:tcW w:w="633" w:type="pct"/>
          </w:tcPr>
          <w:p>
            <w:pPr>
              <w:spacing w:line="360" w:lineRule="auto"/>
              <w:ind w:right="-57" w:rightChars="-27"/>
              <w:jc w:val="center"/>
              <w:rPr>
                <w:rFonts w:hint="eastAsia" w:ascii="仿宋_GB2312" w:hAnsi="仿宋_GB2312" w:eastAsia="仿宋_GB2312" w:cs="仿宋_GB2312"/>
                <w:color w:val="auto"/>
                <w:sz w:val="28"/>
                <w:szCs w:val="28"/>
                <w:highlight w:val="none"/>
              </w:rPr>
            </w:pPr>
          </w:p>
        </w:tc>
      </w:tr>
    </w:tbl>
    <w:p>
      <w:pPr>
        <w:pStyle w:val="7"/>
        <w:rPr>
          <w:rFonts w:hint="eastAsia" w:ascii="仿宋_GB2312" w:hAnsi="仿宋_GB2312" w:eastAsia="仿宋_GB2312" w:cs="仿宋_GB2312"/>
          <w:color w:val="auto"/>
          <w:kern w:val="2"/>
          <w:sz w:val="28"/>
          <w:szCs w:val="28"/>
          <w:highlight w:val="none"/>
        </w:rPr>
      </w:pPr>
    </w:p>
    <w:p>
      <w:pPr>
        <w:pStyle w:val="38"/>
        <w:autoSpaceDE w:val="0"/>
        <w:autoSpaceDN w:val="0"/>
        <w:ind w:firstLine="565" w:firstLineChars="202"/>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报价单位提供的货物必须是全新的货物，符合有关机构发布的最新行业标准或国家标准，满足原设计标准、原一期德国KKK公司SF0G14.5鼓风机的使用要求，安装和性能必须适配现有的管道和设备要求，不接受任何改造。</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（2）所提供的止回阀必须是不低于德国KKK、英国豪顿Howden、丹麦HV-TURBO等大型鼓风机品牌原装进口产品，必须为成品止回阀，不接受订制产品。</w:t>
      </w:r>
    </w:p>
    <w:p>
      <w:pPr>
        <w:pStyle w:val="2"/>
        <w:ind w:firstLine="700" w:firstLineChars="2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电动蝶阀的电动执行器必须是不低于西门子Siemens、诺德Nord、罗托克Rotork、欧玛Auma等档次的进口或合资品牌产品，电动执行器手动/电动模式可一键切换，切换后仍保持机械自锁。阀体密封橡胶需为耐高温EPDM(三元乙丙橡胶）。</w:t>
      </w:r>
    </w:p>
    <w:p>
      <w:pPr>
        <w:pStyle w:val="2"/>
        <w:ind w:left="0" w:leftChars="0" w:firstLine="0" w:firstLineChars="0"/>
        <w:rPr>
          <w:rFonts w:hint="eastAsia" w:ascii="仿宋_GB2312" w:hAnsi="仿宋_GB2312" w:eastAsia="仿宋_GB2312" w:cs="仿宋_GB2312"/>
          <w:color w:val="auto"/>
          <w:sz w:val="28"/>
          <w:szCs w:val="28"/>
          <w:highlight w:val="none"/>
        </w:rPr>
      </w:pPr>
    </w:p>
    <w:p>
      <w:pPr>
        <w:pStyle w:val="13"/>
        <w:numPr>
          <w:ilvl w:val="0"/>
          <w:numId w:val="0"/>
        </w:numPr>
        <w:adjustRightInd w:val="0"/>
        <w:snapToGrid w:val="0"/>
        <w:spacing w:line="360" w:lineRule="auto"/>
        <w:rPr>
          <w:rFonts w:hint="eastAsia" w:ascii="仿宋_GB2312" w:hAnsi="仿宋_GB2312" w:eastAsia="仿宋_GB2312" w:cs="仿宋_GB2312"/>
          <w:b/>
          <w:bCs/>
          <w:color w:val="auto"/>
          <w:kern w:val="0"/>
          <w:sz w:val="28"/>
          <w:szCs w:val="28"/>
          <w:highlight w:val="none"/>
          <w:lang w:val="en-US" w:eastAsia="zh-CN"/>
        </w:rPr>
      </w:pPr>
      <w:r>
        <w:rPr>
          <w:rFonts w:hint="eastAsia" w:ascii="仿宋_GB2312" w:hAnsi="仿宋_GB2312" w:eastAsia="仿宋_GB2312" w:cs="仿宋_GB2312"/>
          <w:b/>
          <w:bCs/>
          <w:color w:val="auto"/>
          <w:kern w:val="0"/>
          <w:sz w:val="28"/>
          <w:szCs w:val="28"/>
          <w:highlight w:val="none"/>
          <w:lang w:val="en-US" w:eastAsia="zh-CN"/>
        </w:rPr>
        <w:t>项目二：</w:t>
      </w:r>
    </w:p>
    <w:tbl>
      <w:tblPr>
        <w:tblStyle w:val="24"/>
        <w:tblpPr w:leftFromText="180" w:rightFromText="180" w:vertAnchor="text" w:horzAnchor="page" w:tblpX="1585" w:tblpY="854"/>
        <w:tblOverlap w:val="never"/>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设备类型</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电动刀型闸阀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数量</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公称通径</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DN100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公称压力</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额定电流</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2.4A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适用温度</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0℃—120℃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适用介质</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清水、油品、污水、水泥浆、废油、气体等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输出扭矩</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200N.m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输出转速</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18r/min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电机功率</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0.55Kw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防护等级</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IP67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连接尺寸</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连接盘中心距Φ160（4-M12）</w:t>
            </w:r>
          </w:p>
        </w:tc>
      </w:tr>
    </w:tbl>
    <w:p>
      <w:pPr>
        <w:pStyle w:val="14"/>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一、性能参数表</w:t>
      </w:r>
    </w:p>
    <w:p>
      <w:pPr>
        <w:pStyle w:val="14"/>
        <w:rPr>
          <w:rFonts w:hint="eastAsia" w:ascii="仿宋_GB2312" w:hAnsi="仿宋_GB2312" w:eastAsia="仿宋_GB2312" w:cs="仿宋_GB2312"/>
          <w:color w:val="auto"/>
          <w:sz w:val="28"/>
          <w:szCs w:val="28"/>
          <w:highlight w:val="none"/>
        </w:rPr>
      </w:pP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二、安装尺寸</w:t>
      </w:r>
    </w:p>
    <w:p>
      <w:pPr>
        <w:spacing w:line="400" w:lineRule="exac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drawing>
          <wp:anchor distT="0" distB="0" distL="114300" distR="114300" simplePos="0" relativeHeight="251676672" behindDoc="1" locked="0" layoutInCell="1" allowOverlap="1">
            <wp:simplePos x="0" y="0"/>
            <wp:positionH relativeFrom="column">
              <wp:posOffset>2608580</wp:posOffset>
            </wp:positionH>
            <wp:positionV relativeFrom="paragraph">
              <wp:posOffset>170815</wp:posOffset>
            </wp:positionV>
            <wp:extent cx="2139315" cy="2400935"/>
            <wp:effectExtent l="0" t="0" r="13335" b="18415"/>
            <wp:wrapNone/>
            <wp:docPr id="21" name="图片 2" descr="电动刀闸阀外形尺寸图片.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电动刀闸阀外形尺寸图片.jfif"/>
                    <pic:cNvPicPr>
                      <a:picLocks noChangeAspect="1"/>
                    </pic:cNvPicPr>
                  </pic:nvPicPr>
                  <pic:blipFill>
                    <a:blip r:embed="rId9" cstate="print"/>
                    <a:stretch>
                      <a:fillRect/>
                    </a:stretch>
                  </pic:blipFill>
                  <pic:spPr>
                    <a:xfrm>
                      <a:off x="0" y="0"/>
                      <a:ext cx="2139315" cy="2400935"/>
                    </a:xfrm>
                    <a:prstGeom prst="rect">
                      <a:avLst/>
                    </a:prstGeom>
                  </pic:spPr>
                </pic:pic>
              </a:graphicData>
            </a:graphic>
          </wp:anchor>
        </w:drawing>
      </w:r>
      <w:r>
        <w:rPr>
          <w:rFonts w:hint="eastAsia" w:ascii="仿宋_GB2312" w:hAnsi="仿宋_GB2312" w:eastAsia="仿宋_GB2312" w:cs="仿宋_GB2312"/>
          <w:color w:val="auto"/>
          <w:sz w:val="28"/>
          <w:szCs w:val="28"/>
          <w:highlight w:val="none"/>
        </w:rPr>
        <w:drawing>
          <wp:anchor distT="0" distB="0" distL="114300" distR="114300" simplePos="0" relativeHeight="251677696" behindDoc="1" locked="0" layoutInCell="1" allowOverlap="1">
            <wp:simplePos x="0" y="0"/>
            <wp:positionH relativeFrom="column">
              <wp:posOffset>333375</wp:posOffset>
            </wp:positionH>
            <wp:positionV relativeFrom="paragraph">
              <wp:posOffset>170815</wp:posOffset>
            </wp:positionV>
            <wp:extent cx="1158875" cy="2383790"/>
            <wp:effectExtent l="0" t="0" r="3175" b="16510"/>
            <wp:wrapNone/>
            <wp:docPr id="22" name="图片 4" descr="电动刀闸阀.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电动刀闸阀.jfif"/>
                    <pic:cNvPicPr>
                      <a:picLocks noChangeAspect="1"/>
                    </pic:cNvPicPr>
                  </pic:nvPicPr>
                  <pic:blipFill>
                    <a:blip r:embed="rId10" cstate="print"/>
                    <a:srcRect l="32146" r="35167" b="2872"/>
                    <a:stretch>
                      <a:fillRect/>
                    </a:stretch>
                  </pic:blipFill>
                  <pic:spPr>
                    <a:xfrm>
                      <a:off x="0" y="0"/>
                      <a:ext cx="1158875" cy="2383790"/>
                    </a:xfrm>
                    <a:prstGeom prst="rect">
                      <a:avLst/>
                    </a:prstGeom>
                  </pic:spPr>
                </pic:pic>
              </a:graphicData>
            </a:graphic>
          </wp:anchor>
        </w:drawing>
      </w: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spacing w:line="400" w:lineRule="exact"/>
        <w:rPr>
          <w:rFonts w:hint="eastAsia" w:ascii="仿宋_GB2312" w:hAnsi="仿宋_GB2312" w:eastAsia="仿宋_GB2312" w:cs="仿宋_GB2312"/>
          <w:color w:val="auto"/>
          <w:sz w:val="28"/>
          <w:szCs w:val="28"/>
          <w:highlight w:val="none"/>
        </w:rPr>
      </w:pPr>
    </w:p>
    <w:p>
      <w:pPr>
        <w:pStyle w:val="2"/>
        <w:ind w:firstLine="1095"/>
        <w:rPr>
          <w:rFonts w:hint="eastAsia" w:ascii="仿宋_GB2312" w:hAnsi="仿宋_GB2312" w:eastAsia="仿宋_GB2312" w:cs="仿宋_GB2312"/>
          <w:color w:val="auto"/>
          <w:sz w:val="28"/>
          <w:szCs w:val="28"/>
          <w:highlight w:val="none"/>
        </w:rPr>
      </w:pPr>
    </w:p>
    <w:p>
      <w:pPr>
        <w:pStyle w:val="2"/>
        <w:ind w:firstLine="1095"/>
        <w:rPr>
          <w:rFonts w:hint="eastAsia" w:ascii="仿宋_GB2312" w:hAnsi="仿宋_GB2312" w:eastAsia="仿宋_GB2312" w:cs="仿宋_GB2312"/>
          <w:color w:val="auto"/>
          <w:sz w:val="28"/>
          <w:szCs w:val="28"/>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2"/>
        <w:gridCol w:w="1132"/>
        <w:gridCol w:w="1132"/>
        <w:gridCol w:w="1133"/>
        <w:gridCol w:w="1133"/>
        <w:gridCol w:w="11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DN</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D1</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D2</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ZxΦd</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100</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52</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220</w:t>
            </w:r>
          </w:p>
        </w:tc>
        <w:tc>
          <w:tcPr>
            <w:tcW w:w="1132"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180</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156</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365</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8xΦ18</w:t>
            </w:r>
          </w:p>
        </w:tc>
        <w:tc>
          <w:tcPr>
            <w:tcW w:w="1133" w:type="dxa"/>
          </w:tcPr>
          <w:p>
            <w:pPr>
              <w:pStyle w:val="2"/>
              <w:ind w:firstLine="0" w:firstLineChars="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220</w:t>
            </w:r>
          </w:p>
        </w:tc>
      </w:tr>
    </w:tbl>
    <w:p>
      <w:pPr>
        <w:spacing w:line="36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注：</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bCs/>
          <w:color w:val="auto"/>
          <w:sz w:val="28"/>
          <w:szCs w:val="28"/>
          <w:highlight w:val="none"/>
        </w:rPr>
        <w:t>1、</w:t>
      </w:r>
      <w:r>
        <w:rPr>
          <w:rFonts w:hint="eastAsia" w:ascii="仿宋_GB2312" w:hAnsi="仿宋_GB2312" w:eastAsia="仿宋_GB2312" w:cs="仿宋_GB2312"/>
          <w:color w:val="auto"/>
          <w:sz w:val="28"/>
          <w:szCs w:val="28"/>
          <w:highlight w:val="none"/>
        </w:rPr>
        <w:t>安装尺寸不允许偏差。</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★2、与原</w:t>
      </w:r>
      <w:r>
        <w:rPr>
          <w:rFonts w:hint="eastAsia" w:ascii="仿宋_GB2312" w:hAnsi="仿宋_GB2312" w:eastAsia="仿宋_GB2312" w:cs="仿宋_GB2312"/>
          <w:color w:val="auto"/>
          <w:sz w:val="28"/>
          <w:szCs w:val="28"/>
          <w:highlight w:val="none"/>
          <w:lang w:val="en-US" w:eastAsia="zh-CN"/>
        </w:rPr>
        <w:t>设备</w:t>
      </w:r>
      <w:r>
        <w:rPr>
          <w:rFonts w:hint="eastAsia" w:ascii="仿宋_GB2312" w:hAnsi="仿宋_GB2312" w:eastAsia="仿宋_GB2312" w:cs="仿宋_GB2312"/>
          <w:color w:val="auto"/>
          <w:sz w:val="28"/>
          <w:szCs w:val="28"/>
          <w:highlight w:val="none"/>
        </w:rPr>
        <w:t>性能相当，并且匹配原设备安装位置和电气控制要求，不接受对现有</w:t>
      </w:r>
      <w:r>
        <w:rPr>
          <w:rFonts w:hint="eastAsia" w:ascii="仿宋_GB2312" w:hAnsi="仿宋_GB2312" w:eastAsia="仿宋_GB2312" w:cs="仿宋_GB2312"/>
          <w:color w:val="auto"/>
          <w:sz w:val="28"/>
          <w:szCs w:val="28"/>
          <w:highlight w:val="none"/>
          <w:lang w:val="en-US" w:eastAsia="zh-CN"/>
        </w:rPr>
        <w:t>安装位置</w:t>
      </w:r>
      <w:r>
        <w:rPr>
          <w:rFonts w:hint="eastAsia" w:ascii="仿宋_GB2312" w:hAnsi="仿宋_GB2312" w:eastAsia="仿宋_GB2312" w:cs="仿宋_GB2312"/>
          <w:color w:val="auto"/>
          <w:sz w:val="28"/>
          <w:szCs w:val="28"/>
          <w:highlight w:val="none"/>
        </w:rPr>
        <w:t>以及电气控制系统进行改造，投标单位中标后可到现场进行勘察复核。</w:t>
      </w: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三、电动执行机构技术要求</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1基本要求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电动执行机构电机为鼠笼式三项异步阀门专用电机，绝缘等级为F级，并配有电机过热保护开关。平均负荷不能小于阀门最大驱动力的50%。电机的工作制：间歇启动。电机动态平衡。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电源：380V、AC、50Hz。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执行器结构简单，性能可靠，便于调试、维护和维修。具有自锁式的输出，即使在手动模式下仍保持自锁。电动头多腔独立密封。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电源电压降至负值极限时执行器能够正常启动，并保证其行程变化不大于全行程的 1.5%，并按正常速度运转。电压误差在±10%，频率误差在±5Hz下，运行性能得到保证。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电动阀门驱动机构上的电机的输出扭矩要大于额定扭矩的1.5倍以上，所有电动操作机构应装有扭距限制器。安装：阀门与执行机构的连接必须灵活方便。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2主体结构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主要部件包括，电动机、力矩限制机构/行程控制机构、手-电动切换机构、手轮及电气控制单元部分等。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（1）电动机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所有电动机符合JB2195、IEC60034标准。所有电动机的绝缘采用F级绝缘，按B级绝缘考核温升。电机具有高启动力矩低惯性。</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（2）手-电动切换机构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电动执行机构配有手/自动切换机构，并配有离合装置，在电动操作时手轮不会随时转动。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（3）手动驱动装置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完全密闭的齿轮传动。手轮上注明开启和关闭方向。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（4）润滑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电动执行机构的齿轮采用润滑油，蜗轮蜗杆浸泡在油浴之中，且所有在阀杆运动传动中的转动部件都在轴承上转动。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 3、材质</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箱体为高牌号灰铁，涡轮为锡青铜，蜗杆为45号钢，渗碳淬火，适合阀门长时间运转</w:t>
      </w: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四、设备的材质</w:t>
      </w:r>
    </w:p>
    <w:tbl>
      <w:tblPr>
        <w:tblStyle w:val="24"/>
        <w:tblpPr w:leftFromText="180" w:rightFromText="180" w:vertAnchor="text" w:horzAnchor="page" w:tblpX="1871" w:tblpY="209"/>
        <w:tblOverlap w:val="never"/>
        <w:tblW w:w="8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阀体材质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灰铸铁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闸板材质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铬镍钛不锈钢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阀体密封圈</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聚四氟乙烯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阀杆</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铬不锈钢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支架</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碳素钢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填料</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聚四氟乙烯</w:t>
            </w:r>
          </w:p>
        </w:tc>
      </w:tr>
    </w:tbl>
    <w:p>
      <w:pPr>
        <w:pStyle w:val="13"/>
        <w:adjustRightInd w:val="0"/>
        <w:snapToGrid w:val="0"/>
        <w:spacing w:line="520" w:lineRule="exact"/>
        <w:rPr>
          <w:rFonts w:hint="eastAsia" w:ascii="仿宋_GB2312" w:hAnsi="仿宋_GB2312" w:eastAsia="仿宋_GB2312" w:cs="仿宋_GB2312"/>
          <w:b/>
          <w:color w:val="auto"/>
          <w:sz w:val="28"/>
          <w:szCs w:val="28"/>
          <w:highlight w:val="none"/>
          <w:lang w:val="en-US" w:eastAsia="zh-CN"/>
        </w:rPr>
      </w:pPr>
    </w:p>
    <w:p>
      <w:pPr>
        <w:pStyle w:val="13"/>
        <w:adjustRightInd w:val="0"/>
        <w:snapToGrid w:val="0"/>
        <w:spacing w:line="520" w:lineRule="exact"/>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项目三：</w:t>
      </w:r>
    </w:p>
    <w:p>
      <w:pPr>
        <w:pStyle w:val="14"/>
        <w:numPr>
          <w:ilvl w:val="0"/>
          <w:numId w:val="4"/>
        </w:numPr>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性能参数表</w:t>
      </w:r>
    </w:p>
    <w:tbl>
      <w:tblPr>
        <w:tblStyle w:val="24"/>
        <w:tblW w:w="86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8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设备类型</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电动半球阀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数量</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公称通径</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DN100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公称压力</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1.0MPa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额定电流</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0.65A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适用温度</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－30℃～ 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适用介质</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污水、污泥、颗粒料浆、灰渣、供排水及弱腐蚀性流体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输出扭矩</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200N.m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输出转速</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18r/min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电机功率</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0.37Kw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防护等级</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IP67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802"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连接尺寸</w:t>
            </w:r>
          </w:p>
        </w:tc>
        <w:tc>
          <w:tcPr>
            <w:tcW w:w="5811" w:type="dxa"/>
            <w:vAlign w:val="center"/>
          </w:tcPr>
          <w:p>
            <w:pPr>
              <w:bidi w:val="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连接盘中心距Φ160（4-M12）</w:t>
            </w:r>
          </w:p>
        </w:tc>
      </w:tr>
    </w:tbl>
    <w:p>
      <w:pPr>
        <w:pStyle w:val="15"/>
        <w:numPr>
          <w:ilvl w:val="0"/>
          <w:numId w:val="0"/>
        </w:numPr>
        <w:rPr>
          <w:rFonts w:hint="eastAsia" w:ascii="仿宋_GB2312" w:hAnsi="仿宋_GB2312" w:eastAsia="仿宋_GB2312" w:cs="仿宋_GB2312"/>
          <w:color w:val="auto"/>
          <w:sz w:val="28"/>
          <w:szCs w:val="28"/>
          <w:highlight w:val="none"/>
          <w:lang w:val="en-US" w:eastAsia="zh-CN"/>
        </w:rPr>
      </w:pPr>
    </w:p>
    <w:p>
      <w:pP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val="0"/>
          <w:bCs/>
          <w:color w:val="auto"/>
          <w:kern w:val="2"/>
          <w:sz w:val="28"/>
          <w:szCs w:val="28"/>
          <w:highlight w:val="none"/>
          <w:lang w:val="en-US" w:eastAsia="zh-CN" w:bidi="ar-SA"/>
        </w:rPr>
        <w:t>二、安装尺寸</w:t>
      </w:r>
    </w:p>
    <w:p>
      <w:pP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drawing>
          <wp:inline distT="0" distB="0" distL="114300" distR="114300">
            <wp:extent cx="3722370" cy="3387090"/>
            <wp:effectExtent l="0" t="0" r="11430" b="3810"/>
            <wp:docPr id="20" name="图片 20" descr="1660660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0660385(1)"/>
                    <pic:cNvPicPr>
                      <a:picLocks noChangeAspect="1"/>
                    </pic:cNvPicPr>
                  </pic:nvPicPr>
                  <pic:blipFill>
                    <a:blip r:embed="rId11" cstate="print"/>
                    <a:stretch>
                      <a:fillRect/>
                    </a:stretch>
                  </pic:blipFill>
                  <pic:spPr>
                    <a:xfrm>
                      <a:off x="0" y="0"/>
                      <a:ext cx="3731632" cy="3395324"/>
                    </a:xfrm>
                    <a:prstGeom prst="rect">
                      <a:avLst/>
                    </a:prstGeom>
                  </pic:spPr>
                </pic:pic>
              </a:graphicData>
            </a:graphic>
          </wp:inline>
        </w:drawing>
      </w:r>
    </w:p>
    <w:tbl>
      <w:tblPr>
        <w:tblStyle w:val="24"/>
        <w:tblpPr w:leftFromText="180" w:rightFromText="180" w:vertAnchor="text" w:horzAnchor="page" w:tblpXSpec="center" w:tblpY="433"/>
        <w:tblOverlap w:val="never"/>
        <w:tblW w:w="9172" w:type="dxa"/>
        <w:jc w:val="center"/>
        <w:tblLayout w:type="fixed"/>
        <w:tblCellMar>
          <w:top w:w="0" w:type="dxa"/>
          <w:left w:w="108" w:type="dxa"/>
          <w:bottom w:w="0" w:type="dxa"/>
          <w:right w:w="108" w:type="dxa"/>
        </w:tblCellMar>
      </w:tblPr>
      <w:tblGrid>
        <w:gridCol w:w="696"/>
        <w:gridCol w:w="601"/>
        <w:gridCol w:w="575"/>
        <w:gridCol w:w="678"/>
        <w:gridCol w:w="708"/>
        <w:gridCol w:w="601"/>
        <w:gridCol w:w="912"/>
        <w:gridCol w:w="692"/>
        <w:gridCol w:w="841"/>
        <w:gridCol w:w="594"/>
        <w:gridCol w:w="759"/>
        <w:gridCol w:w="758"/>
        <w:gridCol w:w="757"/>
      </w:tblGrid>
      <w:tr>
        <w:tblPrEx>
          <w:tblCellMar>
            <w:top w:w="0" w:type="dxa"/>
            <w:left w:w="108" w:type="dxa"/>
            <w:bottom w:w="0" w:type="dxa"/>
            <w:right w:w="108" w:type="dxa"/>
          </w:tblCellMar>
        </w:tblPrEx>
        <w:trPr>
          <w:trHeight w:val="416"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DN</w:t>
            </w:r>
          </w:p>
        </w:tc>
        <w:tc>
          <w:tcPr>
            <w:tcW w:w="60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w:t>
            </w:r>
          </w:p>
        </w:tc>
        <w:tc>
          <w:tcPr>
            <w:tcW w:w="575"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D1</w:t>
            </w:r>
          </w:p>
        </w:tc>
        <w:tc>
          <w:tcPr>
            <w:tcW w:w="67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D2</w:t>
            </w:r>
          </w:p>
        </w:tc>
        <w:tc>
          <w:tcPr>
            <w:tcW w:w="70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L</w:t>
            </w:r>
          </w:p>
        </w:tc>
        <w:tc>
          <w:tcPr>
            <w:tcW w:w="60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L1</w:t>
            </w:r>
          </w:p>
        </w:tc>
        <w:tc>
          <w:tcPr>
            <w:tcW w:w="91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L2</w:t>
            </w:r>
          </w:p>
        </w:tc>
        <w:tc>
          <w:tcPr>
            <w:tcW w:w="692"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L3</w:t>
            </w:r>
          </w:p>
        </w:tc>
        <w:tc>
          <w:tcPr>
            <w:tcW w:w="8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L4</w:t>
            </w:r>
          </w:p>
        </w:tc>
        <w:tc>
          <w:tcPr>
            <w:tcW w:w="594"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w:t>
            </w:r>
          </w:p>
        </w:tc>
        <w:tc>
          <w:tcPr>
            <w:tcW w:w="759"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H1</w:t>
            </w:r>
          </w:p>
        </w:tc>
        <w:tc>
          <w:tcPr>
            <w:tcW w:w="758"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H2</w:t>
            </w:r>
          </w:p>
        </w:tc>
        <w:tc>
          <w:tcPr>
            <w:tcW w:w="757"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pPr>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n-d</w:t>
            </w:r>
          </w:p>
        </w:tc>
      </w:tr>
      <w:tr>
        <w:tblPrEx>
          <w:tblCellMar>
            <w:top w:w="0" w:type="dxa"/>
            <w:left w:w="108" w:type="dxa"/>
            <w:bottom w:w="0" w:type="dxa"/>
            <w:right w:w="108" w:type="dxa"/>
          </w:tblCellMar>
        </w:tblPrEx>
        <w:trPr>
          <w:trHeight w:val="416" w:hRule="atLeast"/>
          <w:jc w:val="center"/>
        </w:trPr>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100</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220</w:t>
            </w:r>
          </w:p>
        </w:tc>
        <w:tc>
          <w:tcPr>
            <w:tcW w:w="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180</w:t>
            </w: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156</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229</w:t>
            </w:r>
          </w:p>
        </w:tc>
        <w:tc>
          <w:tcPr>
            <w:tcW w:w="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157</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250</w:t>
            </w: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124</w:t>
            </w:r>
          </w:p>
        </w:tc>
        <w:tc>
          <w:tcPr>
            <w:tcW w:w="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332</w:t>
            </w:r>
          </w:p>
        </w:tc>
        <w:tc>
          <w:tcPr>
            <w:tcW w:w="5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625</w:t>
            </w: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110</w:t>
            </w:r>
          </w:p>
        </w:tc>
        <w:tc>
          <w:tcPr>
            <w:tcW w:w="7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kern w:val="0"/>
                <w:sz w:val="28"/>
                <w:szCs w:val="28"/>
                <w:highlight w:val="none"/>
              </w:rPr>
              <w:t>240</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8-18</w:t>
            </w:r>
          </w:p>
        </w:tc>
      </w:tr>
    </w:tbl>
    <w:p>
      <w:pPr>
        <w:rPr>
          <w:rFonts w:hint="eastAsia" w:ascii="仿宋_GB2312" w:hAnsi="仿宋_GB2312" w:eastAsia="仿宋_GB2312" w:cs="仿宋_GB2312"/>
          <w:color w:val="auto"/>
          <w:sz w:val="28"/>
          <w:szCs w:val="28"/>
          <w:highlight w:val="none"/>
          <w:lang w:val="en-US" w:eastAsia="zh-CN"/>
        </w:rPr>
      </w:pPr>
    </w:p>
    <w:p>
      <w:pPr>
        <w:spacing w:line="360" w:lineRule="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注：</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bCs/>
          <w:color w:val="auto"/>
          <w:sz w:val="28"/>
          <w:szCs w:val="28"/>
          <w:highlight w:val="none"/>
        </w:rPr>
        <w:t>1、</w:t>
      </w:r>
      <w:r>
        <w:rPr>
          <w:rFonts w:hint="eastAsia" w:ascii="仿宋_GB2312" w:hAnsi="仿宋_GB2312" w:eastAsia="仿宋_GB2312" w:cs="仿宋_GB2312"/>
          <w:color w:val="auto"/>
          <w:sz w:val="28"/>
          <w:szCs w:val="28"/>
          <w:highlight w:val="none"/>
        </w:rPr>
        <w:t>安装尺寸不允许偏差。</w:t>
      </w:r>
    </w:p>
    <w:p>
      <w:pPr>
        <w:spacing w:line="360" w:lineRule="auto"/>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★2、与原</w:t>
      </w:r>
      <w:r>
        <w:rPr>
          <w:rFonts w:hint="eastAsia" w:ascii="仿宋_GB2312" w:hAnsi="仿宋_GB2312" w:eastAsia="仿宋_GB2312" w:cs="仿宋_GB2312"/>
          <w:color w:val="auto"/>
          <w:sz w:val="28"/>
          <w:szCs w:val="28"/>
          <w:highlight w:val="none"/>
          <w:lang w:val="en-US" w:eastAsia="zh-CN"/>
        </w:rPr>
        <w:t>设备</w:t>
      </w:r>
      <w:r>
        <w:rPr>
          <w:rFonts w:hint="eastAsia" w:ascii="仿宋_GB2312" w:hAnsi="仿宋_GB2312" w:eastAsia="仿宋_GB2312" w:cs="仿宋_GB2312"/>
          <w:color w:val="auto"/>
          <w:sz w:val="28"/>
          <w:szCs w:val="28"/>
          <w:highlight w:val="none"/>
        </w:rPr>
        <w:t>性能相当，并且匹配原设备安装位置和电气控制要求，不接受对现有</w:t>
      </w:r>
      <w:r>
        <w:rPr>
          <w:rFonts w:hint="eastAsia" w:ascii="仿宋_GB2312" w:hAnsi="仿宋_GB2312" w:eastAsia="仿宋_GB2312" w:cs="仿宋_GB2312"/>
          <w:color w:val="auto"/>
          <w:sz w:val="28"/>
          <w:szCs w:val="28"/>
          <w:highlight w:val="none"/>
          <w:lang w:val="en-US" w:eastAsia="zh-CN"/>
        </w:rPr>
        <w:t>安装位置</w:t>
      </w:r>
      <w:r>
        <w:rPr>
          <w:rFonts w:hint="eastAsia" w:ascii="仿宋_GB2312" w:hAnsi="仿宋_GB2312" w:eastAsia="仿宋_GB2312" w:cs="仿宋_GB2312"/>
          <w:color w:val="auto"/>
          <w:sz w:val="28"/>
          <w:szCs w:val="28"/>
          <w:highlight w:val="none"/>
        </w:rPr>
        <w:t>以及电气控制系统进行改造，投标单位中标后可到现场进行勘察复核。</w:t>
      </w:r>
    </w:p>
    <w:p>
      <w:pPr>
        <w:spacing w:line="360" w:lineRule="auto"/>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四、电动执行机构技术要求</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1基本要求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电动执行机构电机为鼠笼式三项异步阀门专用电机，绝缘等级为F级，并配有电机过热保护开关。平均负荷不能小于阀门最大驱动力的50%。电机的工作制：间歇启动。电机动态平衡。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电源：380V、AC、50Hz。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执行器结构简单，性能可靠，便于调试、维护和维修。具有自锁式的输出，即使在手动模式下仍保持自锁。电动头多腔独立密封。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电源电压降至负值极限时执行器能够正常启动，并保证其行程变化不大于全行程的 1.5%，并按正常速度运转。电压误差在±10%，频率误差在±5Hz下，运行性能得到保证。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电动阀门驱动机构上的电机的输出扭矩要大于额定扭矩的1.5倍以上，所有电动操作机构应装有扭距限制器。安装：阀门与执行机构的连接必须灵活方便。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2主体结构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主要部件包括，电动机、力矩限制机构/行程控制机构、手-电动切换机构、手轮及电气控制单元部分等。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（1）电动机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所有电动机符合JB2195、IEC60034标准。所有电动机的绝缘采用F级绝缘，按B级绝缘考核温升。电机具有高启动力矩低惯性。</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（2）手-电动切换机构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电动执行机构配有手/自动切换机构，并配有离合装置，在电动操作时手轮不会随时转动。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（3）手动驱动装置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完全密闭的齿轮传动。手轮上注明开启和关闭方向。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（4）润滑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电动执行机构的齿轮采用润滑油，蜗轮蜗杆浸泡在油浴之中，且所有在阀杆运动传动中的转动部件都在轴承上转动。 </w:t>
      </w:r>
    </w:p>
    <w:p>
      <w:pPr>
        <w:spacing w:line="360" w:lineRule="auto"/>
        <w:ind w:firstLine="560" w:firstLineChars="200"/>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 xml:space="preserve"> 3、材质</w:t>
      </w:r>
    </w:p>
    <w:p>
      <w:pPr>
        <w:pStyle w:val="2"/>
        <w:rPr>
          <w:rFonts w:hint="eastAsia"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lang w:val="zh-CN"/>
        </w:rPr>
        <w:t>箱体为高牌号灰铁，涡轮为锡青铜，蜗杆为45号钢，渗碳淬火，适合阀门长时间运转。</w:t>
      </w:r>
    </w:p>
    <w:p>
      <w:pPr>
        <w:pStyle w:val="2"/>
        <w:numPr>
          <w:ilvl w:val="0"/>
          <w:numId w:val="5"/>
        </w:numPr>
        <w:ind w:left="0" w:leftChars="0" w:firstLine="0" w:firstLineChars="0"/>
        <w:rPr>
          <w:rFonts w:hint="eastAsia" w:ascii="仿宋_GB2312" w:hAnsi="仿宋_GB2312" w:eastAsia="仿宋_GB2312" w:cs="仿宋_GB2312"/>
          <w:b w:val="0"/>
          <w:bCs/>
          <w:color w:val="auto"/>
          <w:kern w:val="2"/>
          <w:sz w:val="28"/>
          <w:szCs w:val="28"/>
          <w:highlight w:val="none"/>
          <w:lang w:val="en-US" w:eastAsia="zh-CN" w:bidi="ar-SA"/>
        </w:rPr>
      </w:pPr>
      <w:r>
        <w:rPr>
          <w:rFonts w:hint="eastAsia" w:ascii="仿宋_GB2312" w:hAnsi="仿宋_GB2312" w:eastAsia="仿宋_GB2312" w:cs="仿宋_GB2312"/>
          <w:b w:val="0"/>
          <w:bCs/>
          <w:color w:val="auto"/>
          <w:kern w:val="2"/>
          <w:sz w:val="28"/>
          <w:szCs w:val="28"/>
          <w:highlight w:val="none"/>
          <w:lang w:val="en-US" w:eastAsia="zh-CN" w:bidi="ar-SA"/>
        </w:rPr>
        <w:t>设备的材质</w:t>
      </w:r>
    </w:p>
    <w:tbl>
      <w:tblPr>
        <w:tblStyle w:val="24"/>
        <w:tblpPr w:leftFromText="180" w:rightFromText="180" w:vertAnchor="text" w:horzAnchor="page" w:tblpX="1871" w:tblpY="209"/>
        <w:tblOverlap w:val="never"/>
        <w:tblW w:w="81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0"/>
        <w:gridCol w:w="43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阀体材质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WCB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阀瓣材质</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不锈钢堆焊硬质合金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阀座</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A105堆焊硬质合金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1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阀杆</w:t>
            </w:r>
          </w:p>
        </w:tc>
        <w:tc>
          <w:tcPr>
            <w:tcW w:w="432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color w:val="auto"/>
                <w:sz w:val="28"/>
                <w:szCs w:val="28"/>
                <w:highlight w:val="none"/>
                <w:u w:val="none"/>
                <w:lang w:val="en-US" w:eastAsia="zh-CN"/>
              </w:rPr>
            </w:pPr>
            <w:r>
              <w:rPr>
                <w:rFonts w:hint="eastAsia" w:ascii="仿宋_GB2312" w:hAnsi="仿宋_GB2312" w:eastAsia="仿宋_GB2312" w:cs="仿宋_GB2312"/>
                <w:b w:val="0"/>
                <w:bCs w:val="0"/>
                <w:color w:val="auto"/>
                <w:sz w:val="28"/>
                <w:szCs w:val="28"/>
                <w:highlight w:val="none"/>
                <w:u w:val="none"/>
                <w:lang w:val="en-US" w:eastAsia="zh-CN"/>
              </w:rPr>
              <w:t>20Cr13</w:t>
            </w:r>
          </w:p>
        </w:tc>
      </w:tr>
    </w:tbl>
    <w:p>
      <w:pPr>
        <w:pStyle w:val="2"/>
        <w:numPr>
          <w:ilvl w:val="0"/>
          <w:numId w:val="0"/>
        </w:numPr>
        <w:ind w:leftChars="0"/>
        <w:rPr>
          <w:rFonts w:hint="eastAsia" w:ascii="仿宋_GB2312" w:hAnsi="仿宋_GB2312" w:eastAsia="仿宋_GB2312" w:cs="仿宋_GB2312"/>
          <w:b w:val="0"/>
          <w:bCs/>
          <w:color w:val="auto"/>
          <w:kern w:val="2"/>
          <w:sz w:val="28"/>
          <w:szCs w:val="28"/>
          <w:highlight w:val="none"/>
          <w:lang w:val="en-US" w:eastAsia="zh-CN" w:bidi="ar-SA"/>
        </w:rPr>
      </w:pPr>
    </w:p>
    <w:p>
      <w:pPr>
        <w:pStyle w:val="13"/>
        <w:adjustRightInd w:val="0"/>
        <w:snapToGrid w:val="0"/>
        <w:spacing w:line="520" w:lineRule="exact"/>
        <w:rPr>
          <w:rFonts w:hint="eastAsia" w:ascii="仿宋_GB2312" w:hAnsi="仿宋_GB2312" w:eastAsia="仿宋_GB2312" w:cs="仿宋_GB2312"/>
          <w:b/>
          <w:color w:val="auto"/>
          <w:sz w:val="28"/>
          <w:szCs w:val="28"/>
          <w:highlight w:val="none"/>
          <w:lang w:val="en-US" w:eastAsia="zh-CN"/>
        </w:rPr>
      </w:pPr>
      <w:r>
        <w:rPr>
          <w:rFonts w:hint="eastAsia" w:ascii="仿宋_GB2312" w:hAnsi="仿宋_GB2312" w:eastAsia="仿宋_GB2312" w:cs="仿宋_GB2312"/>
          <w:b/>
          <w:color w:val="auto"/>
          <w:sz w:val="28"/>
          <w:szCs w:val="28"/>
          <w:highlight w:val="none"/>
          <w:lang w:val="en-US" w:eastAsia="zh-CN"/>
        </w:rPr>
        <w:t>项目四：</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本项目采购的货物为：1个电动蝶阀和1个阀门电动装置（</w:t>
      </w:r>
      <w:r>
        <w:rPr>
          <w:rFonts w:hint="eastAsia" w:ascii="仿宋_GB2312" w:eastAsia="仿宋_GB2312"/>
          <w:color w:val="auto"/>
          <w:sz w:val="28"/>
          <w:szCs w:val="28"/>
          <w:highlight w:val="none"/>
          <w:u w:val="none"/>
          <w:lang w:val="en-US" w:eastAsia="zh-CN"/>
        </w:rPr>
        <w:t>两者组合配套使用</w:t>
      </w:r>
      <w:r>
        <w:rPr>
          <w:rFonts w:hint="eastAsia" w:ascii="仿宋" w:hAnsi="仿宋" w:eastAsia="仿宋" w:cs="仿宋"/>
          <w:color w:val="auto"/>
          <w:sz w:val="28"/>
          <w:szCs w:val="28"/>
          <w:highlight w:val="none"/>
          <w:lang w:val="en-US" w:eastAsia="zh-CN"/>
        </w:rPr>
        <w:t>）、1个蝶式止回阀、1个双法兰伸缩接头、1个可曲挠橡胶接头。</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为了确保采购的电动蝶阀及止回阀等货物能够与原出水管道适配，现根据厂区原有管道、电动蝶阀及止回阀等技术参数和参考GB/T 9113-2010 《整体钢制管法兰》标准文件中表6《PN10整体钢制管法兰尺寸》、表7 《PN16整体钢制管法兰尺寸》 规定DN900法兰尺寸参数进行选购。供货商提供的货物要与现用设备一致，不接受任何改造。详情如下所示：</w:t>
      </w:r>
    </w:p>
    <w:p>
      <w:pPr>
        <w:pStyle w:val="54"/>
        <w:jc w:val="center"/>
        <w:rPr>
          <w:rFonts w:hint="default"/>
          <w:b/>
          <w:bCs/>
          <w:color w:val="auto"/>
          <w:highlight w:val="none"/>
          <w:lang w:val="en-US" w:eastAsia="zh-CN"/>
        </w:rPr>
      </w:pPr>
      <w:r>
        <w:rPr>
          <w:rFonts w:hint="eastAsia" w:hAnsi="仿宋_GB2312" w:cs="仿宋_GB2312"/>
          <w:b/>
          <w:bCs/>
          <w:color w:val="auto"/>
          <w:spacing w:val="-6"/>
          <w:szCs w:val="32"/>
          <w:highlight w:val="none"/>
          <w:lang w:val="en-US" w:eastAsia="zh-CN"/>
        </w:rPr>
        <w:t>厂内原有设备技术参数表</w:t>
      </w:r>
    </w:p>
    <w:tbl>
      <w:tblPr>
        <w:tblStyle w:val="25"/>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15"/>
        <w:gridCol w:w="1185"/>
        <w:gridCol w:w="930"/>
        <w:gridCol w:w="945"/>
        <w:gridCol w:w="1957"/>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92" w:type="dxa"/>
            <w:noWrap/>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1</w:t>
            </w:r>
          </w:p>
        </w:tc>
        <w:tc>
          <w:tcPr>
            <w:tcW w:w="91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rPr>
              <w:t>电动蝶阀</w:t>
            </w:r>
          </w:p>
        </w:tc>
        <w:tc>
          <w:tcPr>
            <w:tcW w:w="118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DN900</w:t>
            </w:r>
          </w:p>
        </w:tc>
        <w:tc>
          <w:tcPr>
            <w:tcW w:w="930"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1120mm</w:t>
            </w:r>
          </w:p>
        </w:tc>
        <w:tc>
          <w:tcPr>
            <w:tcW w:w="94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330mm</w:t>
            </w:r>
          </w:p>
        </w:tc>
        <w:tc>
          <w:tcPr>
            <w:tcW w:w="1957" w:type="dxa"/>
            <w:vAlign w:val="center"/>
          </w:tcPr>
          <w:p>
            <w:pPr>
              <w:ind w:firstLine="0" w:firstLineChars="0"/>
              <w:jc w:val="both"/>
              <w:rPr>
                <w:rFonts w:hint="eastAsia" w:hAnsi="仿宋_GB2312" w:eastAsia="仿宋_GB2312" w:cs="仿宋_GB2312"/>
                <w:color w:val="auto"/>
                <w:spacing w:val="-6"/>
                <w:sz w:val="24"/>
                <w:szCs w:val="24"/>
                <w:highlight w:val="none"/>
                <w:lang w:val="en-US" w:eastAsia="zh-CN"/>
              </w:rPr>
            </w:pPr>
            <w:r>
              <w:rPr>
                <w:rFonts w:hint="eastAsia" w:hAnsi="仿宋_GB2312" w:eastAsia="仿宋_GB2312" w:cs="仿宋_GB2312"/>
                <w:color w:val="auto"/>
                <w:spacing w:val="-6"/>
                <w:sz w:val="24"/>
                <w:szCs w:val="24"/>
                <w:highlight w:val="none"/>
                <w:lang w:val="en-US" w:eastAsia="zh-CN"/>
              </w:rPr>
              <w:t>阀体材质：球墨铸铁；阀瓣材质：球墨铸铁；阀杆材质：不锈钢。</w:t>
            </w:r>
          </w:p>
        </w:tc>
        <w:tc>
          <w:tcPr>
            <w:tcW w:w="2033" w:type="dxa"/>
            <w:vAlign w:val="center"/>
          </w:tcPr>
          <w:p>
            <w:pPr>
              <w:ind w:firstLine="0" w:firstLineChars="0"/>
              <w:jc w:val="both"/>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蝶阀法兰孔径为33mm,共28个孔。其它技术参数，需供应商现场勘察测量。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657" w:type="dxa"/>
            <w:gridSpan w:val="7"/>
            <w:noWrap/>
            <w:vAlign w:val="center"/>
          </w:tcPr>
          <w:p>
            <w:pPr>
              <w:pStyle w:val="54"/>
              <w:ind w:left="0" w:leftChars="0"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eastAsia="仿宋_GB2312" w:cs="仿宋_GB2312"/>
                <w:color w:val="auto"/>
                <w:spacing w:val="-6"/>
                <w:sz w:val="24"/>
                <w:szCs w:val="24"/>
                <w:highlight w:val="none"/>
                <w:lang w:val="en-US" w:eastAsia="zh-CN"/>
              </w:rPr>
              <w:drawing>
                <wp:inline distT="0" distB="0" distL="114300" distR="114300">
                  <wp:extent cx="4524375" cy="2105025"/>
                  <wp:effectExtent l="0" t="0" r="9525" b="9525"/>
                  <wp:docPr id="8" name="图片 8" descr="165870965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8709652449"/>
                          <pic:cNvPicPr>
                            <a:picLocks noChangeAspect="1"/>
                          </pic:cNvPicPr>
                        </pic:nvPicPr>
                        <pic:blipFill>
                          <a:blip r:embed="rId12"/>
                          <a:stretch>
                            <a:fillRect/>
                          </a:stretch>
                        </pic:blipFill>
                        <pic:spPr>
                          <a:xfrm>
                            <a:off x="0" y="0"/>
                            <a:ext cx="4524375" cy="2105025"/>
                          </a:xfrm>
                          <a:prstGeom prst="rect">
                            <a:avLst/>
                          </a:prstGeom>
                        </pic:spPr>
                      </pic:pic>
                    </a:graphicData>
                  </a:graphic>
                </wp:inline>
              </w:drawing>
            </w:r>
          </w:p>
          <w:p>
            <w:pPr>
              <w:pStyle w:val="54"/>
              <w:ind w:left="0" w:leftChars="0" w:firstLine="0" w:firstLineChars="0"/>
              <w:jc w:val="center"/>
              <w:rPr>
                <w:color w:val="auto"/>
                <w:highlight w:val="none"/>
              </w:rPr>
            </w:pPr>
            <w:r>
              <w:rPr>
                <w:color w:val="auto"/>
                <w:highlight w:val="none"/>
              </w:rPr>
              <w:drawing>
                <wp:inline distT="0" distB="0" distL="114300" distR="114300">
                  <wp:extent cx="4552950" cy="2745740"/>
                  <wp:effectExtent l="0" t="0" r="0" b="16510"/>
                  <wp:docPr id="9" name="图片 2" descr="微信图片_2022070517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微信图片_20220705172605"/>
                          <pic:cNvPicPr>
                            <a:picLocks noChangeAspect="1"/>
                          </pic:cNvPicPr>
                        </pic:nvPicPr>
                        <pic:blipFill>
                          <a:blip r:embed="rId13"/>
                          <a:stretch>
                            <a:fillRect/>
                          </a:stretch>
                        </pic:blipFill>
                        <pic:spPr>
                          <a:xfrm>
                            <a:off x="0" y="0"/>
                            <a:ext cx="4552950" cy="2745740"/>
                          </a:xfrm>
                          <a:prstGeom prst="rect">
                            <a:avLst/>
                          </a:prstGeom>
                          <a:noFill/>
                          <a:ln w="9525">
                            <a:noFill/>
                          </a:ln>
                        </pic:spPr>
                      </pic:pic>
                    </a:graphicData>
                  </a:graphic>
                </wp:inline>
              </w:drawing>
            </w:r>
          </w:p>
          <w:p>
            <w:pPr>
              <w:pStyle w:val="54"/>
              <w:ind w:left="0" w:leftChars="0" w:firstLine="0" w:firstLineChars="0"/>
              <w:jc w:val="center"/>
              <w:rPr>
                <w:rFonts w:hint="eastAsia" w:hAnsi="仿宋_GB2312" w:eastAsia="仿宋_GB2312" w:cs="仿宋_GB2312"/>
                <w:b/>
                <w:bCs w:val="0"/>
                <w:color w:val="auto"/>
                <w:spacing w:val="-6"/>
                <w:szCs w:val="32"/>
                <w:highlight w:val="none"/>
                <w:lang w:val="en-US" w:eastAsia="zh-CN"/>
              </w:rPr>
            </w:pPr>
            <w:r>
              <w:rPr>
                <w:rFonts w:hint="eastAsia" w:hAnsi="仿宋_GB2312" w:eastAsia="仿宋_GB2312" w:cs="仿宋_GB2312"/>
                <w:b/>
                <w:bCs w:val="0"/>
                <w:color w:val="auto"/>
                <w:spacing w:val="-6"/>
                <w:szCs w:val="32"/>
                <w:highlight w:val="none"/>
                <w:lang w:val="en-US" w:eastAsia="zh-CN"/>
              </w:rPr>
              <w:drawing>
                <wp:inline distT="0" distB="0" distL="114300" distR="114300">
                  <wp:extent cx="4551045" cy="3412490"/>
                  <wp:effectExtent l="0" t="0" r="1905" b="16510"/>
                  <wp:docPr id="13" name="图片 13" descr="5b77ffc24f2601c33fba333d5aec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b77ffc24f2601c33fba333d5aeca14"/>
                          <pic:cNvPicPr>
                            <a:picLocks noChangeAspect="1"/>
                          </pic:cNvPicPr>
                        </pic:nvPicPr>
                        <pic:blipFill>
                          <a:blip r:embed="rId14"/>
                          <a:stretch>
                            <a:fillRect/>
                          </a:stretch>
                        </pic:blipFill>
                        <pic:spPr>
                          <a:xfrm>
                            <a:off x="0" y="0"/>
                            <a:ext cx="4551045" cy="3412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noWrap/>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92" w:type="dxa"/>
            <w:noWrap/>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2</w:t>
            </w:r>
          </w:p>
        </w:tc>
        <w:tc>
          <w:tcPr>
            <w:tcW w:w="91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阀门电动装置</w:t>
            </w:r>
          </w:p>
        </w:tc>
        <w:tc>
          <w:tcPr>
            <w:tcW w:w="1185"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AC380V 1.1kw</w:t>
            </w:r>
          </w:p>
        </w:tc>
        <w:tc>
          <w:tcPr>
            <w:tcW w:w="930"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945"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1957" w:type="dxa"/>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2033" w:type="dxa"/>
            <w:vAlign w:val="center"/>
          </w:tcPr>
          <w:p>
            <w:pPr>
              <w:ind w:firstLine="0" w:firstLineChars="0"/>
              <w:jc w:val="both"/>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657" w:type="dxa"/>
            <w:gridSpan w:val="7"/>
            <w:noWrap/>
            <w:vAlign w:val="center"/>
          </w:tcPr>
          <w:p>
            <w:pPr>
              <w:pStyle w:val="54"/>
              <w:ind w:left="0" w:leftChars="0"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drawing>
                <wp:inline distT="0" distB="0" distL="114300" distR="114300">
                  <wp:extent cx="4348480" cy="3030855"/>
                  <wp:effectExtent l="0" t="0" r="13970" b="17145"/>
                  <wp:docPr id="15" name="图片 15" descr="165870977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8709773527"/>
                          <pic:cNvPicPr>
                            <a:picLocks noChangeAspect="1"/>
                          </pic:cNvPicPr>
                        </pic:nvPicPr>
                        <pic:blipFill>
                          <a:blip r:embed="rId15"/>
                          <a:stretch>
                            <a:fillRect/>
                          </a:stretch>
                        </pic:blipFill>
                        <pic:spPr>
                          <a:xfrm>
                            <a:off x="0" y="0"/>
                            <a:ext cx="4348480" cy="30308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noWrap/>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692" w:type="dxa"/>
            <w:noWrap/>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3</w:t>
            </w:r>
          </w:p>
        </w:tc>
        <w:tc>
          <w:tcPr>
            <w:tcW w:w="91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蝶式</w:t>
            </w:r>
            <w:r>
              <w:rPr>
                <w:rFonts w:hint="eastAsia" w:hAnsi="仿宋_GB2312" w:cs="仿宋_GB2312"/>
                <w:color w:val="auto"/>
                <w:spacing w:val="-6"/>
                <w:sz w:val="24"/>
                <w:szCs w:val="24"/>
                <w:highlight w:val="none"/>
              </w:rPr>
              <w:t>止回阀</w:t>
            </w:r>
          </w:p>
        </w:tc>
        <w:tc>
          <w:tcPr>
            <w:tcW w:w="1185"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DN900</w:t>
            </w:r>
          </w:p>
        </w:tc>
        <w:tc>
          <w:tcPr>
            <w:tcW w:w="930"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1010mm</w:t>
            </w:r>
          </w:p>
        </w:tc>
        <w:tc>
          <w:tcPr>
            <w:tcW w:w="945" w:type="dxa"/>
            <w:vAlign w:val="center"/>
          </w:tcPr>
          <w:p>
            <w:pPr>
              <w:ind w:firstLine="0" w:firstLineChars="0"/>
              <w:jc w:val="center"/>
              <w:rPr>
                <w:rFonts w:hint="default"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241mm</w:t>
            </w:r>
          </w:p>
        </w:tc>
        <w:tc>
          <w:tcPr>
            <w:tcW w:w="1957" w:type="dxa"/>
            <w:vAlign w:val="center"/>
          </w:tcPr>
          <w:p>
            <w:pPr>
              <w:ind w:firstLine="0" w:firstLineChars="0"/>
              <w:jc w:val="left"/>
              <w:rPr>
                <w:rFonts w:hAnsi="仿宋_GB2312" w:cs="仿宋_GB2312"/>
                <w:color w:val="auto"/>
                <w:spacing w:val="-6"/>
                <w:sz w:val="24"/>
                <w:szCs w:val="24"/>
                <w:highlight w:val="none"/>
              </w:rPr>
            </w:pPr>
            <w:r>
              <w:rPr>
                <w:rFonts w:hint="eastAsia" w:hAnsi="仿宋_GB2312" w:eastAsia="仿宋_GB2312" w:cs="仿宋_GB2312"/>
                <w:color w:val="auto"/>
                <w:spacing w:val="-6"/>
                <w:sz w:val="24"/>
                <w:szCs w:val="24"/>
                <w:highlight w:val="none"/>
                <w:lang w:val="en-US" w:eastAsia="zh-CN"/>
              </w:rPr>
              <w:t>阀体材质：球墨铸铁；阀瓣材质：球墨铸铁；阀杆材质：不锈钢。</w:t>
            </w:r>
          </w:p>
        </w:tc>
        <w:tc>
          <w:tcPr>
            <w:tcW w:w="2033" w:type="dxa"/>
            <w:vAlign w:val="center"/>
          </w:tcPr>
          <w:p>
            <w:pPr>
              <w:ind w:firstLine="0" w:firstLineChars="0"/>
              <w:jc w:val="both"/>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蝶阀法兰孔径为39mm,共28个孔。其它技术参数，需供应商现场勘察测量。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8657" w:type="dxa"/>
            <w:gridSpan w:val="7"/>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324475" cy="2245995"/>
                  <wp:effectExtent l="0" t="0" r="9525" b="1905"/>
                  <wp:docPr id="16" name="图片 16" descr="165871001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8710019507"/>
                          <pic:cNvPicPr>
                            <a:picLocks noChangeAspect="1"/>
                          </pic:cNvPicPr>
                        </pic:nvPicPr>
                        <pic:blipFill>
                          <a:blip r:embed="rId16"/>
                          <a:stretch>
                            <a:fillRect/>
                          </a:stretch>
                        </pic:blipFill>
                        <pic:spPr>
                          <a:xfrm>
                            <a:off x="0" y="0"/>
                            <a:ext cx="5324475" cy="2245995"/>
                          </a:xfrm>
                          <a:prstGeom prst="rect">
                            <a:avLst/>
                          </a:prstGeom>
                        </pic:spPr>
                      </pic:pic>
                    </a:graphicData>
                  </a:graphic>
                </wp:inline>
              </w:drawing>
            </w:r>
          </w:p>
          <w:p>
            <w:pPr>
              <w:pStyle w:val="54"/>
              <w:rPr>
                <w:rFonts w:hint="eastAsia" w:hAnsi="仿宋_GB2312" w:cs="仿宋_GB2312"/>
                <w:color w:val="auto"/>
                <w:spacing w:val="-6"/>
                <w:sz w:val="24"/>
                <w:szCs w:val="24"/>
                <w:highlight w:val="none"/>
                <w:lang w:val="en-US" w:eastAsia="zh-CN"/>
              </w:rPr>
            </w:pPr>
          </w:p>
          <w:p>
            <w:pPr>
              <w:pStyle w:val="54"/>
              <w:jc w:val="center"/>
              <w:rPr>
                <w:rFonts w:hint="eastAsia" w:hAnsi="仿宋_GB2312" w:cs="仿宋_GB2312"/>
                <w:color w:val="auto"/>
                <w:spacing w:val="-6"/>
                <w:sz w:val="24"/>
                <w:szCs w:val="24"/>
                <w:highlight w:val="none"/>
                <w:lang w:val="en-US" w:eastAsia="zh-CN"/>
              </w:rPr>
            </w:pPr>
            <w:r>
              <w:rPr>
                <w:color w:val="auto"/>
                <w:highlight w:val="none"/>
              </w:rPr>
              <w:drawing>
                <wp:inline distT="0" distB="0" distL="114300" distR="114300">
                  <wp:extent cx="2982595" cy="3237865"/>
                  <wp:effectExtent l="0" t="0" r="8255" b="635"/>
                  <wp:docPr id="17" name="图片 1" descr="微信图片_2022070517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微信图片_20220705172601"/>
                          <pic:cNvPicPr>
                            <a:picLocks noChangeAspect="1"/>
                          </pic:cNvPicPr>
                        </pic:nvPicPr>
                        <pic:blipFill>
                          <a:blip r:embed="rId17"/>
                          <a:stretch>
                            <a:fillRect/>
                          </a:stretch>
                        </pic:blipFill>
                        <pic:spPr>
                          <a:xfrm>
                            <a:off x="0" y="0"/>
                            <a:ext cx="2982595" cy="3237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noWrap/>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序号</w:t>
            </w:r>
          </w:p>
        </w:tc>
        <w:tc>
          <w:tcPr>
            <w:tcW w:w="91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名称</w:t>
            </w:r>
          </w:p>
        </w:tc>
        <w:tc>
          <w:tcPr>
            <w:tcW w:w="118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rPr>
              <w:t>规格型号</w:t>
            </w:r>
          </w:p>
        </w:tc>
        <w:tc>
          <w:tcPr>
            <w:tcW w:w="930"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直径D</w:t>
            </w:r>
          </w:p>
        </w:tc>
        <w:tc>
          <w:tcPr>
            <w:tcW w:w="94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长度L</w:t>
            </w:r>
          </w:p>
        </w:tc>
        <w:tc>
          <w:tcPr>
            <w:tcW w:w="1957"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材质说明</w:t>
            </w:r>
          </w:p>
        </w:tc>
        <w:tc>
          <w:tcPr>
            <w:tcW w:w="2033"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692" w:type="dxa"/>
            <w:noWrap/>
            <w:vAlign w:val="center"/>
          </w:tcPr>
          <w:p>
            <w:pPr>
              <w:ind w:firstLine="0" w:firstLineChars="0"/>
              <w:jc w:val="center"/>
              <w:rPr>
                <w:rFonts w:hint="eastAsia" w:hAnsi="仿宋_GB2312" w:eastAsia="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4</w:t>
            </w:r>
          </w:p>
        </w:tc>
        <w:tc>
          <w:tcPr>
            <w:tcW w:w="915" w:type="dxa"/>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双法兰伸缩接头</w:t>
            </w:r>
          </w:p>
        </w:tc>
        <w:tc>
          <w:tcPr>
            <w:tcW w:w="118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DN900</w:t>
            </w:r>
          </w:p>
        </w:tc>
        <w:tc>
          <w:tcPr>
            <w:tcW w:w="930"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945" w:type="dxa"/>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1957" w:type="dxa"/>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w:t>
            </w:r>
          </w:p>
        </w:tc>
        <w:tc>
          <w:tcPr>
            <w:tcW w:w="2033" w:type="dxa"/>
            <w:vAlign w:val="center"/>
          </w:tcPr>
          <w:p>
            <w:pPr>
              <w:ind w:firstLine="0" w:firstLineChars="0"/>
              <w:jc w:val="both"/>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657" w:type="dxa"/>
            <w:gridSpan w:val="7"/>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auto"/>
                <w:highlight w:val="none"/>
                <w:lang w:val="en-US" w:eastAsia="zh-CN"/>
              </w:rPr>
            </w:pPr>
            <w:r>
              <w:rPr>
                <w:rFonts w:hint="eastAsia"/>
                <w:color w:val="auto"/>
                <w:highlight w:val="none"/>
                <w:lang w:val="en-US" w:eastAsia="zh-CN"/>
              </w:rPr>
              <w:drawing>
                <wp:inline distT="0" distB="0" distL="114300" distR="114300">
                  <wp:extent cx="5132705" cy="3054350"/>
                  <wp:effectExtent l="0" t="0" r="10795" b="12700"/>
                  <wp:docPr id="18" name="图片 18" descr="165882135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58821354541"/>
                          <pic:cNvPicPr>
                            <a:picLocks noChangeAspect="1"/>
                          </pic:cNvPicPr>
                        </pic:nvPicPr>
                        <pic:blipFill>
                          <a:blip r:embed="rId18"/>
                          <a:stretch>
                            <a:fillRect/>
                          </a:stretch>
                        </pic:blipFill>
                        <pic:spPr>
                          <a:xfrm>
                            <a:off x="0" y="0"/>
                            <a:ext cx="5132705" cy="3054350"/>
                          </a:xfrm>
                          <a:prstGeom prst="rect">
                            <a:avLst/>
                          </a:prstGeom>
                        </pic:spPr>
                      </pic:pic>
                    </a:graphicData>
                  </a:graphic>
                </wp:inline>
              </w:drawing>
            </w:r>
          </w:p>
          <w:p>
            <w:pPr>
              <w:pStyle w:val="54"/>
              <w:rPr>
                <w:rFonts w:hint="eastAsia"/>
                <w:color w:val="auto"/>
                <w:highlight w:val="none"/>
                <w:lang w:val="en-US" w:eastAsia="zh-CN"/>
              </w:rPr>
            </w:pPr>
          </w:p>
          <w:p>
            <w:pPr>
              <w:pStyle w:val="54"/>
              <w:rPr>
                <w:rFonts w:hint="eastAsia"/>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2" w:type="dxa"/>
            <w:tcBorders>
              <w:left w:val="single" w:color="auto" w:sz="4" w:space="0"/>
              <w:bottom w:val="single" w:color="auto" w:sz="4" w:space="0"/>
            </w:tcBorders>
            <w:noWrap/>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序号</w:t>
            </w:r>
          </w:p>
        </w:tc>
        <w:tc>
          <w:tcPr>
            <w:tcW w:w="915"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名称</w:t>
            </w:r>
          </w:p>
        </w:tc>
        <w:tc>
          <w:tcPr>
            <w:tcW w:w="1185"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rPr>
              <w:t>规格型号</w:t>
            </w:r>
          </w:p>
        </w:tc>
        <w:tc>
          <w:tcPr>
            <w:tcW w:w="930"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直径D</w:t>
            </w:r>
          </w:p>
        </w:tc>
        <w:tc>
          <w:tcPr>
            <w:tcW w:w="945"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长度L</w:t>
            </w:r>
          </w:p>
        </w:tc>
        <w:tc>
          <w:tcPr>
            <w:tcW w:w="1957" w:type="dxa"/>
            <w:tcBorders>
              <w:bottom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材质说明</w:t>
            </w:r>
          </w:p>
        </w:tc>
        <w:tc>
          <w:tcPr>
            <w:tcW w:w="2033" w:type="dxa"/>
            <w:tcBorders>
              <w:bottom w:val="single" w:color="auto" w:sz="4" w:space="0"/>
              <w:right w:val="single" w:color="auto" w:sz="4" w:space="0"/>
            </w:tcBorders>
            <w:vAlign w:val="center"/>
          </w:tcPr>
          <w:p>
            <w:pPr>
              <w:ind w:firstLine="0" w:firstLineChars="0"/>
              <w:jc w:val="center"/>
              <w:rPr>
                <w:rFonts w:hint="eastAsia" w:ascii="仿宋_GB2312" w:hAnsi="仿宋_GB2312" w:eastAsia="仿宋_GB2312" w:cs="仿宋_GB2312"/>
                <w:color w:val="auto"/>
                <w:spacing w:val="-6"/>
                <w:kern w:val="2"/>
                <w:sz w:val="24"/>
                <w:szCs w:val="24"/>
                <w:highlight w:val="none"/>
                <w:lang w:val="en-US" w:eastAsia="zh-CN" w:bidi="ar-SA"/>
              </w:rPr>
            </w:pPr>
            <w:r>
              <w:rPr>
                <w:rFonts w:hint="eastAsia" w:hAnsi="仿宋_GB2312" w:cs="仿宋_GB2312"/>
                <w:color w:val="auto"/>
                <w:spacing w:val="-6"/>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692" w:type="dxa"/>
            <w:tcBorders>
              <w:left w:val="single" w:color="auto" w:sz="4" w:space="0"/>
              <w:bottom w:val="single" w:color="auto" w:sz="4" w:space="0"/>
            </w:tcBorders>
            <w:noWrap/>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5</w:t>
            </w:r>
          </w:p>
        </w:tc>
        <w:tc>
          <w:tcPr>
            <w:tcW w:w="915" w:type="dxa"/>
            <w:tcBorders>
              <w:bottom w:val="single" w:color="auto" w:sz="4" w:space="0"/>
            </w:tcBorders>
            <w:vAlign w:val="center"/>
          </w:tcPr>
          <w:p>
            <w:pPr>
              <w:ind w:firstLine="0" w:firstLineChars="0"/>
              <w:jc w:val="center"/>
              <w:rPr>
                <w:rFonts w:hint="default"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可曲挠橡胶接头</w:t>
            </w:r>
          </w:p>
        </w:tc>
        <w:tc>
          <w:tcPr>
            <w:tcW w:w="1185" w:type="dxa"/>
            <w:tcBorders>
              <w:bottom w:val="single" w:color="auto" w:sz="4" w:space="0"/>
            </w:tcBorders>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DN900</w:t>
            </w:r>
          </w:p>
        </w:tc>
        <w:tc>
          <w:tcPr>
            <w:tcW w:w="930" w:type="dxa"/>
            <w:tcBorders>
              <w:bottom w:val="single" w:color="auto" w:sz="4" w:space="0"/>
            </w:tcBorders>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945" w:type="dxa"/>
            <w:tcBorders>
              <w:bottom w:val="single" w:color="auto" w:sz="4" w:space="0"/>
            </w:tcBorders>
            <w:vAlign w:val="center"/>
          </w:tcPr>
          <w:p>
            <w:pPr>
              <w:ind w:firstLine="0" w:firstLineChars="0"/>
              <w:jc w:val="center"/>
              <w:rPr>
                <w:rFonts w:hint="eastAsia" w:hAnsi="仿宋_GB2312" w:cs="仿宋_GB2312"/>
                <w:color w:val="auto"/>
                <w:spacing w:val="-6"/>
                <w:sz w:val="24"/>
                <w:szCs w:val="24"/>
                <w:highlight w:val="none"/>
                <w:lang w:val="en-US" w:eastAsia="zh-CN"/>
              </w:rPr>
            </w:pPr>
            <w:r>
              <w:rPr>
                <w:rFonts w:hint="eastAsia" w:hAnsi="仿宋_GB2312" w:cs="仿宋_GB2312"/>
                <w:color w:val="auto"/>
                <w:spacing w:val="-6"/>
                <w:sz w:val="24"/>
                <w:szCs w:val="24"/>
                <w:highlight w:val="none"/>
                <w:lang w:val="en-US" w:eastAsia="zh-CN"/>
              </w:rPr>
              <w:t>/</w:t>
            </w:r>
          </w:p>
        </w:tc>
        <w:tc>
          <w:tcPr>
            <w:tcW w:w="1957" w:type="dxa"/>
            <w:tcBorders>
              <w:bottom w:val="single" w:color="auto" w:sz="4" w:space="0"/>
            </w:tcBorders>
            <w:vAlign w:val="center"/>
          </w:tcPr>
          <w:p>
            <w:pPr>
              <w:ind w:firstLine="0" w:firstLineChars="0"/>
              <w:jc w:val="center"/>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w:t>
            </w:r>
          </w:p>
        </w:tc>
        <w:tc>
          <w:tcPr>
            <w:tcW w:w="2033" w:type="dxa"/>
            <w:tcBorders>
              <w:bottom w:val="single" w:color="auto" w:sz="4" w:space="0"/>
              <w:right w:val="single" w:color="auto" w:sz="4" w:space="0"/>
            </w:tcBorders>
            <w:vAlign w:val="center"/>
          </w:tcPr>
          <w:p>
            <w:pPr>
              <w:ind w:firstLine="0" w:firstLineChars="0"/>
              <w:jc w:val="both"/>
              <w:rPr>
                <w:rFonts w:hAnsi="仿宋_GB2312" w:cs="仿宋_GB2312"/>
                <w:color w:val="auto"/>
                <w:spacing w:val="-6"/>
                <w:sz w:val="24"/>
                <w:szCs w:val="24"/>
                <w:highlight w:val="none"/>
              </w:rPr>
            </w:pPr>
            <w:r>
              <w:rPr>
                <w:rFonts w:hint="eastAsia" w:hAnsi="仿宋_GB2312" w:cs="仿宋_GB2312"/>
                <w:color w:val="auto"/>
                <w:spacing w:val="-6"/>
                <w:sz w:val="24"/>
                <w:szCs w:val="24"/>
                <w:highlight w:val="none"/>
                <w:lang w:val="en-US" w:eastAsia="zh-CN"/>
              </w:rPr>
              <w:t>其它技术参数，需供应商现场勘察测量。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8657" w:type="dxa"/>
            <w:gridSpan w:val="7"/>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highlight w:val="none"/>
              </w:rPr>
            </w:pPr>
            <w:r>
              <w:rPr>
                <w:color w:val="auto"/>
                <w:highlight w:val="none"/>
              </w:rPr>
              <w:drawing>
                <wp:inline distT="0" distB="0" distL="114300" distR="114300">
                  <wp:extent cx="5334635" cy="996315"/>
                  <wp:effectExtent l="0" t="0" r="18415" b="133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9"/>
                          <a:stretch>
                            <a:fillRect/>
                          </a:stretch>
                        </pic:blipFill>
                        <pic:spPr>
                          <a:xfrm>
                            <a:off x="0" y="0"/>
                            <a:ext cx="5334635" cy="996315"/>
                          </a:xfrm>
                          <a:prstGeom prst="rect">
                            <a:avLst/>
                          </a:prstGeom>
                          <a:noFill/>
                          <a:ln>
                            <a:noFill/>
                          </a:ln>
                        </pic:spPr>
                      </pic:pic>
                    </a:graphicData>
                  </a:graphic>
                </wp:inline>
              </w:drawing>
            </w:r>
          </w:p>
          <w:p>
            <w:pPr>
              <w:pStyle w:val="54"/>
              <w:jc w:val="center"/>
              <w:rPr>
                <w:rFonts w:hint="eastAsia" w:eastAsia="仿宋_GB2312"/>
                <w:color w:val="auto"/>
                <w:highlight w:val="none"/>
                <w:lang w:eastAsia="zh-CN"/>
              </w:rPr>
            </w:pPr>
            <w:r>
              <w:rPr>
                <w:rFonts w:hint="eastAsia" w:eastAsia="仿宋_GB2312"/>
                <w:color w:val="auto"/>
                <w:highlight w:val="none"/>
                <w:lang w:eastAsia="zh-CN"/>
              </w:rPr>
              <w:drawing>
                <wp:inline distT="0" distB="0" distL="114300" distR="114300">
                  <wp:extent cx="3595370" cy="4796790"/>
                  <wp:effectExtent l="0" t="0" r="5080" b="3810"/>
                  <wp:docPr id="31" name="图片 31" descr="e83dd877d241d10a3db18ae5b4d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83dd877d241d10a3db18ae5b4dee13"/>
                          <pic:cNvPicPr>
                            <a:picLocks noChangeAspect="1"/>
                          </pic:cNvPicPr>
                        </pic:nvPicPr>
                        <pic:blipFill>
                          <a:blip r:embed="rId20"/>
                          <a:stretch>
                            <a:fillRect/>
                          </a:stretch>
                        </pic:blipFill>
                        <pic:spPr>
                          <a:xfrm>
                            <a:off x="0" y="0"/>
                            <a:ext cx="3595370" cy="4796790"/>
                          </a:xfrm>
                          <a:prstGeom prst="rect">
                            <a:avLst/>
                          </a:prstGeom>
                        </pic:spPr>
                      </pic:pic>
                    </a:graphicData>
                  </a:graphic>
                </wp:inline>
              </w:drawing>
            </w:r>
          </w:p>
          <w:p>
            <w:pPr>
              <w:pStyle w:val="54"/>
              <w:ind w:left="0" w:leftChars="0" w:firstLine="0" w:firstLineChars="0"/>
              <w:rPr>
                <w:rFonts w:hint="eastAsia"/>
                <w:color w:val="auto"/>
                <w:highlight w:val="none"/>
                <w:lang w:val="en-US" w:eastAsia="zh-CN"/>
              </w:rPr>
            </w:pPr>
          </w:p>
        </w:tc>
      </w:tr>
    </w:tbl>
    <w:p>
      <w:pPr>
        <w:pStyle w:val="54"/>
        <w:ind w:left="0" w:leftChars="0" w:firstLine="0" w:firstLineChars="0"/>
        <w:jc w:val="left"/>
        <w:rPr>
          <w:rFonts w:hint="eastAsia"/>
          <w:color w:val="auto"/>
          <w:highlight w:val="none"/>
          <w:lang w:val="en-US" w:eastAsia="zh-CN"/>
        </w:rPr>
      </w:pPr>
    </w:p>
    <w:p>
      <w:pPr>
        <w:pStyle w:val="54"/>
        <w:ind w:left="0" w:leftChars="0" w:firstLine="0" w:firstLineChars="0"/>
        <w:jc w:val="left"/>
        <w:rPr>
          <w:rFonts w:hint="eastAsia"/>
          <w:color w:val="auto"/>
          <w:highlight w:val="none"/>
          <w:lang w:val="en-US" w:eastAsia="zh-CN"/>
        </w:rPr>
      </w:pPr>
    </w:p>
    <w:p>
      <w:pPr>
        <w:pStyle w:val="54"/>
        <w:ind w:left="0" w:leftChars="0" w:firstLine="0" w:firstLineChars="0"/>
        <w:jc w:val="left"/>
        <w:rPr>
          <w:rFonts w:hint="eastAsia"/>
          <w:color w:val="auto"/>
          <w:highlight w:val="none"/>
          <w:lang w:val="en-US" w:eastAsia="zh-CN"/>
        </w:rPr>
      </w:pPr>
    </w:p>
    <w:p>
      <w:pPr>
        <w:pStyle w:val="54"/>
        <w:ind w:left="0" w:leftChars="0" w:firstLine="0" w:firstLineChars="0"/>
        <w:jc w:val="center"/>
        <w:rPr>
          <w:rFonts w:hint="default"/>
          <w:b/>
          <w:bCs/>
          <w:color w:val="auto"/>
          <w:highlight w:val="none"/>
          <w:lang w:val="en-US" w:eastAsia="zh-CN"/>
        </w:rPr>
      </w:pPr>
      <w:r>
        <w:rPr>
          <w:rFonts w:hint="eastAsia"/>
          <w:b/>
          <w:bCs/>
          <w:color w:val="auto"/>
          <w:highlight w:val="none"/>
          <w:lang w:val="en-US" w:eastAsia="zh-CN"/>
        </w:rPr>
        <w:t>GB/T 9113-2010</w:t>
      </w:r>
      <w:r>
        <w:rPr>
          <w:rFonts w:hint="eastAsia" w:hAnsi="仿宋_GB2312" w:cs="仿宋_GB2312"/>
          <w:b/>
          <w:bCs/>
          <w:color w:val="auto"/>
          <w:spacing w:val="-6"/>
          <w:szCs w:val="32"/>
          <w:highlight w:val="none"/>
          <w:lang w:val="en-US" w:eastAsia="zh-CN"/>
        </w:rPr>
        <w:t>《整体钢制管法兰》</w:t>
      </w:r>
      <w:r>
        <w:rPr>
          <w:color w:val="auto"/>
          <w:highlight w:val="none"/>
        </w:rPr>
        <w:drawing>
          <wp:inline distT="0" distB="0" distL="114300" distR="114300">
            <wp:extent cx="5508625" cy="7221855"/>
            <wp:effectExtent l="0" t="0" r="15875" b="1714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1"/>
                    <a:stretch>
                      <a:fillRect/>
                    </a:stretch>
                  </pic:blipFill>
                  <pic:spPr>
                    <a:xfrm>
                      <a:off x="0" y="0"/>
                      <a:ext cx="5508625" cy="7221855"/>
                    </a:xfrm>
                    <a:prstGeom prst="rect">
                      <a:avLst/>
                    </a:prstGeom>
                    <a:noFill/>
                    <a:ln>
                      <a:noFill/>
                    </a:ln>
                  </pic:spPr>
                </pic:pic>
              </a:graphicData>
            </a:graphic>
          </wp:inline>
        </w:drawing>
      </w:r>
    </w:p>
    <w:p>
      <w:pPr>
        <w:pStyle w:val="14"/>
        <w:rPr>
          <w:rFonts w:hint="default"/>
          <w:color w:val="auto"/>
          <w:highlight w:val="none"/>
          <w:lang w:val="en-US" w:eastAsia="zh-CN"/>
        </w:rPr>
      </w:pPr>
      <w:r>
        <w:rPr>
          <w:color w:val="auto"/>
          <w:highlight w:val="none"/>
        </w:rPr>
        <w:drawing>
          <wp:inline distT="0" distB="0" distL="114300" distR="114300">
            <wp:extent cx="5268595" cy="7696835"/>
            <wp:effectExtent l="0" t="0" r="8255" b="1841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2"/>
                    <a:stretch>
                      <a:fillRect/>
                    </a:stretch>
                  </pic:blipFill>
                  <pic:spPr>
                    <a:xfrm>
                      <a:off x="0" y="0"/>
                      <a:ext cx="5268595" cy="7696835"/>
                    </a:xfrm>
                    <a:prstGeom prst="rect">
                      <a:avLst/>
                    </a:prstGeom>
                    <a:noFill/>
                    <a:ln>
                      <a:noFill/>
                    </a:ln>
                  </pic:spPr>
                </pic:pic>
              </a:graphicData>
            </a:graphic>
          </wp:inline>
        </w:drawing>
      </w:r>
      <w:r>
        <w:rPr>
          <w:color w:val="auto"/>
          <w:highlight w:val="none"/>
        </w:rPr>
        <w:drawing>
          <wp:inline distT="0" distB="0" distL="114300" distR="114300">
            <wp:extent cx="5353050" cy="7842885"/>
            <wp:effectExtent l="0" t="0" r="0" b="571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3"/>
                    <a:stretch>
                      <a:fillRect/>
                    </a:stretch>
                  </pic:blipFill>
                  <pic:spPr>
                    <a:xfrm>
                      <a:off x="0" y="0"/>
                      <a:ext cx="5353050" cy="7842885"/>
                    </a:xfrm>
                    <a:prstGeom prst="rect">
                      <a:avLst/>
                    </a:prstGeom>
                    <a:noFill/>
                    <a:ln>
                      <a:noFill/>
                    </a:ln>
                  </pic:spPr>
                </pic:pic>
              </a:graphicData>
            </a:graphic>
          </wp:inline>
        </w:drawing>
      </w:r>
    </w:p>
    <w:p>
      <w:pPr>
        <w:pStyle w:val="13"/>
        <w:adjustRightInd w:val="0"/>
        <w:snapToGrid w:val="0"/>
        <w:spacing w:line="520" w:lineRule="exact"/>
        <w:rPr>
          <w:rFonts w:hint="eastAsia"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项目商务要求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1.货期：</w:t>
      </w:r>
      <w:r>
        <w:rPr>
          <w:rFonts w:hint="eastAsia" w:ascii="仿宋_GB2312" w:hAnsi="仿宋_GB2312" w:eastAsia="仿宋_GB2312" w:cs="仿宋_GB2312"/>
          <w:color w:val="auto"/>
          <w:sz w:val="28"/>
          <w:szCs w:val="28"/>
          <w:highlight w:val="none"/>
          <w:lang w:val="en-US" w:eastAsia="zh-CN"/>
        </w:rPr>
        <w:t>在供货期内完成供货</w:t>
      </w:r>
      <w:r>
        <w:rPr>
          <w:rFonts w:hint="eastAsia" w:ascii="仿宋_GB2312" w:hAnsi="仿宋_GB2312" w:eastAsia="仿宋_GB2312" w:cs="仿宋_GB2312"/>
          <w:color w:val="auto"/>
          <w:sz w:val="28"/>
          <w:szCs w:val="28"/>
          <w:highlight w:val="none"/>
        </w:rPr>
        <w:t xml:space="preserve">。 </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2.质量保证及售后服务：</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（1）使用的各种材料必须符合设计和规范要求。</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（2）各种构件在运输过程中必须有可靠的保护措施。构件外观表面无明显的凹面和损伤。焊疤、飞溅物、毛刺应清理干净。</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（3）必须用合格焊工。焊接、防锈、安装精度必须合格。</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）确保货物为原装未拆封或未使用的产品；</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）货物在质保期为自供货验收合格之日起1年内免费提供维保服务。</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rPr>
        <w:t>）质保期如有质量问题，报价人必须24小时内派技术人员免费到现场进行维修。</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rPr>
        <w:t>）报价人所供货物应为制造商原装出厂包装，包装须符合同等相关标准，因包装不良造成的损失由报价人负责。</w:t>
      </w:r>
    </w:p>
    <w:p>
      <w:pPr>
        <w:autoSpaceDE w:val="0"/>
        <w:autoSpaceDN w:val="0"/>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）报价人负责将产品送到现场过程中的全部运输，包括装卸车、货物现场的搬运等。</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.总包及分包规定：</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承包单位不许转包，不许擅自分包,</w:t>
      </w:r>
      <w:r>
        <w:rPr>
          <w:rFonts w:hint="eastAsia" w:ascii="仿宋_GB2312" w:hAnsi="仿宋_GB2312" w:eastAsia="仿宋_GB2312" w:cs="仿宋_GB2312"/>
          <w:bCs/>
          <w:color w:val="auto"/>
          <w:sz w:val="28"/>
          <w:szCs w:val="28"/>
          <w:highlight w:val="none"/>
        </w:rPr>
        <w:t xml:space="preserve"> </w:t>
      </w:r>
      <w:r>
        <w:rPr>
          <w:rFonts w:hint="eastAsia" w:ascii="仿宋_GB2312" w:hAnsi="仿宋_GB2312" w:eastAsia="仿宋_GB2312" w:cs="仿宋_GB2312"/>
          <w:color w:val="auto"/>
          <w:sz w:val="28"/>
          <w:szCs w:val="28"/>
          <w:highlight w:val="none"/>
        </w:rPr>
        <w:t>否则，发包人有权单方面终止合同，并令其立即退场，由此而造成的经济损失由承包单位负责赔偿。</w:t>
      </w:r>
    </w:p>
    <w:p>
      <w:pPr>
        <w:pStyle w:val="22"/>
        <w:shd w:val="clear" w:color="auto" w:fill="FFFFFF"/>
        <w:spacing w:before="0" w:beforeAutospacing="0" w:after="0" w:afterAutospacing="0" w:line="520" w:lineRule="exact"/>
        <w:ind w:firstLine="560" w:firstLineChars="200"/>
        <w:jc w:val="both"/>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6.询价人将自承包人履行完合同义务之日起15个工作日内组织验收，验收要求、验收标准及方法如下：</w:t>
      </w:r>
    </w:p>
    <w:p>
      <w:pPr>
        <w:pStyle w:val="22"/>
        <w:shd w:val="clear" w:color="auto" w:fill="FFFFFF"/>
        <w:spacing w:before="0" w:beforeAutospacing="0" w:after="0" w:afterAutospacing="0"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（1）验收依据：询价文件、询价响应文件、厂家货物技术标准说明及国家有关的质量标准规定，均为验收依据。</w:t>
      </w:r>
    </w:p>
    <w:p>
      <w:pPr>
        <w:pStyle w:val="22"/>
        <w:shd w:val="clear" w:color="auto" w:fill="FFFFFF"/>
        <w:spacing w:before="0" w:beforeAutospacing="0" w:after="0" w:afterAutospacing="0"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color w:val="auto"/>
          <w:sz w:val="28"/>
          <w:szCs w:val="28"/>
          <w:highlight w:val="none"/>
          <w:shd w:val="clear" w:color="auto" w:fill="FFFFFF"/>
          <w:lang w:val="en-US" w:eastAsia="zh-CN"/>
        </w:rPr>
        <w:t>2</w:t>
      </w:r>
      <w:r>
        <w:rPr>
          <w:rFonts w:hint="eastAsia" w:ascii="仿宋_GB2312" w:hAnsi="仿宋_GB2312" w:eastAsia="仿宋_GB2312" w:cs="仿宋_GB2312"/>
          <w:color w:val="auto"/>
          <w:sz w:val="28"/>
          <w:szCs w:val="28"/>
          <w:highlight w:val="none"/>
          <w:shd w:val="clear" w:color="auto" w:fill="FFFFFF"/>
        </w:rPr>
        <w:t>）发包人有权委托我国相关具有检验资质的部门、单位、机构针对维修后设备的精度、性能进行检验。其检验结果将作为验收标准的组成部分之一。</w:t>
      </w:r>
    </w:p>
    <w:p>
      <w:pPr>
        <w:pStyle w:val="22"/>
        <w:shd w:val="clear" w:color="auto" w:fill="FFFFFF"/>
        <w:spacing w:before="0" w:beforeAutospacing="0" w:after="0" w:afterAutospacing="0"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color w:val="auto"/>
          <w:sz w:val="28"/>
          <w:szCs w:val="28"/>
          <w:highlight w:val="none"/>
          <w:shd w:val="clear" w:color="auto" w:fill="FFFFFF"/>
          <w:lang w:val="en-US" w:eastAsia="zh-CN"/>
        </w:rPr>
        <w:t>3</w:t>
      </w:r>
      <w:r>
        <w:rPr>
          <w:rFonts w:hint="eastAsia" w:ascii="仿宋_GB2312" w:hAnsi="仿宋_GB2312" w:eastAsia="仿宋_GB2312" w:cs="仿宋_GB2312"/>
          <w:color w:val="auto"/>
          <w:sz w:val="28"/>
          <w:szCs w:val="28"/>
          <w:highlight w:val="none"/>
          <w:shd w:val="clear" w:color="auto" w:fill="FFFFFF"/>
        </w:rPr>
        <w:t>）验收时承包单位必须派代表参加。</w:t>
      </w:r>
    </w:p>
    <w:p>
      <w:pPr>
        <w:pStyle w:val="7"/>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shd w:val="clear" w:color="auto" w:fill="FFFFFF"/>
        </w:rPr>
        <w:t>（</w:t>
      </w:r>
      <w:r>
        <w:rPr>
          <w:rFonts w:hint="eastAsia" w:ascii="仿宋_GB2312" w:hAnsi="仿宋_GB2312" w:eastAsia="仿宋_GB2312" w:cs="仿宋_GB2312"/>
          <w:color w:val="auto"/>
          <w:sz w:val="28"/>
          <w:szCs w:val="28"/>
          <w:highlight w:val="none"/>
          <w:shd w:val="clear" w:color="auto" w:fill="FFFFFF"/>
          <w:lang w:val="en-US" w:eastAsia="zh-CN"/>
        </w:rPr>
        <w:t>4</w:t>
      </w:r>
      <w:r>
        <w:rPr>
          <w:rFonts w:hint="eastAsia" w:ascii="仿宋_GB2312" w:hAnsi="仿宋_GB2312" w:eastAsia="仿宋_GB2312" w:cs="仿宋_GB2312"/>
          <w:color w:val="auto"/>
          <w:sz w:val="28"/>
          <w:szCs w:val="28"/>
          <w:highlight w:val="none"/>
          <w:shd w:val="clear" w:color="auto" w:fill="FFFFFF"/>
        </w:rPr>
        <w:t>）验收过程所发生的一切费用由承包单位承担。</w:t>
      </w:r>
    </w:p>
    <w:p>
      <w:pPr>
        <w:spacing w:line="52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7.付款方式：银行汇票形式。</w:t>
      </w:r>
    </w:p>
    <w:p>
      <w:pPr>
        <w:spacing w:line="520" w:lineRule="exact"/>
        <w:ind w:firstLine="560" w:firstLineChars="200"/>
        <w:rPr>
          <w:rFonts w:ascii="仿宋_GB2312" w:hAnsi="仿宋_GB2312" w:eastAsia="仿宋_GB2312" w:cs="仿宋_GB2312"/>
          <w:color w:val="auto"/>
          <w:sz w:val="28"/>
          <w:szCs w:val="28"/>
          <w:highlight w:val="none"/>
          <w:lang w:val="zh-CN"/>
        </w:rPr>
      </w:pPr>
      <w:r>
        <w:rPr>
          <w:rFonts w:hint="eastAsia" w:ascii="仿宋_GB2312" w:hAnsi="仿宋_GB2312" w:eastAsia="仿宋_GB2312" w:cs="仿宋_GB2312"/>
          <w:color w:val="auto"/>
          <w:sz w:val="28"/>
          <w:szCs w:val="28"/>
          <w:highlight w:val="none"/>
        </w:rPr>
        <w:t>8.承包方式：</w:t>
      </w:r>
      <w:r>
        <w:rPr>
          <w:rFonts w:hint="eastAsia" w:ascii="仿宋_GB2312" w:hAnsi="仿宋_GB2312" w:eastAsia="仿宋_GB2312" w:cs="仿宋_GB2312"/>
          <w:color w:val="auto"/>
          <w:sz w:val="28"/>
          <w:szCs w:val="28"/>
          <w:highlight w:val="none"/>
          <w:lang w:val="zh-CN"/>
        </w:rPr>
        <w:t>单价包干。</w:t>
      </w:r>
    </w:p>
    <w:bookmarkEnd w:id="73"/>
    <w:p>
      <w:pPr>
        <w:widowControl/>
        <w:jc w:val="left"/>
        <w:rPr>
          <w:rFonts w:ascii="宋体" w:hAnsi="宋体" w:eastAsia="等线" w:cs="Times New Roman"/>
          <w:color w:val="auto"/>
          <w:kern w:val="0"/>
          <w:sz w:val="24"/>
          <w:szCs w:val="24"/>
          <w:highlight w:val="none"/>
        </w:rPr>
      </w:pPr>
      <w:bookmarkStart w:id="74" w:name="_Toc15570"/>
      <w:bookmarkStart w:id="75" w:name="_Toc29835"/>
      <w:bookmarkStart w:id="76" w:name="_Toc1496"/>
      <w:bookmarkStart w:id="77" w:name="_Toc25925"/>
      <w:bookmarkStart w:id="78" w:name="_Toc18538"/>
      <w:bookmarkStart w:id="79" w:name="_Toc23330"/>
      <w:bookmarkStart w:id="80" w:name="_Toc12135"/>
      <w:bookmarkStart w:id="81" w:name="_Toc23353"/>
      <w:bookmarkStart w:id="82" w:name="_Toc4680"/>
      <w:bookmarkStart w:id="83" w:name="_Toc537"/>
      <w:bookmarkStart w:id="84" w:name="_Toc1284"/>
      <w:r>
        <w:rPr>
          <w:rFonts w:ascii="宋体" w:hAnsi="宋体" w:eastAsia="等线" w:cs="Times New Roman"/>
          <w:bCs/>
          <w:color w:val="auto"/>
          <w:kern w:val="0"/>
          <w:sz w:val="24"/>
          <w:szCs w:val="24"/>
          <w:highlight w:val="none"/>
        </w:rPr>
        <w:br w:type="page"/>
      </w:r>
    </w:p>
    <w:p>
      <w:pPr>
        <w:pStyle w:val="4"/>
        <w:jc w:val="both"/>
        <w:rPr>
          <w:rFonts w:hint="eastAsia" w:ascii="宋体" w:hAnsi="宋体" w:eastAsia="等线" w:cs="Times New Roman"/>
          <w:bCs w:val="0"/>
          <w:color w:val="auto"/>
          <w:kern w:val="0"/>
          <w:sz w:val="24"/>
          <w:szCs w:val="24"/>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481965</wp:posOffset>
                </wp:positionV>
                <wp:extent cx="958850" cy="0"/>
                <wp:effectExtent l="0" t="0" r="12700" b="19050"/>
                <wp:wrapNone/>
                <wp:docPr id="11" name="AutoShape 9"/>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9" o:spid="_x0000_s1026" o:spt="32" type="#_x0000_t32" style="position:absolute;left:0pt;margin-left:181.6pt;margin-top:37.95pt;height:0pt;width:75.5pt;z-index:251665408;mso-width-relative:page;mso-height-relative:page;" filled="f" stroked="t" coordsize="21600,21600" o:gfxdata="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sM03tcAAAAJAQAADwAAAAAAAAABACAAAAAi&#10;AAAAZHJzL2Rvd25yZXYueG1sUEsBAhQAFAAAAAgAh07iQELmozTSAQAAsgMAAA4AAAAAAAAAAQAg&#10;AAAAJgEAAGRycy9lMm9Eb2MueG1sUEsFBgAAAAAGAAYAWQEAAGo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89535</wp:posOffset>
                </wp:positionV>
                <wp:extent cx="958850" cy="0"/>
                <wp:effectExtent l="0" t="0" r="12700" b="19050"/>
                <wp:wrapNone/>
                <wp:docPr id="10" name="AutoShape 8"/>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8" o:spid="_x0000_s1026" o:spt="32" type="#_x0000_t32" style="position:absolute;left:0pt;margin-left:183.1pt;margin-top:7.05pt;height:0pt;width:75.5pt;z-index:251664384;mso-width-relative:page;mso-height-relative:page;" filled="f" stroked="t" coordsize="21600,21600" o:gfxdata="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wsxt1gAAAAkBAAAPAAAAAAAAAAEAIAAAACIA&#10;AABkcnMvZG93bnJldi54bWxQSwECFAAUAAAACACHTuJAaRkJitIBAACyAwAADgAAAAAAAAABACAA&#10;AAAlAQAAZHJzL2Uyb0RvYy54bWxQSwUGAAAAAAYABgBZAQAAaQUAAAAA&#10;">
                <v:fill on="f" focussize="0,0"/>
                <v:stroke color="#000000" joinstyle="round"/>
                <v:imagedata o:title=""/>
                <o:lock v:ext="edit" aspectratio="f"/>
              </v:shape>
            </w:pict>
          </mc:Fallback>
        </mc:AlternateContent>
      </w:r>
      <w:r>
        <w:rPr>
          <w:rFonts w:hint="eastAsia"/>
          <w:color w:val="auto"/>
          <w:highlight w:val="none"/>
        </w:rPr>
        <w:t>第六章</w:t>
      </w:r>
      <w:bookmarkEnd w:id="74"/>
      <w:bookmarkEnd w:id="75"/>
      <w:bookmarkEnd w:id="76"/>
      <w:bookmarkEnd w:id="77"/>
      <w:bookmarkEnd w:id="78"/>
      <w:bookmarkEnd w:id="79"/>
      <w:bookmarkEnd w:id="80"/>
      <w:bookmarkEnd w:id="81"/>
      <w:bookmarkEnd w:id="82"/>
      <w:bookmarkEnd w:id="83"/>
      <w:bookmarkEnd w:id="84"/>
    </w:p>
    <w:p>
      <w:pPr>
        <w:pStyle w:val="41"/>
        <w:rPr>
          <w:color w:val="auto"/>
          <w:highlight w:val="none"/>
        </w:rPr>
      </w:pPr>
    </w:p>
    <w:p>
      <w:pPr>
        <w:pStyle w:val="4"/>
        <w:rPr>
          <w:color w:val="auto"/>
          <w:highlight w:val="none"/>
        </w:rPr>
      </w:pPr>
      <w:bookmarkStart w:id="85" w:name="_Toc22797"/>
      <w:bookmarkStart w:id="86" w:name="_Toc22501"/>
      <w:bookmarkStart w:id="87" w:name="_Toc1375"/>
      <w:bookmarkStart w:id="88" w:name="_Toc12721"/>
      <w:bookmarkStart w:id="89" w:name="_Toc323"/>
      <w:bookmarkStart w:id="90" w:name="_Toc12980"/>
      <w:bookmarkStart w:id="91" w:name="_Toc88209949"/>
      <w:bookmarkStart w:id="92" w:name="_Toc19088"/>
      <w:bookmarkStart w:id="93" w:name="_Toc8183"/>
      <w:bookmarkStart w:id="94" w:name="_Toc12968"/>
      <w:bookmarkStart w:id="95" w:name="_Toc87616386"/>
      <w:bookmarkStart w:id="96" w:name="_Toc19686"/>
      <w:bookmarkStart w:id="97" w:name="_Toc13309"/>
      <w:r>
        <w:rPr>
          <w:rFonts w:hint="eastAsia"/>
          <w:color w:val="auto"/>
          <w:highlight w:val="none"/>
        </w:rPr>
        <w:t>合同</w:t>
      </w:r>
      <w:bookmarkEnd w:id="85"/>
      <w:bookmarkEnd w:id="86"/>
      <w:bookmarkEnd w:id="87"/>
      <w:bookmarkEnd w:id="88"/>
      <w:bookmarkEnd w:id="89"/>
      <w:bookmarkEnd w:id="90"/>
      <w:bookmarkEnd w:id="91"/>
      <w:bookmarkEnd w:id="92"/>
      <w:bookmarkEnd w:id="93"/>
      <w:bookmarkEnd w:id="94"/>
      <w:bookmarkEnd w:id="95"/>
      <w:bookmarkEnd w:id="96"/>
      <w:bookmarkEnd w:id="97"/>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28"/>
          <w:szCs w:val="28"/>
          <w:highlight w:val="none"/>
        </w:rPr>
      </w:pPr>
    </w:p>
    <w:p>
      <w:pPr>
        <w:adjustRightInd w:val="0"/>
        <w:snapToGrid w:val="0"/>
        <w:spacing w:before="156" w:beforeLines="50" w:after="156" w:afterLines="50" w:line="600" w:lineRule="exact"/>
        <w:jc w:val="center"/>
        <w:rPr>
          <w:rFonts w:ascii="方正小标宋简体" w:eastAsia="方正小标宋简体"/>
          <w:color w:val="auto"/>
          <w:sz w:val="28"/>
          <w:szCs w:val="28"/>
          <w:highlight w:val="none"/>
        </w:rPr>
      </w:pPr>
    </w:p>
    <w:p>
      <w:pPr>
        <w:adjustRightInd w:val="0"/>
        <w:snapToGrid w:val="0"/>
        <w:spacing w:before="156" w:beforeLines="50" w:after="156" w:afterLines="50" w:line="600" w:lineRule="exact"/>
        <w:jc w:val="center"/>
        <w:rPr>
          <w:rFonts w:ascii="方正小标宋简体" w:eastAsia="方正小标宋简体"/>
          <w:color w:val="auto"/>
          <w:sz w:val="28"/>
          <w:szCs w:val="28"/>
          <w:highlight w:val="none"/>
        </w:rPr>
      </w:pPr>
    </w:p>
    <w:p>
      <w:pPr>
        <w:widowControl/>
        <w:jc w:val="left"/>
        <w:rPr>
          <w:rFonts w:ascii="方正小标宋简体" w:eastAsia="方正小标宋简体"/>
          <w:color w:val="auto"/>
          <w:sz w:val="28"/>
          <w:szCs w:val="28"/>
          <w:highlight w:val="none"/>
        </w:rPr>
      </w:pPr>
      <w:r>
        <w:rPr>
          <w:rFonts w:ascii="方正小标宋简体" w:eastAsia="方正小标宋简体"/>
          <w:color w:val="auto"/>
          <w:sz w:val="28"/>
          <w:szCs w:val="28"/>
          <w:highlight w:val="none"/>
        </w:rPr>
        <w:br w:type="page"/>
      </w:r>
    </w:p>
    <w:p>
      <w:pPr>
        <w:widowControl w:val="0"/>
        <w:spacing w:after="0" w:line="400" w:lineRule="atLeast"/>
        <w:jc w:val="center"/>
        <w:rPr>
          <w:rFonts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pPr>
      <w: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t>广州市净水有限公司</w:t>
      </w:r>
    </w:p>
    <w:p>
      <w:pPr>
        <w:widowControl w:val="0"/>
        <w:spacing w:after="0" w:line="400" w:lineRule="atLeast"/>
        <w:jc w:val="cente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pPr>
      <w:r>
        <w:rPr>
          <w:rFonts w:hint="eastAsia" w:ascii="宋体" w:hAnsi="宋体" w:cs="Times New Roman"/>
          <w:b/>
          <w:color w:val="auto"/>
          <w:sz w:val="48"/>
          <w:szCs w:val="48"/>
          <w:highlight w:val="none"/>
          <w14:shadow w14:blurRad="50800" w14:dist="38100" w14:dir="2700000" w14:sx="100000" w14:sy="100000" w14:kx="0" w14:ky="0" w14:algn="tl">
            <w14:srgbClr w14:val="000000">
              <w14:alpha w14:val="60000"/>
            </w14:srgbClr>
          </w14:shadow>
        </w:rPr>
        <w:t>设备采购合同</w:t>
      </w:r>
    </w:p>
    <w:p>
      <w:pPr>
        <w:jc w:val="center"/>
        <w:rPr>
          <w:color w:val="auto"/>
          <w:sz w:val="30"/>
          <w:highlight w:val="none"/>
        </w:rPr>
      </w:pPr>
    </w:p>
    <w:p>
      <w:pPr>
        <w:pStyle w:val="2"/>
        <w:ind w:firstLine="600"/>
        <w:rPr>
          <w:rFonts w:hint="default"/>
          <w:color w:val="auto"/>
          <w:sz w:val="30"/>
          <w:highlight w:val="none"/>
        </w:rPr>
      </w:pPr>
    </w:p>
    <w:p>
      <w:pPr>
        <w:pStyle w:val="2"/>
        <w:ind w:firstLine="600"/>
        <w:rPr>
          <w:rFonts w:hint="default"/>
          <w:color w:val="auto"/>
          <w:sz w:val="30"/>
          <w:highlight w:val="none"/>
        </w:rPr>
      </w:pPr>
    </w:p>
    <w:p>
      <w:pPr>
        <w:rPr>
          <w:b/>
          <w:bCs/>
          <w:color w:val="auto"/>
          <w:sz w:val="30"/>
          <w:highlight w:val="none"/>
        </w:rPr>
      </w:pPr>
    </w:p>
    <w:p>
      <w:pPr>
        <w:spacing w:line="480" w:lineRule="auto"/>
        <w:rPr>
          <w:rFonts w:hint="eastAsia" w:ascii="宋体" w:hAnsi="宋体" w:cs="宋体" w:eastAsiaTheme="minorEastAsia"/>
          <w:b/>
          <w:bCs/>
          <w:color w:val="auto"/>
          <w:sz w:val="30"/>
          <w:highlight w:val="none"/>
          <w:lang w:eastAsia="zh-CN"/>
        </w:rPr>
      </w:pPr>
      <w:r>
        <w:rPr>
          <w:rFonts w:hint="eastAsia" w:ascii="宋体" w:hAnsi="宋体" w:cs="宋体"/>
          <w:b/>
          <w:bCs/>
          <w:color w:val="auto"/>
          <w:sz w:val="30"/>
          <w:highlight w:val="none"/>
        </w:rPr>
        <w:t>项目名称：</w:t>
      </w:r>
      <w:r>
        <w:rPr>
          <w:rFonts w:hint="eastAsia" w:ascii="宋体" w:hAnsi="宋体" w:cs="宋体"/>
          <w:b/>
          <w:bCs/>
          <w:color w:val="auto"/>
          <w:sz w:val="30"/>
          <w:highlight w:val="none"/>
          <w:lang w:eastAsia="zh-CN"/>
        </w:rPr>
        <w:t>广州市净水有限公司2022年猎德、大坦沙、大观分公司阀门采购项目（第二次）</w:t>
      </w: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项目编号：</w:t>
      </w:r>
    </w:p>
    <w:p>
      <w:pPr>
        <w:spacing w:line="480" w:lineRule="auto"/>
        <w:rPr>
          <w:rFonts w:ascii="宋体" w:hAnsi="宋体" w:cs="宋体"/>
          <w:b/>
          <w:bCs/>
          <w:color w:val="auto"/>
          <w:sz w:val="30"/>
          <w:highlight w:val="none"/>
        </w:rPr>
      </w:pPr>
    </w:p>
    <w:p>
      <w:pPr>
        <w:spacing w:line="480" w:lineRule="auto"/>
        <w:rPr>
          <w:rFonts w:ascii="宋体" w:hAnsi="宋体" w:cs="宋体"/>
          <w:b/>
          <w:bCs/>
          <w:color w:val="auto"/>
          <w:sz w:val="30"/>
          <w:szCs w:val="30"/>
          <w:highlight w:val="none"/>
        </w:rPr>
      </w:pPr>
      <w:r>
        <w:rPr>
          <w:rFonts w:hint="eastAsia" w:ascii="宋体" w:hAnsi="宋体" w:cs="宋体"/>
          <w:b/>
          <w:bCs/>
          <w:color w:val="auto"/>
          <w:sz w:val="30"/>
          <w:highlight w:val="none"/>
        </w:rPr>
        <w:t>合同编号：</w:t>
      </w:r>
      <w:r>
        <w:rPr>
          <w:rFonts w:hint="eastAsia" w:ascii="宋体" w:hAnsi="宋体" w:cs="宋体"/>
          <w:b/>
          <w:bCs/>
          <w:color w:val="auto"/>
          <w:sz w:val="30"/>
          <w:szCs w:val="30"/>
          <w:highlight w:val="none"/>
        </w:rPr>
        <w:t>穗净水合[     ]    号</w:t>
      </w:r>
    </w:p>
    <w:p>
      <w:pPr>
        <w:spacing w:line="480" w:lineRule="auto"/>
        <w:rPr>
          <w:rFonts w:ascii="宋体" w:hAnsi="宋体" w:cs="宋体"/>
          <w:b/>
          <w:bCs/>
          <w:color w:val="auto"/>
          <w:sz w:val="30"/>
          <w:highlight w:val="none"/>
        </w:rPr>
      </w:pP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甲方（买方）：广州市净水有限公司</w:t>
      </w: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乙方（卖方）：</w:t>
      </w:r>
      <w:r>
        <w:rPr>
          <w:rFonts w:hint="eastAsia" w:ascii="宋体" w:hAnsi="宋体" w:cs="宋体"/>
          <w:b/>
          <w:bCs/>
          <w:color w:val="auto"/>
          <w:sz w:val="30"/>
          <w:highlight w:val="none"/>
          <w:u w:val="single"/>
        </w:rPr>
        <w:t xml:space="preserve">                      </w:t>
      </w:r>
    </w:p>
    <w:p>
      <w:pPr>
        <w:spacing w:line="480" w:lineRule="auto"/>
        <w:rPr>
          <w:rFonts w:hint="eastAsia" w:ascii="宋体" w:hAnsi="宋体" w:cs="宋体"/>
          <w:b/>
          <w:bCs/>
          <w:color w:val="auto"/>
          <w:sz w:val="30"/>
          <w:highlight w:val="none"/>
        </w:rPr>
      </w:pPr>
    </w:p>
    <w:p>
      <w:pPr>
        <w:spacing w:line="480" w:lineRule="auto"/>
        <w:rPr>
          <w:rFonts w:hint="eastAsia" w:ascii="宋体" w:hAnsi="宋体" w:cs="宋体"/>
          <w:b/>
          <w:bCs/>
          <w:color w:val="auto"/>
          <w:sz w:val="30"/>
          <w:highlight w:val="none"/>
        </w:rPr>
      </w:pPr>
    </w:p>
    <w:p>
      <w:pPr>
        <w:spacing w:line="480" w:lineRule="auto"/>
        <w:rPr>
          <w:rFonts w:ascii="宋体" w:hAnsi="宋体" w:cs="宋体"/>
          <w:b/>
          <w:bCs/>
          <w:color w:val="auto"/>
          <w:sz w:val="30"/>
          <w:highlight w:val="none"/>
        </w:rPr>
      </w:pPr>
      <w:r>
        <w:rPr>
          <w:rFonts w:hint="eastAsia" w:ascii="宋体" w:hAnsi="宋体" w:cs="宋体"/>
          <w:b/>
          <w:bCs/>
          <w:color w:val="auto"/>
          <w:sz w:val="30"/>
          <w:highlight w:val="none"/>
        </w:rPr>
        <w:t>签订日期：      年     月    日</w:t>
      </w:r>
    </w:p>
    <w:p>
      <w:pPr>
        <w:spacing w:line="480" w:lineRule="auto"/>
        <w:rPr>
          <w:rFonts w:hint="eastAsia" w:ascii="宋体" w:hAnsi="宋体" w:cs="宋体"/>
          <w:b/>
          <w:bCs/>
          <w:color w:val="auto"/>
          <w:sz w:val="30"/>
          <w:highlight w:val="none"/>
        </w:rPr>
      </w:pPr>
    </w:p>
    <w:p>
      <w:pPr>
        <w:spacing w:line="480" w:lineRule="auto"/>
        <w:rPr>
          <w:b/>
          <w:bCs/>
          <w:color w:val="auto"/>
          <w:sz w:val="30"/>
          <w:highlight w:val="none"/>
        </w:rPr>
      </w:pPr>
      <w:r>
        <w:rPr>
          <w:rFonts w:hint="eastAsia" w:ascii="宋体" w:hAnsi="宋体" w:cs="宋体"/>
          <w:b/>
          <w:bCs/>
          <w:color w:val="auto"/>
          <w:sz w:val="30"/>
          <w:highlight w:val="none"/>
        </w:rPr>
        <w:t>签约地点：广州市</w:t>
      </w:r>
    </w:p>
    <w:p>
      <w:pPr>
        <w:spacing w:line="46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根据《中华人民共和国民法典》及其他有关法律、行政法规，</w:t>
      </w:r>
      <w:r>
        <w:rPr>
          <w:rFonts w:hint="eastAsia" w:ascii="宋体" w:hAnsi="宋体" w:cs="宋体"/>
          <w:color w:val="auto"/>
          <w:sz w:val="24"/>
          <w:szCs w:val="24"/>
          <w:highlight w:val="none"/>
          <w:u w:val="single"/>
        </w:rPr>
        <w:t>广州市净水有限公司</w:t>
      </w:r>
      <w:r>
        <w:rPr>
          <w:rFonts w:hint="eastAsia" w:ascii="宋体" w:hAnsi="宋体" w:cs="宋体"/>
          <w:color w:val="auto"/>
          <w:sz w:val="24"/>
          <w:szCs w:val="24"/>
          <w:highlight w:val="none"/>
        </w:rPr>
        <w:t xml:space="preserve"> （以下简称“甲方”）与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（以下简称“乙方”）就 </w:t>
      </w:r>
      <w:r>
        <w:rPr>
          <w:rFonts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广州市净水有限公司2022年猎德、大坦沙、大观分公司阀门采购项目（第二次）</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采购事宜，遵循平等、自愿、公平和诚实信用的原则，双方协商一致，订立本合同。</w:t>
      </w:r>
      <w:bookmarkStart w:id="98" w:name="_Toc518992985"/>
      <w:bookmarkStart w:id="99" w:name="_Toc474245209"/>
      <w:bookmarkStart w:id="100" w:name="_Toc520190025"/>
      <w:bookmarkStart w:id="101" w:name="_Toc183666512"/>
      <w:bookmarkStart w:id="102" w:name="_Toc10888"/>
      <w:r>
        <w:rPr>
          <w:rFonts w:hint="eastAsia" w:ascii="宋体" w:hAnsi="宋体" w:cs="宋体"/>
          <w:color w:val="auto"/>
          <w:sz w:val="24"/>
          <w:szCs w:val="24"/>
          <w:highlight w:val="none"/>
        </w:rPr>
        <w:t xml:space="preserve"> </w:t>
      </w:r>
      <w:bookmarkEnd w:id="98"/>
      <w:bookmarkEnd w:id="99"/>
      <w:bookmarkEnd w:id="100"/>
      <w:bookmarkEnd w:id="101"/>
      <w:bookmarkEnd w:id="102"/>
      <w:bookmarkStart w:id="103" w:name="_Toc183666513"/>
      <w:bookmarkStart w:id="104" w:name="_Toc1018"/>
      <w:bookmarkStart w:id="105" w:name="_Toc518992986"/>
      <w:bookmarkStart w:id="106" w:name="_Toc474245210"/>
      <w:bookmarkStart w:id="107" w:name="_Toc520190026"/>
    </w:p>
    <w:p>
      <w:pPr>
        <w:pStyle w:val="10"/>
        <w:tabs>
          <w:tab w:val="left" w:pos="720"/>
        </w:tabs>
        <w:spacing w:line="440" w:lineRule="exact"/>
        <w:ind w:firstLine="482" w:firstLineChars="200"/>
        <w:rPr>
          <w:rFonts w:hAnsi="宋体" w:cs="宋体"/>
          <w:color w:val="auto"/>
          <w:sz w:val="24"/>
          <w:szCs w:val="24"/>
          <w:highlight w:val="none"/>
        </w:rPr>
      </w:pPr>
      <w:r>
        <w:rPr>
          <w:rFonts w:hint="eastAsia" w:hAnsi="宋体" w:cs="宋体"/>
          <w:b/>
          <w:bCs/>
          <w:color w:val="auto"/>
          <w:sz w:val="24"/>
          <w:szCs w:val="24"/>
          <w:highlight w:val="none"/>
        </w:rPr>
        <w:t>第一条</w:t>
      </w:r>
      <w:r>
        <w:rPr>
          <w:rFonts w:hint="eastAsia" w:hAnsi="宋体" w:cs="宋体"/>
          <w:color w:val="auto"/>
          <w:sz w:val="24"/>
          <w:szCs w:val="24"/>
          <w:highlight w:val="none"/>
        </w:rPr>
        <w:t xml:space="preserve"> </w:t>
      </w:r>
      <w:r>
        <w:rPr>
          <w:rFonts w:hint="eastAsia" w:hAnsi="宋体" w:cs="宋体"/>
          <w:b/>
          <w:bCs/>
          <w:color w:val="auto"/>
          <w:sz w:val="24"/>
          <w:szCs w:val="24"/>
          <w:highlight w:val="none"/>
        </w:rPr>
        <w:t>组成合同的文件及优先顺序</w:t>
      </w:r>
    </w:p>
    <w:p>
      <w:pPr>
        <w:pStyle w:val="10"/>
        <w:tabs>
          <w:tab w:val="left" w:pos="720"/>
        </w:tabs>
        <w:spacing w:line="440" w:lineRule="exact"/>
        <w:ind w:firstLine="480" w:firstLineChars="200"/>
        <w:rPr>
          <w:rFonts w:hAnsi="宋体" w:cs="宋体"/>
          <w:color w:val="auto"/>
          <w:kern w:val="2"/>
          <w:sz w:val="24"/>
          <w:szCs w:val="24"/>
          <w:highlight w:val="none"/>
        </w:rPr>
      </w:pPr>
      <w:r>
        <w:rPr>
          <w:rFonts w:hint="eastAsia" w:hAnsi="宋体" w:cs="宋体"/>
          <w:color w:val="auto"/>
          <w:kern w:val="2"/>
          <w:sz w:val="24"/>
          <w:szCs w:val="24"/>
          <w:highlight w:val="none"/>
        </w:rPr>
        <w:t>下列文件（如有）均为本合同的组成部分，可视为能相互说明和补充的，如果合同文件存在歧义或相矛盾的地方，则根据以下次序判断：</w:t>
      </w:r>
    </w:p>
    <w:p>
      <w:pPr>
        <w:spacing w:line="440" w:lineRule="exact"/>
        <w:ind w:firstLine="482"/>
        <w:rPr>
          <w:rFonts w:ascii="宋体" w:hAnsi="宋体" w:cs="宋体"/>
          <w:color w:val="auto"/>
          <w:sz w:val="24"/>
          <w:szCs w:val="24"/>
          <w:highlight w:val="none"/>
        </w:rPr>
      </w:pPr>
      <w:r>
        <w:rPr>
          <w:rFonts w:hint="eastAsia" w:ascii="宋体" w:hAnsi="宋体" w:cs="宋体"/>
          <w:color w:val="auto"/>
          <w:sz w:val="24"/>
          <w:szCs w:val="24"/>
          <w:highlight w:val="none"/>
        </w:rPr>
        <w:t>⑴</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在本合同实施过程双方签署的补充与修正文件；</w:t>
      </w:r>
    </w:p>
    <w:p>
      <w:pPr>
        <w:spacing w:line="320" w:lineRule="exact"/>
        <w:ind w:firstLine="482"/>
        <w:rPr>
          <w:rFonts w:ascii="宋体" w:hAnsi="宋体" w:cs="宋体"/>
          <w:color w:val="auto"/>
          <w:sz w:val="24"/>
          <w:szCs w:val="24"/>
          <w:highlight w:val="none"/>
        </w:rPr>
      </w:pPr>
      <w:r>
        <w:rPr>
          <w:rFonts w:hint="eastAsia" w:ascii="宋体" w:hAnsi="宋体" w:cs="宋体"/>
          <w:color w:val="auto"/>
          <w:sz w:val="24"/>
          <w:szCs w:val="24"/>
          <w:highlight w:val="none"/>
        </w:rPr>
        <w:t>⑵</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本合同书；</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⑶ 发包通知书/成交通知书/委托函；</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⑷ 询价文件；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⑸ 响应文件；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⑹ 标准、规范及有关技术性文件；</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⑺ 图纸；</w:t>
      </w:r>
    </w:p>
    <w:p>
      <w:pPr>
        <w:spacing w:line="320" w:lineRule="exact"/>
        <w:ind w:firstLine="482"/>
        <w:rPr>
          <w:rFonts w:ascii="宋体" w:hAnsi="宋体" w:cs="宋体"/>
          <w:bCs/>
          <w:color w:val="auto"/>
          <w:sz w:val="24"/>
          <w:highlight w:val="none"/>
        </w:rPr>
      </w:pPr>
      <w:r>
        <w:rPr>
          <w:rFonts w:hint="eastAsia" w:ascii="宋体" w:hAnsi="宋体" w:cs="宋体"/>
          <w:bCs/>
          <w:color w:val="auto"/>
          <w:sz w:val="24"/>
          <w:highlight w:val="none"/>
        </w:rPr>
        <w:t>⑻ 工程量清单/</w:t>
      </w:r>
      <w:r>
        <w:rPr>
          <w:rFonts w:hint="eastAsia" w:ascii="宋体" w:hAnsi="宋体" w:cs="宋体"/>
          <w:color w:val="auto"/>
          <w:sz w:val="24"/>
          <w:highlight w:val="none"/>
        </w:rPr>
        <w:t>工程报价单或预算书</w:t>
      </w:r>
    </w:p>
    <w:p>
      <w:pPr>
        <w:widowControl w:val="0"/>
        <w:numPr>
          <w:ilvl w:val="255"/>
          <w:numId w:val="0"/>
        </w:numPr>
        <w:spacing w:after="0" w:line="320" w:lineRule="exact"/>
        <w:ind w:firstLine="480" w:firstLineChars="200"/>
        <w:jc w:val="both"/>
        <w:rPr>
          <w:rFonts w:ascii="宋体" w:hAnsi="宋体" w:cs="宋体"/>
          <w:b/>
          <w:color w:val="auto"/>
          <w:sz w:val="24"/>
          <w:szCs w:val="24"/>
          <w:highlight w:val="none"/>
        </w:rPr>
      </w:pPr>
      <w:r>
        <w:rPr>
          <w:rFonts w:hint="eastAsia" w:ascii="宋体" w:hAnsi="宋体" w:cs="宋体"/>
          <w:bCs/>
          <w:color w:val="auto"/>
          <w:sz w:val="24"/>
          <w:highlight w:val="none"/>
        </w:rPr>
        <w:t>⑼ 本合同其他附件；</w:t>
      </w:r>
    </w:p>
    <w:p>
      <w:pPr>
        <w:widowControl w:val="0"/>
        <w:numPr>
          <w:ilvl w:val="255"/>
          <w:numId w:val="0"/>
        </w:numPr>
        <w:spacing w:after="0" w:line="460" w:lineRule="exact"/>
        <w:ind w:firstLine="482" w:firstLineChars="200"/>
        <w:jc w:val="both"/>
        <w:rPr>
          <w:rFonts w:ascii="宋体" w:hAnsi="宋体" w:cs="宋体"/>
          <w:color w:val="auto"/>
          <w:sz w:val="24"/>
          <w:szCs w:val="24"/>
          <w:highlight w:val="none"/>
        </w:rPr>
      </w:pPr>
      <w:r>
        <w:rPr>
          <w:rFonts w:hint="eastAsia" w:ascii="宋体" w:hAnsi="宋体" w:cs="宋体"/>
          <w:b/>
          <w:color w:val="auto"/>
          <w:sz w:val="24"/>
          <w:szCs w:val="24"/>
          <w:highlight w:val="none"/>
        </w:rPr>
        <w:t xml:space="preserve">第二条 </w:t>
      </w:r>
      <w:bookmarkEnd w:id="103"/>
      <w:bookmarkEnd w:id="104"/>
      <w:bookmarkEnd w:id="105"/>
      <w:bookmarkEnd w:id="106"/>
      <w:bookmarkEnd w:id="107"/>
      <w:r>
        <w:rPr>
          <w:rFonts w:hint="eastAsia" w:ascii="宋体" w:hAnsi="宋体" w:cs="宋体"/>
          <w:b/>
          <w:color w:val="auto"/>
          <w:sz w:val="24"/>
          <w:szCs w:val="24"/>
          <w:highlight w:val="none"/>
        </w:rPr>
        <w:t>合同标的</w:t>
      </w:r>
    </w:p>
    <w:tbl>
      <w:tblPr>
        <w:tblStyle w:val="24"/>
        <w:tblpPr w:leftFromText="180" w:rightFromText="180" w:vertAnchor="text" w:horzAnchor="page" w:tblpXSpec="center" w:tblpY="1351"/>
        <w:tblOverlap w:val="never"/>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87"/>
        <w:gridCol w:w="1075"/>
        <w:gridCol w:w="502"/>
        <w:gridCol w:w="1185"/>
        <w:gridCol w:w="1052"/>
        <w:gridCol w:w="495"/>
        <w:gridCol w:w="850"/>
        <w:gridCol w:w="782"/>
        <w:gridCol w:w="926"/>
        <w:gridCol w:w="921"/>
        <w:gridCol w:w="5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jc w:val="center"/>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序号</w:t>
            </w:r>
          </w:p>
        </w:tc>
        <w:tc>
          <w:tcPr>
            <w:tcW w:w="606"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名称</w:t>
            </w:r>
          </w:p>
        </w:tc>
        <w:tc>
          <w:tcPr>
            <w:tcW w:w="283"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品牌</w:t>
            </w:r>
          </w:p>
        </w:tc>
        <w:tc>
          <w:tcPr>
            <w:tcW w:w="668"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型号</w:t>
            </w:r>
          </w:p>
        </w:tc>
        <w:tc>
          <w:tcPr>
            <w:tcW w:w="593"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单位</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数量</w:t>
            </w:r>
          </w:p>
        </w:tc>
        <w:tc>
          <w:tcPr>
            <w:tcW w:w="920" w:type="pct"/>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单价（元）</w:t>
            </w:r>
          </w:p>
        </w:tc>
        <w:tc>
          <w:tcPr>
            <w:tcW w:w="1041" w:type="pct"/>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总价（元）</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27" w:hRule="atLeast"/>
          <w:jc w:val="center"/>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06"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28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59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含税</w:t>
            </w: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不含税</w:t>
            </w: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含税</w:t>
            </w: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不含税</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项目一</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Times New Roman" w:eastAsia="仿宋_GB2312" w:cs="Times New Roman"/>
                <w:color w:val="auto"/>
                <w:kern w:val="2"/>
                <w:sz w:val="24"/>
                <w:szCs w:val="28"/>
                <w:highlight w:val="none"/>
                <w:lang w:val="en-US" w:eastAsia="zh-CN" w:bidi="ar-SA"/>
              </w:rPr>
            </w:pPr>
            <w:r>
              <w:rPr>
                <w:rFonts w:hint="eastAsia" w:ascii="仿宋_GB2312" w:hAnsi="仿宋" w:eastAsia="仿宋_GB2312" w:cs="宋体"/>
                <w:color w:val="auto"/>
                <w:kern w:val="0"/>
                <w:sz w:val="24"/>
                <w:szCs w:val="28"/>
                <w:highlight w:val="none"/>
              </w:rPr>
              <w:t>止回阀</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auto"/>
                <w:sz w:val="24"/>
                <w:szCs w:val="24"/>
                <w:highlight w:val="none"/>
                <w:u w:val="none"/>
                <w:lang w:val="en-US" w:eastAsia="zh-CN"/>
              </w:rPr>
            </w:pP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电动蝶阀</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项目二</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一期沉砂池电动阀门</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3</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项目三</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4</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44"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项目四</w:t>
            </w:r>
          </w:p>
        </w:tc>
        <w:tc>
          <w:tcPr>
            <w:tcW w:w="606"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28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c>
          <w:tcPr>
            <w:tcW w:w="668"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9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2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w:t>
            </w:r>
          </w:p>
        </w:tc>
        <w:tc>
          <w:tcPr>
            <w:tcW w:w="47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440"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22"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p>
        </w:tc>
        <w:tc>
          <w:tcPr>
            <w:tcW w:w="333"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8" w:hRule="atLeast"/>
          <w:jc w:val="center"/>
        </w:trPr>
        <w:tc>
          <w:tcPr>
            <w:tcW w:w="275" w:type="pc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合计</w:t>
            </w:r>
          </w:p>
        </w:tc>
        <w:tc>
          <w:tcPr>
            <w:tcW w:w="4724" w:type="pct"/>
            <w:gridSpan w:val="10"/>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auto"/>
                <w:sz w:val="24"/>
                <w:szCs w:val="24"/>
                <w:highlight w:val="none"/>
                <w:u w:val="none"/>
              </w:rPr>
            </w:pPr>
            <w:r>
              <w:rPr>
                <w:rStyle w:val="58"/>
                <w:color w:val="auto"/>
                <w:highlight w:val="none"/>
                <w:lang w:val="en-US" w:eastAsia="zh-CN" w:bidi="ar"/>
              </w:rPr>
              <w:t>含税总价（元）：</w:t>
            </w:r>
            <w:r>
              <w:rPr>
                <w:rStyle w:val="58"/>
                <w:rFonts w:hint="eastAsia"/>
                <w:color w:val="auto"/>
                <w:highlight w:val="none"/>
                <w:lang w:val="en-US" w:eastAsia="zh-CN" w:bidi="ar"/>
              </w:rPr>
              <w:t xml:space="preserve">      </w:t>
            </w:r>
            <w:r>
              <w:rPr>
                <w:rStyle w:val="58"/>
                <w:color w:val="auto"/>
                <w:highlight w:val="none"/>
                <w:lang w:val="en-US" w:eastAsia="zh-CN" w:bidi="ar"/>
              </w:rPr>
              <w:t>；    税率：</w:t>
            </w:r>
            <w:r>
              <w:rPr>
                <w:rStyle w:val="59"/>
                <w:color w:val="auto"/>
                <w:highlight w:val="none"/>
                <w:lang w:val="en-US" w:eastAsia="zh-CN" w:bidi="ar"/>
              </w:rPr>
              <w:t xml:space="preserve">  </w:t>
            </w:r>
            <w:r>
              <w:rPr>
                <w:rStyle w:val="59"/>
                <w:rFonts w:hint="eastAsia"/>
                <w:color w:val="auto"/>
                <w:highlight w:val="none"/>
                <w:lang w:val="en-US" w:eastAsia="zh-CN" w:bidi="ar"/>
              </w:rPr>
              <w:t xml:space="preserve">   </w:t>
            </w:r>
            <w:r>
              <w:rPr>
                <w:rStyle w:val="59"/>
                <w:color w:val="auto"/>
                <w:highlight w:val="none"/>
                <w:lang w:val="en-US" w:eastAsia="zh-CN" w:bidi="ar"/>
              </w:rPr>
              <w:t xml:space="preserve">  </w:t>
            </w:r>
            <w:r>
              <w:rPr>
                <w:rStyle w:val="58"/>
                <w:color w:val="auto"/>
                <w:highlight w:val="none"/>
                <w:lang w:val="en-US" w:eastAsia="zh-CN" w:bidi="ar"/>
              </w:rPr>
              <w:t xml:space="preserve"> %</w:t>
            </w:r>
          </w:p>
        </w:tc>
      </w:tr>
    </w:tbl>
    <w:p>
      <w:pPr>
        <w:autoSpaceDE w:val="0"/>
        <w:autoSpaceDN w:val="0"/>
        <w:adjustRightInd w:val="0"/>
        <w:spacing w:line="360" w:lineRule="auto"/>
        <w:ind w:firstLine="480" w:firstLineChars="2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本合同所指设备为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全新的原装产品，原产地为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en-US" w:eastAsia="zh-CN"/>
        </w:rPr>
        <w:t>/</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rPr>
        <w:t>其</w:t>
      </w:r>
      <w:r>
        <w:rPr>
          <w:rFonts w:hint="eastAsia" w:ascii="宋体" w:hAnsi="宋体" w:cs="宋体"/>
          <w:color w:val="auto"/>
          <w:kern w:val="0"/>
          <w:sz w:val="24"/>
          <w:szCs w:val="24"/>
          <w:highlight w:val="none"/>
          <w:lang w:val="zh-CN"/>
        </w:rPr>
        <w:t>名称、型号、规格、数量、金额详见下表：</w:t>
      </w:r>
    </w:p>
    <w:p>
      <w:pPr>
        <w:spacing w:after="120" w:line="460" w:lineRule="exact"/>
        <w:rPr>
          <w:color w:val="auto"/>
          <w:highlight w:val="none"/>
          <w:lang w:val="zh-CN"/>
        </w:rPr>
      </w:pPr>
      <w:r>
        <w:rPr>
          <w:rFonts w:hint="eastAsia" w:ascii="宋体" w:hAnsi="宋体" w:cs="宋体"/>
          <w:color w:val="auto"/>
          <w:kern w:val="0"/>
          <w:sz w:val="24"/>
          <w:szCs w:val="24"/>
          <w:highlight w:val="none"/>
          <w:lang w:val="zh-CN"/>
        </w:rPr>
        <w:t>其他</w:t>
      </w:r>
      <w:r>
        <w:rPr>
          <w:rFonts w:hint="eastAsia" w:ascii="宋体" w:hAnsi="宋体" w:cs="宋体"/>
          <w:color w:val="auto"/>
          <w:kern w:val="0"/>
          <w:sz w:val="24"/>
          <w:szCs w:val="24"/>
          <w:highlight w:val="none"/>
        </w:rPr>
        <w:t>采购</w:t>
      </w:r>
      <w:r>
        <w:rPr>
          <w:rFonts w:hint="eastAsia" w:ascii="宋体" w:hAnsi="宋体" w:cs="宋体"/>
          <w:color w:val="auto"/>
          <w:kern w:val="0"/>
          <w:sz w:val="24"/>
          <w:szCs w:val="24"/>
          <w:highlight w:val="none"/>
          <w:lang w:val="zh-CN"/>
        </w:rPr>
        <w:t>需求见附件（如</w:t>
      </w:r>
      <w:r>
        <w:rPr>
          <w:rFonts w:hint="eastAsia" w:ascii="宋体" w:hAnsi="宋体" w:cs="宋体"/>
          <w:color w:val="auto"/>
          <w:kern w:val="0"/>
          <w:sz w:val="24"/>
          <w:szCs w:val="24"/>
          <w:highlight w:val="none"/>
        </w:rPr>
        <w:t>有</w:t>
      </w:r>
      <w:r>
        <w:rPr>
          <w:rFonts w:hint="eastAsia" w:ascii="宋体" w:hAnsi="宋体" w:cs="宋体"/>
          <w:color w:val="auto"/>
          <w:kern w:val="0"/>
          <w:sz w:val="24"/>
          <w:szCs w:val="24"/>
          <w:highlight w:val="none"/>
          <w:lang w:val="zh-CN"/>
        </w:rPr>
        <w:t>）。</w:t>
      </w:r>
    </w:p>
    <w:p>
      <w:pPr>
        <w:adjustRightInd w:val="0"/>
        <w:snapToGrid w:val="0"/>
        <w:spacing w:line="460" w:lineRule="exact"/>
        <w:ind w:firstLine="482" w:firstLineChars="200"/>
        <w:rPr>
          <w:rFonts w:ascii="宋体" w:hAnsi="宋体" w:cs="宋体"/>
          <w:b/>
          <w:bCs/>
          <w:color w:val="auto"/>
          <w:kern w:val="0"/>
          <w:sz w:val="24"/>
          <w:szCs w:val="24"/>
          <w:highlight w:val="none"/>
          <w:lang w:val="zh-CN"/>
        </w:rPr>
      </w:pPr>
      <w:r>
        <w:rPr>
          <w:rFonts w:hint="eastAsia" w:ascii="宋体" w:hAnsi="宋体" w:cs="宋体"/>
          <w:b/>
          <w:bCs/>
          <w:color w:val="auto"/>
          <w:kern w:val="0"/>
          <w:sz w:val="24"/>
          <w:szCs w:val="24"/>
          <w:highlight w:val="none"/>
          <w:lang w:val="zh-CN"/>
        </w:rPr>
        <w:t>第三条 交货日期及地点</w:t>
      </w:r>
    </w:p>
    <w:p>
      <w:pPr>
        <w:spacing w:after="120" w:afterLines="50"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3.1 </w:t>
      </w:r>
      <w:r>
        <w:rPr>
          <w:rFonts w:hint="eastAsia" w:ascii="宋体" w:hAnsi="宋体" w:cs="宋体"/>
          <w:color w:val="auto"/>
          <w:sz w:val="24"/>
          <w:szCs w:val="24"/>
          <w:highlight w:val="none"/>
        </w:rPr>
        <w:t>交货日期</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自合同签订后 / 天内</w:t>
      </w:r>
      <w:r>
        <w:rPr>
          <w:rFonts w:hint="eastAsia" w:ascii="宋体" w:hAnsi="宋体" w:cs="宋体"/>
          <w:color w:val="auto"/>
          <w:sz w:val="24"/>
          <w:szCs w:val="24"/>
          <w:highlight w:val="none"/>
        </w:rPr>
        <w:t>完成供货（如需有不同交货时间注明）</w:t>
      </w:r>
      <w:r>
        <w:rPr>
          <w:rFonts w:ascii="宋体" w:hAnsi="宋体" w:cs="宋体"/>
          <w:color w:val="auto"/>
          <w:sz w:val="24"/>
          <w:szCs w:val="24"/>
          <w:highlight w:val="none"/>
        </w:rPr>
        <w:t>,</w:t>
      </w:r>
      <w:r>
        <w:rPr>
          <w:rFonts w:hint="eastAsia" w:ascii="宋体" w:hAnsi="宋体" w:cs="宋体"/>
          <w:color w:val="auto"/>
          <w:sz w:val="24"/>
          <w:szCs w:val="24"/>
          <w:highlight w:val="none"/>
        </w:rPr>
        <w:t>具体交货时间以甲方通知为准。</w:t>
      </w:r>
    </w:p>
    <w:tbl>
      <w:tblPr>
        <w:tblStyle w:val="25"/>
        <w:tblW w:w="73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725"/>
        <w:gridCol w:w="2977"/>
        <w:gridCol w:w="1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序号</w:t>
            </w:r>
          </w:p>
        </w:tc>
        <w:tc>
          <w:tcPr>
            <w:tcW w:w="1725" w:type="dxa"/>
          </w:tcPr>
          <w:p>
            <w:pPr>
              <w:spacing w:line="360" w:lineRule="auto"/>
              <w:ind w:right="-57" w:rightChars="-27"/>
              <w:jc w:val="center"/>
              <w:rPr>
                <w:rFonts w:hint="eastAsia" w:ascii="仿宋_GB2312" w:hAnsi="Times New Roman" w:eastAsia="仿宋_GB2312" w:cs="Times New Roman"/>
                <w:color w:val="auto"/>
                <w:sz w:val="24"/>
                <w:szCs w:val="32"/>
                <w:highlight w:val="none"/>
                <w:lang w:eastAsia="zh-CN"/>
              </w:rPr>
            </w:pPr>
            <w:r>
              <w:rPr>
                <w:rFonts w:hint="eastAsia" w:ascii="仿宋_GB2312" w:hAnsi="Times New Roman" w:eastAsia="仿宋_GB2312" w:cs="Times New Roman"/>
                <w:color w:val="auto"/>
                <w:sz w:val="24"/>
                <w:szCs w:val="32"/>
                <w:highlight w:val="none"/>
                <w:lang w:val="en-US" w:eastAsia="zh-CN"/>
              </w:rPr>
              <w:t>分公司</w:t>
            </w:r>
          </w:p>
        </w:tc>
        <w:tc>
          <w:tcPr>
            <w:tcW w:w="2977"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货物名称</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项目一</w:t>
            </w:r>
          </w:p>
        </w:tc>
        <w:tc>
          <w:tcPr>
            <w:tcW w:w="1725" w:type="dxa"/>
            <w:vMerge w:val="restart"/>
            <w:vAlign w:val="center"/>
          </w:tcPr>
          <w:p>
            <w:pPr>
              <w:spacing w:line="360" w:lineRule="auto"/>
              <w:ind w:right="-57" w:rightChars="-27"/>
              <w:jc w:val="center"/>
              <w:rPr>
                <w:rFonts w:hint="eastAsia"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猎德分公司</w:t>
            </w:r>
          </w:p>
        </w:tc>
        <w:tc>
          <w:tcPr>
            <w:tcW w:w="2977" w:type="dxa"/>
          </w:tcPr>
          <w:p>
            <w:pPr>
              <w:spacing w:line="360" w:lineRule="auto"/>
              <w:ind w:right="-57" w:rightChars="-27"/>
              <w:jc w:val="center"/>
              <w:rPr>
                <w:rFonts w:ascii="仿宋_GB2312" w:hAnsi="Times New Roman" w:eastAsia="仿宋_GB2312" w:cs="Times New Roman"/>
                <w:color w:val="auto"/>
                <w:sz w:val="24"/>
                <w:szCs w:val="28"/>
                <w:highlight w:val="none"/>
              </w:rPr>
            </w:pPr>
            <w:r>
              <w:rPr>
                <w:rFonts w:hint="eastAsia" w:ascii="仿宋_GB2312" w:hAnsi="仿宋" w:eastAsia="仿宋_GB2312" w:cs="宋体"/>
                <w:color w:val="auto"/>
                <w:kern w:val="0"/>
                <w:sz w:val="24"/>
                <w:szCs w:val="28"/>
                <w:highlight w:val="none"/>
              </w:rPr>
              <w:t>止回阀</w:t>
            </w:r>
          </w:p>
        </w:tc>
        <w:tc>
          <w:tcPr>
            <w:tcW w:w="1611" w:type="dxa"/>
          </w:tcPr>
          <w:p>
            <w:pPr>
              <w:spacing w:line="360" w:lineRule="auto"/>
              <w:ind w:right="-57" w:rightChars="-27"/>
              <w:jc w:val="center"/>
              <w:rPr>
                <w:rFonts w:ascii="仿宋_GB2312" w:hAnsi="Times New Roman" w:eastAsia="仿宋_GB2312" w:cs="Times New Roman"/>
                <w:color w:val="auto"/>
                <w:sz w:val="24"/>
                <w:szCs w:val="32"/>
                <w:highlight w:val="none"/>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电动蝶阀</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120天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项目二</w:t>
            </w:r>
          </w:p>
        </w:tc>
        <w:tc>
          <w:tcPr>
            <w:tcW w:w="1725" w:type="dxa"/>
            <w:vMerge w:val="restart"/>
            <w:vAlign w:val="center"/>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大坦沙分公司</w:t>
            </w: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 w:eastAsia="仿宋_GB2312" w:cs="宋体"/>
                <w:color w:val="auto"/>
                <w:kern w:val="0"/>
                <w:sz w:val="24"/>
                <w:szCs w:val="28"/>
                <w:highlight w:val="none"/>
              </w:rPr>
              <w:t>一期沉砂池电动阀门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项目三</w:t>
            </w:r>
          </w:p>
        </w:tc>
        <w:tc>
          <w:tcPr>
            <w:tcW w:w="1725" w:type="dxa"/>
            <w:vMerge w:val="continue"/>
          </w:tcPr>
          <w:p>
            <w:pPr>
              <w:spacing w:line="360" w:lineRule="auto"/>
              <w:ind w:right="-57" w:rightChars="-27"/>
              <w:jc w:val="center"/>
              <w:rPr>
                <w:rFonts w:ascii="仿宋_GB2312" w:hAnsi="Times New Roman" w:eastAsia="仿宋_GB2312" w:cs="Times New Roman"/>
                <w:color w:val="auto"/>
                <w:sz w:val="24"/>
                <w:szCs w:val="28"/>
                <w:highlight w:val="none"/>
              </w:rPr>
            </w:pPr>
          </w:p>
        </w:tc>
        <w:tc>
          <w:tcPr>
            <w:tcW w:w="2977" w:type="dxa"/>
          </w:tcPr>
          <w:p>
            <w:pPr>
              <w:spacing w:line="360" w:lineRule="auto"/>
              <w:ind w:right="-57" w:rightChars="-27"/>
              <w:jc w:val="center"/>
              <w:rPr>
                <w:rFonts w:hint="eastAsia" w:ascii="仿宋_GB2312" w:hAnsi="仿宋" w:eastAsia="仿宋_GB2312" w:cs="宋体"/>
                <w:color w:val="auto"/>
                <w:kern w:val="0"/>
                <w:sz w:val="24"/>
                <w:szCs w:val="28"/>
                <w:highlight w:val="none"/>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057"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项目四</w:t>
            </w:r>
          </w:p>
        </w:tc>
        <w:tc>
          <w:tcPr>
            <w:tcW w:w="1725" w:type="dxa"/>
          </w:tcPr>
          <w:p>
            <w:pPr>
              <w:spacing w:line="360" w:lineRule="auto"/>
              <w:ind w:right="-57" w:rightChars="-27"/>
              <w:jc w:val="center"/>
              <w:rPr>
                <w:rFonts w:hint="default" w:ascii="仿宋_GB2312" w:hAnsi="Times New Roman" w:eastAsia="仿宋_GB2312" w:cs="Times New Roman"/>
                <w:color w:val="auto"/>
                <w:sz w:val="24"/>
                <w:szCs w:val="28"/>
                <w:highlight w:val="none"/>
                <w:lang w:val="en-US" w:eastAsia="zh-CN"/>
              </w:rPr>
            </w:pPr>
            <w:r>
              <w:rPr>
                <w:rFonts w:hint="eastAsia" w:ascii="仿宋_GB2312" w:hAnsi="Times New Roman" w:eastAsia="仿宋_GB2312" w:cs="Times New Roman"/>
                <w:color w:val="auto"/>
                <w:sz w:val="24"/>
                <w:szCs w:val="28"/>
                <w:highlight w:val="none"/>
                <w:lang w:val="en-US" w:eastAsia="zh-CN"/>
              </w:rPr>
              <w:t>大观分公司</w:t>
            </w:r>
          </w:p>
        </w:tc>
        <w:tc>
          <w:tcPr>
            <w:tcW w:w="2977" w:type="dxa"/>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1611" w:type="dxa"/>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20天</w:t>
            </w:r>
          </w:p>
        </w:tc>
      </w:tr>
    </w:tbl>
    <w:p>
      <w:pPr>
        <w:pStyle w:val="2"/>
        <w:rPr>
          <w:color w:val="auto"/>
          <w:highlight w:val="none"/>
        </w:rPr>
      </w:pP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3.2</w:t>
      </w:r>
      <w:r>
        <w:rPr>
          <w:rFonts w:hint="eastAsia" w:ascii="宋体" w:hAnsi="宋体" w:cs="宋体"/>
          <w:bCs/>
          <w:color w:val="auto"/>
          <w:sz w:val="24"/>
          <w:szCs w:val="24"/>
          <w:highlight w:val="none"/>
        </w:rPr>
        <w:t>交货地点：</w:t>
      </w:r>
      <w:r>
        <w:rPr>
          <w:rFonts w:hint="eastAsia" w:ascii="宋体" w:hAnsi="宋体" w:cs="宋体"/>
          <w:bCs/>
          <w:color w:val="auto"/>
          <w:sz w:val="24"/>
          <w:szCs w:val="24"/>
          <w:highlight w:val="none"/>
          <w:u w:val="single"/>
          <w:lang w:val="en-US" w:eastAsia="zh-CN"/>
        </w:rPr>
        <w:t>项目一：猎德分公司、项目二、三：大坦沙分公司、项目四：大观分公司</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w:t>
      </w:r>
      <w:r>
        <w:rPr>
          <w:rFonts w:hint="eastAsia" w:ascii="宋体" w:hAnsi="宋体" w:cs="宋体"/>
          <w:bCs/>
          <w:color w:val="auto"/>
          <w:sz w:val="24"/>
          <w:szCs w:val="24"/>
          <w:highlight w:val="none"/>
        </w:rPr>
        <w:t>最终具体交货地点以甲方通知为准。</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3.3 </w:t>
      </w:r>
      <w:r>
        <w:rPr>
          <w:rFonts w:hint="eastAsia" w:ascii="宋体" w:hAnsi="宋体" w:cs="宋体"/>
          <w:bCs/>
          <w:color w:val="auto"/>
          <w:sz w:val="24"/>
          <w:szCs w:val="24"/>
          <w:highlight w:val="none"/>
        </w:rPr>
        <w:t>交货方式：乙方在设备运至交货地</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7</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个工作日前通知甲方。</w:t>
      </w:r>
    </w:p>
    <w:p>
      <w:pPr>
        <w:spacing w:after="0" w:line="360" w:lineRule="auto"/>
        <w:ind w:firstLine="480" w:firstLineChars="200"/>
        <w:rPr>
          <w:color w:val="auto"/>
          <w:highlight w:val="none"/>
        </w:rPr>
      </w:pPr>
      <w:r>
        <w:rPr>
          <w:rFonts w:ascii="宋体" w:hAnsi="宋体" w:cs="宋体"/>
          <w:bCs/>
          <w:color w:val="auto"/>
          <w:sz w:val="24"/>
          <w:szCs w:val="24"/>
          <w:highlight w:val="none"/>
        </w:rPr>
        <w:t>3.4</w:t>
      </w:r>
      <w:r>
        <w:rPr>
          <w:rFonts w:hint="eastAsia" w:ascii="宋体" w:hAnsi="宋体" w:cs="宋体"/>
          <w:bCs/>
          <w:color w:val="auto"/>
          <w:sz w:val="24"/>
          <w:szCs w:val="24"/>
          <w:highlight w:val="none"/>
        </w:rPr>
        <w:t>其他：</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 xml:space="preserve"> </w:t>
      </w:r>
    </w:p>
    <w:p>
      <w:pPr>
        <w:numPr>
          <w:ilvl w:val="0"/>
          <w:numId w:val="6"/>
        </w:numPr>
        <w:adjustRightInd w:val="0"/>
        <w:snapToGrid w:val="0"/>
        <w:spacing w:line="460" w:lineRule="exact"/>
        <w:ind w:firstLine="482" w:firstLineChars="200"/>
        <w:jc w:val="both"/>
        <w:rPr>
          <w:rFonts w:ascii="宋体" w:hAnsi="宋体" w:cs="宋体"/>
          <w:b/>
          <w:color w:val="auto"/>
          <w:sz w:val="24"/>
          <w:szCs w:val="24"/>
          <w:highlight w:val="none"/>
        </w:rPr>
      </w:pP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 xml:space="preserve">4.1 </w:t>
      </w:r>
      <w:r>
        <w:rPr>
          <w:rFonts w:hint="eastAsia" w:ascii="宋体" w:hAnsi="宋体" w:cs="宋体"/>
          <w:color w:val="auto"/>
          <w:kern w:val="0"/>
          <w:sz w:val="24"/>
          <w:szCs w:val="24"/>
          <w:highlight w:val="none"/>
          <w:lang w:val="zh-CN"/>
        </w:rPr>
        <w:t>本合同</w:t>
      </w:r>
      <w:r>
        <w:rPr>
          <w:rFonts w:hint="eastAsia" w:ascii="宋体" w:hAnsi="宋体" w:cs="宋体"/>
          <w:color w:val="auto"/>
          <w:kern w:val="0"/>
          <w:sz w:val="24"/>
          <w:szCs w:val="24"/>
          <w:highlight w:val="none"/>
        </w:rPr>
        <w:t>暂定</w:t>
      </w:r>
      <w:r>
        <w:rPr>
          <w:rFonts w:hint="eastAsia" w:ascii="宋体" w:hAnsi="宋体" w:cs="宋体"/>
          <w:color w:val="auto"/>
          <w:kern w:val="0"/>
          <w:sz w:val="24"/>
          <w:szCs w:val="24"/>
          <w:highlight w:val="none"/>
          <w:lang w:val="zh-CN"/>
        </w:rPr>
        <w:t>总价为</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万元，（人民币）大写：</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u w:val="single"/>
          <w:lang w:val="zh-CN"/>
        </w:rPr>
        <w:t>…</w:t>
      </w:r>
      <w:r>
        <w:rPr>
          <w:rFonts w:ascii="宋体" w:hAnsi="宋体" w:cs="宋体"/>
          <w:color w:val="auto"/>
          <w:kern w:val="0"/>
          <w:sz w:val="24"/>
          <w:szCs w:val="24"/>
          <w:highlight w:val="none"/>
          <w:u w:val="single"/>
          <w:lang w:val="zh-CN"/>
        </w:rPr>
        <w:t xml:space="preserve"> </w:t>
      </w:r>
      <w:r>
        <w:rPr>
          <w:rFonts w:hint="eastAsia" w:ascii="宋体" w:hAnsi="宋体" w:cs="宋体"/>
          <w:color w:val="auto"/>
          <w:kern w:val="0"/>
          <w:sz w:val="24"/>
          <w:szCs w:val="24"/>
          <w:highlight w:val="none"/>
          <w:lang w:val="zh-CN"/>
        </w:rPr>
        <w:t>。</w:t>
      </w:r>
      <w:r>
        <w:rPr>
          <w:rFonts w:ascii="宋体" w:hAnsi="宋体" w:cs="宋体"/>
          <w:color w:val="auto"/>
          <w:kern w:val="0"/>
          <w:sz w:val="24"/>
          <w:szCs w:val="24"/>
          <w:highlight w:val="none"/>
          <w:lang w:val="zh-CN"/>
        </w:rPr>
        <w:t xml:space="preserve"> </w:t>
      </w:r>
    </w:p>
    <w:p>
      <w:pPr>
        <w:autoSpaceDE w:val="0"/>
        <w:autoSpaceDN w:val="0"/>
        <w:adjustRightInd w:val="0"/>
        <w:spacing w:after="0" w:line="360" w:lineRule="auto"/>
        <w:ind w:firstLine="480" w:firstLineChars="200"/>
        <w:rPr>
          <w:rFonts w:ascii="宋体" w:hAnsi="宋体" w:cs="宋体"/>
          <w:color w:val="auto"/>
          <w:kern w:val="0"/>
          <w:sz w:val="24"/>
          <w:szCs w:val="24"/>
          <w:highlight w:val="none"/>
          <w:lang w:val="zh-CN"/>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.2</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lang w:val="zh-CN"/>
        </w:rPr>
        <w:t>设备价格包括</w:t>
      </w:r>
      <w:r>
        <w:rPr>
          <w:rFonts w:hint="eastAsia" w:ascii="宋体" w:hAnsi="宋体" w:cs="宋体"/>
          <w:color w:val="auto"/>
          <w:kern w:val="0"/>
          <w:sz w:val="24"/>
          <w:szCs w:val="24"/>
          <w:highlight w:val="none"/>
          <w:u w:val="single"/>
          <w:lang w:val="zh-CN"/>
        </w:rPr>
        <w:t>设备及随机附件的制造、包装、运输（设备运输过程中所需的相关手续</w:t>
      </w:r>
      <w:r>
        <w:rPr>
          <w:rFonts w:hint="eastAsia" w:ascii="宋体" w:hAnsi="宋体" w:cs="宋体"/>
          <w:color w:val="auto"/>
          <w:kern w:val="0"/>
          <w:sz w:val="24"/>
          <w:szCs w:val="24"/>
          <w:highlight w:val="none"/>
          <w:u w:val="single"/>
        </w:rPr>
        <w:t>及费用</w:t>
      </w:r>
      <w:r>
        <w:rPr>
          <w:rFonts w:hint="eastAsia" w:ascii="宋体" w:hAnsi="宋体" w:cs="宋体"/>
          <w:color w:val="auto"/>
          <w:kern w:val="0"/>
          <w:sz w:val="24"/>
          <w:szCs w:val="24"/>
          <w:highlight w:val="none"/>
          <w:u w:val="single"/>
          <w:lang w:val="zh-CN"/>
        </w:rPr>
        <w:t>）、</w:t>
      </w:r>
      <w:r>
        <w:rPr>
          <w:rFonts w:hint="eastAsia" w:ascii="宋体" w:hAnsi="宋体" w:cs="宋体"/>
          <w:color w:val="auto"/>
          <w:kern w:val="0"/>
          <w:sz w:val="24"/>
          <w:szCs w:val="24"/>
          <w:highlight w:val="none"/>
          <w:u w:val="single"/>
          <w:lang w:val="en-US" w:eastAsia="zh-CN"/>
        </w:rPr>
        <w:t>指导安装</w:t>
      </w:r>
      <w:r>
        <w:rPr>
          <w:rFonts w:hint="eastAsia" w:ascii="宋体" w:hAnsi="宋体" w:cs="宋体"/>
          <w:color w:val="auto"/>
          <w:kern w:val="0"/>
          <w:sz w:val="24"/>
          <w:szCs w:val="24"/>
          <w:highlight w:val="none"/>
          <w:u w:val="single"/>
          <w:lang w:val="zh-CN"/>
        </w:rPr>
        <w:t>、装卸、验收、技术服务（包括技术资料）、质保期保修、税费、保险费等全部费用。</w:t>
      </w:r>
    </w:p>
    <w:p>
      <w:pPr>
        <w:autoSpaceDE w:val="0"/>
        <w:autoSpaceDN w:val="0"/>
        <w:adjustRightInd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after="0" w:line="360" w:lineRule="auto"/>
        <w:ind w:firstLine="480" w:firstLineChars="200"/>
        <w:rPr>
          <w:color w:val="auto"/>
          <w:highlight w:val="none"/>
        </w:rPr>
      </w:pPr>
      <w:r>
        <w:rPr>
          <w:rFonts w:ascii="宋体" w:hAnsi="宋体" w:cs="宋体"/>
          <w:color w:val="auto"/>
          <w:kern w:val="0"/>
          <w:sz w:val="24"/>
          <w:szCs w:val="24"/>
          <w:highlight w:val="none"/>
        </w:rPr>
        <w:t>4</w:t>
      </w:r>
      <w:r>
        <w:rPr>
          <w:rFonts w:ascii="宋体" w:hAnsi="宋体" w:cs="宋体"/>
          <w:color w:val="auto"/>
          <w:kern w:val="0"/>
          <w:sz w:val="24"/>
          <w:szCs w:val="24"/>
          <w:highlight w:val="none"/>
          <w:lang w:val="zh-CN"/>
        </w:rPr>
        <w:t>.3</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本合同约定的价格为含税价价格</w:t>
      </w:r>
      <w:r>
        <w:rPr>
          <w:rFonts w:hint="eastAsia" w:ascii="宋体" w:hAnsi="宋体" w:cs="宋体"/>
          <w:color w:val="auto"/>
          <w:sz w:val="24"/>
          <w:szCs w:val="24"/>
          <w:highlight w:val="none"/>
        </w:rPr>
        <w:t>（税率</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），合同履行期间国家税率调整或乙方开票的实际税率与前述税率不一致的，不含税价不变，价税合计按实际税率相应调整，以开具发票时间为准。</w:t>
      </w:r>
      <w:bookmarkStart w:id="108" w:name="_Toc27425"/>
      <w:bookmarkStart w:id="109" w:name="_Toc474245212"/>
      <w:bookmarkStart w:id="110" w:name="_Toc520190028"/>
      <w:bookmarkStart w:id="111" w:name="_Toc518992988"/>
      <w:bookmarkStart w:id="112" w:name="_Toc107446843"/>
      <w:bookmarkStart w:id="113" w:name="_Toc107447236"/>
    </w:p>
    <w:bookmarkEnd w:id="108"/>
    <w:bookmarkEnd w:id="109"/>
    <w:bookmarkEnd w:id="110"/>
    <w:bookmarkEnd w:id="111"/>
    <w:p>
      <w:pPr>
        <w:autoSpaceDE w:val="0"/>
        <w:autoSpaceDN w:val="0"/>
        <w:adjustRightInd w:val="0"/>
        <w:spacing w:line="460" w:lineRule="exact"/>
        <w:ind w:left="420"/>
        <w:rPr>
          <w:rFonts w:ascii="宋体" w:hAnsi="宋体" w:cs="宋体"/>
          <w:bCs/>
          <w:color w:val="auto"/>
          <w:sz w:val="24"/>
          <w:szCs w:val="24"/>
          <w:highlight w:val="none"/>
        </w:rPr>
      </w:pPr>
      <w:bookmarkStart w:id="114" w:name="_Toc474245213"/>
      <w:bookmarkStart w:id="115" w:name="_Toc520190029"/>
      <w:bookmarkStart w:id="116" w:name="_Toc518992989"/>
      <w:r>
        <w:rPr>
          <w:rFonts w:hint="eastAsia" w:ascii="宋体" w:hAnsi="宋体" w:cs="宋体"/>
          <w:b/>
          <w:color w:val="auto"/>
          <w:sz w:val="24"/>
          <w:szCs w:val="24"/>
          <w:highlight w:val="none"/>
        </w:rPr>
        <w:t>第五条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支付</w:t>
      </w:r>
      <w:bookmarkEnd w:id="114"/>
      <w:bookmarkEnd w:id="115"/>
      <w:bookmarkEnd w:id="116"/>
      <w:r>
        <w:rPr>
          <w:rFonts w:hint="eastAsia" w:ascii="宋体" w:hAnsi="宋体" w:cs="宋体"/>
          <w:b/>
          <w:color w:val="auto"/>
          <w:sz w:val="24"/>
          <w:szCs w:val="24"/>
          <w:highlight w:val="none"/>
        </w:rPr>
        <w:t>方式</w:t>
      </w:r>
    </w:p>
    <w:bookmarkEnd w:id="112"/>
    <w:bookmarkEnd w:id="113"/>
    <w:p>
      <w:pPr>
        <w:tabs>
          <w:tab w:val="left" w:pos="851"/>
        </w:tabs>
        <w:adjustRightInd w:val="0"/>
        <w:snapToGrid w:val="0"/>
        <w:spacing w:after="0" w:line="360" w:lineRule="auto"/>
        <w:ind w:firstLine="480" w:firstLineChars="200"/>
        <w:rPr>
          <w:rFonts w:ascii="宋体" w:hAnsi="宋体" w:cs="宋体"/>
          <w:color w:val="auto"/>
          <w:sz w:val="24"/>
          <w:szCs w:val="24"/>
          <w:highlight w:val="none"/>
        </w:rPr>
      </w:pPr>
      <w:bookmarkStart w:id="117" w:name="_Toc14703"/>
      <w:bookmarkStart w:id="118" w:name="_Toc183666516"/>
      <w:r>
        <w:rPr>
          <w:rFonts w:ascii="宋体" w:hAnsi="宋体" w:cs="宋体"/>
          <w:color w:val="auto"/>
          <w:sz w:val="24"/>
          <w:szCs w:val="24"/>
          <w:highlight w:val="none"/>
        </w:rPr>
        <w:t>5.1</w:t>
      </w:r>
      <w:r>
        <w:rPr>
          <w:rFonts w:hint="eastAsia" w:ascii="宋体" w:hAnsi="宋体" w:cs="宋体"/>
          <w:bCs/>
          <w:color w:val="auto"/>
          <w:sz w:val="24"/>
          <w:szCs w:val="24"/>
          <w:highlight w:val="none"/>
        </w:rPr>
        <w:t>预付款的支付：</w:t>
      </w:r>
      <w:r>
        <w:rPr>
          <w:rFonts w:hint="eastAsia" w:ascii="宋体" w:hAnsi="宋体" w:cs="宋体"/>
          <w:color w:val="auto"/>
          <w:szCs w:val="21"/>
          <w:highlight w:val="none"/>
          <w:lang w:eastAsia="zh-CN"/>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有，</w:t>
      </w:r>
      <w:r>
        <w:rPr>
          <w:rFonts w:hint="eastAsia" w:ascii="宋体" w:hAnsi="宋体" w:cs="宋体"/>
          <w:bCs/>
          <w:color w:val="auto"/>
          <w:sz w:val="24"/>
          <w:szCs w:val="24"/>
          <w:highlight w:val="none"/>
        </w:rPr>
        <w:t>合同签订后，乙方开具等额的增值税专用发票及提交履约担保（如有）后</w:t>
      </w:r>
      <w:r>
        <w:rPr>
          <w:rFonts w:ascii="宋体" w:hAnsi="宋体" w:cs="宋体"/>
          <w:bCs/>
          <w:color w:val="auto"/>
          <w:sz w:val="24"/>
          <w:szCs w:val="24"/>
          <w:highlight w:val="none"/>
          <w:u w:val="single"/>
        </w:rPr>
        <w:t>10</w:t>
      </w:r>
      <w:r>
        <w:rPr>
          <w:rFonts w:hint="eastAsia" w:ascii="宋体" w:hAnsi="宋体" w:cs="宋体"/>
          <w:bCs/>
          <w:color w:val="auto"/>
          <w:sz w:val="24"/>
          <w:szCs w:val="24"/>
          <w:highlight w:val="none"/>
        </w:rPr>
        <w:t>个工作日内，甲方支付合同暂定总价的</w:t>
      </w:r>
      <w:r>
        <w:rPr>
          <w:rFonts w:ascii="宋体" w:hAnsi="宋体" w:cs="宋体"/>
          <w:bCs/>
          <w:color w:val="auto"/>
          <w:sz w:val="24"/>
          <w:szCs w:val="24"/>
          <w:highlight w:val="none"/>
        </w:rPr>
        <w:t xml:space="preserve"> </w:t>
      </w:r>
      <w:r>
        <w:rPr>
          <w:rFonts w:ascii="宋体" w:hAnsi="宋体" w:cs="宋体"/>
          <w:bCs/>
          <w:color w:val="auto"/>
          <w:sz w:val="24"/>
          <w:szCs w:val="24"/>
          <w:highlight w:val="none"/>
          <w:u w:val="single"/>
        </w:rPr>
        <w:t xml:space="preserve">  30%  </w:t>
      </w:r>
      <w:r>
        <w:rPr>
          <w:rFonts w:hint="eastAsia" w:ascii="宋体" w:hAnsi="宋体" w:cs="宋体"/>
          <w:color w:val="auto"/>
          <w:sz w:val="24"/>
          <w:szCs w:val="24"/>
          <w:highlight w:val="none"/>
        </w:rPr>
        <w:t>即</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元，（大写：</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u w:val="single"/>
        </w:rPr>
        <w:t xml:space="preserve">  </w:t>
      </w:r>
      <w:r>
        <w:rPr>
          <w:rFonts w:hint="eastAsia" w:ascii="宋体" w:hAnsi="宋体" w:cs="宋体"/>
          <w:bCs/>
          <w:color w:val="auto"/>
          <w:sz w:val="24"/>
          <w:szCs w:val="24"/>
          <w:highlight w:val="none"/>
        </w:rPr>
        <w:t>作为预付款。</w:t>
      </w:r>
      <w:r>
        <w:rPr>
          <w:rFonts w:hint="eastAsia" w:ascii="宋体" w:hAnsi="宋体" w:cs="宋体"/>
          <w:color w:val="auto"/>
          <w:sz w:val="24"/>
          <w:szCs w:val="24"/>
          <w:highlight w:val="none"/>
        </w:rPr>
        <w:t>若合同解除或终止，乙方在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个工作日内返还预付款（无息）。</w:t>
      </w:r>
      <w:r>
        <w:rPr>
          <w:rFonts w:hint="eastAsia" w:ascii="宋体" w:hAnsi="宋体" w:cs="宋体"/>
          <w:bCs/>
          <w:color w:val="auto"/>
          <w:kern w:val="0"/>
          <w:sz w:val="24"/>
          <w:szCs w:val="24"/>
          <w:highlight w:val="none"/>
        </w:rPr>
        <w:t>逾期未返还，每逾期一天，乙方应按合同暂定总价的</w:t>
      </w:r>
      <w:r>
        <w:rPr>
          <w:rFonts w:hint="eastAsia" w:ascii="宋体" w:hAnsi="宋体" w:cs="宋体"/>
          <w:bCs/>
          <w:color w:val="auto"/>
          <w:kern w:val="0"/>
          <w:sz w:val="24"/>
          <w:szCs w:val="24"/>
          <w:highlight w:val="none"/>
          <w:u w:val="single"/>
        </w:rPr>
        <w:t>万分之五</w:t>
      </w:r>
      <w:r>
        <w:rPr>
          <w:rFonts w:ascii="宋体" w:hAnsi="宋体" w:cs="宋体"/>
          <w:bCs/>
          <w:color w:val="auto"/>
          <w:kern w:val="0"/>
          <w:sz w:val="24"/>
          <w:szCs w:val="24"/>
          <w:highlight w:val="none"/>
          <w:u w:val="single"/>
        </w:rPr>
        <w:t>/</w:t>
      </w:r>
      <w:r>
        <w:rPr>
          <w:rFonts w:hint="eastAsia" w:ascii="宋体" w:hAnsi="宋体" w:cs="宋体"/>
          <w:bCs/>
          <w:color w:val="auto"/>
          <w:kern w:val="0"/>
          <w:sz w:val="24"/>
          <w:szCs w:val="24"/>
          <w:highlight w:val="none"/>
          <w:u w:val="single"/>
        </w:rPr>
        <w:t>天</w:t>
      </w:r>
      <w:r>
        <w:rPr>
          <w:rFonts w:hint="eastAsia" w:ascii="宋体" w:hAnsi="宋体" w:cs="宋体"/>
          <w:bCs/>
          <w:color w:val="auto"/>
          <w:kern w:val="0"/>
          <w:sz w:val="24"/>
          <w:szCs w:val="24"/>
          <w:highlight w:val="none"/>
        </w:rPr>
        <w:t>支付违约金</w:t>
      </w:r>
      <w:r>
        <w:rPr>
          <w:rFonts w:hint="eastAsia" w:ascii="宋体" w:hAnsi="宋体" w:cs="宋体"/>
          <w:color w:val="auto"/>
          <w:sz w:val="24"/>
          <w:szCs w:val="24"/>
          <w:highlight w:val="none"/>
        </w:rPr>
        <w:t>。</w:t>
      </w:r>
    </w:p>
    <w:p>
      <w:pPr>
        <w:adjustRightInd w:val="0"/>
        <w:snapToGrid w:val="0"/>
        <w:spacing w:line="460" w:lineRule="exact"/>
        <w:ind w:firstLine="360" w:firstLineChars="150"/>
        <w:rPr>
          <w:rFonts w:ascii="宋体" w:hAnsi="宋体" w:cs="宋体"/>
          <w:color w:val="auto"/>
          <w:sz w:val="24"/>
          <w:szCs w:val="24"/>
          <w:highlight w:val="none"/>
        </w:rPr>
      </w:pPr>
      <w:r>
        <w:rPr>
          <w:rFonts w:ascii="宋体" w:hAnsi="宋体" w:cs="宋体"/>
          <w:color w:val="auto"/>
          <w:sz w:val="24"/>
          <w:szCs w:val="24"/>
          <w:highlight w:val="none"/>
        </w:rPr>
        <w:t>5.2</w:t>
      </w:r>
      <w:r>
        <w:rPr>
          <w:rFonts w:hint="eastAsia" w:ascii="宋体" w:hAnsi="宋体" w:cs="宋体"/>
          <w:color w:val="auto"/>
          <w:sz w:val="24"/>
          <w:szCs w:val="24"/>
          <w:highlight w:val="none"/>
        </w:rPr>
        <w:t>支付方式</w:t>
      </w:r>
    </w:p>
    <w:p>
      <w:pPr>
        <w:adjustRightInd w:val="0"/>
        <w:snapToGrid w:val="0"/>
        <w:spacing w:line="460" w:lineRule="exact"/>
        <w:ind w:firstLine="360" w:firstLineChars="150"/>
        <w:rPr>
          <w:rFonts w:hint="eastAsia" w:ascii="宋体" w:hAnsi="宋体" w:cs="宋体"/>
          <w:color w:val="auto"/>
          <w:sz w:val="24"/>
          <w:szCs w:val="24"/>
          <w:highlight w:val="none"/>
        </w:rPr>
      </w:pPr>
      <w:r>
        <w:rPr>
          <w:rFonts w:ascii="宋体" w:hAnsi="宋体" w:cs="宋体"/>
          <w:color w:val="auto"/>
          <w:sz w:val="24"/>
          <w:szCs w:val="24"/>
          <w:highlight w:val="none"/>
        </w:rPr>
        <w:t>5.2.1</w:t>
      </w:r>
      <w:r>
        <w:rPr>
          <w:rFonts w:hint="eastAsia" w:ascii="宋体" w:hAnsi="宋体" w:cs="宋体"/>
          <w:color w:val="auto"/>
          <w:sz w:val="24"/>
          <w:szCs w:val="24"/>
          <w:highlight w:val="none"/>
          <w:lang w:val="en-US" w:eastAsia="zh-CN"/>
        </w:rPr>
        <w:t>各</w:t>
      </w:r>
      <w:r>
        <w:rPr>
          <w:rFonts w:hint="eastAsia" w:ascii="宋体" w:hAnsi="宋体" w:cs="宋体"/>
          <w:color w:val="auto"/>
          <w:sz w:val="24"/>
          <w:szCs w:val="24"/>
          <w:highlight w:val="none"/>
        </w:rPr>
        <w:t>设备到达现场，经</w:t>
      </w:r>
      <w:r>
        <w:rPr>
          <w:rFonts w:hint="eastAsia" w:ascii="宋体" w:hAnsi="宋体" w:cs="宋体"/>
          <w:color w:val="auto"/>
          <w:sz w:val="24"/>
          <w:szCs w:val="24"/>
          <w:highlight w:val="none"/>
          <w:u w:val="single"/>
        </w:rPr>
        <w:t>开箱</w:t>
      </w:r>
      <w:r>
        <w:rPr>
          <w:rFonts w:hint="eastAsia" w:ascii="宋体" w:hAnsi="宋体" w:cs="宋体"/>
          <w:color w:val="auto"/>
          <w:sz w:val="24"/>
          <w:szCs w:val="24"/>
          <w:highlight w:val="none"/>
        </w:rPr>
        <w:t>验收合格完毕，甲方在收到乙方提交的请款资料及等额增值税专用发票后</w:t>
      </w:r>
      <w:r>
        <w:rPr>
          <w:rFonts w:hint="eastAsia" w:ascii="宋体" w:hAnsi="宋体" w:cs="宋体"/>
          <w:color w:val="auto"/>
          <w:sz w:val="24"/>
          <w:szCs w:val="24"/>
          <w:highlight w:val="none"/>
          <w:u w:val="single"/>
          <w:lang w:val="en-US" w:eastAsia="zh-CN"/>
        </w:rPr>
        <w:t>30</w:t>
      </w:r>
      <w:r>
        <w:rPr>
          <w:rFonts w:hint="eastAsia" w:ascii="宋体" w:hAnsi="宋体" w:cs="宋体"/>
          <w:color w:val="auto"/>
          <w:sz w:val="24"/>
          <w:szCs w:val="24"/>
          <w:highlight w:val="none"/>
        </w:rPr>
        <w:t>个工作日内向乙方支付至</w:t>
      </w:r>
      <w:r>
        <w:rPr>
          <w:rFonts w:hint="eastAsia" w:ascii="宋体" w:hAnsi="宋体" w:cs="宋体"/>
          <w:color w:val="auto"/>
          <w:sz w:val="24"/>
          <w:szCs w:val="24"/>
          <w:highlight w:val="none"/>
          <w:lang w:val="en-US" w:eastAsia="zh-CN"/>
        </w:rPr>
        <w:t>合同</w:t>
      </w:r>
      <w:r>
        <w:rPr>
          <w:rFonts w:hint="eastAsia" w:ascii="宋体" w:hAnsi="宋体" w:cs="宋体"/>
          <w:color w:val="auto"/>
          <w:sz w:val="24"/>
          <w:szCs w:val="24"/>
          <w:highlight w:val="none"/>
        </w:rPr>
        <w:t>总额的</w:t>
      </w:r>
      <w:r>
        <w:rPr>
          <w:rFonts w:hint="eastAsia" w:ascii="宋体" w:hAnsi="宋体" w:cs="宋体"/>
          <w:color w:val="auto"/>
          <w:sz w:val="24"/>
          <w:szCs w:val="24"/>
          <w:highlight w:val="none"/>
          <w:lang w:val="en-US" w:eastAsia="zh-CN"/>
        </w:rPr>
        <w:t>80</w:t>
      </w:r>
      <w:r>
        <w:rPr>
          <w:rFonts w:ascii="宋体" w:hAnsi="宋体" w:cs="宋体"/>
          <w:color w:val="auto"/>
          <w:sz w:val="24"/>
          <w:szCs w:val="24"/>
          <w:highlight w:val="none"/>
        </w:rPr>
        <w:t>%</w:t>
      </w:r>
      <w:r>
        <w:rPr>
          <w:rFonts w:hint="eastAsia" w:ascii="宋体" w:hAnsi="宋体" w:cs="宋体"/>
          <w:color w:val="auto"/>
          <w:sz w:val="24"/>
          <w:szCs w:val="24"/>
          <w:highlight w:val="none"/>
        </w:rPr>
        <w:t>（含预付款）</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经甲方结算审核后</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乙方提交请款资料及等额增值税专用发票</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30</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个工作日内，支付至合同结算价的</w:t>
      </w:r>
      <w:r>
        <w:rPr>
          <w:rFonts w:ascii="宋体" w:hAnsi="宋体" w:cs="宋体"/>
          <w:color w:val="auto"/>
          <w:sz w:val="24"/>
          <w:szCs w:val="24"/>
          <w:highlight w:val="none"/>
        </w:rPr>
        <w:t>95%</w:t>
      </w:r>
      <w:r>
        <w:rPr>
          <w:rFonts w:hint="eastAsia" w:ascii="宋体" w:hAnsi="宋体" w:cs="宋体"/>
          <w:color w:val="auto"/>
          <w:sz w:val="24"/>
          <w:szCs w:val="24"/>
          <w:highlight w:val="none"/>
        </w:rPr>
        <w:t>（含预付款）（若审核价低于合同暂定总价，则以审核价作为合同结算价，否则以合同暂定总价为合同结算价），合同结算价的</w:t>
      </w:r>
      <w:r>
        <w:rPr>
          <w:rFonts w:ascii="宋体" w:hAnsi="宋体" w:cs="宋体"/>
          <w:color w:val="auto"/>
          <w:sz w:val="24"/>
          <w:szCs w:val="24"/>
          <w:highlight w:val="none"/>
        </w:rPr>
        <w:t>5%</w:t>
      </w:r>
      <w:r>
        <w:rPr>
          <w:rFonts w:hint="eastAsia" w:ascii="宋体" w:hAnsi="宋体" w:cs="宋体"/>
          <w:color w:val="auto"/>
          <w:sz w:val="24"/>
          <w:szCs w:val="24"/>
          <w:highlight w:val="none"/>
        </w:rPr>
        <w:t>作为质保金留存。</w:t>
      </w:r>
    </w:p>
    <w:p>
      <w:pPr>
        <w:pStyle w:val="13"/>
        <w:spacing w:line="360" w:lineRule="auto"/>
        <w:ind w:firstLine="525" w:firstLineChars="250"/>
        <w:outlineLvl w:val="1"/>
        <w:rPr>
          <w:rFonts w:ascii="宋体" w:hAnsi="宋体" w:cs="宋体"/>
          <w:color w:val="auto"/>
          <w:sz w:val="24"/>
          <w:szCs w:val="24"/>
          <w:highlight w:val="none"/>
        </w:rPr>
      </w:pPr>
      <w:r>
        <w:rPr>
          <w:rFonts w:hAnsi="宋体" w:cs="宋体"/>
          <w:color w:val="auto"/>
          <w:szCs w:val="24"/>
          <w:highlight w:val="none"/>
        </w:rPr>
        <w:t>5.2.2</w:t>
      </w:r>
      <w:r>
        <w:rPr>
          <w:rFonts w:hint="eastAsia" w:ascii="宋体" w:hAnsi="宋体" w:cs="宋体" w:eastAsiaTheme="minorEastAsia"/>
          <w:color w:val="auto"/>
          <w:kern w:val="2"/>
          <w:sz w:val="24"/>
          <w:szCs w:val="24"/>
          <w:highlight w:val="none"/>
          <w:lang w:val="en-US" w:eastAsia="zh-CN" w:bidi="ar-SA"/>
        </w:rPr>
        <w:t>质保期按合同第</w:t>
      </w:r>
      <w:r>
        <w:rPr>
          <w:rFonts w:hint="eastAsia" w:hAnsi="宋体" w:cs="宋体"/>
          <w:color w:val="auto"/>
          <w:kern w:val="2"/>
          <w:sz w:val="24"/>
          <w:szCs w:val="24"/>
          <w:highlight w:val="none"/>
          <w:lang w:val="en-US" w:eastAsia="zh-CN" w:bidi="ar-SA"/>
        </w:rPr>
        <w:t>十</w:t>
      </w:r>
      <w:r>
        <w:rPr>
          <w:rFonts w:hint="eastAsia" w:ascii="宋体" w:hAnsi="宋体" w:cs="宋体" w:eastAsiaTheme="minorEastAsia"/>
          <w:color w:val="auto"/>
          <w:kern w:val="2"/>
          <w:sz w:val="24"/>
          <w:szCs w:val="24"/>
          <w:highlight w:val="none"/>
          <w:lang w:val="en-US" w:eastAsia="zh-CN" w:bidi="ar-SA"/>
        </w:rPr>
        <w:t>条规定执行，质保期满且乙方不存在违约情形，乙方提交请款资料及等额增值税专用发票，甲方审核无误后在</w:t>
      </w:r>
      <w:r>
        <w:rPr>
          <w:rFonts w:hint="eastAsia" w:ascii="宋体" w:hAnsi="宋体" w:cs="宋体" w:eastAsiaTheme="minorEastAsia"/>
          <w:color w:val="auto"/>
          <w:kern w:val="2"/>
          <w:sz w:val="24"/>
          <w:szCs w:val="24"/>
          <w:highlight w:val="none"/>
          <w:u w:val="single"/>
          <w:lang w:val="en-US" w:eastAsia="zh-CN" w:bidi="ar-SA"/>
        </w:rPr>
        <w:t xml:space="preserve"> </w:t>
      </w:r>
      <w:r>
        <w:rPr>
          <w:rFonts w:hint="eastAsia" w:hAnsi="宋体" w:cs="宋体"/>
          <w:color w:val="auto"/>
          <w:kern w:val="2"/>
          <w:sz w:val="24"/>
          <w:szCs w:val="24"/>
          <w:highlight w:val="none"/>
          <w:u w:val="single"/>
          <w:lang w:val="en-US" w:eastAsia="zh-CN" w:bidi="ar-SA"/>
        </w:rPr>
        <w:t>30</w:t>
      </w:r>
      <w:r>
        <w:rPr>
          <w:rFonts w:hint="eastAsia" w:ascii="宋体" w:hAnsi="宋体" w:cs="宋体" w:eastAsiaTheme="minorEastAsia"/>
          <w:color w:val="auto"/>
          <w:kern w:val="2"/>
          <w:sz w:val="24"/>
          <w:szCs w:val="24"/>
          <w:highlight w:val="none"/>
          <w:u w:val="single"/>
          <w:lang w:val="en-US" w:eastAsia="zh-CN" w:bidi="ar-SA"/>
        </w:rPr>
        <w:t xml:space="preserve"> </w:t>
      </w:r>
      <w:r>
        <w:rPr>
          <w:rFonts w:hint="eastAsia" w:ascii="宋体" w:hAnsi="宋体" w:cs="宋体" w:eastAsiaTheme="minorEastAsia"/>
          <w:color w:val="auto"/>
          <w:kern w:val="2"/>
          <w:sz w:val="24"/>
          <w:szCs w:val="24"/>
          <w:highlight w:val="none"/>
          <w:lang w:val="en-US" w:eastAsia="zh-CN" w:bidi="ar-SA"/>
        </w:rPr>
        <w:t>个工作日内支付合同结算价的5％（质保金）给乙方(无息)。</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5.2.3</w:t>
      </w:r>
      <w:r>
        <w:rPr>
          <w:rFonts w:hint="eastAsia" w:ascii="宋体" w:hAnsi="宋体" w:cs="宋体"/>
          <w:color w:val="auto"/>
          <w:sz w:val="24"/>
          <w:szCs w:val="24"/>
          <w:highlight w:val="none"/>
        </w:rPr>
        <w:t>乙方收款账户：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收款账号：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1200" w:firstLineChars="500"/>
        <w:rPr>
          <w:rFonts w:ascii="宋体" w:hAnsi="宋体" w:cs="宋体"/>
          <w:color w:val="auto"/>
          <w:sz w:val="24"/>
          <w:szCs w:val="24"/>
          <w:highlight w:val="none"/>
        </w:rPr>
      </w:pPr>
      <w:r>
        <w:rPr>
          <w:rFonts w:hint="eastAsia" w:ascii="宋体" w:hAnsi="宋体" w:cs="宋体"/>
          <w:color w:val="auto"/>
          <w:sz w:val="24"/>
          <w:szCs w:val="24"/>
          <w:highlight w:val="none"/>
        </w:rPr>
        <w:t>开户行：</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5.2.4</w:t>
      </w:r>
      <w:r>
        <w:rPr>
          <w:rFonts w:hint="eastAsia" w:ascii="宋体" w:hAnsi="宋体" w:cs="宋体"/>
          <w:color w:val="auto"/>
          <w:sz w:val="24"/>
          <w:szCs w:val="24"/>
          <w:highlight w:val="none"/>
        </w:rPr>
        <w:t>乙方在收款前需向甲方提交等额增值税专用发票，增值税专用发票信息：</w:t>
      </w:r>
    </w:p>
    <w:p>
      <w:pPr>
        <w:spacing w:line="360" w:lineRule="auto"/>
        <w:ind w:firstLine="1200" w:firstLineChars="500"/>
        <w:rPr>
          <w:rFonts w:ascii="宋体" w:hAnsi="宋体" w:cs="宋体"/>
          <w:color w:val="auto"/>
          <w:sz w:val="24"/>
          <w:szCs w:val="24"/>
          <w:highlight w:val="none"/>
        </w:rPr>
      </w:pP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w:t>
      </w:r>
    </w:p>
    <w:p>
      <w:pPr>
        <w:spacing w:line="460" w:lineRule="exact"/>
        <w:ind w:firstLine="720" w:firstLineChars="300"/>
        <w:outlineLvl w:val="1"/>
        <w:rPr>
          <w:rFonts w:hint="eastAsia" w:ascii="宋体" w:hAnsi="宋体" w:cs="宋体"/>
          <w:color w:val="auto"/>
          <w:sz w:val="24"/>
          <w:szCs w:val="24"/>
          <w:highlight w:val="none"/>
        </w:rPr>
      </w:pPr>
      <w:r>
        <w:rPr>
          <w:rFonts w:ascii="宋体" w:hAnsi="宋体" w:cs="宋体"/>
          <w:color w:val="auto"/>
          <w:sz w:val="24"/>
          <w:szCs w:val="24"/>
          <w:highlight w:val="none"/>
        </w:rPr>
        <w:t>5.3</w:t>
      </w:r>
      <w:r>
        <w:rPr>
          <w:rFonts w:hint="eastAsia" w:ascii="宋体" w:hAnsi="宋体" w:cs="宋体"/>
          <w:color w:val="auto"/>
          <w:sz w:val="24"/>
          <w:szCs w:val="24"/>
          <w:highlight w:val="none"/>
        </w:rPr>
        <w:t>付款方式：</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FE"/>
      </w:r>
      <w:r>
        <w:rPr>
          <w:rFonts w:hint="eastAsia" w:ascii="宋体" w:hAnsi="宋体" w:cs="宋体"/>
          <w:color w:val="auto"/>
          <w:sz w:val="24"/>
          <w:szCs w:val="24"/>
          <w:highlight w:val="none"/>
        </w:rPr>
        <w:t>网银支付；</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支票；</w:t>
      </w:r>
      <w:r>
        <w:rPr>
          <w:rFonts w:ascii="宋体" w:hAnsi="宋体" w:cs="宋体"/>
          <w:color w:val="auto"/>
          <w:sz w:val="24"/>
          <w:szCs w:val="24"/>
          <w:highlight w:val="none"/>
        </w:rPr>
        <w:t xml:space="preserve">   </w:t>
      </w:r>
      <w:r>
        <w:rPr>
          <w:rFonts w:ascii="宋体" w:hAnsi="宋体" w:cs="宋体"/>
          <w:color w:val="auto"/>
          <w:sz w:val="24"/>
          <w:szCs w:val="24"/>
          <w:highlight w:val="none"/>
        </w:rPr>
        <w:sym w:font="Wingdings" w:char="00A8"/>
      </w:r>
      <w:r>
        <w:rPr>
          <w:rFonts w:hint="eastAsia" w:ascii="宋体" w:hAnsi="宋体" w:cs="宋体"/>
          <w:color w:val="auto"/>
          <w:sz w:val="24"/>
          <w:szCs w:val="24"/>
          <w:highlight w:val="none"/>
        </w:rPr>
        <w:t>其他</w:t>
      </w:r>
      <w:r>
        <w:rPr>
          <w:rFonts w:hint="eastAsia" w:ascii="宋体" w:hAnsi="宋体" w:cs="宋体"/>
          <w:color w:val="auto"/>
          <w:sz w:val="24"/>
          <w:szCs w:val="24"/>
          <w:highlight w:val="none"/>
          <w:lang w:eastAsia="zh-CN"/>
        </w:rPr>
        <w:t>。</w:t>
      </w:r>
      <w:r>
        <w:rPr>
          <w:rFonts w:ascii="宋体" w:hAnsi="宋体" w:cs="宋体"/>
          <w:color w:val="auto"/>
          <w:sz w:val="24"/>
          <w:szCs w:val="24"/>
          <w:highlight w:val="none"/>
        </w:rPr>
        <w:t xml:space="preserve">    </w:t>
      </w:r>
    </w:p>
    <w:p>
      <w:pPr>
        <w:pStyle w:val="2"/>
        <w:rPr>
          <w:color w:val="auto"/>
          <w:highlight w:val="none"/>
        </w:rPr>
      </w:pPr>
    </w:p>
    <w:bookmarkEnd w:id="117"/>
    <w:bookmarkEnd w:id="118"/>
    <w:p>
      <w:pPr>
        <w:autoSpaceDE w:val="0"/>
        <w:autoSpaceDN w:val="0"/>
        <w:adjustRightInd w:val="0"/>
        <w:spacing w:after="0" w:line="360" w:lineRule="auto"/>
        <w:rPr>
          <w:rFonts w:ascii="宋体" w:hAnsi="宋体" w:cs="宋体"/>
          <w:bCs/>
          <w:color w:val="auto"/>
          <w:sz w:val="24"/>
          <w:szCs w:val="24"/>
          <w:highlight w:val="none"/>
        </w:rPr>
      </w:pPr>
      <w:bookmarkStart w:id="119" w:name="_Toc306350465"/>
      <w:bookmarkStart w:id="120" w:name="_Toc107446861"/>
      <w:bookmarkStart w:id="121" w:name="_Toc183666534"/>
      <w:bookmarkStart w:id="122" w:name="_Toc118086592"/>
      <w:bookmarkStart w:id="123" w:name="_Toc107447254"/>
      <w:bookmarkStart w:id="124" w:name="_Toc107446860"/>
      <w:bookmarkStart w:id="125" w:name="_Toc518992998"/>
      <w:bookmarkStart w:id="126" w:name="_Toc257"/>
      <w:bookmarkStart w:id="127" w:name="_Toc520190038"/>
      <w:bookmarkStart w:id="128" w:name="_Toc474245224"/>
      <w:bookmarkStart w:id="129" w:name="_Toc107447253"/>
      <w:bookmarkStart w:id="130" w:name="_Toc183666529"/>
      <w:bookmarkStart w:id="131" w:name="_Toc5166"/>
      <w:r>
        <w:rPr>
          <w:rFonts w:hint="eastAsia" w:ascii="宋体" w:hAnsi="宋体" w:cs="宋体"/>
          <w:b/>
          <w:color w:val="auto"/>
          <w:sz w:val="24"/>
          <w:szCs w:val="24"/>
          <w:highlight w:val="none"/>
        </w:rPr>
        <w:t>第六条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履约担保</w:t>
      </w:r>
    </w:p>
    <w:p>
      <w:pPr>
        <w:spacing w:after="0" w:line="360" w:lineRule="auto"/>
        <w:ind w:firstLine="480" w:firstLineChars="200"/>
        <w:outlineLvl w:val="0"/>
        <w:rPr>
          <w:rFonts w:ascii="宋体" w:hAnsi="宋体" w:cs="宋体"/>
          <w:color w:val="auto"/>
          <w:sz w:val="24"/>
          <w:szCs w:val="24"/>
          <w:highlight w:val="none"/>
          <w:u w:val="single"/>
        </w:rPr>
      </w:pPr>
      <w:r>
        <w:rPr>
          <w:rFonts w:ascii="宋体" w:hAnsi="宋体" w:cs="宋体"/>
          <w:color w:val="auto"/>
          <w:sz w:val="24"/>
          <w:szCs w:val="24"/>
          <w:highlight w:val="none"/>
        </w:rPr>
        <w:t>6.1</w:t>
      </w:r>
      <w:r>
        <w:rPr>
          <w:rFonts w:hint="eastAsia" w:ascii="宋体" w:hAnsi="宋体" w:cs="宋体"/>
          <w:color w:val="auto"/>
          <w:sz w:val="24"/>
          <w:szCs w:val="24"/>
          <w:highlight w:val="none"/>
        </w:rPr>
        <w:t>履约担保：</w:t>
      </w:r>
      <w:r>
        <w:rPr>
          <w:rFonts w:hint="eastAsia" w:ascii="宋体" w:hAnsi="宋体" w:cs="宋体"/>
          <w:color w:val="auto"/>
          <w:szCs w:val="21"/>
          <w:highlight w:val="none"/>
        </w:rPr>
        <w:t>□</w:t>
      </w:r>
      <w:r>
        <w:rPr>
          <w:rFonts w:hint="eastAsia" w:ascii="宋体" w:hAnsi="宋体" w:cs="宋体"/>
          <w:bCs/>
          <w:color w:val="auto"/>
          <w:sz w:val="24"/>
          <w:szCs w:val="24"/>
          <w:highlight w:val="none"/>
        </w:rPr>
        <w:t>无；</w:t>
      </w:r>
      <w:r>
        <w:rPr>
          <w:rFonts w:ascii="宋体" w:hAnsi="宋体" w:cs="宋体"/>
          <w:bCs/>
          <w:color w:val="auto"/>
          <w:sz w:val="24"/>
          <w:szCs w:val="24"/>
          <w:highlight w:val="none"/>
        </w:rPr>
        <w:t xml:space="preserve">   </w:t>
      </w:r>
      <w:r>
        <w:rPr>
          <w:rFonts w:hint="eastAsia" w:ascii="宋体" w:hAnsi="宋体" w:cs="宋体"/>
          <w:color w:val="auto"/>
          <w:szCs w:val="21"/>
          <w:highlight w:val="none"/>
          <w:lang w:eastAsia="zh-CN"/>
        </w:rPr>
        <w:t>☑</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有，</w:t>
      </w:r>
      <w:r>
        <w:rPr>
          <w:rFonts w:hint="eastAsia" w:ascii="宋体" w:hAnsi="宋体" w:cs="宋体"/>
          <w:color w:val="auto"/>
          <w:sz w:val="24"/>
          <w:szCs w:val="24"/>
          <w:highlight w:val="none"/>
        </w:rPr>
        <w:t>本合同签订后</w:t>
      </w:r>
      <w:r>
        <w:rPr>
          <w:rFonts w:ascii="宋体" w:hAnsi="宋体" w:cs="宋体"/>
          <w:color w:val="auto"/>
          <w:sz w:val="24"/>
          <w:szCs w:val="24"/>
          <w:highlight w:val="none"/>
        </w:rPr>
        <w:t>10</w:t>
      </w:r>
      <w:r>
        <w:rPr>
          <w:rFonts w:hint="eastAsia" w:ascii="宋体" w:hAnsi="宋体" w:cs="宋体"/>
          <w:color w:val="auto"/>
          <w:sz w:val="24"/>
          <w:szCs w:val="24"/>
          <w:highlight w:val="none"/>
        </w:rPr>
        <w:t>日内</w:t>
      </w:r>
      <w:r>
        <w:rPr>
          <w:rFonts w:hint="eastAsia" w:ascii="宋体" w:hAnsi="宋体" w:cs="宋体"/>
          <w:color w:val="auto"/>
          <w:sz w:val="24"/>
          <w:szCs w:val="24"/>
          <w:highlight w:val="none"/>
          <w:u w:val="single"/>
        </w:rPr>
        <w:t>以合同暂定总价的</w:t>
      </w:r>
      <w:r>
        <w:rPr>
          <w:rFonts w:ascii="宋体" w:hAnsi="宋体" w:cs="宋体"/>
          <w:color w:val="auto"/>
          <w:sz w:val="24"/>
          <w:szCs w:val="24"/>
          <w:highlight w:val="none"/>
          <w:u w:val="single"/>
        </w:rPr>
        <w:t>10%作为履约保证金</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rPr>
        <w:t>金额为：</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hint="eastAsia" w:ascii="宋体" w:hAnsi="宋体" w:cs="宋体"/>
          <w:color w:val="auto"/>
          <w:sz w:val="24"/>
          <w:szCs w:val="24"/>
          <w:highlight w:val="none"/>
          <w:u w:val="single"/>
        </w:rPr>
        <w:t>（大写人民币：</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p>
    <w:p>
      <w:pPr>
        <w:pStyle w:val="22"/>
        <w:spacing w:before="0" w:beforeAutospacing="0" w:after="0" w:afterAutospacing="0" w:line="360" w:lineRule="auto"/>
        <w:ind w:firstLine="480"/>
        <w:rPr>
          <w:rFonts w:cs="宋体"/>
          <w:color w:val="auto"/>
          <w:highlight w:val="none"/>
        </w:rPr>
      </w:pPr>
      <w:r>
        <w:rPr>
          <w:rFonts w:cs="宋体"/>
          <w:color w:val="auto"/>
          <w:highlight w:val="none"/>
        </w:rPr>
        <w:t>6.2履约担保</w:t>
      </w:r>
      <w:r>
        <w:rPr>
          <w:rFonts w:hint="eastAsia" w:cs="宋体"/>
          <w:color w:val="auto"/>
          <w:highlight w:val="none"/>
        </w:rPr>
        <w:t>按以下任一种形式提供</w:t>
      </w:r>
      <w:r>
        <w:rPr>
          <w:rFonts w:cs="宋体"/>
          <w:color w:val="auto"/>
          <w:highlight w:val="none"/>
        </w:rPr>
        <w:t>：</w:t>
      </w:r>
    </w:p>
    <w:p>
      <w:pPr>
        <w:pStyle w:val="22"/>
        <w:spacing w:before="0" w:beforeAutospacing="0" w:after="0" w:afterAutospacing="0" w:line="360" w:lineRule="auto"/>
        <w:ind w:firstLine="480"/>
        <w:rPr>
          <w:rFonts w:cs="宋体"/>
          <w:color w:val="auto"/>
          <w:highlight w:val="none"/>
        </w:rPr>
      </w:pPr>
      <w:r>
        <w:rPr>
          <w:rFonts w:hint="eastAsia" w:cs="宋体"/>
          <w:color w:val="auto"/>
          <w:highlight w:val="none"/>
        </w:rPr>
        <w:t>1、符合甲方要求（详见附件6保函格式）的银行独立保函，</w:t>
      </w:r>
    </w:p>
    <w:p>
      <w:pPr>
        <w:pStyle w:val="22"/>
        <w:spacing w:before="0" w:beforeAutospacing="0" w:after="0" w:afterAutospacing="0" w:line="360" w:lineRule="auto"/>
        <w:ind w:firstLine="480"/>
        <w:rPr>
          <w:rFonts w:cs="宋体"/>
          <w:color w:val="auto"/>
          <w:highlight w:val="none"/>
        </w:rPr>
      </w:pPr>
      <w:r>
        <w:rPr>
          <w:rFonts w:hint="eastAsia" w:cs="宋体"/>
          <w:color w:val="auto"/>
          <w:highlight w:val="none"/>
        </w:rPr>
        <w:t>2、现金转账至甲方以下指定账户：</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户名：广州市净水有限公司</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账号：</w:t>
      </w:r>
      <w:r>
        <w:rPr>
          <w:rFonts w:ascii="宋体" w:hAnsi="宋体" w:cs="宋体"/>
          <w:bCs/>
          <w:color w:val="auto"/>
          <w:sz w:val="24"/>
          <w:szCs w:val="24"/>
          <w:highlight w:val="none"/>
        </w:rPr>
        <w:t>82010154900000342</w:t>
      </w:r>
    </w:p>
    <w:p>
      <w:pPr>
        <w:tabs>
          <w:tab w:val="left" w:pos="1995"/>
        </w:tabs>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开户行：浦发银行广州分行</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w:t>
      </w:r>
      <w:r>
        <w:rPr>
          <w:rFonts w:hint="eastAsia" w:ascii="宋体" w:hAnsi="宋体" w:cs="宋体"/>
          <w:color w:val="auto"/>
          <w:sz w:val="24"/>
          <w:szCs w:val="24"/>
          <w:highlight w:val="none"/>
        </w:rPr>
        <w:t>履约担保的担保期限和返还</w:t>
      </w:r>
    </w:p>
    <w:p>
      <w:pPr>
        <w:spacing w:line="360" w:lineRule="auto"/>
        <w:ind w:firstLine="480"/>
        <w:outlineLvl w:val="0"/>
        <w:rPr>
          <w:rFonts w:ascii="宋体" w:hAnsi="宋体" w:cs="宋体"/>
          <w:color w:val="auto"/>
          <w:sz w:val="24"/>
          <w:szCs w:val="24"/>
          <w:highlight w:val="none"/>
        </w:rPr>
      </w:pPr>
      <w:r>
        <w:rPr>
          <w:rFonts w:ascii="宋体" w:hAnsi="宋体" w:cs="宋体"/>
          <w:color w:val="auto"/>
          <w:sz w:val="24"/>
          <w:szCs w:val="24"/>
          <w:highlight w:val="none"/>
        </w:rPr>
        <w:t>6.3.1</w:t>
      </w:r>
      <w:r>
        <w:rPr>
          <w:rFonts w:hint="eastAsia" w:ascii="宋体" w:hAnsi="宋体" w:cs="宋体"/>
          <w:color w:val="auto"/>
          <w:sz w:val="24"/>
          <w:highlight w:val="none"/>
        </w:rPr>
        <w:t>履约银行保函（或现金履约保证金）的担保期限：从提供履约担保（或转账成功）之日起至合同履行完成。</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6.3.2</w:t>
      </w:r>
      <w:r>
        <w:rPr>
          <w:rFonts w:hint="eastAsia" w:ascii="宋体" w:hAnsi="宋体" w:cs="宋体"/>
          <w:color w:val="auto"/>
          <w:sz w:val="24"/>
          <w:highlight w:val="none"/>
        </w:rPr>
        <w:t>履约银行保函在合同履行完成后，由乙方提出申请，甲方在28日内返还，不支付利息；</w:t>
      </w:r>
      <w:r>
        <w:rPr>
          <w:rFonts w:ascii="宋体" w:hAnsi="宋体" w:cs="宋体"/>
          <w:color w:val="auto"/>
          <w:sz w:val="24"/>
          <w:szCs w:val="24"/>
          <w:highlight w:val="none"/>
        </w:rPr>
        <w:t xml:space="preserve"> </w:t>
      </w:r>
    </w:p>
    <w:p>
      <w:pPr>
        <w:spacing w:line="360" w:lineRule="auto"/>
        <w:ind w:firstLine="480" w:firstLineChars="200"/>
        <w:outlineLvl w:val="0"/>
        <w:rPr>
          <w:rFonts w:ascii="宋体" w:hAnsi="宋体" w:cs="宋体"/>
          <w:color w:val="auto"/>
          <w:sz w:val="24"/>
          <w:szCs w:val="24"/>
          <w:highlight w:val="none"/>
        </w:rPr>
      </w:pPr>
      <w:r>
        <w:rPr>
          <w:rFonts w:ascii="宋体" w:hAnsi="宋体" w:cs="宋体"/>
          <w:color w:val="auto"/>
          <w:sz w:val="24"/>
          <w:szCs w:val="24"/>
          <w:highlight w:val="none"/>
        </w:rPr>
        <w:t>6.3.3</w:t>
      </w:r>
      <w:r>
        <w:rPr>
          <w:rFonts w:hint="eastAsia" w:ascii="宋体" w:hAnsi="宋体" w:cs="宋体"/>
          <w:color w:val="auto"/>
          <w:sz w:val="24"/>
          <w:szCs w:val="24"/>
          <w:highlight w:val="none"/>
        </w:rPr>
        <w:t>延长担保期限。履约银行保函形式提交履约保证金的，在银行保函到期前，乙方应提前</w:t>
      </w:r>
      <w:r>
        <w:rPr>
          <w:rFonts w:ascii="宋体" w:hAnsi="宋体" w:cs="宋体"/>
          <w:color w:val="auto"/>
          <w:sz w:val="24"/>
          <w:szCs w:val="24"/>
          <w:highlight w:val="none"/>
          <w:u w:val="single"/>
        </w:rPr>
        <w:t xml:space="preserve"> 7 </w:t>
      </w:r>
      <w:r>
        <w:rPr>
          <w:rFonts w:ascii="宋体" w:hAnsi="宋体" w:cs="宋体"/>
          <w:color w:val="auto"/>
          <w:sz w:val="24"/>
          <w:szCs w:val="24"/>
          <w:highlight w:val="none"/>
        </w:rPr>
        <w:t>天向甲方提交新的保函以替换即将到期的保函</w:t>
      </w:r>
      <w:r>
        <w:rPr>
          <w:rFonts w:hint="eastAsia" w:ascii="宋体" w:hAnsi="宋体" w:cs="宋体"/>
          <w:color w:val="auto"/>
          <w:sz w:val="24"/>
          <w:szCs w:val="24"/>
          <w:highlight w:val="none"/>
        </w:rPr>
        <w:t>。如乙方未及时提交的，甲方有权直接要求担保银行支付其担保的全部金额并解除合同。</w:t>
      </w:r>
    </w:p>
    <w:p>
      <w:pPr>
        <w:pStyle w:val="22"/>
        <w:spacing w:before="0" w:beforeAutospacing="0" w:after="0" w:afterAutospacing="0" w:line="360" w:lineRule="auto"/>
        <w:ind w:firstLine="525"/>
        <w:rPr>
          <w:rFonts w:cs="宋体"/>
          <w:color w:val="auto"/>
          <w:highlight w:val="none"/>
        </w:rPr>
      </w:pPr>
      <w:r>
        <w:rPr>
          <w:rFonts w:cs="宋体"/>
          <w:color w:val="auto"/>
          <w:highlight w:val="none"/>
        </w:rPr>
        <w:t>6.3.4</w:t>
      </w:r>
      <w:r>
        <w:rPr>
          <w:rFonts w:hint="eastAsia" w:cs="宋体"/>
          <w:color w:val="auto"/>
          <w:highlight w:val="none"/>
        </w:rPr>
        <w:t>现金履约保证金的退还：合同履行完成后，由乙方提出申请，甲方在</w:t>
      </w:r>
      <w:r>
        <w:rPr>
          <w:rFonts w:cs="宋体"/>
          <w:color w:val="auto"/>
          <w:highlight w:val="none"/>
        </w:rPr>
        <w:t>28</w:t>
      </w:r>
      <w:r>
        <w:rPr>
          <w:rFonts w:hint="eastAsia" w:cs="宋体"/>
          <w:color w:val="auto"/>
          <w:highlight w:val="none"/>
        </w:rPr>
        <w:t>天</w:t>
      </w:r>
      <w:r>
        <w:rPr>
          <w:rFonts w:cs="宋体"/>
          <w:color w:val="auto"/>
          <w:highlight w:val="none"/>
        </w:rPr>
        <w:t>内</w:t>
      </w:r>
      <w:r>
        <w:rPr>
          <w:rFonts w:hint="eastAsia" w:cs="宋体"/>
          <w:color w:val="auto"/>
          <w:highlight w:val="none"/>
        </w:rPr>
        <w:t>将剩余履约保证金（无息）返还。</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6.3.5</w:t>
      </w:r>
      <w:r>
        <w:rPr>
          <w:rFonts w:hint="eastAsia" w:ascii="宋体" w:hAnsi="宋体" w:cs="宋体"/>
          <w:color w:val="auto"/>
          <w:sz w:val="24"/>
          <w:szCs w:val="24"/>
          <w:highlight w:val="none"/>
        </w:rPr>
        <w:t>甲方按合同约定提取履约担保金额后，乙方应在收到甲方通知后</w:t>
      </w:r>
      <w:r>
        <w:rPr>
          <w:rFonts w:ascii="宋体" w:hAnsi="宋体" w:cs="宋体"/>
          <w:color w:val="auto"/>
          <w:sz w:val="24"/>
          <w:szCs w:val="24"/>
          <w:highlight w:val="none"/>
          <w:u w:val="single"/>
        </w:rPr>
        <w:t xml:space="preserve"> 7 </w:t>
      </w:r>
      <w:r>
        <w:rPr>
          <w:rFonts w:hint="eastAsia" w:ascii="宋体" w:hAnsi="宋体" w:cs="宋体"/>
          <w:color w:val="auto"/>
          <w:sz w:val="24"/>
          <w:szCs w:val="24"/>
          <w:highlight w:val="none"/>
        </w:rPr>
        <w:t>天内补足数额，逾期未补足，则甲方有权提取履约担保的全部余额并解除合同。</w:t>
      </w:r>
    </w:p>
    <w:p>
      <w:pPr>
        <w:pStyle w:val="2"/>
        <w:rPr>
          <w:color w:val="auto"/>
          <w:highlight w:val="none"/>
        </w:rPr>
      </w:pPr>
    </w:p>
    <w:p>
      <w:pPr>
        <w:spacing w:after="0" w:line="360" w:lineRule="auto"/>
        <w:ind w:firstLine="482" w:firstLineChars="200"/>
        <w:rPr>
          <w:rFonts w:ascii="宋体" w:hAnsi="宋体" w:cs="宋体"/>
          <w:b/>
          <w:color w:val="auto"/>
          <w:sz w:val="24"/>
          <w:szCs w:val="24"/>
          <w:highlight w:val="none"/>
        </w:rPr>
      </w:pPr>
      <w:r>
        <w:rPr>
          <w:rFonts w:hint="eastAsia" w:ascii="宋体" w:hAnsi="宋体" w:cs="宋体"/>
          <w:b/>
          <w:bCs/>
          <w:color w:val="auto"/>
          <w:kern w:val="0"/>
          <w:sz w:val="24"/>
          <w:szCs w:val="24"/>
          <w:highlight w:val="none"/>
        </w:rPr>
        <w:t>第七条</w:t>
      </w:r>
      <w:r>
        <w:rPr>
          <w:rFonts w:ascii="宋体" w:hAnsi="宋体" w:cs="宋体"/>
          <w:b/>
          <w:bCs/>
          <w:color w:val="auto"/>
          <w:kern w:val="0"/>
          <w:sz w:val="24"/>
          <w:szCs w:val="24"/>
          <w:highlight w:val="none"/>
        </w:rPr>
        <w:t xml:space="preserve"> </w:t>
      </w:r>
      <w:r>
        <w:rPr>
          <w:rFonts w:hint="eastAsia" w:ascii="宋体" w:hAnsi="宋体" w:cs="宋体"/>
          <w:b/>
          <w:color w:val="auto"/>
          <w:sz w:val="24"/>
          <w:szCs w:val="24"/>
          <w:highlight w:val="none"/>
        </w:rPr>
        <w:t>交货及检验要求</w:t>
      </w:r>
    </w:p>
    <w:p>
      <w:pPr>
        <w:autoSpaceDE w:val="0"/>
        <w:autoSpaceDN w:val="0"/>
        <w:adjustRightIn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7.1 </w:t>
      </w:r>
      <w:r>
        <w:rPr>
          <w:rFonts w:hint="eastAsia" w:ascii="宋体" w:hAnsi="宋体" w:cs="宋体"/>
          <w:bCs/>
          <w:color w:val="auto"/>
          <w:sz w:val="24"/>
          <w:szCs w:val="24"/>
          <w:highlight w:val="none"/>
        </w:rPr>
        <w:t>交货要求：乙方应在交货时向甲方提供出厂合格证、产品质量证明文件、操作维修手册等（手册应包含设备情况、系统和主要部件常见故障、保养要求、紧急维修电话等内容）。</w:t>
      </w:r>
    </w:p>
    <w:p>
      <w:pPr>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7.2</w:t>
      </w:r>
      <w:r>
        <w:rPr>
          <w:rFonts w:hint="eastAsia" w:ascii="宋体" w:hAnsi="宋体" w:cs="宋体"/>
          <w:bCs/>
          <w:color w:val="auto"/>
          <w:sz w:val="24"/>
          <w:szCs w:val="24"/>
          <w:highlight w:val="none"/>
        </w:rPr>
        <w:t>外观验收：设备运抵交货地点后，甲乙双方根据合同约定对合同设备的包装、外观与件数进行清点检查，并共同签署合同设备外观检查记录。</w:t>
      </w:r>
    </w:p>
    <w:p>
      <w:pPr>
        <w:spacing w:after="0" w:line="360" w:lineRule="auto"/>
        <w:ind w:firstLine="480" w:firstLineChars="200"/>
        <w:rPr>
          <w:rFonts w:ascii="宋体" w:hAnsi="宋体" w:cs="宋体"/>
          <w:color w:val="auto"/>
          <w:sz w:val="24"/>
          <w:szCs w:val="24"/>
          <w:highlight w:val="none"/>
        </w:rPr>
      </w:pPr>
      <w:r>
        <w:rPr>
          <w:rFonts w:ascii="宋体" w:hAnsi="宋体" w:cs="宋体"/>
          <w:bCs/>
          <w:color w:val="auto"/>
          <w:sz w:val="24"/>
          <w:szCs w:val="24"/>
          <w:highlight w:val="none"/>
        </w:rPr>
        <w:t xml:space="preserve">7.3 </w:t>
      </w:r>
      <w:r>
        <w:rPr>
          <w:rFonts w:hint="eastAsia" w:ascii="宋体" w:hAnsi="宋体" w:cs="宋体"/>
          <w:bCs/>
          <w:color w:val="auto"/>
          <w:sz w:val="24"/>
          <w:szCs w:val="24"/>
          <w:highlight w:val="none"/>
        </w:rPr>
        <w:t>开箱验收：开箱检验在合同设备交付地点进行，</w:t>
      </w:r>
      <w:r>
        <w:rPr>
          <w:rFonts w:hint="eastAsia" w:ascii="宋体" w:hAnsi="宋体" w:cs="宋体"/>
          <w:color w:val="auto"/>
          <w:sz w:val="24"/>
          <w:szCs w:val="24"/>
          <w:highlight w:val="none"/>
        </w:rPr>
        <w:t>包括但不限于对合同设备数量、规格、外观完好性进行检验。经验收合格后，甲方签发开箱检验合格证明。开箱验收合格前，设备的损坏风险由乙方承担。</w:t>
      </w:r>
    </w:p>
    <w:p>
      <w:pPr>
        <w:adjustRightInd w:val="0"/>
        <w:snapToGrid w:val="0"/>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7.4</w:t>
      </w:r>
      <w:r>
        <w:rPr>
          <w:rFonts w:hint="eastAsia" w:ascii="宋体" w:hAnsi="宋体" w:cs="宋体"/>
          <w:color w:val="auto"/>
          <w:sz w:val="24"/>
          <w:szCs w:val="24"/>
          <w:highlight w:val="none"/>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spacing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7.5</w:t>
      </w:r>
      <w:r>
        <w:rPr>
          <w:rFonts w:hint="eastAsia" w:ascii="宋体" w:hAnsi="宋体" w:cs="宋体"/>
          <w:color w:val="auto"/>
          <w:sz w:val="24"/>
          <w:szCs w:val="24"/>
          <w:highlight w:val="none"/>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highlight w:val="none"/>
        </w:rPr>
        <w:t>7.4</w:t>
      </w:r>
      <w:r>
        <w:rPr>
          <w:rFonts w:hint="eastAsia" w:ascii="宋体" w:hAnsi="宋体" w:cs="宋体"/>
          <w:color w:val="auto"/>
          <w:sz w:val="24"/>
          <w:szCs w:val="24"/>
          <w:highlight w:val="none"/>
        </w:rPr>
        <w:t>条执行，交货时间不顺延。</w:t>
      </w:r>
    </w:p>
    <w:p>
      <w:pPr>
        <w:spacing w:after="0" w:line="360" w:lineRule="auto"/>
        <w:rPr>
          <w:rFonts w:ascii="宋体" w:hAnsi="宋体" w:cs="宋体"/>
          <w:color w:val="auto"/>
          <w:sz w:val="24"/>
          <w:szCs w:val="24"/>
          <w:highlight w:val="none"/>
        </w:rPr>
      </w:pPr>
      <w:r>
        <w:rPr>
          <w:rFonts w:ascii="宋体" w:hAnsi="宋体" w:cs="宋体"/>
          <w:color w:val="auto"/>
          <w:sz w:val="24"/>
          <w:szCs w:val="24"/>
          <w:highlight w:val="none"/>
        </w:rPr>
        <w:t xml:space="preserve">    7.6 </w:t>
      </w:r>
      <w:r>
        <w:rPr>
          <w:rFonts w:hint="eastAsia" w:ascii="宋体" w:hAnsi="宋体" w:cs="宋体"/>
          <w:color w:val="auto"/>
          <w:sz w:val="24"/>
          <w:szCs w:val="24"/>
          <w:highlight w:val="none"/>
        </w:rPr>
        <w:t>甲方有权对合同设备进行原厂正品验证，若合同设备无法获原厂验证，甲方有权退回设备，要求乙方在</w:t>
      </w:r>
      <w:r>
        <w:rPr>
          <w:rFonts w:ascii="宋体" w:hAnsi="宋体" w:cs="宋体"/>
          <w:color w:val="auto"/>
          <w:sz w:val="24"/>
          <w:szCs w:val="24"/>
          <w:highlight w:val="none"/>
          <w:u w:val="single"/>
        </w:rPr>
        <w:t xml:space="preserve"> 5 </w:t>
      </w:r>
      <w:r>
        <w:rPr>
          <w:rFonts w:hint="eastAsia" w:ascii="宋体" w:hAnsi="宋体" w:cs="宋体"/>
          <w:color w:val="auto"/>
          <w:sz w:val="24"/>
          <w:szCs w:val="24"/>
          <w:highlight w:val="none"/>
        </w:rPr>
        <w:t>个工作日内退回已支付款项并按设备价格的</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w:t>
      </w:r>
      <w:r>
        <w:rPr>
          <w:rFonts w:ascii="宋体" w:hAnsi="宋体" w:cs="宋体"/>
          <w:color w:val="auto"/>
          <w:sz w:val="24"/>
          <w:szCs w:val="24"/>
          <w:highlight w:val="none"/>
          <w:u w:val="single"/>
        </w:rPr>
        <w:t xml:space="preserve">   </w:t>
      </w:r>
      <w:r>
        <w:rPr>
          <w:rFonts w:ascii="宋体" w:hAnsi="宋体" w:cs="宋体"/>
          <w:color w:val="auto"/>
          <w:sz w:val="24"/>
          <w:szCs w:val="24"/>
          <w:highlight w:val="none"/>
        </w:rPr>
        <w:t>%</w:t>
      </w:r>
      <w:r>
        <w:rPr>
          <w:rFonts w:hint="eastAsia" w:ascii="宋体" w:hAnsi="宋体" w:cs="宋体"/>
          <w:color w:val="auto"/>
          <w:sz w:val="24"/>
          <w:szCs w:val="24"/>
          <w:highlight w:val="none"/>
        </w:rPr>
        <w:t>支付违约金。</w:t>
      </w:r>
    </w:p>
    <w:p>
      <w:pPr>
        <w:pStyle w:val="2"/>
        <w:rPr>
          <w:color w:val="auto"/>
          <w:highlight w:val="none"/>
        </w:rPr>
      </w:pPr>
    </w:p>
    <w:p>
      <w:pPr>
        <w:spacing w:before="120" w:after="120" w:line="360" w:lineRule="auto"/>
        <w:ind w:firstLine="482" w:firstLineChars="200"/>
        <w:rPr>
          <w:rFonts w:ascii="宋体" w:hAnsi="宋体" w:cs="宋体"/>
          <w:b/>
          <w:color w:val="auto"/>
          <w:sz w:val="24"/>
          <w:szCs w:val="24"/>
          <w:highlight w:val="none"/>
        </w:rPr>
      </w:pPr>
      <w:bookmarkStart w:id="132" w:name="_Toc474245215"/>
      <w:bookmarkStart w:id="133" w:name="_Toc518992990"/>
      <w:bookmarkStart w:id="134" w:name="_Toc520190030"/>
      <w:r>
        <w:rPr>
          <w:rFonts w:hint="eastAsia" w:ascii="宋体" w:hAnsi="宋体" w:cs="宋体"/>
          <w:b/>
          <w:color w:val="auto"/>
          <w:sz w:val="24"/>
          <w:szCs w:val="24"/>
          <w:highlight w:val="none"/>
        </w:rPr>
        <w:t>第八条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包装</w:t>
      </w:r>
      <w:bookmarkEnd w:id="132"/>
      <w:bookmarkEnd w:id="133"/>
      <w:bookmarkEnd w:id="134"/>
      <w:r>
        <w:rPr>
          <w:rFonts w:hint="eastAsia" w:ascii="宋体" w:hAnsi="宋体" w:cs="宋体"/>
          <w:b/>
          <w:color w:val="auto"/>
          <w:sz w:val="24"/>
          <w:szCs w:val="24"/>
          <w:highlight w:val="none"/>
        </w:rPr>
        <w:t>、标示及运输要求</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8.1 </w:t>
      </w:r>
      <w:r>
        <w:rPr>
          <w:rFonts w:hint="eastAsia" w:ascii="宋体" w:hAnsi="宋体" w:cs="宋体"/>
          <w:bCs/>
          <w:color w:val="auto"/>
          <w:sz w:val="24"/>
          <w:szCs w:val="24"/>
          <w:highlight w:val="none"/>
        </w:rPr>
        <w:t>包装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8.1.1</w:t>
      </w:r>
      <w:r>
        <w:rPr>
          <w:rFonts w:hint="eastAsia" w:ascii="宋体" w:hAnsi="宋体" w:cs="宋体"/>
          <w:bCs/>
          <w:color w:val="auto"/>
          <w:sz w:val="24"/>
          <w:szCs w:val="24"/>
          <w:highlight w:val="none"/>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8.1.2</w:t>
      </w:r>
      <w:r>
        <w:rPr>
          <w:rFonts w:hint="eastAsia" w:ascii="宋体" w:hAnsi="宋体" w:cs="宋体"/>
          <w:bCs/>
          <w:color w:val="auto"/>
          <w:sz w:val="24"/>
          <w:szCs w:val="24"/>
          <w:highlight w:val="none"/>
        </w:rPr>
        <w:t>超限设备的包装要求：</w:t>
      </w:r>
      <w:r>
        <w:rPr>
          <w:rFonts w:ascii="宋体" w:hAnsi="宋体" w:cs="宋体"/>
          <w:bCs/>
          <w:color w:val="auto"/>
          <w:sz w:val="24"/>
          <w:szCs w:val="24"/>
          <w:highlight w:val="none"/>
          <w:u w:val="single"/>
        </w:rPr>
        <w:t xml:space="preserve">  /  </w:t>
      </w:r>
      <w:r>
        <w:rPr>
          <w:rFonts w:hint="eastAsia" w:ascii="宋体" w:hAnsi="宋体" w:cs="宋体"/>
          <w:bCs/>
          <w:color w:val="auto"/>
          <w:sz w:val="24"/>
          <w:szCs w:val="24"/>
          <w:highlight w:val="none"/>
        </w:rPr>
        <w:t>。</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8.2 </w:t>
      </w:r>
      <w:bookmarkStart w:id="135" w:name="_Toc107446851"/>
      <w:bookmarkStart w:id="136" w:name="_Toc107447244"/>
      <w:r>
        <w:rPr>
          <w:rFonts w:hint="eastAsia" w:ascii="宋体" w:hAnsi="宋体" w:cs="宋体"/>
          <w:bCs/>
          <w:color w:val="auto"/>
          <w:sz w:val="24"/>
          <w:szCs w:val="24"/>
          <w:highlight w:val="none"/>
        </w:rPr>
        <w:t>标志</w:t>
      </w:r>
    </w:p>
    <w:bookmarkEnd w:id="135"/>
    <w:bookmarkEnd w:id="136"/>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8.2.1</w:t>
      </w:r>
      <w:r>
        <w:rPr>
          <w:rFonts w:hint="eastAsia" w:ascii="宋体" w:hAnsi="宋体" w:cs="宋体"/>
          <w:bCs/>
          <w:color w:val="auto"/>
          <w:sz w:val="24"/>
          <w:szCs w:val="24"/>
          <w:highlight w:val="none"/>
        </w:rPr>
        <w:t>乙方应按照国家标准对设备的外包装进行标志。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color w:val="auto"/>
          <w:sz w:val="24"/>
          <w:szCs w:val="24"/>
          <w:highlight w:val="none"/>
        </w:rPr>
        <w:t>8.2.2</w:t>
      </w:r>
      <w:r>
        <w:rPr>
          <w:rFonts w:hint="eastAsia" w:ascii="宋体" w:hAnsi="宋体" w:cs="宋体"/>
          <w:color w:val="auto"/>
          <w:sz w:val="24"/>
          <w:szCs w:val="24"/>
          <w:highlight w:val="none"/>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adjustRightInd w:val="0"/>
        <w:snapToGrid w:val="0"/>
        <w:spacing w:after="0"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8.2.3  </w:t>
      </w:r>
      <w:r>
        <w:rPr>
          <w:rFonts w:hint="eastAsia" w:ascii="宋体" w:hAnsi="宋体" w:cs="宋体"/>
          <w:bCs/>
          <w:color w:val="auto"/>
          <w:sz w:val="24"/>
          <w:szCs w:val="24"/>
          <w:highlight w:val="none"/>
        </w:rPr>
        <w:t>如由于包装不当或包装箱内部保护措施不符合要求而导致在装车或运输中发生设备或其任何部件的损坏或遗失，乙方应自费对缺损的设备、部件进行修理、更换或补供。</w:t>
      </w:r>
      <w:bookmarkStart w:id="137" w:name="_Toc9269"/>
      <w:bookmarkStart w:id="138" w:name="_Toc518992992"/>
      <w:bookmarkStart w:id="139" w:name="_Toc520190032"/>
      <w:bookmarkStart w:id="140" w:name="_Toc306350457"/>
      <w:bookmarkStart w:id="141" w:name="_Toc474245218"/>
      <w:bookmarkStart w:id="142" w:name="_Toc183666521"/>
    </w:p>
    <w:p>
      <w:pPr>
        <w:adjustRightInd w:val="0"/>
        <w:snapToGrid w:val="0"/>
        <w:spacing w:after="0"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w:t>
      </w:r>
      <w:r>
        <w:rPr>
          <w:rFonts w:hint="eastAsia" w:ascii="宋体" w:hAnsi="宋体" w:cs="宋体"/>
          <w:color w:val="auto"/>
          <w:sz w:val="24"/>
          <w:szCs w:val="24"/>
          <w:highlight w:val="none"/>
        </w:rPr>
        <w:t>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8.3.1</w:t>
      </w:r>
      <w:r>
        <w:rPr>
          <w:rFonts w:hint="eastAsia" w:ascii="宋体" w:hAnsi="宋体" w:cs="宋体"/>
          <w:color w:val="auto"/>
          <w:sz w:val="24"/>
          <w:szCs w:val="24"/>
          <w:highlight w:val="none"/>
        </w:rPr>
        <w:t>乙方应自行选择适宜的运输工具及线路安排合同设备运输。</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8.3.2 </w:t>
      </w:r>
      <w:r>
        <w:rPr>
          <w:rFonts w:hint="eastAsia" w:ascii="宋体" w:hAnsi="宋体" w:cs="宋体"/>
          <w:color w:val="auto"/>
          <w:sz w:val="24"/>
          <w:szCs w:val="24"/>
          <w:highlight w:val="none"/>
        </w:rPr>
        <w:t>除合同条款另有约定外，每件设备的备品备件应整套装运。</w:t>
      </w:r>
    </w:p>
    <w:p>
      <w:pPr>
        <w:adjustRightInd w:val="0"/>
        <w:snapToGrid w:val="0"/>
        <w:spacing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8.3.3 </w:t>
      </w:r>
      <w:r>
        <w:rPr>
          <w:rFonts w:hint="eastAsia" w:ascii="宋体" w:hAnsi="宋体" w:cs="宋体"/>
          <w:color w:val="auto"/>
          <w:sz w:val="24"/>
          <w:szCs w:val="24"/>
          <w:highlight w:val="none"/>
        </w:rPr>
        <w:t>除合同条款另有约定外，乙方应在合同设备预计启运</w:t>
      </w:r>
      <w:r>
        <w:rPr>
          <w:rFonts w:ascii="宋体" w:hAnsi="宋体" w:cs="宋体"/>
          <w:color w:val="auto"/>
          <w:sz w:val="24"/>
          <w:szCs w:val="24"/>
          <w:highlight w:val="none"/>
        </w:rPr>
        <w:t>7</w:t>
      </w:r>
      <w:r>
        <w:rPr>
          <w:rFonts w:hint="eastAsia" w:ascii="宋体" w:hAnsi="宋体" w:cs="宋体"/>
          <w:color w:val="auto"/>
          <w:sz w:val="24"/>
          <w:szCs w:val="24"/>
          <w:highlight w:val="none"/>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highlight w:val="none"/>
        </w:rPr>
        <w:t xml:space="preserve"> 24 </w:t>
      </w:r>
      <w:r>
        <w:rPr>
          <w:rFonts w:hint="eastAsia" w:ascii="宋体" w:hAnsi="宋体" w:cs="宋体"/>
          <w:color w:val="auto"/>
          <w:sz w:val="24"/>
          <w:szCs w:val="24"/>
          <w:highlight w:val="none"/>
        </w:rPr>
        <w:t>小时之内正式通知甲方。</w:t>
      </w:r>
    </w:p>
    <w:p>
      <w:pPr>
        <w:pStyle w:val="2"/>
        <w:rPr>
          <w:color w:val="auto"/>
          <w:highlight w:val="none"/>
        </w:rPr>
      </w:pPr>
    </w:p>
    <w:bookmarkEnd w:id="137"/>
    <w:bookmarkEnd w:id="138"/>
    <w:bookmarkEnd w:id="139"/>
    <w:bookmarkEnd w:id="140"/>
    <w:bookmarkEnd w:id="141"/>
    <w:bookmarkEnd w:id="142"/>
    <w:p>
      <w:pPr>
        <w:adjustRightInd w:val="0"/>
        <w:snapToGrid w:val="0"/>
        <w:spacing w:before="120" w:beforeLines="50" w:after="120" w:afterLines="50" w:line="360" w:lineRule="auto"/>
        <w:ind w:firstLine="482" w:firstLineChars="200"/>
        <w:rPr>
          <w:rFonts w:ascii="宋体" w:hAnsi="宋体" w:cs="宋体"/>
          <w:color w:val="auto"/>
          <w:sz w:val="24"/>
          <w:szCs w:val="24"/>
          <w:highlight w:val="none"/>
        </w:rPr>
      </w:pPr>
      <w:bookmarkStart w:id="143" w:name="_Toc183666522"/>
      <w:bookmarkStart w:id="144" w:name="_Toc18496"/>
      <w:bookmarkStart w:id="145" w:name="_Toc306350458"/>
      <w:r>
        <w:rPr>
          <w:rFonts w:hint="eastAsia" w:ascii="宋体" w:hAnsi="宋体" w:cs="宋体"/>
          <w:b/>
          <w:color w:val="auto"/>
          <w:sz w:val="24"/>
          <w:szCs w:val="24"/>
          <w:highlight w:val="none"/>
        </w:rPr>
        <w:t>第九条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9.1  </w:t>
      </w:r>
      <w:r>
        <w:rPr>
          <w:rFonts w:hint="eastAsia" w:ascii="宋体" w:hAnsi="宋体" w:cs="宋体"/>
          <w:color w:val="auto"/>
          <w:sz w:val="24"/>
          <w:szCs w:val="24"/>
          <w:highlight w:val="none"/>
        </w:rPr>
        <w:t>乙方应按甲方需求，派遣技术熟练、称职的技术人员到现场为甲方提供设备调试运行等技术服务。</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9.2  </w:t>
      </w:r>
      <w:r>
        <w:rPr>
          <w:rFonts w:hint="eastAsia" w:ascii="宋体" w:hAnsi="宋体" w:cs="宋体"/>
          <w:color w:val="auto"/>
          <w:sz w:val="24"/>
          <w:szCs w:val="24"/>
          <w:highlight w:val="none"/>
        </w:rPr>
        <w:t>甲方为乙方技术人员提供工作条件及便利，包括但不限于必要的办公场所、技术资料及出入许可等。除合同另有约定外，乙方技术人员的交通、食宿费用由乙方承担。</w:t>
      </w:r>
    </w:p>
    <w:p>
      <w:pPr>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9.3  </w:t>
      </w:r>
      <w:r>
        <w:rPr>
          <w:rFonts w:hint="eastAsia" w:ascii="宋体" w:hAnsi="宋体" w:cs="宋体"/>
          <w:color w:val="auto"/>
          <w:sz w:val="24"/>
          <w:szCs w:val="24"/>
          <w:highlight w:val="none"/>
        </w:rPr>
        <w:t>乙方技术人员应遵守甲方施工现场的各项规章制度和安全操作规程，并服从甲方的现场管理。</w:t>
      </w:r>
    </w:p>
    <w:p>
      <w:pPr>
        <w:adjustRightInd w:val="0"/>
        <w:snapToGrid w:val="0"/>
        <w:spacing w:line="360" w:lineRule="auto"/>
        <w:ind w:firstLine="480" w:firstLineChars="200"/>
        <w:rPr>
          <w:rFonts w:hint="eastAsia" w:ascii="宋体" w:hAnsi="宋体" w:cs="宋体"/>
          <w:color w:val="auto"/>
          <w:sz w:val="24"/>
          <w:szCs w:val="24"/>
          <w:highlight w:val="none"/>
        </w:rPr>
      </w:pPr>
      <w:r>
        <w:rPr>
          <w:rFonts w:ascii="宋体" w:hAnsi="宋体" w:cs="宋体"/>
          <w:color w:val="auto"/>
          <w:sz w:val="24"/>
          <w:szCs w:val="24"/>
          <w:highlight w:val="none"/>
        </w:rPr>
        <w:t xml:space="preserve">9.4  </w:t>
      </w:r>
      <w:r>
        <w:rPr>
          <w:rFonts w:hint="eastAsia" w:ascii="宋体" w:hAnsi="宋体" w:cs="宋体"/>
          <w:color w:val="auto"/>
          <w:sz w:val="24"/>
          <w:szCs w:val="24"/>
          <w:highlight w:val="none"/>
        </w:rPr>
        <w:t>如果乙方技术人员提供的服务达不到合同和甲方要求的，甲方有权要求乙方撤换，因撤换而产生的费用应由乙方承担。在不影响技术服务并且征得甲方同意的条件下，乙方也可自负费用更换其技术人员。</w:t>
      </w:r>
    </w:p>
    <w:p>
      <w:pPr>
        <w:pStyle w:val="2"/>
        <w:rPr>
          <w:color w:val="auto"/>
          <w:highlight w:val="none"/>
        </w:rPr>
      </w:pPr>
    </w:p>
    <w:bookmarkEnd w:id="143"/>
    <w:bookmarkEnd w:id="144"/>
    <w:bookmarkEnd w:id="145"/>
    <w:p>
      <w:pPr>
        <w:autoSpaceDE w:val="0"/>
        <w:autoSpaceDN w:val="0"/>
        <w:adjustRightInd w:val="0"/>
        <w:spacing w:line="360" w:lineRule="auto"/>
        <w:ind w:firstLine="482" w:firstLineChars="200"/>
        <w:rPr>
          <w:rFonts w:ascii="宋体" w:hAnsi="宋体" w:cs="宋体"/>
          <w:b/>
          <w:color w:val="auto"/>
          <w:sz w:val="24"/>
          <w:szCs w:val="24"/>
          <w:highlight w:val="none"/>
        </w:rPr>
      </w:pPr>
      <w:bookmarkStart w:id="146" w:name="_Toc520190034"/>
      <w:bookmarkStart w:id="147" w:name="_Toc518992994"/>
      <w:bookmarkStart w:id="148" w:name="_Toc474245220"/>
      <w:bookmarkStart w:id="149" w:name="_Toc183666523"/>
      <w:bookmarkStart w:id="150" w:name="_Toc306350459"/>
      <w:bookmarkStart w:id="151" w:name="_Toc4682"/>
      <w:r>
        <w:rPr>
          <w:rFonts w:hint="eastAsia" w:ascii="宋体" w:hAnsi="宋体" w:cs="宋体"/>
          <w:b/>
          <w:color w:val="auto"/>
          <w:sz w:val="24"/>
          <w:szCs w:val="24"/>
          <w:highlight w:val="none"/>
        </w:rPr>
        <w:t>第十条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质量保</w:t>
      </w:r>
      <w:bookmarkEnd w:id="146"/>
      <w:bookmarkEnd w:id="147"/>
      <w:bookmarkEnd w:id="148"/>
      <w:r>
        <w:rPr>
          <w:rFonts w:hint="eastAsia" w:ascii="宋体" w:hAnsi="宋体" w:cs="宋体"/>
          <w:b/>
          <w:color w:val="auto"/>
          <w:sz w:val="24"/>
          <w:szCs w:val="24"/>
          <w:highlight w:val="none"/>
        </w:rPr>
        <w:t>修</w:t>
      </w:r>
    </w:p>
    <w:p>
      <w:pPr>
        <w:tabs>
          <w:tab w:val="left" w:pos="851"/>
        </w:tabs>
        <w:adjustRightInd w:val="0"/>
        <w:snapToGrid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10.1</w:t>
      </w:r>
      <w:r>
        <w:rPr>
          <w:rFonts w:hint="eastAsia" w:ascii="宋体" w:hAnsi="宋体" w:cs="宋体"/>
          <w:color w:val="auto"/>
          <w:sz w:val="24"/>
          <w:szCs w:val="24"/>
          <w:highlight w:val="none"/>
        </w:rPr>
        <w:t>保修期：自</w:t>
      </w:r>
      <w:r>
        <w:rPr>
          <w:rFonts w:hint="eastAsia" w:ascii="宋体" w:hAnsi="宋体" w:cs="宋体"/>
          <w:color w:val="auto"/>
          <w:kern w:val="0"/>
          <w:sz w:val="24"/>
          <w:szCs w:val="24"/>
          <w:highlight w:val="none"/>
          <w:lang w:val="zh-CN"/>
        </w:rPr>
        <w:t>设备</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验收合格之日起</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1</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年</w:t>
      </w:r>
      <w:r>
        <w:rPr>
          <w:rFonts w:hint="eastAsia" w:ascii="宋体" w:hAnsi="宋体" w:cs="宋体"/>
          <w:color w:val="auto"/>
          <w:sz w:val="24"/>
          <w:szCs w:val="24"/>
          <w:highlight w:val="none"/>
        </w:rPr>
        <w:t>。保修期内乙方应免费对设备进行日常维护保养及质量缺陷修复。</w:t>
      </w:r>
      <w:r>
        <w:rPr>
          <w:rFonts w:ascii="宋体" w:hAnsi="宋体" w:cs="宋体"/>
          <w:color w:val="auto"/>
          <w:sz w:val="24"/>
          <w:szCs w:val="24"/>
          <w:highlight w:val="none"/>
        </w:rPr>
        <w:t xml:space="preserve">                                          </w:t>
      </w:r>
    </w:p>
    <w:p>
      <w:pPr>
        <w:tabs>
          <w:tab w:val="left" w:pos="851"/>
        </w:tabs>
        <w:adjustRightInd w:val="0"/>
        <w:snapToGrid w:val="0"/>
        <w:spacing w:line="360" w:lineRule="auto"/>
        <w:ind w:firstLine="480" w:firstLineChars="200"/>
        <w:rPr>
          <w:rFonts w:ascii="宋体" w:hAnsi="宋体" w:cs="宋体"/>
          <w:color w:val="auto"/>
          <w:kern w:val="0"/>
          <w:sz w:val="24"/>
          <w:szCs w:val="24"/>
          <w:highlight w:val="none"/>
          <w:lang w:val="zh-CN"/>
        </w:rPr>
      </w:pPr>
      <w:r>
        <w:rPr>
          <w:rFonts w:ascii="宋体" w:hAnsi="宋体" w:cs="宋体"/>
          <w:color w:val="auto"/>
          <w:sz w:val="24"/>
          <w:szCs w:val="24"/>
          <w:highlight w:val="none"/>
        </w:rPr>
        <w:t>10.2</w:t>
      </w:r>
      <w:r>
        <w:rPr>
          <w:rFonts w:hint="eastAsia" w:ascii="宋体" w:hAnsi="宋体" w:cs="宋体"/>
          <w:color w:val="auto"/>
          <w:kern w:val="0"/>
          <w:sz w:val="24"/>
          <w:szCs w:val="24"/>
          <w:highlight w:val="none"/>
        </w:rPr>
        <w:t>保修</w:t>
      </w:r>
      <w:r>
        <w:rPr>
          <w:rFonts w:hint="eastAsia" w:ascii="宋体" w:hAnsi="宋体" w:cs="宋体"/>
          <w:color w:val="auto"/>
          <w:kern w:val="0"/>
          <w:sz w:val="24"/>
          <w:szCs w:val="24"/>
          <w:highlight w:val="none"/>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highlight w:val="none"/>
          <w:u w:val="single"/>
          <w:lang w:val="zh-CN"/>
        </w:rPr>
        <w:t>同暂定总价的</w:t>
      </w:r>
      <w:r>
        <w:rPr>
          <w:rFonts w:ascii="宋体" w:hAnsi="宋体" w:cs="宋体"/>
          <w:color w:val="auto"/>
          <w:kern w:val="0"/>
          <w:sz w:val="24"/>
          <w:szCs w:val="24"/>
          <w:highlight w:val="none"/>
          <w:u w:val="single"/>
          <w:lang w:val="zh-CN"/>
        </w:rPr>
        <w:t>10%</w:t>
      </w:r>
      <w:r>
        <w:rPr>
          <w:rFonts w:hint="eastAsia" w:ascii="宋体" w:hAnsi="宋体" w:cs="宋体"/>
          <w:color w:val="auto"/>
          <w:kern w:val="0"/>
          <w:sz w:val="24"/>
          <w:szCs w:val="24"/>
          <w:highlight w:val="none"/>
          <w:u w:val="single"/>
          <w:lang w:val="zh-CN"/>
        </w:rPr>
        <w:t>作为</w:t>
      </w:r>
      <w:r>
        <w:rPr>
          <w:rFonts w:hint="eastAsia" w:ascii="宋体" w:hAnsi="宋体" w:cs="宋体"/>
          <w:color w:val="auto"/>
          <w:kern w:val="0"/>
          <w:sz w:val="24"/>
          <w:szCs w:val="24"/>
          <w:highlight w:val="none"/>
          <w:lang w:val="zh-CN"/>
        </w:rPr>
        <w:t>违约金，</w:t>
      </w:r>
      <w:r>
        <w:rPr>
          <w:rFonts w:hint="eastAsia" w:ascii="宋体" w:hAnsi="宋体" w:cs="宋体"/>
          <w:color w:val="auto"/>
          <w:kern w:val="0"/>
          <w:sz w:val="24"/>
          <w:szCs w:val="24"/>
          <w:highlight w:val="none"/>
        </w:rPr>
        <w:t>由此产生的</w:t>
      </w:r>
      <w:r>
        <w:rPr>
          <w:rFonts w:hint="eastAsia" w:ascii="宋体" w:hAnsi="宋体" w:cs="宋体"/>
          <w:color w:val="auto"/>
          <w:kern w:val="0"/>
          <w:sz w:val="24"/>
          <w:szCs w:val="24"/>
          <w:highlight w:val="none"/>
          <w:lang w:val="zh-CN"/>
        </w:rPr>
        <w:t>费用由乙方承担。对涉及运营费用，乙方应保证在</w:t>
      </w:r>
      <w:r>
        <w:rPr>
          <w:rFonts w:hint="eastAsia" w:ascii="宋体" w:hAnsi="宋体" w:cs="宋体"/>
          <w:color w:val="auto"/>
          <w:kern w:val="0"/>
          <w:sz w:val="24"/>
          <w:szCs w:val="24"/>
          <w:highlight w:val="none"/>
        </w:rPr>
        <w:t>开箱</w:t>
      </w:r>
      <w:r>
        <w:rPr>
          <w:rFonts w:hint="eastAsia" w:ascii="宋体" w:hAnsi="宋体" w:cs="宋体"/>
          <w:color w:val="auto"/>
          <w:kern w:val="0"/>
          <w:sz w:val="24"/>
          <w:szCs w:val="24"/>
          <w:highlight w:val="none"/>
          <w:lang w:val="zh-CN"/>
        </w:rPr>
        <w:t>验收</w:t>
      </w:r>
      <w:r>
        <w:rPr>
          <w:rFonts w:hint="eastAsia" w:ascii="宋体" w:hAnsi="宋体" w:cs="宋体"/>
          <w:color w:val="auto"/>
          <w:kern w:val="0"/>
          <w:sz w:val="24"/>
          <w:szCs w:val="24"/>
          <w:highlight w:val="none"/>
        </w:rPr>
        <w:t>合格</w:t>
      </w:r>
      <w:r>
        <w:rPr>
          <w:rFonts w:hint="eastAsia" w:ascii="宋体" w:hAnsi="宋体" w:cs="宋体"/>
          <w:color w:val="auto"/>
          <w:kern w:val="0"/>
          <w:sz w:val="24"/>
          <w:szCs w:val="24"/>
          <w:highlight w:val="none"/>
          <w:lang w:val="zh-CN"/>
        </w:rPr>
        <w:t>后三年内，</w:t>
      </w:r>
      <w:r>
        <w:rPr>
          <w:rFonts w:hint="eastAsia" w:ascii="宋体" w:hAnsi="宋体" w:cs="宋体"/>
          <w:color w:val="auto"/>
          <w:kern w:val="0"/>
          <w:sz w:val="24"/>
          <w:szCs w:val="24"/>
          <w:highlight w:val="none"/>
        </w:rPr>
        <w:t>设备</w:t>
      </w:r>
      <w:r>
        <w:rPr>
          <w:rFonts w:hint="eastAsia" w:ascii="宋体" w:hAnsi="宋体" w:cs="宋体"/>
          <w:color w:val="auto"/>
          <w:kern w:val="0"/>
          <w:sz w:val="24"/>
          <w:szCs w:val="24"/>
          <w:highlight w:val="none"/>
          <w:lang w:val="zh-CN"/>
        </w:rPr>
        <w:t>运行费用不高于投标文件</w:t>
      </w:r>
      <w:r>
        <w:rPr>
          <w:rFonts w:ascii="宋体" w:hAnsi="宋体" w:cs="宋体"/>
          <w:color w:val="auto"/>
          <w:kern w:val="0"/>
          <w:sz w:val="24"/>
          <w:szCs w:val="24"/>
          <w:highlight w:val="none"/>
          <w:lang w:val="zh-CN"/>
        </w:rPr>
        <w:t>/</w:t>
      </w:r>
      <w:r>
        <w:rPr>
          <w:rFonts w:hint="eastAsia" w:ascii="宋体" w:hAnsi="宋体" w:cs="宋体"/>
          <w:color w:val="auto"/>
          <w:kern w:val="0"/>
          <w:sz w:val="24"/>
          <w:szCs w:val="24"/>
          <w:highlight w:val="none"/>
          <w:lang w:val="zh-CN"/>
        </w:rPr>
        <w:t>响应文件的承诺指标，</w:t>
      </w:r>
      <w:r>
        <w:rPr>
          <w:rFonts w:hint="eastAsia" w:ascii="宋体" w:hAnsi="宋体" w:cs="宋体"/>
          <w:color w:val="auto"/>
          <w:kern w:val="0"/>
          <w:sz w:val="24"/>
          <w:szCs w:val="24"/>
          <w:highlight w:val="none"/>
        </w:rPr>
        <w:t>否则，</w:t>
      </w:r>
      <w:r>
        <w:rPr>
          <w:rFonts w:hint="eastAsia" w:ascii="宋体" w:hAnsi="宋体" w:cs="宋体"/>
          <w:color w:val="auto"/>
          <w:kern w:val="0"/>
          <w:sz w:val="24"/>
          <w:szCs w:val="24"/>
          <w:highlight w:val="none"/>
          <w:lang w:val="zh-CN"/>
        </w:rPr>
        <w:t>乙方需无条件免费更换设备</w:t>
      </w:r>
      <w:r>
        <w:rPr>
          <w:rFonts w:hint="eastAsia" w:ascii="宋体" w:hAnsi="宋体" w:cs="宋体"/>
          <w:color w:val="auto"/>
          <w:kern w:val="0"/>
          <w:sz w:val="24"/>
          <w:szCs w:val="24"/>
          <w:highlight w:val="none"/>
        </w:rPr>
        <w:t>并支付违约金</w:t>
      </w:r>
      <w:r>
        <w:rPr>
          <w:rFonts w:ascii="宋体" w:hAnsi="宋体" w:cs="宋体"/>
          <w:color w:val="auto"/>
          <w:kern w:val="0"/>
          <w:sz w:val="24"/>
          <w:szCs w:val="24"/>
          <w:highlight w:val="none"/>
          <w:u w:val="single"/>
        </w:rPr>
        <w:t xml:space="preserve"> </w:t>
      </w:r>
      <w:r>
        <w:rPr>
          <w:rFonts w:hint="eastAsia" w:ascii="宋体" w:hAnsi="宋体" w:cs="宋体"/>
          <w:color w:val="auto"/>
          <w:kern w:val="0"/>
          <w:sz w:val="24"/>
          <w:szCs w:val="24"/>
          <w:highlight w:val="none"/>
          <w:u w:val="single"/>
          <w:lang w:val="en-US" w:eastAsia="zh-CN"/>
        </w:rPr>
        <w:t xml:space="preserve">5000 </w:t>
      </w:r>
      <w:r>
        <w:rPr>
          <w:rFonts w:hint="eastAsia" w:ascii="宋体" w:hAnsi="宋体" w:cs="宋体"/>
          <w:color w:val="auto"/>
          <w:kern w:val="0"/>
          <w:sz w:val="24"/>
          <w:szCs w:val="24"/>
          <w:highlight w:val="none"/>
        </w:rPr>
        <w:t>元</w:t>
      </w:r>
      <w:r>
        <w:rPr>
          <w:rFonts w:hint="eastAsia" w:ascii="宋体" w:hAnsi="宋体" w:cs="宋体"/>
          <w:color w:val="auto"/>
          <w:kern w:val="0"/>
          <w:sz w:val="24"/>
          <w:szCs w:val="24"/>
          <w:highlight w:val="none"/>
          <w:lang w:val="zh-CN"/>
        </w:rPr>
        <w:t>（如有）。</w:t>
      </w:r>
    </w:p>
    <w:p>
      <w:pPr>
        <w:tabs>
          <w:tab w:val="left" w:pos="851"/>
        </w:tabs>
        <w:adjustRightInd w:val="0"/>
        <w:snapToGrid w:val="0"/>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10.3 </w:t>
      </w:r>
      <w:r>
        <w:rPr>
          <w:rFonts w:hint="eastAsia" w:ascii="宋体" w:hAnsi="宋体" w:cs="宋体"/>
          <w:bCs/>
          <w:color w:val="auto"/>
          <w:sz w:val="24"/>
          <w:szCs w:val="24"/>
          <w:highlight w:val="none"/>
        </w:rPr>
        <w:t>保修期间由于设备本身原因产生的故障仍属质保范围，对更换或维修过的零部件从更换或维修完成并验收合格之日起，质量保修期重新计算。</w:t>
      </w:r>
    </w:p>
    <w:p>
      <w:pPr>
        <w:spacing w:line="360" w:lineRule="auto"/>
        <w:ind w:firstLine="482"/>
        <w:rPr>
          <w:rFonts w:hint="eastAsia" w:ascii="宋体" w:hAnsi="宋体" w:cs="宋体"/>
          <w:bCs/>
          <w:color w:val="auto"/>
          <w:sz w:val="24"/>
          <w:szCs w:val="24"/>
          <w:highlight w:val="none"/>
        </w:rPr>
      </w:pPr>
      <w:r>
        <w:rPr>
          <w:rFonts w:ascii="宋体" w:hAnsi="宋体" w:cs="宋体"/>
          <w:bCs/>
          <w:color w:val="auto"/>
          <w:sz w:val="24"/>
          <w:szCs w:val="24"/>
          <w:highlight w:val="none"/>
        </w:rPr>
        <w:t xml:space="preserve">10.4 </w:t>
      </w:r>
      <w:r>
        <w:rPr>
          <w:rFonts w:hint="eastAsia" w:ascii="宋体" w:hAnsi="宋体" w:cs="宋体"/>
          <w:bCs/>
          <w:color w:val="auto"/>
          <w:sz w:val="24"/>
          <w:szCs w:val="24"/>
          <w:highlight w:val="none"/>
        </w:rPr>
        <w:t>质量保修期间，如合同设备出现故障，乙方应在接到甲方通知后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小时内通过电话、网络等提供远程技术指导，如甲方需要乙方到场的，乙方应在收到甲方通知后</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48</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小时内派专业技术人员到场负责解决及维修故障。</w:t>
      </w:r>
      <w:bookmarkEnd w:id="149"/>
      <w:bookmarkEnd w:id="150"/>
      <w:bookmarkEnd w:id="151"/>
      <w:r>
        <w:rPr>
          <w:rFonts w:hint="eastAsia" w:ascii="宋体" w:hAnsi="宋体" w:cs="宋体"/>
          <w:bCs/>
          <w:color w:val="auto"/>
          <w:sz w:val="24"/>
          <w:szCs w:val="24"/>
          <w:highlight w:val="none"/>
        </w:rPr>
        <w:t>如果乙方不按时到场维修或到场后不能修复的，甲方有权委托他人予以维修，乙方承担由此发生的费用并支付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10%/次</w:t>
      </w:r>
      <w:r>
        <w:rPr>
          <w:rFonts w:hint="eastAsia" w:ascii="宋体" w:hAnsi="宋体" w:cs="宋体"/>
          <w:bCs/>
          <w:color w:val="auto"/>
          <w:sz w:val="24"/>
          <w:szCs w:val="24"/>
          <w:highlight w:val="none"/>
        </w:rPr>
        <w:t>作为违约金。</w:t>
      </w:r>
    </w:p>
    <w:p>
      <w:pPr>
        <w:pStyle w:val="2"/>
        <w:rPr>
          <w:color w:val="auto"/>
          <w:highlight w:val="none"/>
        </w:rPr>
      </w:pPr>
    </w:p>
    <w:p>
      <w:pPr>
        <w:spacing w:line="360" w:lineRule="auto"/>
        <w:ind w:firstLine="482"/>
        <w:rPr>
          <w:rFonts w:ascii="宋体" w:hAnsi="宋体" w:cs="宋体"/>
          <w:bCs/>
          <w:color w:val="auto"/>
          <w:sz w:val="24"/>
          <w:szCs w:val="24"/>
          <w:highlight w:val="none"/>
        </w:rPr>
      </w:pPr>
      <w:r>
        <w:rPr>
          <w:rFonts w:hint="eastAsia" w:ascii="宋体" w:hAnsi="宋体" w:cs="宋体"/>
          <w:b/>
          <w:color w:val="auto"/>
          <w:sz w:val="24"/>
          <w:szCs w:val="24"/>
          <w:highlight w:val="none"/>
        </w:rPr>
        <w:t>第十一条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 </w:t>
      </w:r>
      <w:r>
        <w:rPr>
          <w:rFonts w:hint="eastAsia" w:ascii="宋体" w:hAnsi="宋体" w:cs="宋体"/>
          <w:bCs/>
          <w:color w:val="auto"/>
          <w:sz w:val="24"/>
          <w:szCs w:val="24"/>
          <w:highlight w:val="none"/>
        </w:rPr>
        <w:t>延期交货的违约责任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11.1.1 </w:t>
      </w:r>
      <w:r>
        <w:rPr>
          <w:rFonts w:hint="eastAsia" w:ascii="宋体" w:hAnsi="宋体" w:cs="宋体"/>
          <w:bCs/>
          <w:color w:val="auto"/>
          <w:sz w:val="24"/>
          <w:szCs w:val="24"/>
          <w:highlight w:val="none"/>
        </w:rPr>
        <w:t>乙方应按照本合同约定的时间交货。如乙方因客观情况导致无法按时交货，乙方应在交货期前</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日，以书面形式将原因及预计拖延的时间通知甲方。经甲方同意后，交货期顺延。</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11.1.2</w:t>
      </w:r>
      <w:r>
        <w:rPr>
          <w:rFonts w:hint="eastAsia" w:ascii="宋体" w:hAnsi="宋体" w:cs="宋体"/>
          <w:bCs/>
          <w:color w:val="auto"/>
          <w:sz w:val="24"/>
          <w:szCs w:val="24"/>
          <w:highlight w:val="none"/>
        </w:rPr>
        <w:t>乙方未能在合同规定期限内交货并交付完整技术资料的，每逾期一天，甲方有权按迟</w:t>
      </w:r>
      <w:r>
        <w:rPr>
          <w:rFonts w:hint="eastAsia" w:ascii="宋体" w:hAnsi="宋体" w:cs="宋体"/>
          <w:bCs/>
          <w:color w:val="auto"/>
          <w:sz w:val="24"/>
          <w:szCs w:val="24"/>
          <w:highlight w:val="none"/>
          <w:u w:val="single"/>
        </w:rPr>
        <w:t>交货设备价格的</w:t>
      </w:r>
      <w:r>
        <w:rPr>
          <w:rFonts w:ascii="宋体" w:hAnsi="宋体" w:cs="宋体"/>
          <w:bCs/>
          <w:color w:val="auto"/>
          <w:sz w:val="24"/>
          <w:szCs w:val="24"/>
          <w:highlight w:val="none"/>
          <w:u w:val="single"/>
        </w:rPr>
        <w:t>1%/</w:t>
      </w:r>
      <w:r>
        <w:rPr>
          <w:rFonts w:hint="eastAsia" w:ascii="宋体" w:hAnsi="宋体" w:cs="宋体"/>
          <w:bCs/>
          <w:color w:val="auto"/>
          <w:sz w:val="24"/>
          <w:szCs w:val="24"/>
          <w:highlight w:val="none"/>
          <w:u w:val="single"/>
        </w:rPr>
        <w:t>天</w:t>
      </w:r>
      <w:r>
        <w:rPr>
          <w:rFonts w:hint="eastAsia" w:ascii="宋体" w:hAnsi="宋体" w:cs="宋体"/>
          <w:bCs/>
          <w:color w:val="auto"/>
          <w:sz w:val="24"/>
          <w:szCs w:val="24"/>
          <w:highlight w:val="none"/>
        </w:rPr>
        <w:t>要求乙方支付违约金。逾期超过</w:t>
      </w:r>
      <w:r>
        <w:rPr>
          <w:rFonts w:ascii="宋体" w:hAnsi="宋体" w:cs="宋体"/>
          <w:bCs/>
          <w:color w:val="auto"/>
          <w:sz w:val="24"/>
          <w:szCs w:val="24"/>
          <w:highlight w:val="none"/>
          <w:u w:val="single"/>
        </w:rPr>
        <w:t xml:space="preserve"> 15 </w:t>
      </w:r>
      <w:r>
        <w:rPr>
          <w:rFonts w:hint="eastAsia" w:ascii="宋体" w:hAnsi="宋体" w:cs="宋体"/>
          <w:bCs/>
          <w:color w:val="auto"/>
          <w:sz w:val="24"/>
          <w:szCs w:val="24"/>
          <w:highlight w:val="none"/>
        </w:rPr>
        <w:t>天，甲方有权解除合同，要求乙方支付迟延违约金并在</w:t>
      </w:r>
      <w:r>
        <w:rPr>
          <w:rFonts w:ascii="宋体" w:hAnsi="宋体" w:cs="宋体"/>
          <w:bCs/>
          <w:color w:val="auto"/>
          <w:sz w:val="24"/>
          <w:szCs w:val="24"/>
          <w:highlight w:val="none"/>
        </w:rPr>
        <w:t>3</w:t>
      </w:r>
      <w:r>
        <w:rPr>
          <w:rFonts w:hint="eastAsia" w:ascii="宋体" w:hAnsi="宋体" w:cs="宋体"/>
          <w:bCs/>
          <w:color w:val="auto"/>
          <w:sz w:val="24"/>
          <w:szCs w:val="24"/>
          <w:highlight w:val="none"/>
        </w:rPr>
        <w:t>天内退回预付款及利息（如有），且扣除乙方履约担保全部金额（如有）。如由于乙方逾期交货对甲方生产造成影响，甲方有权要求乙方赔偿损失。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 </w:t>
      </w:r>
      <w:r>
        <w:rPr>
          <w:rFonts w:hint="eastAsia" w:ascii="宋体" w:hAnsi="宋体" w:cs="宋体"/>
          <w:bCs/>
          <w:color w:val="auto"/>
          <w:sz w:val="24"/>
          <w:szCs w:val="24"/>
          <w:highlight w:val="none"/>
        </w:rPr>
        <w:t>质量问题的违约责任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11.2.1 </w:t>
      </w:r>
      <w:r>
        <w:rPr>
          <w:rFonts w:hint="eastAsia" w:ascii="宋体" w:hAnsi="宋体" w:cs="宋体"/>
          <w:bCs/>
          <w:color w:val="auto"/>
          <w:sz w:val="24"/>
          <w:szCs w:val="24"/>
          <w:highlight w:val="none"/>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1</w:t>
      </w:r>
      <w:r>
        <w:rPr>
          <w:rFonts w:hint="eastAsia" w:ascii="宋体" w:hAnsi="宋体" w:cs="宋体"/>
          <w:bCs/>
          <w:color w:val="auto"/>
          <w:sz w:val="24"/>
          <w:szCs w:val="24"/>
          <w:highlight w:val="none"/>
        </w:rPr>
        <w:t>）乙方承担费用，用合格的新设备更换有缺陷的设备或修补缺陷部分；</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2</w:t>
      </w:r>
      <w:r>
        <w:rPr>
          <w:rFonts w:hint="eastAsia" w:ascii="宋体" w:hAnsi="宋体" w:cs="宋体"/>
          <w:bCs/>
          <w:color w:val="auto"/>
          <w:sz w:val="24"/>
          <w:szCs w:val="24"/>
          <w:highlight w:val="none"/>
        </w:rPr>
        <w:t>）退还设备，同时将甲方已经支付的合同价款全额退还甲方，并承担甲方因履行本合同而支出的一切费用，包括但不限于利息、银行手续费、仓储费、卸货费以及因退回设备所需的其他费用。</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3</w:t>
      </w:r>
      <w:r>
        <w:rPr>
          <w:rFonts w:hint="eastAsia" w:ascii="宋体" w:hAnsi="宋体" w:cs="宋体"/>
          <w:bCs/>
          <w:color w:val="auto"/>
          <w:sz w:val="24"/>
          <w:szCs w:val="24"/>
          <w:highlight w:val="none"/>
        </w:rPr>
        <w:t>）按不合格设备价格的</w:t>
      </w:r>
      <w:r>
        <w:rPr>
          <w:rFonts w:ascii="宋体" w:hAnsi="宋体" w:cs="宋体"/>
          <w:bCs/>
          <w:color w:val="auto"/>
          <w:sz w:val="24"/>
          <w:szCs w:val="24"/>
          <w:highlight w:val="none"/>
          <w:u w:val="single"/>
        </w:rPr>
        <w:t>50</w:t>
      </w:r>
      <w:r>
        <w:rPr>
          <w:rFonts w:ascii="宋体" w:hAnsi="宋体" w:cs="宋体"/>
          <w:bCs/>
          <w:color w:val="auto"/>
          <w:sz w:val="24"/>
          <w:szCs w:val="24"/>
          <w:highlight w:val="none"/>
        </w:rPr>
        <w:t>%</w:t>
      </w:r>
      <w:r>
        <w:rPr>
          <w:rFonts w:hint="eastAsia" w:ascii="宋体" w:hAnsi="宋体" w:cs="宋体"/>
          <w:bCs/>
          <w:color w:val="auto"/>
          <w:sz w:val="24"/>
          <w:szCs w:val="24"/>
          <w:highlight w:val="none"/>
        </w:rPr>
        <w:t>支付违约金。</w:t>
      </w:r>
    </w:p>
    <w:p>
      <w:pPr>
        <w:numPr>
          <w:ilvl w:val="0"/>
          <w:numId w:val="0"/>
        </w:numPr>
        <w:spacing w:line="360" w:lineRule="auto"/>
        <w:ind w:firstLine="480" w:firstLineChars="200"/>
        <w:rPr>
          <w:rFonts w:ascii="宋体" w:hAnsi="宋体" w:cs="宋体"/>
          <w:bCs/>
          <w:color w:val="auto"/>
          <w:sz w:val="24"/>
          <w:szCs w:val="24"/>
          <w:highlight w:val="none"/>
        </w:rPr>
      </w:pPr>
      <w:r>
        <w:rPr>
          <w:rFonts w:hint="eastAsia" w:ascii="宋体" w:hAnsi="宋体" w:cs="宋体"/>
          <w:bCs/>
          <w:color w:val="auto"/>
          <w:sz w:val="24"/>
          <w:szCs w:val="24"/>
          <w:highlight w:val="none"/>
        </w:rPr>
        <w:t>（</w:t>
      </w:r>
      <w:r>
        <w:rPr>
          <w:rFonts w:ascii="宋体" w:hAnsi="宋体" w:cs="宋体"/>
          <w:bCs/>
          <w:color w:val="auto"/>
          <w:sz w:val="24"/>
          <w:szCs w:val="24"/>
          <w:highlight w:val="none"/>
        </w:rPr>
        <w:t>4</w:t>
      </w:r>
      <w:r>
        <w:rPr>
          <w:rFonts w:hint="eastAsia" w:ascii="宋体" w:hAnsi="宋体" w:cs="宋体"/>
          <w:bCs/>
          <w:color w:val="auto"/>
          <w:sz w:val="24"/>
          <w:szCs w:val="24"/>
          <w:highlight w:val="none"/>
        </w:rPr>
        <w:t>）赔偿甲方因设备质量问题导致的一切损失。</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11.2.2 </w:t>
      </w:r>
      <w:r>
        <w:rPr>
          <w:rFonts w:hint="eastAsia" w:ascii="宋体" w:hAnsi="宋体" w:cs="宋体"/>
          <w:bCs/>
          <w:color w:val="auto"/>
          <w:sz w:val="24"/>
          <w:szCs w:val="24"/>
          <w:highlight w:val="none"/>
        </w:rPr>
        <w:t>如果乙方提供的技术资料有错误，或者由于乙方技术人员原因造成设备安装、调试不成功和（或）造成合同设备损坏的情况，乙方应在</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24</w:t>
      </w:r>
      <w:r>
        <w:rPr>
          <w:rFonts w:ascii="宋体" w:hAnsi="宋体" w:cs="宋体"/>
          <w:bCs/>
          <w:color w:val="auto"/>
          <w:sz w:val="24"/>
          <w:szCs w:val="24"/>
          <w:highlight w:val="none"/>
          <w:u w:val="single"/>
        </w:rPr>
        <w:t xml:space="preserve"> </w:t>
      </w:r>
      <w:r>
        <w:rPr>
          <w:rFonts w:hint="eastAsia" w:ascii="宋体" w:hAnsi="宋体" w:cs="宋体"/>
          <w:bCs/>
          <w:color w:val="auto"/>
          <w:sz w:val="24"/>
          <w:szCs w:val="24"/>
          <w:highlight w:val="none"/>
        </w:rPr>
        <w:t>小时内采取修理、更换、退货等补救措施并负担因此发生的费用，同时需向甲方支付</w:t>
      </w:r>
      <w:r>
        <w:rPr>
          <w:rFonts w:hint="eastAsia" w:ascii="宋体" w:hAnsi="宋体" w:cs="宋体"/>
          <w:bCs/>
          <w:color w:val="auto"/>
          <w:sz w:val="24"/>
          <w:szCs w:val="24"/>
          <w:highlight w:val="none"/>
          <w:u w:val="single"/>
        </w:rPr>
        <w:t>不合格设备价格的</w:t>
      </w:r>
      <w:r>
        <w:rPr>
          <w:rFonts w:ascii="宋体" w:hAnsi="宋体" w:cs="宋体"/>
          <w:bCs/>
          <w:color w:val="auto"/>
          <w:sz w:val="24"/>
          <w:szCs w:val="24"/>
          <w:highlight w:val="none"/>
          <w:u w:val="single"/>
        </w:rPr>
        <w:t xml:space="preserve"> 50 </w:t>
      </w:r>
      <w:r>
        <w:rPr>
          <w:rFonts w:ascii="宋体" w:hAnsi="宋体" w:cs="宋体"/>
          <w:bCs/>
          <w:color w:val="auto"/>
          <w:sz w:val="24"/>
          <w:szCs w:val="24"/>
          <w:highlight w:val="none"/>
        </w:rPr>
        <w:t>%</w:t>
      </w:r>
      <w:r>
        <w:rPr>
          <w:rFonts w:hint="eastAsia" w:ascii="宋体" w:hAnsi="宋体" w:cs="宋体"/>
          <w:bCs/>
          <w:color w:val="auto"/>
          <w:sz w:val="24"/>
          <w:szCs w:val="24"/>
          <w:highlight w:val="none"/>
        </w:rPr>
        <w:t>作为违约金。</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11.2.3 </w:t>
      </w:r>
      <w:r>
        <w:rPr>
          <w:rFonts w:hint="eastAsia" w:ascii="宋体" w:hAnsi="宋体" w:cs="宋体"/>
          <w:bCs/>
          <w:color w:val="auto"/>
          <w:sz w:val="24"/>
          <w:szCs w:val="24"/>
          <w:highlight w:val="none"/>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 xml:space="preserve"> 100 %</w:t>
      </w:r>
      <w:r>
        <w:rPr>
          <w:rFonts w:hint="eastAsia" w:ascii="宋体" w:hAnsi="宋体" w:cs="宋体"/>
          <w:bCs/>
          <w:color w:val="auto"/>
          <w:sz w:val="24"/>
          <w:szCs w:val="24"/>
          <w:highlight w:val="none"/>
        </w:rPr>
        <w:t>支付违约金。</w:t>
      </w:r>
    </w:p>
    <w:p>
      <w:pPr>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 xml:space="preserve">11.2.4 </w:t>
      </w:r>
      <w:r>
        <w:rPr>
          <w:rFonts w:hint="eastAsia" w:ascii="宋体" w:hAnsi="宋体" w:cs="宋体"/>
          <w:color w:val="auto"/>
          <w:sz w:val="24"/>
          <w:szCs w:val="24"/>
          <w:highlight w:val="none"/>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11.3 </w:t>
      </w:r>
      <w:r>
        <w:rPr>
          <w:rFonts w:hint="eastAsia" w:ascii="宋体" w:hAnsi="宋体" w:cs="宋体"/>
          <w:bCs/>
          <w:color w:val="auto"/>
          <w:sz w:val="24"/>
          <w:szCs w:val="24"/>
          <w:highlight w:val="none"/>
        </w:rPr>
        <w:t>如乙方未按合同六条约定递交履约保证金，甲方有权解除合同并要求乙方支付</w:t>
      </w:r>
      <w:r>
        <w:rPr>
          <w:rFonts w:hint="eastAsia" w:ascii="宋体" w:hAnsi="宋体" w:cs="宋体"/>
          <w:bCs/>
          <w:color w:val="auto"/>
          <w:sz w:val="24"/>
          <w:szCs w:val="24"/>
          <w:highlight w:val="none"/>
          <w:u w:val="single"/>
        </w:rPr>
        <w:t>合同暂定总价的</w:t>
      </w:r>
      <w:r>
        <w:rPr>
          <w:rFonts w:ascii="宋体" w:hAnsi="宋体" w:cs="宋体"/>
          <w:bCs/>
          <w:color w:val="auto"/>
          <w:sz w:val="24"/>
          <w:szCs w:val="24"/>
          <w:highlight w:val="none"/>
          <w:u w:val="single"/>
        </w:rPr>
        <w:t>20%</w:t>
      </w:r>
      <w:r>
        <w:rPr>
          <w:rFonts w:hint="eastAsia" w:ascii="宋体" w:hAnsi="宋体" w:cs="宋体"/>
          <w:bCs/>
          <w:color w:val="auto"/>
          <w:sz w:val="24"/>
          <w:szCs w:val="24"/>
          <w:highlight w:val="none"/>
        </w:rPr>
        <w:t>作为违约金。</w:t>
      </w:r>
      <w:r>
        <w:rPr>
          <w:rFonts w:ascii="宋体" w:hAnsi="宋体" w:cs="宋体"/>
          <w:bCs/>
          <w:color w:val="auto"/>
          <w:sz w:val="24"/>
          <w:szCs w:val="24"/>
          <w:highlight w:val="none"/>
        </w:rPr>
        <w:t xml:space="preserve"> </w:t>
      </w:r>
    </w:p>
    <w:p>
      <w:pPr>
        <w:spacing w:line="360" w:lineRule="auto"/>
        <w:ind w:firstLine="482"/>
        <w:rPr>
          <w:rFonts w:ascii="宋体" w:hAnsi="宋体" w:cs="宋体"/>
          <w:color w:val="auto"/>
          <w:sz w:val="24"/>
          <w:szCs w:val="24"/>
          <w:highlight w:val="none"/>
        </w:rPr>
      </w:pPr>
      <w:r>
        <w:rPr>
          <w:rFonts w:ascii="宋体" w:hAnsi="宋体" w:cs="宋体"/>
          <w:bCs/>
          <w:color w:val="auto"/>
          <w:sz w:val="24"/>
          <w:szCs w:val="24"/>
          <w:highlight w:val="none"/>
        </w:rPr>
        <w:t xml:space="preserve">11.4 </w:t>
      </w:r>
      <w:r>
        <w:rPr>
          <w:rFonts w:hint="eastAsia" w:ascii="宋体" w:hAnsi="宋体" w:cs="宋体"/>
          <w:bCs/>
          <w:color w:val="auto"/>
          <w:sz w:val="24"/>
          <w:szCs w:val="24"/>
          <w:highlight w:val="none"/>
        </w:rPr>
        <w:t>如双方对质量责任认定有争议，</w:t>
      </w:r>
      <w:r>
        <w:rPr>
          <w:rFonts w:hint="eastAsia" w:ascii="宋体" w:hAnsi="宋体" w:cs="宋体"/>
          <w:color w:val="auto"/>
          <w:sz w:val="24"/>
          <w:szCs w:val="24"/>
          <w:highlight w:val="none"/>
        </w:rPr>
        <w:t>由甲方委托具备相关资质的第三方质检机构出具质检报告。因第三方质检机构产生的费用先由乙方支付，如果检验结果为不合格，则该费用由乙方承担，如果检验结果为合格，则该费用由甲方承担。</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11.5乙方不履行合同义务、或履行合同义务不符合合同约定、或违反国家、省、市行业标准的，甲方有权要求乙方限期整改。乙方逾期未完成整改的，每项每超过1日支付违约金人民币1万元，超过</w:t>
      </w:r>
      <w:r>
        <w:rPr>
          <w:rFonts w:ascii="宋体" w:hAnsi="宋体" w:cs="宋体"/>
          <w:bCs/>
          <w:color w:val="auto"/>
          <w:sz w:val="24"/>
          <w:szCs w:val="24"/>
          <w:highlight w:val="none"/>
          <w:u w:val="single"/>
        </w:rPr>
        <w:t>_</w:t>
      </w:r>
      <w:r>
        <w:rPr>
          <w:rFonts w:hint="eastAsia" w:ascii="宋体" w:hAnsi="宋体" w:cs="宋体"/>
          <w:bCs/>
          <w:color w:val="auto"/>
          <w:sz w:val="24"/>
          <w:szCs w:val="24"/>
          <w:highlight w:val="none"/>
          <w:u w:val="single"/>
          <w:lang w:val="en-US" w:eastAsia="zh-CN"/>
        </w:rPr>
        <w:t>15</w:t>
      </w:r>
      <w:r>
        <w:rPr>
          <w:rFonts w:ascii="宋体" w:hAnsi="宋体" w:cs="宋体"/>
          <w:bCs/>
          <w:color w:val="auto"/>
          <w:sz w:val="24"/>
          <w:szCs w:val="24"/>
          <w:highlight w:val="none"/>
          <w:u w:val="single"/>
        </w:rPr>
        <w:t xml:space="preserve"> _</w:t>
      </w:r>
      <w:r>
        <w:rPr>
          <w:rFonts w:ascii="宋体" w:hAnsi="宋体" w:cs="宋体"/>
          <w:bCs/>
          <w:color w:val="auto"/>
          <w:sz w:val="24"/>
          <w:szCs w:val="24"/>
          <w:highlight w:val="none"/>
        </w:rPr>
        <w:t>日，甲方有权解除合同并要求乙方支付</w:t>
      </w:r>
      <w:r>
        <w:rPr>
          <w:rFonts w:hint="eastAsia" w:ascii="宋体" w:hAnsi="宋体" w:cs="宋体"/>
          <w:bCs/>
          <w:color w:val="auto"/>
          <w:sz w:val="24"/>
          <w:szCs w:val="24"/>
          <w:highlight w:val="none"/>
          <w:u w:val="single"/>
        </w:rPr>
        <w:t>合同暂定总价</w:t>
      </w:r>
      <w:r>
        <w:rPr>
          <w:rFonts w:ascii="宋体" w:hAnsi="宋体" w:cs="宋体"/>
          <w:bCs/>
          <w:color w:val="auto"/>
          <w:sz w:val="24"/>
          <w:szCs w:val="24"/>
          <w:highlight w:val="none"/>
          <w:u w:val="single"/>
        </w:rPr>
        <w:t>的20%</w:t>
      </w:r>
      <w:r>
        <w:rPr>
          <w:rFonts w:ascii="宋体" w:hAnsi="宋体" w:cs="宋体"/>
          <w:bCs/>
          <w:color w:val="auto"/>
          <w:sz w:val="24"/>
          <w:szCs w:val="24"/>
          <w:highlight w:val="none"/>
        </w:rPr>
        <w:t>作为违约金</w:t>
      </w:r>
      <w:r>
        <w:rPr>
          <w:rFonts w:hint="eastAsia" w:ascii="宋体" w:hAnsi="宋体" w:cs="宋体"/>
          <w:bCs/>
          <w:color w:val="auto"/>
          <w:sz w:val="24"/>
          <w:szCs w:val="24"/>
          <w:highlight w:val="none"/>
        </w:rPr>
        <w:t>（</w:t>
      </w:r>
      <w:r>
        <w:rPr>
          <w:rFonts w:hint="eastAsia" w:cs="宋体"/>
          <w:color w:val="auto"/>
          <w:sz w:val="24"/>
          <w:highlight w:val="none"/>
        </w:rPr>
        <w:t>如合同另行约定违约责任，从其约定</w:t>
      </w:r>
      <w:r>
        <w:rPr>
          <w:rFonts w:hint="eastAsia" w:ascii="宋体" w:hAnsi="宋体" w:cs="宋体"/>
          <w:bCs/>
          <w:color w:val="auto"/>
          <w:sz w:val="24"/>
          <w:szCs w:val="24"/>
          <w:highlight w:val="none"/>
        </w:rPr>
        <w:t>）</w:t>
      </w:r>
      <w:r>
        <w:rPr>
          <w:rFonts w:ascii="宋体" w:hAnsi="宋体" w:cs="宋体"/>
          <w:bCs/>
          <w:color w:val="auto"/>
          <w:sz w:val="24"/>
          <w:szCs w:val="24"/>
          <w:highlight w:val="none"/>
        </w:rPr>
        <w:t xml:space="preserve">。 </w:t>
      </w:r>
    </w:p>
    <w:p>
      <w:pPr>
        <w:spacing w:line="360" w:lineRule="auto"/>
        <w:ind w:firstLine="482"/>
        <w:rPr>
          <w:rFonts w:hint="eastAsia" w:ascii="宋体" w:hAnsi="宋体" w:eastAsia="宋体" w:cs="宋体"/>
          <w:color w:val="auto"/>
          <w:sz w:val="24"/>
          <w:szCs w:val="24"/>
          <w:highlight w:val="none"/>
        </w:rPr>
      </w:pPr>
      <w:r>
        <w:rPr>
          <w:rFonts w:hint="eastAsia" w:ascii="宋体" w:hAnsi="宋体" w:cs="宋体"/>
          <w:bCs/>
          <w:color w:val="auto"/>
          <w:sz w:val="24"/>
          <w:szCs w:val="24"/>
          <w:highlight w:val="none"/>
          <w:lang w:val="en-US" w:eastAsia="zh-CN"/>
        </w:rPr>
        <w:t>11.6在合同有效期内，若乙方发生不诚信行为情形的，乙方自愿接受甲方按《广州市净水有限公司经营建设项目参建企业不诚信行为管理办法》处理，具体处理标准详见附件3。</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第十二条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变更或解除</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 </w:t>
      </w:r>
      <w:r>
        <w:rPr>
          <w:rFonts w:hint="eastAsia" w:ascii="宋体" w:hAnsi="宋体" w:cs="宋体"/>
          <w:bCs/>
          <w:color w:val="auto"/>
          <w:sz w:val="24"/>
          <w:szCs w:val="24"/>
          <w:highlight w:val="none"/>
        </w:rPr>
        <w:t>甲方解除合同</w:t>
      </w:r>
    </w:p>
    <w:p>
      <w:pPr>
        <w:spacing w:line="360" w:lineRule="auto"/>
        <w:ind w:firstLine="482"/>
        <w:rPr>
          <w:rFonts w:ascii="宋体" w:hAnsi="宋体" w:cs="宋体"/>
          <w:bCs/>
          <w:color w:val="auto"/>
          <w:sz w:val="24"/>
          <w:szCs w:val="24"/>
          <w:highlight w:val="none"/>
        </w:rPr>
      </w:pPr>
      <w:r>
        <w:rPr>
          <w:rFonts w:hint="eastAsia" w:ascii="宋体" w:hAnsi="宋体" w:cs="宋体"/>
          <w:bCs/>
          <w:color w:val="auto"/>
          <w:sz w:val="24"/>
          <w:szCs w:val="24"/>
          <w:highlight w:val="none"/>
        </w:rPr>
        <w:t>如乙方存在下述情况之一，甲方有权向乙方发出书面通知，全部或部分解除本合同：</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12.1.1 </w:t>
      </w:r>
      <w:r>
        <w:rPr>
          <w:rFonts w:hint="eastAsia" w:ascii="宋体" w:hAnsi="宋体" w:cs="宋体"/>
          <w:bCs/>
          <w:color w:val="auto"/>
          <w:sz w:val="24"/>
          <w:szCs w:val="24"/>
          <w:highlight w:val="none"/>
        </w:rPr>
        <w:t>乙方未能在本合同约定或甲方另行指定的期限内提供部分或全部设备或提供技术服务，并经甲方催告后仍未提供；</w:t>
      </w:r>
      <w:r>
        <w:rPr>
          <w:rFonts w:ascii="宋体" w:hAnsi="宋体" w:cs="宋体"/>
          <w:bCs/>
          <w:color w:val="auto"/>
          <w:sz w:val="24"/>
          <w:szCs w:val="24"/>
          <w:highlight w:val="none"/>
        </w:rPr>
        <w:t xml:space="preserve"> </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12.1.2</w:t>
      </w:r>
      <w:r>
        <w:rPr>
          <w:rFonts w:hint="eastAsia" w:ascii="宋体" w:hAnsi="宋体" w:cs="宋体"/>
          <w:bCs/>
          <w:color w:val="auto"/>
          <w:sz w:val="24"/>
          <w:szCs w:val="24"/>
          <w:highlight w:val="none"/>
        </w:rPr>
        <w:t>乙方交付的设备存在严重的质量问题，导致本合同目的不能实现；</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12.1.3 </w:t>
      </w:r>
      <w:r>
        <w:rPr>
          <w:rFonts w:hint="eastAsia" w:ascii="宋体" w:hAnsi="宋体" w:cs="宋体"/>
          <w:bCs/>
          <w:color w:val="auto"/>
          <w:sz w:val="24"/>
          <w:szCs w:val="24"/>
          <w:highlight w:val="none"/>
        </w:rPr>
        <w:t>乙方存在违反合同义务的其他情形，经甲方催告后仍未作出补救或完成整改；</w:t>
      </w:r>
    </w:p>
    <w:p>
      <w:pPr>
        <w:spacing w:line="360" w:lineRule="auto"/>
        <w:ind w:firstLine="480" w:firstLineChars="200"/>
        <w:rPr>
          <w:rFonts w:ascii="宋体" w:hAnsi="宋体" w:cs="宋体"/>
          <w:bCs/>
          <w:color w:val="auto"/>
          <w:sz w:val="24"/>
          <w:szCs w:val="24"/>
          <w:highlight w:val="none"/>
        </w:rPr>
      </w:pPr>
      <w:r>
        <w:rPr>
          <w:rFonts w:ascii="宋体" w:hAnsi="宋体" w:cs="宋体"/>
          <w:bCs/>
          <w:color w:val="auto"/>
          <w:sz w:val="24"/>
          <w:szCs w:val="24"/>
          <w:highlight w:val="none"/>
        </w:rPr>
        <w:t xml:space="preserve">12.1.4 </w:t>
      </w:r>
      <w:r>
        <w:rPr>
          <w:rFonts w:hint="eastAsia" w:ascii="宋体" w:hAnsi="宋体" w:cs="宋体"/>
          <w:bCs/>
          <w:color w:val="auto"/>
          <w:sz w:val="24"/>
          <w:szCs w:val="24"/>
          <w:highlight w:val="none"/>
        </w:rPr>
        <w:t>乙方投标时提交的资料不真实，或任何时候发现乙方有违反投标时的承诺和（或）声明的情况；</w:t>
      </w:r>
    </w:p>
    <w:p>
      <w:pPr>
        <w:spacing w:line="360" w:lineRule="auto"/>
        <w:ind w:firstLine="482"/>
        <w:rPr>
          <w:rFonts w:ascii="宋体" w:hAnsi="宋体" w:cs="宋体"/>
          <w:bCs/>
          <w:color w:val="auto"/>
          <w:sz w:val="24"/>
          <w:szCs w:val="24"/>
          <w:highlight w:val="none"/>
        </w:rPr>
      </w:pPr>
      <w:r>
        <w:rPr>
          <w:rFonts w:ascii="宋体" w:hAnsi="宋体" w:cs="宋体"/>
          <w:bCs/>
          <w:color w:val="auto"/>
          <w:sz w:val="24"/>
          <w:szCs w:val="24"/>
          <w:highlight w:val="none"/>
        </w:rPr>
        <w:t xml:space="preserve">12.2 </w:t>
      </w:r>
      <w:r>
        <w:rPr>
          <w:rFonts w:hint="eastAsia" w:ascii="宋体" w:hAnsi="宋体" w:cs="宋体"/>
          <w:bCs/>
          <w:color w:val="auto"/>
          <w:sz w:val="24"/>
          <w:szCs w:val="24"/>
          <w:highlight w:val="none"/>
        </w:rPr>
        <w:t>乙方解除合同</w:t>
      </w:r>
    </w:p>
    <w:p>
      <w:pPr>
        <w:spacing w:line="360" w:lineRule="auto"/>
        <w:ind w:firstLine="482"/>
        <w:rPr>
          <w:color w:val="auto"/>
          <w:highlight w:val="none"/>
        </w:rPr>
      </w:pPr>
      <w:r>
        <w:rPr>
          <w:rFonts w:hint="eastAsia" w:ascii="宋体" w:hAnsi="宋体" w:cs="宋体"/>
          <w:bCs/>
          <w:color w:val="auto"/>
          <w:sz w:val="24"/>
          <w:szCs w:val="24"/>
          <w:highlight w:val="none"/>
        </w:rPr>
        <w:t>如甲方无正当理由未能按本合同约定期限向乙方支付合同款，并经乙方催告后超过</w:t>
      </w:r>
      <w:r>
        <w:rPr>
          <w:rFonts w:hint="eastAsia" w:ascii="宋体" w:hAnsi="宋体" w:cs="宋体"/>
          <w:bCs/>
          <w:color w:val="auto"/>
          <w:sz w:val="24"/>
          <w:szCs w:val="24"/>
          <w:highlight w:val="none"/>
          <w:u w:val="none"/>
          <w:lang w:val="en-US" w:eastAsia="zh-CN"/>
        </w:rPr>
        <w:t xml:space="preserve">     </w:t>
      </w:r>
      <w:r>
        <w:rPr>
          <w:rFonts w:ascii="宋体" w:hAnsi="宋体" w:cs="宋体"/>
          <w:bCs/>
          <w:color w:val="auto"/>
          <w:sz w:val="24"/>
          <w:szCs w:val="24"/>
          <w:highlight w:val="none"/>
        </w:rPr>
        <w:t xml:space="preserve"> </w:t>
      </w:r>
      <w:r>
        <w:rPr>
          <w:rFonts w:hint="eastAsia" w:ascii="宋体" w:hAnsi="宋体" w:cs="宋体"/>
          <w:bCs/>
          <w:color w:val="auto"/>
          <w:sz w:val="24"/>
          <w:szCs w:val="24"/>
          <w:highlight w:val="none"/>
        </w:rPr>
        <w:t>天仍未支付，乙方有权以书面通知解除本合同。</w:t>
      </w:r>
      <w:r>
        <w:rPr>
          <w:rFonts w:ascii="宋体" w:hAnsi="宋体" w:cs="宋体"/>
          <w:color w:val="auto"/>
          <w:sz w:val="24"/>
          <w:szCs w:val="24"/>
          <w:highlight w:val="none"/>
        </w:rPr>
        <w:br w:type="textWrapping"/>
      </w:r>
      <w:r>
        <w:rPr>
          <w:rFonts w:hint="eastAsia" w:ascii="宋体" w:hAnsi="宋体" w:cs="宋体"/>
          <w:color w:val="auto"/>
          <w:sz w:val="24"/>
          <w:szCs w:val="24"/>
          <w:highlight w:val="none"/>
        </w:rPr>
        <w:t> </w:t>
      </w:r>
      <w:r>
        <w:rPr>
          <w:rFonts w:ascii="宋体" w:hAnsi="宋体" w:cs="宋体"/>
          <w:color w:val="auto"/>
          <w:sz w:val="24"/>
          <w:szCs w:val="24"/>
          <w:highlight w:val="none"/>
        </w:rPr>
        <w:t xml:space="preserve">  12.3</w:t>
      </w:r>
      <w:r>
        <w:rPr>
          <w:rFonts w:hint="eastAsia" w:ascii="宋体" w:hAnsi="宋体" w:cs="宋体"/>
          <w:color w:val="auto"/>
          <w:sz w:val="24"/>
          <w:szCs w:val="24"/>
          <w:highlight w:val="none"/>
        </w:rPr>
        <w:t>甲乙双方经协商一致后解除合同。</w:t>
      </w:r>
    </w:p>
    <w:p>
      <w:pPr>
        <w:spacing w:line="48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第十三条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不可抗力</w:t>
      </w:r>
    </w:p>
    <w:p>
      <w:pPr>
        <w:widowControl w:val="0"/>
        <w:numPr>
          <w:ilvl w:val="0"/>
          <w:numId w:val="0"/>
        </w:numPr>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13.1</w:t>
      </w:r>
      <w:r>
        <w:rPr>
          <w:rFonts w:hint="eastAsia" w:ascii="宋体" w:hAnsi="宋体" w:cs="宋体"/>
          <w:color w:val="auto"/>
          <w:sz w:val="24"/>
          <w:szCs w:val="24"/>
          <w:highlight w:val="none"/>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1）地震、火山爆发、滑坡、暴雨（橙色预警及以上）、台风（黄色预警及以上）、海啸、龙卷风、大面积流行病(如：非典型性肺炎等)或瘟疫；</w:t>
      </w:r>
    </w:p>
    <w:p>
      <w:pPr>
        <w:widowControl w:val="0"/>
        <w:spacing w:line="48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w:t>
      </w:r>
      <w:r>
        <w:rPr>
          <w:rFonts w:ascii="宋体" w:hAnsi="宋体" w:cs="宋体"/>
          <w:color w:val="auto"/>
          <w:sz w:val="24"/>
          <w:szCs w:val="24"/>
          <w:highlight w:val="none"/>
        </w:rPr>
        <w:t>2）战争行为、入侵、武装冲突或外敌行为、封锁、暴乱、恐怖行为或军事演习；</w:t>
      </w:r>
    </w:p>
    <w:p>
      <w:pPr>
        <w:widowControl w:val="0"/>
        <w:spacing w:line="480" w:lineRule="exact"/>
        <w:ind w:firstLine="480" w:firstLineChars="200"/>
        <w:rPr>
          <w:rFonts w:ascii="宋体" w:hAnsi="宋体" w:cs="宋体"/>
          <w:color w:val="auto"/>
          <w:sz w:val="24"/>
          <w:szCs w:val="24"/>
          <w:highlight w:val="none"/>
        </w:rPr>
      </w:pPr>
      <w:r>
        <w:rPr>
          <w:rFonts w:ascii="宋体" w:hAnsi="宋体" w:cs="宋体"/>
          <w:color w:val="auto"/>
          <w:sz w:val="24"/>
          <w:szCs w:val="24"/>
          <w:highlight w:val="none"/>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line="360" w:lineRule="auto"/>
        <w:ind w:firstLine="480" w:firstLineChars="200"/>
        <w:rPr>
          <w:rFonts w:ascii="宋体" w:hAnsi="宋体" w:cs="宋体"/>
          <w:color w:val="auto"/>
          <w:sz w:val="24"/>
          <w:szCs w:val="24"/>
          <w:highlight w:val="none"/>
        </w:rPr>
      </w:pPr>
      <w:r>
        <w:rPr>
          <w:rFonts w:ascii="宋体" w:hAnsi="宋体" w:cs="宋体"/>
          <w:color w:val="auto"/>
          <w:sz w:val="24"/>
          <w:szCs w:val="24"/>
          <w:highlight w:val="none"/>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color w:val="auto"/>
          <w:highlight w:val="none"/>
        </w:rPr>
      </w:pPr>
      <w:r>
        <w:rPr>
          <w:rFonts w:ascii="宋体" w:hAnsi="宋体" w:cs="宋体"/>
          <w:color w:val="auto"/>
          <w:sz w:val="24"/>
          <w:szCs w:val="24"/>
          <w:highlight w:val="none"/>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firstLineChars="200"/>
        <w:rPr>
          <w:rFonts w:ascii="宋体" w:hAnsi="宋体" w:cs="宋体"/>
          <w:b/>
          <w:color w:val="auto"/>
          <w:sz w:val="24"/>
          <w:szCs w:val="24"/>
          <w:highlight w:val="none"/>
        </w:rPr>
      </w:pPr>
      <w:r>
        <w:rPr>
          <w:rFonts w:hint="eastAsia" w:ascii="宋体" w:hAnsi="宋体" w:cs="宋体"/>
          <w:b/>
          <w:color w:val="auto"/>
          <w:sz w:val="24"/>
          <w:szCs w:val="24"/>
          <w:highlight w:val="none"/>
        </w:rPr>
        <w:t>第十四条</w:t>
      </w:r>
      <w:r>
        <w:rPr>
          <w:rFonts w:ascii="宋体" w:hAnsi="宋体" w:cs="宋体"/>
          <w:b/>
          <w:color w:val="auto"/>
          <w:sz w:val="24"/>
          <w:szCs w:val="24"/>
          <w:highlight w:val="none"/>
        </w:rPr>
        <w:t xml:space="preserve"> </w:t>
      </w:r>
      <w:r>
        <w:rPr>
          <w:rFonts w:hint="eastAsia" w:ascii="宋体" w:hAnsi="宋体" w:cs="宋体"/>
          <w:b/>
          <w:color w:val="auto"/>
          <w:sz w:val="24"/>
          <w:szCs w:val="24"/>
          <w:highlight w:val="none"/>
        </w:rPr>
        <w:t>争议解决方式：</w:t>
      </w:r>
    </w:p>
    <w:p>
      <w:pPr>
        <w:spacing w:line="360" w:lineRule="auto"/>
        <w:ind w:firstLine="600" w:firstLineChars="250"/>
        <w:rPr>
          <w:rFonts w:ascii="宋体" w:hAnsi="宋体" w:cs="宋体"/>
          <w:color w:val="auto"/>
          <w:sz w:val="24"/>
          <w:szCs w:val="24"/>
          <w:highlight w:val="none"/>
        </w:rPr>
      </w:pPr>
      <w:r>
        <w:rPr>
          <w:rFonts w:ascii="宋体" w:hAnsi="宋体" w:cs="宋体"/>
          <w:color w:val="auto"/>
          <w:sz w:val="24"/>
          <w:szCs w:val="24"/>
          <w:highlight w:val="none"/>
        </w:rPr>
        <w:t xml:space="preserve">14.1 </w:t>
      </w:r>
      <w:r>
        <w:rPr>
          <w:rFonts w:hint="eastAsia" w:ascii="宋体" w:hAnsi="宋体" w:cs="宋体"/>
          <w:color w:val="auto"/>
          <w:sz w:val="24"/>
          <w:szCs w:val="24"/>
          <w:highlight w:val="none"/>
        </w:rPr>
        <w:t>因本合同引起的或与本合同有关的任何争议，甲乙双方应友好协商解决，如协商不成，任何一方均可依法向</w:t>
      </w:r>
      <w:r>
        <w:rPr>
          <w:rFonts w:hint="eastAsia" w:ascii="宋体" w:hAnsi="宋体" w:cs="宋体"/>
          <w:color w:val="auto"/>
          <w:sz w:val="24"/>
          <w:szCs w:val="24"/>
          <w:highlight w:val="none"/>
          <w:u w:val="single"/>
        </w:rPr>
        <w:t>甲方所在地人民法院</w:t>
      </w:r>
      <w:r>
        <w:rPr>
          <w:rFonts w:hint="eastAsia" w:ascii="宋体" w:hAnsi="宋体" w:cs="宋体"/>
          <w:color w:val="auto"/>
          <w:sz w:val="24"/>
          <w:szCs w:val="24"/>
          <w:highlight w:val="none"/>
        </w:rPr>
        <w:t>提起诉讼。</w:t>
      </w:r>
    </w:p>
    <w:p>
      <w:pPr>
        <w:spacing w:line="360" w:lineRule="auto"/>
        <w:ind w:firstLine="600" w:firstLineChars="250"/>
        <w:rPr>
          <w:color w:val="auto"/>
          <w:highlight w:val="none"/>
        </w:rPr>
      </w:pPr>
      <w:r>
        <w:rPr>
          <w:rFonts w:ascii="宋体" w:hAnsi="宋体" w:cs="宋体"/>
          <w:color w:val="auto"/>
          <w:sz w:val="24"/>
          <w:szCs w:val="24"/>
          <w:highlight w:val="none"/>
        </w:rPr>
        <w:t xml:space="preserve">14.2 </w:t>
      </w:r>
      <w:r>
        <w:rPr>
          <w:rFonts w:hint="eastAsia" w:ascii="宋体" w:hAnsi="宋体" w:cs="宋体"/>
          <w:color w:val="auto"/>
          <w:sz w:val="24"/>
          <w:szCs w:val="24"/>
          <w:highlight w:val="none"/>
        </w:rPr>
        <w:t>在甲方同意的情况下，除有争端之外的合同其它部分在争端解决前应继续执行。</w:t>
      </w:r>
    </w:p>
    <w:p>
      <w:pPr>
        <w:numPr>
          <w:ilvl w:val="255"/>
          <w:numId w:val="0"/>
        </w:numPr>
        <w:spacing w:line="460" w:lineRule="exact"/>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第</w:t>
      </w:r>
      <w:r>
        <w:rPr>
          <w:rFonts w:hint="eastAsia" w:ascii="宋体" w:hAnsi="宋体" w:cs="宋体"/>
          <w:b/>
          <w:color w:val="auto"/>
          <w:sz w:val="24"/>
          <w:szCs w:val="24"/>
          <w:highlight w:val="none"/>
        </w:rPr>
        <w:t>十五</w:t>
      </w:r>
      <w:r>
        <w:rPr>
          <w:rFonts w:hint="eastAsia" w:ascii="宋体" w:hAnsi="宋体" w:cs="宋体"/>
          <w:b/>
          <w:bCs/>
          <w:color w:val="auto"/>
          <w:sz w:val="24"/>
          <w:szCs w:val="24"/>
          <w:highlight w:val="none"/>
        </w:rPr>
        <w:t>条</w:t>
      </w:r>
      <w:r>
        <w:rPr>
          <w:rFonts w:ascii="宋体" w:hAnsi="宋体" w:cs="宋体"/>
          <w:b/>
          <w:bCs/>
          <w:color w:val="auto"/>
          <w:sz w:val="24"/>
          <w:szCs w:val="24"/>
          <w:highlight w:val="none"/>
        </w:rPr>
        <w:t xml:space="preserve"> </w:t>
      </w:r>
      <w:r>
        <w:rPr>
          <w:rFonts w:hint="eastAsia" w:ascii="宋体" w:hAnsi="宋体" w:cs="宋体"/>
          <w:b/>
          <w:bCs/>
          <w:color w:val="auto"/>
          <w:sz w:val="24"/>
          <w:szCs w:val="24"/>
          <w:highlight w:val="none"/>
        </w:rPr>
        <w:t>其他</w:t>
      </w:r>
    </w:p>
    <w:p>
      <w:pPr>
        <w:spacing w:line="460" w:lineRule="exact"/>
        <w:ind w:firstLine="638" w:firstLineChars="266"/>
        <w:rPr>
          <w:rFonts w:ascii="宋体" w:hAnsi="宋体" w:cs="宋体"/>
          <w:b/>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.1</w:t>
      </w:r>
      <w:r>
        <w:rPr>
          <w:rFonts w:hint="eastAsia" w:ascii="宋体" w:hAnsi="宋体" w:cs="宋体"/>
          <w:color w:val="auto"/>
          <w:sz w:val="24"/>
          <w:szCs w:val="24"/>
          <w:highlight w:val="none"/>
        </w:rPr>
        <w:t>本协议未尽事宜，可由甲乙双方另行签订补充协议。补充协议与本合同具有同等法律效力。</w:t>
      </w:r>
    </w:p>
    <w:p>
      <w:pPr>
        <w:spacing w:line="460" w:lineRule="exact"/>
        <w:ind w:firstLine="638" w:firstLineChars="266"/>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.2</w:t>
      </w:r>
      <w:r>
        <w:rPr>
          <w:rFonts w:hint="eastAsia" w:ascii="宋体" w:hAnsi="宋体" w:cs="宋体"/>
          <w:color w:val="auto"/>
          <w:sz w:val="24"/>
          <w:szCs w:val="24"/>
          <w:highlight w:val="none"/>
        </w:rPr>
        <w:t>本合同自甲乙双方法定代表人或授权代理人签字并加盖公章之日起生效。</w:t>
      </w:r>
    </w:p>
    <w:p>
      <w:pPr>
        <w:spacing w:line="460" w:lineRule="exact"/>
        <w:ind w:firstLine="638" w:firstLineChars="266"/>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.3</w:t>
      </w:r>
      <w:r>
        <w:rPr>
          <w:rFonts w:hint="eastAsia" w:ascii="宋体" w:hAnsi="宋体" w:cs="宋体"/>
          <w:color w:val="auto"/>
          <w:sz w:val="24"/>
          <w:szCs w:val="24"/>
          <w:highlight w:val="none"/>
        </w:rPr>
        <w:t>本合同一式</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份，甲方执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份，乙方执</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rPr>
        <w:t>份。均具有同等法律效力。</w:t>
      </w:r>
    </w:p>
    <w:p>
      <w:pPr>
        <w:adjustRightInd w:val="0"/>
        <w:snapToGrid w:val="0"/>
        <w:spacing w:line="460" w:lineRule="exact"/>
        <w:ind w:right="521" w:rightChars="248" w:firstLine="720" w:firstLineChars="3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15</w:t>
      </w:r>
      <w:r>
        <w:rPr>
          <w:rFonts w:ascii="宋体" w:hAnsi="宋体" w:cs="宋体"/>
          <w:color w:val="auto"/>
          <w:sz w:val="24"/>
          <w:szCs w:val="24"/>
          <w:highlight w:val="none"/>
        </w:rPr>
        <w:t>.4</w:t>
      </w:r>
      <w:r>
        <w:rPr>
          <w:rFonts w:hint="eastAsia" w:ascii="宋体" w:hAnsi="宋体" w:cs="宋体"/>
          <w:color w:val="auto"/>
          <w:sz w:val="24"/>
          <w:szCs w:val="24"/>
          <w:highlight w:val="none"/>
        </w:rPr>
        <w:t>补充条款：</w:t>
      </w:r>
      <w:r>
        <w:rPr>
          <w:rFonts w:ascii="宋体" w:hAnsi="宋体" w:cs="宋体"/>
          <w:color w:val="auto"/>
          <w:sz w:val="24"/>
          <w:szCs w:val="24"/>
          <w:highlight w:val="none"/>
          <w:u w:val="single"/>
        </w:rPr>
        <w:t xml:space="preserve">  </w:t>
      </w:r>
      <w:r>
        <w:rPr>
          <w:rFonts w:hint="eastAsia" w:ascii="宋体" w:hAnsi="宋体" w:cs="宋体"/>
          <w:color w:val="auto"/>
          <w:sz w:val="24"/>
          <w:szCs w:val="24"/>
          <w:highlight w:val="none"/>
          <w:u w:val="single"/>
        </w:rPr>
        <w:t>。</w:t>
      </w:r>
      <w:r>
        <w:rPr>
          <w:rFonts w:ascii="宋体" w:hAnsi="宋体" w:cs="宋体"/>
          <w:color w:val="auto"/>
          <w:sz w:val="24"/>
          <w:szCs w:val="24"/>
          <w:highlight w:val="none"/>
        </w:rPr>
        <w:t xml:space="preserve">    </w:t>
      </w:r>
    </w:p>
    <w:bookmarkEnd w:id="119"/>
    <w:bookmarkEnd w:id="120"/>
    <w:bookmarkEnd w:id="121"/>
    <w:bookmarkEnd w:id="122"/>
    <w:bookmarkEnd w:id="123"/>
    <w:bookmarkEnd w:id="124"/>
    <w:bookmarkEnd w:id="125"/>
    <w:bookmarkEnd w:id="126"/>
    <w:bookmarkEnd w:id="127"/>
    <w:bookmarkEnd w:id="128"/>
    <w:bookmarkEnd w:id="129"/>
    <w:bookmarkEnd w:id="130"/>
    <w:bookmarkEnd w:id="131"/>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附件：</w:t>
      </w:r>
      <w:r>
        <w:rPr>
          <w:rFonts w:ascii="宋体" w:hAnsi="宋体" w:cs="宋体"/>
          <w:color w:val="auto"/>
          <w:sz w:val="24"/>
          <w:szCs w:val="24"/>
          <w:highlight w:val="none"/>
        </w:rPr>
        <w:t>1</w:t>
      </w:r>
      <w:r>
        <w:rPr>
          <w:rFonts w:hint="eastAsia" w:ascii="宋体" w:hAnsi="宋体" w:cs="宋体"/>
          <w:color w:val="auto"/>
          <w:sz w:val="24"/>
          <w:szCs w:val="24"/>
          <w:highlight w:val="none"/>
        </w:rPr>
        <w:t>.中标通知书</w:t>
      </w:r>
      <w:r>
        <w:rPr>
          <w:rFonts w:ascii="宋体" w:hAnsi="宋体" w:cs="宋体"/>
          <w:color w:val="auto"/>
          <w:sz w:val="24"/>
          <w:szCs w:val="24"/>
          <w:highlight w:val="none"/>
        </w:rPr>
        <w:t>/</w:t>
      </w:r>
      <w:r>
        <w:rPr>
          <w:rFonts w:hint="eastAsia" w:ascii="宋体" w:hAnsi="宋体" w:cs="宋体"/>
          <w:color w:val="auto"/>
          <w:sz w:val="24"/>
          <w:szCs w:val="24"/>
          <w:highlight w:val="none"/>
        </w:rPr>
        <w:t>发包通知书</w:t>
      </w:r>
      <w:r>
        <w:rPr>
          <w:rFonts w:hint="eastAsia" w:ascii="宋体" w:hAnsi="宋体" w:cs="宋体"/>
          <w:color w:val="auto"/>
          <w:sz w:val="24"/>
          <w:szCs w:val="24"/>
          <w:highlight w:val="none"/>
          <w:lang w:val="en-US" w:eastAsia="zh-CN"/>
        </w:rPr>
        <w:t>/成交通知书</w:t>
      </w:r>
      <w:r>
        <w:rPr>
          <w:rFonts w:hint="eastAsia" w:ascii="宋体" w:hAnsi="宋体" w:cs="宋体"/>
          <w:color w:val="auto"/>
          <w:sz w:val="24"/>
          <w:szCs w:val="24"/>
          <w:highlight w:val="none"/>
        </w:rPr>
        <w:t>（如有）</w:t>
      </w:r>
    </w:p>
    <w:p>
      <w:pPr>
        <w:spacing w:line="360" w:lineRule="auto"/>
        <w:ind w:firstLine="480"/>
        <w:rPr>
          <w:rFonts w:hint="eastAsia" w:ascii="宋体" w:hAnsi="宋体" w:eastAsia="宋体" w:cs="宋体"/>
          <w:color w:val="auto"/>
          <w:sz w:val="24"/>
          <w:szCs w:val="24"/>
          <w:highlight w:val="none"/>
        </w:rPr>
      </w:pPr>
      <w:r>
        <w:rPr>
          <w:rFonts w:ascii="宋体" w:hAnsi="宋体" w:cs="宋体"/>
          <w:color w:val="auto"/>
          <w:sz w:val="24"/>
          <w:szCs w:val="24"/>
          <w:highlight w:val="none"/>
        </w:rPr>
        <w:t xml:space="preserve">      </w:t>
      </w: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rPr>
        <w:t>.廉洁协议</w:t>
      </w:r>
    </w:p>
    <w:p>
      <w:pPr>
        <w:spacing w:line="360" w:lineRule="auto"/>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不诚信行为的情形及相应被暂停参与投标活动的处理标准</w:t>
      </w:r>
    </w:p>
    <w:p>
      <w:pPr>
        <w:spacing w:line="360" w:lineRule="auto"/>
        <w:ind w:firstLine="1200" w:firstLineChars="5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物品采购</w:t>
      </w:r>
      <w:r>
        <w:rPr>
          <w:rFonts w:hint="eastAsia" w:ascii="宋体" w:hAnsi="宋体" w:eastAsia="宋体" w:cs="宋体"/>
          <w:color w:val="auto"/>
          <w:sz w:val="24"/>
          <w:szCs w:val="24"/>
          <w:highlight w:val="none"/>
        </w:rPr>
        <w:t>安全协议书</w:t>
      </w:r>
    </w:p>
    <w:p>
      <w:pPr>
        <w:spacing w:line="360" w:lineRule="auto"/>
        <w:ind w:firstLine="1200" w:firstLineChars="5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rPr>
        <w:t>.防疫管理协议书</w:t>
      </w:r>
    </w:p>
    <w:tbl>
      <w:tblPr>
        <w:tblStyle w:val="24"/>
        <w:tblpPr w:leftFromText="180" w:rightFromText="180" w:vertAnchor="text" w:horzAnchor="page" w:tblpX="1364" w:tblpY="792"/>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甲方</w:t>
            </w:r>
            <w:r>
              <w:rPr>
                <w:rFonts w:hint="eastAsia" w:ascii="宋体" w:hAnsi="宋体" w:cs="宋体"/>
                <w:color w:val="auto"/>
                <w:sz w:val="24"/>
                <w:szCs w:val="24"/>
                <w:highlight w:val="none"/>
              </w:rPr>
              <w:t>：（章）广州市净水有限公司</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b/>
                <w:color w:val="auto"/>
                <w:sz w:val="24"/>
                <w:szCs w:val="24"/>
                <w:highlight w:val="none"/>
              </w:rPr>
              <w:t>乙方</w:t>
            </w:r>
            <w:r>
              <w:rPr>
                <w:rFonts w:hint="eastAsia" w:ascii="宋体" w:hAnsi="宋体" w:cs="宋体"/>
                <w:color w:val="auto"/>
                <w:sz w:val="24"/>
                <w:szCs w:val="24"/>
                <w:highlight w:val="none"/>
              </w:rPr>
              <w:t>：</w:t>
            </w:r>
            <w:r>
              <w:rPr>
                <w:rFonts w:ascii="宋体" w:hAnsi="宋体" w:cs="宋体"/>
                <w:color w:val="auto"/>
                <w:sz w:val="24"/>
                <w:szCs w:val="24"/>
                <w:highlight w:val="none"/>
              </w:rPr>
              <w:t xml:space="preserve"> </w:t>
            </w:r>
            <w:r>
              <w:rPr>
                <w:rFonts w:hint="eastAsia" w:ascii="宋体" w:hAnsi="宋体" w:cs="宋体"/>
                <w:color w:val="auto"/>
                <w:sz w:val="24"/>
                <w:szCs w:val="24"/>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ind w:left="240" w:hanging="240" w:hangingChars="100"/>
              <w:jc w:val="both"/>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 xml:space="preserve">                                                     </w:t>
            </w:r>
          </w:p>
        </w:tc>
        <w:tc>
          <w:tcPr>
            <w:tcW w:w="4696" w:type="dxa"/>
            <w:tcBorders>
              <w:top w:val="nil"/>
              <w:left w:val="nil"/>
              <w:bottom w:val="nil"/>
              <w:right w:val="nil"/>
            </w:tcBorders>
            <w:noWrap w:val="0"/>
            <w:vAlign w:val="top"/>
          </w:tcPr>
          <w:p>
            <w:pPr>
              <w:adjustRightInd w:val="0"/>
              <w:snapToGrid w:val="0"/>
              <w:spacing w:line="360" w:lineRule="auto"/>
              <w:ind w:left="4181" w:hanging="4180" w:hangingChars="1742"/>
              <w:rPr>
                <w:rFonts w:ascii="宋体" w:hAnsi="宋体" w:cs="宋体"/>
                <w:color w:val="auto"/>
                <w:sz w:val="24"/>
                <w:szCs w:val="24"/>
                <w:highlight w:val="none"/>
              </w:rPr>
            </w:pPr>
            <w:r>
              <w:rPr>
                <w:rFonts w:hint="eastAsia" w:ascii="宋体" w:hAnsi="宋体" w:cs="宋体"/>
                <w:color w:val="auto"/>
                <w:sz w:val="24"/>
                <w:szCs w:val="24"/>
                <w:highlight w:val="none"/>
              </w:rPr>
              <w:t>签订日期</w:t>
            </w:r>
            <w:r>
              <w:rPr>
                <w:rFonts w:ascii="宋体" w:hAnsi="宋体" w:cs="宋体"/>
                <w:color w:val="auto"/>
                <w:sz w:val="24"/>
                <w:szCs w:val="24"/>
                <w:highlight w:val="none"/>
              </w:rPr>
              <w:t>:</w:t>
            </w:r>
          </w:p>
        </w:tc>
      </w:tr>
    </w:tbl>
    <w:p>
      <w:pPr>
        <w:spacing w:line="360" w:lineRule="auto"/>
        <w:rPr>
          <w:rFonts w:hint="default" w:ascii="宋体" w:hAnsi="宋体" w:eastAsia="宋体" w:cs="宋体"/>
          <w:b w:val="0"/>
          <w:bCs w:val="0"/>
          <w:color w:val="auto"/>
          <w:kern w:val="0"/>
          <w:sz w:val="24"/>
          <w:szCs w:val="24"/>
          <w:highlight w:val="none"/>
          <w:lang w:val="en-US" w:eastAsia="zh-CN"/>
        </w:rPr>
      </w:pPr>
    </w:p>
    <w:p>
      <w:pPr>
        <w:spacing w:line="360" w:lineRule="auto"/>
        <w:rPr>
          <w:rFonts w:hint="eastAsia" w:ascii="宋体" w:hAnsi="宋体" w:cs="宋体"/>
          <w:b/>
          <w:bCs/>
          <w:color w:val="auto"/>
          <w:szCs w:val="21"/>
          <w:highlight w:val="none"/>
          <w:lang w:val="en-US" w:eastAsia="zh-CN"/>
        </w:rPr>
      </w:pPr>
    </w:p>
    <w:p>
      <w:pPr>
        <w:spacing w:line="360" w:lineRule="auto"/>
        <w:rPr>
          <w:rFonts w:hint="default" w:ascii="宋体" w:hAnsi="宋体" w:cs="宋体" w:eastAsiaTheme="minorEastAsia"/>
          <w:b/>
          <w:bCs/>
          <w:color w:val="auto"/>
          <w:szCs w:val="21"/>
          <w:highlight w:val="none"/>
          <w:lang w:val="en-US" w:eastAsia="zh-CN"/>
        </w:rPr>
      </w:pPr>
      <w:r>
        <w:rPr>
          <w:rFonts w:hint="eastAsia" w:ascii="宋体" w:hAnsi="宋体" w:cs="宋体"/>
          <w:b/>
          <w:bCs/>
          <w:color w:val="auto"/>
          <w:szCs w:val="21"/>
          <w:highlight w:val="none"/>
          <w:lang w:val="en-US" w:eastAsia="zh-CN"/>
        </w:rPr>
        <w:t>附件1中标通知书/发包通知书/成交通知书</w:t>
      </w: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ascii="宋体" w:hAnsi="宋体" w:cs="宋体"/>
          <w:b/>
          <w:bCs/>
          <w:color w:val="auto"/>
          <w:szCs w:val="21"/>
          <w:highlight w:val="none"/>
        </w:rPr>
        <w:t>2</w:t>
      </w:r>
    </w:p>
    <w:p>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廉洁协议</w:t>
      </w:r>
    </w:p>
    <w:p>
      <w:pPr>
        <w:spacing w:line="360" w:lineRule="auto"/>
        <w:ind w:firstLine="540" w:firstLineChars="225"/>
        <w:rPr>
          <w:rFonts w:ascii="宋体" w:hAnsi="宋体"/>
          <w:color w:val="auto"/>
          <w:sz w:val="24"/>
          <w:highlight w:val="none"/>
        </w:rPr>
      </w:pPr>
      <w:r>
        <w:rPr>
          <w:rFonts w:hint="eastAsia" w:ascii="宋体" w:hAnsi="宋体"/>
          <w:color w:val="auto"/>
          <w:sz w:val="24"/>
          <w:highlight w:val="none"/>
        </w:rPr>
        <w:t>为促进双方诚信经营、廉洁从业，防范商业贿赂，保护国家、集体和当事人的合法权益，根据国家有关法律法规和广东省、广州市廉政建设的规定，</w:t>
      </w:r>
      <w:r>
        <w:rPr>
          <w:rFonts w:ascii="宋体" w:hAnsi="宋体"/>
          <w:color w:val="auto"/>
          <w:sz w:val="24"/>
          <w:highlight w:val="none"/>
          <w:u w:val="single"/>
        </w:rPr>
        <w:t>广州市净水有限公司</w:t>
      </w:r>
      <w:r>
        <w:rPr>
          <w:rFonts w:ascii="宋体" w:hAnsi="宋体"/>
          <w:color w:val="auto"/>
          <w:sz w:val="24"/>
          <w:highlight w:val="none"/>
        </w:rPr>
        <w:t>(以下称甲方)与</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(以下称乙方</w:t>
      </w:r>
      <w:r>
        <w:rPr>
          <w:rFonts w:ascii="宋体" w:hAnsi="宋体"/>
          <w:color w:val="auto"/>
          <w:sz w:val="24"/>
          <w:highlight w:val="none"/>
        </w:rPr>
        <w:t>)，特此订立本协议共同遵照执行。</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第一条甲乙双方的权利和义务</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（一）甲乙双方严格遵守国家关于市场准入、项目招标投标、市场经营活动等有关法律、法规相关政策及廉政建设的各项规定。</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（二）严格执行</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合同（以下简称：主合同），自觉履行合同约定的相关义务。</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（三）在业务活动中坚持公开、公正、诚信、透明的原则，不得损害国家、集体利益。</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（四）建立健全廉洁从业制度，开展廉洁教育，公布举报电话，监督并认真查处不廉洁及违法违纪行为。</w:t>
      </w:r>
    </w:p>
    <w:p>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（五）发现对方在业务活动中有不廉洁行为，应及时提醒对方纠正。情节严重的，应向其上级有关部门举报，建议给予处理，并有权要求告知处理结果。</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第二条甲方的义务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（一）甲方及其工作人员不得索要或接受乙方的礼金、有价证券和贵重物品，不得在乙方报销任何应由甲方或个人支付的费用等。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（三）甲方及其工作人员不得要求或者接受乙方为其住房装修、婚丧嫁娶活动、配偶子女工作安排以及出国出境、旅游等提供方便等。</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（四）甲方工作人员不得在乙方或与乙方有股权关联的企业兼职，不得向乙方介绍家属或者亲友从事与甲方业务有关的经济活动。</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（五）甲方工作人员不得以明显低于市场的价格向乙方购买房屋、汽车等物品；不得</w:t>
      </w:r>
      <w:r>
        <w:rPr>
          <w:rFonts w:ascii="宋体" w:hAnsi="宋体"/>
          <w:color w:val="auto"/>
          <w:sz w:val="24"/>
          <w:highlight w:val="none"/>
        </w:rPr>
        <w:t>以明显高于市场的价格向</w:t>
      </w:r>
      <w:r>
        <w:rPr>
          <w:rFonts w:hint="eastAsia" w:ascii="宋体" w:hAnsi="宋体"/>
          <w:color w:val="auto"/>
          <w:sz w:val="24"/>
          <w:highlight w:val="none"/>
        </w:rPr>
        <w:t>乙方</w:t>
      </w:r>
      <w:r>
        <w:rPr>
          <w:rFonts w:ascii="宋体" w:hAnsi="宋体"/>
          <w:color w:val="auto"/>
          <w:sz w:val="24"/>
          <w:highlight w:val="none"/>
        </w:rPr>
        <w:t>出售房屋、汽车等物品；</w:t>
      </w:r>
      <w:r>
        <w:rPr>
          <w:rFonts w:hint="eastAsia" w:ascii="宋体" w:hAnsi="宋体"/>
          <w:color w:val="auto"/>
          <w:sz w:val="24"/>
          <w:highlight w:val="none"/>
        </w:rPr>
        <w:t>不得使用乙方提供的与工作无关的房屋、汽车等物品；不得以其他交易形式非法收受请托人财物。</w:t>
      </w:r>
    </w:p>
    <w:p>
      <w:pPr>
        <w:spacing w:line="360" w:lineRule="auto"/>
        <w:ind w:left="15" w:leftChars="7" w:firstLine="480" w:firstLineChars="200"/>
        <w:rPr>
          <w:rFonts w:ascii="宋体" w:hAnsi="宋体"/>
          <w:color w:val="auto"/>
          <w:sz w:val="24"/>
          <w:highlight w:val="none"/>
        </w:rPr>
      </w:pPr>
      <w:r>
        <w:rPr>
          <w:rFonts w:hint="eastAsia" w:ascii="宋体" w:hAnsi="宋体"/>
          <w:color w:val="auto"/>
          <w:sz w:val="24"/>
          <w:highlight w:val="none"/>
        </w:rPr>
        <w:t>（六）甲方工作人员不得利用职务之便收受乙方以回扣、手续费、加班费、咨询费、劳务费、协调费、辛苦费等各种名义给予或赠送的钱物。</w:t>
      </w:r>
    </w:p>
    <w:p>
      <w:pPr>
        <w:spacing w:line="360" w:lineRule="auto"/>
        <w:ind w:left="15" w:leftChars="7" w:firstLine="480" w:firstLineChars="200"/>
        <w:rPr>
          <w:rFonts w:hint="eastAsia" w:ascii="宋体" w:hAnsi="宋体"/>
          <w:color w:val="auto"/>
          <w:sz w:val="24"/>
          <w:highlight w:val="none"/>
        </w:rPr>
      </w:pPr>
      <w:r>
        <w:rPr>
          <w:rFonts w:hint="eastAsia" w:ascii="宋体" w:hAnsi="宋体"/>
          <w:color w:val="auto"/>
          <w:sz w:val="24"/>
          <w:highlight w:val="none"/>
        </w:rPr>
        <w:t>（七）甲方工作人员不得接受乙方给予或赠送的干股或红利。</w:t>
      </w:r>
    </w:p>
    <w:p>
      <w:pPr>
        <w:spacing w:line="360" w:lineRule="auto"/>
        <w:ind w:left="15" w:leftChars="7"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(八）不得存在其他违反廉洁规定的行为。</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第三条乙方的义务</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（一）乙方不得以任何理由向甲方及其工作人员行贿或馈赠礼金、有价证券、贵重礼品。</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（二</w:t>
      </w:r>
      <w:r>
        <w:rPr>
          <w:rFonts w:ascii="宋体" w:hAnsi="宋体"/>
          <w:color w:val="auto"/>
          <w:sz w:val="24"/>
          <w:highlight w:val="none"/>
        </w:rPr>
        <w:t>)乙方不得以任何名义为甲方及其工作人员报销应由甲方单位或个人支付的任何费用。</w:t>
      </w:r>
    </w:p>
    <w:p>
      <w:pPr>
        <w:spacing w:line="360" w:lineRule="auto"/>
        <w:ind w:left="25" w:leftChars="12" w:firstLine="480" w:firstLineChars="200"/>
        <w:rPr>
          <w:rFonts w:ascii="宋体" w:hAnsi="宋体"/>
          <w:color w:val="auto"/>
          <w:sz w:val="24"/>
          <w:highlight w:val="none"/>
        </w:rPr>
      </w:pPr>
      <w:r>
        <w:rPr>
          <w:rFonts w:hint="eastAsia" w:ascii="宋体" w:hAnsi="宋体"/>
          <w:color w:val="auto"/>
          <w:sz w:val="24"/>
          <w:highlight w:val="none"/>
        </w:rPr>
        <w:t>（三）乙方不得以任何理由安排甲方工作人员参加可能影响相关业务公开、公正、公平性的宴请及娱乐活动。</w:t>
      </w:r>
    </w:p>
    <w:p>
      <w:pPr>
        <w:pStyle w:val="16"/>
        <w:rPr>
          <w:color w:val="auto"/>
          <w:sz w:val="24"/>
          <w:highlight w:val="none"/>
        </w:rPr>
      </w:pPr>
      <w:r>
        <w:rPr>
          <w:rFonts w:hint="eastAsia"/>
          <w:color w:val="auto"/>
          <w:sz w:val="24"/>
          <w:highlight w:val="none"/>
        </w:rPr>
        <w:t>（四）乙方不得为甲方单位和个人购置或提供通讯工具和高档办公用品等物品，也不得为甲方提供与工作无关的房屋、汽车等。</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（五）乙方不得擅自与甲方工作人员就合同中的质量、数量、价格、工程量、验收等条款进行私下商谈或者达成默契。</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left="15" w:leftChars="7" w:firstLine="480" w:firstLineChars="200"/>
        <w:rPr>
          <w:rFonts w:hint="eastAsia" w:ascii="宋体" w:hAnsi="宋体"/>
          <w:color w:val="auto"/>
          <w:sz w:val="24"/>
          <w:highlight w:val="none"/>
        </w:rPr>
      </w:pPr>
      <w:r>
        <w:rPr>
          <w:rFonts w:hint="eastAsia" w:ascii="宋体" w:hAnsi="宋体"/>
          <w:color w:val="auto"/>
          <w:sz w:val="24"/>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(八）不得存在其他违反廉洁规定的行为。</w:t>
      </w:r>
    </w:p>
    <w:p>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rPr>
        <w:t>第四条违约责任</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一）甲方及其工作人员违反本协议第一、二条。甲方按管理权限，对相关责任人依据有关规定给予党纪、政务处分或组织处理；涉嫌犯罪的，移交司法机关追究刑事责任；给乙方单位造成经济损失的，应予以赔偿。</w:t>
      </w:r>
    </w:p>
    <w:p>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甲方举报投诉联系部门：广州市净水有限公司</w:t>
      </w:r>
      <w:r>
        <w:rPr>
          <w:rFonts w:ascii="宋体" w:hAnsi="宋体"/>
          <w:color w:val="auto"/>
          <w:sz w:val="24"/>
          <w:highlight w:val="none"/>
          <w:u w:val="single"/>
        </w:rPr>
        <w:t>纪检</w:t>
      </w:r>
      <w:r>
        <w:rPr>
          <w:rFonts w:hint="eastAsia" w:ascii="宋体" w:hAnsi="宋体"/>
          <w:color w:val="auto"/>
          <w:sz w:val="24"/>
          <w:highlight w:val="none"/>
          <w:u w:val="single"/>
        </w:rPr>
        <w:t>室</w:t>
      </w:r>
      <w:r>
        <w:rPr>
          <w:rFonts w:hint="eastAsia" w:ascii="宋体" w:hAnsi="宋体"/>
          <w:color w:val="auto"/>
          <w:sz w:val="24"/>
          <w:highlight w:val="none"/>
        </w:rPr>
        <w:t>，联系电话：</w:t>
      </w:r>
      <w:r>
        <w:rPr>
          <w:rFonts w:ascii="宋体" w:hAnsi="宋体"/>
          <w:color w:val="auto"/>
          <w:sz w:val="24"/>
          <w:highlight w:val="none"/>
          <w:u w:val="single"/>
        </w:rPr>
        <w:t xml:space="preserve"> 020-38890265 </w:t>
      </w:r>
      <w:r>
        <w:rPr>
          <w:rFonts w:hint="eastAsia" w:ascii="宋体" w:hAnsi="宋体"/>
          <w:color w:val="auto"/>
          <w:sz w:val="24"/>
          <w:highlight w:val="none"/>
        </w:rPr>
        <w:t>。</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1、扣除主合同的全部履约保证金；</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2、解除主合同；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3、追究乙方其他违约责任；</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adjustRightInd/>
        <w:snapToGrid/>
        <w:spacing w:line="240" w:lineRule="auto"/>
        <w:ind w:left="0" w:firstLine="480" w:firstLineChars="200"/>
        <w:textAlignment w:val="auto"/>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480" w:firstLineChars="200"/>
        <w:rPr>
          <w:rFonts w:hint="eastAsia" w:ascii="宋体" w:hAnsi="宋体" w:eastAsia="宋体" w:cs="Calibri"/>
          <w:color w:val="auto"/>
          <w:kern w:val="2"/>
          <w:sz w:val="24"/>
          <w:szCs w:val="22"/>
          <w:highlight w:val="none"/>
          <w:lang w:val="en-US" w:eastAsia="zh-CN" w:bidi="ar-SA"/>
        </w:rPr>
      </w:pPr>
      <w:r>
        <w:rPr>
          <w:rFonts w:hint="eastAsia" w:ascii="宋体" w:hAnsi="宋体" w:eastAsia="宋体" w:cs="Calibri"/>
          <w:color w:val="auto"/>
          <w:kern w:val="2"/>
          <w:sz w:val="24"/>
          <w:szCs w:val="22"/>
          <w:highlight w:val="none"/>
          <w:lang w:val="en-US" w:eastAsia="zh-CN" w:bidi="ar-SA"/>
        </w:rPr>
        <w:t>乙方无条件接受甲方的处理决定并承担给甲方造成的损失，全额返还通过不正当手段获取的非法所得，并承担相应的法律责任。</w:t>
      </w:r>
    </w:p>
    <w:p>
      <w:pPr>
        <w:spacing w:after="0" w:line="240" w:lineRule="auto"/>
        <w:rPr>
          <w:rFonts w:ascii="宋体" w:hAnsi="宋体" w:cs="宋体"/>
          <w:color w:val="auto"/>
          <w:kern w:val="0"/>
          <w:sz w:val="24"/>
          <w:szCs w:val="24"/>
          <w:highlight w:val="none"/>
        </w:rPr>
      </w:pPr>
      <w:r>
        <w:rPr>
          <w:rFonts w:hint="eastAsia" w:ascii="宋体" w:hAnsi="宋体"/>
          <w:b/>
          <w:bCs/>
          <w:color w:val="auto"/>
          <w:sz w:val="24"/>
          <w:highlight w:val="none"/>
        </w:rPr>
        <w:t xml:space="preserve">第五条 </w:t>
      </w:r>
      <w:r>
        <w:rPr>
          <w:rFonts w:ascii="宋体" w:hAnsi="宋体" w:cs="宋体"/>
          <w:color w:val="auto"/>
          <w:kern w:val="0"/>
          <w:sz w:val="24"/>
          <w:szCs w:val="24"/>
          <w:highlight w:val="none"/>
        </w:rPr>
        <w:t xml:space="preserve">本协议执行情况，接受有管辖权的纪检、监察部门的监督，双方应予以配合检查调查。 </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第六条</w:t>
      </w:r>
      <w:r>
        <w:rPr>
          <w:rFonts w:ascii="宋体" w:hAnsi="宋体"/>
          <w:color w:val="auto"/>
          <w:sz w:val="24"/>
          <w:highlight w:val="none"/>
        </w:rPr>
        <w:t>本协议作为</w:t>
      </w:r>
      <w:r>
        <w:rPr>
          <w:rFonts w:hint="eastAsia" w:ascii="宋体" w:hAnsi="宋体"/>
          <w:color w:val="auto"/>
          <w:sz w:val="24"/>
          <w:highlight w:val="none"/>
          <w:u w:val="single"/>
        </w:rPr>
        <w:t>（合同名称）+（合同编号）</w:t>
      </w:r>
      <w:r>
        <w:rPr>
          <w:rFonts w:hint="eastAsia" w:ascii="宋体" w:hAnsi="宋体"/>
          <w:color w:val="auto"/>
          <w:sz w:val="24"/>
          <w:highlight w:val="none"/>
        </w:rPr>
        <w:t>合同的附件，并具有同等的法律效力，本协议自双方签字盖章之日起生效，与主合同同时终止。</w:t>
      </w:r>
    </w:p>
    <w:p>
      <w:pPr>
        <w:spacing w:line="360" w:lineRule="auto"/>
        <w:ind w:firstLine="482" w:firstLineChars="200"/>
        <w:rPr>
          <w:rFonts w:ascii="宋体" w:hAnsi="宋体"/>
          <w:color w:val="auto"/>
          <w:sz w:val="24"/>
          <w:highlight w:val="none"/>
        </w:rPr>
      </w:pPr>
      <w:r>
        <w:rPr>
          <w:rFonts w:hint="eastAsia" w:ascii="宋体" w:hAnsi="宋体"/>
          <w:b/>
          <w:color w:val="auto"/>
          <w:sz w:val="24"/>
          <w:highlight w:val="none"/>
        </w:rPr>
        <w:t>第七条</w:t>
      </w:r>
      <w:r>
        <w:rPr>
          <w:rFonts w:hint="eastAsia" w:ascii="宋体" w:hAnsi="宋体"/>
          <w:color w:val="auto"/>
          <w:sz w:val="24"/>
          <w:highlight w:val="none"/>
        </w:rPr>
        <w:t>本协议甲方、乙方双方执持数量与主合同一致</w:t>
      </w:r>
      <w:r>
        <w:rPr>
          <w:rFonts w:ascii="宋体" w:hAnsi="宋体"/>
          <w:color w:val="auto"/>
          <w:sz w:val="24"/>
          <w:highlight w:val="none"/>
        </w:rPr>
        <w:t>。</w:t>
      </w:r>
    </w:p>
    <w:p>
      <w:pPr>
        <w:spacing w:line="360" w:lineRule="auto"/>
        <w:rPr>
          <w:rFonts w:ascii="宋体" w:hAnsi="宋体"/>
          <w:color w:val="auto"/>
          <w:sz w:val="24"/>
          <w:highlight w:val="none"/>
        </w:rPr>
      </w:pPr>
      <w:r>
        <w:rPr>
          <w:rFonts w:ascii="宋体" w:hAnsi="宋体"/>
          <w:color w:val="auto"/>
          <w:sz w:val="24"/>
          <w:highlight w:val="none"/>
        </w:rPr>
        <w:br w:type="textWrapping"/>
      </w:r>
      <w:r>
        <w:rPr>
          <w:rFonts w:hint="eastAsia" w:ascii="宋体" w:hAnsi="宋体"/>
          <w:color w:val="auto"/>
          <w:sz w:val="24"/>
          <w:highlight w:val="none"/>
        </w:rPr>
        <w:t>甲方（盖章）：                     乙方（盖章）：</w:t>
      </w:r>
    </w:p>
    <w:p>
      <w:pPr>
        <w:pStyle w:val="38"/>
        <w:tabs>
          <w:tab w:val="left" w:pos="5100"/>
        </w:tabs>
        <w:spacing w:line="360" w:lineRule="auto"/>
        <w:ind w:left="7200" w:firstLine="0" w:firstLineChars="0"/>
        <w:jc w:val="left"/>
        <w:rPr>
          <w:rFonts w:ascii="宋体" w:hAnsi="宋体"/>
          <w:color w:val="auto"/>
          <w:sz w:val="24"/>
          <w:highlight w:val="none"/>
        </w:rPr>
      </w:pPr>
    </w:p>
    <w:p>
      <w:pPr>
        <w:tabs>
          <w:tab w:val="left" w:pos="5100"/>
        </w:tabs>
        <w:spacing w:line="360" w:lineRule="auto"/>
        <w:ind w:left="7200" w:hanging="7200" w:hangingChars="3000"/>
        <w:rPr>
          <w:rFonts w:ascii="宋体" w:hAnsi="宋体"/>
          <w:color w:val="auto"/>
          <w:sz w:val="24"/>
          <w:highlight w:val="none"/>
        </w:rPr>
      </w:pPr>
      <w:r>
        <w:rPr>
          <w:rFonts w:hint="eastAsia" w:ascii="宋体" w:hAnsi="宋体"/>
          <w:color w:val="auto"/>
          <w:sz w:val="24"/>
          <w:highlight w:val="none"/>
        </w:rPr>
        <w:t>签约代表：                         签约代表：</w:t>
      </w:r>
    </w:p>
    <w:p>
      <w:pPr>
        <w:tabs>
          <w:tab w:val="left" w:pos="4170"/>
        </w:tabs>
        <w:spacing w:line="360" w:lineRule="auto"/>
        <w:rPr>
          <w:rFonts w:hint="eastAsia" w:ascii="宋体" w:hAnsi="宋体"/>
          <w:color w:val="auto"/>
          <w:sz w:val="24"/>
          <w:highlight w:val="none"/>
        </w:rPr>
      </w:pPr>
      <w:r>
        <w:rPr>
          <w:rFonts w:hint="eastAsia" w:ascii="宋体" w:hAnsi="宋体"/>
          <w:color w:val="auto"/>
          <w:sz w:val="24"/>
          <w:highlight w:val="none"/>
        </w:rPr>
        <w:t>日期</w:t>
      </w:r>
      <w:r>
        <w:rPr>
          <w:rFonts w:ascii="宋体" w:hAnsi="宋体"/>
          <w:color w:val="auto"/>
          <w:sz w:val="24"/>
          <w:highlight w:val="none"/>
        </w:rPr>
        <w:t>:    年</w:t>
      </w:r>
      <w:r>
        <w:rPr>
          <w:rFonts w:hint="eastAsia" w:ascii="宋体" w:hAnsi="宋体"/>
          <w:color w:val="auto"/>
          <w:sz w:val="24"/>
          <w:highlight w:val="none"/>
        </w:rPr>
        <w:t xml:space="preserve">  </w:t>
      </w:r>
      <w:r>
        <w:rPr>
          <w:rFonts w:ascii="宋体" w:hAnsi="宋体"/>
          <w:color w:val="auto"/>
          <w:sz w:val="24"/>
          <w:highlight w:val="none"/>
        </w:rPr>
        <w:t>月</w:t>
      </w:r>
      <w:r>
        <w:rPr>
          <w:rFonts w:hint="eastAsia" w:ascii="宋体" w:hAnsi="宋体"/>
          <w:color w:val="auto"/>
          <w:sz w:val="24"/>
          <w:highlight w:val="none"/>
        </w:rPr>
        <w:t xml:space="preserve"> </w:t>
      </w:r>
      <w:r>
        <w:rPr>
          <w:rFonts w:ascii="宋体" w:hAnsi="宋体"/>
          <w:color w:val="auto"/>
          <w:sz w:val="24"/>
          <w:highlight w:val="none"/>
        </w:rPr>
        <w:t xml:space="preserve"> 日</w:t>
      </w:r>
      <w:r>
        <w:rPr>
          <w:rFonts w:ascii="宋体" w:hAnsi="宋体"/>
          <w:color w:val="auto"/>
          <w:sz w:val="24"/>
          <w:highlight w:val="none"/>
        </w:rPr>
        <w:tab/>
      </w:r>
      <w:r>
        <w:rPr>
          <w:rFonts w:hint="eastAsia" w:ascii="宋体" w:hAnsi="宋体"/>
          <w:color w:val="auto"/>
          <w:sz w:val="24"/>
          <w:highlight w:val="none"/>
        </w:rPr>
        <w:t xml:space="preserve">日期： </w:t>
      </w:r>
      <w:r>
        <w:rPr>
          <w:rFonts w:ascii="宋体" w:hAnsi="宋体"/>
          <w:color w:val="auto"/>
          <w:sz w:val="24"/>
          <w:highlight w:val="none"/>
        </w:rPr>
        <w:t xml:space="preserve"> </w:t>
      </w:r>
      <w:r>
        <w:rPr>
          <w:rFonts w:hint="eastAsia" w:ascii="宋体" w:hAnsi="宋体"/>
          <w:color w:val="auto"/>
          <w:sz w:val="24"/>
          <w:highlight w:val="none"/>
        </w:rPr>
        <w:t xml:space="preserve">年 </w:t>
      </w:r>
      <w:r>
        <w:rPr>
          <w:rFonts w:ascii="宋体" w:hAnsi="宋体"/>
          <w:color w:val="auto"/>
          <w:sz w:val="24"/>
          <w:highlight w:val="none"/>
        </w:rPr>
        <w:t xml:space="preserve"> </w:t>
      </w:r>
      <w:r>
        <w:rPr>
          <w:rFonts w:hint="eastAsia" w:ascii="宋体" w:hAnsi="宋体"/>
          <w:color w:val="auto"/>
          <w:sz w:val="24"/>
          <w:highlight w:val="none"/>
        </w:rPr>
        <w:t xml:space="preserve">月 </w:t>
      </w:r>
      <w:r>
        <w:rPr>
          <w:rFonts w:ascii="宋体" w:hAnsi="宋体"/>
          <w:color w:val="auto"/>
          <w:sz w:val="24"/>
          <w:highlight w:val="none"/>
        </w:rPr>
        <w:t xml:space="preserve"> </w:t>
      </w:r>
      <w:r>
        <w:rPr>
          <w:rFonts w:hint="eastAsia" w:ascii="宋体" w:hAnsi="宋体"/>
          <w:color w:val="auto"/>
          <w:sz w:val="24"/>
          <w:highlight w:val="none"/>
        </w:rPr>
        <w:t>日</w:t>
      </w:r>
    </w:p>
    <w:p>
      <w:pPr>
        <w:pStyle w:val="2"/>
        <w:rPr>
          <w:color w:val="auto"/>
          <w:highlight w:val="none"/>
        </w:rPr>
      </w:pPr>
    </w:p>
    <w:p>
      <w:pPr>
        <w:adjustRightInd w:val="0"/>
        <w:snapToGrid w:val="0"/>
        <w:jc w:val="both"/>
        <w:rPr>
          <w:rFonts w:hint="eastAsia" w:ascii="宋体" w:hAnsi="宋体" w:eastAsia="宋体" w:cs="宋体"/>
          <w:b/>
          <w:bCs/>
          <w:color w:val="auto"/>
          <w:sz w:val="21"/>
          <w:szCs w:val="21"/>
          <w:highlight w:val="none"/>
          <w:lang w:val="en-US" w:eastAsia="zh-CN"/>
        </w:rPr>
      </w:pPr>
    </w:p>
    <w:p>
      <w:pPr>
        <w:adjustRightInd w:val="0"/>
        <w:snapToGrid w:val="0"/>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附件3.</w:t>
      </w:r>
      <w:r>
        <w:rPr>
          <w:rFonts w:hint="eastAsia" w:ascii="宋体" w:hAnsi="宋体" w:eastAsia="宋体" w:cs="宋体"/>
          <w:color w:val="auto"/>
          <w:sz w:val="21"/>
          <w:szCs w:val="21"/>
          <w:highlight w:val="none"/>
        </w:rPr>
        <w:t>不诚信行为的情形及相应被暂停参与投标活动的处理标准</w:t>
      </w:r>
    </w:p>
    <w:tbl>
      <w:tblPr>
        <w:tblStyle w:val="24"/>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5245"/>
        <w:gridCol w:w="850"/>
        <w:gridCol w:w="1985"/>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序号</w:t>
            </w:r>
          </w:p>
        </w:tc>
        <w:tc>
          <w:tcPr>
            <w:tcW w:w="5671"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不诚信行为的情形</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处理</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期限</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情节严重或拒不改正的延长处理期限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安全不诚信行为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（一）建设生产现场发生人员</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死亡1～2人的，暂停投标1年至2年（含）。</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Cs w:val="24"/>
                <w:highlight w:val="none"/>
                <w:lang w:eastAsia="zh-CN"/>
              </w:rPr>
              <w:t>重伤或</w:t>
            </w:r>
            <w:r>
              <w:rPr>
                <w:rFonts w:hint="eastAsia" w:ascii="仿宋_GB2312" w:hAnsi="仿宋_GB2312" w:eastAsia="仿宋_GB2312" w:cs="仿宋_GB2312"/>
                <w:color w:val="auto"/>
                <w:szCs w:val="24"/>
                <w:highlight w:val="none"/>
              </w:rPr>
              <w:t>死亡3～9人的，暂停投标2年以上至4年。</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发生</w:t>
            </w:r>
            <w:r>
              <w:rPr>
                <w:rFonts w:hint="eastAsia" w:ascii="仿宋_GB2312" w:hAnsi="仿宋_GB2312" w:eastAsia="仿宋_GB2312" w:cs="仿宋_GB2312"/>
                <w:color w:val="auto"/>
                <w:sz w:val="21"/>
                <w:szCs w:val="24"/>
                <w:highlight w:val="none"/>
                <w:lang w:val="en-US" w:eastAsia="zh-CN"/>
              </w:rPr>
              <w:t>重伤10人以上（含）、或</w:t>
            </w:r>
            <w:r>
              <w:rPr>
                <w:rFonts w:hint="eastAsia" w:ascii="仿宋_GB2312" w:hAnsi="仿宋_GB2312" w:eastAsia="仿宋_GB2312" w:cs="仿宋_GB2312"/>
                <w:color w:val="auto"/>
                <w:szCs w:val="24"/>
                <w:highlight w:val="none"/>
              </w:rPr>
              <w:t>重大及以上事故的，暂停投标4年或以上</w:t>
            </w:r>
            <w:r>
              <w:rPr>
                <w:rFonts w:hint="eastAsia" w:ascii="仿宋_GB2312" w:hAnsi="仿宋_GB2312" w:eastAsia="仿宋_GB2312" w:cs="仿宋_GB2312"/>
                <w:color w:val="auto"/>
                <w:szCs w:val="24"/>
                <w:highlight w:val="none"/>
                <w:lang w:eastAsia="zh-CN"/>
              </w:rPr>
              <w:t>。</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政府认定责任事故增加6个月。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基坑坍塌、高支模坍塌、结构坍塌、周边建筑物沉降、管线损坏、火灾、爆炸等，虽无人员伤亡但造成重大社会负面影响的事件。重大社会负面影响包括但不限于交通中断、大面积停水停电停气、大范围通信中断、人员紧急疏散、中断行车2小时以上，</w:t>
            </w:r>
            <w:r>
              <w:rPr>
                <w:rFonts w:hint="eastAsia" w:ascii="仿宋_GB2312" w:hAnsi="仿宋_GB2312" w:eastAsia="仿宋_GB2312" w:cs="仿宋_GB2312"/>
                <w:color w:val="auto"/>
                <w:szCs w:val="24"/>
                <w:highlight w:val="none"/>
                <w:lang w:eastAsia="zh-CN"/>
              </w:rPr>
              <w:t>大面积运营晚点，</w:t>
            </w:r>
            <w:r>
              <w:rPr>
                <w:rFonts w:hint="eastAsia" w:ascii="仿宋_GB2312" w:hAnsi="仿宋_GB2312" w:eastAsia="仿宋_GB2312" w:cs="仿宋_GB2312"/>
                <w:color w:val="auto"/>
                <w:szCs w:val="24"/>
                <w:highlight w:val="none"/>
              </w:rPr>
              <w:t>或群体性事件等。</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视情况暂停投标1至2年。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9"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根据《广州市净水有限公司工程项目承包单位考评细则》安全管理未达标且符合限制投标处罚标准的。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暂停投标1年。若至下一个自然年度项目尚未完结，仍出现该款情形的，继续暂停投标1年；同理执行至工程建设项目完工验收完成。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质量不诚信行为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（一）由于质量问题对建设项目的使用功能造成影响且无法挽回的。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Cs w:val="24"/>
                <w:highlight w:val="none"/>
                <w:lang w:eastAsia="zh-CN"/>
              </w:rPr>
              <w:t>二</w:t>
            </w:r>
            <w:r>
              <w:rPr>
                <w:rFonts w:hint="eastAsia" w:ascii="仿宋_GB2312" w:hAnsi="仿宋_GB2312" w:eastAsia="仿宋_GB2312" w:cs="仿宋_GB2312"/>
                <w:color w:val="auto"/>
                <w:szCs w:val="24"/>
                <w:highlight w:val="none"/>
              </w:rPr>
              <w:t>）</w:t>
            </w:r>
            <w:r>
              <w:rPr>
                <w:rFonts w:hint="eastAsia" w:ascii="仿宋_GB2312" w:hAnsi="仿宋_GB2312" w:eastAsia="仿宋_GB2312" w:cs="仿宋_GB2312"/>
                <w:color w:val="auto"/>
                <w:sz w:val="21"/>
                <w:szCs w:val="24"/>
                <w:highlight w:val="none"/>
                <w:lang w:val="en-US" w:eastAsia="zh-CN"/>
              </w:rPr>
              <w:t>根据《广州市净水有限公司工程项目承包单位考评细则》质量管理未达标且符合限制投标处罚标准的。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。若至下一个自然年度项目尚未完结，仍出现该款情形的，继续暂停投标</w:t>
            </w:r>
            <w:r>
              <w:rPr>
                <w:rFonts w:hint="eastAsia" w:ascii="仿宋_GB2312" w:hAnsi="仿宋_GB2312" w:eastAsia="仿宋_GB2312" w:cs="仿宋_GB2312"/>
                <w:color w:val="auto"/>
                <w:szCs w:val="24"/>
                <w:highlight w:val="none"/>
                <w:lang w:val="en-US" w:eastAsia="zh-CN"/>
              </w:rPr>
              <w:t>1</w:t>
            </w:r>
            <w:r>
              <w:rPr>
                <w:rFonts w:hint="eastAsia" w:ascii="仿宋_GB2312" w:hAnsi="仿宋_GB2312" w:eastAsia="仿宋_GB2312" w:cs="仿宋_GB2312"/>
                <w:color w:val="auto"/>
                <w:szCs w:val="24"/>
                <w:highlight w:val="none"/>
                <w:lang w:eastAsia="zh-CN"/>
              </w:rPr>
              <w:t>年</w:t>
            </w:r>
            <w:r>
              <w:rPr>
                <w:rFonts w:hint="eastAsia" w:ascii="仿宋_GB2312" w:hAnsi="仿宋_GB2312" w:eastAsia="仿宋_GB2312" w:cs="仿宋_GB2312"/>
                <w:color w:val="auto"/>
                <w:szCs w:val="24"/>
                <w:highlight w:val="none"/>
              </w:rPr>
              <w:t>；同理执行至工程建设项目完工验收完成。</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（三）发生其他由质量问题而引起的重大社会负面影响事件的。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7</w:t>
            </w:r>
          </w:p>
        </w:tc>
        <w:tc>
          <w:tcPr>
            <w:tcW w:w="426"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其他不诚信</w:t>
            </w:r>
          </w:p>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行为</w:t>
            </w: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（一）</w:t>
            </w:r>
            <w:r>
              <w:rPr>
                <w:rFonts w:hint="eastAsia" w:ascii="仿宋_GB2312" w:hAnsi="仿宋_GB2312" w:eastAsia="仿宋_GB2312" w:cs="仿宋_GB2312"/>
                <w:color w:val="auto"/>
                <w:sz w:val="21"/>
                <w:szCs w:val="24"/>
                <w:highlight w:val="none"/>
                <w:lang w:val="en-US" w:eastAsia="zh-CN"/>
              </w:rPr>
              <w:t>投标、询价过程弄虚作假、串通报价投标、任意弃标</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（二）发生质量事故或安全事故造成社会负面影响需要面对媒体和进行危机公关，参建企业法定代表人在规定的时间内未到现场面对媒体进行危机公关的。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（三）因参建企业原因造成信访、维稳事件，造成较大社会影响。</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（四）中标后转包工程、非法分包工程、非法转让业务的。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（五）因人员、机械投入及配套服务投入不足，主要管理人员未按照投标文件响应到位，导致严重影响工期，被市水投集团相关部门及发包人督办、警告和约谈3次的。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（六）未经批准擅自更换项目经理的。</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13</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（七）严重违反合同约定的，具体包括但不限于以下行为：</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14</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1.提供或使用假冒伪劣或以次充好产品、不符合国家规范规定材料的。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15</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2.工程竣工验收后，不出具质量保修书的，或质量保修的内容、期限违反规定的。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16</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3.不履行保修义务或者拖延履行保修义务的。</w:t>
            </w:r>
          </w:p>
        </w:tc>
        <w:tc>
          <w:tcPr>
            <w:tcW w:w="85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6个月</w:t>
            </w:r>
          </w:p>
        </w:tc>
        <w:tc>
          <w:tcPr>
            <w:tcW w:w="1985"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17</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4.其他经认定为严重违反合同规定的。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18</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（八）违反廉洁协议约定的。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19</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（九）拖欠农民工工资，造成不良后果的。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20</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（十）为谋取非法利益，给市水投集团或发包人造成损失的。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21</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（十一）因参建企业原因造成第三者财产重大损失的。</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2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22</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pPr>
              <w:rPr>
                <w:rFonts w:hint="eastAsia" w:ascii="仿宋_GB2312" w:hAnsi="仿宋_GB2312" w:eastAsia="仿宋_GB2312" w:cs="仿宋_GB2312"/>
                <w:color w:val="auto"/>
                <w:szCs w:val="24"/>
                <w:highlight w:val="none"/>
              </w:rPr>
            </w:pPr>
          </w:p>
        </w:tc>
        <w:tc>
          <w:tcPr>
            <w:tcW w:w="5245" w:type="dxa"/>
            <w:tcBorders>
              <w:top w:val="single" w:color="auto" w:sz="4" w:space="0"/>
              <w:left w:val="single" w:color="auto" w:sz="4" w:space="0"/>
              <w:bottom w:val="single" w:color="auto" w:sz="4" w:space="0"/>
              <w:right w:val="single" w:color="auto" w:sz="4" w:space="0"/>
            </w:tcBorders>
            <w:noWrap/>
            <w:vAlign w:val="center"/>
          </w:tcPr>
          <w:p>
            <w:pPr>
              <w:numPr>
                <w:ilvl w:val="0"/>
                <w:numId w:val="0"/>
              </w:numPr>
              <w:adjustRightInd w:val="0"/>
              <w:snapToGrid w:val="0"/>
              <w:jc w:val="left"/>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（十二）</w:t>
            </w:r>
            <w:r>
              <w:rPr>
                <w:rFonts w:hint="eastAsia" w:ascii="仿宋_GB2312" w:hAnsi="仿宋_GB2312" w:eastAsia="仿宋_GB2312" w:cs="仿宋_GB2312"/>
                <w:color w:val="auto"/>
                <w:sz w:val="21"/>
                <w:szCs w:val="24"/>
                <w:highlight w:val="none"/>
                <w:lang w:val="en-US" w:eastAsia="zh-CN"/>
              </w:rPr>
              <w:t>经发包人认定的其他不诚信行为</w:t>
            </w:r>
            <w:r>
              <w:rPr>
                <w:rFonts w:hint="eastAsia" w:ascii="仿宋_GB2312" w:hAnsi="仿宋_GB2312" w:eastAsia="仿宋_GB2312" w:cs="仿宋_GB2312"/>
                <w:color w:val="auto"/>
                <w:szCs w:val="24"/>
                <w:highlight w:val="none"/>
              </w:rPr>
              <w:t>。</w:t>
            </w:r>
          </w:p>
        </w:tc>
        <w:tc>
          <w:tcPr>
            <w:tcW w:w="2835"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Cs w:val="24"/>
                <w:highlight w:val="none"/>
              </w:rPr>
              <w:t>视情况暂停投标6个月至2年。</w:t>
            </w:r>
          </w:p>
        </w:tc>
        <w:tc>
          <w:tcPr>
            <w:tcW w:w="85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rPr>
                <w:rFonts w:hint="eastAsia" w:ascii="仿宋_GB2312" w:hAnsi="仿宋_GB2312" w:eastAsia="仿宋_GB2312" w:cs="仿宋_GB2312"/>
                <w:color w:val="auto"/>
                <w:szCs w:val="24"/>
                <w:highlight w:val="none"/>
              </w:rPr>
            </w:pPr>
          </w:p>
        </w:tc>
      </w:tr>
    </w:tbl>
    <w:p>
      <w:pPr>
        <w:numPr>
          <w:ilvl w:val="0"/>
          <w:numId w:val="0"/>
        </w:numPr>
        <w:ind w:firstLine="0" w:firstLineChars="0"/>
        <w:contextualSpacing/>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备注：本处理标准出自</w:t>
      </w:r>
      <w:r>
        <w:rPr>
          <w:rFonts w:hint="eastAsia" w:ascii="仿宋_GB2312" w:hAnsi="仿宋_GB2312" w:eastAsia="仿宋_GB2312" w:cs="仿宋_GB2312"/>
          <w:color w:val="auto"/>
          <w:sz w:val="24"/>
          <w:szCs w:val="24"/>
          <w:highlight w:val="none"/>
        </w:rPr>
        <w:t>《广州市净水有限公司经营建设项目参建企业不诚信行为管理办法》</w:t>
      </w:r>
      <w:r>
        <w:rPr>
          <w:rFonts w:hint="eastAsia" w:ascii="仿宋_GB2312" w:hAnsi="仿宋_GB2312" w:eastAsia="仿宋_GB2312" w:cs="仿宋_GB2312"/>
          <w:color w:val="auto"/>
          <w:sz w:val="24"/>
          <w:szCs w:val="24"/>
          <w:highlight w:val="none"/>
          <w:lang w:eastAsia="zh-CN"/>
        </w:rPr>
        <w:t>。</w:t>
      </w: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spacing w:line="360" w:lineRule="auto"/>
        <w:rPr>
          <w:rFonts w:hint="eastAsia" w:ascii="宋体" w:hAnsi="宋体" w:cs="宋体"/>
          <w:b/>
          <w:color w:val="auto"/>
          <w:szCs w:val="21"/>
          <w:highlight w:val="none"/>
        </w:rPr>
      </w:pPr>
    </w:p>
    <w:p>
      <w:pPr>
        <w:pStyle w:val="2"/>
        <w:rPr>
          <w:rFonts w:hint="eastAsia"/>
          <w:color w:val="auto"/>
          <w:highlight w:val="none"/>
        </w:rPr>
      </w:pPr>
    </w:p>
    <w:p>
      <w:pPr>
        <w:spacing w:line="360" w:lineRule="auto"/>
        <w:rPr>
          <w:rFonts w:ascii="宋体" w:hAnsi="宋体" w:cs="宋体"/>
          <w:b/>
          <w:color w:val="auto"/>
          <w:szCs w:val="21"/>
          <w:highlight w:val="none"/>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：安全管理协议书</w:t>
      </w:r>
    </w:p>
    <w:p>
      <w:pPr>
        <w:spacing w:line="560" w:lineRule="exact"/>
        <w:jc w:val="center"/>
        <w:rPr>
          <w:rFonts w:ascii="黑体" w:hAnsi="宋体" w:eastAsia="黑体" w:cs="宋体"/>
          <w:bCs/>
          <w:color w:val="auto"/>
          <w:kern w:val="0"/>
          <w:sz w:val="44"/>
          <w:szCs w:val="44"/>
          <w:highlight w:val="none"/>
        </w:rPr>
      </w:pPr>
      <w:r>
        <w:rPr>
          <w:rFonts w:hint="eastAsia" w:ascii="黑体" w:hAnsi="宋体" w:eastAsia="黑体" w:cs="宋体"/>
          <w:bCs/>
          <w:color w:val="auto"/>
          <w:kern w:val="0"/>
          <w:sz w:val="44"/>
          <w:szCs w:val="44"/>
          <w:highlight w:val="none"/>
        </w:rPr>
        <w:t>物品采购</w:t>
      </w:r>
      <w:r>
        <w:rPr>
          <w:rFonts w:hint="eastAsia" w:ascii="黑体" w:hAnsi="Batang" w:eastAsia="黑体" w:cs="Batang"/>
          <w:bCs/>
          <w:color w:val="auto"/>
          <w:kern w:val="0"/>
          <w:sz w:val="44"/>
          <w:szCs w:val="44"/>
          <w:highlight w:val="none"/>
        </w:rPr>
        <w:t>安全协议</w:t>
      </w:r>
      <w:r>
        <w:rPr>
          <w:rFonts w:hint="eastAsia" w:ascii="黑体" w:hAnsi="宋体" w:eastAsia="黑体" w:cs="宋体"/>
          <w:bCs/>
          <w:color w:val="auto"/>
          <w:kern w:val="0"/>
          <w:sz w:val="44"/>
          <w:szCs w:val="44"/>
          <w:highlight w:val="none"/>
        </w:rPr>
        <w:t>书</w:t>
      </w:r>
    </w:p>
    <w:p>
      <w:pPr>
        <w:spacing w:line="560" w:lineRule="exact"/>
        <w:rPr>
          <w:rFonts w:ascii="宋体" w:hAnsi="宋体" w:cs="Arial"/>
          <w:color w:val="auto"/>
          <w:kern w:val="0"/>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rPr>
          <w:rFonts w:ascii="宋体" w:hAnsi="宋体" w:cs="Arial"/>
          <w:color w:val="auto"/>
          <w:kern w:val="0"/>
          <w:sz w:val="24"/>
          <w:highlight w:val="none"/>
        </w:rPr>
      </w:pP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为加强物品采购过程安全管理，根据《中华人民共和国安全生产法》、《生产安全事故报告和调查处理条例》等国家及地方有关安全生产法律法规</w:t>
      </w:r>
      <w:r>
        <w:rPr>
          <w:rFonts w:ascii="宋体" w:hAnsi="宋体" w:cs="Arial"/>
          <w:color w:val="auto"/>
          <w:kern w:val="0"/>
          <w:sz w:val="24"/>
          <w:highlight w:val="none"/>
        </w:rPr>
        <w:t>，甲乙双方就</w:t>
      </w:r>
      <w:r>
        <w:rPr>
          <w:rFonts w:hint="eastAsia" w:ascii="宋体" w:hAnsi="宋体" w:cs="Arial"/>
          <w:color w:val="auto"/>
          <w:kern w:val="0"/>
          <w:sz w:val="24"/>
          <w:highlight w:val="none"/>
        </w:rPr>
        <w:t>物品采购的安全</w:t>
      </w:r>
      <w:r>
        <w:rPr>
          <w:rFonts w:ascii="宋体" w:hAnsi="宋体" w:cs="Arial"/>
          <w:color w:val="auto"/>
          <w:kern w:val="0"/>
          <w:sz w:val="24"/>
          <w:highlight w:val="none"/>
        </w:rPr>
        <w:t>事宜，</w:t>
      </w:r>
      <w:r>
        <w:rPr>
          <w:rFonts w:ascii="宋体" w:hAnsi="宋体" w:cs="Arial"/>
          <w:color w:val="auto"/>
          <w:sz w:val="24"/>
          <w:highlight w:val="none"/>
        </w:rPr>
        <w:t>经双方友好协商，达成如下协议</w:t>
      </w:r>
      <w:r>
        <w:rPr>
          <w:rFonts w:ascii="宋体" w:hAnsi="宋体" w:cs="Arial"/>
          <w:color w:val="auto"/>
          <w:kern w:val="0"/>
          <w:sz w:val="24"/>
          <w:highlight w:val="none"/>
        </w:rPr>
        <w:t>。</w:t>
      </w:r>
    </w:p>
    <w:p>
      <w:pPr>
        <w:adjustRightInd w:val="0"/>
        <w:snapToGrid w:val="0"/>
        <w:spacing w:line="560" w:lineRule="exact"/>
        <w:ind w:firstLine="480" w:firstLineChars="200"/>
        <w:jc w:val="left"/>
        <w:rPr>
          <w:rFonts w:ascii="等线" w:hAnsi="等线" w:eastAsia="等线"/>
          <w:b/>
          <w:color w:val="auto"/>
          <w:sz w:val="24"/>
          <w:highlight w:val="none"/>
        </w:rPr>
      </w:pPr>
      <w:r>
        <w:rPr>
          <w:rFonts w:hint="eastAsia" w:ascii="等线" w:hAnsi="等线" w:eastAsia="等线"/>
          <w:b/>
          <w:color w:val="auto"/>
          <w:sz w:val="24"/>
          <w:highlight w:val="none"/>
        </w:rPr>
        <w:t>一、本协议与主合同的关系</w:t>
      </w:r>
    </w:p>
    <w:p>
      <w:pPr>
        <w:adjustRightInd w:val="0"/>
        <w:snapToGrid w:val="0"/>
        <w:spacing w:line="560" w:lineRule="exact"/>
        <w:ind w:firstLine="480" w:firstLineChars="200"/>
        <w:jc w:val="left"/>
        <w:rPr>
          <w:rFonts w:ascii="等线" w:hAnsi="等线" w:eastAsia="等线"/>
          <w:color w:val="auto"/>
          <w:sz w:val="24"/>
          <w:highlight w:val="none"/>
        </w:rPr>
      </w:pPr>
      <w:r>
        <w:rPr>
          <w:rFonts w:hint="eastAsia" w:ascii="等线" w:hAnsi="等线" w:eastAsia="等线"/>
          <w:color w:val="auto"/>
          <w:sz w:val="24"/>
          <w:highlight w:val="none"/>
        </w:rPr>
        <w:t>本协议作为</w:t>
      </w:r>
      <w:r>
        <w:rPr>
          <w:rFonts w:hint="eastAsia" w:ascii="等线" w:hAnsi="等线" w:eastAsia="等线"/>
          <w:color w:val="auto"/>
          <w:sz w:val="24"/>
          <w:highlight w:val="none"/>
          <w:u w:val="single"/>
        </w:rPr>
        <w:t xml:space="preserve">                          </w:t>
      </w:r>
      <w:r>
        <w:rPr>
          <w:rFonts w:hint="eastAsia" w:ascii="等线" w:hAnsi="等线" w:eastAsia="等线"/>
          <w:color w:val="auto"/>
          <w:sz w:val="24"/>
          <w:highlight w:val="none"/>
        </w:rPr>
        <w:t>的组成部分，与主合同具有同等法律效力。</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二、甲方权责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（一）甲方进行物品采购时，应贯彻落实国家、地方有关安全管理的法律法规和规章制度。</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（五）告知乙方在甲方应当遵守的安全管理要求。</w:t>
      </w:r>
    </w:p>
    <w:p>
      <w:pPr>
        <w:spacing w:line="560" w:lineRule="exact"/>
        <w:ind w:firstLine="482" w:firstLineChars="200"/>
        <w:rPr>
          <w:rFonts w:ascii="宋体" w:hAnsi="宋体" w:cs="Arial"/>
          <w:b/>
          <w:color w:val="auto"/>
          <w:kern w:val="0"/>
          <w:sz w:val="24"/>
          <w:highlight w:val="none"/>
        </w:rPr>
      </w:pPr>
      <w:r>
        <w:rPr>
          <w:rFonts w:hint="eastAsia" w:ascii="宋体" w:hAnsi="宋体" w:cs="Arial"/>
          <w:b/>
          <w:color w:val="auto"/>
          <w:kern w:val="0"/>
          <w:sz w:val="24"/>
          <w:highlight w:val="none"/>
        </w:rPr>
        <w:t>三、乙方权责</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（二）</w:t>
      </w:r>
      <w:r>
        <w:rPr>
          <w:rFonts w:hint="eastAsia" w:ascii="宋体" w:hAnsi="宋体" w:cs="宋体"/>
          <w:color w:val="auto"/>
          <w:kern w:val="0"/>
          <w:sz w:val="24"/>
          <w:highlight w:val="none"/>
        </w:rPr>
        <w:t>乙方负责明确自身岗位安全职责，将安全责任落实到人；加强教育工作，督促员工遵守安全生产规章制度；鼓励员工积极参与安全生产工作，及时发现和消除隐患。运输物品时，应指定</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安全运输责任人，负责安全运输和装卸及安全教育工作，同时督促检查，确保</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的安全送运。</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（三）乙方应承诺所售</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质量符合现行国家规范要求，保证</w:t>
      </w:r>
      <w:r>
        <w:rPr>
          <w:rFonts w:hint="eastAsia" w:ascii="宋体" w:hAnsi="宋体" w:cs="Arial"/>
          <w:color w:val="auto"/>
          <w:kern w:val="0"/>
          <w:sz w:val="24"/>
          <w:highlight w:val="none"/>
        </w:rPr>
        <w:t>所售物品为正品。设备类物品应提供与设备型号一致的使用说明书（进口设备应有中文说明书），如物品有保质期要求的应在保质期范围内，</w:t>
      </w:r>
      <w:r>
        <w:rPr>
          <w:rFonts w:hint="eastAsia" w:ascii="宋体" w:hAnsi="宋体" w:cs="宋体"/>
          <w:color w:val="auto"/>
          <w:kern w:val="0"/>
          <w:sz w:val="24"/>
          <w:highlight w:val="none"/>
        </w:rPr>
        <w:t>特殊设备应在运输前做好定检工作，包装要完整完好。</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（四）乙方对</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（五）乙方须加强物品运输车辆的安全管理，用于运输</w:t>
      </w:r>
      <w:r>
        <w:rPr>
          <w:rFonts w:hint="eastAsia" w:ascii="宋体" w:hAnsi="宋体" w:cs="Arial"/>
          <w:color w:val="auto"/>
          <w:kern w:val="0"/>
          <w:sz w:val="24"/>
          <w:highlight w:val="none"/>
        </w:rPr>
        <w:t>物品</w:t>
      </w:r>
      <w:r>
        <w:rPr>
          <w:rFonts w:hint="eastAsia" w:ascii="宋体" w:hAnsi="宋体" w:cs="宋体"/>
          <w:color w:val="auto"/>
          <w:kern w:val="0"/>
          <w:sz w:val="24"/>
          <w:highlight w:val="none"/>
        </w:rPr>
        <w:t>的车辆必须车况良好、外观整洁、证照齐全，严格执行车辆安全检验制度，确保车辆性能符合安全技术标准。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（六）人员管理</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乙方聘请其他单位运输的，乙方应对运输单位的安全管理负责。</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ascii="宋体" w:hAnsi="宋体" w:cs="宋体"/>
          <w:color w:val="auto"/>
          <w:kern w:val="0"/>
          <w:sz w:val="24"/>
          <w:highlight w:val="none"/>
          <w:u w:val="single"/>
        </w:rPr>
        <w:t xml:space="preserve">      </w:t>
      </w:r>
      <w:r>
        <w:rPr>
          <w:rFonts w:hint="eastAsia" w:ascii="宋体" w:hAnsi="宋体" w:cs="宋体"/>
          <w:color w:val="auto"/>
          <w:kern w:val="0"/>
          <w:sz w:val="24"/>
          <w:highlight w:val="none"/>
        </w:rPr>
        <w:t>元/次。</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line="5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（七）发生事故时，乙方须立即报警处理，乙方在力所能及范围内采取补救措施，并在30分钟内将情况报告甲方。</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（十）乙方委托的第三方运输单位或个人，违反本协议的，全部责任均由乙方承担。</w:t>
      </w:r>
    </w:p>
    <w:p>
      <w:pPr>
        <w:pStyle w:val="41"/>
        <w:spacing w:line="560" w:lineRule="exact"/>
        <w:ind w:firstLine="480" w:firstLineChars="200"/>
        <w:rPr>
          <w:rFonts w:ascii="等线" w:hAnsi="等线" w:eastAsia="等线"/>
          <w:color w:val="auto"/>
          <w:sz w:val="24"/>
          <w:highlight w:val="none"/>
        </w:rPr>
      </w:pPr>
      <w:r>
        <w:rPr>
          <w:rFonts w:hint="eastAsia" w:ascii="等线" w:hAnsi="等线" w:eastAsia="等线"/>
          <w:b/>
          <w:color w:val="auto"/>
          <w:sz w:val="24"/>
          <w:highlight w:val="none"/>
        </w:rPr>
        <w:t>四、补充条款：</w:t>
      </w:r>
      <w:r>
        <w:rPr>
          <w:rFonts w:hint="eastAsia" w:ascii="等线" w:hAnsi="等线" w:eastAsia="等线"/>
          <w:color w:val="auto"/>
          <w:sz w:val="24"/>
          <w:highlight w:val="none"/>
          <w:u w:val="single"/>
        </w:rPr>
        <w:t xml:space="preserve">         </w:t>
      </w:r>
      <w:r>
        <w:rPr>
          <w:rFonts w:ascii="等线" w:hAnsi="等线" w:eastAsia="等线"/>
          <w:color w:val="auto"/>
          <w:sz w:val="24"/>
          <w:highlight w:val="none"/>
          <w:u w:val="single"/>
        </w:rPr>
        <w:t xml:space="preserve"> </w:t>
      </w:r>
      <w:r>
        <w:rPr>
          <w:rFonts w:hint="eastAsia" w:ascii="等线" w:hAnsi="等线" w:eastAsia="等线"/>
          <w:color w:val="auto"/>
          <w:sz w:val="24"/>
          <w:highlight w:val="none"/>
          <w:u w:val="single"/>
        </w:rPr>
        <w:t xml:space="preserve">       </w:t>
      </w:r>
      <w:r>
        <w:rPr>
          <w:rFonts w:hint="eastAsia" w:ascii="等线" w:hAnsi="等线" w:eastAsia="等线"/>
          <w:color w:val="auto"/>
          <w:sz w:val="24"/>
          <w:highlight w:val="none"/>
        </w:rPr>
        <w:t>。</w:t>
      </w:r>
    </w:p>
    <w:p>
      <w:pPr>
        <w:adjustRightInd w:val="0"/>
        <w:snapToGrid w:val="0"/>
        <w:spacing w:line="560" w:lineRule="exact"/>
        <w:ind w:firstLine="480" w:firstLineChars="200"/>
        <w:jc w:val="left"/>
        <w:rPr>
          <w:rFonts w:ascii="等线" w:hAnsi="等线" w:eastAsia="等线"/>
          <w:b/>
          <w:color w:val="auto"/>
          <w:sz w:val="24"/>
          <w:highlight w:val="none"/>
        </w:rPr>
      </w:pPr>
      <w:r>
        <w:rPr>
          <w:rFonts w:hint="eastAsia" w:ascii="等线" w:hAnsi="等线" w:eastAsia="等线"/>
          <w:b/>
          <w:color w:val="auto"/>
          <w:sz w:val="24"/>
          <w:highlight w:val="none"/>
        </w:rPr>
        <w:t>五、附则</w:t>
      </w:r>
    </w:p>
    <w:p>
      <w:pPr>
        <w:adjustRightInd w:val="0"/>
        <w:snapToGrid w:val="0"/>
        <w:spacing w:line="560" w:lineRule="exact"/>
        <w:ind w:firstLine="480" w:firstLineChars="200"/>
        <w:jc w:val="left"/>
        <w:rPr>
          <w:rFonts w:ascii="等线" w:hAnsi="等线" w:eastAsia="等线"/>
          <w:color w:val="auto"/>
          <w:sz w:val="24"/>
          <w:highlight w:val="none"/>
        </w:rPr>
      </w:pPr>
      <w:r>
        <w:rPr>
          <w:rFonts w:hint="eastAsia" w:ascii="等线" w:hAnsi="等线" w:eastAsia="等线"/>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等线" w:hAnsi="等线" w:eastAsia="等线"/>
          <w:color w:val="auto"/>
          <w:sz w:val="24"/>
          <w:highlight w:val="none"/>
        </w:rPr>
      </w:pPr>
      <w:r>
        <w:rPr>
          <w:rFonts w:hint="eastAsia" w:ascii="等线" w:hAnsi="等线" w:eastAsia="等线"/>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ascii="等线" w:hAnsi="等线" w:eastAsia="等线"/>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noWrap w:val="0"/>
            <w:vAlign w:val="top"/>
          </w:tcPr>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甲方：</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签约代表：</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联系电话：</w:t>
            </w:r>
          </w:p>
          <w:p>
            <w:pPr>
              <w:widowControl w:val="0"/>
              <w:adjustRightInd w:val="0"/>
              <w:snapToGrid w:val="0"/>
              <w:spacing w:line="560" w:lineRule="exact"/>
              <w:ind w:firstLine="240" w:firstLineChars="100"/>
              <w:jc w:val="right"/>
              <w:textAlignment w:val="baseline"/>
              <w:rPr>
                <w:rFonts w:ascii="等线" w:hAnsi="等线" w:eastAsia="等线"/>
                <w:color w:val="auto"/>
                <w:sz w:val="24"/>
                <w:highlight w:val="none"/>
              </w:rPr>
            </w:pPr>
            <w:r>
              <w:rPr>
                <w:rFonts w:hint="eastAsia" w:ascii="等线" w:hAnsi="等线" w:eastAsia="等线"/>
                <w:color w:val="auto"/>
                <w:sz w:val="24"/>
                <w:highlight w:val="none"/>
              </w:rPr>
              <w:t>年</w:t>
            </w:r>
            <w:r>
              <w:rPr>
                <w:rFonts w:ascii="等线" w:hAnsi="等线" w:eastAsia="等线"/>
                <w:color w:val="auto"/>
                <w:sz w:val="24"/>
                <w:highlight w:val="none"/>
              </w:rPr>
              <w:t xml:space="preserve">    </w:t>
            </w:r>
            <w:r>
              <w:rPr>
                <w:rFonts w:hint="eastAsia" w:ascii="等线" w:hAnsi="等线" w:eastAsia="等线"/>
                <w:color w:val="auto"/>
                <w:sz w:val="24"/>
                <w:highlight w:val="none"/>
              </w:rPr>
              <w:t>月</w:t>
            </w:r>
            <w:r>
              <w:rPr>
                <w:rFonts w:ascii="等线" w:hAnsi="等线" w:eastAsia="等线"/>
                <w:color w:val="auto"/>
                <w:sz w:val="24"/>
                <w:highlight w:val="none"/>
              </w:rPr>
              <w:t xml:space="preserve">    </w:t>
            </w:r>
            <w:r>
              <w:rPr>
                <w:rFonts w:hint="eastAsia" w:ascii="等线" w:hAnsi="等线" w:eastAsia="等线"/>
                <w:color w:val="auto"/>
                <w:sz w:val="24"/>
                <w:highlight w:val="none"/>
              </w:rPr>
              <w:t>日</w:t>
            </w:r>
          </w:p>
        </w:tc>
        <w:tc>
          <w:tcPr>
            <w:tcW w:w="4474" w:type="dxa"/>
            <w:noWrap w:val="0"/>
            <w:vAlign w:val="top"/>
          </w:tcPr>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乙方：</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签约代表：</w:t>
            </w:r>
          </w:p>
          <w:p>
            <w:pPr>
              <w:widowControl w:val="0"/>
              <w:adjustRightInd w:val="0"/>
              <w:snapToGrid w:val="0"/>
              <w:spacing w:line="560" w:lineRule="exact"/>
              <w:jc w:val="both"/>
              <w:textAlignment w:val="baseline"/>
              <w:rPr>
                <w:rFonts w:ascii="等线" w:hAnsi="等线" w:eastAsia="等线"/>
                <w:color w:val="auto"/>
                <w:sz w:val="24"/>
                <w:highlight w:val="none"/>
              </w:rPr>
            </w:pPr>
            <w:r>
              <w:rPr>
                <w:rFonts w:hint="eastAsia" w:ascii="等线" w:hAnsi="等线" w:eastAsia="等线"/>
                <w:color w:val="auto"/>
                <w:sz w:val="24"/>
                <w:highlight w:val="none"/>
              </w:rPr>
              <w:t>联系电话：</w:t>
            </w:r>
          </w:p>
          <w:p>
            <w:pPr>
              <w:widowControl w:val="0"/>
              <w:adjustRightInd w:val="0"/>
              <w:snapToGrid w:val="0"/>
              <w:spacing w:line="560" w:lineRule="exact"/>
              <w:jc w:val="right"/>
              <w:textAlignment w:val="baseline"/>
              <w:rPr>
                <w:rFonts w:ascii="等线" w:hAnsi="等线" w:eastAsia="等线"/>
                <w:color w:val="auto"/>
                <w:sz w:val="24"/>
                <w:highlight w:val="none"/>
              </w:rPr>
            </w:pPr>
            <w:r>
              <w:rPr>
                <w:rFonts w:hint="eastAsia" w:ascii="等线" w:hAnsi="等线" w:eastAsia="等线"/>
                <w:color w:val="auto"/>
                <w:sz w:val="24"/>
                <w:highlight w:val="none"/>
              </w:rPr>
              <w:t>年</w:t>
            </w:r>
            <w:r>
              <w:rPr>
                <w:rFonts w:ascii="等线" w:hAnsi="等线" w:eastAsia="等线"/>
                <w:color w:val="auto"/>
                <w:sz w:val="24"/>
                <w:highlight w:val="none"/>
              </w:rPr>
              <w:t xml:space="preserve">    </w:t>
            </w:r>
            <w:r>
              <w:rPr>
                <w:rFonts w:hint="eastAsia" w:ascii="等线" w:hAnsi="等线" w:eastAsia="等线"/>
                <w:color w:val="auto"/>
                <w:sz w:val="24"/>
                <w:highlight w:val="none"/>
              </w:rPr>
              <w:t>月</w:t>
            </w:r>
            <w:r>
              <w:rPr>
                <w:rFonts w:ascii="等线" w:hAnsi="等线" w:eastAsia="等线"/>
                <w:color w:val="auto"/>
                <w:sz w:val="24"/>
                <w:highlight w:val="none"/>
              </w:rPr>
              <w:t xml:space="preserve">    </w:t>
            </w:r>
            <w:r>
              <w:rPr>
                <w:rFonts w:hint="eastAsia" w:ascii="等线" w:hAnsi="等线" w:eastAsia="等线"/>
                <w:color w:val="auto"/>
                <w:sz w:val="24"/>
                <w:highlight w:val="none"/>
              </w:rPr>
              <w:t>日</w:t>
            </w:r>
          </w:p>
        </w:tc>
      </w:tr>
    </w:tbl>
    <w:p>
      <w:pPr>
        <w:spacing w:line="360" w:lineRule="auto"/>
        <w:rPr>
          <w:rFonts w:ascii="宋体" w:hAnsi="宋体" w:cs="宋体"/>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宋体" w:hAnsi="宋体" w:cs="宋体"/>
          <w:b/>
          <w:bCs/>
          <w:color w:val="auto"/>
          <w:szCs w:val="21"/>
          <w:highlight w:val="none"/>
        </w:rPr>
      </w:pPr>
    </w:p>
    <w:p>
      <w:pP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附件5：</w:t>
      </w:r>
    </w:p>
    <w:p>
      <w:pPr>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防疫管理协议书</w:t>
      </w:r>
    </w:p>
    <w:p>
      <w:pPr>
        <w:adjustRightInd w:val="0"/>
        <w:snapToGrid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u w:val="single"/>
        </w:rPr>
        <w:t>广州市净水有限公司</w:t>
      </w:r>
    </w:p>
    <w:p>
      <w:pPr>
        <w:adjustRightInd w:val="0"/>
        <w:snapToGrid w:val="0"/>
        <w:ind w:firstLine="560" w:firstLineChars="200"/>
        <w:rPr>
          <w:rStyle w:val="27"/>
          <w:rFonts w:hint="eastAsia" w:ascii="仿宋_GB2312" w:hAnsi="仿宋_GB2312" w:eastAsia="仿宋_GB2312" w:cs="仿宋_GB2312"/>
          <w:b w:val="0"/>
          <w:color w:val="auto"/>
          <w:sz w:val="28"/>
          <w:szCs w:val="28"/>
          <w:highlight w:val="none"/>
          <w:u w:val="single"/>
        </w:rPr>
      </w:pP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u w:val="single"/>
        </w:rPr>
        <w:t>……</w:t>
      </w:r>
    </w:p>
    <w:p>
      <w:pPr>
        <w:ind w:firstLine="630" w:firstLineChars="225"/>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为贯彻落实国家、省、市疫情防控工作部署，依据有关法律法规从严管控要求，进一步加强建设、维修工地新冠肺炎疫情防控工作，指导项目维修施工人员及时有效做好防控措施。经双方协商，签订本协议书，以明确各自的疫情防控责任并共同遵守。</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一、本协议与主协议的关系</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本协议作为</w:t>
      </w:r>
      <w:r>
        <w:rPr>
          <w:rFonts w:hint="eastAsia" w:ascii="仿宋_GB2312" w:hAnsi="仿宋_GB2312" w:eastAsia="仿宋_GB2312" w:cs="仿宋_GB2312"/>
          <w:bCs/>
          <w:color w:val="auto"/>
          <w:sz w:val="28"/>
          <w:szCs w:val="28"/>
          <w:highlight w:val="none"/>
          <w:u w:val="single"/>
          <w:lang w:eastAsia="zh-CN"/>
        </w:rPr>
        <w:t>广州市净水有限公司2022年猎德、大坦沙、大观分公司阀门采购项目（第二次）</w:t>
      </w:r>
      <w:r>
        <w:rPr>
          <w:rFonts w:hint="eastAsia" w:ascii="仿宋_GB2312" w:hAnsi="仿宋_GB2312" w:eastAsia="仿宋_GB2312" w:cs="仿宋_GB2312"/>
          <w:color w:val="auto"/>
          <w:sz w:val="28"/>
          <w:szCs w:val="28"/>
          <w:highlight w:val="none"/>
        </w:rPr>
        <w:t>的组成部分，与主合同具有同等法律</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二、甲方的义务</w:t>
      </w:r>
    </w:p>
    <w:p>
      <w:pPr>
        <w:adjustRightInd w:val="0"/>
        <w:snapToGrid w:val="0"/>
        <w:ind w:firstLine="48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（一）与建设主管部门和属地疫情防控指挥部门形成联防联控机制，建立快速有效的处置工作流程。</w:t>
      </w:r>
    </w:p>
    <w:p>
      <w:pPr>
        <w:pStyle w:val="7"/>
        <w:ind w:firstLine="48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（二）对乙方防控工作的落实情况进行监督。</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三、乙方的义务</w:t>
      </w:r>
    </w:p>
    <w:p>
      <w:pPr>
        <w:pStyle w:val="7"/>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（一）开展疫情防控宣传教育，提高乙方人员自我防护意识，最大限度减少人员暴露和感染的风险。</w:t>
      </w:r>
    </w:p>
    <w:p>
      <w:pPr>
        <w:pStyle w:val="7"/>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（二）做好乙方人员防控工作管理，及时提交防疫资料，落实疫情防控备案，必要时需编制防控管理工作方案。</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（三）乙方人员须按照甲方各厂区进厂门岗防控要求进行疫苗接种及核酸检测，未满足相关要求的人员甲方有权限制进入厂区。</w:t>
      </w:r>
    </w:p>
    <w:p>
      <w:pPr>
        <w:pStyle w:val="7"/>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（四）建立畅通的信息传输渠道和严格的信息上报机制，出现问题及时采取应急响应措施，迅速妥善处置项目施工场所普通发热病例、可疑病例和突发新冠肺炎疫情，并第一时间报送甲方。</w:t>
      </w:r>
    </w:p>
    <w:p>
      <w:pPr>
        <w:adjustRightInd w:val="0"/>
        <w:snapToGrid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（五）各级政府、有关部门及甲方的其他防控要求。</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四、违约责任</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乙方需按照甲方服务要求执行，未达到疫情防控要求的，需按下列条款执行：</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（一）乙方人员及其亲属有重点区域、重点场所旅居史未报备的，每发现一人，从乙方当月服务费中扣500元；</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（二）乙方人员未按照甲方要求进行核酸检测的或有瞒报、虚报的，每发现一人，从乙方当月服务费中扣50元；</w:t>
      </w:r>
    </w:p>
    <w:p>
      <w:pPr>
        <w:adjustRightInd w:val="0"/>
        <w:snapToGrid w:val="0"/>
        <w:ind w:left="105"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（三）乙方项目维修施工人员拒不配合甲方疫情防控要求或不满足甲方防疫工作要求的，甲方有权要求乙方3天内更换服务人员。</w:t>
      </w:r>
    </w:p>
    <w:p>
      <w:pPr>
        <w:adjustRightInd w:val="0"/>
        <w:snapToGrid w:val="0"/>
        <w:rPr>
          <w:rFonts w:hint="eastAsia" w:ascii="仿宋_GB2312" w:hAnsi="仿宋_GB2312" w:eastAsia="仿宋_GB2312" w:cs="仿宋_GB2312"/>
          <w:color w:val="auto"/>
          <w:sz w:val="28"/>
          <w:szCs w:val="28"/>
          <w:highlight w:val="none"/>
        </w:rPr>
      </w:pPr>
    </w:p>
    <w:p>
      <w:pPr>
        <w:pStyle w:val="41"/>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五、补充条款：</w:t>
      </w:r>
      <w:r>
        <w:rPr>
          <w:rFonts w:hint="eastAsia" w:ascii="仿宋_GB2312" w:hAnsi="仿宋_GB2312" w:eastAsia="仿宋_GB2312" w:cs="仿宋_GB2312"/>
          <w:color w:val="auto"/>
          <w:sz w:val="28"/>
          <w:szCs w:val="28"/>
          <w:highlight w:val="none"/>
          <w:u w:val="single"/>
        </w:rPr>
        <w:t xml:space="preserve">         /       </w:t>
      </w:r>
      <w:r>
        <w:rPr>
          <w:rFonts w:hint="eastAsia" w:ascii="仿宋_GB2312" w:hAnsi="仿宋_GB2312" w:eastAsia="仿宋_GB2312" w:cs="仿宋_GB2312"/>
          <w:color w:val="auto"/>
          <w:sz w:val="28"/>
          <w:szCs w:val="28"/>
          <w:highlight w:val="none"/>
        </w:rPr>
        <w:t>。</w:t>
      </w:r>
    </w:p>
    <w:p>
      <w:pPr>
        <w:adjustRightInd w:val="0"/>
        <w:snapToGrid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六、附则</w:t>
      </w:r>
    </w:p>
    <w:p>
      <w:pPr>
        <w:adjustRightInd w:val="0"/>
        <w:snapToGrid w:val="0"/>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本协议与合同同时签订、同时终止、同时生效，具有相同的法律效力。合同由甲乙双方签字、盖章生效，甲乙双方各</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份。</w:t>
      </w:r>
    </w:p>
    <w:p>
      <w:pPr>
        <w:adjustRightInd w:val="0"/>
        <w:snapToGrid w:val="0"/>
        <w:rPr>
          <w:rFonts w:hint="eastAsia" w:ascii="仿宋_GB2312" w:hAnsi="仿宋_GB2312" w:eastAsia="仿宋_GB2312" w:cs="仿宋_GB2312"/>
          <w:color w:val="auto"/>
          <w:sz w:val="28"/>
          <w:szCs w:val="28"/>
          <w:highlight w:val="none"/>
        </w:rPr>
      </w:pPr>
    </w:p>
    <w:p>
      <w:pPr>
        <w:adjustRightInd w:val="0"/>
        <w:snapToGrid w:val="0"/>
        <w:ind w:left="1550" w:leftChars="5" w:hanging="1540" w:hangingChars="55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甲方代表 （章）：                             乙方代表（章）：                                                           　　              　　　　　　　</w:t>
      </w:r>
    </w:p>
    <w:p>
      <w:pPr>
        <w:adjustRightInd w:val="0"/>
        <w:snapToGrid w:val="0"/>
        <w:rPr>
          <w:rFonts w:ascii="仿宋_GB2312" w:hAnsi="等线" w:eastAsia="仿宋_GB2312"/>
          <w:color w:val="auto"/>
          <w:sz w:val="24"/>
          <w:highlight w:val="none"/>
        </w:rPr>
      </w:pPr>
      <w:r>
        <w:rPr>
          <w:rFonts w:hint="eastAsia" w:ascii="仿宋_GB2312" w:hAnsi="仿宋_GB2312" w:eastAsia="仿宋_GB2312" w:cs="仿宋_GB2312"/>
          <w:color w:val="auto"/>
          <w:sz w:val="28"/>
          <w:szCs w:val="28"/>
          <w:highlight w:val="none"/>
        </w:rPr>
        <w:t xml:space="preserve">      年 　月　  日　　　　　                 年   月  　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cs="宋体"/>
          <w:b/>
          <w:bCs/>
          <w:color w:val="auto"/>
          <w:szCs w:val="21"/>
          <w:highlight w:val="none"/>
        </w:rPr>
      </w:pPr>
    </w:p>
    <w:p>
      <w:pPr>
        <w:pStyle w:val="2"/>
        <w:ind w:firstLine="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firstLine="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color w:val="auto"/>
          <w:highlight w:val="none"/>
        </w:rPr>
      </w:pPr>
      <w:bookmarkStart w:id="152" w:name="_Toc30824"/>
      <w:bookmarkStart w:id="153" w:name="_Toc5129"/>
      <w:bookmarkStart w:id="154" w:name="_Toc8147"/>
      <w:bookmarkStart w:id="155" w:name="_Toc12169"/>
      <w:bookmarkStart w:id="156" w:name="_Toc23515"/>
      <w:bookmarkStart w:id="157" w:name="_Toc16552"/>
      <w:bookmarkStart w:id="158" w:name="_Toc21847"/>
      <w:bookmarkStart w:id="159" w:name="_Toc3723"/>
      <w:bookmarkStart w:id="160" w:name="_Toc6230"/>
      <w:bookmarkStart w:id="161" w:name="_Toc1563"/>
      <w:bookmarkStart w:id="162" w:name="_Toc28358"/>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2376170</wp:posOffset>
                </wp:positionH>
                <wp:positionV relativeFrom="paragraph">
                  <wp:posOffset>504190</wp:posOffset>
                </wp:positionV>
                <wp:extent cx="958850" cy="0"/>
                <wp:effectExtent l="9525" t="10795" r="12700" b="8255"/>
                <wp:wrapNone/>
                <wp:docPr id="7" name="AutoShape 11"/>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1" o:spid="_x0000_s1026" o:spt="32" type="#_x0000_t32" style="position:absolute;left:0pt;margin-left:187.1pt;margin-top:39.7pt;height:0pt;width:75.5pt;z-index:251667456;mso-width-relative:page;mso-height-relative:page;" filled="f" stroked="t" coordsize="21600,21600" o:gfxdata="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AoUtcAAAAJAQAADwAAAAAAAAABACAAAAAi&#10;AAAAZHJzL2Rvd25yZXYueG1sUEsBAhQAFAAAAAgAh07iQAB5EsnSAQAAsgMAAA4AAAAAAAAAAQAg&#10;AAAAJgEAAGRycy9lMm9Eb2MueG1sUEsFBgAAAAAGAAYAWQEAAGo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2344420</wp:posOffset>
                </wp:positionH>
                <wp:positionV relativeFrom="paragraph">
                  <wp:posOffset>105410</wp:posOffset>
                </wp:positionV>
                <wp:extent cx="958850" cy="0"/>
                <wp:effectExtent l="9525" t="8890" r="12700" b="10160"/>
                <wp:wrapNone/>
                <wp:docPr id="6" name="AutoShape 10"/>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9525">
                          <a:solidFill>
                            <a:srgbClr val="000000"/>
                          </a:solidFill>
                          <a:round/>
                        </a:ln>
                      </wps:spPr>
                      <wps:bodyPr/>
                    </wps:wsp>
                  </a:graphicData>
                </a:graphic>
              </wp:anchor>
            </w:drawing>
          </mc:Choice>
          <mc:Fallback>
            <w:pict>
              <v:shape id="AutoShape 10" o:spid="_x0000_s1026" o:spt="32" type="#_x0000_t32" style="position:absolute;left:0pt;margin-left:184.6pt;margin-top:8.3pt;height:0pt;width:75.5pt;z-index:251666432;mso-width-relative:page;mso-height-relative:page;" filled="f" stroked="t" coordsize="21600,21600" o:gfxdata="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yj6CtYAAAAJAQAADwAAAAAAAAABACAAAAAi&#10;AAAAZHJzL2Rvd25yZXYueG1sUEsBAhQAFAAAAAgAh07iQNO2/AXTAQAAsgMAAA4AAAAAAAAAAQAg&#10;AAAAJQEAAGRycy9lMm9Eb2MueG1sUEsFBgAAAAAGAAYAWQEAAGoFAAAAAA==&#10;">
                <v:fill on="f" focussize="0,0"/>
                <v:stroke color="#000000" joinstyle="round"/>
                <v:imagedata o:title=""/>
                <o:lock v:ext="edit" aspectratio="f"/>
              </v:shape>
            </w:pict>
          </mc:Fallback>
        </mc:AlternateContent>
      </w:r>
      <w:r>
        <w:rPr>
          <w:rFonts w:hint="eastAsia"/>
          <w:color w:val="auto"/>
          <w:highlight w:val="none"/>
        </w:rPr>
        <w:t>第七章</w:t>
      </w:r>
      <w:bookmarkEnd w:id="152"/>
      <w:bookmarkEnd w:id="153"/>
      <w:bookmarkEnd w:id="154"/>
      <w:bookmarkEnd w:id="155"/>
      <w:bookmarkEnd w:id="156"/>
      <w:bookmarkEnd w:id="157"/>
      <w:bookmarkEnd w:id="158"/>
      <w:bookmarkEnd w:id="159"/>
      <w:bookmarkEnd w:id="160"/>
      <w:bookmarkEnd w:id="161"/>
      <w:bookmarkEnd w:id="162"/>
    </w:p>
    <w:p>
      <w:pPr>
        <w:pStyle w:val="41"/>
        <w:rPr>
          <w:color w:val="auto"/>
          <w:highlight w:val="none"/>
        </w:rPr>
      </w:pPr>
    </w:p>
    <w:p>
      <w:pPr>
        <w:pStyle w:val="4"/>
        <w:rPr>
          <w:color w:val="auto"/>
          <w:highlight w:val="none"/>
        </w:rPr>
      </w:pPr>
      <w:bookmarkStart w:id="163" w:name="_Toc12610"/>
      <w:bookmarkStart w:id="164" w:name="_Toc5342"/>
      <w:bookmarkStart w:id="165" w:name="_Toc17119"/>
      <w:bookmarkStart w:id="166" w:name="_Toc12769"/>
      <w:bookmarkStart w:id="167" w:name="_Toc21675"/>
      <w:bookmarkStart w:id="168" w:name="_Toc87616388"/>
      <w:bookmarkStart w:id="169" w:name="_Toc30157"/>
      <w:bookmarkStart w:id="170" w:name="_Toc10840"/>
      <w:bookmarkStart w:id="171" w:name="_Toc24490"/>
      <w:bookmarkStart w:id="172" w:name="_Toc24815"/>
      <w:bookmarkStart w:id="173" w:name="_Toc22764"/>
      <w:bookmarkStart w:id="174" w:name="_Toc88209951"/>
      <w:bookmarkStart w:id="175" w:name="_Toc31564"/>
      <w:r>
        <w:rPr>
          <w:rFonts w:hint="eastAsia"/>
          <w:color w:val="auto"/>
          <w:highlight w:val="none"/>
        </w:rPr>
        <w:t>响应文件格式要求</w:t>
      </w:r>
      <w:bookmarkEnd w:id="163"/>
      <w:bookmarkEnd w:id="164"/>
      <w:bookmarkEnd w:id="165"/>
      <w:bookmarkEnd w:id="166"/>
      <w:bookmarkEnd w:id="167"/>
      <w:bookmarkEnd w:id="168"/>
      <w:bookmarkEnd w:id="169"/>
      <w:bookmarkEnd w:id="170"/>
      <w:bookmarkEnd w:id="171"/>
      <w:bookmarkEnd w:id="172"/>
      <w:bookmarkEnd w:id="173"/>
      <w:bookmarkEnd w:id="174"/>
      <w:bookmarkEnd w:id="175"/>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156" w:beforeLines="50" w:after="156" w:afterLines="50" w:line="600" w:lineRule="exact"/>
        <w:jc w:val="center"/>
        <w:rPr>
          <w:rFonts w:ascii="仿宋_GB2312" w:eastAsia="仿宋_GB2312"/>
          <w:color w:val="auto"/>
          <w:sz w:val="30"/>
          <w:szCs w:val="30"/>
          <w:highlight w:val="none"/>
        </w:rPr>
      </w:pPr>
    </w:p>
    <w:p>
      <w:pPr>
        <w:adjustRightInd w:val="0"/>
        <w:snapToGrid w:val="0"/>
        <w:spacing w:before="156" w:beforeLines="50" w:after="156"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jc w:val="center"/>
        <w:rPr>
          <w:rFonts w:ascii="方正小标宋简体" w:eastAsia="方正小标宋简体"/>
          <w:color w:val="auto"/>
          <w:sz w:val="48"/>
          <w:szCs w:val="48"/>
          <w:highlight w:val="none"/>
        </w:rPr>
      </w:pPr>
    </w:p>
    <w:p>
      <w:pPr>
        <w:pStyle w:val="2"/>
        <w:rPr>
          <w:rFonts w:ascii="方正小标宋简体" w:eastAsia="方正小标宋简体"/>
          <w:color w:val="auto"/>
          <w:sz w:val="48"/>
          <w:szCs w:val="48"/>
          <w:highlight w:val="none"/>
        </w:rPr>
      </w:pPr>
    </w:p>
    <w:p>
      <w:pPr>
        <w:pStyle w:val="2"/>
        <w:rPr>
          <w:rFonts w:ascii="方正小标宋简体" w:eastAsia="方正小标宋简体"/>
          <w:color w:val="auto"/>
          <w:sz w:val="48"/>
          <w:szCs w:val="48"/>
          <w:highlight w:val="none"/>
        </w:rPr>
      </w:pPr>
    </w:p>
    <w:p>
      <w:pPr>
        <w:pStyle w:val="2"/>
        <w:rPr>
          <w:rFonts w:ascii="方正小标宋简体" w:eastAsia="方正小标宋简体"/>
          <w:color w:val="auto"/>
          <w:sz w:val="48"/>
          <w:szCs w:val="48"/>
          <w:highlight w:val="none"/>
        </w:rPr>
      </w:pPr>
    </w:p>
    <w:p>
      <w:pPr>
        <w:pStyle w:val="2"/>
        <w:rPr>
          <w:rFonts w:ascii="方正小标宋简体" w:eastAsia="方正小标宋简体"/>
          <w:color w:val="auto"/>
          <w:sz w:val="48"/>
          <w:szCs w:val="48"/>
          <w:highlight w:val="none"/>
        </w:rPr>
      </w:pPr>
    </w:p>
    <w:p>
      <w:pPr>
        <w:pStyle w:val="2"/>
        <w:rPr>
          <w:rFonts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rPr>
          <w:rFonts w:ascii="方正小标宋简体" w:eastAsia="方正小标宋简体"/>
          <w:color w:val="auto"/>
          <w:sz w:val="30"/>
          <w:szCs w:val="30"/>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76" w:name="_Toc87616389"/>
      <w:bookmarkStart w:id="177" w:name="_Toc88209952"/>
      <w:r>
        <w:rPr>
          <w:rFonts w:hint="eastAsia" w:ascii="仿宋_GB2312" w:eastAsia="仿宋_GB2312"/>
          <w:color w:val="auto"/>
          <w:sz w:val="28"/>
          <w:szCs w:val="28"/>
          <w:highlight w:val="none"/>
        </w:rPr>
        <w:t>1.响应函</w:t>
      </w:r>
      <w:bookmarkEnd w:id="176"/>
      <w:bookmarkEnd w:id="177"/>
    </w:p>
    <w:p>
      <w:pPr>
        <w:spacing w:line="600" w:lineRule="exact"/>
        <w:rPr>
          <w:rFonts w:ascii="仿宋_GB2312" w:eastAsia="仿宋_GB2312"/>
          <w:color w:val="auto"/>
          <w:sz w:val="28"/>
          <w:szCs w:val="28"/>
          <w:highlight w:val="none"/>
        </w:rPr>
      </w:pPr>
      <w:bookmarkStart w:id="178" w:name="_Toc87616390"/>
      <w:bookmarkStart w:id="179" w:name="_Toc88209953"/>
      <w:r>
        <w:rPr>
          <w:rFonts w:hint="eastAsia" w:ascii="仿宋_GB2312" w:eastAsia="仿宋_GB2312"/>
          <w:color w:val="auto"/>
          <w:sz w:val="28"/>
          <w:szCs w:val="28"/>
          <w:highlight w:val="none"/>
        </w:rPr>
        <w:t>2.法定代表人证明或授权委托书</w:t>
      </w:r>
      <w:bookmarkEnd w:id="178"/>
      <w:bookmarkEnd w:id="179"/>
      <w:bookmarkStart w:id="180" w:name="_Toc88209956"/>
      <w:bookmarkStart w:id="181"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3.资格审查资料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4.拟投入本项目的项目负责人情况表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6.其他资料</w:t>
      </w:r>
      <w:bookmarkEnd w:id="180"/>
      <w:bookmarkEnd w:id="181"/>
      <w:r>
        <w:rPr>
          <w:rFonts w:hint="eastAsia" w:ascii="仿宋_GB2312" w:eastAsia="仿宋_GB2312"/>
          <w:color w:val="auto"/>
          <w:sz w:val="28"/>
          <w:szCs w:val="28"/>
          <w:highlight w:val="none"/>
        </w:rPr>
        <w:cr/>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bookmarkStart w:id="182" w:name="_Toc87616394"/>
      <w:bookmarkStart w:id="183" w:name="_Toc6313"/>
      <w:bookmarkStart w:id="184" w:name="_Toc12665"/>
      <w:bookmarkStart w:id="185" w:name="_Toc88209957"/>
      <w:bookmarkStart w:id="186" w:name="_Toc28619645"/>
      <w:r>
        <w:rPr>
          <w:rFonts w:hint="eastAsia" w:asciiTheme="minorEastAsia" w:hAnsiTheme="minorEastAsia" w:eastAsiaTheme="minorEastAsia"/>
          <w:color w:val="auto"/>
          <w:sz w:val="28"/>
          <w:szCs w:val="28"/>
          <w:highlight w:val="none"/>
        </w:rPr>
        <w:t>1.响应函</w:t>
      </w:r>
      <w:bookmarkEnd w:id="182"/>
      <w:bookmarkEnd w:id="183"/>
      <w:bookmarkEnd w:id="184"/>
      <w:bookmarkEnd w:id="185"/>
      <w:bookmarkEnd w:id="186"/>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w:t>
      </w:r>
      <w:r>
        <w:rPr>
          <w:rFonts w:hint="eastAsia" w:ascii="仿宋_GB2312" w:hAnsi="黑体" w:eastAsia="仿宋_GB2312"/>
          <w:color w:val="auto"/>
          <w:sz w:val="28"/>
          <w:szCs w:val="28"/>
          <w:highlight w:val="none"/>
          <w:u w:val="single"/>
        </w:rPr>
        <w:t xml:space="preserve">（项目名称、项目编号、标段/标包号）   </w:t>
      </w:r>
      <w:r>
        <w:rPr>
          <w:rFonts w:hint="eastAsia" w:ascii="仿宋_GB2312" w:hAnsi="黑体" w:eastAsia="仿宋_GB2312"/>
          <w:color w:val="auto"/>
          <w:sz w:val="28"/>
          <w:szCs w:val="28"/>
          <w:highlight w:val="none"/>
        </w:rPr>
        <w:t>采购文件的全部内容，愿意以含税价人民币（大写）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 xml:space="preserve">工程 </w:t>
      </w:r>
      <w:r>
        <w:rPr>
          <w:rFonts w:hint="eastAsia" w:ascii="仿宋_GB2312" w:eastAsia="仿宋_GB2312" w:hAnsiTheme="minorEastAsia"/>
          <w:color w:val="auto"/>
          <w:sz w:val="28"/>
          <w:szCs w:val="28"/>
          <w:highlight w:val="none"/>
        </w:rPr>
        <w:sym w:font="Wingdings 2" w:char="0052"/>
      </w:r>
      <w:r>
        <w:rPr>
          <w:rFonts w:hint="eastAsia" w:ascii="仿宋_GB2312" w:hAnsi="黑体" w:eastAsia="仿宋_GB2312"/>
          <w:color w:val="auto"/>
          <w:sz w:val="28"/>
          <w:szCs w:val="28"/>
          <w:highlight w:val="none"/>
        </w:rPr>
        <w:t>货物</w:t>
      </w:r>
      <w:r>
        <w:rPr>
          <w:rFonts w:hint="eastAsia" w:ascii="仿宋_GB2312" w:eastAsia="仿宋_GB2312" w:hAnsiTheme="minorEastAsia"/>
          <w:color w:val="auto"/>
          <w:sz w:val="28"/>
          <w:szCs w:val="28"/>
          <w:highlight w:val="none"/>
        </w:rPr>
        <w:t>□</w:t>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（1）响应函</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（2）法定代表人证明或授权委托书</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（3）资格审查资料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（4）拟投入本项目的项目负责人情况表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（5）报价表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（6）其他资料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asciiTheme="minorEastAsia" w:hAnsiTheme="minorEastAsia"/>
          <w:color w:val="auto"/>
          <w:sz w:val="28"/>
          <w:szCs w:val="28"/>
          <w:highlight w:val="none"/>
        </w:rPr>
      </w:pPr>
      <w:bookmarkStart w:id="187" w:name="_Toc87616395"/>
      <w:bookmarkStart w:id="188" w:name="_Toc22527"/>
      <w:bookmarkStart w:id="189" w:name="_Toc29833"/>
      <w:bookmarkStart w:id="190" w:name="_Toc88209958"/>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87"/>
      <w:bookmarkEnd w:id="188"/>
      <w:bookmarkEnd w:id="189"/>
      <w:bookmarkEnd w:id="190"/>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3"/>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2"/>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0" t="0" r="19050" b="2667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qn8X9gAAAAJAQAADwAAAAAAAAAB&#10;ACAAAAAiAAAAZHJzL2Rvd25yZXYueG1sUEsBAhQAFAAAAAgAh07iQG5aUhBJAgAAlgQAAA4AAAAA&#10;AAAAAQAgAAAAJwEAAGRycy9lMm9Eb2MueG1sUEsFBgAAAAAGAAYAWQEAAOIFA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附：1.委托代理人身份证(正反两面)复印件</w:t>
      </w:r>
    </w:p>
    <w:p>
      <w:pPr>
        <w:pStyle w:val="41"/>
        <w:ind w:firstLine="1200" w:firstLineChars="4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0" t="0" r="19050" b="2667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B+rHUKSQIAAJY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color w:val="auto"/>
                <w:sz w:val="24"/>
                <w:szCs w:val="24"/>
                <w:highlight w:val="none"/>
              </w:rPr>
            </w:pPr>
          </w:p>
          <w:p>
            <w:pPr>
              <w:spacing w:line="360" w:lineRule="auto"/>
              <w:jc w:val="center"/>
              <w:rPr>
                <w:rFonts w:ascii="宋体" w:hAnsi="宋体" w:eastAsia="宋体" w:cs="Times New Roman"/>
                <w:color w:val="auto"/>
                <w:sz w:val="24"/>
                <w:szCs w:val="24"/>
                <w:highlight w:val="none"/>
              </w:rPr>
            </w:pPr>
          </w:p>
          <w:p>
            <w:pPr>
              <w:spacing w:line="360" w:lineRule="auto"/>
              <w:jc w:val="center"/>
              <w:rPr>
                <w:rFonts w:ascii="宋体" w:hAnsi="宋体"/>
                <w:color w:val="auto"/>
                <w:sz w:val="24"/>
                <w:szCs w:val="24"/>
                <w:highlight w:val="none"/>
              </w:rPr>
            </w:pPr>
            <w:r>
              <w:rPr>
                <w:rFonts w:hint="eastAsia" w:ascii="宋体" w:hAnsi="宋体" w:cs="Times New Roman"/>
                <w:color w:val="auto"/>
                <w:sz w:val="24"/>
                <w:szCs w:val="24"/>
                <w:highlight w:val="none"/>
              </w:rPr>
              <w:t>授权代理人在本单位近三个月社保记录，（以加盖社会保险基金管理中心印章的《缴费历史明细表》或《社会保险参保人员证明》为准，加</w:t>
            </w:r>
            <w:r>
              <w:rPr>
                <w:rFonts w:hint="eastAsia" w:ascii="宋体" w:hAnsi="宋体"/>
                <w:color w:val="auto"/>
                <w:sz w:val="24"/>
                <w:szCs w:val="24"/>
                <w:highlight w:val="none"/>
              </w:rPr>
              <w:t>盖单位公章</w:t>
            </w:r>
          </w:p>
          <w:p>
            <w:pPr>
              <w:spacing w:line="360" w:lineRule="auto"/>
              <w:jc w:val="center"/>
              <w:rPr>
                <w:rFonts w:ascii="宋体" w:hAnsi="宋体"/>
                <w:color w:val="auto"/>
                <w:sz w:val="24"/>
                <w:szCs w:val="24"/>
                <w:highlight w:val="none"/>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91" w:name="_Toc19830"/>
      <w:bookmarkStart w:id="192" w:name="_Toc87616400"/>
      <w:bookmarkStart w:id="193" w:name="_Toc8086"/>
      <w:bookmarkStart w:id="194" w:name="_Toc88209963"/>
      <w:r>
        <w:rPr>
          <w:rFonts w:hint="eastAsia" w:ascii="仿宋_GB2312" w:eastAsia="仿宋_GB2312" w:hAnsiTheme="minorEastAsia"/>
          <w:color w:val="auto"/>
          <w:sz w:val="28"/>
          <w:szCs w:val="28"/>
          <w:highlight w:val="none"/>
        </w:rPr>
        <w:t>3</w:t>
      </w:r>
      <w:r>
        <w:rPr>
          <w:rFonts w:hint="eastAsia" w:asciiTheme="minorEastAsia" w:hAnsiTheme="minorEastAsia" w:eastAsiaTheme="minorEastAsia"/>
          <w:color w:val="auto"/>
          <w:sz w:val="28"/>
          <w:szCs w:val="28"/>
          <w:highlight w:val="none"/>
        </w:rPr>
        <w:t>.资格审查资料</w:t>
      </w:r>
      <w:bookmarkEnd w:id="191"/>
      <w:bookmarkEnd w:id="192"/>
      <w:bookmarkEnd w:id="193"/>
      <w:bookmarkEnd w:id="194"/>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cs="Times New Roman" w:asciiTheme="minorEastAsia" w:hAnsiTheme="minorEastAsia"/>
          <w:b/>
          <w:bCs/>
          <w:color w:val="auto"/>
          <w:sz w:val="28"/>
          <w:szCs w:val="28"/>
          <w:highlight w:val="none"/>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rPr>
        <w:t>。</w:t>
      </w:r>
      <w:r>
        <w:rPr>
          <w:rFonts w:hint="eastAsia" w:cs="Times New Roman" w:asciiTheme="minorEastAsia" w:hAnsiTheme="minorEastAsia"/>
          <w:b/>
          <w:bCs/>
          <w:color w:val="auto"/>
          <w:sz w:val="28"/>
          <w:szCs w:val="28"/>
          <w:highlight w:val="none"/>
        </w:rPr>
        <w:t>（相关证明文件附后）</w:t>
      </w:r>
    </w:p>
    <w:p>
      <w:pPr>
        <w:adjustRightInd w:val="0"/>
        <w:snapToGrid w:val="0"/>
        <w:spacing w:line="360" w:lineRule="auto"/>
        <w:jc w:val="left"/>
        <w:rPr>
          <w:rFonts w:cs="Times New Roman" w:asciiTheme="minorEastAsia" w:hAnsiTheme="minorEastAsia"/>
          <w:b/>
          <w:bCs/>
          <w:color w:val="auto"/>
          <w:sz w:val="28"/>
          <w:szCs w:val="28"/>
          <w:highlight w:val="none"/>
        </w:rPr>
      </w:pPr>
      <w:bookmarkStart w:id="195" w:name="_Hlk59025866"/>
    </w:p>
    <w:p>
      <w:pPr>
        <w:adjustRightInd w:val="0"/>
        <w:snapToGrid w:val="0"/>
        <w:spacing w:line="360" w:lineRule="auto"/>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3.2不得存在情形承诺函</w:t>
      </w:r>
    </w:p>
    <w:bookmarkEnd w:id="195"/>
    <w:p>
      <w:pPr>
        <w:adjustRightInd w:val="0"/>
        <w:snapToGrid w:val="0"/>
        <w:spacing w:line="360" w:lineRule="auto"/>
        <w:rPr>
          <w:rFonts w:ascii="宋体" w:hAnsi="宋体" w:eastAsia="宋体" w:cs="宋体"/>
          <w:color w:val="auto"/>
          <w:sz w:val="24"/>
          <w:szCs w:val="24"/>
          <w:highlight w:val="none"/>
          <w:lang w:val="en-GB"/>
        </w:rPr>
      </w:pPr>
    </w:p>
    <w:p>
      <w:pPr>
        <w:adjustRightInd w:val="0"/>
        <w:snapToGrid w:val="0"/>
        <w:spacing w:line="360" w:lineRule="auto"/>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rPr>
          <w:rFonts w:ascii="仿宋_GB2312" w:eastAsia="仿宋_GB2312"/>
          <w:color w:val="auto"/>
          <w:sz w:val="28"/>
          <w:szCs w:val="28"/>
          <w:highlight w:val="none"/>
        </w:rPr>
      </w:pPr>
      <w:r>
        <w:rPr>
          <w:rFonts w:hint="eastAsia" w:ascii="宋体" w:hAnsi="宋体" w:eastAsia="宋体" w:cs="宋体"/>
          <w:color w:val="auto"/>
          <w:sz w:val="24"/>
          <w:szCs w:val="24"/>
          <w:highlight w:val="none"/>
          <w:lang w:val="en-GB"/>
        </w:rPr>
        <w:t>我方郑重承诺，在参与</w:t>
      </w:r>
      <w:r>
        <w:rPr>
          <w:rFonts w:hint="eastAsia" w:ascii="宋体" w:hAnsi="宋体" w:eastAsia="宋体" w:cs="宋体"/>
          <w:color w:val="auto"/>
          <w:sz w:val="24"/>
          <w:szCs w:val="24"/>
          <w:highlight w:val="none"/>
          <w:lang w:val="en-GB" w:eastAsia="zh-CN"/>
        </w:rPr>
        <w:t>广州市净水有限公司2022年猎德、大坦沙、大观分公司阀门采购项目（第二次）</w:t>
      </w:r>
      <w:r>
        <w:rPr>
          <w:rFonts w:hint="eastAsia" w:ascii="宋体" w:hAnsi="宋体" w:eastAsia="宋体" w:cs="宋体"/>
          <w:color w:val="auto"/>
          <w:sz w:val="24"/>
          <w:szCs w:val="24"/>
          <w:highlight w:val="none"/>
          <w:u w:val="single"/>
          <w:lang w:val="en-GB"/>
        </w:rPr>
        <w:t>（项目编号： ******）</w:t>
      </w:r>
      <w:r>
        <w:rPr>
          <w:rFonts w:hint="eastAsia" w:ascii="宋体" w:hAnsi="宋体" w:eastAsia="宋体" w:cs="宋体"/>
          <w:color w:val="auto"/>
          <w:sz w:val="24"/>
          <w:szCs w:val="24"/>
          <w:highlight w:val="none"/>
          <w:lang w:val="en-GB"/>
        </w:rPr>
        <w:t>采购期间，未被</w:t>
      </w:r>
      <w:r>
        <w:rPr>
          <w:rFonts w:hint="eastAsia" w:ascii="仿宋_GB2312" w:eastAsia="仿宋_GB2312"/>
          <w:color w:val="auto"/>
          <w:sz w:val="28"/>
          <w:szCs w:val="28"/>
          <w:highlight w:val="none"/>
        </w:rPr>
        <w:t>列入下列情形之一：</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（1）与本项目其他供应商的单位负责人为同一人。</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（2）与本项目其他供应商存在控股关系。</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（3）与本项目其他供应商存在管理关系。</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（9）被“信用广州”网站纳入失信被执行人名单（失信黑名单）。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（10）被纳入本项目采购人（包括市水投集团及相关所属企业）书面限制参与采购活动且处于有效期内的。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（11）其他违法违纪行为，经审查认为不宜被邀请参加采购活动的。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jc w:val="right"/>
        <w:rPr>
          <w:rFonts w:ascii="宋体" w:hAnsi="宋体" w:eastAsia="宋体" w:cs="宋体"/>
          <w:color w:val="auto"/>
          <w:sz w:val="24"/>
          <w:szCs w:val="24"/>
          <w:highlight w:val="none"/>
          <w:lang w:val="en-GB"/>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年  月  日</w:t>
      </w:r>
    </w:p>
    <w:p>
      <w:pPr>
        <w:pStyle w:val="2"/>
        <w:ind w:firstLine="0"/>
        <w:rPr>
          <w:color w:val="auto"/>
          <w:highlight w:val="none"/>
        </w:rPr>
      </w:pPr>
    </w:p>
    <w:p>
      <w:pPr>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4.拟投入本项目的项目负责人情况表</w:t>
      </w:r>
    </w:p>
    <w:p>
      <w:pPr>
        <w:pStyle w:val="2"/>
        <w:rPr>
          <w:rFonts w:ascii="仿宋_GB2312" w:eastAsia="仿宋_GB2312" w:hAnsiTheme="minorEastAsia"/>
          <w:color w:val="auto"/>
          <w:sz w:val="28"/>
          <w:szCs w:val="28"/>
          <w:highlight w:val="none"/>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tcPr>
          <w:p>
            <w:pPr>
              <w:jc w:val="center"/>
              <w:rPr>
                <w:rFonts w:ascii="仿宋" w:hAnsi="仿宋" w:eastAsia="仿宋" w:cs="仿宋_GB2312"/>
                <w:b/>
                <w:color w:val="auto"/>
                <w:sz w:val="28"/>
                <w:szCs w:val="28"/>
                <w:highlight w:val="none"/>
              </w:rPr>
            </w:pPr>
          </w:p>
        </w:tc>
        <w:tc>
          <w:tcPr>
            <w:tcW w:w="161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bl>
    <w:p>
      <w:pPr>
        <w:pStyle w:val="2"/>
        <w:rPr>
          <w:rFonts w:ascii="仿宋_GB2312" w:eastAsia="仿宋_GB2312" w:hAnsiTheme="minorEastAsia"/>
          <w:color w:val="auto"/>
          <w:sz w:val="28"/>
          <w:szCs w:val="28"/>
          <w:highlight w:val="none"/>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年  月  日</w:t>
      </w:r>
    </w:p>
    <w:p>
      <w:pPr>
        <w:pStyle w:val="2"/>
        <w:ind w:firstLine="0"/>
        <w:rPr>
          <w:color w:val="auto"/>
          <w:highlight w:val="none"/>
        </w:rPr>
      </w:pPr>
    </w:p>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6"/>
        <w:rPr>
          <w:rFonts w:asciiTheme="minorEastAsia" w:hAnsiTheme="minorEastAsia" w:eastAsiaTheme="minorEastAsia"/>
          <w:color w:val="auto"/>
          <w:sz w:val="28"/>
          <w:szCs w:val="28"/>
          <w:highlight w:val="none"/>
        </w:rPr>
      </w:pPr>
      <w:bookmarkStart w:id="196" w:name="_Toc32430"/>
      <w:bookmarkStart w:id="197" w:name="_Toc19423"/>
      <w:r>
        <w:rPr>
          <w:rFonts w:hint="eastAsia" w:ascii="仿宋_GB2312" w:eastAsia="仿宋_GB2312" w:hAnsiTheme="minorEastAsia"/>
          <w:color w:val="auto"/>
          <w:sz w:val="28"/>
          <w:szCs w:val="28"/>
          <w:highlight w:val="none"/>
        </w:rPr>
        <w:t>5</w:t>
      </w:r>
      <w:r>
        <w:rPr>
          <w:rFonts w:hint="eastAsia" w:asciiTheme="minorEastAsia" w:hAnsiTheme="minorEastAsia" w:eastAsiaTheme="minorEastAsia"/>
          <w:color w:val="auto"/>
          <w:sz w:val="28"/>
          <w:szCs w:val="28"/>
          <w:highlight w:val="none"/>
        </w:rPr>
        <w:t>.报价表</w:t>
      </w:r>
      <w:bookmarkEnd w:id="196"/>
      <w:bookmarkEnd w:id="197"/>
    </w:p>
    <w:p>
      <w:pPr>
        <w:adjustRightInd w:val="0"/>
        <w:snapToGrid w:val="0"/>
        <w:spacing w:line="600" w:lineRule="exact"/>
        <w:ind w:firstLine="57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报价表</w:t>
      </w:r>
    </w:p>
    <w:tbl>
      <w:tblPr>
        <w:tblStyle w:val="25"/>
        <w:tblW w:w="957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05"/>
        <w:gridCol w:w="705"/>
        <w:gridCol w:w="1054"/>
        <w:gridCol w:w="992"/>
        <w:gridCol w:w="425"/>
        <w:gridCol w:w="567"/>
        <w:gridCol w:w="880"/>
        <w:gridCol w:w="566"/>
        <w:gridCol w:w="982"/>
        <w:gridCol w:w="844"/>
        <w:gridCol w:w="566"/>
        <w:gridCol w:w="982"/>
        <w:gridCol w:w="5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Merge w:val="restart"/>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序号</w:t>
            </w:r>
          </w:p>
        </w:tc>
        <w:tc>
          <w:tcPr>
            <w:tcW w:w="705" w:type="dxa"/>
            <w:vMerge w:val="restart"/>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名称</w:t>
            </w:r>
          </w:p>
        </w:tc>
        <w:tc>
          <w:tcPr>
            <w:tcW w:w="1054" w:type="dxa"/>
            <w:vMerge w:val="restart"/>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规格型号</w:t>
            </w:r>
          </w:p>
        </w:tc>
        <w:tc>
          <w:tcPr>
            <w:tcW w:w="992" w:type="dxa"/>
            <w:vMerge w:val="restart"/>
            <w:tcBorders>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产地、品牌</w:t>
            </w:r>
          </w:p>
        </w:tc>
        <w:tc>
          <w:tcPr>
            <w:tcW w:w="425" w:type="dxa"/>
            <w:vMerge w:val="restart"/>
            <w:tcBorders>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数量</w:t>
            </w:r>
          </w:p>
        </w:tc>
        <w:tc>
          <w:tcPr>
            <w:tcW w:w="567" w:type="dxa"/>
            <w:vMerge w:val="restart"/>
            <w:tcBorders>
              <w:lef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单位</w:t>
            </w:r>
          </w:p>
        </w:tc>
        <w:tc>
          <w:tcPr>
            <w:tcW w:w="2428" w:type="dxa"/>
            <w:gridSpan w:val="3"/>
            <w:tcBorders>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单价</w:t>
            </w:r>
          </w:p>
        </w:tc>
        <w:tc>
          <w:tcPr>
            <w:tcW w:w="2392" w:type="dxa"/>
            <w:gridSpan w:val="3"/>
            <w:tcBorders>
              <w:left w:val="single" w:color="auto" w:sz="4" w:space="0"/>
              <w:righ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总价</w:t>
            </w:r>
          </w:p>
        </w:tc>
        <w:tc>
          <w:tcPr>
            <w:tcW w:w="510" w:type="dxa"/>
            <w:tcBorders>
              <w:left w:val="single" w:color="auto" w:sz="4" w:space="0"/>
            </w:tcBorders>
            <w:vAlign w:val="center"/>
          </w:tcPr>
          <w:p>
            <w:pPr>
              <w:adjustRightInd w:val="0"/>
              <w:snapToGrid w:val="0"/>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Merge w:val="continue"/>
          </w:tcPr>
          <w:p>
            <w:pPr>
              <w:adjustRightInd w:val="0"/>
              <w:snapToGrid w:val="0"/>
              <w:rPr>
                <w:rFonts w:ascii="仿宋_GB2312" w:eastAsia="仿宋_GB2312" w:hAnsiTheme="minorEastAsia"/>
                <w:color w:val="auto"/>
                <w:sz w:val="28"/>
                <w:szCs w:val="28"/>
                <w:highlight w:val="none"/>
              </w:rPr>
            </w:pPr>
          </w:p>
        </w:tc>
        <w:tc>
          <w:tcPr>
            <w:tcW w:w="705" w:type="dxa"/>
            <w:vMerge w:val="continue"/>
          </w:tcPr>
          <w:p>
            <w:pPr>
              <w:adjustRightInd w:val="0"/>
              <w:snapToGrid w:val="0"/>
              <w:rPr>
                <w:rFonts w:ascii="仿宋_GB2312" w:eastAsia="仿宋_GB2312" w:hAnsiTheme="minorEastAsia"/>
                <w:color w:val="auto"/>
                <w:sz w:val="28"/>
                <w:szCs w:val="28"/>
                <w:highlight w:val="none"/>
              </w:rPr>
            </w:pPr>
          </w:p>
        </w:tc>
        <w:tc>
          <w:tcPr>
            <w:tcW w:w="1054" w:type="dxa"/>
            <w:vMerge w:val="continue"/>
          </w:tcPr>
          <w:p>
            <w:pPr>
              <w:adjustRightInd w:val="0"/>
              <w:snapToGrid w:val="0"/>
              <w:rPr>
                <w:rFonts w:ascii="仿宋_GB2312" w:eastAsia="仿宋_GB2312" w:hAnsiTheme="minorEastAsia"/>
                <w:color w:val="auto"/>
                <w:sz w:val="28"/>
                <w:szCs w:val="28"/>
                <w:highlight w:val="none"/>
              </w:rPr>
            </w:pPr>
          </w:p>
        </w:tc>
        <w:tc>
          <w:tcPr>
            <w:tcW w:w="992" w:type="dxa"/>
            <w:vMerge w:val="continue"/>
            <w:tcBorders>
              <w:right w:val="single" w:color="auto" w:sz="4" w:space="0"/>
            </w:tcBorders>
          </w:tcPr>
          <w:p>
            <w:pPr>
              <w:adjustRightInd w:val="0"/>
              <w:snapToGrid w:val="0"/>
              <w:rPr>
                <w:rFonts w:ascii="仿宋_GB2312" w:eastAsia="仿宋_GB2312" w:hAnsiTheme="minorEastAsia"/>
                <w:color w:val="auto"/>
                <w:sz w:val="28"/>
                <w:szCs w:val="28"/>
                <w:highlight w:val="none"/>
              </w:rPr>
            </w:pPr>
          </w:p>
        </w:tc>
        <w:tc>
          <w:tcPr>
            <w:tcW w:w="425" w:type="dxa"/>
            <w:vMerge w:val="continue"/>
            <w:tcBorders>
              <w:right w:val="single" w:color="auto" w:sz="4" w:space="0"/>
            </w:tcBorders>
          </w:tcPr>
          <w:p>
            <w:pPr>
              <w:adjustRightInd w:val="0"/>
              <w:snapToGrid w:val="0"/>
              <w:rPr>
                <w:rFonts w:ascii="仿宋_GB2312" w:eastAsia="仿宋_GB2312" w:hAnsiTheme="minorEastAsia"/>
                <w:color w:val="auto"/>
                <w:sz w:val="28"/>
                <w:szCs w:val="28"/>
                <w:highlight w:val="none"/>
              </w:rPr>
            </w:pPr>
          </w:p>
        </w:tc>
        <w:tc>
          <w:tcPr>
            <w:tcW w:w="567" w:type="dxa"/>
            <w:vMerge w:val="continue"/>
            <w:tcBorders>
              <w:left w:val="single" w:color="auto" w:sz="4" w:space="0"/>
            </w:tcBorders>
          </w:tcPr>
          <w:p>
            <w:pPr>
              <w:adjustRightInd w:val="0"/>
              <w:snapToGrid w:val="0"/>
              <w:rPr>
                <w:rFonts w:ascii="仿宋_GB2312" w:eastAsia="仿宋_GB2312" w:hAnsiTheme="minorEastAsia"/>
                <w:color w:val="auto"/>
                <w:sz w:val="28"/>
                <w:szCs w:val="28"/>
                <w:highlight w:val="none"/>
              </w:rPr>
            </w:pPr>
          </w:p>
        </w:tc>
        <w:tc>
          <w:tcPr>
            <w:tcW w:w="880" w:type="dxa"/>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不含税金额</w:t>
            </w:r>
          </w:p>
        </w:tc>
        <w:tc>
          <w:tcPr>
            <w:tcW w:w="566" w:type="dxa"/>
            <w:tcBorders>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税额</w:t>
            </w:r>
          </w:p>
        </w:tc>
        <w:tc>
          <w:tcPr>
            <w:tcW w:w="982" w:type="dxa"/>
            <w:tcBorders>
              <w:left w:val="single" w:color="auto" w:sz="4" w:space="0"/>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价税合计</w:t>
            </w:r>
          </w:p>
        </w:tc>
        <w:tc>
          <w:tcPr>
            <w:tcW w:w="844" w:type="dxa"/>
            <w:tcBorders>
              <w:left w:val="single" w:color="auto" w:sz="4" w:space="0"/>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不含税金额</w:t>
            </w:r>
          </w:p>
        </w:tc>
        <w:tc>
          <w:tcPr>
            <w:tcW w:w="566" w:type="dxa"/>
            <w:tcBorders>
              <w:lef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税额</w:t>
            </w:r>
          </w:p>
        </w:tc>
        <w:tc>
          <w:tcPr>
            <w:tcW w:w="982" w:type="dxa"/>
            <w:tcBorders>
              <w:right w:val="single" w:color="auto" w:sz="4" w:space="0"/>
            </w:tcBorders>
          </w:tcPr>
          <w:p>
            <w:pPr>
              <w:adjustRightInd w:val="0"/>
              <w:snapToGrid w:val="0"/>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价税合计</w:t>
            </w:r>
          </w:p>
        </w:tc>
        <w:tc>
          <w:tcPr>
            <w:tcW w:w="510" w:type="dxa"/>
            <w:tcBorders>
              <w:left w:val="single" w:color="auto" w:sz="4" w:space="0"/>
            </w:tcBorders>
          </w:tcPr>
          <w:p>
            <w:pPr>
              <w:adjustRightInd w:val="0"/>
              <w:snapToGrid w:val="0"/>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cs="宋体"/>
                <w:i w:val="0"/>
                <w:color w:val="auto"/>
                <w:sz w:val="24"/>
                <w:szCs w:val="24"/>
                <w:highlight w:val="none"/>
                <w:u w:val="none"/>
                <w:lang w:val="en-US" w:eastAsia="zh-CN"/>
              </w:rPr>
              <w:t>项目一</w:t>
            </w:r>
          </w:p>
        </w:tc>
        <w:tc>
          <w:tcPr>
            <w:tcW w:w="705" w:type="dxa"/>
            <w:vAlign w:val="center"/>
          </w:tcPr>
          <w:p>
            <w:pPr>
              <w:spacing w:line="360" w:lineRule="auto"/>
              <w:ind w:right="-57" w:rightChars="-27"/>
              <w:jc w:val="center"/>
              <w:rPr>
                <w:rFonts w:hint="default" w:ascii="仿宋_GB2312" w:hAnsi="Times New Roman" w:eastAsia="仿宋_GB2312" w:cs="Times New Roman"/>
                <w:color w:val="auto"/>
                <w:kern w:val="2"/>
                <w:sz w:val="24"/>
                <w:szCs w:val="28"/>
                <w:highlight w:val="none"/>
                <w:lang w:val="en-US" w:eastAsia="zh-CN" w:bidi="ar-SA"/>
              </w:rPr>
            </w:pPr>
            <w:r>
              <w:rPr>
                <w:rFonts w:hint="eastAsia" w:ascii="仿宋_GB2312" w:hAnsi="仿宋" w:eastAsia="仿宋_GB2312" w:cs="宋体"/>
                <w:color w:val="auto"/>
                <w:kern w:val="0"/>
                <w:sz w:val="24"/>
                <w:szCs w:val="28"/>
                <w:highlight w:val="none"/>
              </w:rPr>
              <w:t>止回阀</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tcPr>
          <w:p>
            <w:pPr>
              <w:adjustRightInd w:val="0"/>
              <w:snapToGrid w:val="0"/>
              <w:spacing w:line="600" w:lineRule="exact"/>
              <w:rPr>
                <w:rFonts w:ascii="仿宋_GB2312" w:eastAsia="仿宋_GB2312" w:hAnsiTheme="minorEastAsia"/>
                <w:color w:val="auto"/>
                <w:sz w:val="28"/>
                <w:szCs w:val="28"/>
                <w:highlight w:val="none"/>
              </w:rPr>
            </w:pPr>
          </w:p>
        </w:tc>
        <w:tc>
          <w:tcPr>
            <w:tcW w:w="70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电动蝶阀</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台</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rPr>
              <w:t>4</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cs="宋体" w:eastAsiaTheme="minorEastAsia"/>
                <w:i w:val="0"/>
                <w:color w:val="auto"/>
                <w:kern w:val="2"/>
                <w:sz w:val="24"/>
                <w:szCs w:val="24"/>
                <w:highlight w:val="none"/>
                <w:u w:val="none"/>
                <w:lang w:val="en-US" w:eastAsia="zh-CN" w:bidi="ar-SA"/>
              </w:rPr>
            </w:pPr>
            <w:r>
              <w:rPr>
                <w:rFonts w:hint="eastAsia" w:ascii="宋体" w:hAnsi="宋体" w:cs="宋体"/>
                <w:i w:val="0"/>
                <w:color w:val="auto"/>
                <w:sz w:val="24"/>
                <w:szCs w:val="24"/>
                <w:highlight w:val="none"/>
                <w:u w:val="none"/>
                <w:lang w:val="en-US" w:eastAsia="zh-CN"/>
              </w:rPr>
              <w:t>项目二</w:t>
            </w:r>
          </w:p>
        </w:tc>
        <w:tc>
          <w:tcPr>
            <w:tcW w:w="70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 w:eastAsia="仿宋_GB2312" w:cs="宋体"/>
                <w:color w:val="auto"/>
                <w:kern w:val="0"/>
                <w:sz w:val="24"/>
                <w:szCs w:val="28"/>
                <w:highlight w:val="none"/>
              </w:rPr>
              <w:t>一期沉砂池电动阀门</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3</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cs="宋体" w:eastAsiaTheme="minorEastAsia"/>
                <w:i w:val="0"/>
                <w:color w:val="auto"/>
                <w:kern w:val="2"/>
                <w:sz w:val="24"/>
                <w:szCs w:val="24"/>
                <w:highlight w:val="none"/>
                <w:u w:val="none"/>
                <w:lang w:val="en-US" w:eastAsia="zh-CN" w:bidi="ar-SA"/>
              </w:rPr>
            </w:pPr>
            <w:r>
              <w:rPr>
                <w:rFonts w:hint="eastAsia" w:ascii="宋体" w:hAnsi="宋体" w:cs="宋体"/>
                <w:i w:val="0"/>
                <w:color w:val="auto"/>
                <w:sz w:val="24"/>
                <w:szCs w:val="24"/>
                <w:highlight w:val="none"/>
                <w:u w:val="none"/>
                <w:lang w:val="en-US" w:eastAsia="zh-CN"/>
              </w:rPr>
              <w:t>项目三</w:t>
            </w:r>
          </w:p>
        </w:tc>
        <w:tc>
          <w:tcPr>
            <w:tcW w:w="705" w:type="dxa"/>
            <w:vAlign w:val="center"/>
          </w:tcPr>
          <w:p>
            <w:pPr>
              <w:spacing w:line="360" w:lineRule="auto"/>
              <w:ind w:right="-57" w:rightChars="-27"/>
              <w:jc w:val="center"/>
              <w:rPr>
                <w:rFonts w:hint="default" w:ascii="仿宋_GB2312" w:hAnsi="仿宋" w:eastAsia="仿宋_GB2312" w:cs="宋体"/>
                <w:color w:val="auto"/>
                <w:kern w:val="0"/>
                <w:sz w:val="24"/>
                <w:szCs w:val="28"/>
                <w:highlight w:val="none"/>
                <w:lang w:val="en-US" w:eastAsia="zh-CN" w:bidi="ar-SA"/>
              </w:rPr>
            </w:pPr>
            <w:r>
              <w:rPr>
                <w:rFonts w:hint="eastAsia" w:ascii="仿宋_GB2312" w:hAnsi="仿宋_GB2312" w:eastAsia="仿宋_GB2312" w:cs="仿宋_GB2312"/>
                <w:b w:val="0"/>
                <w:bCs w:val="0"/>
                <w:color w:val="auto"/>
                <w:sz w:val="24"/>
                <w:szCs w:val="24"/>
                <w:highlight w:val="none"/>
                <w:u w:val="none"/>
                <w:lang w:val="en-US" w:eastAsia="zh-CN"/>
              </w:rPr>
              <w:t>三期沉砂池砂水分离器电动阀门</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套</w:t>
            </w:r>
          </w:p>
        </w:tc>
        <w:tc>
          <w:tcPr>
            <w:tcW w:w="567" w:type="dxa"/>
            <w:tcBorders>
              <w:left w:val="single" w:color="auto" w:sz="4" w:space="0"/>
            </w:tcBorders>
            <w:vAlign w:val="center"/>
          </w:tcPr>
          <w:p>
            <w:pPr>
              <w:spacing w:line="360" w:lineRule="auto"/>
              <w:ind w:right="-57" w:rightChars="-27"/>
              <w:jc w:val="center"/>
              <w:rPr>
                <w:rFonts w:hint="eastAsia" w:ascii="仿宋_GB2312" w:hAnsi="Times New Roman" w:eastAsia="仿宋_GB2312" w:cs="Times New Roman"/>
                <w:color w:val="auto"/>
                <w:kern w:val="2"/>
                <w:sz w:val="24"/>
                <w:szCs w:val="32"/>
                <w:highlight w:val="none"/>
                <w:lang w:val="en-US" w:eastAsia="zh-CN" w:bidi="ar-SA"/>
              </w:rPr>
            </w:pPr>
            <w:r>
              <w:rPr>
                <w:rFonts w:hint="eastAsia" w:ascii="仿宋_GB2312" w:hAnsi="Times New Roman" w:eastAsia="仿宋_GB2312" w:cs="Times New Roman"/>
                <w:color w:val="auto"/>
                <w:sz w:val="24"/>
                <w:szCs w:val="32"/>
                <w:highlight w:val="none"/>
                <w:lang w:val="en-US" w:eastAsia="zh-CN"/>
              </w:rPr>
              <w:t>4</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 w:type="dxa"/>
            <w:vAlign w:val="center"/>
          </w:tcPr>
          <w:p>
            <w:pPr>
              <w:keepNext w:val="0"/>
              <w:keepLines w:val="0"/>
              <w:widowControl/>
              <w:suppressLineNumbers w:val="0"/>
              <w:jc w:val="center"/>
              <w:textAlignment w:val="center"/>
              <w:rPr>
                <w:rFonts w:hint="default" w:ascii="宋体" w:hAnsi="宋体" w:cs="宋体"/>
                <w:i w:val="0"/>
                <w:color w:val="auto"/>
                <w:sz w:val="24"/>
                <w:szCs w:val="24"/>
                <w:highlight w:val="none"/>
                <w:u w:val="none"/>
                <w:lang w:val="en-US" w:eastAsia="zh-CN"/>
              </w:rPr>
            </w:pPr>
            <w:r>
              <w:rPr>
                <w:rFonts w:hint="eastAsia" w:ascii="宋体" w:hAnsi="宋体" w:cs="宋体"/>
                <w:i w:val="0"/>
                <w:color w:val="auto"/>
                <w:sz w:val="24"/>
                <w:szCs w:val="24"/>
                <w:highlight w:val="none"/>
                <w:u w:val="none"/>
                <w:lang w:val="en-US" w:eastAsia="zh-CN"/>
              </w:rPr>
              <w:t>项目四</w:t>
            </w:r>
          </w:p>
        </w:tc>
        <w:tc>
          <w:tcPr>
            <w:tcW w:w="705" w:type="dxa"/>
            <w:vAlign w:val="center"/>
          </w:tcPr>
          <w:p>
            <w:pPr>
              <w:spacing w:line="360" w:lineRule="auto"/>
              <w:ind w:right="-57" w:rightChars="-27"/>
              <w:jc w:val="center"/>
              <w:rPr>
                <w:rFonts w:hint="eastAsia" w:ascii="仿宋_GB2312" w:hAnsi="仿宋_GB2312" w:eastAsia="仿宋_GB2312" w:cs="仿宋_GB2312"/>
                <w:b w:val="0"/>
                <w:bCs w:val="0"/>
                <w:color w:val="auto"/>
                <w:sz w:val="24"/>
                <w:szCs w:val="24"/>
                <w:highlight w:val="none"/>
                <w:u w:val="none"/>
                <w:lang w:val="en-US" w:eastAsia="zh-CN"/>
              </w:rPr>
            </w:pPr>
            <w:r>
              <w:rPr>
                <w:rFonts w:hint="eastAsia" w:ascii="仿宋_GB2312" w:hAnsi="仿宋_GB2312" w:eastAsia="仿宋_GB2312" w:cs="仿宋_GB2312"/>
                <w:b w:val="0"/>
                <w:bCs w:val="0"/>
                <w:color w:val="auto"/>
                <w:sz w:val="24"/>
                <w:szCs w:val="24"/>
                <w:highlight w:val="none"/>
                <w:u w:val="none"/>
                <w:lang w:val="en-US" w:eastAsia="zh-CN"/>
              </w:rPr>
              <w:t>初雨提升泵泵后备用阀门</w:t>
            </w:r>
          </w:p>
        </w:tc>
        <w:tc>
          <w:tcPr>
            <w:tcW w:w="1054" w:type="dxa"/>
            <w:vAlign w:val="center"/>
          </w:tcPr>
          <w:p>
            <w:pPr>
              <w:jc w:val="center"/>
              <w:rPr>
                <w:rFonts w:hint="eastAsia" w:ascii="宋体" w:hAnsi="宋体" w:eastAsia="宋体" w:cs="宋体"/>
                <w:i w:val="0"/>
                <w:color w:val="auto"/>
                <w:kern w:val="2"/>
                <w:sz w:val="24"/>
                <w:szCs w:val="24"/>
                <w:highlight w:val="none"/>
                <w:u w:val="none"/>
                <w:lang w:val="en-US" w:eastAsia="zh-CN" w:bidi="ar-SA"/>
              </w:rPr>
            </w:pPr>
          </w:p>
        </w:tc>
        <w:tc>
          <w:tcPr>
            <w:tcW w:w="992" w:type="dxa"/>
            <w:tcBorders>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highlight w:val="none"/>
                <w:u w:val="none"/>
                <w:lang w:val="en-US" w:eastAsia="zh-CN" w:bidi="ar-SA"/>
              </w:rPr>
            </w:pPr>
          </w:p>
        </w:tc>
        <w:tc>
          <w:tcPr>
            <w:tcW w:w="425" w:type="dxa"/>
            <w:tcBorders>
              <w:right w:val="single" w:color="auto" w:sz="4" w:space="0"/>
            </w:tcBorders>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套</w:t>
            </w:r>
          </w:p>
        </w:tc>
        <w:tc>
          <w:tcPr>
            <w:tcW w:w="567" w:type="dxa"/>
            <w:tcBorders>
              <w:left w:val="single" w:color="auto" w:sz="4" w:space="0"/>
            </w:tcBorders>
            <w:vAlign w:val="center"/>
          </w:tcPr>
          <w:p>
            <w:pPr>
              <w:spacing w:line="360" w:lineRule="auto"/>
              <w:ind w:right="-57" w:rightChars="-27"/>
              <w:jc w:val="center"/>
              <w:rPr>
                <w:rFonts w:hint="default" w:ascii="仿宋_GB2312" w:hAnsi="Times New Roman" w:eastAsia="仿宋_GB2312" w:cs="Times New Roman"/>
                <w:color w:val="auto"/>
                <w:sz w:val="24"/>
                <w:szCs w:val="32"/>
                <w:highlight w:val="none"/>
                <w:lang w:val="en-US" w:eastAsia="zh-CN"/>
              </w:rPr>
            </w:pPr>
            <w:r>
              <w:rPr>
                <w:rFonts w:hint="eastAsia" w:ascii="仿宋_GB2312" w:hAnsi="Times New Roman" w:eastAsia="仿宋_GB2312" w:cs="Times New Roman"/>
                <w:color w:val="auto"/>
                <w:sz w:val="24"/>
                <w:szCs w:val="32"/>
                <w:highlight w:val="none"/>
                <w:lang w:val="en-US" w:eastAsia="zh-CN"/>
              </w:rPr>
              <w:t>1</w:t>
            </w:r>
          </w:p>
        </w:tc>
        <w:tc>
          <w:tcPr>
            <w:tcW w:w="880" w:type="dxa"/>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76" w:type="dxa"/>
            <w:gridSpan w:val="9"/>
            <w:tcBorders>
              <w:right w:val="single" w:color="auto" w:sz="4" w:space="0"/>
            </w:tcBorders>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合计报价</w:t>
            </w:r>
          </w:p>
        </w:tc>
        <w:tc>
          <w:tcPr>
            <w:tcW w:w="844" w:type="dxa"/>
            <w:tcBorders>
              <w:left w:val="single" w:color="auto" w:sz="4" w:space="0"/>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66"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982" w:type="dxa"/>
            <w:tcBorders>
              <w:righ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c>
          <w:tcPr>
            <w:tcW w:w="510" w:type="dxa"/>
            <w:tcBorders>
              <w:left w:val="single" w:color="auto" w:sz="4" w:space="0"/>
            </w:tcBorders>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spacing w:line="600" w:lineRule="exact"/>
        <w:rPr>
          <w:rFonts w:ascii="仿宋_GB2312" w:eastAsia="仿宋_GB2312" w:hAnsiTheme="minorEastAsia"/>
          <w:color w:val="auto"/>
          <w:sz w:val="28"/>
          <w:szCs w:val="28"/>
          <w:highlight w:val="none"/>
        </w:rPr>
      </w:pPr>
    </w:p>
    <w:p>
      <w:pPr>
        <w:pStyle w:val="32"/>
        <w:rPr>
          <w:rFonts w:ascii="仿宋" w:hAnsi="仿宋" w:eastAsia="仿宋" w:cs="仿宋_GB2312"/>
          <w:b/>
          <w:color w:val="auto"/>
          <w:sz w:val="28"/>
          <w:szCs w:val="28"/>
          <w:highlight w:val="none"/>
        </w:rPr>
      </w:pPr>
    </w:p>
    <w:p>
      <w:pPr>
        <w:adjustRightInd w:val="0"/>
        <w:snapToGrid w:val="0"/>
        <w:spacing w:line="300" w:lineRule="auto"/>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报价单位代表（签名或盖私章）：</w:t>
      </w:r>
      <w:r>
        <w:rPr>
          <w:rFonts w:hint="eastAsia" w:ascii="仿宋" w:hAnsi="仿宋" w:eastAsia="仿宋" w:cs="仿宋_GB2312"/>
          <w:color w:val="auto"/>
          <w:sz w:val="28"/>
          <w:szCs w:val="28"/>
          <w:highlight w:val="none"/>
          <w:u w:val="single"/>
        </w:rPr>
        <w:t xml:space="preserve">                   </w:t>
      </w:r>
    </w:p>
    <w:p>
      <w:pPr>
        <w:adjustRightInd w:val="0"/>
        <w:snapToGrid w:val="0"/>
        <w:spacing w:line="300" w:lineRule="auto"/>
        <w:rPr>
          <w:rFonts w:ascii="仿宋" w:hAnsi="仿宋" w:eastAsia="仿宋" w:cs="仿宋_GB2312"/>
          <w:color w:val="auto"/>
          <w:sz w:val="28"/>
          <w:szCs w:val="28"/>
          <w:highlight w:val="none"/>
          <w:u w:val="single"/>
        </w:rPr>
      </w:pPr>
      <w:r>
        <w:rPr>
          <w:rFonts w:hint="eastAsia" w:ascii="仿宋" w:hAnsi="仿宋" w:eastAsia="仿宋" w:cs="仿宋_GB2312"/>
          <w:color w:val="auto"/>
          <w:sz w:val="28"/>
          <w:szCs w:val="28"/>
          <w:highlight w:val="none"/>
        </w:rPr>
        <w:t>报价单位名称（盖单位公章）：</w:t>
      </w:r>
      <w:r>
        <w:rPr>
          <w:rFonts w:hint="eastAsia" w:ascii="仿宋" w:hAnsi="仿宋" w:eastAsia="仿宋" w:cs="仿宋_GB2312"/>
          <w:color w:val="auto"/>
          <w:sz w:val="28"/>
          <w:szCs w:val="28"/>
          <w:highlight w:val="none"/>
          <w:u w:val="single"/>
        </w:rPr>
        <w:t xml:space="preserve">                        </w:t>
      </w:r>
    </w:p>
    <w:p>
      <w:pPr>
        <w:pStyle w:val="11"/>
        <w:rPr>
          <w:rFonts w:ascii="仿宋" w:hAnsi="仿宋" w:eastAsia="仿宋" w:cs="仿宋_GB2312"/>
          <w:color w:val="auto"/>
          <w:szCs w:val="28"/>
          <w:highlight w:val="none"/>
        </w:rPr>
      </w:pPr>
      <w:r>
        <w:rPr>
          <w:rFonts w:hint="eastAsia" w:ascii="仿宋" w:hAnsi="仿宋" w:eastAsia="仿宋" w:cs="仿宋_GB2312"/>
          <w:color w:val="auto"/>
          <w:szCs w:val="28"/>
          <w:highlight w:val="none"/>
        </w:rPr>
        <w:t>日期：          年      月     日</w:t>
      </w:r>
    </w:p>
    <w:p>
      <w:pPr>
        <w:pStyle w:val="2"/>
        <w:rPr>
          <w:rFonts w:ascii="仿宋" w:hAnsi="仿宋" w:eastAsia="仿宋" w:cs="仿宋"/>
          <w:b/>
          <w:bCs/>
          <w:color w:val="auto"/>
          <w:sz w:val="28"/>
          <w:szCs w:val="36"/>
          <w:highlight w:val="none"/>
        </w:rPr>
      </w:pPr>
    </w:p>
    <w:p>
      <w:pPr>
        <w:pStyle w:val="2"/>
        <w:rPr>
          <w:rFonts w:ascii="仿宋" w:hAnsi="仿宋" w:eastAsia="仿宋" w:cs="仿宋"/>
          <w:b/>
          <w:bCs/>
          <w:color w:val="auto"/>
          <w:sz w:val="28"/>
          <w:szCs w:val="36"/>
          <w:highlight w:val="none"/>
        </w:rPr>
      </w:pPr>
    </w:p>
    <w:p>
      <w:pPr>
        <w:pStyle w:val="2"/>
        <w:rPr>
          <w:rFonts w:ascii="仿宋" w:hAnsi="仿宋" w:eastAsia="仿宋" w:cs="仿宋"/>
          <w:b/>
          <w:bCs/>
          <w:color w:val="auto"/>
          <w:sz w:val="28"/>
          <w:szCs w:val="36"/>
          <w:highlight w:val="none"/>
        </w:rPr>
      </w:pPr>
    </w:p>
    <w:p>
      <w:pPr>
        <w:pStyle w:val="2"/>
        <w:rPr>
          <w:rFonts w:ascii="仿宋" w:hAnsi="仿宋" w:eastAsia="仿宋" w:cs="仿宋"/>
          <w:b/>
          <w:bCs/>
          <w:color w:val="auto"/>
          <w:sz w:val="28"/>
          <w:szCs w:val="36"/>
          <w:highlight w:val="none"/>
        </w:rPr>
      </w:pPr>
    </w:p>
    <w:p>
      <w:pPr>
        <w:pStyle w:val="6"/>
        <w:rPr>
          <w:rFonts w:asciiTheme="majorEastAsia" w:hAnsiTheme="majorEastAsia" w:eastAsiaTheme="majorEastAsia"/>
          <w:color w:val="auto"/>
          <w:sz w:val="28"/>
          <w:szCs w:val="28"/>
          <w:highlight w:val="none"/>
        </w:rPr>
      </w:pPr>
      <w:bookmarkStart w:id="198" w:name="_Toc88209965"/>
      <w:bookmarkStart w:id="199" w:name="_Toc16386"/>
      <w:bookmarkStart w:id="200" w:name="_Toc87616402"/>
      <w:bookmarkStart w:id="201" w:name="_Toc6058"/>
      <w:r>
        <w:rPr>
          <w:rFonts w:hint="eastAsia" w:eastAsiaTheme="majorEastAsia"/>
          <w:color w:val="auto"/>
          <w:highlight w:val="none"/>
        </w:rPr>
        <w:t>6</w:t>
      </w:r>
      <w:r>
        <w:rPr>
          <w:rFonts w:hint="eastAsia" w:asciiTheme="majorEastAsia" w:hAnsiTheme="majorEastAsia" w:eastAsiaTheme="majorEastAsia"/>
          <w:color w:val="auto"/>
          <w:sz w:val="28"/>
          <w:szCs w:val="28"/>
          <w:highlight w:val="none"/>
        </w:rPr>
        <w:t>.其他资料</w:t>
      </w:r>
      <w:bookmarkEnd w:id="198"/>
      <w:bookmarkEnd w:id="199"/>
      <w:bookmarkEnd w:id="200"/>
      <w:bookmarkEnd w:id="201"/>
    </w:p>
    <w:p>
      <w:pPr>
        <w:adjustRightInd w:val="0"/>
        <w:snapToGrid w:val="0"/>
        <w:spacing w:line="600" w:lineRule="exact"/>
        <w:ind w:firstLine="570"/>
        <w:rPr>
          <w:rFonts w:ascii="仿宋_GB2312" w:eastAsia="仿宋_GB2312" w:hAnsiTheme="minorEastAsia"/>
          <w:color w:val="auto"/>
          <w:sz w:val="28"/>
          <w:szCs w:val="28"/>
          <w:highlight w:val="none"/>
        </w:rPr>
      </w:pP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p>
      <w:pPr>
        <w:rPr>
          <w:color w:val="auto"/>
          <w:highlight w:val="none"/>
        </w:rPr>
      </w:pPr>
    </w:p>
    <w:p>
      <w:pPr>
        <w:rPr>
          <w:color w:val="auto"/>
          <w:highlight w:val="none"/>
        </w:rPr>
      </w:pPr>
    </w:p>
    <w:p>
      <w:pPr>
        <w:rPr>
          <w:color w:val="auto"/>
          <w:highlight w:val="none"/>
        </w:rPr>
      </w:pPr>
    </w:p>
    <w:sectPr>
      <w:footerReference r:id="rId7" w:type="first"/>
      <w:footerReference r:id="rId6"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302260"/>
              <wp:effectExtent l="4445" t="0" r="4445" b="0"/>
              <wp:wrapNone/>
              <wp:docPr id="2"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wps:spPr>
                    <wps:txbx>
                      <w:txbxContent>
                        <w:p>
                          <w:pPr>
                            <w:pStyle w:val="18"/>
                          </w:pPr>
                        </w:p>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23.8pt;width:9.05pt;mso-position-horizontal:center;mso-position-horizontal-relative:margin;mso-wrap-style:none;z-index:251659264;mso-width-relative:page;mso-height-relative:page;" filled="f" stroked="f" coordsize="21600,21600" o:gfxdata="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7G5YnRAAAAAwEAAA8AAAAAAAAAAQAgAAAAIgAAAGRycy9kb3ducmV2LnhtbFBLAQIU&#10;ABQAAAAIAIdO4kDrskLz+gEAAAEEAAAOAAAAAAAAAAEAIAAAACABAABkcnMvZTJvRG9jLnhtbFBL&#10;BQYAAAAABgAGAFkBAACM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8420" cy="139700"/>
              <wp:effectExtent l="0" t="0" r="0" b="0"/>
              <wp:wrapNone/>
              <wp:docPr id="35" name="Text Box 3"/>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3" o:spid="_x0000_s1026" o:spt="202" type="#_x0000_t202" style="position:absolute;left:0pt;margin-top:0pt;height:11pt;width:4.6pt;mso-position-horizontal:center;mso-position-horizontal-relative:margin;mso-wrap-style:none;z-index:251663360;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1u5d9AAAAACAQAADwAAAAAAAAABACAAAAAiAAAAZHJzL2Rvd25yZXYueG1sUEsBAhQA&#10;FAAAAAgAh07iQNJlfr/6AQAAAQQAAA4AAAAAAAAAAQAgAAAAHwEAAGRycy9lMm9Eb2MueG1sUEsF&#10;BgAAAAAGAAYAWQEAAIs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29</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302260"/>
              <wp:effectExtent l="0" t="0" r="0" b="0"/>
              <wp:wrapNone/>
              <wp:docPr id="36" name="Text Box 4"/>
              <wp:cNvGraphicFramePr/>
              <a:graphic xmlns:a="http://schemas.openxmlformats.org/drawingml/2006/main">
                <a:graphicData uri="http://schemas.microsoft.com/office/word/2010/wordprocessingShape">
                  <wps:wsp>
                    <wps:cNvSpPr txBox="1">
                      <a:spLocks noChangeArrowheads="1"/>
                    </wps:cNvSpPr>
                    <wps:spPr bwMode="auto">
                      <a:xfrm>
                        <a:off x="0" y="0"/>
                        <a:ext cx="114935" cy="302260"/>
                      </a:xfrm>
                      <a:prstGeom prst="rect">
                        <a:avLst/>
                      </a:prstGeom>
                      <a:noFill/>
                      <a:ln>
                        <a:noFill/>
                      </a:ln>
                    </wps:spPr>
                    <wps:txbx>
                      <w:txbxContent>
                        <w:p>
                          <w:pPr>
                            <w:pStyle w:val="18"/>
                          </w:pPr>
                        </w:p>
                        <w:p/>
                      </w:txbxContent>
                    </wps:txbx>
                    <wps:bodyPr rot="0" vert="horz" wrap="none" lIns="0" tIns="0" rIns="0" bIns="0" anchor="t" anchorCtr="0" upright="1">
                      <a:spAutoFit/>
                    </wps:bodyPr>
                  </wps:wsp>
                </a:graphicData>
              </a:graphic>
            </wp:anchor>
          </w:drawing>
        </mc:Choice>
        <mc:Fallback>
          <w:pict>
            <v:shape id="Text Box 4" o:spid="_x0000_s1026" o:spt="202" type="#_x0000_t202" style="position:absolute;left:0pt;margin-top:0pt;height:23.8pt;width:9.05pt;mso-position-horizontal:center;mso-position-horizontal-relative:margin;mso-wrap-style:none;z-index:251661312;mso-width-relative:page;mso-height-relative:page;" filled="f" stroked="f" coordsize="21600,21600" o:gfxdata="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xuWJ0QAAAAMBAAAPAAAAAAAAAAEAIAAAACIAAABkcnMvZG93bnJldi54bWxQSwEC&#10;FAAUAAAACACHTuJA7thjIPsBAAACBAAADgAAAAAAAAABACAAAAAgAQAAZHJzL2Uyb0RvYy54bWxQ&#10;SwUGAAAAAAYABgBZAQAAjQU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8420" cy="139700"/>
              <wp:effectExtent l="0" t="0" r="0" b="0"/>
              <wp:wrapNone/>
              <wp:docPr id="37" name="Text Box 1"/>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1pt;width:4.6pt;mso-position-horizontal:center;mso-position-horizontal-relative:margin;mso-wrap-style:none;z-index:251666432;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1u5d9AAAAACAQAADwAAAAAAAAABACAAAAAiAAAAZHJzL2Rvd25yZXYueG1sUEsBAhQA&#10;FAAAAAgAh07iQBKS3T36AQAAAQQAAA4AAAAAAAAAAQAgAAAAHwEAAGRycy9lMm9Eb2MueG1sUEsF&#10;BgAAAAAGAAYAWQEAAIs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F403976A"/>
    <w:multiLevelType w:val="singleLevel"/>
    <w:tmpl w:val="F403976A"/>
    <w:lvl w:ilvl="0" w:tentative="0">
      <w:start w:val="1"/>
      <w:numFmt w:val="chineseCounting"/>
      <w:suff w:val="nothing"/>
      <w:lvlText w:val="%1、"/>
      <w:lvlJc w:val="left"/>
      <w:rPr>
        <w:rFonts w:hint="eastAsia"/>
      </w:rPr>
    </w:lvl>
  </w:abstractNum>
  <w:abstractNum w:abstractNumId="2">
    <w:nsid w:val="092B6031"/>
    <w:multiLevelType w:val="singleLevel"/>
    <w:tmpl w:val="092B6031"/>
    <w:lvl w:ilvl="0" w:tentative="0">
      <w:start w:val="5"/>
      <w:numFmt w:val="chineseCounting"/>
      <w:suff w:val="nothing"/>
      <w:lvlText w:val="%1、"/>
      <w:lvlJc w:val="left"/>
      <w:rPr>
        <w:rFonts w:hint="eastAsia"/>
      </w:rPr>
    </w:lvl>
  </w:abstractNum>
  <w:abstractNum w:abstractNumId="3">
    <w:nsid w:val="4734DCE6"/>
    <w:multiLevelType w:val="singleLevel"/>
    <w:tmpl w:val="4734DCE6"/>
    <w:lvl w:ilvl="0" w:tentative="0">
      <w:start w:val="1"/>
      <w:numFmt w:val="decimal"/>
      <w:lvlText w:val="%1."/>
      <w:lvlJc w:val="left"/>
      <w:pPr>
        <w:tabs>
          <w:tab w:val="left" w:pos="312"/>
        </w:tabs>
      </w:pPr>
    </w:lvl>
  </w:abstractNum>
  <w:abstractNum w:abstractNumId="4">
    <w:nsid w:val="705D32C3"/>
    <w:multiLevelType w:val="singleLevel"/>
    <w:tmpl w:val="705D32C3"/>
    <w:lvl w:ilvl="0" w:tentative="0">
      <w:start w:val="5"/>
      <w:numFmt w:val="decimal"/>
      <w:lvlText w:val="%1."/>
      <w:lvlJc w:val="left"/>
      <w:pPr>
        <w:tabs>
          <w:tab w:val="left" w:pos="312"/>
        </w:tabs>
      </w:pPr>
    </w:lvl>
  </w:abstractNum>
  <w:abstractNum w:abstractNumId="5">
    <w:nsid w:val="771C8F7B"/>
    <w:multiLevelType w:val="singleLevel"/>
    <w:tmpl w:val="771C8F7B"/>
    <w:lvl w:ilvl="0" w:tentative="0">
      <w:start w:val="4"/>
      <w:numFmt w:val="chineseCounting"/>
      <w:suff w:val="space"/>
      <w:lvlText w:val="第%1条"/>
      <w:lvlJc w:val="left"/>
      <w:rPr>
        <w:rFonts w:hint="eastAsia"/>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s>
  <w:rsids>
    <w:rsidRoot w:val="005D618A"/>
    <w:rsid w:val="000A6406"/>
    <w:rsid w:val="001100FB"/>
    <w:rsid w:val="00183E9B"/>
    <w:rsid w:val="001B35D9"/>
    <w:rsid w:val="0022180C"/>
    <w:rsid w:val="00294531"/>
    <w:rsid w:val="003B02D7"/>
    <w:rsid w:val="003D4867"/>
    <w:rsid w:val="003D60BA"/>
    <w:rsid w:val="00411689"/>
    <w:rsid w:val="004707DA"/>
    <w:rsid w:val="00490B12"/>
    <w:rsid w:val="004A40A1"/>
    <w:rsid w:val="005015B5"/>
    <w:rsid w:val="005D618A"/>
    <w:rsid w:val="005D6FC8"/>
    <w:rsid w:val="00653919"/>
    <w:rsid w:val="0066221B"/>
    <w:rsid w:val="007011C0"/>
    <w:rsid w:val="0071061A"/>
    <w:rsid w:val="00764EC5"/>
    <w:rsid w:val="00765523"/>
    <w:rsid w:val="00767D3A"/>
    <w:rsid w:val="00786815"/>
    <w:rsid w:val="007A4042"/>
    <w:rsid w:val="00811753"/>
    <w:rsid w:val="00837685"/>
    <w:rsid w:val="00887AB0"/>
    <w:rsid w:val="008E4450"/>
    <w:rsid w:val="008E71D7"/>
    <w:rsid w:val="00905D21"/>
    <w:rsid w:val="00911ECD"/>
    <w:rsid w:val="009D0CC4"/>
    <w:rsid w:val="00A042E0"/>
    <w:rsid w:val="00AC5DF1"/>
    <w:rsid w:val="00AD031C"/>
    <w:rsid w:val="00AF4126"/>
    <w:rsid w:val="00B26BB1"/>
    <w:rsid w:val="00B26E21"/>
    <w:rsid w:val="00B34CDA"/>
    <w:rsid w:val="00C81C9E"/>
    <w:rsid w:val="00D720C8"/>
    <w:rsid w:val="00DF02DA"/>
    <w:rsid w:val="00E9691B"/>
    <w:rsid w:val="00EC1E96"/>
    <w:rsid w:val="00EC64AD"/>
    <w:rsid w:val="00ED1596"/>
    <w:rsid w:val="00F4104C"/>
    <w:rsid w:val="00F83B64"/>
    <w:rsid w:val="00FF5430"/>
    <w:rsid w:val="02090C75"/>
    <w:rsid w:val="02A23A3C"/>
    <w:rsid w:val="02B86948"/>
    <w:rsid w:val="03AC246A"/>
    <w:rsid w:val="03B23056"/>
    <w:rsid w:val="03C07397"/>
    <w:rsid w:val="03DC3EBA"/>
    <w:rsid w:val="03F9794D"/>
    <w:rsid w:val="046A2461"/>
    <w:rsid w:val="065A53BA"/>
    <w:rsid w:val="0685597A"/>
    <w:rsid w:val="06C64829"/>
    <w:rsid w:val="077D16D2"/>
    <w:rsid w:val="08675FC8"/>
    <w:rsid w:val="08F46FC3"/>
    <w:rsid w:val="09B713FD"/>
    <w:rsid w:val="09EF6ACC"/>
    <w:rsid w:val="0A315056"/>
    <w:rsid w:val="0AFB45AD"/>
    <w:rsid w:val="0B351E9B"/>
    <w:rsid w:val="0B4C50D3"/>
    <w:rsid w:val="0B806B92"/>
    <w:rsid w:val="0B827E94"/>
    <w:rsid w:val="0BD070E1"/>
    <w:rsid w:val="0C247926"/>
    <w:rsid w:val="0D302A9E"/>
    <w:rsid w:val="0D794204"/>
    <w:rsid w:val="0E2125D1"/>
    <w:rsid w:val="0E214211"/>
    <w:rsid w:val="0E5F2769"/>
    <w:rsid w:val="0E920848"/>
    <w:rsid w:val="0EFF0A15"/>
    <w:rsid w:val="0F4D75A3"/>
    <w:rsid w:val="0F510E72"/>
    <w:rsid w:val="0F5B2DCA"/>
    <w:rsid w:val="0FED051E"/>
    <w:rsid w:val="0FEE4C29"/>
    <w:rsid w:val="10046082"/>
    <w:rsid w:val="106802DE"/>
    <w:rsid w:val="10765325"/>
    <w:rsid w:val="112B101A"/>
    <w:rsid w:val="119B53FC"/>
    <w:rsid w:val="11AE0BD5"/>
    <w:rsid w:val="12424CDC"/>
    <w:rsid w:val="129A2738"/>
    <w:rsid w:val="12B56BF1"/>
    <w:rsid w:val="12CB1A89"/>
    <w:rsid w:val="131840FB"/>
    <w:rsid w:val="13467417"/>
    <w:rsid w:val="136E76CF"/>
    <w:rsid w:val="14B10AE1"/>
    <w:rsid w:val="15BC6B3C"/>
    <w:rsid w:val="1694429A"/>
    <w:rsid w:val="17635326"/>
    <w:rsid w:val="17E525A4"/>
    <w:rsid w:val="18236EFD"/>
    <w:rsid w:val="189D5B1F"/>
    <w:rsid w:val="18A34CD0"/>
    <w:rsid w:val="197D0C1B"/>
    <w:rsid w:val="19B64DBC"/>
    <w:rsid w:val="1A14399F"/>
    <w:rsid w:val="1A373ACF"/>
    <w:rsid w:val="1A895341"/>
    <w:rsid w:val="1B0D071F"/>
    <w:rsid w:val="1B4568CE"/>
    <w:rsid w:val="1B4C0C41"/>
    <w:rsid w:val="1B9015B7"/>
    <w:rsid w:val="1C872CE0"/>
    <w:rsid w:val="1D2D0C9B"/>
    <w:rsid w:val="1D3D7931"/>
    <w:rsid w:val="1D5A79EE"/>
    <w:rsid w:val="1E0B16ED"/>
    <w:rsid w:val="1E0E2CD0"/>
    <w:rsid w:val="1E831280"/>
    <w:rsid w:val="1EBC4704"/>
    <w:rsid w:val="1F172EB5"/>
    <w:rsid w:val="1F94592D"/>
    <w:rsid w:val="1FB860DE"/>
    <w:rsid w:val="203C5A02"/>
    <w:rsid w:val="209D4C94"/>
    <w:rsid w:val="20E84705"/>
    <w:rsid w:val="218400BA"/>
    <w:rsid w:val="21AB1E2F"/>
    <w:rsid w:val="21D40498"/>
    <w:rsid w:val="225752A3"/>
    <w:rsid w:val="22767047"/>
    <w:rsid w:val="23A05588"/>
    <w:rsid w:val="23D82F6C"/>
    <w:rsid w:val="251713E9"/>
    <w:rsid w:val="25431AEB"/>
    <w:rsid w:val="25650D8D"/>
    <w:rsid w:val="25BF43FD"/>
    <w:rsid w:val="25F86BCD"/>
    <w:rsid w:val="2605748B"/>
    <w:rsid w:val="261105FB"/>
    <w:rsid w:val="269E416A"/>
    <w:rsid w:val="26B02FC7"/>
    <w:rsid w:val="272100D3"/>
    <w:rsid w:val="272C72FC"/>
    <w:rsid w:val="27923EBF"/>
    <w:rsid w:val="27EB149D"/>
    <w:rsid w:val="27FD3E52"/>
    <w:rsid w:val="28E11370"/>
    <w:rsid w:val="294A756A"/>
    <w:rsid w:val="29D5322D"/>
    <w:rsid w:val="2A025DD9"/>
    <w:rsid w:val="2A7C2231"/>
    <w:rsid w:val="2A8F679F"/>
    <w:rsid w:val="2ABB753D"/>
    <w:rsid w:val="2B0231B6"/>
    <w:rsid w:val="2B1574B4"/>
    <w:rsid w:val="2B7A49FA"/>
    <w:rsid w:val="2C136FFA"/>
    <w:rsid w:val="2C615D26"/>
    <w:rsid w:val="2CB679ED"/>
    <w:rsid w:val="2D173C07"/>
    <w:rsid w:val="2D424A86"/>
    <w:rsid w:val="2E6A25C9"/>
    <w:rsid w:val="2E7B52DB"/>
    <w:rsid w:val="2EC7093F"/>
    <w:rsid w:val="2F324CFE"/>
    <w:rsid w:val="2FBA09F1"/>
    <w:rsid w:val="2FEF2ACF"/>
    <w:rsid w:val="30540211"/>
    <w:rsid w:val="305C5857"/>
    <w:rsid w:val="312D7741"/>
    <w:rsid w:val="316F137F"/>
    <w:rsid w:val="3198371B"/>
    <w:rsid w:val="31DF525F"/>
    <w:rsid w:val="32324C2E"/>
    <w:rsid w:val="327171DF"/>
    <w:rsid w:val="341E3434"/>
    <w:rsid w:val="353F533B"/>
    <w:rsid w:val="35A252CE"/>
    <w:rsid w:val="360B7EBA"/>
    <w:rsid w:val="369C32FD"/>
    <w:rsid w:val="37666E72"/>
    <w:rsid w:val="38155281"/>
    <w:rsid w:val="38167A04"/>
    <w:rsid w:val="3922642F"/>
    <w:rsid w:val="394B167A"/>
    <w:rsid w:val="39B45610"/>
    <w:rsid w:val="39D76BC3"/>
    <w:rsid w:val="3A4E4336"/>
    <w:rsid w:val="3A6007FE"/>
    <w:rsid w:val="3AB14335"/>
    <w:rsid w:val="3B7C2CE4"/>
    <w:rsid w:val="3C0B5355"/>
    <w:rsid w:val="3C935564"/>
    <w:rsid w:val="3CD4176B"/>
    <w:rsid w:val="3CF208D9"/>
    <w:rsid w:val="3D1F44D9"/>
    <w:rsid w:val="3D5C38CD"/>
    <w:rsid w:val="3DA80295"/>
    <w:rsid w:val="3E5070F1"/>
    <w:rsid w:val="3E6163E7"/>
    <w:rsid w:val="3F6C3589"/>
    <w:rsid w:val="3F850180"/>
    <w:rsid w:val="3F9004D6"/>
    <w:rsid w:val="400E4D5E"/>
    <w:rsid w:val="40245BFB"/>
    <w:rsid w:val="40E1138C"/>
    <w:rsid w:val="413814BA"/>
    <w:rsid w:val="414B1D27"/>
    <w:rsid w:val="41872511"/>
    <w:rsid w:val="42466655"/>
    <w:rsid w:val="424B7EFB"/>
    <w:rsid w:val="42694B47"/>
    <w:rsid w:val="42C82F57"/>
    <w:rsid w:val="43C76AF7"/>
    <w:rsid w:val="441B1CE9"/>
    <w:rsid w:val="446828F0"/>
    <w:rsid w:val="45C13B4D"/>
    <w:rsid w:val="46054BCA"/>
    <w:rsid w:val="464C6AFC"/>
    <w:rsid w:val="468B0091"/>
    <w:rsid w:val="46A107C3"/>
    <w:rsid w:val="46B15CE2"/>
    <w:rsid w:val="46BE113D"/>
    <w:rsid w:val="46E44B13"/>
    <w:rsid w:val="46E56AF6"/>
    <w:rsid w:val="4703508A"/>
    <w:rsid w:val="475023F8"/>
    <w:rsid w:val="479D361E"/>
    <w:rsid w:val="47B74789"/>
    <w:rsid w:val="480F2B9D"/>
    <w:rsid w:val="48282920"/>
    <w:rsid w:val="485321E0"/>
    <w:rsid w:val="48546AD3"/>
    <w:rsid w:val="48574836"/>
    <w:rsid w:val="48CA4868"/>
    <w:rsid w:val="48EA3B26"/>
    <w:rsid w:val="48F005D3"/>
    <w:rsid w:val="498F4AF1"/>
    <w:rsid w:val="49C05787"/>
    <w:rsid w:val="49CF518D"/>
    <w:rsid w:val="4A705ADB"/>
    <w:rsid w:val="4ADA1F63"/>
    <w:rsid w:val="4AE23D89"/>
    <w:rsid w:val="4AE64EED"/>
    <w:rsid w:val="4AEC2FDE"/>
    <w:rsid w:val="4B2038D0"/>
    <w:rsid w:val="4B296E7D"/>
    <w:rsid w:val="4B877F28"/>
    <w:rsid w:val="4CC60794"/>
    <w:rsid w:val="4D2E044D"/>
    <w:rsid w:val="4D916BA6"/>
    <w:rsid w:val="4DC44169"/>
    <w:rsid w:val="4E460417"/>
    <w:rsid w:val="4EE44586"/>
    <w:rsid w:val="4EF0709E"/>
    <w:rsid w:val="4F2706FC"/>
    <w:rsid w:val="4F4546D1"/>
    <w:rsid w:val="5011784D"/>
    <w:rsid w:val="50590023"/>
    <w:rsid w:val="513C043B"/>
    <w:rsid w:val="513C6A7B"/>
    <w:rsid w:val="523D3563"/>
    <w:rsid w:val="5333545B"/>
    <w:rsid w:val="5450213C"/>
    <w:rsid w:val="5483348F"/>
    <w:rsid w:val="54D24048"/>
    <w:rsid w:val="54D64CD5"/>
    <w:rsid w:val="55887D69"/>
    <w:rsid w:val="561A0928"/>
    <w:rsid w:val="56423872"/>
    <w:rsid w:val="56B279F0"/>
    <w:rsid w:val="579D710E"/>
    <w:rsid w:val="581F22F6"/>
    <w:rsid w:val="586E1E17"/>
    <w:rsid w:val="58862C35"/>
    <w:rsid w:val="58C14957"/>
    <w:rsid w:val="5AE83A50"/>
    <w:rsid w:val="5B434E3D"/>
    <w:rsid w:val="5BAB2917"/>
    <w:rsid w:val="5BBF6B42"/>
    <w:rsid w:val="5BFC33FA"/>
    <w:rsid w:val="5C3107A4"/>
    <w:rsid w:val="5C3B1B93"/>
    <w:rsid w:val="5C66348F"/>
    <w:rsid w:val="5C9220DF"/>
    <w:rsid w:val="5D064202"/>
    <w:rsid w:val="5D4A15F3"/>
    <w:rsid w:val="5D69542A"/>
    <w:rsid w:val="5E0930EF"/>
    <w:rsid w:val="5E3D4D53"/>
    <w:rsid w:val="5E4717E6"/>
    <w:rsid w:val="5E55774C"/>
    <w:rsid w:val="60104DDC"/>
    <w:rsid w:val="605C0804"/>
    <w:rsid w:val="61841BCA"/>
    <w:rsid w:val="6189617B"/>
    <w:rsid w:val="61B52BB6"/>
    <w:rsid w:val="61B749C2"/>
    <w:rsid w:val="61F75188"/>
    <w:rsid w:val="62280D20"/>
    <w:rsid w:val="62CA2457"/>
    <w:rsid w:val="62D34608"/>
    <w:rsid w:val="638240A1"/>
    <w:rsid w:val="63A5257B"/>
    <w:rsid w:val="63BD3DCC"/>
    <w:rsid w:val="63C61741"/>
    <w:rsid w:val="64560967"/>
    <w:rsid w:val="656B1D10"/>
    <w:rsid w:val="66022B28"/>
    <w:rsid w:val="662F1AB4"/>
    <w:rsid w:val="66581E87"/>
    <w:rsid w:val="66FA11D5"/>
    <w:rsid w:val="674302C7"/>
    <w:rsid w:val="680A5986"/>
    <w:rsid w:val="680D5F4B"/>
    <w:rsid w:val="68113F51"/>
    <w:rsid w:val="68E94770"/>
    <w:rsid w:val="68F949C9"/>
    <w:rsid w:val="695A4290"/>
    <w:rsid w:val="6A334932"/>
    <w:rsid w:val="6A3353FF"/>
    <w:rsid w:val="6A5D63E6"/>
    <w:rsid w:val="6A5F24D1"/>
    <w:rsid w:val="6AE347EB"/>
    <w:rsid w:val="6B2A6550"/>
    <w:rsid w:val="6B434AF0"/>
    <w:rsid w:val="6B57675A"/>
    <w:rsid w:val="6BDD7B4D"/>
    <w:rsid w:val="6BFA291A"/>
    <w:rsid w:val="6E955406"/>
    <w:rsid w:val="6EBC0B3A"/>
    <w:rsid w:val="6EF51C7D"/>
    <w:rsid w:val="6F386916"/>
    <w:rsid w:val="6F752F80"/>
    <w:rsid w:val="6F8363E5"/>
    <w:rsid w:val="6FC746F5"/>
    <w:rsid w:val="70317AC6"/>
    <w:rsid w:val="70863262"/>
    <w:rsid w:val="70A76ED3"/>
    <w:rsid w:val="71860B17"/>
    <w:rsid w:val="720A7AF8"/>
    <w:rsid w:val="723B27CC"/>
    <w:rsid w:val="72687227"/>
    <w:rsid w:val="72A03FD9"/>
    <w:rsid w:val="72B96427"/>
    <w:rsid w:val="73406CFF"/>
    <w:rsid w:val="7383028C"/>
    <w:rsid w:val="73A25E44"/>
    <w:rsid w:val="741F68CF"/>
    <w:rsid w:val="747D01A7"/>
    <w:rsid w:val="75252DF3"/>
    <w:rsid w:val="75621536"/>
    <w:rsid w:val="75BF3154"/>
    <w:rsid w:val="76115521"/>
    <w:rsid w:val="764A07CF"/>
    <w:rsid w:val="764F6B3D"/>
    <w:rsid w:val="76CC6C50"/>
    <w:rsid w:val="76CD2B7B"/>
    <w:rsid w:val="76D80645"/>
    <w:rsid w:val="76E03371"/>
    <w:rsid w:val="780E5898"/>
    <w:rsid w:val="782642CC"/>
    <w:rsid w:val="788A56E7"/>
    <w:rsid w:val="7894095E"/>
    <w:rsid w:val="79000679"/>
    <w:rsid w:val="79376689"/>
    <w:rsid w:val="79A416F0"/>
    <w:rsid w:val="79B03EB6"/>
    <w:rsid w:val="7A7F4688"/>
    <w:rsid w:val="7ABC034E"/>
    <w:rsid w:val="7AF37579"/>
    <w:rsid w:val="7AF87F64"/>
    <w:rsid w:val="7B1C0C84"/>
    <w:rsid w:val="7B5A62DF"/>
    <w:rsid w:val="7B7A04A8"/>
    <w:rsid w:val="7C0C3F6D"/>
    <w:rsid w:val="7C22163C"/>
    <w:rsid w:val="7C595075"/>
    <w:rsid w:val="7C6B07B2"/>
    <w:rsid w:val="7D124E8E"/>
    <w:rsid w:val="7D133243"/>
    <w:rsid w:val="7E394207"/>
    <w:rsid w:val="7E4007A2"/>
    <w:rsid w:val="7E791CAD"/>
    <w:rsid w:val="7EA50DFB"/>
    <w:rsid w:val="7EC86878"/>
    <w:rsid w:val="7F067522"/>
    <w:rsid w:val="7F16390D"/>
    <w:rsid w:val="7F752917"/>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5"/>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6"/>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7"/>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7">
    <w:name w:val="Normal Indent"/>
    <w:basedOn w:val="1"/>
    <w:link w:val="57"/>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5"/>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link w:val="56"/>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40"/>
    <w:semiHidden/>
    <w:unhideWhenUsed/>
    <w:qFormat/>
    <w:uiPriority w:val="99"/>
    <w:rPr>
      <w:sz w:val="18"/>
      <w:szCs w:val="18"/>
    </w:rPr>
  </w:style>
  <w:style w:type="paragraph" w:styleId="18">
    <w:name w:val="footer"/>
    <w:basedOn w:val="1"/>
    <w:link w:val="34"/>
    <w:unhideWhenUsed/>
    <w:qFormat/>
    <w:uiPriority w:val="99"/>
    <w:pPr>
      <w:tabs>
        <w:tab w:val="center" w:pos="4153"/>
        <w:tab w:val="right" w:pos="8306"/>
      </w:tabs>
      <w:snapToGrid w:val="0"/>
      <w:jc w:val="left"/>
    </w:pPr>
    <w:rPr>
      <w:sz w:val="18"/>
      <w:szCs w:val="18"/>
    </w:rPr>
  </w:style>
  <w:style w:type="paragraph" w:styleId="19">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w:basedOn w:val="10"/>
    <w:unhideWhenUsed/>
    <w:qFormat/>
    <w:uiPriority w:val="99"/>
    <w:pPr>
      <w:ind w:firstLine="420"/>
    </w:pPr>
  </w:style>
  <w:style w:type="table" w:styleId="25">
    <w:name w:val="Table Grid"/>
    <w:basedOn w:val="24"/>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basedOn w:val="26"/>
    <w:semiHidden/>
    <w:unhideWhenUsed/>
    <w:qFormat/>
    <w:uiPriority w:val="99"/>
    <w:rPr>
      <w:sz w:val="21"/>
      <w:szCs w:val="21"/>
    </w:rPr>
  </w:style>
  <w:style w:type="paragraph" w:customStyle="1" w:styleId="31">
    <w:name w:val="BodyText"/>
    <w:basedOn w:val="1"/>
    <w:next w:val="32"/>
    <w:qFormat/>
    <w:uiPriority w:val="0"/>
    <w:pPr>
      <w:textAlignment w:val="baseline"/>
    </w:pPr>
    <w:rPr>
      <w:rFonts w:ascii="Times New Roman" w:hAnsi="Times New Roman" w:eastAsia="宋体"/>
      <w:sz w:val="28"/>
    </w:rPr>
  </w:style>
  <w:style w:type="paragraph" w:customStyle="1" w:styleId="32">
    <w:name w:val="BodyText2"/>
    <w:basedOn w:val="1"/>
    <w:qFormat/>
    <w:uiPriority w:val="0"/>
    <w:pPr>
      <w:spacing w:after="120" w:line="480" w:lineRule="auto"/>
      <w:textAlignment w:val="baseline"/>
    </w:pPr>
  </w:style>
  <w:style w:type="character" w:customStyle="1" w:styleId="33">
    <w:name w:val="页眉 Char"/>
    <w:basedOn w:val="26"/>
    <w:link w:val="19"/>
    <w:qFormat/>
    <w:uiPriority w:val="99"/>
    <w:rPr>
      <w:sz w:val="18"/>
      <w:szCs w:val="18"/>
    </w:rPr>
  </w:style>
  <w:style w:type="character" w:customStyle="1" w:styleId="34">
    <w:name w:val="页脚 Char"/>
    <w:basedOn w:val="26"/>
    <w:link w:val="18"/>
    <w:qFormat/>
    <w:uiPriority w:val="99"/>
    <w:rPr>
      <w:sz w:val="18"/>
      <w:szCs w:val="18"/>
    </w:rPr>
  </w:style>
  <w:style w:type="character" w:customStyle="1" w:styleId="35">
    <w:name w:val="标题 1 Char"/>
    <w:basedOn w:val="26"/>
    <w:link w:val="4"/>
    <w:qFormat/>
    <w:uiPriority w:val="9"/>
    <w:rPr>
      <w:rFonts w:eastAsia="方正小标宋简体"/>
      <w:bCs/>
      <w:kern w:val="44"/>
      <w:sz w:val="44"/>
      <w:szCs w:val="44"/>
    </w:rPr>
  </w:style>
  <w:style w:type="character" w:customStyle="1" w:styleId="36">
    <w:name w:val="标题 2 Char"/>
    <w:basedOn w:val="26"/>
    <w:link w:val="5"/>
    <w:qFormat/>
    <w:uiPriority w:val="9"/>
    <w:rPr>
      <w:rFonts w:eastAsia="方正小标宋简体" w:asciiTheme="majorHAnsi" w:hAnsiTheme="majorHAnsi" w:cstheme="majorBidi"/>
      <w:bCs/>
      <w:sz w:val="36"/>
      <w:szCs w:val="32"/>
    </w:rPr>
  </w:style>
  <w:style w:type="character" w:customStyle="1" w:styleId="37">
    <w:name w:val="标题 3 Char"/>
    <w:basedOn w:val="26"/>
    <w:link w:val="6"/>
    <w:qFormat/>
    <w:uiPriority w:val="9"/>
    <w:rPr>
      <w:rFonts w:ascii="Calibri" w:hAnsi="Calibri" w:eastAsia="宋体" w:cs="Times New Roman"/>
      <w:b/>
      <w:bCs/>
      <w:sz w:val="32"/>
      <w:szCs w:val="32"/>
    </w:rPr>
  </w:style>
  <w:style w:type="paragraph" w:styleId="38">
    <w:name w:val="List Paragraph"/>
    <w:basedOn w:val="1"/>
    <w:link w:val="46"/>
    <w:qFormat/>
    <w:uiPriority w:val="34"/>
    <w:pPr>
      <w:ind w:firstLine="420" w:firstLineChars="200"/>
    </w:pPr>
  </w:style>
  <w:style w:type="paragraph" w:customStyle="1" w:styleId="39">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0">
    <w:name w:val="批注框文本 Char"/>
    <w:basedOn w:val="26"/>
    <w:link w:val="17"/>
    <w:semiHidden/>
    <w:qFormat/>
    <w:uiPriority w:val="99"/>
    <w:rPr>
      <w:sz w:val="18"/>
      <w:szCs w:val="18"/>
    </w:rPr>
  </w:style>
  <w:style w:type="paragraph" w:styleId="4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CM97"/>
    <w:basedOn w:val="14"/>
    <w:next w:val="14"/>
    <w:qFormat/>
    <w:uiPriority w:val="0"/>
    <w:pPr>
      <w:spacing w:after="373"/>
    </w:pPr>
    <w:rPr>
      <w:color w:val="auto"/>
    </w:rPr>
  </w:style>
  <w:style w:type="paragraph" w:customStyle="1" w:styleId="43">
    <w:name w:val="CM91"/>
    <w:basedOn w:val="14"/>
    <w:next w:val="14"/>
    <w:qFormat/>
    <w:uiPriority w:val="0"/>
    <w:pPr>
      <w:spacing w:after="160"/>
    </w:pPr>
    <w:rPr>
      <w:color w:val="auto"/>
    </w:rPr>
  </w:style>
  <w:style w:type="character" w:customStyle="1" w:styleId="44">
    <w:name w:val="正文文本 3 Char"/>
    <w:qFormat/>
    <w:uiPriority w:val="99"/>
    <w:rPr>
      <w:sz w:val="16"/>
      <w:szCs w:val="16"/>
    </w:rPr>
  </w:style>
  <w:style w:type="character" w:customStyle="1" w:styleId="45">
    <w:name w:val="正文文本 3 Char1"/>
    <w:basedOn w:val="26"/>
    <w:link w:val="9"/>
    <w:semiHidden/>
    <w:qFormat/>
    <w:uiPriority w:val="99"/>
    <w:rPr>
      <w:sz w:val="16"/>
      <w:szCs w:val="16"/>
    </w:rPr>
  </w:style>
  <w:style w:type="character" w:customStyle="1" w:styleId="46">
    <w:name w:val="列出段落 Char"/>
    <w:link w:val="38"/>
    <w:qFormat/>
    <w:uiPriority w:val="34"/>
  </w:style>
  <w:style w:type="paragraph" w:customStyle="1" w:styleId="47">
    <w:name w:val="1"/>
    <w:basedOn w:val="1"/>
    <w:next w:val="13"/>
    <w:qFormat/>
    <w:uiPriority w:val="99"/>
    <w:rPr>
      <w:rFonts w:ascii="宋体" w:hAnsi="Courier New"/>
    </w:rPr>
  </w:style>
  <w:style w:type="paragraph" w:customStyle="1" w:styleId="48">
    <w:name w:val="WPSOffice手动目录 1"/>
    <w:qFormat/>
    <w:uiPriority w:val="0"/>
    <w:rPr>
      <w:rFonts w:asciiTheme="minorHAnsi" w:hAnsiTheme="minorHAnsi" w:eastAsiaTheme="minorEastAsia" w:cstheme="minorBidi"/>
      <w:lang w:val="en-US" w:eastAsia="zh-CN" w:bidi="ar-SA"/>
    </w:rPr>
  </w:style>
  <w:style w:type="paragraph" w:customStyle="1" w:styleId="49">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50">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2">
    <w:name w:val="font41"/>
    <w:basedOn w:val="26"/>
    <w:qFormat/>
    <w:uiPriority w:val="0"/>
    <w:rPr>
      <w:rFonts w:ascii="Arial" w:hAnsi="Arial" w:cs="Arial"/>
      <w:color w:val="000000"/>
      <w:sz w:val="28"/>
      <w:szCs w:val="28"/>
      <w:u w:val="none"/>
    </w:rPr>
  </w:style>
  <w:style w:type="character" w:customStyle="1" w:styleId="53">
    <w:name w:val="font61"/>
    <w:basedOn w:val="26"/>
    <w:qFormat/>
    <w:uiPriority w:val="0"/>
    <w:rPr>
      <w:rFonts w:hint="eastAsia" w:ascii="宋体" w:hAnsi="宋体" w:eastAsia="宋体" w:cs="宋体"/>
      <w:color w:val="000000"/>
      <w:sz w:val="28"/>
      <w:szCs w:val="28"/>
      <w:u w:val="none"/>
    </w:rPr>
  </w:style>
  <w:style w:type="paragraph" w:customStyle="1" w:styleId="54">
    <w:name w:val="样式 正文文字 + 首行缩进:  2 字符2"/>
    <w:basedOn w:val="1"/>
    <w:qFormat/>
    <w:uiPriority w:val="0"/>
    <w:pPr>
      <w:spacing w:line="480" w:lineRule="atLeast"/>
      <w:ind w:firstLine="560" w:firstLineChars="200"/>
    </w:pPr>
    <w:rPr>
      <w:rFonts w:cs="宋体"/>
      <w:szCs w:val="20"/>
    </w:rPr>
  </w:style>
  <w:style w:type="paragraph" w:customStyle="1" w:styleId="55">
    <w:name w:val="文一"/>
    <w:basedOn w:val="1"/>
    <w:qFormat/>
    <w:uiPriority w:val="0"/>
    <w:pPr>
      <w:topLinePunct/>
      <w:adjustRightInd w:val="0"/>
      <w:snapToGrid w:val="0"/>
      <w:spacing w:line="360" w:lineRule="auto"/>
      <w:ind w:firstLine="200" w:firstLineChars="200"/>
    </w:pPr>
    <w:rPr>
      <w:snapToGrid w:val="0"/>
      <w:spacing w:val="4"/>
      <w:kern w:val="0"/>
      <w:sz w:val="24"/>
    </w:rPr>
  </w:style>
  <w:style w:type="character" w:customStyle="1" w:styleId="56">
    <w:name w:val="纯文本 Char"/>
    <w:basedOn w:val="26"/>
    <w:link w:val="13"/>
    <w:qFormat/>
    <w:uiPriority w:val="0"/>
    <w:rPr>
      <w:rFonts w:ascii="宋体" w:hAnsi="Courier New" w:eastAsiaTheme="minorEastAsia" w:cstheme="minorBidi"/>
      <w:kern w:val="2"/>
      <w:sz w:val="21"/>
      <w:szCs w:val="21"/>
    </w:rPr>
  </w:style>
  <w:style w:type="character" w:customStyle="1" w:styleId="57">
    <w:name w:val="正文缩进 Char"/>
    <w:basedOn w:val="26"/>
    <w:link w:val="7"/>
    <w:qFormat/>
    <w:uiPriority w:val="0"/>
    <w:rPr>
      <w:rFonts w:eastAsia="微软雅黑" w:cs="Tahoma"/>
      <w:sz w:val="22"/>
    </w:rPr>
  </w:style>
  <w:style w:type="character" w:customStyle="1" w:styleId="58">
    <w:name w:val="font31"/>
    <w:basedOn w:val="26"/>
    <w:qFormat/>
    <w:uiPriority w:val="0"/>
    <w:rPr>
      <w:rFonts w:hint="eastAsia" w:ascii="仿宋" w:hAnsi="仿宋" w:eastAsia="仿宋" w:cs="仿宋"/>
      <w:color w:val="000000"/>
      <w:sz w:val="24"/>
      <w:szCs w:val="24"/>
      <w:u w:val="none"/>
    </w:rPr>
  </w:style>
  <w:style w:type="character" w:customStyle="1" w:styleId="59">
    <w:name w:val="font11"/>
    <w:basedOn w:val="26"/>
    <w:qFormat/>
    <w:uiPriority w:val="0"/>
    <w:rPr>
      <w:rFonts w:hint="eastAsia" w:ascii="仿宋" w:hAnsi="仿宋" w:eastAsia="仿宋" w:cs="仿宋"/>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24005</Words>
  <Characters>25273</Characters>
  <Lines>169</Lines>
  <Paragraphs>47</Paragraphs>
  <TotalTime>12</TotalTime>
  <ScaleCrop>false</ScaleCrop>
  <LinksUpToDate>false</LinksUpToDate>
  <CharactersWithSpaces>27401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2022-08-23T03:12:00Z</dcterms:created>
  <dc:creator>陈义春</dc:creator>
  <cp:lastModifiedBy>刘琳</cp:lastModifiedBy>
  <cp:lastPrinted>2022-09-22T02:05:00Z</cp:lastPrinted>
  <dcterms:modified xsi:type="dcterms:W3CDTF">2022-11-04T03:09:31Z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4AEE6A2809DC4D59BB16AF65A418CC3A</vt:lpwstr>
  </property>
</Properties>
</file>