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jc w:val="center"/>
        <w:rPr>
          <w:rFonts w:hint="eastAsia" w:ascii="方正小标宋简体" w:eastAsia="方正小标宋简体"/>
          <w:color w:val="auto"/>
          <w:sz w:val="52"/>
          <w:szCs w:val="52"/>
          <w:highlight w:val="none"/>
          <w:lang w:val="en-US" w:eastAsia="zh-CN"/>
        </w:rPr>
      </w:pPr>
      <w:bookmarkStart w:id="142" w:name="_GoBack"/>
      <w:bookmarkEnd w:id="142"/>
      <w:r>
        <w:rPr>
          <w:rFonts w:hint="eastAsia" w:ascii="方正小标宋简体" w:eastAsia="方正小标宋简体"/>
          <w:color w:val="auto"/>
          <w:sz w:val="52"/>
          <w:szCs w:val="52"/>
          <w:highlight w:val="none"/>
          <w:lang w:val="en-US" w:eastAsia="zh-CN"/>
        </w:rPr>
        <w:t>广州市净水有限公司2022年猎德、西朗二期分公司地磅改造项目</w:t>
      </w:r>
    </w:p>
    <w:p>
      <w:pPr>
        <w:pStyle w:val="2"/>
        <w:rPr>
          <w:rFonts w:hint="default"/>
          <w:color w:val="auto"/>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十一</w:t>
      </w:r>
      <w:r>
        <w:rPr>
          <w:rFonts w:hint="eastAsia" w:ascii="黑体" w:hAnsi="黑体" w:eastAsia="黑体" w:cs="仿宋_GB2312"/>
          <w:color w:val="auto"/>
          <w:sz w:val="32"/>
          <w:szCs w:val="32"/>
          <w:highlight w:val="none"/>
        </w:rPr>
        <w:t>月</w:t>
      </w:r>
    </w:p>
    <w:p>
      <w:pPr>
        <w:rPr>
          <w:color w:val="auto"/>
          <w:highlight w:val="none"/>
        </w:rPr>
        <w:sectPr>
          <w:footerReference r:id="rId5" w:type="first"/>
          <w:footerReference r:id="rId3" w:type="default"/>
          <w:footerReference r:id="rId4"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4"/>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18145"/>
      <w:bookmarkStart w:id="1" w:name="_Toc26148"/>
    </w:p>
    <w:p>
      <w:pPr>
        <w:rPr>
          <w:rFonts w:hint="eastAsia"/>
          <w:color w:val="auto"/>
          <w:highlight w:val="none"/>
        </w:rPr>
      </w:pPr>
    </w:p>
    <w:p>
      <w:pPr>
        <w:pStyle w:val="4"/>
        <w:rPr>
          <w:rFonts w:hint="eastAsia"/>
          <w:color w:val="auto"/>
          <w:highlight w:val="none"/>
        </w:rPr>
      </w:pPr>
      <w:bookmarkStart w:id="2" w:name="_Toc17696"/>
      <w:bookmarkStart w:id="3" w:name="_Toc1711"/>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rPr>
          <w:rFonts w:hint="eastAsia"/>
          <w:color w:val="auto"/>
          <w:highlight w:val="none"/>
        </w:rPr>
      </w:pPr>
      <w:bookmarkStart w:id="4" w:name="_Toc17801"/>
      <w:bookmarkStart w:id="5" w:name="_Toc31938"/>
      <w:bookmarkStart w:id="6" w:name="_Toc4275"/>
      <w:bookmarkStart w:id="7" w:name="_Toc1669"/>
      <w:bookmarkStart w:id="8" w:name="_Toc19609"/>
      <w:bookmarkStart w:id="9" w:name="_Toc11322"/>
      <w:bookmarkStart w:id="10" w:name="_Toc7519"/>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2365375</wp:posOffset>
                </wp:positionH>
                <wp:positionV relativeFrom="paragraph">
                  <wp:posOffset>504825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6.25pt;margin-top:39.75pt;height:0pt;width:75.5pt;z-index:251673600;mso-width-relative:page;mso-height-relative:page;" filled="f" stroked="t" coordsize="21600,21600" o:gfxdata="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idbt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6"/>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lang w:eastAsia="zh-CN"/>
        </w:rPr>
        <w:t>广州市净水有限公司2022年猎德、西朗二期分公司地磅改造项目</w:t>
      </w:r>
      <w:r>
        <w:rPr>
          <w:rFonts w:hint="eastAsia" w:ascii="仿宋_GB2312" w:eastAsia="仿宋_GB2312"/>
          <w:color w:val="auto"/>
          <w:sz w:val="28"/>
          <w:szCs w:val="28"/>
          <w:highlight w:val="none"/>
        </w:rPr>
        <w:t>已具备采购条件，</w:t>
      </w:r>
      <w:r>
        <w:rPr>
          <w:rFonts w:hint="eastAsia" w:ascii="仿宋_GB2312" w:eastAsia="仿宋_GB2312"/>
          <w:color w:val="auto"/>
          <w:sz w:val="28"/>
          <w:szCs w:val="28"/>
          <w:highlight w:val="none"/>
        </w:rPr>
        <w:t>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  □货物 □服务项目采购活动，采用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eastAsia="zh-CN"/>
        </w:rPr>
        <w:t>广州市净水有限公司2022年猎德、西朗二期分公司地磅改造项目</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项目一：猎德分公司2022年厂区地磅改造项目</w:t>
      </w:r>
    </w:p>
    <w:p>
      <w:pPr>
        <w:spacing w:line="600" w:lineRule="exact"/>
        <w:jc w:val="left"/>
        <w:rPr>
          <w:rFonts w:hint="eastAsia" w:ascii="仿宋_GB2312" w:eastAsia="仿宋_GB2312" w:hAnsiTheme="minorHAnsi" w:cstheme="minorBidi"/>
          <w:color w:val="auto"/>
          <w:sz w:val="28"/>
          <w:szCs w:val="28"/>
          <w:highlight w:val="none"/>
        </w:rPr>
      </w:pPr>
      <w:r>
        <w:rPr>
          <w:rFonts w:hint="eastAsia" w:ascii="仿宋_GB2312" w:eastAsia="仿宋_GB2312"/>
          <w:color w:val="auto"/>
          <w:sz w:val="28"/>
          <w:szCs w:val="28"/>
          <w:highlight w:val="none"/>
          <w:lang w:val="en-US" w:eastAsia="zh-CN"/>
        </w:rPr>
        <w:t>项目二：</w:t>
      </w:r>
      <w:r>
        <w:rPr>
          <w:rFonts w:hint="eastAsia" w:ascii="仿宋_GB2312" w:eastAsia="仿宋_GB2312" w:hAnsiTheme="minorHAnsi" w:cstheme="minorBidi"/>
          <w:color w:val="auto"/>
          <w:sz w:val="28"/>
          <w:szCs w:val="28"/>
          <w:highlight w:val="none"/>
        </w:rPr>
        <w:t>西朗二期分公司二期地磅升级改造项目</w:t>
      </w:r>
    </w:p>
    <w:p>
      <w:pPr>
        <w:spacing w:line="600" w:lineRule="exact"/>
        <w:jc w:val="left"/>
        <w:rPr>
          <w:rFonts w:hint="eastAsia"/>
          <w:color w:val="auto"/>
          <w:highlight w:val="none"/>
          <w:lang w:val="en-US" w:eastAsia="zh-CN"/>
        </w:rPr>
      </w:pPr>
      <w:r>
        <w:rPr>
          <w:rFonts w:hint="eastAsia" w:ascii="仿宋_GB2312" w:eastAsia="仿宋_GB2312"/>
          <w:color w:val="auto"/>
          <w:sz w:val="28"/>
          <w:szCs w:val="28"/>
          <w:highlight w:val="none"/>
        </w:rPr>
        <w:t xml:space="preserve">（以下分别简称“项目一、项目二”）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XJ-20221102-4</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508379.49</w:t>
      </w:r>
    </w:p>
    <w:tbl>
      <w:tblPr>
        <w:tblStyle w:val="23"/>
        <w:tblW w:w="106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98"/>
        <w:gridCol w:w="1301"/>
        <w:gridCol w:w="2383"/>
        <w:gridCol w:w="1809"/>
        <w:gridCol w:w="1511"/>
        <w:gridCol w:w="867"/>
        <w:gridCol w:w="1145"/>
        <w:gridCol w:w="10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9" w:hRule="atLeast"/>
          <w:jc w:val="center"/>
        </w:trPr>
        <w:tc>
          <w:tcPr>
            <w:tcW w:w="59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3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3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809"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511"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8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安措费（元）</w:t>
            </w:r>
          </w:p>
        </w:tc>
        <w:tc>
          <w:tcPr>
            <w:tcW w:w="1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暂列金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2" w:hRule="atLeast"/>
          <w:jc w:val="center"/>
        </w:trPr>
        <w:tc>
          <w:tcPr>
            <w:tcW w:w="5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3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猎德分公司</w:t>
            </w:r>
          </w:p>
        </w:tc>
        <w:tc>
          <w:tcPr>
            <w:tcW w:w="23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val="en-US" w:eastAsia="zh-CN" w:bidi="ar"/>
              </w:rPr>
              <w:t>猎德分公司2022年厂区地磅改造项目</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val="en-US" w:eastAsia="zh-CN" w:bidi="ar"/>
              </w:rPr>
              <w:t>411108.74</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val="en-US" w:eastAsia="zh-CN" w:bidi="ar"/>
              </w:rPr>
              <w:t>377163.98</w:t>
            </w:r>
          </w:p>
        </w:tc>
        <w:tc>
          <w:tcPr>
            <w:tcW w:w="8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w:t>
            </w: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val="en-US" w:eastAsia="zh-CN" w:bidi="ar"/>
              </w:rPr>
              <w:t>6805.03（土建：3222.41元；设备安装：3582.62元）</w:t>
            </w:r>
          </w:p>
        </w:tc>
        <w:tc>
          <w:tcPr>
            <w:tcW w:w="1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Cs w:val="0"/>
                <w:i w:val="0"/>
                <w:iCs w:val="0"/>
                <w:caps w:val="0"/>
                <w:color w:val="auto"/>
                <w:spacing w:val="0"/>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val="en-US" w:eastAsia="zh-CN" w:bidi="ar"/>
              </w:rPr>
              <w:t>30725.62（土建：5572.32，设备安装：25153.3元）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0" w:hRule="atLeast"/>
          <w:jc w:val="center"/>
        </w:trPr>
        <w:tc>
          <w:tcPr>
            <w:tcW w:w="5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3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西朗二期分公司</w:t>
            </w:r>
          </w:p>
        </w:tc>
        <w:tc>
          <w:tcPr>
            <w:tcW w:w="23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sz w:val="22"/>
                <w:highlight w:val="none"/>
              </w:rPr>
              <w:t>西朗二期分公司二期地磅升级改造项目</w:t>
            </w:r>
          </w:p>
        </w:tc>
        <w:tc>
          <w:tcPr>
            <w:tcW w:w="18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color w:val="auto"/>
                <w:kern w:val="0"/>
                <w:sz w:val="22"/>
                <w:highlight w:val="none"/>
                <w:lang w:bidi="ar"/>
              </w:rPr>
              <w:t>97270.75</w:t>
            </w:r>
          </w:p>
        </w:tc>
        <w:tc>
          <w:tcPr>
            <w:tcW w:w="15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color w:val="auto"/>
                <w:kern w:val="0"/>
                <w:szCs w:val="21"/>
                <w:highlight w:val="none"/>
                <w:lang w:bidi="ar"/>
              </w:rPr>
              <w:t>89239.22</w:t>
            </w:r>
          </w:p>
        </w:tc>
        <w:tc>
          <w:tcPr>
            <w:tcW w:w="8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9</w:t>
            </w:r>
          </w:p>
        </w:tc>
        <w:tc>
          <w:tcPr>
            <w:tcW w:w="11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color w:val="auto"/>
                <w:kern w:val="0"/>
                <w:sz w:val="22"/>
                <w:highlight w:val="none"/>
                <w:lang w:bidi="ar"/>
              </w:rPr>
              <w:t>5662.67</w:t>
            </w:r>
            <w:r>
              <w:rPr>
                <w:rFonts w:hint="eastAsia" w:ascii="宋体" w:hAnsi="宋体" w:eastAsia="宋体" w:cs="宋体"/>
                <w:color w:val="auto"/>
                <w:kern w:val="0"/>
                <w:sz w:val="22"/>
                <w:highlight w:val="none"/>
                <w:lang w:eastAsia="zh-CN" w:bidi="ar"/>
              </w:rPr>
              <w:t>（</w:t>
            </w:r>
            <w:r>
              <w:rPr>
                <w:rFonts w:hint="eastAsia" w:ascii="宋体" w:hAnsi="宋体" w:eastAsia="宋体" w:cs="宋体"/>
                <w:color w:val="auto"/>
                <w:kern w:val="0"/>
                <w:sz w:val="22"/>
                <w:highlight w:val="none"/>
                <w:lang w:val="en-US" w:eastAsia="zh-CN" w:bidi="ar"/>
              </w:rPr>
              <w:t>建筑工程：177.47元；安装工程：5628.69元</w:t>
            </w:r>
            <w:r>
              <w:rPr>
                <w:rFonts w:hint="eastAsia" w:ascii="宋体" w:hAnsi="宋体" w:eastAsia="宋体" w:cs="宋体"/>
                <w:color w:val="auto"/>
                <w:kern w:val="0"/>
                <w:sz w:val="22"/>
                <w:highlight w:val="none"/>
                <w:lang w:eastAsia="zh-CN" w:bidi="ar"/>
              </w:rPr>
              <w:t>）</w:t>
            </w:r>
          </w:p>
        </w:tc>
        <w:tc>
          <w:tcPr>
            <w:tcW w:w="1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_GB2312"/>
                <w:bCs/>
                <w:i w:val="0"/>
                <w:iCs w:val="0"/>
                <w:caps w:val="0"/>
                <w:color w:val="auto"/>
                <w:spacing w:val="0"/>
                <w:sz w:val="24"/>
                <w:szCs w:val="24"/>
                <w:highlight w:val="none"/>
                <w:u w:val="none"/>
                <w:lang w:val="en-US" w:eastAsia="zh-CN"/>
              </w:rPr>
            </w:pPr>
            <w:r>
              <w:rPr>
                <w:rFonts w:hint="eastAsia" w:ascii="宋体" w:hAnsi="宋体" w:eastAsia="宋体" w:cs="宋体"/>
                <w:bCs w:val="0"/>
                <w:i w:val="0"/>
                <w:iCs w:val="0"/>
                <w:caps w:val="0"/>
                <w:color w:val="auto"/>
                <w:spacing w:val="0"/>
                <w:kern w:val="0"/>
                <w:sz w:val="22"/>
                <w:szCs w:val="22"/>
                <w:highlight w:val="none"/>
                <w:u w:val="none"/>
                <w:lang w:val="en-US" w:eastAsia="zh-CN" w:bidi="ar"/>
              </w:rPr>
              <w:t>7425.68</w:t>
            </w:r>
          </w:p>
        </w:tc>
      </w:tr>
    </w:tbl>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及暂列金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2.1采购内容和范围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u w:val="single"/>
          <w:lang w:val="en-US" w:eastAsia="zh-CN"/>
        </w:rPr>
        <w:t>项目一：</w:t>
      </w:r>
      <w:r>
        <w:rPr>
          <w:rFonts w:hint="eastAsia" w:ascii="仿宋_GB2312" w:hAnsi="仿宋_GB2312" w:eastAsia="仿宋_GB2312" w:cs="仿宋_GB2312"/>
          <w:color w:val="auto"/>
          <w:kern w:val="2"/>
          <w:sz w:val="28"/>
          <w:szCs w:val="28"/>
          <w:highlight w:val="none"/>
          <w:u w:val="single"/>
          <w:lang w:val="en-US" w:eastAsia="zh-CN"/>
        </w:rPr>
        <w:t>新建地磅于猎德分公司东门附近空地，并将地磅系统数据传输至中控室及泥车值班室的地磅系统，实现数据远程传输</w:t>
      </w:r>
      <w:r>
        <w:rPr>
          <w:rFonts w:hint="eastAsia" w:ascii="仿宋_GB2312" w:hAnsi="仿宋_GB2312" w:eastAsia="仿宋_GB2312" w:cs="仿宋_GB2312"/>
          <w:color w:val="auto"/>
          <w:sz w:val="28"/>
          <w:szCs w:val="28"/>
          <w:highlight w:val="none"/>
          <w:u w:val="single"/>
        </w:rPr>
        <w:t>等。</w:t>
      </w:r>
    </w:p>
    <w:p>
      <w:pPr>
        <w:keepNext w:val="0"/>
        <w:keepLines w:val="0"/>
        <w:pageBreakBefore w:val="0"/>
        <w:widowControl/>
        <w:kinsoku/>
        <w:wordWrap/>
        <w:overflowPunct/>
        <w:topLinePunct w:val="0"/>
        <w:autoSpaceDE/>
        <w:autoSpaceDN/>
        <w:bidi w:val="0"/>
        <w:adjustRightInd w:val="0"/>
        <w:snapToGrid w:val="0"/>
        <w:spacing w:line="600" w:lineRule="exact"/>
        <w:ind w:firstLine="0" w:firstLineChars="0"/>
        <w:jc w:val="left"/>
        <w:textAlignment w:val="auto"/>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single"/>
          <w:lang w:val="en-US" w:eastAsia="zh-CN"/>
        </w:rPr>
        <w:t>项目二：1.</w:t>
      </w:r>
      <w:r>
        <w:rPr>
          <w:rFonts w:hint="eastAsia" w:ascii="仿宋_GB2312" w:hAnsi="仿宋_GB2312" w:eastAsia="仿宋_GB2312" w:cs="仿宋_GB2312"/>
          <w:color w:val="auto"/>
          <w:sz w:val="28"/>
          <w:szCs w:val="28"/>
          <w:highlight w:val="none"/>
          <w:u w:val="single"/>
        </w:rPr>
        <w:t>新增加两个水泥台，安装道闸、红绿灯、车牌识别摄像机和监控摄像机，以及铺设电源、信号线。在地磅附近立杆安装led显示或者靠墙挂led显示。</w:t>
      </w:r>
    </w:p>
    <w:p>
      <w:pPr>
        <w:keepNext w:val="0"/>
        <w:keepLines w:val="0"/>
        <w:pageBreakBefore w:val="0"/>
        <w:widowControl/>
        <w:kinsoku/>
        <w:wordWrap/>
        <w:overflowPunct/>
        <w:topLinePunct w:val="0"/>
        <w:autoSpaceDE/>
        <w:autoSpaceDN/>
        <w:bidi w:val="0"/>
        <w:adjustRightInd w:val="0"/>
        <w:snapToGrid w:val="0"/>
        <w:spacing w:line="600" w:lineRule="exact"/>
        <w:ind w:firstLine="0" w:firstLineChars="0"/>
        <w:jc w:val="left"/>
        <w:textAlignment w:val="auto"/>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2.在</w:t>
      </w:r>
      <w:r>
        <w:rPr>
          <w:rFonts w:hint="eastAsia" w:ascii="仿宋_GB2312" w:hAnsi="仿宋_GB2312" w:eastAsia="仿宋_GB2312" w:cs="仿宋_GB2312"/>
          <w:color w:val="auto"/>
          <w:sz w:val="28"/>
          <w:szCs w:val="28"/>
          <w:highlight w:val="none"/>
          <w:u w:val="single"/>
        </w:rPr>
        <w:t>地磅附近敷设直达光纤，并增加一套网传设备将地磅、道闸等数据通过网络传输到地磅值班室中心平台。</w:t>
      </w:r>
    </w:p>
    <w:p>
      <w:pPr>
        <w:keepNext w:val="0"/>
        <w:keepLines w:val="0"/>
        <w:pageBreakBefore w:val="0"/>
        <w:widowControl/>
        <w:kinsoku/>
        <w:wordWrap/>
        <w:overflowPunct/>
        <w:topLinePunct w:val="0"/>
        <w:autoSpaceDE/>
        <w:autoSpaceDN/>
        <w:bidi w:val="0"/>
        <w:adjustRightInd w:val="0"/>
        <w:snapToGrid w:val="0"/>
        <w:spacing w:line="600" w:lineRule="exact"/>
        <w:ind w:firstLine="0" w:firstLineChars="0"/>
        <w:jc w:val="left"/>
        <w:textAlignment w:val="auto"/>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lang w:val="en-US" w:eastAsia="zh-CN"/>
        </w:rPr>
        <w:t>3.将</w:t>
      </w:r>
      <w:r>
        <w:rPr>
          <w:rFonts w:hint="eastAsia" w:ascii="仿宋_GB2312" w:hAnsi="仿宋_GB2312" w:eastAsia="仿宋_GB2312" w:cs="仿宋_GB2312"/>
          <w:color w:val="auto"/>
          <w:sz w:val="28"/>
          <w:szCs w:val="28"/>
          <w:highlight w:val="none"/>
          <w:u w:val="single"/>
        </w:rPr>
        <w:t>地磅值班中心平台接入净水公司的VPN专网。</w:t>
      </w:r>
    </w:p>
    <w:p>
      <w:pPr>
        <w:keepNext w:val="0"/>
        <w:keepLines w:val="0"/>
        <w:pageBreakBefore w:val="0"/>
        <w:widowControl/>
        <w:kinsoku/>
        <w:wordWrap/>
        <w:overflowPunct/>
        <w:topLinePunct w:val="0"/>
        <w:autoSpaceDE/>
        <w:autoSpaceDN/>
        <w:bidi w:val="0"/>
        <w:adjustRightInd w:val="0"/>
        <w:snapToGrid w:val="0"/>
        <w:spacing w:line="600" w:lineRule="exact"/>
        <w:ind w:firstLine="0" w:firstLineChars="0"/>
        <w:jc w:val="left"/>
        <w:textAlignment w:val="auto"/>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single"/>
          <w:lang w:val="en-US" w:eastAsia="zh-CN"/>
        </w:rPr>
        <w:t>4.将西朗二期分公司地磅数据接入净水公司智能地磅称重系统。</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120天</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u w:val="single"/>
          <w:lang w:val="en-US" w:eastAsia="zh-CN"/>
        </w:rPr>
        <w:t>其中项目一：90天；项目二：30天。</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建设地点  □交货地点  □服务地点位于</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lang w:val="en-US" w:eastAsia="zh-CN"/>
        </w:rPr>
        <w:t>项目一：</w:t>
      </w:r>
      <w:r>
        <w:rPr>
          <w:rFonts w:hint="eastAsia" w:ascii="仿宋_GB2312" w:eastAsia="仿宋_GB2312"/>
          <w:color w:val="auto"/>
          <w:sz w:val="28"/>
          <w:szCs w:val="28"/>
          <w:highlight w:val="none"/>
          <w:u w:val="single"/>
        </w:rPr>
        <w:t>广州市净水有限公司</w:t>
      </w:r>
      <w:r>
        <w:rPr>
          <w:rFonts w:hint="eastAsia" w:ascii="仿宋_GB2312" w:eastAsia="仿宋_GB2312"/>
          <w:color w:val="auto"/>
          <w:sz w:val="28"/>
          <w:szCs w:val="28"/>
          <w:highlight w:val="none"/>
          <w:u w:val="single"/>
          <w:lang w:val="en-US" w:eastAsia="zh-CN"/>
        </w:rPr>
        <w:t>猎德分公司</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项目二：</w:t>
      </w:r>
      <w:r>
        <w:rPr>
          <w:rFonts w:hint="eastAsia" w:ascii="仿宋_GB2312" w:eastAsia="仿宋_GB2312"/>
          <w:color w:val="auto"/>
          <w:sz w:val="28"/>
          <w:szCs w:val="28"/>
          <w:highlight w:val="none"/>
          <w:u w:val="single"/>
        </w:rPr>
        <w:t>广州市净水有限公司</w:t>
      </w:r>
      <w:r>
        <w:rPr>
          <w:rFonts w:hint="eastAsia" w:ascii="仿宋_GB2312" w:eastAsia="仿宋_GB2312"/>
          <w:color w:val="auto"/>
          <w:sz w:val="28"/>
          <w:szCs w:val="28"/>
          <w:highlight w:val="none"/>
          <w:u w:val="single"/>
          <w:lang w:val="en-US" w:eastAsia="zh-CN"/>
        </w:rPr>
        <w:t>西朗二期分公司</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 xml:space="preserve">规范要求。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 w:hAnsi="仿宋" w:eastAsia="仿宋" w:cs="仿宋_GB2312"/>
          <w:color w:val="auto"/>
          <w:sz w:val="28"/>
          <w:szCs w:val="28"/>
          <w:highlight w:val="none"/>
          <w:u w:val="none"/>
        </w:rPr>
        <w:t>电子与智能化工程专业承包二级（或以上</w:t>
      </w:r>
      <w:r>
        <w:rPr>
          <w:rFonts w:hint="eastAsia" w:ascii="仿宋" w:hAnsi="仿宋" w:eastAsia="仿宋" w:cs="仿宋_GB2312"/>
          <w:color w:val="auto"/>
          <w:sz w:val="28"/>
          <w:szCs w:val="28"/>
          <w:highlight w:val="none"/>
          <w:u w:val="none"/>
          <w:lang w:val="en-US" w:eastAsia="zh-CN"/>
        </w:rPr>
        <w:t>)</w:t>
      </w:r>
      <w:r>
        <w:rPr>
          <w:rFonts w:hint="eastAsia" w:ascii="仿宋_GB2312" w:eastAsia="仿宋_GB2312"/>
          <w:color w:val="auto"/>
          <w:sz w:val="28"/>
          <w:szCs w:val="28"/>
          <w:highlight w:val="none"/>
        </w:rPr>
        <w:t>资质</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none"/>
        </w:rPr>
        <w:t>同时具有建设主管部门颁发且在有效期内的《安全生产许可证》</w:t>
      </w:r>
      <w:r>
        <w:rPr>
          <w:rFonts w:hint="eastAsia" w:ascii="仿宋_GB2312" w:eastAsia="仿宋_GB2312"/>
          <w:color w:val="auto"/>
          <w:sz w:val="28"/>
          <w:szCs w:val="28"/>
          <w:highlight w:val="none"/>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2019</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none"/>
          <w:lang w:val="en-US" w:eastAsia="zh-CN"/>
        </w:rPr>
        <w:t>类似地磅</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 w:hAnsi="仿宋" w:eastAsia="仿宋" w:cs="仿宋_GB2312"/>
          <w:color w:val="auto"/>
          <w:sz w:val="28"/>
          <w:szCs w:val="28"/>
          <w:highlight w:val="none"/>
          <w:u w:val="none"/>
        </w:rPr>
        <w:t>机电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w:t>
      </w:r>
      <w:r>
        <w:rPr>
          <w:rFonts w:hint="eastAsia" w:ascii="仿宋_GB2312" w:eastAsia="仿宋_GB2312"/>
          <w:color w:val="auto"/>
          <w:sz w:val="28"/>
          <w:szCs w:val="28"/>
          <w:highlight w:val="none"/>
          <w:u w:val="none"/>
        </w:rPr>
        <w:t xml:space="preserve"> （注：根据广东省建设信息中心关于启用新版“广东省建设执业资格注册管理信息系统”的通知，注册建造师电子证书须由本人在个人签名处手写签名，未手写签名或与签名图像笔迹不一致的，电子证书无效。广东省外注册的二级建造师人员暂不能在我省执业）</w:t>
      </w:r>
      <w:r>
        <w:rPr>
          <w:rFonts w:hint="eastAsia" w:ascii="仿宋_GB2312" w:eastAsia="仿宋_GB2312"/>
          <w:color w:val="auto"/>
          <w:sz w:val="28"/>
          <w:szCs w:val="28"/>
          <w:highlight w:val="none"/>
        </w:rPr>
        <w:t>。</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rPr>
        <w:t>专职安全人员要求：</w:t>
      </w:r>
      <w:r>
        <w:rPr>
          <w:rFonts w:hint="eastAsia" w:ascii="仿宋_GB2312" w:eastAsia="仿宋_GB2312" w:hAnsiTheme="minorHAnsi" w:cstheme="minorBidi"/>
          <w:color w:val="auto"/>
          <w:sz w:val="28"/>
          <w:szCs w:val="28"/>
          <w:highlight w:val="none"/>
          <w:u w:val="none"/>
        </w:rPr>
        <w:t>须具有安全生产考核合格证（C类）（或能够提供广东省建筑施工企业管理人员安全生产考核信息系统安全生产管理人员证书信息的网页截图）</w:t>
      </w:r>
      <w:r>
        <w:rPr>
          <w:rFonts w:hint="eastAsia" w:ascii="仿宋_GB2312" w:eastAsia="仿宋_GB2312" w:hAnsiTheme="minorHAnsi" w:cstheme="minorBidi"/>
          <w:color w:val="auto"/>
          <w:sz w:val="28"/>
          <w:szCs w:val="28"/>
          <w:highlight w:val="none"/>
          <w:u w:val="none"/>
          <w:lang w:eastAsia="zh-CN"/>
        </w:rPr>
        <w:t>。</w:t>
      </w:r>
      <w:r>
        <w:rPr>
          <w:rFonts w:hint="eastAsia" w:ascii="仿宋_GB2312" w:eastAsia="仿宋_GB2312"/>
          <w:color w:val="auto"/>
          <w:sz w:val="28"/>
          <w:szCs w:val="28"/>
          <w:highlight w:val="none"/>
          <w:u w:val="none"/>
        </w:rPr>
        <w:t>专职安全人员</w:t>
      </w:r>
      <w:r>
        <w:rPr>
          <w:rFonts w:hint="eastAsia" w:ascii="仿宋_GB2312" w:eastAsia="仿宋_GB2312"/>
          <w:color w:val="auto"/>
          <w:sz w:val="28"/>
          <w:szCs w:val="28"/>
          <w:highlight w:val="none"/>
          <w:u w:val="none"/>
          <w:lang w:val="en-US" w:eastAsia="zh-CN"/>
        </w:rPr>
        <w:t>与</w:t>
      </w:r>
      <w:r>
        <w:rPr>
          <w:rFonts w:hint="eastAsia" w:ascii="仿宋_GB2312" w:eastAsia="仿宋_GB2312"/>
          <w:color w:val="auto"/>
          <w:sz w:val="28"/>
          <w:szCs w:val="28"/>
          <w:highlight w:val="none"/>
          <w:u w:val="none"/>
        </w:rPr>
        <w:t>项目负责人</w:t>
      </w:r>
      <w:r>
        <w:rPr>
          <w:rFonts w:hint="eastAsia" w:ascii="仿宋_GB2312" w:eastAsia="仿宋_GB2312"/>
          <w:color w:val="auto"/>
          <w:sz w:val="28"/>
          <w:szCs w:val="28"/>
          <w:highlight w:val="none"/>
          <w:u w:val="none"/>
          <w:lang w:val="en-US" w:eastAsia="zh-CN"/>
        </w:rPr>
        <w:t>不得为同一人。</w:t>
      </w:r>
    </w:p>
    <w:p>
      <w:pPr>
        <w:pStyle w:val="10"/>
        <w:rPr>
          <w:rFonts w:hint="default" w:ascii="仿宋" w:hAnsi="仿宋" w:eastAsia="仿宋" w:cs="仿宋"/>
          <w:color w:val="auto"/>
          <w:sz w:val="28"/>
          <w:szCs w:val="28"/>
          <w:highlight w:val="none"/>
          <w:u w:val="single"/>
          <w:lang w:val="en-US" w:eastAsia="zh-CN"/>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lang w:val="en-US" w:eastAsia="zh-CN"/>
        </w:rPr>
        <w:t>无</w:t>
      </w:r>
    </w:p>
    <w:p>
      <w:pPr>
        <w:pStyle w:val="2"/>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non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pPr>
        <w:adjustRightInd w:val="0"/>
        <w:snapToGrid w:val="0"/>
        <w:spacing w:line="360" w:lineRule="auto"/>
        <w:ind w:firstLine="560" w:firstLineChars="200"/>
        <w:rPr>
          <w:rFonts w:hint="eastAsia" w:ascii="仿宋_GB2312" w:hAnsi="仿宋" w:eastAsia="仿宋_GB2312" w:cs="仿宋_GB2312"/>
          <w:color w:val="auto"/>
          <w:sz w:val="28"/>
          <w:szCs w:val="28"/>
          <w:highlight w:val="none"/>
          <w:lang w:val="zh-CN"/>
        </w:rPr>
      </w:pPr>
      <w:r>
        <w:rPr>
          <w:rFonts w:hint="eastAsia" w:ascii="仿宋_GB2312" w:hAnsi="仿宋" w:eastAsia="仿宋_GB2312" w:cs="仿宋_GB2312"/>
          <w:color w:val="auto"/>
          <w:sz w:val="28"/>
          <w:szCs w:val="28"/>
          <w:highlight w:val="none"/>
          <w:lang w:val="zh-CN"/>
        </w:rPr>
        <w:t>防疫要求：</w:t>
      </w:r>
      <w:r>
        <w:rPr>
          <w:rFonts w:hint="eastAsia" w:ascii="仿宋_GB2312" w:eastAsia="仿宋_GB2312"/>
          <w:color w:val="auto"/>
          <w:sz w:val="28"/>
          <w:szCs w:val="28"/>
          <w:highlight w:val="none"/>
          <w:lang w:val="en-US" w:eastAsia="zh-CN"/>
        </w:rPr>
        <w:t>基于疫情防控形势，授权委托人须通过“广州净水公司”微信公众号当天（提前）预约，填写访客预约信息（包括：1.近7天内行程有异地中高风险地区及所在的地级市（、盟、州、直辖市的区）旅居史的来（返）穗人员拒绝来访；2.近7天行程内有异地本土疫情报告的地级市（、盟、州、直辖市的区）旅居史的来（返）穗人员应持有抵穗后来访前两次核酸检测证明，即“三天两检”（每次至少间隔24小时）3.除上述1、2以外临时来访人员，应持有抵穗后来访前24小时内的核酸检测证明）。待被访部室审核员审批通过后，凭访客手机生成的“通行访客码”通行。于门岗处测温并扫码填写调查问卷，手机显示问卷“提交成功”后方可进入厂区</w:t>
      </w:r>
      <w:r>
        <w:rPr>
          <w:rFonts w:hint="eastAsia" w:ascii="仿宋_GB2312" w:hAnsi="仿宋" w:eastAsia="仿宋_GB2312" w:cs="仿宋_GB2312"/>
          <w:color w:val="auto"/>
          <w:sz w:val="28"/>
          <w:szCs w:val="28"/>
          <w:highlight w:val="none"/>
          <w:lang w:val="zh-CN"/>
        </w:rPr>
        <w:t>。</w:t>
      </w:r>
    </w:p>
    <w:p>
      <w:pPr>
        <w:pStyle w:val="2"/>
        <w:spacing w:line="360" w:lineRule="auto"/>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踏勘现场联系人：项目一：杜工； 项目二：蔡工；</w:t>
      </w:r>
    </w:p>
    <w:p>
      <w:pPr>
        <w:pStyle w:val="2"/>
        <w:adjustRightInd w:val="0"/>
        <w:snapToGrid w:val="0"/>
        <w:spacing w:line="360" w:lineRule="auto"/>
        <w:ind w:firstLine="0" w:firstLineChars="0"/>
        <w:rPr>
          <w:rFonts w:hint="default" w:ascii="仿宋_GB2312" w:eastAsia="仿宋_GB2312" w:hAnsiTheme="minorHAnsi"/>
          <w:color w:val="auto"/>
          <w:sz w:val="28"/>
          <w:szCs w:val="28"/>
          <w:highlight w:val="none"/>
          <w:u w:val="none"/>
          <w:lang w:val="en-US"/>
        </w:rPr>
      </w:pPr>
      <w:r>
        <w:rPr>
          <w:rFonts w:hint="eastAsia" w:ascii="仿宋_GB2312" w:eastAsia="仿宋_GB2312" w:hAnsiTheme="minorHAnsi" w:cstheme="minorBidi"/>
          <w:color w:val="auto"/>
          <w:kern w:val="2"/>
          <w:sz w:val="28"/>
          <w:szCs w:val="28"/>
          <w:highlight w:val="none"/>
          <w:lang w:val="en-US" w:eastAsia="zh-CN"/>
        </w:rPr>
        <w:t>踏勘现场联系人联系方式：项目一：</w:t>
      </w:r>
      <w:r>
        <w:rPr>
          <w:rFonts w:hint="eastAsia" w:ascii="仿宋_GB2312" w:eastAsia="仿宋_GB2312" w:cstheme="minorBidi"/>
          <w:color w:val="auto"/>
          <w:kern w:val="2"/>
          <w:sz w:val="28"/>
          <w:szCs w:val="28"/>
          <w:highlight w:val="none"/>
          <w:u w:val="none"/>
          <w:lang w:val="en-US" w:eastAsia="zh-CN" w:bidi="ar"/>
        </w:rPr>
        <w:t>15915754927；项目二：</w:t>
      </w:r>
      <w:r>
        <w:rPr>
          <w:rFonts w:hint="eastAsia" w:ascii="仿宋_GB2312" w:eastAsia="仿宋_GB2312" w:hAnsiTheme="minorHAnsi" w:cstheme="minorBidi"/>
          <w:color w:val="auto"/>
          <w:kern w:val="2"/>
          <w:sz w:val="28"/>
          <w:szCs w:val="28"/>
          <w:highlight w:val="none"/>
          <w:lang w:val="en-US" w:eastAsia="zh-CN"/>
        </w:rPr>
        <w:t>18688390426；</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color w:val="auto"/>
          <w:sz w:val="28"/>
          <w:szCs w:val="28"/>
          <w:highlight w:val="none"/>
          <w:lang w:val="en-US" w:eastAsia="zh-CN"/>
        </w:rPr>
        <w:t>项目一：广州市净水有限公司猎德分公司；</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color w:val="auto"/>
          <w:sz w:val="28"/>
          <w:szCs w:val="28"/>
          <w:highlight w:val="none"/>
          <w:lang w:val="en-US" w:eastAsia="zh-CN"/>
        </w:rPr>
        <w:t>项目二：广州市净水有限公司西朗二期分公司</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46"/>
        <w:ind w:firstLine="560" w:firstLineChars="200"/>
        <w:rPr>
          <w:rFonts w:hint="eastAsia" w:ascii="仿宋_GB2312" w:hAnsiTheme="minorHAnsi" w:cstheme="minorBidi"/>
          <w:color w:val="auto"/>
          <w:kern w:val="2"/>
          <w:sz w:val="28"/>
          <w:szCs w:val="28"/>
          <w:highlight w:val="none"/>
          <w:lang w:val="en-US" w:eastAsia="zh-CN"/>
        </w:rPr>
      </w:pPr>
      <w:r>
        <w:rPr>
          <w:rFonts w:hint="eastAsia" w:ascii="仿宋_GB2312" w:hAnsiTheme="minorHAnsi" w:cstheme="minorBidi"/>
          <w:color w:val="auto"/>
          <w:kern w:val="2"/>
          <w:sz w:val="28"/>
          <w:szCs w:val="28"/>
          <w:highlight w:val="none"/>
          <w:lang w:val="en-US" w:eastAsia="zh-CN"/>
        </w:rPr>
        <w:t>▲基于目前疫情防控形势，我公司仅接受快递或自行送达形式递交响应文件，响应文件须于递交截止时间前送达，并放置于公司正门保安处。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2240" w:firstLineChars="8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pStyle w:val="2"/>
        <w:ind w:firstLine="0"/>
        <w:rPr>
          <w:rFonts w:hint="eastAsia" w:ascii="仿宋_GB2312" w:eastAsia="仿宋_GB2312" w:hAnsiTheme="majorEastAsia"/>
          <w:color w:val="auto"/>
          <w:sz w:val="28"/>
          <w:szCs w:val="28"/>
          <w:highlight w:val="none"/>
          <w:lang w:eastAsia="zh-CN"/>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16557"/>
      <w:bookmarkStart w:id="15" w:name="_Toc32588"/>
      <w:bookmarkStart w:id="16" w:name="_Toc25603"/>
      <w:bookmarkStart w:id="17" w:name="_Toc19295"/>
      <w:bookmarkStart w:id="18" w:name="_Toc9448"/>
      <w:bookmarkStart w:id="19" w:name="_Toc23749"/>
      <w:bookmarkStart w:id="20" w:name="_Toc2331"/>
      <w:bookmarkStart w:id="21" w:name="_Toc2324"/>
      <w:bookmarkStart w:id="22" w:name="_Toc7340"/>
      <w:bookmarkStart w:id="23" w:name="_Toc16705"/>
    </w:p>
    <w:p>
      <w:pPr>
        <w:pStyle w:val="4"/>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color w:val="auto"/>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ind w:firstLine="0"/>
        <w:rPr>
          <w:rFonts w:hint="eastAsia"/>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6"/>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广州市净水有限公司2022年猎德、西朗二期分公司地磅改造项目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广州市净水有限公司2022年猎德、西朗二期分公司地磅改造项目</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6"/>
        <w:rPr>
          <w:color w:val="auto"/>
          <w:highlight w:val="none"/>
        </w:rPr>
      </w:pPr>
    </w:p>
    <w:p>
      <w:pPr>
        <w:pStyle w:val="36"/>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广州市净水有限公司2022年猎德、西朗二期分公司地磅改造项目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2338070</wp:posOffset>
                </wp:positionH>
                <wp:positionV relativeFrom="paragraph">
                  <wp:posOffset>672465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4.1pt;margin-top:52.95pt;height:0pt;width:75.5pt;z-index:251663360;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6"/>
        <w:rPr>
          <w:color w:val="auto"/>
          <w:highlight w:val="none"/>
        </w:rPr>
      </w:pPr>
    </w:p>
    <w:p>
      <w:pPr>
        <w:pStyle w:val="5"/>
        <w:rPr>
          <w:color w:val="auto"/>
          <w:highlight w:val="none"/>
        </w:rPr>
      </w:pPr>
      <w:bookmarkStart w:id="28" w:name="_Toc87616371"/>
      <w:bookmarkStart w:id="29" w:name="_Toc7040"/>
      <w:bookmarkStart w:id="30" w:name="_Toc88209934"/>
      <w:bookmarkStart w:id="31" w:name="_Toc7303"/>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20594"/>
      <w:bookmarkStart w:id="35" w:name="_Toc7437"/>
      <w:bookmarkStart w:id="36" w:name="_Toc14870"/>
      <w:bookmarkStart w:id="37" w:name="_Toc19050"/>
      <w:bookmarkStart w:id="38" w:name="_Toc19759"/>
      <w:bookmarkStart w:id="39" w:name="_Toc10930"/>
      <w:bookmarkStart w:id="40" w:name="_Toc14552"/>
      <w:bookmarkStart w:id="41" w:name="_Toc4952"/>
      <w:bookmarkStart w:id="42" w:name="_Toc3156"/>
      <w:bookmarkStart w:id="43" w:name="_Toc23581"/>
      <w:bookmarkStart w:id="44" w:name="_Toc7118"/>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6"/>
        <w:rPr>
          <w:color w:val="auto"/>
          <w:highlight w:val="none"/>
        </w:rPr>
      </w:pPr>
    </w:p>
    <w:p>
      <w:pPr>
        <w:pStyle w:val="4"/>
        <w:rPr>
          <w:color w:val="auto"/>
          <w:highlight w:val="none"/>
        </w:rPr>
      </w:pPr>
      <w:bookmarkStart w:id="45" w:name="_Toc29345"/>
      <w:bookmarkStart w:id="46" w:name="_Toc6308"/>
      <w:bookmarkStart w:id="47" w:name="_Toc88209941"/>
      <w:bookmarkStart w:id="48" w:name="_Toc32607"/>
      <w:bookmarkStart w:id="49" w:name="_Toc29484"/>
      <w:bookmarkStart w:id="50" w:name="_Toc87616378"/>
      <w:bookmarkStart w:id="51" w:name="_Toc12177"/>
      <w:bookmarkStart w:id="52" w:name="_Toc22212"/>
      <w:bookmarkStart w:id="53" w:name="_Toc21079"/>
      <w:bookmarkStart w:id="54" w:name="_Toc21840"/>
      <w:bookmarkStart w:id="55" w:name="_Toc7831"/>
      <w:bookmarkStart w:id="56" w:name="_Toc30530"/>
      <w:bookmarkStart w:id="57" w:name="_Toc13898"/>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pPr>
    </w:p>
    <w:p>
      <w:pPr>
        <w:pStyle w:val="5"/>
        <w:rPr>
          <w:color w:val="auto"/>
          <w:highlight w:val="none"/>
        </w:rPr>
      </w:pPr>
      <w:r>
        <w:rPr>
          <w:rFonts w:hint="eastAsia"/>
          <w:color w:val="auto"/>
          <w:highlight w:val="none"/>
        </w:rPr>
        <w:sym w:font="Wingdings 2" w:char="00A3"/>
      </w:r>
      <w:r>
        <w:rPr>
          <w:rFonts w:hint="eastAsia"/>
          <w:color w:val="auto"/>
          <w:highlight w:val="none"/>
        </w:rPr>
        <w:t>综合评分法</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本次评审采用综合评分法。</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采购人可对采购文件中商务和技术条款设置带※号条款，带※号条款为实质性条款，供应商未实质性响应其中任一条款，其响应文件都将被否决。</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bottom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right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无法律法规及采购文件规定的其他无效响应内容</w:t>
            </w:r>
          </w:p>
        </w:tc>
      </w:tr>
    </w:tbl>
    <w:p>
      <w:pPr>
        <w:adjustRightInd w:val="0"/>
        <w:snapToGrid w:val="0"/>
        <w:spacing w:line="4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2.2详细评审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对通过初步评审的响应文件进行详细评审。详细评审包括商务评审、技术评审和价格评审。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8"/>
          <w:szCs w:val="28"/>
          <w:highlight w:val="none"/>
        </w:rPr>
        <w:t>2.2.1商务评审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4-2                      商务评审因素（</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1559"/>
        <w:gridCol w:w="396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1559"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ascii="仿宋_GB2312" w:eastAsia="仿宋_GB2312"/>
                <w:color w:val="auto"/>
                <w:sz w:val="28"/>
                <w:szCs w:val="28"/>
                <w:highlight w:val="none"/>
              </w:rPr>
              <w:t>分值权重</w:t>
            </w:r>
          </w:p>
        </w:tc>
        <w:tc>
          <w:tcPr>
            <w:tcW w:w="3969"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评分细则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3</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8"/>
          <w:szCs w:val="28"/>
          <w:highlight w:val="none"/>
        </w:rPr>
        <w:t>2.2.2技术评审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4-3                      技术评审因素（</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1559"/>
        <w:gridCol w:w="396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1559"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ascii="仿宋_GB2312" w:eastAsia="仿宋_GB2312"/>
                <w:color w:val="auto"/>
                <w:sz w:val="28"/>
                <w:szCs w:val="28"/>
                <w:highlight w:val="none"/>
              </w:rPr>
              <w:t>分值权重</w:t>
            </w:r>
          </w:p>
        </w:tc>
        <w:tc>
          <w:tcPr>
            <w:tcW w:w="3969"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评分细则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w:t>
            </w:r>
          </w:p>
        </w:tc>
        <w:tc>
          <w:tcPr>
            <w:tcW w:w="2127" w:type="dxa"/>
            <w:tcBorders>
              <w:top w:val="single" w:color="auto" w:sz="4" w:space="0"/>
              <w:bottom w:val="single" w:color="auto" w:sz="4" w:space="0"/>
            </w:tcBorders>
            <w:vAlign w:val="center"/>
          </w:tcPr>
          <w:p>
            <w:pPr>
              <w:adjustRightInd w:val="0"/>
              <w:snapToGrid w:val="0"/>
              <w:jc w:val="left"/>
              <w:rPr>
                <w:rFonts w:ascii="仿宋_GB2312" w:eastAsia="仿宋_GB2312" w:hAnsiTheme="minorEastAsia"/>
                <w:color w:val="auto"/>
                <w:sz w:val="24"/>
                <w:szCs w:val="24"/>
                <w:highlight w:val="none"/>
              </w:rPr>
            </w:pPr>
          </w:p>
        </w:tc>
        <w:tc>
          <w:tcPr>
            <w:tcW w:w="15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c>
          <w:tcPr>
            <w:tcW w:w="396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p>
        </w:tc>
      </w:tr>
    </w:tbl>
    <w:p>
      <w:pPr>
        <w:adjustRightInd w:val="0"/>
        <w:snapToGrid w:val="0"/>
        <w:spacing w:line="4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Cs w:val="21"/>
          <w:highlight w:val="none"/>
        </w:rPr>
        <w:t>说明：对于施工技术方案简单、工期较短、季节性强的中小型工程，或者标准通用设备、材料及服务的采购，可以不要求供应商编制施工组织设计、安装调试方案或服务大纲等技术文件，评审时不进行技术评审。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2.2.3.2响应文件存在 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2.2.4 价格评审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4-4                      价格折算分值的办法</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7683"/>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7683"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规则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7683"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通过初审的合格供应商进入评审基准价计算程序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6"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7683"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确定基准价</w:t>
            </w:r>
          </w:p>
          <w:p>
            <w:pPr>
              <w:adjustRightInd w:val="0"/>
              <w:snapToGrid w:val="0"/>
              <w:ind w:left="240" w:hanging="240" w:hangingChars="100"/>
              <w:jc w:val="left"/>
              <w:rPr>
                <w:rFonts w:ascii="仿宋_GB2312" w:eastAsia="仿宋_GB2312"/>
                <w:color w:val="auto"/>
                <w:sz w:val="24"/>
                <w:szCs w:val="24"/>
                <w:highlight w:val="none"/>
              </w:rPr>
            </w:pPr>
            <w:bookmarkStart w:id="60" w:name="OLE_LINK6"/>
            <w:bookmarkStart w:id="61" w:name="OLE_LINK5"/>
            <w:r>
              <w:rPr>
                <w:rFonts w:hint="eastAsia" w:ascii="仿宋_GB2312" w:eastAsia="仿宋_GB2312" w:hAnsiTheme="minorEastAsia"/>
                <w:color w:val="auto"/>
                <w:sz w:val="24"/>
                <w:szCs w:val="24"/>
                <w:highlight w:val="none"/>
              </w:rPr>
              <w:t>□</w:t>
            </w:r>
            <w:bookmarkEnd w:id="60"/>
            <w:bookmarkEnd w:id="61"/>
            <w:r>
              <w:rPr>
                <w:rFonts w:hint="eastAsia" w:ascii="仿宋_GB2312" w:eastAsia="仿宋_GB2312"/>
                <w:color w:val="auto"/>
                <w:sz w:val="24"/>
                <w:szCs w:val="24"/>
                <w:highlight w:val="none"/>
              </w:rPr>
              <w:t>当</w:t>
            </w:r>
            <w:r>
              <w:rPr>
                <w:rFonts w:ascii="仿宋_GB2312" w:eastAsia="仿宋_GB2312"/>
                <w:color w:val="auto"/>
                <w:sz w:val="24"/>
                <w:szCs w:val="24"/>
                <w:highlight w:val="none"/>
              </w:rPr>
              <w:t>合格供应商的数量＜</w:t>
            </w:r>
            <w:r>
              <w:rPr>
                <w:rFonts w:hint="eastAsia" w:ascii="仿宋_GB2312" w:eastAsia="仿宋_GB2312"/>
                <w:color w:val="auto"/>
                <w:sz w:val="24"/>
                <w:szCs w:val="24"/>
                <w:highlight w:val="none"/>
              </w:rPr>
              <w:t>5家时，所有合格供应商报价的算术平均值作为基准价；当合格供应商的数量≥5家时，扣除一个最高报价和一个最低报价后的算术平均值作为基准价</w:t>
            </w:r>
          </w:p>
          <w:p>
            <w:pPr>
              <w:adjustRightInd w:val="0"/>
              <w:snapToGrid w:val="0"/>
              <w:ind w:left="240" w:hanging="240" w:hangingChars="10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□以合格供应商报价的最低价作为基准价</w:t>
            </w:r>
          </w:p>
          <w:p>
            <w:pPr>
              <w:adjustRightInd w:val="0"/>
              <w:snapToGrid w:val="0"/>
              <w:ind w:left="240" w:hanging="240" w:hangingChars="10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□其他方法</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0"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3</w:t>
            </w:r>
          </w:p>
        </w:tc>
        <w:tc>
          <w:tcPr>
            <w:tcW w:w="7683"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□合格</w:t>
            </w:r>
            <w:r>
              <w:rPr>
                <w:rFonts w:hint="eastAsia" w:ascii="仿宋_GB2312" w:eastAsia="仿宋_GB2312"/>
                <w:color w:val="auto"/>
                <w:sz w:val="24"/>
                <w:szCs w:val="24"/>
                <w:highlight w:val="none"/>
              </w:rPr>
              <w:t>供应商的报价与基准价相比，每高于基准价1%扣</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 xml:space="preserve">分，每低于基准价1%扣 </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分，按插入法进行计算。</w:t>
            </w:r>
          </w:p>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□合格供应商的价格折算分=合格供应商报价的最低价/合格供应商报价</w:t>
            </w:r>
          </w:p>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□其他方法</w:t>
            </w:r>
          </w:p>
        </w:tc>
      </w:tr>
    </w:tbl>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Cs w:val="21"/>
          <w:highlight w:val="none"/>
        </w:rPr>
        <w:t>说明：供应商有多轮报价的，按最终报价计算。</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 评审结果</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计算供应商综合得分。</w:t>
      </w:r>
    </w:p>
    <w:p>
      <w:pPr>
        <w:adjustRightInd w:val="0"/>
        <w:snapToGrid w:val="0"/>
        <w:spacing w:line="600" w:lineRule="exact"/>
        <w:ind w:left="1672" w:leftChars="263" w:hanging="1120" w:hangingChars="40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评审得分=商务分×商务部分权重+技术分×技术部分权重+价格分×价格部分权重</w:t>
      </w:r>
    </w:p>
    <w:p>
      <w:pPr>
        <w:adjustRightInd w:val="0"/>
        <w:snapToGrid w:val="0"/>
        <w:spacing w:line="6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 w:val="28"/>
          <w:szCs w:val="28"/>
          <w:highlight w:val="none"/>
        </w:rPr>
        <w:t>综合得分最高的为排名第一的候选成交供应商；如综合得分相同，可依照□报价  □业绩   □其他</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考量因素得分排序确定供应商排名。</w:t>
      </w: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color w:val="auto"/>
          <w:highlight w:val="none"/>
        </w:rPr>
      </w:pPr>
      <w:bookmarkStart w:id="62" w:name="_Toc88209947"/>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667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Cti3r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ind w:firstLine="0"/>
        <w:rPr>
          <w:rFonts w:hint="eastAsia"/>
          <w:b/>
          <w:bCs/>
          <w:color w:val="auto"/>
          <w:sz w:val="28"/>
          <w:szCs w:val="48"/>
          <w:highlight w:val="none"/>
          <w:lang w:val="en-US" w:eastAsia="zh-CN"/>
        </w:rPr>
      </w:pPr>
      <w:r>
        <w:rPr>
          <w:rFonts w:hint="eastAsia"/>
          <w:b/>
          <w:bCs/>
          <w:color w:val="auto"/>
          <w:sz w:val="28"/>
          <w:szCs w:val="48"/>
          <w:highlight w:val="none"/>
          <w:lang w:val="en-US" w:eastAsia="zh-CN"/>
        </w:rPr>
        <w:t>项目一：猎德分公司2022年厂区地磅改造项目</w:t>
      </w:r>
    </w:p>
    <w:p>
      <w:pPr>
        <w:adjustRightInd w:val="0"/>
        <w:snapToGrid w:val="0"/>
        <w:spacing w:line="600" w:lineRule="exact"/>
        <w:ind w:firstLine="562" w:firstLineChars="200"/>
        <w:jc w:val="left"/>
        <w:rPr>
          <w:rFonts w:ascii="Times New Roman" w:hAnsi="Times New Roman" w:eastAsia="仿宋_GB2312" w:cs="Times New Roman"/>
          <w:color w:val="auto"/>
          <w:sz w:val="28"/>
          <w:szCs w:val="28"/>
          <w:highlight w:val="none"/>
        </w:rPr>
      </w:pPr>
      <w:r>
        <w:rPr>
          <w:rFonts w:hint="default" w:ascii="Times New Roman" w:hAnsi="Times New Roman" w:eastAsia="仿宋_GB2312" w:cs="Times New Roman"/>
          <w:b/>
          <w:bCs w:val="0"/>
          <w:color w:val="auto"/>
          <w:kern w:val="2"/>
          <w:sz w:val="28"/>
          <w:szCs w:val="28"/>
          <w:highlight w:val="none"/>
          <w:lang w:val="en-US" w:eastAsia="zh-CN" w:bidi="ar-SA"/>
        </w:rPr>
        <w:t>项目说明：</w:t>
      </w:r>
      <w:r>
        <w:rPr>
          <w:rFonts w:hint="eastAsia" w:ascii="仿宋_GB2312" w:hAnsi="仿宋_GB2312" w:eastAsia="仿宋_GB2312" w:cs="仿宋_GB2312"/>
          <w:color w:val="auto"/>
          <w:kern w:val="2"/>
          <w:sz w:val="28"/>
          <w:szCs w:val="28"/>
          <w:highlight w:val="none"/>
          <w:lang w:val="en-US" w:eastAsia="zh-CN"/>
        </w:rPr>
        <w:t>新建地磅于猎德分公司东门附近空地，并将地磅系统数据传输至中控室及泥车值班室的地磅系统，实现数据远程传输、监控、测量</w:t>
      </w:r>
      <w:r>
        <w:rPr>
          <w:rFonts w:hint="eastAsia" w:ascii="仿宋_GB2312" w:hAnsi="仿宋_GB2312" w:eastAsia="仿宋_GB2312" w:cs="仿宋_GB2312"/>
          <w:color w:val="auto"/>
          <w:sz w:val="28"/>
          <w:szCs w:val="28"/>
          <w:highlight w:val="none"/>
        </w:rPr>
        <w:t>等。</w:t>
      </w:r>
      <w:r>
        <w:rPr>
          <w:rFonts w:hint="default" w:ascii="Times New Roman" w:hAnsi="Times New Roman" w:eastAsia="仿宋_GB2312" w:cs="Times New Roman"/>
          <w:color w:val="auto"/>
          <w:sz w:val="28"/>
          <w:szCs w:val="28"/>
          <w:highlight w:val="none"/>
          <w:lang w:val="en-US" w:eastAsia="zh-CN"/>
        </w:rPr>
        <w:t>具体</w:t>
      </w:r>
      <w:r>
        <w:rPr>
          <w:rFonts w:ascii="Times New Roman" w:hAnsi="Times New Roman" w:eastAsia="仿宋_GB2312" w:cs="Times New Roman"/>
          <w:color w:val="auto"/>
          <w:sz w:val="28"/>
          <w:szCs w:val="28"/>
          <w:highlight w:val="none"/>
        </w:rPr>
        <w:t>内容如下：</w:t>
      </w:r>
    </w:p>
    <w:p>
      <w:pPr>
        <w:keepNext w:val="0"/>
        <w:keepLines w:val="0"/>
        <w:pageBreakBefore w:val="0"/>
        <w:widowControl/>
        <w:kinsoku/>
        <w:wordWrap/>
        <w:overflowPunct/>
        <w:topLinePunct w:val="0"/>
        <w:autoSpaceDE/>
        <w:autoSpaceDN/>
        <w:bidi w:val="0"/>
        <w:spacing w:line="500" w:lineRule="exact"/>
        <w:ind w:left="0" w:firstLine="562" w:firstLineChars="200"/>
        <w:textAlignment w:val="auto"/>
        <w:rPr>
          <w:rFonts w:hint="eastAsia" w:ascii="仿宋_GB2312" w:hAnsi="仿宋_GB2312" w:eastAsia="仿宋_GB2312" w:cs="仿宋_GB2312"/>
          <w:b/>
          <w:color w:val="auto"/>
          <w:sz w:val="28"/>
          <w:szCs w:val="28"/>
          <w:highlight w:val="none"/>
          <w:lang w:val="en-US" w:eastAsia="zh-CN"/>
        </w:rPr>
      </w:pPr>
      <w:bookmarkStart w:id="63" w:name="_Toc202771737"/>
      <w:bookmarkStart w:id="64" w:name="_Toc252539739"/>
      <w:r>
        <w:rPr>
          <w:rFonts w:hint="eastAsia" w:ascii="仿宋_GB2312" w:hAnsi="仿宋_GB2312" w:eastAsia="仿宋_GB2312" w:cs="仿宋_GB2312"/>
          <w:b/>
          <w:color w:val="auto"/>
          <w:sz w:val="28"/>
          <w:szCs w:val="28"/>
          <w:highlight w:val="none"/>
          <w:lang w:val="en-US" w:eastAsia="zh-CN"/>
        </w:rPr>
        <w:t>1、技术要求：</w:t>
      </w:r>
    </w:p>
    <w:p>
      <w:pPr>
        <w:pStyle w:val="2"/>
        <w:numPr>
          <w:ilvl w:val="0"/>
          <w:numId w:val="0"/>
        </w:numPr>
        <w:ind w:left="420" w:leftChars="0"/>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（1）按照图纸要求</w:t>
      </w:r>
      <w:r>
        <w:rPr>
          <w:rFonts w:hint="eastAsia" w:ascii="仿宋_GB2312" w:eastAsia="仿宋_GB2312" w:hAnsiTheme="minorHAnsi" w:cstheme="minorBidi"/>
          <w:color w:val="auto"/>
          <w:kern w:val="2"/>
          <w:sz w:val="28"/>
          <w:szCs w:val="28"/>
          <w:highlight w:val="none"/>
          <w:lang w:val="en-US" w:eastAsia="zh-CN" w:bidi="ar-SA"/>
        </w:rPr>
        <w:t>（见附图）</w:t>
      </w:r>
      <w:r>
        <w:rPr>
          <w:rFonts w:hint="eastAsia" w:ascii="仿宋_GB2312" w:eastAsia="仿宋_GB2312" w:hAnsiTheme="minorHAnsi" w:cstheme="minorBidi"/>
          <w:color w:val="auto"/>
          <w:kern w:val="2"/>
          <w:sz w:val="28"/>
          <w:szCs w:val="28"/>
          <w:highlight w:val="none"/>
          <w:lang w:val="en-US" w:eastAsia="zh-CN" w:bidi="ar-SA"/>
        </w:rPr>
        <w:t>实施，如有未完善的内容协商解决。</w:t>
      </w:r>
    </w:p>
    <w:p>
      <w:pPr>
        <w:pStyle w:val="2"/>
        <w:numPr>
          <w:ilvl w:val="0"/>
          <w:numId w:val="0"/>
        </w:numPr>
        <w:ind w:left="0" w:leftChars="0" w:firstLine="0"/>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drawing>
          <wp:inline distT="0" distB="0" distL="114300" distR="114300">
            <wp:extent cx="6101715" cy="4310380"/>
            <wp:effectExtent l="0" t="0" r="13335" b="13970"/>
            <wp:docPr id="23" name="图片 23" descr="图纸 （更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纸 （更新）_00"/>
                    <pic:cNvPicPr>
                      <a:picLocks noChangeAspect="1"/>
                    </pic:cNvPicPr>
                  </pic:nvPicPr>
                  <pic:blipFill>
                    <a:blip r:embed="rId13"/>
                    <a:stretch>
                      <a:fillRect/>
                    </a:stretch>
                  </pic:blipFill>
                  <pic:spPr>
                    <a:xfrm>
                      <a:off x="0" y="0"/>
                      <a:ext cx="6101715" cy="4310380"/>
                    </a:xfrm>
                    <a:prstGeom prst="rect">
                      <a:avLst/>
                    </a:prstGeom>
                  </pic:spPr>
                </pic:pic>
              </a:graphicData>
            </a:graphic>
          </wp:inline>
        </w:drawing>
      </w:r>
      <w:r>
        <w:rPr>
          <w:rFonts w:hint="eastAsia" w:ascii="仿宋_GB2312" w:eastAsia="仿宋_GB2312" w:hAnsiTheme="minorHAnsi" w:cstheme="minorBidi"/>
          <w:color w:val="auto"/>
          <w:kern w:val="2"/>
          <w:sz w:val="28"/>
          <w:szCs w:val="28"/>
          <w:highlight w:val="none"/>
          <w:lang w:val="en-US" w:eastAsia="zh-CN" w:bidi="ar-SA"/>
        </w:rPr>
        <w:drawing>
          <wp:inline distT="0" distB="0" distL="114300" distR="114300">
            <wp:extent cx="5600700" cy="3956685"/>
            <wp:effectExtent l="0" t="0" r="0" b="5715"/>
            <wp:docPr id="24" name="图片 24" descr="图纸 （更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纸 （更新）_01"/>
                    <pic:cNvPicPr>
                      <a:picLocks noChangeAspect="1"/>
                    </pic:cNvPicPr>
                  </pic:nvPicPr>
                  <pic:blipFill>
                    <a:blip r:embed="rId14"/>
                    <a:stretch>
                      <a:fillRect/>
                    </a:stretch>
                  </pic:blipFill>
                  <pic:spPr>
                    <a:xfrm>
                      <a:off x="0" y="0"/>
                      <a:ext cx="5600700" cy="3956685"/>
                    </a:xfrm>
                    <a:prstGeom prst="rect">
                      <a:avLst/>
                    </a:prstGeom>
                  </pic:spPr>
                </pic:pic>
              </a:graphicData>
            </a:graphic>
          </wp:inline>
        </w:drawing>
      </w:r>
    </w:p>
    <w:p>
      <w:pPr>
        <w:pStyle w:val="2"/>
        <w:numPr>
          <w:ilvl w:val="0"/>
          <w:numId w:val="0"/>
        </w:numPr>
        <w:ind w:left="0" w:leftChars="0" w:firstLine="0"/>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drawing>
          <wp:inline distT="0" distB="0" distL="114300" distR="114300">
            <wp:extent cx="5600700" cy="3956685"/>
            <wp:effectExtent l="0" t="0" r="0" b="5715"/>
            <wp:docPr id="25" name="图片 25" descr="图纸 （更新）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纸 （更新）_02"/>
                    <pic:cNvPicPr>
                      <a:picLocks noChangeAspect="1"/>
                    </pic:cNvPicPr>
                  </pic:nvPicPr>
                  <pic:blipFill>
                    <a:blip r:embed="rId15"/>
                    <a:stretch>
                      <a:fillRect/>
                    </a:stretch>
                  </pic:blipFill>
                  <pic:spPr>
                    <a:xfrm>
                      <a:off x="0" y="0"/>
                      <a:ext cx="5600700" cy="3956685"/>
                    </a:xfrm>
                    <a:prstGeom prst="rect">
                      <a:avLst/>
                    </a:prstGeom>
                  </pic:spPr>
                </pic:pic>
              </a:graphicData>
            </a:graphic>
          </wp:inline>
        </w:drawing>
      </w:r>
    </w:p>
    <w:p>
      <w:pPr>
        <w:pStyle w:val="2"/>
        <w:jc w:val="left"/>
        <w:rPr>
          <w:rFonts w:hint="eastAsia" w:ascii="仿宋_GB2312" w:hAnsi="仿宋_GB2312" w:eastAsia="仿宋_GB2312" w:cs="仿宋_GB2312"/>
          <w:b/>
          <w:color w:val="auto"/>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bidi="ar-SA"/>
        </w:rPr>
        <w:t>（2）</w:t>
      </w:r>
      <w:r>
        <w:rPr>
          <w:rFonts w:hint="eastAsia" w:ascii="仿宋_GB2312" w:hAnsi="仿宋_GB2312" w:eastAsia="仿宋_GB2312" w:cs="仿宋_GB2312"/>
          <w:b/>
          <w:color w:val="auto"/>
          <w:sz w:val="28"/>
          <w:szCs w:val="28"/>
          <w:highlight w:val="none"/>
          <w:lang w:val="en-US" w:eastAsia="zh-CN"/>
        </w:rPr>
        <w:t>地磅基本要求：</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精度：Ⅲ级；</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分度值：10kg；</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最小称量：40kg；</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最大称量：80T；</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接口方式：Rs485或RJ45；</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超载系数：150%；</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传输方式：RS485；</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材料：A3钢材；</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精度 ：±0.02%F.S；</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超载能力：150%F.S；</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极限过载：200%F.S。</w:t>
      </w:r>
    </w:p>
    <w:p>
      <w:pPr>
        <w:pStyle w:val="2"/>
        <w:jc w:val="left"/>
        <w:rPr>
          <w:rFonts w:hint="eastAsia"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3）新建地磅需至少具备与厂区华快桥底的地磅所有功能。包括但不限于以下功能：地磅称重；现场显示净重、毛重、皮重；远程称重显示及传输；车辆识别功能；语音播报功能；红绿灯控制功能；红外防作弊功能等。具体如下：</w:t>
      </w:r>
    </w:p>
    <w:tbl>
      <w:tblPr>
        <w:tblStyle w:val="24"/>
        <w:tblW w:w="9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96"/>
        <w:gridCol w:w="7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57" w:type="dxa"/>
          </w:tcPr>
          <w:p>
            <w:pPr>
              <w:pStyle w:val="2"/>
              <w:numPr>
                <w:ilvl w:val="0"/>
                <w:numId w:val="0"/>
              </w:numPr>
              <w:jc w:val="left"/>
              <w:rPr>
                <w:rFonts w:hint="default" w:ascii="仿宋_GB2312" w:eastAsia="仿宋_GB2312" w:hAnsiTheme="minorHAnsi" w:cstheme="minorBidi"/>
                <w:color w:val="auto"/>
                <w:kern w:val="2"/>
                <w:sz w:val="28"/>
                <w:szCs w:val="28"/>
                <w:highlight w:val="none"/>
                <w:vertAlign w:val="baseline"/>
                <w:lang w:val="en-US" w:eastAsia="zh-CN" w:bidi="ar-SA"/>
              </w:rPr>
            </w:pPr>
            <w:r>
              <w:rPr>
                <w:rFonts w:hint="eastAsia" w:ascii="仿宋_GB2312" w:eastAsia="仿宋_GB2312" w:hAnsiTheme="minorHAnsi" w:cstheme="minorBidi"/>
                <w:color w:val="auto"/>
                <w:kern w:val="2"/>
                <w:sz w:val="28"/>
                <w:szCs w:val="28"/>
                <w:highlight w:val="none"/>
                <w:vertAlign w:val="baseline"/>
                <w:lang w:val="en-US" w:eastAsia="zh-CN" w:bidi="ar-SA"/>
              </w:rPr>
              <w:t>序号</w:t>
            </w:r>
          </w:p>
        </w:tc>
        <w:tc>
          <w:tcPr>
            <w:tcW w:w="1296" w:type="dxa"/>
          </w:tcPr>
          <w:p>
            <w:pPr>
              <w:pStyle w:val="2"/>
              <w:numPr>
                <w:ilvl w:val="0"/>
                <w:numId w:val="0"/>
              </w:numPr>
              <w:jc w:val="center"/>
              <w:rPr>
                <w:rFonts w:hint="default" w:ascii="仿宋_GB2312" w:eastAsia="仿宋_GB2312" w:hAnsiTheme="minorHAnsi" w:cstheme="minorBidi"/>
                <w:color w:val="auto"/>
                <w:kern w:val="2"/>
                <w:sz w:val="28"/>
                <w:szCs w:val="28"/>
                <w:highlight w:val="none"/>
                <w:vertAlign w:val="baseline"/>
                <w:lang w:val="en-US" w:eastAsia="zh-CN" w:bidi="ar-SA"/>
              </w:rPr>
            </w:pPr>
            <w:r>
              <w:rPr>
                <w:rFonts w:hint="eastAsia" w:ascii="仿宋_GB2312" w:eastAsia="仿宋_GB2312" w:hAnsiTheme="minorHAnsi" w:cstheme="minorBidi"/>
                <w:color w:val="auto"/>
                <w:kern w:val="2"/>
                <w:sz w:val="28"/>
                <w:szCs w:val="28"/>
                <w:highlight w:val="none"/>
                <w:vertAlign w:val="baseline"/>
                <w:lang w:val="en-US" w:eastAsia="zh-CN" w:bidi="ar-SA"/>
              </w:rPr>
              <w:t>功能</w:t>
            </w:r>
          </w:p>
        </w:tc>
        <w:tc>
          <w:tcPr>
            <w:tcW w:w="7264" w:type="dxa"/>
          </w:tcPr>
          <w:p>
            <w:pPr>
              <w:pStyle w:val="2"/>
              <w:numPr>
                <w:ilvl w:val="0"/>
                <w:numId w:val="0"/>
              </w:numPr>
              <w:jc w:val="center"/>
              <w:rPr>
                <w:rFonts w:hint="eastAsia" w:ascii="仿宋_GB2312" w:eastAsia="仿宋_GB2312" w:hAnsiTheme="minorHAnsi" w:cstheme="minorBidi"/>
                <w:color w:val="auto"/>
                <w:kern w:val="2"/>
                <w:sz w:val="28"/>
                <w:szCs w:val="28"/>
                <w:highlight w:val="none"/>
                <w:vertAlign w:val="baseline"/>
                <w:lang w:val="en-US" w:eastAsia="zh-CN" w:bidi="ar-SA"/>
              </w:rPr>
            </w:pPr>
            <w:r>
              <w:rPr>
                <w:rFonts w:hint="eastAsia" w:ascii="仿宋_GB2312" w:eastAsia="仿宋_GB2312" w:hAnsiTheme="minorHAnsi" w:cstheme="minorBidi"/>
                <w:color w:val="auto"/>
                <w:kern w:val="2"/>
                <w:sz w:val="28"/>
                <w:szCs w:val="28"/>
                <w:highlight w:val="none"/>
                <w:vertAlign w:val="baseline"/>
                <w:lang w:val="en-US" w:eastAsia="zh-CN" w:bidi="ar-SA"/>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7" w:type="dxa"/>
            <w:vAlign w:val="center"/>
          </w:tcPr>
          <w:p>
            <w:pPr>
              <w:pStyle w:val="2"/>
              <w:numPr>
                <w:ilvl w:val="0"/>
                <w:numId w:val="0"/>
              </w:num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w:t>
            </w:r>
          </w:p>
        </w:tc>
        <w:tc>
          <w:tcPr>
            <w:tcW w:w="1296" w:type="dxa"/>
            <w:vAlign w:val="center"/>
          </w:tcPr>
          <w:p>
            <w:pPr>
              <w:pStyle w:val="2"/>
              <w:numPr>
                <w:ilvl w:val="0"/>
                <w:numId w:val="0"/>
              </w:numPr>
              <w:jc w:val="lef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lang w:val="en-US" w:eastAsia="zh-CN" w:bidi="ar-SA"/>
              </w:rPr>
              <w:t>地磅称重</w:t>
            </w:r>
          </w:p>
        </w:tc>
        <w:tc>
          <w:tcPr>
            <w:tcW w:w="7264" w:type="dxa"/>
            <w:vAlign w:val="center"/>
          </w:tcPr>
          <w:p>
            <w:pPr>
              <w:pStyle w:val="2"/>
              <w:numPr>
                <w:ilvl w:val="0"/>
                <w:numId w:val="0"/>
              </w:numPr>
              <w:jc w:val="left"/>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大小：3m×12m/80 吨秤台；传感器数量：</w:t>
            </w:r>
            <w:r>
              <w:rPr>
                <w:rFonts w:hint="eastAsia" w:ascii="宋体" w:hAnsi="宋体" w:eastAsia="宋体" w:cs="宋体"/>
                <w:color w:val="auto"/>
                <w:kern w:val="2"/>
                <w:sz w:val="21"/>
                <w:szCs w:val="21"/>
                <w:highlight w:val="none"/>
                <w:lang w:val="en-US" w:eastAsia="zh-CN" w:bidi="ar-SA"/>
              </w:rPr>
              <w:t>6个；土建：配备防雷装置、防水浸、ip68级防水。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pStyle w:val="2"/>
              <w:numPr>
                <w:ilvl w:val="0"/>
                <w:numId w:val="0"/>
              </w:numPr>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p>
        </w:tc>
        <w:tc>
          <w:tcPr>
            <w:tcW w:w="1296" w:type="dxa"/>
            <w:vAlign w:val="center"/>
          </w:tcPr>
          <w:p>
            <w:pPr>
              <w:pStyle w:val="2"/>
              <w:numPr>
                <w:ilvl w:val="0"/>
                <w:numId w:val="0"/>
              </w:num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现场显示</w:t>
            </w:r>
          </w:p>
        </w:tc>
        <w:tc>
          <w:tcPr>
            <w:tcW w:w="7264" w:type="dxa"/>
            <w:vAlign w:val="center"/>
          </w:tcPr>
          <w:p>
            <w:pPr>
              <w:ind w:firstLine="420" w:firstLineChars="200"/>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净重、毛重、皮重，同时配备一台UPS备用电源，以及防电流冲击的设备。LED显示屏可实时显示系统识别的车牌号码和称重数据，以及一些系统发出的简要报警或提示信息，供司机即时查看。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pStyle w:val="2"/>
              <w:numPr>
                <w:ilvl w:val="0"/>
                <w:numId w:val="0"/>
              </w:numPr>
              <w:jc w:val="center"/>
              <w:rPr>
                <w:rFonts w:hint="default" w:ascii="宋体" w:hAnsi="宋体"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3</w:t>
            </w:r>
          </w:p>
        </w:tc>
        <w:tc>
          <w:tcPr>
            <w:tcW w:w="12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远程称重显示及传输要求</w:t>
            </w:r>
          </w:p>
        </w:tc>
        <w:tc>
          <w:tcPr>
            <w:tcW w:w="7264" w:type="dxa"/>
            <w:vAlign w:val="center"/>
          </w:tcPr>
          <w:p>
            <w:pPr>
              <w:ind w:firstLine="420" w:firstLineChars="200"/>
              <w:jc w:val="left"/>
              <w:rPr>
                <w:rFonts w:hint="default" w:ascii="宋体" w:hAnsi="宋体"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以太网或RS485传输，RJ45或串口连接，现场配备主机显示器，传输至中控室及泥区值班室，光纤连接，并配备专业地磅</w:t>
            </w:r>
            <w:r>
              <w:rPr>
                <w:rFonts w:hint="eastAsia" w:ascii="宋体" w:hAnsi="宋体" w:eastAsia="宋体" w:cs="宋体"/>
                <w:color w:val="auto"/>
                <w:kern w:val="2"/>
                <w:sz w:val="21"/>
                <w:szCs w:val="21"/>
                <w:highlight w:val="none"/>
                <w:lang w:val="en-US" w:eastAsia="zh-CN" w:bidi="ar-SA"/>
              </w:rPr>
              <w:t>称重</w:t>
            </w:r>
            <w:r>
              <w:rPr>
                <w:rFonts w:hint="eastAsia" w:eastAsia="宋体" w:cs="宋体"/>
                <w:color w:val="auto"/>
                <w:kern w:val="2"/>
                <w:sz w:val="21"/>
                <w:szCs w:val="21"/>
                <w:highlight w:val="none"/>
                <w:lang w:val="en-US" w:eastAsia="zh-CN" w:bidi="ar-SA"/>
              </w:rPr>
              <w:t>软件，同时兼容我公司现有的无人值守智能称重系统(猎德厂地磅称重系统V1.2.1）的软件。打开现有的称重软件，无需升级或改造可直接使用，原有的使用功能不变。可实现在中控室查看现场视频拍照，进行远程控制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pStyle w:val="2"/>
              <w:numPr>
                <w:ilvl w:val="0"/>
                <w:numId w:val="0"/>
              </w:numPr>
              <w:jc w:val="center"/>
              <w:rPr>
                <w:rFonts w:hint="default"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4</w:t>
            </w:r>
          </w:p>
        </w:tc>
        <w:tc>
          <w:tcPr>
            <w:tcW w:w="1296" w:type="dxa"/>
            <w:vAlign w:val="center"/>
          </w:tcPr>
          <w:p>
            <w:pPr>
              <w:pStyle w:val="2"/>
              <w:numPr>
                <w:ilvl w:val="0"/>
                <w:numId w:val="0"/>
              </w:numPr>
              <w:jc w:val="left"/>
              <w:rPr>
                <w:rFonts w:hint="eastAsia"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车辆识别功能</w:t>
            </w:r>
          </w:p>
        </w:tc>
        <w:tc>
          <w:tcPr>
            <w:tcW w:w="7264" w:type="dxa"/>
            <w:vAlign w:val="center"/>
          </w:tcPr>
          <w:p>
            <w:pPr>
              <w:jc w:val="left"/>
              <w:rPr>
                <w:rFonts w:hint="eastAsia"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通过车牌视频识别模块，系统在车辆称重的同时自动识别车牌及其车牌号码，同时实时显示车辆上磅视频图像，自动拍照。通过车牌号码的自动识别、自动登录、自动比对，系统可以实现自动抬杆、自动验证用户身份、自动记录车辆信息和车辆称重时照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pStyle w:val="2"/>
              <w:numPr>
                <w:ilvl w:val="0"/>
                <w:numId w:val="0"/>
              </w:numPr>
              <w:jc w:val="center"/>
              <w:rPr>
                <w:rFonts w:hint="default"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5</w:t>
            </w:r>
          </w:p>
        </w:tc>
        <w:tc>
          <w:tcPr>
            <w:tcW w:w="1296" w:type="dxa"/>
            <w:vAlign w:val="center"/>
          </w:tcPr>
          <w:p>
            <w:pPr>
              <w:pStyle w:val="2"/>
              <w:numPr>
                <w:ilvl w:val="0"/>
                <w:numId w:val="0"/>
              </w:numPr>
              <w:jc w:val="left"/>
              <w:rPr>
                <w:rFonts w:hint="eastAsia"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语音播报功能</w:t>
            </w:r>
          </w:p>
        </w:tc>
        <w:tc>
          <w:tcPr>
            <w:tcW w:w="7264" w:type="dxa"/>
            <w:vAlign w:val="center"/>
          </w:tcPr>
          <w:p>
            <w:pPr>
              <w:pStyle w:val="2"/>
              <w:numPr>
                <w:ilvl w:val="0"/>
                <w:numId w:val="0"/>
              </w:numPr>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系统内置真人语音模块，会自动根据系统检测的情况，通过语音播报称重过程状态和异常提示及时告知司机，无需人工干预。包括且不仅限于以下内容： 上磅刷卡成功后，播报：刷卡成功，皮重XXX公斤，请下磅。上磅刷卡时重量跳动不稳，播报：重量不稳，请重新刷卡。刷卡后又继续刷卡，播报：请勿重复刷卡。司机趁地磅重量未归0就上磅称重：播报：上磅前重量未归0，请下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pStyle w:val="2"/>
              <w:numPr>
                <w:ilvl w:val="0"/>
                <w:numId w:val="0"/>
              </w:numPr>
              <w:jc w:val="center"/>
              <w:rPr>
                <w:rFonts w:hint="default"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6</w:t>
            </w:r>
          </w:p>
        </w:tc>
        <w:tc>
          <w:tcPr>
            <w:tcW w:w="1296" w:type="dxa"/>
            <w:vAlign w:val="center"/>
          </w:tcPr>
          <w:p>
            <w:pPr>
              <w:pStyle w:val="2"/>
              <w:numPr>
                <w:ilvl w:val="0"/>
                <w:numId w:val="0"/>
              </w:numPr>
              <w:jc w:val="left"/>
              <w:rPr>
                <w:rFonts w:hint="eastAsia"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红绿灯控制功能</w:t>
            </w:r>
          </w:p>
        </w:tc>
        <w:tc>
          <w:tcPr>
            <w:tcW w:w="7264" w:type="dxa"/>
            <w:vAlign w:val="center"/>
          </w:tcPr>
          <w:p>
            <w:pPr>
              <w:jc w:val="left"/>
              <w:rPr>
                <w:rFonts w:hint="eastAsia"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通过对称重系统的设置，可设置红绿灯的显示模式，支持两种模式：①空磅显示绿色；车辆上磅后显示红色；下磅后无重量显示绿色。②空磅显示绿色；车辆上磅后显示红色；刷卡成功数据保存后显示绿色。通过红绿双灯显示，提示车辆是否可以上磅称重，是否称重完毕，实现智能引导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pStyle w:val="2"/>
              <w:numPr>
                <w:ilvl w:val="0"/>
                <w:numId w:val="0"/>
              </w:numPr>
              <w:jc w:val="center"/>
              <w:rPr>
                <w:rFonts w:hint="default"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7</w:t>
            </w:r>
          </w:p>
        </w:tc>
        <w:tc>
          <w:tcPr>
            <w:tcW w:w="1296" w:type="dxa"/>
            <w:vAlign w:val="center"/>
          </w:tcPr>
          <w:p>
            <w:pPr>
              <w:pStyle w:val="2"/>
              <w:numPr>
                <w:ilvl w:val="0"/>
                <w:numId w:val="0"/>
              </w:numPr>
              <w:jc w:val="left"/>
              <w:rPr>
                <w:rFonts w:hint="eastAsia"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道闸控制</w:t>
            </w:r>
          </w:p>
        </w:tc>
        <w:tc>
          <w:tcPr>
            <w:tcW w:w="7264" w:type="dxa"/>
            <w:vAlign w:val="center"/>
          </w:tcPr>
          <w:p>
            <w:pPr>
              <w:jc w:val="left"/>
              <w:rPr>
                <w:rFonts w:hint="eastAsia"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系统可以根据车牌识别、红外检测、红绿灯等传感器信号，对道闸和栏杆实施智能控制，未授权车辆禁止上下磅，实现对过磅车辆的称重规范化管理。当合法过磅车辆依据流程称重完毕后，挡车栏杆自动升起放行。挡车栏杆具备防砸车功能，当车辆在栏杆处未离开时，系统发送命令使栏杆保持开启状态，直到车辆离开后栏杆自动下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pStyle w:val="2"/>
              <w:numPr>
                <w:ilvl w:val="0"/>
                <w:numId w:val="0"/>
              </w:numPr>
              <w:jc w:val="center"/>
              <w:rPr>
                <w:rFonts w:hint="default"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8</w:t>
            </w:r>
          </w:p>
        </w:tc>
        <w:tc>
          <w:tcPr>
            <w:tcW w:w="1296" w:type="dxa"/>
            <w:vAlign w:val="center"/>
          </w:tcPr>
          <w:p>
            <w:pPr>
              <w:pStyle w:val="2"/>
              <w:numPr>
                <w:ilvl w:val="0"/>
                <w:numId w:val="0"/>
              </w:numPr>
              <w:jc w:val="left"/>
              <w:rPr>
                <w:rFonts w:hint="eastAsia"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红外防作弊功能</w:t>
            </w:r>
          </w:p>
        </w:tc>
        <w:tc>
          <w:tcPr>
            <w:tcW w:w="7264" w:type="dxa"/>
            <w:vAlign w:val="center"/>
          </w:tcPr>
          <w:p>
            <w:pPr>
              <w:jc w:val="left"/>
              <w:rPr>
                <w:rFonts w:hint="eastAsia"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系统自动检测布设在地磅上下口位置的红外检测器，判定车辆停放位置是否合规，自动根据规则是否触发感应，实时通过报警灯反馈给司机，方便司机及时纠正停放在地磅上面的位置。红外防作弊检测可防止车辆不完全上磅时进行称重，从而导致故意减少毛重和减少皮重的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pStyle w:val="2"/>
              <w:numPr>
                <w:ilvl w:val="0"/>
                <w:numId w:val="0"/>
              </w:numPr>
              <w:jc w:val="center"/>
              <w:rPr>
                <w:rFonts w:hint="default"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9</w:t>
            </w:r>
          </w:p>
        </w:tc>
        <w:tc>
          <w:tcPr>
            <w:tcW w:w="12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控制室</w:t>
            </w:r>
            <w:r>
              <w:rPr>
                <w:rFonts w:hint="eastAsia" w:ascii="宋体" w:hAnsi="宋体" w:eastAsia="宋体" w:cs="宋体"/>
                <w:color w:val="auto"/>
                <w:kern w:val="2"/>
                <w:sz w:val="21"/>
                <w:szCs w:val="21"/>
                <w:highlight w:val="none"/>
                <w:lang w:val="en-US" w:eastAsia="zh-CN" w:bidi="ar-SA"/>
              </w:rPr>
              <w:t>、地磅遮雨棚</w:t>
            </w:r>
          </w:p>
        </w:tc>
        <w:tc>
          <w:tcPr>
            <w:tcW w:w="726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2m×3m 控制室（岗亭）</w:t>
            </w:r>
            <w:r>
              <w:rPr>
                <w:rFonts w:hint="eastAsia" w:ascii="宋体" w:hAnsi="宋体" w:eastAsia="宋体" w:cs="宋体"/>
                <w:color w:val="auto"/>
                <w:kern w:val="2"/>
                <w:sz w:val="21"/>
                <w:szCs w:val="21"/>
                <w:highlight w:val="none"/>
                <w:lang w:val="en-US" w:eastAsia="zh-CN" w:bidi="ar-SA"/>
              </w:rPr>
              <w:t>、地磅遮雨棚安装满足雨天天气户外称重不受影响。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pStyle w:val="2"/>
              <w:numPr>
                <w:ilvl w:val="0"/>
                <w:numId w:val="0"/>
              </w:numPr>
              <w:jc w:val="center"/>
              <w:rPr>
                <w:rFonts w:hint="default" w:eastAsia="宋体" w:cs="宋体"/>
                <w:color w:val="auto"/>
                <w:kern w:val="2"/>
                <w:sz w:val="21"/>
                <w:szCs w:val="21"/>
                <w:highlight w:val="none"/>
                <w:lang w:val="en-US" w:eastAsia="zh-CN" w:bidi="ar-SA"/>
              </w:rPr>
            </w:pPr>
            <w:r>
              <w:rPr>
                <w:rFonts w:hint="eastAsia" w:eastAsia="宋体" w:cs="宋体"/>
                <w:color w:val="auto"/>
                <w:kern w:val="2"/>
                <w:sz w:val="21"/>
                <w:szCs w:val="21"/>
                <w:highlight w:val="none"/>
                <w:lang w:val="en-US" w:eastAsia="zh-CN" w:bidi="ar-SA"/>
              </w:rPr>
              <w:t>10</w:t>
            </w:r>
          </w:p>
        </w:tc>
        <w:tc>
          <w:tcPr>
            <w:tcW w:w="1296" w:type="dxa"/>
            <w:vAlign w:val="center"/>
          </w:tcPr>
          <w:p>
            <w:pPr>
              <w:pStyle w:val="2"/>
              <w:numPr>
                <w:ilvl w:val="0"/>
                <w:numId w:val="0"/>
              </w:numPr>
              <w:jc w:val="left"/>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室内控制柜</w:t>
            </w:r>
          </w:p>
        </w:tc>
        <w:tc>
          <w:tcPr>
            <w:tcW w:w="726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1.为整个系统提供稳定的电源，提高系统稳定性；2.汇总红绿灯/红外光电开关/道闸等设备的连线，</w:t>
            </w:r>
          </w:p>
          <w:p>
            <w:pPr>
              <w:pStyle w:val="2"/>
              <w:numPr>
                <w:ilvl w:val="0"/>
                <w:numId w:val="0"/>
              </w:numPr>
              <w:jc w:val="left"/>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为计算机控制这些设备提供电缆连接，提高系统集成能力；3.采用不锈钢防水机箱；</w:t>
            </w:r>
          </w:p>
        </w:tc>
      </w:tr>
    </w:tbl>
    <w:p>
      <w:pPr>
        <w:keepNext w:val="0"/>
        <w:keepLines w:val="0"/>
        <w:pageBreakBefore w:val="0"/>
        <w:widowControl/>
        <w:numPr>
          <w:ilvl w:val="0"/>
          <w:numId w:val="0"/>
        </w:numPr>
        <w:kinsoku/>
        <w:wordWrap/>
        <w:overflowPunct/>
        <w:topLinePunct w:val="0"/>
        <w:autoSpaceDE/>
        <w:autoSpaceDN/>
        <w:bidi w:val="0"/>
        <w:spacing w:line="500" w:lineRule="exact"/>
        <w:ind w:firstLine="281" w:firstLineChars="100"/>
        <w:textAlignment w:val="auto"/>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2、设备要求：</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2154"/>
        <w:gridCol w:w="696"/>
        <w:gridCol w:w="4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序号</w:t>
            </w:r>
          </w:p>
        </w:tc>
        <w:tc>
          <w:tcPr>
            <w:tcW w:w="2154" w:type="dxa"/>
            <w:vAlign w:val="center"/>
          </w:tcPr>
          <w:p>
            <w:pPr>
              <w:pStyle w:val="2"/>
              <w:numPr>
                <w:ilvl w:val="0"/>
                <w:numId w:val="0"/>
              </w:numPr>
              <w:jc w:val="center"/>
              <w:rPr>
                <w:rFonts w:hint="default"/>
                <w:color w:val="auto"/>
                <w:highlight w:val="none"/>
                <w:vertAlign w:val="baseline"/>
                <w:lang w:val="en-US" w:eastAsia="zh-CN"/>
              </w:rPr>
            </w:pPr>
            <w:r>
              <w:rPr>
                <w:rFonts w:hint="default"/>
                <w:color w:val="auto"/>
                <w:highlight w:val="none"/>
                <w:vertAlign w:val="baseline"/>
                <w:lang w:val="en-US" w:eastAsia="zh-CN"/>
              </w:rPr>
              <w:t>名称及规格</w:t>
            </w:r>
          </w:p>
        </w:tc>
        <w:tc>
          <w:tcPr>
            <w:tcW w:w="696" w:type="dxa"/>
            <w:vAlign w:val="center"/>
          </w:tcPr>
          <w:p>
            <w:pPr>
              <w:pStyle w:val="2"/>
              <w:numPr>
                <w:ilvl w:val="0"/>
                <w:numId w:val="0"/>
              </w:numPr>
              <w:jc w:val="center"/>
              <w:rPr>
                <w:rFonts w:hint="default"/>
                <w:color w:val="auto"/>
                <w:highlight w:val="none"/>
                <w:vertAlign w:val="baseline"/>
                <w:lang w:val="en-US" w:eastAsia="zh-CN"/>
              </w:rPr>
            </w:pPr>
            <w:r>
              <w:rPr>
                <w:rFonts w:hint="default"/>
                <w:color w:val="auto"/>
                <w:highlight w:val="none"/>
                <w:vertAlign w:val="baseline"/>
                <w:lang w:val="en-US" w:eastAsia="zh-CN"/>
              </w:rPr>
              <w:t>数量</w:t>
            </w:r>
          </w:p>
        </w:tc>
        <w:tc>
          <w:tcPr>
            <w:tcW w:w="4894" w:type="dxa"/>
            <w:vAlign w:val="center"/>
          </w:tcPr>
          <w:p>
            <w:pPr>
              <w:pStyle w:val="2"/>
              <w:numPr>
                <w:ilvl w:val="0"/>
                <w:numId w:val="0"/>
              </w:numPr>
              <w:jc w:val="center"/>
              <w:rPr>
                <w:rFonts w:hint="default"/>
                <w:color w:val="auto"/>
                <w:highlight w:val="none"/>
                <w:vertAlign w:val="baseline"/>
                <w:lang w:val="en-US" w:eastAsia="zh-CN"/>
              </w:rPr>
            </w:pPr>
            <w:r>
              <w:rPr>
                <w:rFonts w:hint="default"/>
                <w:color w:val="auto"/>
                <w:highlight w:val="none"/>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6" w:hRule="atLeast"/>
          <w:jc w:val="center"/>
        </w:trPr>
        <w:tc>
          <w:tcPr>
            <w:tcW w:w="760" w:type="dxa"/>
            <w:vAlign w:val="center"/>
          </w:tcPr>
          <w:p>
            <w:pPr>
              <w:pStyle w:val="2"/>
              <w:numPr>
                <w:ilvl w:val="0"/>
                <w:numId w:val="0"/>
              </w:numPr>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3m×12m/</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80 吨秤台</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 xml:space="preserve">1 台 </w:t>
            </w:r>
          </w:p>
        </w:tc>
        <w:tc>
          <w:tcPr>
            <w:tcW w:w="4894" w:type="dxa"/>
            <w:vAlign w:val="center"/>
          </w:tcPr>
          <w:p>
            <w:pPr>
              <w:pStyle w:val="2"/>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1.采用国标全新材料，面板厚度 12mm，端头支撑厚度30mm，6根750“U”型梁，整体安装高度450mm（注：采用材料均为国标材料，其公差为 ±0.3mm）</w:t>
            </w:r>
          </w:p>
          <w:p>
            <w:pPr>
              <w:pStyle w:val="2"/>
              <w:numPr>
                <w:ilvl w:val="0"/>
                <w:numId w:val="0"/>
              </w:numPr>
              <w:jc w:val="both"/>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2.结构：采用行业领先“U”型钢构造为主梁；</w:t>
            </w:r>
          </w:p>
          <w:p>
            <w:pPr>
              <w:pStyle w:val="2"/>
              <w:numPr>
                <w:ilvl w:val="0"/>
                <w:numId w:val="0"/>
              </w:numPr>
              <w:jc w:val="both"/>
              <w:rPr>
                <w:rFonts w:hint="default"/>
                <w:color w:val="auto"/>
                <w:sz w:val="16"/>
                <w:szCs w:val="16"/>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3.整梁单根不对接（在全省地磅行业中是唯一一家拥有 800 吨大型双机连动折弯机、液压摆式剪板机和数控切割机、底盘自动焊接机、预拱机等一整套自叁动化生产设备的 厂家,为全省同行业中最先进）；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无接线盒称重</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传感器 30t</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6 套</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w:t>
            </w:r>
            <w:r>
              <w:rPr>
                <w:rFonts w:hint="default" w:ascii="宋体" w:hAnsi="宋体" w:eastAsia="宋体" w:cs="宋体"/>
                <w:color w:val="auto"/>
                <w:sz w:val="18"/>
                <w:szCs w:val="18"/>
                <w:highlight w:val="none"/>
                <w:vertAlign w:val="baseline"/>
                <w:lang w:val="en-US" w:eastAsia="zh-CN"/>
              </w:rPr>
              <w:t>加强版物联网加密模式，防遥控防干扰，防止称重作弊；</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w:t>
            </w:r>
            <w:r>
              <w:rPr>
                <w:rFonts w:hint="default" w:ascii="宋体" w:hAnsi="宋体" w:eastAsia="宋体" w:cs="宋体"/>
                <w:color w:val="auto"/>
                <w:sz w:val="18"/>
                <w:szCs w:val="18"/>
                <w:highlight w:val="none"/>
                <w:vertAlign w:val="baseline"/>
                <w:lang w:val="en-US" w:eastAsia="zh-CN"/>
              </w:rPr>
              <w:t>采用加强版进口芯片：灵敏度、精度更高、反应速度更快，稳定性更强大；</w:t>
            </w:r>
          </w:p>
          <w:p>
            <w:pPr>
              <w:pStyle w:val="2"/>
              <w:numPr>
                <w:ilvl w:val="0"/>
                <w:numId w:val="0"/>
              </w:numPr>
              <w:jc w:val="both"/>
              <w:rPr>
                <w:rFonts w:hint="default"/>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w:t>
            </w:r>
            <w:r>
              <w:rPr>
                <w:rFonts w:hint="default" w:ascii="宋体" w:hAnsi="宋体" w:eastAsia="宋体" w:cs="宋体"/>
                <w:color w:val="auto"/>
                <w:sz w:val="18"/>
                <w:szCs w:val="18"/>
                <w:highlight w:val="none"/>
                <w:vertAlign w:val="baseline"/>
                <w:lang w:val="en-US" w:eastAsia="zh-CN"/>
              </w:rPr>
              <w:t>防雷、防水</w:t>
            </w:r>
            <w:r>
              <w:rPr>
                <w:rFonts w:hint="eastAsia" w:ascii="宋体" w:hAnsi="宋体" w:eastAsia="宋体" w:cs="宋体"/>
                <w:color w:val="auto"/>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物联网仪表</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 xml:space="preserve">1 个 </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1.加密模式，防遥控防干扰，防止称重作弊；</w:t>
            </w:r>
          </w:p>
          <w:p>
            <w:pPr>
              <w:pStyle w:val="2"/>
              <w:numPr>
                <w:ilvl w:val="0"/>
                <w:numId w:val="0"/>
              </w:numPr>
              <w:jc w:val="both"/>
              <w:rPr>
                <w:rFonts w:hint="default"/>
                <w:color w:val="auto"/>
                <w:sz w:val="16"/>
                <w:szCs w:val="16"/>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2.支持云端 APP 查询监控，电脑手机可以随时查看数据；3.全触摸屏；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地磅专用线缆</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套</w:t>
            </w:r>
          </w:p>
        </w:tc>
        <w:tc>
          <w:tcPr>
            <w:tcW w:w="4894" w:type="dxa"/>
            <w:vAlign w:val="center"/>
          </w:tcPr>
          <w:p>
            <w:pPr>
              <w:pStyle w:val="2"/>
              <w:numPr>
                <w:ilvl w:val="0"/>
                <w:numId w:val="0"/>
              </w:numPr>
              <w:jc w:val="both"/>
              <w:rPr>
                <w:rFonts w:hint="default"/>
                <w:color w:val="auto"/>
                <w:sz w:val="32"/>
                <w:szCs w:val="32"/>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1.采用金属信号线，具有防鼠、防腐功能；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5</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防水监控、拍</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照摄像机</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 个</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1.200 万像素高清；</w:t>
            </w:r>
          </w:p>
          <w:p>
            <w:pPr>
              <w:pStyle w:val="2"/>
              <w:numPr>
                <w:ilvl w:val="0"/>
                <w:numId w:val="0"/>
              </w:numPr>
              <w:jc w:val="both"/>
              <w:rPr>
                <w:rFonts w:hint="default"/>
                <w:color w:val="auto"/>
                <w:sz w:val="32"/>
                <w:szCs w:val="32"/>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2.抓拍车辆图像及保存；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6</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车牌识别摄像机</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 个</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1.200 万像素高清；</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2.识别率 99.9%；</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3.支持蓝牌、黄牌、挂车号牌、新军牌、警牌、新</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武警车牌、教练车牌、大使馆车牌、农用车牌、个</w:t>
            </w:r>
          </w:p>
          <w:p>
            <w:pPr>
              <w:pStyle w:val="2"/>
              <w:numPr>
                <w:ilvl w:val="0"/>
                <w:numId w:val="0"/>
              </w:numPr>
              <w:jc w:val="both"/>
              <w:rPr>
                <w:rFonts w:hint="default"/>
                <w:color w:val="auto"/>
                <w:sz w:val="32"/>
                <w:szCs w:val="32"/>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性化车牌、港澳出入境车牌、民航车牌等；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7</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1.5m车牌识别</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机立杆及安装</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附件</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 套</w:t>
            </w:r>
          </w:p>
        </w:tc>
        <w:tc>
          <w:tcPr>
            <w:tcW w:w="4894" w:type="dxa"/>
            <w:vAlign w:val="center"/>
          </w:tcPr>
          <w:p>
            <w:pPr>
              <w:pStyle w:val="2"/>
              <w:numPr>
                <w:ilvl w:val="0"/>
                <w:numId w:val="0"/>
              </w:numPr>
              <w:jc w:val="both"/>
              <w:rPr>
                <w:rFonts w:hint="default"/>
                <w:color w:val="auto"/>
                <w:sz w:val="40"/>
                <w:szCs w:val="40"/>
                <w:highlight w:val="none"/>
                <w:vertAlign w:val="baseline"/>
                <w:lang w:val="en-US" w:eastAsia="zh-CN"/>
              </w:rPr>
            </w:pPr>
            <w:r>
              <w:rPr>
                <w:rFonts w:hint="default" w:ascii="宋体" w:hAnsi="宋体" w:eastAsia="宋体" w:cs="宋体"/>
                <w:color w:val="auto"/>
                <w:sz w:val="21"/>
                <w:szCs w:val="21"/>
                <w:highlight w:val="none"/>
                <w:vertAlign w:val="baseline"/>
                <w:lang w:val="en-US" w:eastAsia="zh-CN"/>
              </w:rPr>
              <w:t>1.主要安装车牌识别摄像机；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8</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2m 拍照摄像</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机、红绿灯立</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杆及安装附件</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 套</w:t>
            </w:r>
          </w:p>
        </w:tc>
        <w:tc>
          <w:tcPr>
            <w:tcW w:w="4894" w:type="dxa"/>
            <w:vAlign w:val="center"/>
          </w:tcPr>
          <w:p>
            <w:pPr>
              <w:pStyle w:val="2"/>
              <w:numPr>
                <w:ilvl w:val="0"/>
                <w:numId w:val="0"/>
              </w:numPr>
              <w:jc w:val="both"/>
              <w:rPr>
                <w:rFonts w:hint="default" w:ascii="宋体" w:hAnsi="宋体" w:eastAsia="宋体" w:cs="宋体"/>
                <w:color w:val="auto"/>
                <w:sz w:val="21"/>
                <w:szCs w:val="21"/>
                <w:highlight w:val="none"/>
                <w:vertAlign w:val="baseline"/>
                <w:lang w:val="en-US" w:eastAsia="zh-CN"/>
              </w:rPr>
            </w:pPr>
            <w:r>
              <w:rPr>
                <w:rFonts w:hint="default" w:ascii="宋体" w:hAnsi="宋体" w:eastAsia="宋体" w:cs="宋体"/>
                <w:color w:val="auto"/>
                <w:sz w:val="21"/>
                <w:szCs w:val="21"/>
                <w:highlight w:val="none"/>
                <w:vertAlign w:val="baseline"/>
                <w:lang w:val="en-US" w:eastAsia="zh-CN"/>
              </w:rPr>
              <w:t>1.主要安装拍照摄像机、红绿灯；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9</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交换机</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台</w:t>
            </w:r>
          </w:p>
        </w:tc>
        <w:tc>
          <w:tcPr>
            <w:tcW w:w="4894" w:type="dxa"/>
            <w:vAlign w:val="center"/>
          </w:tcPr>
          <w:p>
            <w:pPr>
              <w:pStyle w:val="2"/>
              <w:numPr>
                <w:ilvl w:val="0"/>
                <w:numId w:val="0"/>
              </w:numPr>
              <w:jc w:val="left"/>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1.用于网络摄像机、主机等连接；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10</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硬盘录像机</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台</w:t>
            </w:r>
          </w:p>
        </w:tc>
        <w:tc>
          <w:tcPr>
            <w:tcW w:w="4894" w:type="dxa"/>
            <w:vAlign w:val="center"/>
          </w:tcPr>
          <w:p>
            <w:pPr>
              <w:pStyle w:val="2"/>
              <w:numPr>
                <w:ilvl w:val="0"/>
                <w:numId w:val="0"/>
              </w:numPr>
              <w:jc w:val="left"/>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1.主要监控地磅过磅时录像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11</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24 寸显示器</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台</w:t>
            </w:r>
          </w:p>
        </w:tc>
        <w:tc>
          <w:tcPr>
            <w:tcW w:w="4894" w:type="dxa"/>
            <w:vAlign w:val="center"/>
          </w:tcPr>
          <w:p>
            <w:pPr>
              <w:pStyle w:val="2"/>
              <w:numPr>
                <w:ilvl w:val="0"/>
                <w:numId w:val="0"/>
              </w:numPr>
              <w:jc w:val="left"/>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1.用于硬盘录像机显示</w:t>
            </w:r>
            <w:r>
              <w:rPr>
                <w:rFonts w:hint="eastAsia" w:eastAsia="宋体" w:cs="宋体"/>
                <w:color w:val="auto"/>
                <w:sz w:val="18"/>
                <w:szCs w:val="18"/>
                <w:highlight w:val="none"/>
                <w:vertAlign w:val="baseline"/>
                <w:lang w:val="en-US" w:eastAsia="zh-CN"/>
              </w:rPr>
              <w:t>，品牌：联想或同等级别的显示器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12</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道闸设备</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 套</w:t>
            </w:r>
          </w:p>
        </w:tc>
        <w:tc>
          <w:tcPr>
            <w:tcW w:w="4894" w:type="dxa"/>
            <w:vAlign w:val="center"/>
          </w:tcPr>
          <w:p>
            <w:pPr>
              <w:pStyle w:val="2"/>
              <w:numPr>
                <w:ilvl w:val="0"/>
                <w:numId w:val="0"/>
              </w:numPr>
              <w:jc w:val="left"/>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1.前后个一套控制车辆进出，以防车辆在没有完成</w:t>
            </w:r>
          </w:p>
          <w:p>
            <w:pPr>
              <w:pStyle w:val="2"/>
              <w:numPr>
                <w:ilvl w:val="0"/>
                <w:numId w:val="0"/>
              </w:numPr>
              <w:jc w:val="left"/>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称重流程提前驶离；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13</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地感线圈</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 套</w:t>
            </w:r>
          </w:p>
        </w:tc>
        <w:tc>
          <w:tcPr>
            <w:tcW w:w="4894" w:type="dxa"/>
            <w:vAlign w:val="center"/>
          </w:tcPr>
          <w:p>
            <w:pPr>
              <w:pStyle w:val="2"/>
              <w:numPr>
                <w:ilvl w:val="0"/>
                <w:numId w:val="0"/>
              </w:numPr>
              <w:jc w:val="left"/>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1.控制道闸的起落；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14</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红外对射光栅</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 对</w:t>
            </w:r>
          </w:p>
        </w:tc>
        <w:tc>
          <w:tcPr>
            <w:tcW w:w="4894" w:type="dxa"/>
            <w:vAlign w:val="center"/>
          </w:tcPr>
          <w:p>
            <w:pPr>
              <w:pStyle w:val="2"/>
              <w:numPr>
                <w:ilvl w:val="0"/>
                <w:numId w:val="0"/>
              </w:numPr>
              <w:jc w:val="left"/>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1.检测确保车辆是否在有效地磅范围；2.防止作弊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15</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不锈钢红外对</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射光栅外壳及</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附件</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 对</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1.采用不锈钢材质保护红外对射光栅；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16</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车辆检测器</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 套</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1.检测车辆的上下情况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17</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红绿灯</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个</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1.指引及提示司机上下磅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18</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语音系统</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套</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1.提示司机离开、向前、向后、称量完毕等，或者操作员通过麦克风人工发出语音提示；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19</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工业控制计算机</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套</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1.控制主机</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2.含键盘、鼠标、主机系统</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3.含 21 寸显示器</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eastAsia" w:eastAsia="宋体" w:cs="宋体"/>
                <w:color w:val="auto"/>
                <w:sz w:val="18"/>
                <w:szCs w:val="18"/>
                <w:highlight w:val="none"/>
                <w:vertAlign w:val="baseline"/>
                <w:lang w:val="en-US" w:eastAsia="zh-CN"/>
              </w:rPr>
              <w:t>4、品牌：研华或同等级别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20</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室内控制柜</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套</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1.为整个系统提供稳定的电源，提高系统稳定性；</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2.汇总红绿灯/红外光电开关/道闸等设备的连线，</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为计算机控制这些设备提供电缆连接，提高系统集</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成能力；</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3.采用不锈钢防水机箱；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21</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打印机</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台</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1.集中于控制室连接三台地磅数据打印；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22</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20 寸 LED 显示屏</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台</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1.采用 LED 发光管，确保亮度；</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2.上滚显示称重重量；</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3.防雨式设计，确保全天候可靠运行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pStyle w:val="2"/>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23</w:t>
            </w:r>
          </w:p>
        </w:tc>
        <w:tc>
          <w:tcPr>
            <w:tcW w:w="2154"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2m×3m 控制室</w:t>
            </w:r>
          </w:p>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（岗亭）</w:t>
            </w:r>
          </w:p>
        </w:tc>
        <w:tc>
          <w:tcPr>
            <w:tcW w:w="696" w:type="dxa"/>
            <w:vAlign w:val="center"/>
          </w:tcPr>
          <w:p>
            <w:pPr>
              <w:pStyle w:val="2"/>
              <w:numPr>
                <w:ilvl w:val="0"/>
                <w:numId w:val="0"/>
              </w:numPr>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 个</w:t>
            </w:r>
          </w:p>
        </w:tc>
        <w:tc>
          <w:tcPr>
            <w:tcW w:w="4894" w:type="dxa"/>
            <w:vAlign w:val="center"/>
          </w:tcPr>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1.用于控制箱、交换机、仪表、LED 显示屏等设</w:t>
            </w:r>
          </w:p>
          <w:p>
            <w:pPr>
              <w:pStyle w:val="2"/>
              <w:numPr>
                <w:ilvl w:val="0"/>
                <w:numId w:val="0"/>
              </w:numPr>
              <w:jc w:val="both"/>
              <w:rPr>
                <w:rFonts w:hint="default" w:ascii="宋体" w:hAnsi="宋体" w:eastAsia="宋体" w:cs="宋体"/>
                <w:color w:val="auto"/>
                <w:sz w:val="18"/>
                <w:szCs w:val="18"/>
                <w:highlight w:val="none"/>
                <w:vertAlign w:val="baseline"/>
                <w:lang w:val="en-US" w:eastAsia="zh-CN"/>
              </w:rPr>
            </w:pPr>
            <w:r>
              <w:rPr>
                <w:rFonts w:hint="default" w:ascii="宋体" w:hAnsi="宋体" w:eastAsia="宋体" w:cs="宋体"/>
                <w:color w:val="auto"/>
                <w:sz w:val="18"/>
                <w:szCs w:val="18"/>
                <w:highlight w:val="none"/>
                <w:vertAlign w:val="baseline"/>
                <w:lang w:val="en-US" w:eastAsia="zh-CN"/>
              </w:rPr>
              <w:t>备放置，防水、防尘；2.包括：电源、网络接入，控制室地面硬化等；</w:t>
            </w:r>
          </w:p>
        </w:tc>
      </w:tr>
    </w:tbl>
    <w:p>
      <w:pPr>
        <w:pStyle w:val="2"/>
        <w:numPr>
          <w:ilvl w:val="0"/>
          <w:numId w:val="4"/>
        </w:numPr>
        <w:ind w:left="420" w:leftChars="0"/>
        <w:rPr>
          <w:rFonts w:hint="eastAsia" w:ascii="仿宋_GB2312" w:hAnsi="仿宋_GB2312" w:eastAsia="仿宋_GB2312" w:cs="仿宋_GB2312"/>
          <w:b/>
          <w:color w:val="auto"/>
          <w:kern w:val="2"/>
          <w:sz w:val="28"/>
          <w:szCs w:val="28"/>
          <w:highlight w:val="none"/>
          <w:lang w:val="en-US" w:eastAsia="zh-CN" w:bidi="ar-SA"/>
        </w:rPr>
      </w:pPr>
      <w:r>
        <w:rPr>
          <w:rFonts w:hint="eastAsia" w:ascii="仿宋_GB2312" w:hAnsi="仿宋_GB2312" w:eastAsia="仿宋_GB2312" w:cs="仿宋_GB2312"/>
          <w:b/>
          <w:color w:val="auto"/>
          <w:kern w:val="2"/>
          <w:sz w:val="28"/>
          <w:szCs w:val="28"/>
          <w:highlight w:val="none"/>
          <w:lang w:val="en-US" w:eastAsia="zh-CN" w:bidi="ar-SA"/>
        </w:rPr>
        <w:t>施工要求：</w:t>
      </w:r>
    </w:p>
    <w:p>
      <w:pPr>
        <w:keepNext w:val="0"/>
        <w:keepLines w:val="0"/>
        <w:pageBreakBefore w:val="0"/>
        <w:widowControl/>
        <w:kinsoku/>
        <w:wordWrap/>
        <w:overflowPunct/>
        <w:topLinePunct w:val="0"/>
        <w:autoSpaceDE/>
        <w:autoSpaceDN/>
        <w:bidi w:val="0"/>
        <w:spacing w:line="500" w:lineRule="exact"/>
        <w:ind w:left="0" w:firstLine="562" w:firstLineChars="200"/>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安装及施工方案要求</w:t>
      </w:r>
      <w:bookmarkStart w:id="65" w:name="_Toc252539737"/>
    </w:p>
    <w:p>
      <w:pPr>
        <w:numPr>
          <w:ilvl w:val="-1"/>
          <w:numId w:val="0"/>
        </w:numPr>
        <w:ind w:left="0"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zh-CN"/>
        </w:rPr>
        <w:t>必须提供施工期间的全面的、周密的、符合安全技术规范的施工方案，包括施工组织安排，现场管理人员、技术人员、施工人员配置及安排，应急防范措施，工程计划进度，及应急方案等等。具体方案，以</w:t>
      </w:r>
      <w:r>
        <w:rPr>
          <w:rFonts w:hint="eastAsia" w:ascii="仿宋_GB2312" w:hAnsi="仿宋_GB2312" w:eastAsia="仿宋_GB2312" w:cs="仿宋_GB2312"/>
          <w:color w:val="auto"/>
          <w:sz w:val="28"/>
          <w:szCs w:val="28"/>
          <w:highlight w:val="none"/>
          <w:lang w:val="en-US" w:eastAsia="zh-CN"/>
        </w:rPr>
        <w:t>分公司</w:t>
      </w:r>
      <w:r>
        <w:rPr>
          <w:rFonts w:hint="eastAsia" w:ascii="仿宋_GB2312" w:hAnsi="仿宋_GB2312" w:eastAsia="仿宋_GB2312" w:cs="仿宋_GB2312"/>
          <w:color w:val="auto"/>
          <w:sz w:val="28"/>
          <w:szCs w:val="28"/>
          <w:highlight w:val="none"/>
          <w:lang w:val="zh-CN"/>
        </w:rPr>
        <w:t>最后审核确认为准。</w:t>
      </w:r>
      <w:bookmarkEnd w:id="65"/>
      <w:r>
        <w:rPr>
          <w:rFonts w:hint="eastAsia" w:ascii="仿宋_GB2312" w:hAnsi="仿宋_GB2312" w:eastAsia="仿宋_GB2312" w:cs="仿宋_GB2312"/>
          <w:color w:val="auto"/>
          <w:sz w:val="28"/>
          <w:szCs w:val="28"/>
          <w:highlight w:val="none"/>
          <w:lang w:val="en-US" w:eastAsia="zh-CN"/>
        </w:rPr>
        <w:t>施工流程如下：</w:t>
      </w:r>
    </w:p>
    <w:p>
      <w:pPr>
        <w:numPr>
          <w:ilvl w:val="-1"/>
          <w:numId w:val="0"/>
        </w:numPr>
        <w:ind w:left="0"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1</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、摸查东门地下管道。</w:t>
      </w:r>
    </w:p>
    <w:p>
      <w:pPr>
        <w:numPr>
          <w:ilvl w:val="-1"/>
          <w:numId w:val="0"/>
        </w:numPr>
        <w:ind w:left="0"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lang w:val="en-US" w:eastAsia="zh-CN"/>
        </w:rPr>
        <w:t>、初步开挖地点位于围墙绿化带，具体以探管情况为准。</w:t>
      </w:r>
      <w:r>
        <w:rPr>
          <w:rFonts w:hint="default" w:ascii="Times New Roman" w:hAnsi="Times New Roman" w:eastAsia="仿宋_GB2312" w:cs="Times New Roman"/>
          <w:color w:val="auto"/>
          <w:sz w:val="28"/>
          <w:szCs w:val="28"/>
          <w:highlight w:val="none"/>
        </w:rPr>
        <w:t>进行基础开挖4.5mx13mx1m,土方外运。开挖后原土夯实，铺200mm碎石，压实。浇筑10</w:t>
      </w:r>
      <w:r>
        <w:rPr>
          <w:rFonts w:hint="default" w:ascii="Times New Roman" w:hAnsi="Times New Roman"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rPr>
        <w:t>mm垫层。进行基础钢筋笼绑扎，支模，地秤6个电子模块预埋板定位焊接，6个电子模块电缆敷设，防雷接地网敷设，地秤基础集水坑支模，排水管安装完成，再进行基础浇筑。地秤围墙钢筋绑扎，支模，角钢圈固定焊接，再进行混凝土浇筑。拆模后表面抹平。养护</w:t>
      </w:r>
      <w:r>
        <w:rPr>
          <w:rFonts w:hint="eastAsia" w:ascii="Times New Roman" w:hAnsi="Times New Roman" w:eastAsia="仿宋_GB2312" w:cs="Times New Roman"/>
          <w:color w:val="auto"/>
          <w:sz w:val="28"/>
          <w:szCs w:val="28"/>
          <w:highlight w:val="none"/>
          <w:lang w:val="en-US" w:eastAsia="zh-CN"/>
        </w:rPr>
        <w:t>一个</w:t>
      </w:r>
      <w:r>
        <w:rPr>
          <w:rFonts w:hint="default" w:ascii="Times New Roman" w:hAnsi="Times New Roman" w:eastAsia="仿宋_GB2312" w:cs="Times New Roman"/>
          <w:color w:val="auto"/>
          <w:sz w:val="28"/>
          <w:szCs w:val="28"/>
          <w:highlight w:val="none"/>
        </w:rPr>
        <w:t>星期。拆除地秤，倒运，安装，找平，调试。打凿原地秤周围高出地面混凝土，地秤基础坑混凝土浇筑。</w:t>
      </w:r>
    </w:p>
    <w:p>
      <w:pPr>
        <w:numPr>
          <w:ilvl w:val="-1"/>
          <w:numId w:val="0"/>
        </w:numPr>
        <w:ind w:left="0" w:firstLine="560" w:firstLineChars="200"/>
        <w:rPr>
          <w:rFonts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敷设光纤，</w:t>
      </w:r>
      <w:r>
        <w:rPr>
          <w:rFonts w:hint="default" w:ascii="Times New Roman" w:hAnsi="Times New Roman" w:eastAsia="仿宋_GB2312" w:cs="Times New Roman"/>
          <w:color w:val="auto"/>
          <w:sz w:val="28"/>
          <w:szCs w:val="28"/>
          <w:highlight w:val="none"/>
          <w:lang w:val="en-US" w:eastAsia="zh-CN"/>
        </w:rPr>
        <w:t>安装地磅道闸及远程传输系统</w:t>
      </w:r>
      <w:r>
        <w:rPr>
          <w:rFonts w:hint="eastAsia" w:ascii="Times New Roman" w:hAnsi="Times New Roman" w:eastAsia="仿宋_GB2312" w:cs="Times New Roman"/>
          <w:color w:val="auto"/>
          <w:sz w:val="28"/>
          <w:szCs w:val="28"/>
          <w:highlight w:val="none"/>
          <w:lang w:val="en-US" w:eastAsia="zh-CN"/>
        </w:rPr>
        <w:t>，接入原有的无人称重系统</w:t>
      </w:r>
      <w:r>
        <w:rPr>
          <w:rFonts w:hint="default" w:ascii="Times New Roman" w:hAnsi="Times New Roman" w:eastAsia="仿宋_GB2312" w:cs="Times New Roman"/>
          <w:color w:val="auto"/>
          <w:sz w:val="28"/>
          <w:szCs w:val="28"/>
          <w:highlight w:val="none"/>
          <w:lang w:val="en-US" w:eastAsia="zh-CN"/>
        </w:rPr>
        <w:t>等</w:t>
      </w:r>
      <w:r>
        <w:rPr>
          <w:rFonts w:hint="eastAsia" w:ascii="Times New Roman" w:hAnsi="Times New Roman" w:eastAsia="仿宋_GB2312" w:cs="Times New Roman"/>
          <w:color w:val="auto"/>
          <w:sz w:val="28"/>
          <w:szCs w:val="28"/>
          <w:highlight w:val="none"/>
          <w:lang w:val="en-US" w:eastAsia="zh-CN"/>
        </w:rPr>
        <w:t>；加砌集水坑和安装具有自动抽水功能的抽水泵，抽至附近污水井。</w:t>
      </w:r>
    </w:p>
    <w:p>
      <w:pPr>
        <w:pStyle w:val="14"/>
        <w:ind w:firstLine="560" w:firstLineChars="200"/>
        <w:rPr>
          <w:rFonts w:hint="default" w:ascii="Times New Roman" w:hAnsi="Times New Roman" w:eastAsia="仿宋_GB2312" w:cs="Times New Roman"/>
          <w:color w:val="auto"/>
          <w:kern w:val="2"/>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kern w:val="2"/>
          <w:sz w:val="28"/>
          <w:szCs w:val="28"/>
          <w:highlight w:val="none"/>
          <w:lang w:val="en-US" w:eastAsia="zh-CN"/>
        </w:rPr>
        <w:t>、</w:t>
      </w:r>
      <w:r>
        <w:rPr>
          <w:rFonts w:hint="default" w:ascii="Times New Roman" w:hAnsi="Times New Roman" w:eastAsia="仿宋_GB2312" w:cs="Times New Roman"/>
          <w:color w:val="auto"/>
          <w:kern w:val="2"/>
          <w:sz w:val="28"/>
          <w:szCs w:val="28"/>
          <w:highlight w:val="none"/>
        </w:rPr>
        <w:t>倒车坪沥青地面铺设.清理现场机具和剩余材料。</w:t>
      </w:r>
    </w:p>
    <w:p>
      <w:pPr>
        <w:pStyle w:val="2"/>
        <w:numPr>
          <w:ilvl w:val="0"/>
          <w:numId w:val="4"/>
        </w:numPr>
        <w:ind w:left="420" w:leftChars="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b/>
          <w:color w:val="auto"/>
          <w:kern w:val="2"/>
          <w:sz w:val="28"/>
          <w:szCs w:val="28"/>
          <w:highlight w:val="none"/>
          <w:lang w:val="en-US" w:eastAsia="zh-CN" w:bidi="ar-SA"/>
        </w:rPr>
        <w:t>其他要求：</w:t>
      </w:r>
      <w:r>
        <w:rPr>
          <w:rFonts w:hint="eastAsia" w:ascii="仿宋_GB2312" w:hAnsi="仿宋_GB2312" w:eastAsia="仿宋_GB2312" w:cs="仿宋_GB2312"/>
          <w:b w:val="0"/>
          <w:bCs/>
          <w:color w:val="auto"/>
          <w:kern w:val="2"/>
          <w:sz w:val="28"/>
          <w:szCs w:val="28"/>
          <w:highlight w:val="none"/>
          <w:lang w:val="en-US" w:eastAsia="zh-CN" w:bidi="ar-SA"/>
        </w:rPr>
        <w:t>须</w:t>
      </w:r>
      <w:r>
        <w:rPr>
          <w:rFonts w:hint="eastAsia" w:ascii="仿宋_GB2312" w:hAnsi="仿宋_GB2312" w:eastAsia="仿宋_GB2312" w:cs="仿宋_GB2312"/>
          <w:color w:val="auto"/>
          <w:kern w:val="2"/>
          <w:sz w:val="28"/>
          <w:szCs w:val="28"/>
          <w:highlight w:val="none"/>
          <w:lang w:val="en-US" w:eastAsia="zh-CN" w:bidi="ar-SA"/>
        </w:rPr>
        <w:t>乙方委托有资质单位对80吨地磅计量检定合格，并出具合格证书，满足计量器具国家标准要求。</w:t>
      </w:r>
    </w:p>
    <w:p>
      <w:pPr>
        <w:pStyle w:val="2"/>
        <w:numPr>
          <w:ilvl w:val="0"/>
          <w:numId w:val="4"/>
        </w:numPr>
        <w:ind w:left="420" w:leftChars="0"/>
        <w:rPr>
          <w:rFonts w:hint="eastAsia" w:ascii="仿宋_GB2312" w:hAnsi="仿宋_GB2312" w:eastAsia="仿宋_GB2312" w:cs="仿宋_GB2312"/>
          <w:b/>
          <w:color w:val="auto"/>
          <w:kern w:val="2"/>
          <w:sz w:val="28"/>
          <w:szCs w:val="28"/>
          <w:highlight w:val="none"/>
          <w:lang w:val="zh-CN" w:eastAsia="zh-CN" w:bidi="ar-SA"/>
        </w:rPr>
      </w:pPr>
      <w:r>
        <w:rPr>
          <w:rFonts w:hint="eastAsia" w:ascii="仿宋_GB2312" w:hAnsi="仿宋_GB2312" w:eastAsia="仿宋_GB2312" w:cs="仿宋_GB2312"/>
          <w:b/>
          <w:color w:val="auto"/>
          <w:kern w:val="2"/>
          <w:sz w:val="28"/>
          <w:szCs w:val="28"/>
          <w:highlight w:val="none"/>
          <w:lang w:val="en-US" w:eastAsia="zh-CN" w:bidi="ar-SA"/>
        </w:rPr>
        <w:t xml:space="preserve">验收标准 </w:t>
      </w:r>
      <w:bookmarkEnd w:id="63"/>
      <w:bookmarkEnd w:id="64"/>
      <w:r>
        <w:rPr>
          <w:rFonts w:hint="eastAsia" w:ascii="仿宋_GB2312" w:hAnsi="仿宋_GB2312" w:eastAsia="仿宋_GB2312" w:cs="仿宋_GB2312"/>
          <w:b/>
          <w:color w:val="auto"/>
          <w:kern w:val="2"/>
          <w:sz w:val="28"/>
          <w:szCs w:val="28"/>
          <w:highlight w:val="none"/>
          <w:lang w:val="en-US" w:eastAsia="zh-CN" w:bidi="ar-SA"/>
        </w:rPr>
        <w:t xml:space="preserve"> </w:t>
      </w:r>
    </w:p>
    <w:p>
      <w:pPr>
        <w:widowControl/>
        <w:numPr>
          <w:ilvl w:val="-1"/>
          <w:numId w:val="0"/>
        </w:numPr>
        <w:spacing w:line="500" w:lineRule="exact"/>
        <w:ind w:firstLine="560" w:firstLineChars="200"/>
        <w:rPr>
          <w:rFonts w:hint="eastAsia" w:ascii="仿宋_GB2312" w:hAnsi="仿宋_GB2312" w:eastAsia="仿宋_GB2312" w:cs="仿宋_GB2312"/>
          <w:color w:val="auto"/>
          <w:sz w:val="28"/>
          <w:szCs w:val="28"/>
          <w:highlight w:val="none"/>
          <w:lang w:val="zh-CN"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val="zh-CN" w:eastAsia="zh-CN"/>
        </w:rPr>
        <w:t>《工业设备、管道安装工程施工及验收规范》GB50235-2010</w:t>
      </w:r>
    </w:p>
    <w:p>
      <w:pPr>
        <w:widowControl/>
        <w:numPr>
          <w:ilvl w:val="-1"/>
          <w:numId w:val="0"/>
        </w:numPr>
        <w:spacing w:line="500" w:lineRule="exact"/>
        <w:ind w:firstLine="560" w:firstLineChars="200"/>
        <w:rPr>
          <w:rFonts w:hint="eastAsia" w:ascii="仿宋_GB2312" w:hAnsi="仿宋_GB2312" w:eastAsia="仿宋_GB2312" w:cs="仿宋_GB2312"/>
          <w:color w:val="auto"/>
          <w:sz w:val="28"/>
          <w:szCs w:val="28"/>
          <w:highlight w:val="none"/>
          <w:lang w:val="zh-CN" w:eastAsia="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val="zh-CN" w:eastAsia="zh-CN"/>
        </w:rPr>
        <w:t>《城市污水处理厂工程质量验收规范》GB50334-2002</w:t>
      </w:r>
    </w:p>
    <w:p>
      <w:pPr>
        <w:widowControl/>
        <w:numPr>
          <w:ilvl w:val="-1"/>
          <w:numId w:val="0"/>
        </w:numPr>
        <w:spacing w:line="500" w:lineRule="exact"/>
        <w:ind w:left="0" w:leftChars="0" w:firstLine="560" w:firstLineChars="200"/>
        <w:rPr>
          <w:rFonts w:hint="eastAsia" w:ascii="仿宋_GB2312" w:hAnsi="仿宋_GB2312" w:eastAsia="仿宋_GB2312" w:cs="仿宋_GB2312"/>
          <w:color w:val="auto"/>
          <w:sz w:val="28"/>
          <w:szCs w:val="28"/>
          <w:highlight w:val="none"/>
          <w:lang w:val="zh-CN"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val="zh-CN" w:eastAsia="zh-CN"/>
        </w:rPr>
        <w:t xml:space="preserve">《电气装置安装工程接地装置施工及验收规范》GB50169-92 </w:t>
      </w:r>
    </w:p>
    <w:p>
      <w:pPr>
        <w:widowControl/>
        <w:numPr>
          <w:ilvl w:val="-1"/>
          <w:numId w:val="0"/>
        </w:numPr>
        <w:spacing w:line="500" w:lineRule="exact"/>
        <w:ind w:left="0" w:leftChars="0"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val="zh-CN"/>
        </w:rPr>
        <w:t>《现场设备、工业管道焊接工程施工规范》</w:t>
      </w:r>
      <w:r>
        <w:rPr>
          <w:rFonts w:hint="eastAsia" w:ascii="仿宋_GB2312" w:hAnsi="仿宋_GB2312" w:eastAsia="仿宋_GB2312" w:cs="仿宋_GB2312"/>
          <w:color w:val="auto"/>
          <w:sz w:val="28"/>
          <w:szCs w:val="28"/>
          <w:highlight w:val="none"/>
          <w:lang w:val="zh-CN" w:eastAsia="zh-CN"/>
        </w:rPr>
        <w:t>GB5</w:t>
      </w:r>
      <w:r>
        <w:rPr>
          <w:rFonts w:hint="eastAsia" w:ascii="仿宋_GB2312" w:hAnsi="仿宋_GB2312" w:eastAsia="仿宋_GB2312" w:cs="仿宋_GB2312"/>
          <w:color w:val="auto"/>
          <w:sz w:val="28"/>
          <w:szCs w:val="28"/>
          <w:highlight w:val="none"/>
          <w:lang w:val="zh-CN"/>
        </w:rPr>
        <w:t>0236</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zh-CN"/>
        </w:rPr>
        <w:t xml:space="preserve">2011 </w:t>
      </w:r>
    </w:p>
    <w:p>
      <w:pPr>
        <w:widowControl/>
        <w:numPr>
          <w:ilvl w:val="-1"/>
          <w:numId w:val="0"/>
        </w:numPr>
        <w:spacing w:line="500" w:lineRule="exact"/>
        <w:ind w:left="0" w:leftChars="0"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val="zh-CN"/>
        </w:rPr>
        <w:t>《工业管道焊接工程施工质量验收规范》</w:t>
      </w:r>
      <w:r>
        <w:rPr>
          <w:rFonts w:hint="eastAsia" w:ascii="仿宋_GB2312" w:hAnsi="仿宋_GB2312" w:eastAsia="仿宋_GB2312" w:cs="仿宋_GB2312"/>
          <w:color w:val="auto"/>
          <w:sz w:val="28"/>
          <w:szCs w:val="28"/>
          <w:highlight w:val="none"/>
          <w:lang w:val="zh-CN" w:eastAsia="zh-CN"/>
        </w:rPr>
        <w:t>GB</w:t>
      </w:r>
      <w:r>
        <w:rPr>
          <w:rFonts w:hint="eastAsia" w:ascii="仿宋_GB2312" w:hAnsi="仿宋_GB2312" w:eastAsia="仿宋_GB2312" w:cs="仿宋_GB2312"/>
          <w:color w:val="auto"/>
          <w:sz w:val="28"/>
          <w:szCs w:val="28"/>
          <w:highlight w:val="none"/>
          <w:lang w:val="zh-CN"/>
        </w:rPr>
        <w:t xml:space="preserve"> 50683</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zh-CN"/>
        </w:rPr>
        <w:t>2011</w:t>
      </w:r>
    </w:p>
    <w:p>
      <w:pPr>
        <w:widowControl/>
        <w:numPr>
          <w:ilvl w:val="-1"/>
          <w:numId w:val="0"/>
        </w:numPr>
        <w:spacing w:line="500" w:lineRule="exact"/>
        <w:ind w:left="0" w:leftChars="0"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val="zh-CN"/>
        </w:rPr>
        <w:t>《混凝士结构工程施工质质验收规范》GB50204</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zh-CN"/>
        </w:rPr>
        <w:t>201</w:t>
      </w:r>
      <w:r>
        <w:rPr>
          <w:rFonts w:hint="eastAsia" w:ascii="仿宋_GB2312" w:hAnsi="仿宋_GB2312" w:eastAsia="仿宋_GB2312" w:cs="仿宋_GB2312"/>
          <w:color w:val="auto"/>
          <w:sz w:val="28"/>
          <w:szCs w:val="28"/>
          <w:highlight w:val="none"/>
          <w:lang w:val="zh-CN" w:eastAsia="zh-CN"/>
        </w:rPr>
        <w:t>1</w:t>
      </w:r>
    </w:p>
    <w:p>
      <w:pPr>
        <w:widowControl/>
        <w:numPr>
          <w:ilvl w:val="-1"/>
          <w:numId w:val="0"/>
        </w:numPr>
        <w:spacing w:line="500" w:lineRule="exact"/>
        <w:ind w:left="0" w:leftChars="0"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val="zh-CN"/>
        </w:rPr>
        <w:t>《建筑工程施工质量验收统一标准》 GB50300</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zh-CN"/>
        </w:rPr>
        <w:t>2002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 w:afterAutospacing="0" w:line="330" w:lineRule="atLeast"/>
        <w:ind w:left="0" w:right="0" w:firstLine="560" w:firstLineChars="200"/>
        <w:jc w:val="left"/>
        <w:rPr>
          <w:rFonts w:hint="eastAsia" w:ascii="仿宋_GB2312" w:hAnsi="仿宋_GB2312" w:eastAsia="仿宋_GB2312" w:cs="仿宋_GB2312"/>
          <w:b w:val="0"/>
          <w:bCs w:val="0"/>
          <w:color w:val="auto"/>
          <w:kern w:val="2"/>
          <w:sz w:val="28"/>
          <w:szCs w:val="28"/>
          <w:highlight w:val="none"/>
          <w:lang w:val="zh-CN" w:eastAsia="zh-CN" w:bidi="ar-SA"/>
        </w:rPr>
      </w:pPr>
      <w:r>
        <w:rPr>
          <w:rFonts w:hint="eastAsia" w:ascii="仿宋_GB2312" w:hAnsi="仿宋_GB2312" w:eastAsia="仿宋_GB2312" w:cs="仿宋_GB2312"/>
          <w:b w:val="0"/>
          <w:bCs w:val="0"/>
          <w:color w:val="auto"/>
          <w:kern w:val="2"/>
          <w:sz w:val="28"/>
          <w:szCs w:val="28"/>
          <w:highlight w:val="none"/>
          <w:lang w:val="zh-CN" w:eastAsia="zh-CN" w:bidi="ar-SA"/>
        </w:rPr>
        <w:t>（</w:t>
      </w:r>
      <w:r>
        <w:rPr>
          <w:rFonts w:hint="eastAsia" w:ascii="仿宋_GB2312" w:hAnsi="仿宋_GB2312" w:eastAsia="仿宋_GB2312" w:cs="仿宋_GB2312"/>
          <w:b w:val="0"/>
          <w:bCs w:val="0"/>
          <w:color w:val="auto"/>
          <w:kern w:val="2"/>
          <w:sz w:val="28"/>
          <w:szCs w:val="28"/>
          <w:highlight w:val="none"/>
          <w:lang w:val="en-US" w:eastAsia="zh-CN" w:bidi="ar-SA"/>
        </w:rPr>
        <w:t>8）、</w:t>
      </w:r>
      <w:r>
        <w:rPr>
          <w:rFonts w:hint="default" w:ascii="仿宋_GB2312" w:hAnsi="仿宋_GB2312" w:eastAsia="仿宋_GB2312" w:cs="仿宋_GB2312"/>
          <w:b w:val="0"/>
          <w:bCs w:val="0"/>
          <w:color w:val="auto"/>
          <w:kern w:val="2"/>
          <w:sz w:val="28"/>
          <w:szCs w:val="28"/>
          <w:highlight w:val="none"/>
          <w:lang w:val="zh-CN" w:eastAsia="zh-CN" w:bidi="ar-SA"/>
        </w:rPr>
        <w:fldChar w:fldCharType="begin"/>
      </w:r>
      <w:r>
        <w:rPr>
          <w:rFonts w:hint="default" w:ascii="仿宋_GB2312" w:hAnsi="仿宋_GB2312" w:eastAsia="仿宋_GB2312" w:cs="仿宋_GB2312"/>
          <w:b w:val="0"/>
          <w:bCs w:val="0"/>
          <w:color w:val="auto"/>
          <w:kern w:val="2"/>
          <w:sz w:val="28"/>
          <w:szCs w:val="28"/>
          <w:highlight w:val="none"/>
          <w:lang w:val="zh-CN" w:eastAsia="zh-CN" w:bidi="ar-SA"/>
        </w:rPr>
        <w:instrText xml:space="preserve"> HYPERLINK "https://www.so.com/link?m=b+ckiEtWT1PXY1HlwQXOuiUlepImGkp9tN7zgMdQ/6EqN9j6AD+foWAlhXmrxaaS/3sJJLQQA4yf43oR8MV8y7a/M0gdSckjdPNezVLVAkh9bgbA/KrJYNWqUeRKdY1KrJ34ZLWVMU9PjuD90PwM4Xx57u+IjMWJvLrGMbVKJcxEcC9I6AA6lz28eagHSAibOxZ5H++wICuplIakhOjuIL0q1jjU6plj3ZymAKr9WfcQ=" \t "https://www.so.com/_blank" </w:instrText>
      </w:r>
      <w:r>
        <w:rPr>
          <w:rFonts w:hint="default" w:ascii="仿宋_GB2312" w:hAnsi="仿宋_GB2312" w:eastAsia="仿宋_GB2312" w:cs="仿宋_GB2312"/>
          <w:b w:val="0"/>
          <w:bCs w:val="0"/>
          <w:color w:val="auto"/>
          <w:kern w:val="2"/>
          <w:sz w:val="28"/>
          <w:szCs w:val="28"/>
          <w:highlight w:val="none"/>
          <w:lang w:val="zh-CN" w:eastAsia="zh-CN" w:bidi="ar-SA"/>
        </w:rPr>
        <w:fldChar w:fldCharType="separate"/>
      </w:r>
      <w:r>
        <w:rPr>
          <w:rFonts w:hint="default" w:ascii="仿宋_GB2312" w:hAnsi="仿宋_GB2312" w:eastAsia="仿宋_GB2312" w:cs="仿宋_GB2312"/>
          <w:b w:val="0"/>
          <w:bCs w:val="0"/>
          <w:color w:val="auto"/>
          <w:kern w:val="2"/>
          <w:sz w:val="28"/>
          <w:szCs w:val="28"/>
          <w:highlight w:val="none"/>
          <w:lang w:val="zh-CN" w:eastAsia="zh-CN" w:bidi="ar-SA"/>
        </w:rPr>
        <w:t>JJG1118-2015《电子地磅(衡器载荷测量仪法)检定规程》</w:t>
      </w:r>
      <w:r>
        <w:rPr>
          <w:rFonts w:hint="default" w:ascii="仿宋_GB2312" w:hAnsi="仿宋_GB2312" w:eastAsia="仿宋_GB2312" w:cs="仿宋_GB2312"/>
          <w:b w:val="0"/>
          <w:bCs w:val="0"/>
          <w:color w:val="auto"/>
          <w:kern w:val="2"/>
          <w:sz w:val="28"/>
          <w:szCs w:val="28"/>
          <w:highlight w:val="none"/>
          <w:lang w:val="zh-CN" w:eastAsia="zh-CN" w:bidi="ar-SA"/>
        </w:rPr>
        <w:fldChar w:fldCharType="end"/>
      </w:r>
    </w:p>
    <w:p>
      <w:pPr>
        <w:keepNext w:val="0"/>
        <w:keepLines w:val="0"/>
        <w:pageBreakBefore w:val="0"/>
        <w:widowControl/>
        <w:kinsoku/>
        <w:wordWrap/>
        <w:overflowPunct/>
        <w:topLinePunct w:val="0"/>
        <w:autoSpaceDE/>
        <w:autoSpaceDN/>
        <w:bidi w:val="0"/>
        <w:spacing w:line="500" w:lineRule="exact"/>
        <w:ind w:left="0" w:firstLine="560" w:firstLineChars="200"/>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lang w:val="zh-CN"/>
        </w:rPr>
        <w:t>报价人须派技术人员到施工现场</w:t>
      </w:r>
      <w:r>
        <w:rPr>
          <w:rFonts w:hint="eastAsia" w:ascii="仿宋_GB2312" w:hAnsi="仿宋_GB2312" w:eastAsia="仿宋_GB2312" w:cs="仿宋_GB2312"/>
          <w:color w:val="auto"/>
          <w:sz w:val="28"/>
          <w:szCs w:val="28"/>
          <w:highlight w:val="none"/>
          <w:lang w:val="en-US" w:eastAsia="zh-CN"/>
        </w:rPr>
        <w:t>监管</w:t>
      </w:r>
      <w:r>
        <w:rPr>
          <w:rFonts w:hint="eastAsia" w:ascii="仿宋_GB2312" w:hAnsi="仿宋_GB2312" w:eastAsia="仿宋_GB2312" w:cs="仿宋_GB2312"/>
          <w:color w:val="auto"/>
          <w:sz w:val="28"/>
          <w:szCs w:val="28"/>
          <w:highlight w:val="none"/>
          <w:lang w:val="zh-CN"/>
        </w:rPr>
        <w:t>。在任何时候，报价人均不能免除因设备本身的缺陷所应负的责任。所有需采购的设备</w:t>
      </w:r>
      <w:r>
        <w:rPr>
          <w:rFonts w:hint="eastAsia" w:ascii="仿宋_GB2312" w:hAnsi="仿宋_GB2312" w:eastAsia="仿宋_GB2312" w:cs="仿宋_GB2312"/>
          <w:color w:val="auto"/>
          <w:sz w:val="28"/>
          <w:szCs w:val="28"/>
          <w:highlight w:val="none"/>
          <w:lang w:val="en-US" w:eastAsia="zh-CN"/>
        </w:rPr>
        <w:t>等</w:t>
      </w:r>
      <w:r>
        <w:rPr>
          <w:rFonts w:hint="eastAsia" w:ascii="仿宋_GB2312" w:hAnsi="仿宋_GB2312" w:eastAsia="仿宋_GB2312" w:cs="仿宋_GB2312"/>
          <w:color w:val="auto"/>
          <w:sz w:val="28"/>
          <w:szCs w:val="28"/>
          <w:highlight w:val="none"/>
          <w:lang w:val="zh-CN"/>
        </w:rPr>
        <w:t>运输到采购人指定地点，由甲方提供施工用水用电。设备</w:t>
      </w:r>
      <w:r>
        <w:rPr>
          <w:rFonts w:hint="eastAsia" w:ascii="仿宋_GB2312" w:hAnsi="仿宋_GB2312" w:eastAsia="仿宋_GB2312" w:cs="仿宋_GB2312"/>
          <w:color w:val="auto"/>
          <w:sz w:val="28"/>
          <w:szCs w:val="28"/>
          <w:highlight w:val="none"/>
          <w:lang w:val="en-US" w:eastAsia="zh-CN"/>
        </w:rPr>
        <w:t>等</w:t>
      </w:r>
      <w:r>
        <w:rPr>
          <w:rFonts w:hint="eastAsia" w:ascii="仿宋_GB2312" w:hAnsi="仿宋_GB2312" w:eastAsia="仿宋_GB2312" w:cs="仿宋_GB2312"/>
          <w:color w:val="auto"/>
          <w:sz w:val="28"/>
          <w:szCs w:val="28"/>
          <w:highlight w:val="none"/>
          <w:lang w:val="zh-CN"/>
        </w:rPr>
        <w:t>必须符合国家标准并附质量合格证书。</w:t>
      </w:r>
    </w:p>
    <w:p>
      <w:pPr>
        <w:keepNext w:val="0"/>
        <w:keepLines w:val="0"/>
        <w:pageBreakBefore w:val="0"/>
        <w:widowControl/>
        <w:kinsoku/>
        <w:wordWrap/>
        <w:overflowPunct/>
        <w:topLinePunct w:val="0"/>
        <w:autoSpaceDE/>
        <w:autoSpaceDN/>
        <w:bidi w:val="0"/>
        <w:spacing w:line="500" w:lineRule="exact"/>
        <w:ind w:left="0" w:firstLine="560" w:firstLineChars="200"/>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lang w:val="zh-CN"/>
        </w:rPr>
        <w:t>所有新更换的</w:t>
      </w:r>
      <w:r>
        <w:rPr>
          <w:rFonts w:hint="eastAsia" w:ascii="仿宋_GB2312" w:hAnsi="仿宋_GB2312" w:eastAsia="仿宋_GB2312" w:cs="仿宋_GB2312"/>
          <w:color w:val="auto"/>
          <w:sz w:val="28"/>
          <w:szCs w:val="28"/>
          <w:highlight w:val="none"/>
          <w:lang w:val="en-US" w:eastAsia="zh-CN"/>
        </w:rPr>
        <w:t>材料、</w:t>
      </w:r>
      <w:r>
        <w:rPr>
          <w:rFonts w:hint="eastAsia" w:ascii="仿宋_GB2312" w:hAnsi="仿宋_GB2312" w:eastAsia="仿宋_GB2312" w:cs="仿宋_GB2312"/>
          <w:color w:val="auto"/>
          <w:sz w:val="28"/>
          <w:szCs w:val="28"/>
          <w:highlight w:val="none"/>
          <w:lang w:val="zh-CN"/>
        </w:rPr>
        <w:t>设备在保修期内，如非人为原因而出现的产品质量问题，维修三次后仍然有故障，则必须无条件更换同品牌、同型号的新设备。</w:t>
      </w:r>
    </w:p>
    <w:p>
      <w:pPr>
        <w:keepNext w:val="0"/>
        <w:keepLines w:val="0"/>
        <w:pageBreakBefore w:val="0"/>
        <w:widowControl/>
        <w:kinsoku/>
        <w:wordWrap/>
        <w:overflowPunct/>
        <w:topLinePunct w:val="0"/>
        <w:autoSpaceDE/>
        <w:autoSpaceDN/>
        <w:bidi w:val="0"/>
        <w:spacing w:line="500" w:lineRule="exact"/>
        <w:ind w:left="0" w:firstLine="560" w:firstLineChars="200"/>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lang w:val="zh-CN"/>
        </w:rPr>
        <w:t>新更换的</w:t>
      </w:r>
      <w:r>
        <w:rPr>
          <w:rFonts w:hint="eastAsia" w:ascii="仿宋_GB2312" w:hAnsi="仿宋_GB2312" w:eastAsia="仿宋_GB2312" w:cs="仿宋_GB2312"/>
          <w:color w:val="auto"/>
          <w:sz w:val="28"/>
          <w:szCs w:val="28"/>
          <w:highlight w:val="none"/>
          <w:lang w:val="en-US" w:eastAsia="zh-CN"/>
        </w:rPr>
        <w:t>材料、</w:t>
      </w:r>
      <w:r>
        <w:rPr>
          <w:rFonts w:hint="eastAsia" w:ascii="仿宋_GB2312" w:hAnsi="仿宋_GB2312" w:eastAsia="仿宋_GB2312" w:cs="仿宋_GB2312"/>
          <w:color w:val="auto"/>
          <w:sz w:val="28"/>
          <w:szCs w:val="28"/>
          <w:highlight w:val="none"/>
          <w:lang w:val="zh-CN"/>
        </w:rPr>
        <w:t>设备必须有相应的技术资料、使用说明资料和维护维修资料，除此之外，有需要时应提供外文资料及对应的中文资料；</w:t>
      </w:r>
    </w:p>
    <w:p>
      <w:pPr>
        <w:keepNext w:val="0"/>
        <w:keepLines w:val="0"/>
        <w:pageBreakBefore w:val="0"/>
        <w:widowControl/>
        <w:kinsoku/>
        <w:wordWrap/>
        <w:overflowPunct/>
        <w:topLinePunct w:val="0"/>
        <w:autoSpaceDE/>
        <w:autoSpaceDN/>
        <w:bidi w:val="0"/>
        <w:adjustRightInd w:val="0"/>
        <w:snapToGrid w:val="0"/>
        <w:spacing w:line="500" w:lineRule="exact"/>
        <w:ind w:left="0" w:firstLine="560" w:firstLineChars="200"/>
        <w:textAlignment w:val="auto"/>
        <w:rPr>
          <w:rFonts w:hint="eastAsia" w:ascii="仿宋" w:hAnsi="仿宋" w:eastAsia="仿宋_GB2312" w:cs="仿宋_GB2312"/>
          <w:b/>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zh-CN"/>
        </w:rPr>
        <w:t>新更换的</w:t>
      </w:r>
      <w:r>
        <w:rPr>
          <w:rFonts w:hint="eastAsia" w:ascii="仿宋_GB2312" w:hAnsi="仿宋_GB2312" w:eastAsia="仿宋_GB2312" w:cs="仿宋_GB2312"/>
          <w:color w:val="auto"/>
          <w:sz w:val="28"/>
          <w:szCs w:val="28"/>
          <w:highlight w:val="none"/>
          <w:lang w:val="en-US" w:eastAsia="zh-CN"/>
        </w:rPr>
        <w:t>材料、</w:t>
      </w:r>
      <w:r>
        <w:rPr>
          <w:rFonts w:hint="eastAsia" w:ascii="仿宋_GB2312" w:hAnsi="仿宋_GB2312" w:eastAsia="仿宋_GB2312" w:cs="仿宋_GB2312"/>
          <w:color w:val="auto"/>
          <w:sz w:val="28"/>
          <w:szCs w:val="28"/>
          <w:highlight w:val="none"/>
          <w:lang w:val="zh-CN"/>
        </w:rPr>
        <w:t>设备设备必须符合中华人民共和国有关环保和安全要求以及检测标准、规范。</w:t>
      </w:r>
    </w:p>
    <w:p>
      <w:pPr>
        <w:pStyle w:val="2"/>
        <w:rPr>
          <w:color w:val="auto"/>
          <w:highlight w:val="none"/>
        </w:rPr>
      </w:pPr>
    </w:p>
    <w:p>
      <w:pPr>
        <w:pStyle w:val="2"/>
        <w:ind w:firstLine="0"/>
        <w:rPr>
          <w:rFonts w:hint="eastAsia"/>
          <w:color w:val="auto"/>
          <w:szCs w:val="44"/>
          <w:highlight w:val="none"/>
        </w:rPr>
      </w:pPr>
    </w:p>
    <w:p>
      <w:pPr>
        <w:pStyle w:val="2"/>
        <w:rPr>
          <w:rFonts w:hint="default" w:eastAsia="等线"/>
          <w:b/>
          <w:bCs/>
          <w:color w:val="auto"/>
          <w:sz w:val="28"/>
          <w:szCs w:val="48"/>
          <w:highlight w:val="none"/>
          <w:lang w:val="en-US" w:eastAsia="zh-CN"/>
        </w:rPr>
      </w:pPr>
      <w:r>
        <w:rPr>
          <w:rFonts w:hint="eastAsia"/>
          <w:b/>
          <w:bCs/>
          <w:color w:val="auto"/>
          <w:sz w:val="28"/>
          <w:szCs w:val="48"/>
          <w:highlight w:val="none"/>
          <w:lang w:val="en-US" w:eastAsia="zh-CN"/>
        </w:rPr>
        <w:t>项目二：</w:t>
      </w:r>
      <w:r>
        <w:rPr>
          <w:rFonts w:hint="eastAsia" w:ascii="仿宋" w:hAnsi="仿宋" w:eastAsia="仿宋" w:cs="仿宋_GB2312"/>
          <w:b/>
          <w:bCs/>
          <w:color w:val="auto"/>
          <w:kern w:val="0"/>
          <w:sz w:val="32"/>
          <w:szCs w:val="32"/>
          <w:highlight w:val="none"/>
        </w:rPr>
        <w:t>西朗二期分公司二期地磅升级改造项目</w:t>
      </w:r>
    </w:p>
    <w:bookmarkEnd w:id="62"/>
    <w:p>
      <w:pPr>
        <w:pStyle w:val="13"/>
        <w:numPr>
          <w:ilvl w:val="0"/>
          <w:numId w:val="5"/>
        </w:numPr>
        <w:adjustRightInd w:val="0"/>
        <w:snapToGrid w:val="0"/>
        <w:spacing w:line="360" w:lineRule="auto"/>
        <w:ind w:firstLine="562" w:firstLineChars="200"/>
        <w:rPr>
          <w:rFonts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项目内容及需求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32"/>
          <w:highlight w:val="none"/>
        </w:rPr>
      </w:pPr>
      <w:bookmarkStart w:id="66" w:name="采购需求"/>
      <w:bookmarkEnd w:id="66"/>
      <w:r>
        <w:rPr>
          <w:rFonts w:hint="eastAsia" w:ascii="仿宋_GB2312" w:hAnsi="仿宋_GB2312" w:eastAsia="仿宋_GB2312" w:cs="仿宋_GB2312"/>
          <w:color w:val="auto"/>
          <w:sz w:val="28"/>
          <w:szCs w:val="32"/>
          <w:highlight w:val="none"/>
          <w:lang w:val="en-US" w:eastAsia="zh-CN"/>
        </w:rPr>
        <w:t>需求：1.</w:t>
      </w:r>
      <w:r>
        <w:rPr>
          <w:rFonts w:hint="eastAsia" w:ascii="仿宋_GB2312" w:hAnsi="仿宋_GB2312" w:eastAsia="仿宋_GB2312" w:cs="仿宋_GB2312"/>
          <w:color w:val="auto"/>
          <w:sz w:val="28"/>
          <w:szCs w:val="32"/>
          <w:highlight w:val="none"/>
        </w:rPr>
        <w:t>在地磅进出口2米左右的位置新增加两个水泥台，安装道闸、红绿灯、车牌识别摄像机和监控摄像机，以及铺设电源、信号线。在地磅附近立杆安装led显示或者靠墙挂led显示。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32"/>
          <w:highlight w:val="none"/>
          <w:lang w:val="en-US" w:eastAsia="zh-CN"/>
        </w:rPr>
      </w:pPr>
      <w:r>
        <w:rPr>
          <w:rFonts w:hint="eastAsia" w:ascii="仿宋_GB2312" w:hAnsi="仿宋_GB2312" w:eastAsia="仿宋_GB2312" w:cs="仿宋_GB2312"/>
          <w:color w:val="auto"/>
          <w:sz w:val="28"/>
          <w:szCs w:val="32"/>
          <w:highlight w:val="none"/>
          <w:lang w:val="en-US" w:eastAsia="zh-CN"/>
        </w:rPr>
        <w:t>2.</w:t>
      </w:r>
      <w:r>
        <w:rPr>
          <w:rFonts w:hint="eastAsia" w:ascii="仿宋_GB2312" w:hAnsi="仿宋_GB2312" w:eastAsia="仿宋_GB2312" w:cs="仿宋_GB2312"/>
          <w:color w:val="auto"/>
          <w:sz w:val="28"/>
          <w:szCs w:val="32"/>
          <w:highlight w:val="none"/>
        </w:rPr>
        <w:t>地磅值班室中心平台距离地磅超过100m，地磅附近需要敷设直达光纤，并增加一套网传设备将地磅、道闸等数据通过网络传输到地磅值班室中心平台。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32"/>
          <w:highlight w:val="none"/>
          <w:lang w:val="en-US" w:eastAsia="zh-CN"/>
        </w:rPr>
      </w:pPr>
      <w:r>
        <w:rPr>
          <w:rFonts w:hint="eastAsia" w:ascii="仿宋_GB2312" w:hAnsi="仿宋_GB2312" w:eastAsia="仿宋_GB2312" w:cs="仿宋_GB2312"/>
          <w:color w:val="auto"/>
          <w:sz w:val="28"/>
          <w:szCs w:val="32"/>
          <w:highlight w:val="none"/>
          <w:lang w:val="en-US" w:eastAsia="zh-CN"/>
        </w:rPr>
        <w:t>3.</w:t>
      </w:r>
      <w:r>
        <w:rPr>
          <w:rFonts w:hint="eastAsia" w:ascii="仿宋_GB2312" w:hAnsi="仿宋_GB2312" w:eastAsia="仿宋_GB2312" w:cs="仿宋_GB2312"/>
          <w:color w:val="auto"/>
          <w:sz w:val="28"/>
          <w:szCs w:val="32"/>
          <w:highlight w:val="none"/>
        </w:rPr>
        <w:t>地磅值班室中心平台和云服务器要在一个网络环境中，地磅值班中心平台需接入净水公司的VPN专网。</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auto"/>
          <w:sz w:val="28"/>
          <w:szCs w:val="32"/>
          <w:highlight w:val="none"/>
          <w:lang w:val="en-US" w:eastAsia="zh-CN"/>
        </w:rPr>
      </w:pPr>
      <w:r>
        <w:rPr>
          <w:rFonts w:hint="eastAsia" w:ascii="仿宋_GB2312" w:hAnsi="仿宋_GB2312" w:eastAsia="仿宋_GB2312" w:cs="仿宋_GB2312"/>
          <w:color w:val="auto"/>
          <w:sz w:val="28"/>
          <w:szCs w:val="32"/>
          <w:highlight w:val="none"/>
          <w:lang w:val="en-US" w:eastAsia="zh-CN"/>
        </w:rPr>
        <w:t>4.将西朗二期分公司地磅数据接入净水公司智能地磅称重系统。需要拥有智能地磅称重系统（信息系统版本1.2.1，数据库版本MySQL5.7）的数据接入授权。智能地磅称重系统开发单位：辽宁量达信通信技术服务有限公司</w:t>
      </w:r>
    </w:p>
    <w:p>
      <w:pPr>
        <w:pStyle w:val="13"/>
        <w:adjustRightInd w:val="0"/>
        <w:snapToGrid w:val="0"/>
        <w:spacing w:line="300" w:lineRule="auto"/>
        <w:rPr>
          <w:rFonts w:ascii="仿宋" w:hAnsi="仿宋" w:eastAsia="仿宋" w:cs="仿宋"/>
          <w:color w:val="auto"/>
          <w:highlight w:val="none"/>
        </w:rPr>
      </w:pPr>
      <w:r>
        <w:rPr>
          <w:rFonts w:ascii="仿宋" w:hAnsi="仿宋" w:eastAsia="仿宋" w:cs="仿宋"/>
          <w:bCs/>
          <w:color w:val="auto"/>
          <w:sz w:val="28"/>
          <w:szCs w:val="28"/>
          <w:highlight w:val="none"/>
        </w:rPr>
        <w:t xml:space="preserve">   </w:t>
      </w:r>
      <w:r>
        <w:rPr>
          <w:rFonts w:hint="eastAsia" w:ascii="仿宋" w:hAnsi="仿宋" w:eastAsia="仿宋" w:cs="仿宋_GB2312"/>
          <w:b/>
          <w:color w:val="auto"/>
          <w:sz w:val="28"/>
          <w:szCs w:val="28"/>
          <w:highlight w:val="none"/>
        </w:rPr>
        <w:t>二、</w:t>
      </w:r>
      <w:r>
        <w:rPr>
          <w:rFonts w:hint="eastAsia" w:ascii="仿宋" w:hAnsi="仿宋" w:eastAsia="仿宋" w:cs="仿宋_GB2312"/>
          <w:b/>
          <w:color w:val="auto"/>
          <w:sz w:val="28"/>
          <w:szCs w:val="28"/>
          <w:highlight w:val="none"/>
          <w:lang w:val="zh-CN"/>
        </w:rPr>
        <w:t>项目技术要求</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（一）现场地磅称重部分</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1、车牌识别模块</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通过车牌视频识别模块，系统在车辆称重的同时自动识别车牌及其车牌号码，同时实时显示车辆上磅视频图像，自动拍照。通过车牌号码的自动识别、自动登录、自动比对，系统可以实现自动抬杆、自动验证用户身份、自动记录车辆信息和车辆称重时照片等。</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2、语音播报模块</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系统内置语音模块，会自动根据系统检测的情况，通过语音播报称重过程状态和异常提示及时告知司机。</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3、红绿灯控制模块</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通过对称重系统的设置，可设置红绿灯的显示模式，支持两种模式：①空磅显示绿色；车辆上磅后显示红色；下磅后无重量显示绿色。②空磅显示绿色；车辆上磅后显示红色；刷卡成功数据保存后显示绿色。</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通过红绿双灯显示，提示车辆是否可以上磅称重，及是否称重完毕，实现智能引导指示。</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4、道闸控制模块</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系统可以根据车牌识别、红外检测、红绿灯等传感器信号，对道闸和栏杆实施智能控制，未授权车辆禁止上下磅，实现对过磅车辆的称重规范化管理。当合法过磅车辆依据流程称重完毕后，挡车栏杆自动升起放行。挡车栏杆具备防砸车功能，当车辆在栏杆处未离开时，系统发送命令使栏杆保持开启状态，直到车辆离开后栏杆自动下落。</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5、红外防作弊模块</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系统自动检测布设在地磅上下口位置的红外检测器，判定车辆停放位置是否合规，自动根据规则是否触发感应，实时通过报警灯反馈给司机，方便司机及时纠正停放在地磅上面的位置。红外防作弊检测可防止车辆不完全上磅时进行称重，从而导致故意减少毛重和减少皮重的重量。</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6、LED显示模块</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LED显示屏可实时显示系统识别的车牌号码和称重数据，以及一些系统发出的简要报警或提示信息，供司机即时查看。</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7、制卡模块</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可根据实际情况，选择是否为固定车辆和单一货品制卡，采取磅房软件一次发卡或进厂发卡出厂收卡的模式。制卡模块可以对卡号进行管理，实现对RFID卡片的修改、删除、回收等操作。</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8、配套软件</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配套上述各模块制作的软件应具备且不限于以下功能：</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A、打印“严控废物污泥转移联单”时，系统能自动导出一个含有“严控废物污泥转移联单”内容的文件到指定文件夹，与相片一一对应，导出文件格式可以人为选择（word、pdf）含有“严控废物污泥转移联单”内容的文档应包含：（1）污泥转移（生产）单位基本信息；（2）运输单位基本信息（3）接收单位基本信息（4）废物信息（废物类别、计划转移量、含水率、称重数量、运达地点、皮重毛重的称重时间、计划转移时间等）。</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B、在打印“严控废物污泥转移联单”时，“转移时间”应为“打印时间”，并非称毛重时间。</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C、可以统一磅单报表（日报、月报、年报），能按时间、车次检索导出。</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D、系统应具有故障检测、报警功能。如果现场有硬件因断电或线路故障，系统无法与现场通讯等异常情况时，应有应急手动操作措施。</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E、客户端与服务器的地磅信息应互为数据冗余，以防数据丢失，客户端的地磅软件若出现崩溃、死机时，能够自动保存已有地磅信息，离线能操作，有网络时可以自动上传数据。</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F、系统应设置一个能全手动操作的权限账号，若因硬件出现故障无法自动称重时，可以手动输入但系统日志需要记录使用该账号的人员信息。</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G、称重操作界面可以看到摄像头画面。</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H、增加信号到中控室，可以在中控室查看现场视频，进行远程控制。</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I、优化性能：保证各个报表的查询响应时间和上报时间不得超过15秒。</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J、数据共享：在保证数据库安全稳定运行的前提下，根据业主需求协助第三方平台读取相关数据。</w:t>
      </w:r>
    </w:p>
    <w:p>
      <w:pPr>
        <w:ind w:firstLine="560" w:firstLineChars="200"/>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K、车队管理：对各进厂称重的车辆登记车辆信息、车队公司信息、货物类型等。</w:t>
      </w:r>
    </w:p>
    <w:p>
      <w:pPr>
        <w:widowControl/>
        <w:ind w:firstLine="560" w:firstLineChars="200"/>
        <w:jc w:val="left"/>
        <w:rPr>
          <w:rFonts w:hint="eastAsia" w:ascii="仿宋_GB2312" w:hAnsi="仿宋_GB2312" w:eastAsia="仿宋_GB2312" w:cs="仿宋_GB2312"/>
          <w:color w:val="auto"/>
          <w:sz w:val="28"/>
          <w:szCs w:val="32"/>
          <w:highlight w:val="none"/>
          <w:lang w:val="zh-CN"/>
        </w:rPr>
      </w:pPr>
      <w:r>
        <w:rPr>
          <w:rFonts w:hint="eastAsia" w:ascii="仿宋_GB2312" w:hAnsi="仿宋_GB2312" w:eastAsia="仿宋_GB2312" w:cs="仿宋_GB2312"/>
          <w:color w:val="auto"/>
          <w:sz w:val="28"/>
          <w:szCs w:val="32"/>
          <w:highlight w:val="none"/>
          <w:lang w:val="zh-CN"/>
        </w:rPr>
        <w:t>（三）完成数据向云服务器传输相关配合工作，原有建设内容如下：</w:t>
      </w:r>
    </w:p>
    <w:p>
      <w:pPr>
        <w:widowControl/>
        <w:ind w:firstLine="560" w:firstLineChars="200"/>
        <w:jc w:val="left"/>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lang w:val="zh-CN"/>
        </w:rPr>
        <w:t>1、数据集成使用广州市净水有限公司已有的云服务器（以下简称云服务器）包括中心云平台应用服务器、中心云平台数据库服务器，各点</w:t>
      </w:r>
      <w:r>
        <w:rPr>
          <w:rFonts w:hint="eastAsia" w:ascii="仿宋_GB2312" w:hAnsi="仿宋_GB2312" w:eastAsia="仿宋_GB2312" w:cs="仿宋_GB2312"/>
          <w:color w:val="auto"/>
          <w:sz w:val="28"/>
          <w:szCs w:val="32"/>
          <w:highlight w:val="none"/>
        </w:rPr>
        <w:t>现场地磅称重数据需自动上传至云服务器，数据保存时间要求5年以上，广州市净水有限公司的云服务器使用硬盘联想V3700存储硬盘OORY036，1.8TB 10k 2.5Inch HDD规格提供12块硬盘。</w:t>
      </w:r>
    </w:p>
    <w:p>
      <w:pPr>
        <w:widowControl/>
        <w:ind w:firstLine="560" w:firstLineChars="200"/>
        <w:jc w:val="left"/>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2、云服务器支持web在线查询，数据可按货物类别、年、月、日、分公司、车队、车辆等进行汇总统计查询。</w:t>
      </w:r>
    </w:p>
    <w:p>
      <w:pPr>
        <w:widowControl/>
        <w:ind w:firstLine="560" w:firstLineChars="200"/>
        <w:jc w:val="left"/>
        <w:rPr>
          <w:rFonts w:hint="eastAsia" w:ascii="仿宋_GB2312" w:hAnsi="仿宋_GB2312" w:eastAsia="仿宋_GB2312" w:cs="仿宋_GB2312"/>
          <w:color w:val="auto"/>
          <w:sz w:val="28"/>
          <w:szCs w:val="32"/>
          <w:highlight w:val="none"/>
        </w:rPr>
      </w:pPr>
      <w:r>
        <w:rPr>
          <w:rFonts w:hint="eastAsia" w:ascii="仿宋_GB2312" w:hAnsi="仿宋_GB2312" w:eastAsia="仿宋_GB2312" w:cs="仿宋_GB2312"/>
          <w:color w:val="auto"/>
          <w:sz w:val="28"/>
          <w:szCs w:val="32"/>
          <w:highlight w:val="none"/>
        </w:rPr>
        <w:t>3、可设置不同层级查询管理账号，按照权限等级允许查询数据，并预留数据接口可供上级部门接入获取数据。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color w:val="auto"/>
          <w:sz w:val="28"/>
          <w:szCs w:val="32"/>
          <w:highlight w:val="none"/>
          <w:lang w:val="en-US" w:eastAsia="zh-CN"/>
        </w:rPr>
      </w:pPr>
      <w:r>
        <w:rPr>
          <w:rFonts w:hint="eastAsia" w:ascii="仿宋_GB2312" w:hAnsi="仿宋_GB2312" w:eastAsia="仿宋_GB2312" w:cs="仿宋_GB2312"/>
          <w:color w:val="auto"/>
          <w:kern w:val="2"/>
          <w:sz w:val="28"/>
          <w:szCs w:val="32"/>
          <w:highlight w:val="none"/>
        </w:rPr>
        <w:t>需求：将新建的西朗二期分公司地磅数据接入净水公司地磅数据管理系统，不能影响原系统平台的正常运行，需在原平台软件内增加分公司，并且根据新增分公司修改数据库</w:t>
      </w:r>
      <w:r>
        <w:rPr>
          <w:rFonts w:hint="eastAsia" w:ascii="仿宋_GB2312" w:hAnsi="仿宋_GB2312" w:eastAsia="仿宋_GB2312" w:cs="仿宋_GB2312"/>
          <w:bCs w:val="0"/>
          <w:color w:val="auto"/>
          <w:kern w:val="2"/>
          <w:sz w:val="28"/>
          <w:szCs w:val="32"/>
          <w:highlight w:val="none"/>
        </w:rPr>
        <w:t>。</w:t>
      </w:r>
      <w:r>
        <w:rPr>
          <w:rFonts w:hint="eastAsia" w:ascii="仿宋_GB2312" w:hAnsi="仿宋_GB2312" w:eastAsia="仿宋_GB2312" w:cs="仿宋_GB2312"/>
          <w:color w:val="auto"/>
          <w:sz w:val="28"/>
          <w:szCs w:val="32"/>
          <w:highlight w:val="none"/>
          <w:lang w:val="en-US" w:eastAsia="zh-CN"/>
        </w:rPr>
        <w:t>智能地磅称重系统的信息系统版本为1.2.1，数据库版本为MySQL5.7，系统开发单位为辽宁量达信通信技术服务有限公司。</w:t>
      </w:r>
    </w:p>
    <w:p>
      <w:pPr>
        <w:ind w:firstLine="560" w:firstLineChars="200"/>
        <w:rPr>
          <w:rFonts w:hint="eastAsia" w:ascii="仿宋_GB2312" w:hAnsi="仿宋_GB2312" w:eastAsia="仿宋_GB2312" w:cs="仿宋_GB2312"/>
          <w:bCs w:val="0"/>
          <w:color w:val="auto"/>
          <w:kern w:val="2"/>
          <w:sz w:val="28"/>
          <w:szCs w:val="32"/>
          <w:highlight w:val="none"/>
        </w:rPr>
      </w:pPr>
    </w:p>
    <w:p>
      <w:pPr>
        <w:pStyle w:val="2"/>
        <w:rPr>
          <w:rFonts w:ascii="仿宋_GB2312" w:eastAsia="仿宋_GB2312" w:hAnsiTheme="minorEastAsia"/>
          <w:color w:val="auto"/>
          <w:szCs w:val="21"/>
          <w:highlight w:val="none"/>
        </w:rPr>
      </w:pPr>
    </w:p>
    <w:p>
      <w:pPr>
        <w:pStyle w:val="2"/>
        <w:ind w:firstLine="0"/>
        <w:rPr>
          <w:color w:val="auto"/>
          <w:highlight w:val="none"/>
        </w:rPr>
      </w:pPr>
    </w:p>
    <w:p>
      <w:pPr>
        <w:pStyle w:val="2"/>
        <w:rPr>
          <w:color w:val="auto"/>
          <w:highlight w:val="none"/>
        </w:rPr>
      </w:pPr>
    </w:p>
    <w:p>
      <w:pPr>
        <w:pStyle w:val="4"/>
        <w:rPr>
          <w:color w:val="auto"/>
          <w:highlight w:val="none"/>
        </w:rPr>
      </w:pPr>
      <w:bookmarkStart w:id="67" w:name="_Toc23353"/>
      <w:bookmarkStart w:id="68" w:name="_Toc4680"/>
      <w:bookmarkStart w:id="69" w:name="_Toc29835"/>
      <w:bookmarkStart w:id="70" w:name="_Toc537"/>
      <w:bookmarkStart w:id="71" w:name="_Toc1496"/>
      <w:bookmarkStart w:id="72" w:name="_Toc23330"/>
      <w:bookmarkStart w:id="73" w:name="_Toc1284"/>
      <w:bookmarkStart w:id="74" w:name="_Toc25925"/>
      <w:bookmarkStart w:id="75" w:name="_Toc18538"/>
      <w:bookmarkStart w:id="76" w:name="_Toc12135"/>
      <w:bookmarkStart w:id="77" w:name="_Toc15570"/>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67"/>
      <w:bookmarkEnd w:id="68"/>
      <w:bookmarkEnd w:id="69"/>
      <w:bookmarkEnd w:id="70"/>
      <w:bookmarkEnd w:id="71"/>
      <w:bookmarkEnd w:id="72"/>
      <w:bookmarkEnd w:id="73"/>
      <w:bookmarkEnd w:id="74"/>
      <w:bookmarkEnd w:id="75"/>
      <w:bookmarkEnd w:id="76"/>
      <w:bookmarkEnd w:id="77"/>
    </w:p>
    <w:p>
      <w:pPr>
        <w:pStyle w:val="36"/>
        <w:rPr>
          <w:color w:val="auto"/>
          <w:highlight w:val="none"/>
        </w:rPr>
      </w:pPr>
    </w:p>
    <w:p>
      <w:pPr>
        <w:pStyle w:val="4"/>
        <w:rPr>
          <w:color w:val="auto"/>
          <w:highlight w:val="none"/>
        </w:rPr>
      </w:pPr>
      <w:bookmarkStart w:id="78" w:name="_Toc12721"/>
      <w:bookmarkStart w:id="79" w:name="_Toc22501"/>
      <w:bookmarkStart w:id="80" w:name="_Toc87616386"/>
      <w:bookmarkStart w:id="81" w:name="_Toc22797"/>
      <w:bookmarkStart w:id="82" w:name="_Toc13309"/>
      <w:bookmarkStart w:id="83" w:name="_Toc12968"/>
      <w:bookmarkStart w:id="84" w:name="_Toc88209949"/>
      <w:bookmarkStart w:id="85" w:name="_Toc19686"/>
      <w:bookmarkStart w:id="86" w:name="_Toc323"/>
      <w:bookmarkStart w:id="87" w:name="_Toc12980"/>
      <w:bookmarkStart w:id="88" w:name="_Toc8183"/>
      <w:bookmarkStart w:id="89" w:name="_Toc1375"/>
      <w:bookmarkStart w:id="90" w:name="_Toc19088"/>
      <w:r>
        <w:rPr>
          <w:rFonts w:hint="eastAsia"/>
          <w:color w:val="auto"/>
          <w:highlight w:val="none"/>
        </w:rPr>
        <w:t>合同</w:t>
      </w:r>
      <w:bookmarkEnd w:id="78"/>
      <w:bookmarkEnd w:id="79"/>
      <w:bookmarkEnd w:id="80"/>
      <w:bookmarkEnd w:id="81"/>
      <w:bookmarkEnd w:id="82"/>
      <w:bookmarkEnd w:id="83"/>
      <w:bookmarkEnd w:id="84"/>
      <w:bookmarkEnd w:id="85"/>
      <w:bookmarkEnd w:id="86"/>
      <w:bookmarkEnd w:id="87"/>
      <w:bookmarkEnd w:id="88"/>
      <w:bookmarkEnd w:id="89"/>
      <w:bookmarkEnd w:id="9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 xml:space="preserve"> 广州市净水有限公司2022年猎德、西朗二期分公司地磅改造项目</w:t>
      </w:r>
    </w:p>
    <w:p>
      <w:pPr>
        <w:pStyle w:val="46"/>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w:t>
      </w:r>
    </w:p>
    <w:p>
      <w:pPr>
        <w:pStyle w:val="2"/>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before="0" w:beforeLines="-2147483648" w:line="400" w:lineRule="atLeast"/>
        <w:rPr>
          <w:rFonts w:hint="eastAsia" w:ascii="宋体" w:hAnsi="宋体" w:cs="宋体"/>
          <w:color w:val="auto"/>
          <w:sz w:val="24"/>
          <w:highlight w:val="none"/>
        </w:rPr>
      </w:pPr>
      <w:r>
        <w:rPr>
          <w:rFonts w:hint="eastAsia" w:ascii="宋体" w:hAnsi="宋体" w:cs="宋体"/>
          <w:b/>
          <w:color w:val="auto"/>
          <w:sz w:val="30"/>
          <w:highlight w:val="none"/>
        </w:rPr>
        <w:t>签约地点：广州市</w:t>
      </w:r>
    </w:p>
    <w:p>
      <w:pPr>
        <w:spacing w:before="93" w:beforeLines="30" w:line="500" w:lineRule="exact"/>
        <w:ind w:left="0" w:leftChars="0" w:firstLine="0" w:firstLineChars="0"/>
        <w:rPr>
          <w:rFonts w:hint="eastAsia"/>
          <w:color w:val="auto"/>
          <w:highlight w:val="none"/>
          <w:lang w:val="en-US" w:eastAsia="zh-CN"/>
        </w:rPr>
      </w:pPr>
      <w:r>
        <w:rPr>
          <w:rFonts w:hint="eastAsia"/>
          <w:color w:val="auto"/>
          <w:highlight w:val="none"/>
          <w:lang w:val="en-US" w:eastAsia="zh-CN"/>
        </w:rPr>
        <w:t xml:space="preserve">    </w:t>
      </w:r>
    </w:p>
    <w:p>
      <w:pPr>
        <w:spacing w:before="93" w:beforeLines="30" w:line="500" w:lineRule="exact"/>
        <w:ind w:left="0" w:leftChars="0" w:firstLine="0" w:firstLineChars="0"/>
        <w:rPr>
          <w:rFonts w:hint="eastAsia"/>
          <w:color w:val="auto"/>
          <w:highlight w:val="none"/>
          <w:lang w:val="en-US" w:eastAsia="zh-CN"/>
        </w:rPr>
      </w:pPr>
    </w:p>
    <w:p>
      <w:pPr>
        <w:spacing w:before="93" w:beforeLines="30" w:line="500" w:lineRule="exact"/>
        <w:ind w:left="0" w:leftChars="0" w:firstLine="480" w:firstLineChars="200"/>
        <w:rPr>
          <w:rFonts w:ascii="宋体" w:hAnsi="宋体" w:cs="宋体"/>
          <w:color w:val="auto"/>
          <w:sz w:val="24"/>
          <w:highlight w:val="none"/>
          <w:u w:val="singl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 xml:space="preserve"> 广州市净水有限公司2022年猎德、西朗二期分公司地磅改造项目</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olor w:val="auto"/>
          <w:sz w:val="24"/>
          <w:highlight w:val="none"/>
          <w:u w:val="single"/>
          <w:lang w:eastAsia="zh-CN"/>
        </w:rPr>
        <w:t>广州市净水有限公司2022年猎德、西朗二期分公司地磅改造项目</w:t>
      </w:r>
    </w:p>
    <w:p>
      <w:pPr>
        <w:spacing w:line="384"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项目一：</w:t>
      </w:r>
      <w:r>
        <w:rPr>
          <w:rFonts w:hint="eastAsia" w:ascii="宋体" w:hAnsi="宋体" w:eastAsia="宋体" w:cs="宋体"/>
          <w:i w:val="0"/>
          <w:iCs w:val="0"/>
          <w:color w:val="auto"/>
          <w:kern w:val="0"/>
          <w:sz w:val="24"/>
          <w:szCs w:val="24"/>
          <w:highlight w:val="none"/>
          <w:u w:val="none"/>
          <w:lang w:val="en-US" w:eastAsia="zh-CN" w:bidi="ar"/>
        </w:rPr>
        <w:t>猎德分公司2022年厂区地磅改造项目</w:t>
      </w:r>
    </w:p>
    <w:p>
      <w:pPr>
        <w:spacing w:line="384" w:lineRule="auto"/>
        <w:ind w:firstLine="480" w:firstLineChars="200"/>
        <w:rPr>
          <w:rFonts w:hint="eastAsia" w:ascii="仿宋_GB2312" w:eastAsia="仿宋_GB2312"/>
          <w:color w:val="auto"/>
          <w:sz w:val="28"/>
          <w:szCs w:val="28"/>
          <w:highlight w:val="none"/>
          <w:u w:val="none"/>
          <w:lang w:val="en-US" w:eastAsia="zh-CN"/>
        </w:rPr>
      </w:pPr>
      <w:r>
        <w:rPr>
          <w:rFonts w:hint="eastAsia" w:ascii="宋体" w:hAnsi="宋体" w:cs="宋体"/>
          <w:color w:val="auto"/>
          <w:sz w:val="24"/>
          <w:highlight w:val="none"/>
          <w:lang w:val="en-US" w:eastAsia="zh-CN"/>
        </w:rPr>
        <w:t>项目二：</w:t>
      </w:r>
      <w:r>
        <w:rPr>
          <w:rFonts w:hint="eastAsia" w:ascii="宋体" w:hAnsi="宋体" w:eastAsia="宋体" w:cs="宋体"/>
          <w:i w:val="0"/>
          <w:iCs w:val="0"/>
          <w:color w:val="auto"/>
          <w:kern w:val="0"/>
          <w:sz w:val="24"/>
          <w:szCs w:val="24"/>
          <w:highlight w:val="none"/>
          <w:u w:val="none"/>
          <w:lang w:val="en-US" w:eastAsia="zh-CN" w:bidi="ar"/>
        </w:rPr>
        <w:t>西朗二期分公司二期地磅升级改造项目</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szCs w:val="22"/>
          <w:highlight w:val="none"/>
        </w:rPr>
        <w:t>（以下分别简称“项目一、项目二”）</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2.2项目地点：</w:t>
      </w:r>
    </w:p>
    <w:p>
      <w:pPr>
        <w:spacing w:line="384"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项目一：广州市净水有限公司猎德分公司</w:t>
      </w:r>
    </w:p>
    <w:p>
      <w:pPr>
        <w:spacing w:line="384"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项目二：广州市净水有限公司西朗二期分公司</w:t>
      </w:r>
    </w:p>
    <w:p>
      <w:pPr>
        <w:spacing w:line="384"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项目内容</w:t>
      </w:r>
    </w:p>
    <w:p>
      <w:pPr>
        <w:spacing w:line="500" w:lineRule="exact"/>
        <w:ind w:firstLine="480" w:firstLineChars="200"/>
        <w:rPr>
          <w:rFonts w:hint="eastAsia" w:ascii="宋体" w:hAnsi="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项目一：</w:t>
      </w:r>
      <w:r>
        <w:rPr>
          <w:rFonts w:hint="eastAsia" w:ascii="宋体" w:hAnsi="宋体" w:cs="宋体" w:eastAsiaTheme="minorEastAsia"/>
          <w:color w:val="auto"/>
          <w:kern w:val="2"/>
          <w:sz w:val="24"/>
          <w:szCs w:val="22"/>
          <w:highlight w:val="none"/>
          <w:u w:val="single"/>
          <w:lang w:val="en-US" w:eastAsia="zh-CN"/>
        </w:rPr>
        <w:t>新建地磅于猎德分公司东门附近空地，并将地磅系统数据传输至中控室及泥车值班室的地磅系统，实现数据远程传输、监控、测量等（详见工程量清单）。</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项目二：</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eastAsiaTheme="minorEastAsia"/>
          <w:color w:val="auto"/>
          <w:sz w:val="24"/>
          <w:szCs w:val="22"/>
          <w:highlight w:val="none"/>
          <w:u w:val="single"/>
        </w:rPr>
      </w:pPr>
      <w:r>
        <w:rPr>
          <w:rFonts w:hint="eastAsia" w:ascii="宋体" w:hAnsi="宋体" w:cs="宋体" w:eastAsiaTheme="minorEastAsia"/>
          <w:color w:val="auto"/>
          <w:sz w:val="24"/>
          <w:szCs w:val="22"/>
          <w:highlight w:val="none"/>
          <w:u w:val="single"/>
          <w:lang w:val="en-US" w:eastAsia="zh-CN"/>
        </w:rPr>
        <w:t>1.</w:t>
      </w:r>
      <w:r>
        <w:rPr>
          <w:rFonts w:hint="eastAsia" w:ascii="宋体" w:hAnsi="宋体" w:cs="宋体" w:eastAsiaTheme="minorEastAsia"/>
          <w:color w:val="auto"/>
          <w:sz w:val="24"/>
          <w:szCs w:val="22"/>
          <w:highlight w:val="none"/>
          <w:u w:val="single"/>
        </w:rPr>
        <w:t>在地磅进出口2米左右的位置新增加两个水泥台，安装道闸、红绿灯、车牌识别摄像机和监控摄像机，以及铺设电源、信号线。在地磅附近立杆安装led显示或者靠墙挂led显示。</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eastAsiaTheme="minorEastAsia"/>
          <w:color w:val="auto"/>
          <w:sz w:val="24"/>
          <w:szCs w:val="22"/>
          <w:highlight w:val="none"/>
          <w:u w:val="single"/>
          <w:lang w:val="en-US" w:eastAsia="zh-CN"/>
        </w:rPr>
      </w:pPr>
      <w:r>
        <w:rPr>
          <w:rFonts w:hint="eastAsia" w:ascii="宋体" w:hAnsi="宋体" w:cs="宋体" w:eastAsiaTheme="minorEastAsia"/>
          <w:color w:val="auto"/>
          <w:sz w:val="24"/>
          <w:szCs w:val="22"/>
          <w:highlight w:val="none"/>
          <w:u w:val="single"/>
          <w:lang w:val="en-US" w:eastAsia="zh-CN"/>
        </w:rPr>
        <w:t>2.</w:t>
      </w:r>
      <w:r>
        <w:rPr>
          <w:rFonts w:hint="eastAsia" w:ascii="宋体" w:hAnsi="宋体" w:cs="宋体" w:eastAsiaTheme="minorEastAsia"/>
          <w:color w:val="auto"/>
          <w:sz w:val="24"/>
          <w:szCs w:val="22"/>
          <w:highlight w:val="none"/>
          <w:u w:val="single"/>
        </w:rPr>
        <w:t>地磅值班室中心平台距离地磅超过100m，地磅附近需要敷设直达光纤，并增加一套网传设备将地磅、道闸等数据通过网络传输到地磅值班室中心平台。</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eastAsiaTheme="minorEastAsia"/>
          <w:color w:val="auto"/>
          <w:sz w:val="24"/>
          <w:szCs w:val="22"/>
          <w:highlight w:val="none"/>
          <w:u w:val="single"/>
          <w:lang w:val="en-US" w:eastAsia="zh-CN"/>
        </w:rPr>
      </w:pPr>
      <w:r>
        <w:rPr>
          <w:rFonts w:hint="eastAsia" w:ascii="宋体" w:hAnsi="宋体" w:cs="宋体" w:eastAsiaTheme="minorEastAsia"/>
          <w:color w:val="auto"/>
          <w:sz w:val="24"/>
          <w:szCs w:val="22"/>
          <w:highlight w:val="none"/>
          <w:u w:val="single"/>
          <w:lang w:val="en-US" w:eastAsia="zh-CN"/>
        </w:rPr>
        <w:t>3.</w:t>
      </w:r>
      <w:r>
        <w:rPr>
          <w:rFonts w:hint="eastAsia" w:ascii="宋体" w:hAnsi="宋体" w:cs="宋体" w:eastAsiaTheme="minorEastAsia"/>
          <w:color w:val="auto"/>
          <w:sz w:val="24"/>
          <w:szCs w:val="22"/>
          <w:highlight w:val="none"/>
          <w:u w:val="single"/>
        </w:rPr>
        <w:t>地磅值班室中心平台和云服务器要在一个网络环境中，地磅值班中心平台需接入净水公司的VPN专网。</w:t>
      </w:r>
    </w:p>
    <w:p>
      <w:pPr>
        <w:widowControl/>
        <w:spacing w:line="500" w:lineRule="exact"/>
        <w:ind w:firstLine="480" w:firstLineChars="200"/>
        <w:rPr>
          <w:rFonts w:hint="eastAsia" w:ascii="宋体" w:hAnsi="宋体" w:cs="宋体"/>
          <w:color w:val="auto"/>
          <w:sz w:val="24"/>
          <w:highlight w:val="none"/>
          <w:u w:val="single"/>
          <w:lang w:val="en-US" w:eastAsia="zh-CN"/>
        </w:rPr>
      </w:pPr>
      <w:r>
        <w:rPr>
          <w:rFonts w:hint="eastAsia" w:ascii="宋体" w:hAnsi="宋体" w:cs="宋体" w:eastAsiaTheme="minorEastAsia"/>
          <w:color w:val="auto"/>
          <w:sz w:val="24"/>
          <w:szCs w:val="22"/>
          <w:highlight w:val="none"/>
          <w:u w:val="single"/>
          <w:lang w:val="en-US" w:eastAsia="zh-CN"/>
        </w:rPr>
        <w:t>4.将西朗二期分公司地磅数据接入净水公司智能地磅称重系统。需要拥有智能地磅称重系统（信息系统版本1.2.1，数据库版本MySQL5.7）的数据接入授权。</w:t>
      </w:r>
    </w:p>
    <w:p>
      <w:pPr>
        <w:spacing w:line="384" w:lineRule="auto"/>
        <w:ind w:firstLine="480" w:firstLineChars="200"/>
        <w:rPr>
          <w:color w:val="auto"/>
          <w:highlight w:val="none"/>
        </w:rPr>
      </w:pPr>
      <w:r>
        <w:rPr>
          <w:rFonts w:hint="eastAsia" w:ascii="宋体" w:hAnsi="宋体" w:cs="宋体"/>
          <w:color w:val="auto"/>
          <w:sz w:val="24"/>
          <w:highlight w:val="none"/>
          <w:u w:val="single"/>
        </w:rPr>
        <w:t>2.4项目承包范围：包括提供所有需要的材料、机械、人工、设施、完成合同约定的工作和服务。按照甲方审核同意的方案、图纸所包括的实施范围和内容进行施工并在质量保修期内承担项目质量保修责任。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FE"/>
      </w:r>
      <w:r>
        <w:rPr>
          <w:rFonts w:hint="eastAsia" w:ascii="宋体" w:hAnsi="宋体" w:cs="宋体"/>
          <w:color w:val="auto"/>
          <w:sz w:val="24"/>
          <w:highlight w:val="none"/>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6"/>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合同总价组成：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大写</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项目一</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cs="宋体" w:eastAsiaTheme="minorEastAsia"/>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二</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bl>
    <w:p>
      <w:pPr>
        <w:autoSpaceDE w:val="0"/>
        <w:autoSpaceDN w:val="0"/>
        <w:adjustRightIn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综合单价为：</w:t>
      </w:r>
      <w:r>
        <w:rPr>
          <w:rFonts w:hint="eastAsia" w:ascii="宋体" w:hAnsi="宋体" w:eastAsia="宋体" w:cs="宋体"/>
          <w:color w:val="auto"/>
          <w:sz w:val="24"/>
          <w:highlight w:val="none"/>
          <w:lang w:val="en-US" w:eastAsia="zh-CN"/>
        </w:rPr>
        <w:t>附件5工程量清单报价</w:t>
      </w:r>
      <w:r>
        <w:rPr>
          <w:rFonts w:hint="eastAsia" w:ascii="宋体" w:hAnsi="宋体" w:eastAsia="宋体" w:cs="宋体"/>
          <w:color w:val="auto"/>
          <w:sz w:val="24"/>
          <w:highlight w:val="none"/>
        </w:rPr>
        <w:t>。</w:t>
      </w:r>
    </w:p>
    <w:p>
      <w:pPr>
        <w:autoSpaceDE w:val="0"/>
        <w:autoSpaceDN w:val="0"/>
        <w:adjustRightInd w:val="0"/>
        <w:spacing w:line="500" w:lineRule="exact"/>
        <w:ind w:firstLine="480" w:firstLineChars="200"/>
        <w:rPr>
          <w:color w:val="auto"/>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hint="eastAsia" w:ascii="宋体" w:hAnsi="宋体" w:cs="宋体"/>
          <w:color w:val="auto"/>
          <w:kern w:val="2"/>
          <w:sz w:val="24"/>
          <w:highlight w:val="none"/>
          <w:lang w:val="zh-CN"/>
        </w:rPr>
      </w:pPr>
      <w:r>
        <w:rPr>
          <w:rFonts w:hint="eastAsia" w:ascii="宋体" w:hAnsi="宋体" w:cs="宋体"/>
          <w:color w:val="auto"/>
          <w:kern w:val="2"/>
          <w:sz w:val="24"/>
          <w:highlight w:val="none"/>
          <w:lang w:val="zh-CN"/>
        </w:rPr>
        <w:t>4.3</w:t>
      </w:r>
      <w:r>
        <w:rPr>
          <w:rFonts w:hint="eastAsia" w:ascii="宋体" w:hAnsi="宋体" w:cs="宋体" w:eastAsiaTheme="minorEastAsia"/>
          <w:bCs w:val="0"/>
          <w:color w:val="auto"/>
          <w:sz w:val="24"/>
          <w:szCs w:val="22"/>
          <w:highlight w:val="none"/>
          <w:lang w:val="en-US" w:eastAsia="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3.按1、2组价后下浮5%计取。</w:t>
      </w:r>
    </w:p>
    <w:p>
      <w:pPr>
        <w:pStyle w:val="2"/>
        <w:rPr>
          <w:rFonts w:hint="eastAsia"/>
          <w:color w:val="auto"/>
          <w:highlight w:val="none"/>
        </w:rPr>
      </w:pP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color w:val="auto"/>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日</w:t>
      </w:r>
      <w:r>
        <w:rPr>
          <w:rFonts w:hint="eastAsia" w:ascii="宋体" w:hAnsi="宋体" w:cs="宋体"/>
          <w:color w:val="auto"/>
          <w:sz w:val="24"/>
          <w:highlight w:val="none"/>
        </w:rPr>
        <w:t>，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总日历天数</w:t>
      </w:r>
      <w:r>
        <w:rPr>
          <w:rFonts w:hint="eastAsia" w:ascii="宋体" w:hAnsi="宋体" w:cs="宋体"/>
          <w:color w:val="auto"/>
          <w:sz w:val="24"/>
          <w:highlight w:val="none"/>
          <w:u w:val="single"/>
          <w:lang w:val="en-US" w:eastAsia="zh-CN"/>
        </w:rPr>
        <w:t>120</w:t>
      </w:r>
      <w:r>
        <w:rPr>
          <w:rFonts w:hint="eastAsia" w:ascii="宋体" w:hAnsi="宋体" w:cs="宋体"/>
          <w:color w:val="auto"/>
          <w:sz w:val="24"/>
          <w:highlight w:val="none"/>
        </w:rPr>
        <w:t>天</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lang w:val="en-US" w:eastAsia="zh-CN"/>
        </w:rPr>
        <w:t>其中项目一：90天；项目二：30天。</w:t>
      </w:r>
      <w:r>
        <w:rPr>
          <w:rFonts w:hint="eastAsia" w:ascii="宋体" w:hAnsi="宋体" w:cs="宋体"/>
          <w:color w:val="auto"/>
          <w:sz w:val="24"/>
          <w:highlight w:val="none"/>
        </w:rPr>
        <w:t>乙方未能按合同工期竣工验收的，每逾期一天，甲方有权要求乙方按合</w:t>
      </w:r>
      <w:r>
        <w:rPr>
          <w:rFonts w:hint="eastAsia" w:ascii="宋体" w:hAnsi="宋体" w:cs="宋体"/>
          <w:color w:val="auto"/>
          <w:sz w:val="24"/>
          <w:highlight w:val="none"/>
          <w:u w:val="single"/>
        </w:rPr>
        <w:t>同暂定总价的 1%</w:t>
      </w:r>
      <w:r>
        <w:rPr>
          <w:rFonts w:hint="eastAsia" w:ascii="宋体" w:hAnsi="宋体" w:cs="宋体"/>
          <w:color w:val="auto"/>
          <w:sz w:val="24"/>
          <w:highlight w:val="none"/>
        </w:rPr>
        <w:t>支付违约金，逾期达到</w:t>
      </w:r>
      <w:r>
        <w:rPr>
          <w:rFonts w:ascii="宋体" w:hAnsi="宋体" w:cs="宋体"/>
          <w:color w:val="auto"/>
          <w:sz w:val="24"/>
          <w:highlight w:val="none"/>
          <w:u w:val="single"/>
        </w:rPr>
        <w:t>30</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384" w:lineRule="auto"/>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5.5乙方不履行合同义务、或履行合同义务不符合合同约定、或违反国家、省、市行业标准的，甲方有权要求乙方限期整改。乙方逾期未完成整改的，每项每超过1日支付违约金人民币</w:t>
      </w:r>
      <w:r>
        <w:rPr>
          <w:rFonts w:ascii="宋体" w:hAnsi="宋体" w:cs="宋体"/>
          <w:bCs/>
          <w:color w:val="auto"/>
          <w:sz w:val="24"/>
          <w:highlight w:val="none"/>
          <w:u w:val="single"/>
        </w:rPr>
        <w:t>1万元</w:t>
      </w:r>
      <w:r>
        <w:rPr>
          <w:rFonts w:ascii="宋体" w:hAnsi="宋体" w:cs="宋体"/>
          <w:bCs/>
          <w:color w:val="auto"/>
          <w:sz w:val="24"/>
          <w:highlight w:val="none"/>
        </w:rPr>
        <w:t>，超过</w:t>
      </w: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u w:val="single"/>
          <w:lang w:val="en-US" w:eastAsia="zh-CN"/>
        </w:rPr>
        <w:t xml:space="preserve"> 7 </w:t>
      </w:r>
      <w:r>
        <w:rPr>
          <w:rFonts w:ascii="宋体" w:hAnsi="宋体" w:cs="宋体"/>
          <w:bCs/>
          <w:color w:val="auto"/>
          <w:sz w:val="24"/>
          <w:highlight w:val="none"/>
        </w:rPr>
        <w:t>日，甲方有权解除合同并要求乙方支付</w:t>
      </w:r>
      <w:r>
        <w:rPr>
          <w:rFonts w:ascii="宋体" w:hAnsi="宋体" w:cs="宋体"/>
          <w:bCs/>
          <w:color w:val="auto"/>
          <w:sz w:val="24"/>
          <w:highlight w:val="none"/>
          <w:u w:val="single"/>
        </w:rPr>
        <w:t>合同暂定总价的20%</w:t>
      </w:r>
      <w:r>
        <w:rPr>
          <w:rFonts w:ascii="宋体" w:hAnsi="宋体" w:cs="宋体"/>
          <w:bCs/>
          <w:color w:val="auto"/>
          <w:sz w:val="24"/>
          <w:highlight w:val="none"/>
        </w:rPr>
        <w:t>作为违约金</w:t>
      </w:r>
      <w:r>
        <w:rPr>
          <w:rFonts w:hint="eastAsia" w:asciiTheme="minorEastAsia" w:hAnsiTheme="minorEastAsia" w:eastAsiaTheme="minorEastAsia"/>
          <w:bCs/>
          <w:color w:val="auto"/>
          <w:sz w:val="24"/>
          <w:highlight w:val="none"/>
        </w:rPr>
        <w:t>（</w:t>
      </w:r>
      <w:r>
        <w:rPr>
          <w:rFonts w:hint="eastAsia" w:cs="宋体"/>
          <w:color w:val="auto"/>
          <w:sz w:val="24"/>
          <w:highlight w:val="none"/>
        </w:rPr>
        <w:t>如合同另行约定违约责任，从其约定</w:t>
      </w:r>
      <w:r>
        <w:rPr>
          <w:rFonts w:hint="eastAsia" w:asciiTheme="minorEastAsia" w:hAnsiTheme="minorEastAsia" w:eastAsiaTheme="minorEastAsia"/>
          <w:bCs/>
          <w:color w:val="auto"/>
          <w:sz w:val="24"/>
          <w:highlight w:val="none"/>
        </w:rPr>
        <w:t>）</w:t>
      </w:r>
      <w:r>
        <w:rPr>
          <w:rFonts w:ascii="宋体" w:hAnsi="宋体" w:cs="宋体"/>
          <w:bCs/>
          <w:color w:val="auto"/>
          <w:sz w:val="24"/>
          <w:highlight w:val="none"/>
        </w:rPr>
        <w:t>。</w:t>
      </w:r>
    </w:p>
    <w:p>
      <w:pPr>
        <w:pStyle w:val="13"/>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乙方不得随意更换项目负责人及附件6中的相关人员，如确须更换，应提前征得甲方同意。如有违反，甲方有权解除合同并要求乙方支付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r>
        <w:rPr>
          <w:rFonts w:hint="eastAsia" w:ascii="宋体" w:hAnsi="宋体" w:eastAsia="宋体" w:cs="宋体"/>
          <w:color w:val="auto"/>
          <w:sz w:val="24"/>
          <w:szCs w:val="24"/>
          <w:highlight w:val="none"/>
          <w:lang w:val="en-US" w:eastAsia="zh-CN" w:bidi="ar-SA"/>
        </w:rPr>
        <w:t>（如需）</w:t>
      </w:r>
    </w:p>
    <w:p>
      <w:pPr>
        <w:topLinePunct/>
        <w:spacing w:line="500" w:lineRule="exact"/>
        <w:ind w:firstLine="480" w:firstLineChars="200"/>
        <w:rPr>
          <w:rFonts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5.9</w:t>
      </w:r>
      <w:r>
        <w:rPr>
          <w:rFonts w:hint="eastAsia" w:asciiTheme="minorEastAsia" w:hAnsiTheme="minorEastAsia" w:eastAsiaTheme="minorEastAsia" w:cstheme="minorEastAsia"/>
          <w:color w:val="auto"/>
          <w:sz w:val="24"/>
          <w:szCs w:val="24"/>
          <w:highlight w:val="none"/>
        </w:rPr>
        <w:t>在合同有效期内，若乙方发生不诚信行为情形的，乙方自愿接受甲方按</w:t>
      </w:r>
      <w:r>
        <w:rPr>
          <w:rFonts w:hint="eastAsia" w:asciiTheme="minorEastAsia" w:hAnsiTheme="minorEastAsia" w:eastAsiaTheme="minorEastAsia" w:cstheme="minorEastAsia"/>
          <w:color w:val="auto"/>
          <w:sz w:val="24"/>
          <w:szCs w:val="24"/>
          <w:highlight w:val="none"/>
          <w:lang w:eastAsia="zh-CN"/>
        </w:rPr>
        <w:t>《广州市净水有限公司经营建设项目参建企业不诚信行为管理办法》</w:t>
      </w:r>
      <w:r>
        <w:rPr>
          <w:rFonts w:hint="eastAsia" w:asciiTheme="minorEastAsia" w:hAnsiTheme="minorEastAsia" w:eastAsiaTheme="minorEastAsia" w:cstheme="minorEastAsia"/>
          <w:color w:val="auto"/>
          <w:sz w:val="24"/>
          <w:szCs w:val="24"/>
          <w:highlight w:val="none"/>
        </w:rPr>
        <w:t>处理</w:t>
      </w:r>
      <w:r>
        <w:rPr>
          <w:rFonts w:hint="eastAsia" w:asciiTheme="minorEastAsia" w:hAnsiTheme="minorEastAsia" w:eastAsiaTheme="minorEastAsia" w:cstheme="minorEastAsia"/>
          <w:color w:val="auto"/>
          <w:sz w:val="24"/>
          <w:szCs w:val="24"/>
          <w:highlight w:val="none"/>
          <w:lang w:eastAsia="zh-CN"/>
        </w:rPr>
        <w:t>，具体处理标准详见附件</w:t>
      </w:r>
      <w:r>
        <w:rPr>
          <w:rFonts w:hint="eastAsia" w:asciiTheme="minorEastAsia" w:hAnsiTheme="minorEastAsia" w:eastAsiaTheme="minorEastAsia" w:cstheme="minorEastAsia"/>
          <w:color w:val="auto"/>
          <w:sz w:val="24"/>
          <w:szCs w:val="24"/>
          <w:highlight w:val="none"/>
          <w:lang w:val="en-US" w:eastAsia="zh-CN"/>
        </w:rPr>
        <w:t>3。</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6"/>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b/>
          <w:bCs/>
          <w:color w:val="auto"/>
          <w:sz w:val="24"/>
          <w:highlight w:val="none"/>
          <w:lang w:eastAsia="zh-CN"/>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pStyle w:val="13"/>
        <w:keepNext w:val="0"/>
        <w:keepLines w:val="0"/>
        <w:pageBreakBefore w:val="0"/>
        <w:widowControl w:val="0"/>
        <w:kinsoku/>
        <w:wordWrap/>
        <w:overflowPunct/>
        <w:topLinePunct w:val="0"/>
        <w:autoSpaceDE/>
        <w:autoSpaceDN/>
        <w:bidi w:val="0"/>
        <w:spacing w:line="384" w:lineRule="auto"/>
        <w:ind w:firstLine="480" w:firstLineChars="200"/>
        <w:jc w:val="both"/>
        <w:textAlignment w:val="auto"/>
        <w:outlineLvl w:val="1"/>
        <w:rPr>
          <w:rFonts w:hint="eastAsia" w:hAnsi="宋体" w:cs="宋体"/>
          <w:color w:val="auto"/>
          <w:sz w:val="24"/>
          <w:szCs w:val="24"/>
          <w:highlight w:val="none"/>
          <w:u w:val="single"/>
        </w:rPr>
      </w:pPr>
      <w:r>
        <w:rPr>
          <w:rFonts w:hint="eastAsia" w:hAnsi="宋体" w:cs="宋体"/>
          <w:color w:val="auto"/>
          <w:sz w:val="24"/>
          <w:szCs w:val="24"/>
          <w:highlight w:val="none"/>
          <w:lang w:val="en-US" w:eastAsia="zh-CN"/>
        </w:rPr>
        <w:t>8.2</w:t>
      </w:r>
      <w:r>
        <w:rPr>
          <w:rFonts w:hint="eastAsia" w:hAnsi="宋体" w:cs="宋体"/>
          <w:color w:val="auto"/>
          <w:sz w:val="24"/>
          <w:szCs w:val="24"/>
          <w:highlight w:val="none"/>
          <w:u w:val="single"/>
          <w:lang w:val="en-US" w:eastAsia="zh-CN"/>
        </w:rPr>
        <w:t>甲乙双方确认开工报告，乙方根据现场情况编辑施工方案、应急预案等安全备案资料提交净水公司审核备案后，由乙方提交申请支付资料15个工作日内，甲方支付至合同暂定总价的30％</w:t>
      </w:r>
      <w:r>
        <w:rPr>
          <w:rFonts w:hint="eastAsia" w:hAnsi="宋体" w:cs="宋体"/>
          <w:color w:val="auto"/>
          <w:sz w:val="24"/>
          <w:szCs w:val="24"/>
          <w:highlight w:val="none"/>
          <w:u w:val="single"/>
        </w:rPr>
        <w:t>给乙方。即</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项目一</w:t>
      </w:r>
      <w:r>
        <w:rPr>
          <w:rFonts w:hint="eastAsia" w:ascii="宋体" w:hAnsi="宋体" w:cs="宋体" w:eastAsiaTheme="minorEastAsia"/>
          <w:b w:val="0"/>
          <w:color w:val="auto"/>
          <w:sz w:val="24"/>
          <w:szCs w:val="24"/>
          <w:highlight w:val="none"/>
          <w:u w:val="single"/>
        </w:rPr>
        <w:t>人民币</w:t>
      </w:r>
      <w:r>
        <w:rPr>
          <w:rFonts w:hint="eastAsia" w:ascii="宋体" w:hAnsi="宋体" w:cs="宋体" w:eastAsiaTheme="minorEastAsia"/>
          <w:b w:val="0"/>
          <w:color w:val="auto"/>
          <w:sz w:val="24"/>
          <w:szCs w:val="24"/>
          <w:highlight w:val="none"/>
          <w:u w:val="single"/>
          <w:lang w:val="en-US" w:eastAsia="zh-CN"/>
        </w:rPr>
        <w:t xml:space="preserve">         </w:t>
      </w:r>
      <w:r>
        <w:rPr>
          <w:rFonts w:hint="eastAsia" w:ascii="宋体" w:hAnsi="宋体" w:cs="宋体" w:eastAsiaTheme="minorEastAsia"/>
          <w:b w:val="0"/>
          <w:color w:val="auto"/>
          <w:sz w:val="24"/>
          <w:szCs w:val="24"/>
          <w:highlight w:val="none"/>
          <w:u w:val="single"/>
        </w:rPr>
        <w:t>元</w:t>
      </w:r>
      <w:r>
        <w:rPr>
          <w:rFonts w:hint="eastAsia" w:ascii="宋体" w:hAnsi="宋体" w:cs="宋体" w:eastAsiaTheme="minorEastAsia"/>
          <w:color w:val="auto"/>
          <w:sz w:val="24"/>
          <w:szCs w:val="24"/>
          <w:highlight w:val="none"/>
          <w:u w:val="single"/>
          <w:lang w:val="en-US" w:eastAsia="zh-CN"/>
        </w:rPr>
        <w:t>（大写：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项目二</w:t>
      </w:r>
      <w:r>
        <w:rPr>
          <w:rFonts w:hint="eastAsia" w:ascii="宋体" w:hAnsi="宋体" w:cs="宋体" w:eastAsiaTheme="minorEastAsia"/>
          <w:b w:val="0"/>
          <w:color w:val="auto"/>
          <w:sz w:val="24"/>
          <w:szCs w:val="24"/>
          <w:highlight w:val="none"/>
          <w:u w:val="single"/>
        </w:rPr>
        <w:t>人民币</w:t>
      </w:r>
      <w:r>
        <w:rPr>
          <w:rFonts w:hint="eastAsia" w:ascii="宋体" w:hAnsi="宋体" w:cs="宋体" w:eastAsiaTheme="minorEastAsia"/>
          <w:b w:val="0"/>
          <w:color w:val="auto"/>
          <w:sz w:val="24"/>
          <w:szCs w:val="24"/>
          <w:highlight w:val="none"/>
          <w:u w:val="single"/>
          <w:lang w:val="en-US" w:eastAsia="zh-CN"/>
        </w:rPr>
        <w:t xml:space="preserve">         </w:t>
      </w:r>
      <w:r>
        <w:rPr>
          <w:rFonts w:hint="eastAsia" w:ascii="宋体" w:hAnsi="宋体" w:cs="宋体" w:eastAsiaTheme="minorEastAsia"/>
          <w:b w:val="0"/>
          <w:color w:val="auto"/>
          <w:sz w:val="24"/>
          <w:szCs w:val="24"/>
          <w:highlight w:val="none"/>
          <w:u w:val="single"/>
        </w:rPr>
        <w:t>元</w:t>
      </w:r>
      <w:r>
        <w:rPr>
          <w:rFonts w:hint="eastAsia" w:ascii="宋体" w:hAnsi="宋体" w:cs="宋体" w:eastAsiaTheme="minorEastAsia"/>
          <w:color w:val="auto"/>
          <w:sz w:val="24"/>
          <w:szCs w:val="24"/>
          <w:highlight w:val="none"/>
          <w:u w:val="single"/>
          <w:lang w:val="en-US" w:eastAsia="zh-CN"/>
        </w:rPr>
        <w:t>（大写：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项目分项验收分项支付，验收合格后，由乙方提交申请支付资料 15 个工作日内，甲方支付至合同暂定总价的80％给乙方。即</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项目一</w:t>
      </w:r>
      <w:r>
        <w:rPr>
          <w:rFonts w:hint="eastAsia" w:ascii="宋体" w:hAnsi="宋体" w:cs="宋体" w:eastAsiaTheme="minorEastAsia"/>
          <w:b w:val="0"/>
          <w:color w:val="auto"/>
          <w:sz w:val="24"/>
          <w:szCs w:val="24"/>
          <w:highlight w:val="none"/>
          <w:u w:val="single"/>
        </w:rPr>
        <w:t>人民币</w:t>
      </w:r>
      <w:r>
        <w:rPr>
          <w:rFonts w:hint="eastAsia" w:ascii="宋体" w:hAnsi="宋体" w:cs="宋体" w:eastAsiaTheme="minorEastAsia"/>
          <w:b w:val="0"/>
          <w:color w:val="auto"/>
          <w:sz w:val="24"/>
          <w:szCs w:val="24"/>
          <w:highlight w:val="none"/>
          <w:u w:val="single"/>
          <w:lang w:val="en-US" w:eastAsia="zh-CN"/>
        </w:rPr>
        <w:t xml:space="preserve">         </w:t>
      </w:r>
      <w:r>
        <w:rPr>
          <w:rFonts w:hint="eastAsia" w:ascii="宋体" w:hAnsi="宋体" w:cs="宋体" w:eastAsiaTheme="minorEastAsia"/>
          <w:b w:val="0"/>
          <w:color w:val="auto"/>
          <w:sz w:val="24"/>
          <w:szCs w:val="24"/>
          <w:highlight w:val="none"/>
          <w:u w:val="single"/>
        </w:rPr>
        <w:t>元</w:t>
      </w:r>
      <w:r>
        <w:rPr>
          <w:rFonts w:hint="eastAsia" w:ascii="宋体" w:hAnsi="宋体" w:cs="宋体" w:eastAsiaTheme="minorEastAsia"/>
          <w:color w:val="auto"/>
          <w:sz w:val="24"/>
          <w:szCs w:val="24"/>
          <w:highlight w:val="none"/>
          <w:u w:val="single"/>
          <w:lang w:val="en-US" w:eastAsia="zh-CN"/>
        </w:rPr>
        <w:t>（大写：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项目二</w:t>
      </w:r>
      <w:r>
        <w:rPr>
          <w:rFonts w:hint="eastAsia" w:ascii="宋体" w:hAnsi="宋体" w:cs="宋体" w:eastAsiaTheme="minorEastAsia"/>
          <w:b w:val="0"/>
          <w:color w:val="auto"/>
          <w:sz w:val="24"/>
          <w:szCs w:val="24"/>
          <w:highlight w:val="none"/>
          <w:u w:val="single"/>
        </w:rPr>
        <w:t>人民币</w:t>
      </w:r>
      <w:r>
        <w:rPr>
          <w:rFonts w:hint="eastAsia" w:ascii="宋体" w:hAnsi="宋体" w:cs="宋体" w:eastAsiaTheme="minorEastAsia"/>
          <w:b w:val="0"/>
          <w:color w:val="auto"/>
          <w:sz w:val="24"/>
          <w:szCs w:val="24"/>
          <w:highlight w:val="none"/>
          <w:u w:val="single"/>
          <w:lang w:val="en-US" w:eastAsia="zh-CN"/>
        </w:rPr>
        <w:t xml:space="preserve">         </w:t>
      </w:r>
      <w:r>
        <w:rPr>
          <w:rFonts w:hint="eastAsia" w:ascii="宋体" w:hAnsi="宋体" w:cs="宋体" w:eastAsiaTheme="minorEastAsia"/>
          <w:b w:val="0"/>
          <w:color w:val="auto"/>
          <w:sz w:val="24"/>
          <w:szCs w:val="24"/>
          <w:highlight w:val="none"/>
          <w:u w:val="single"/>
        </w:rPr>
        <w:t>元</w:t>
      </w:r>
      <w:r>
        <w:rPr>
          <w:rFonts w:hint="eastAsia" w:ascii="宋体" w:hAnsi="宋体" w:cs="宋体" w:eastAsiaTheme="minorEastAsia"/>
          <w:color w:val="auto"/>
          <w:sz w:val="24"/>
          <w:szCs w:val="24"/>
          <w:highlight w:val="none"/>
          <w:u w:val="single"/>
          <w:lang w:val="en-US" w:eastAsia="zh-CN"/>
        </w:rPr>
        <w:t>（大写：                  ）；</w:t>
      </w:r>
    </w:p>
    <w:p>
      <w:pPr>
        <w:spacing w:line="384" w:lineRule="auto"/>
        <w:ind w:firstLine="480" w:firstLineChars="200"/>
        <w:outlineLvl w:val="1"/>
        <w:rPr>
          <w:rFonts w:hint="eastAsia"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u w:val="single"/>
          <w:lang w:val="en-US" w:eastAsia="zh-CN"/>
        </w:rPr>
        <w:t>项目验收合格后，</w:t>
      </w:r>
      <w:r>
        <w:rPr>
          <w:rFonts w:hint="eastAsia" w:ascii="宋体" w:hAnsi="宋体" w:cs="宋体"/>
          <w:color w:val="auto"/>
          <w:sz w:val="24"/>
          <w:highlight w:val="none"/>
          <w:lang w:val="en-US" w:eastAsia="zh-CN"/>
        </w:rPr>
        <w:t>经甲方或</w:t>
      </w:r>
      <w:r>
        <w:rPr>
          <w:rFonts w:hint="eastAsia" w:ascii="宋体" w:hAnsi="宋体" w:cs="宋体"/>
          <w:color w:val="auto"/>
          <w:sz w:val="24"/>
          <w:highlight w:val="none"/>
        </w:rPr>
        <w:t>甲方委托有资质第三方机构审核后，由乙方提交申请支付资料</w:t>
      </w:r>
      <w:r>
        <w:rPr>
          <w:rFonts w:ascii="宋体" w:hAnsi="宋体" w:cs="宋体"/>
          <w:color w:val="auto"/>
          <w:sz w:val="24"/>
          <w:highlight w:val="none"/>
          <w:u w:val="single"/>
        </w:rPr>
        <w:t xml:space="preserve"> 15 </w:t>
      </w:r>
      <w:r>
        <w:rPr>
          <w:rFonts w:hint="eastAsia" w:ascii="宋体" w:hAnsi="宋体" w:cs="宋体"/>
          <w:color w:val="auto"/>
          <w:sz w:val="24"/>
          <w:highlight w:val="none"/>
        </w:rPr>
        <w:t>个工作日内，甲方支付至合同结算价的</w:t>
      </w:r>
      <w:r>
        <w:rPr>
          <w:rFonts w:ascii="宋体" w:hAnsi="宋体" w:cs="宋体"/>
          <w:color w:val="auto"/>
          <w:sz w:val="24"/>
          <w:highlight w:val="none"/>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Ansi="宋体" w:cs="宋体"/>
          <w:color w:val="auto"/>
          <w:sz w:val="24"/>
          <w:highlight w:val="none"/>
          <w:u w:val="single"/>
        </w:rPr>
        <w:t xml:space="preserve"> 15 </w:t>
      </w:r>
      <w:r>
        <w:rPr>
          <w:rFonts w:hint="eastAsia" w:hAnsi="宋体" w:cs="宋体"/>
          <w:color w:val="auto"/>
          <w:sz w:val="24"/>
          <w:highlight w:val="none"/>
        </w:rPr>
        <w:t>个工作日内，甲方支付合同结算价的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p>
    <w:p>
      <w:pPr>
        <w:pStyle w:val="13"/>
        <w:spacing w:line="500" w:lineRule="exact"/>
        <w:ind w:firstLine="480" w:firstLineChars="200"/>
        <w:outlineLvl w:val="1"/>
        <w:rPr>
          <w:rFonts w:hint="eastAsia" w:ascii="宋体" w:hAnsi="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项目一： 广州市净水有限公司</w:t>
      </w:r>
      <w:r>
        <w:rPr>
          <w:rFonts w:hint="eastAsia" w:hAnsi="宋体" w:cs="宋体"/>
          <w:color w:val="auto"/>
          <w:sz w:val="24"/>
          <w:highlight w:val="none"/>
          <w:u w:val="single"/>
          <w:lang w:val="en-US" w:eastAsia="zh-CN"/>
        </w:rPr>
        <w:t>猎德</w:t>
      </w:r>
      <w:r>
        <w:rPr>
          <w:rFonts w:hint="eastAsia" w:ascii="宋体" w:hAnsi="宋体" w:cs="宋体"/>
          <w:color w:val="auto"/>
          <w:sz w:val="24"/>
          <w:highlight w:val="none"/>
          <w:u w:val="single"/>
          <w:lang w:val="en-US" w:eastAsia="zh-CN"/>
        </w:rPr>
        <w:t xml:space="preserve">分公司 </w:t>
      </w:r>
    </w:p>
    <w:p>
      <w:pPr>
        <w:pStyle w:val="13"/>
        <w:spacing w:line="500" w:lineRule="exact"/>
        <w:ind w:firstLine="480" w:firstLineChars="200"/>
        <w:outlineLvl w:val="1"/>
        <w:rPr>
          <w:rFonts w:hint="default" w:ascii="宋体" w:hAnsi="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项目</w:t>
      </w:r>
      <w:r>
        <w:rPr>
          <w:rFonts w:hint="eastAsia" w:hAnsi="宋体" w:cs="宋体"/>
          <w:color w:val="auto"/>
          <w:sz w:val="24"/>
          <w:highlight w:val="none"/>
          <w:u w:val="single"/>
          <w:lang w:val="en-US" w:eastAsia="zh-CN"/>
        </w:rPr>
        <w:t>二</w:t>
      </w:r>
      <w:r>
        <w:rPr>
          <w:rFonts w:hint="eastAsia" w:ascii="宋体" w:hAnsi="宋体" w:cs="宋体"/>
          <w:color w:val="auto"/>
          <w:sz w:val="24"/>
          <w:highlight w:val="none"/>
          <w:u w:val="single"/>
          <w:lang w:val="en-US" w:eastAsia="zh-CN"/>
        </w:rPr>
        <w:t>： 广州市净水有限公司</w:t>
      </w:r>
      <w:r>
        <w:rPr>
          <w:rFonts w:hint="eastAsia" w:hAnsi="宋体" w:cs="宋体"/>
          <w:color w:val="auto"/>
          <w:sz w:val="24"/>
          <w:highlight w:val="none"/>
          <w:u w:val="single"/>
          <w:lang w:val="en-US" w:eastAsia="zh-CN"/>
        </w:rPr>
        <w:t>西朗二期</w:t>
      </w:r>
      <w:r>
        <w:rPr>
          <w:rFonts w:hint="eastAsia" w:ascii="宋体" w:hAnsi="宋体" w:cs="宋体"/>
          <w:color w:val="auto"/>
          <w:sz w:val="24"/>
          <w:highlight w:val="none"/>
          <w:u w:val="single"/>
          <w:lang w:val="en-US" w:eastAsia="zh-CN"/>
        </w:rPr>
        <w:t>分公司</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名称：广州市净水有限公司</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 xml:space="preserve">税号：9144 0101 75558 4729Q   </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 xml:space="preserve">地址：广州市天河区临江大道501号/020-38890283   </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ascii="宋体" w:hAnsi="宋体" w:cs="宋体"/>
          <w:color w:val="auto"/>
          <w:sz w:val="24"/>
          <w:highlight w:val="none"/>
        </w:rPr>
      </w:pPr>
      <w:r>
        <w:rPr>
          <w:rFonts w:hint="eastAsia" w:ascii="宋体" w:hAnsi="宋体" w:eastAsia="宋体" w:cs="宋体"/>
          <w:color w:val="auto"/>
          <w:sz w:val="24"/>
          <w:highlight w:val="none"/>
          <w:u w:val="single"/>
          <w:lang w:val="en-US" w:eastAsia="zh-CN"/>
        </w:rPr>
        <w:t>开户行及账号：民生银行广州分行  0301014140006932  。</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ascii="宋体" w:hAnsi="宋体" w:cs="宋体"/>
          <w:b/>
          <w:color w:val="auto"/>
          <w:sz w:val="24"/>
          <w:highlight w:val="none"/>
        </w:rPr>
        <w:sym w:font="Wingdings" w:char="00A8"/>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2"/>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2"/>
        <w:spacing w:before="0" w:beforeAutospacing="0" w:after="0" w:afterAutospacing="0" w:line="500" w:lineRule="exact"/>
        <w:ind w:firstLine="480"/>
        <w:rPr>
          <w:color w:val="auto"/>
          <w:highlight w:val="none"/>
        </w:rPr>
      </w:pPr>
      <w:r>
        <w:rPr>
          <w:rFonts w:hint="eastAsia"/>
          <w:color w:val="auto"/>
          <w:highlight w:val="none"/>
        </w:rPr>
        <w:t>（1）符合甲方要求（详见附件</w:t>
      </w:r>
      <w:r>
        <w:rPr>
          <w:rFonts w:hint="eastAsia"/>
          <w:color w:val="auto"/>
          <w:highlight w:val="none"/>
          <w:lang w:val="en-US" w:eastAsia="zh-CN"/>
        </w:rPr>
        <w:t>7</w:t>
      </w:r>
      <w:r>
        <w:rPr>
          <w:rFonts w:hint="eastAsia"/>
          <w:color w:val="auto"/>
          <w:highlight w:val="none"/>
        </w:rPr>
        <w:t>保函格式）的银行独立保函，</w:t>
      </w:r>
    </w:p>
    <w:p>
      <w:pPr>
        <w:pStyle w:val="22"/>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color w:val="auto"/>
          <w:highlight w:val="none"/>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3"/>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一式四份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9.5本合同竣工验收结算单位为：</w:t>
      </w:r>
    </w:p>
    <w:p>
      <w:pPr>
        <w:pStyle w:val="13"/>
        <w:spacing w:line="500" w:lineRule="exact"/>
        <w:ind w:firstLine="480" w:firstLineChars="200"/>
        <w:outlineLvl w:val="1"/>
        <w:rPr>
          <w:rFonts w:hAnsi="宋体" w:cs="宋体"/>
          <w:color w:val="auto"/>
          <w:sz w:val="24"/>
          <w:szCs w:val="20"/>
          <w:highlight w:val="none"/>
        </w:rPr>
      </w:pPr>
      <w:r>
        <w:rPr>
          <w:rFonts w:hint="eastAsia" w:hAnsi="宋体" w:cs="宋体"/>
          <w:color w:val="auto"/>
          <w:sz w:val="24"/>
          <w:szCs w:val="20"/>
          <w:highlight w:val="none"/>
        </w:rPr>
        <w:t>项目一：</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猎德</w:t>
      </w:r>
      <w:r>
        <w:rPr>
          <w:rFonts w:hint="eastAsia" w:hAnsi="宋体" w:cs="宋体"/>
          <w:color w:val="auto"/>
          <w:sz w:val="24"/>
          <w:szCs w:val="20"/>
          <w:highlight w:val="none"/>
          <w:u w:val="single"/>
        </w:rPr>
        <w:t>分公司</w:t>
      </w:r>
    </w:p>
    <w:p>
      <w:pPr>
        <w:pStyle w:val="13"/>
        <w:spacing w:line="500" w:lineRule="exact"/>
        <w:ind w:firstLine="480" w:firstLineChars="200"/>
        <w:outlineLvl w:val="1"/>
        <w:rPr>
          <w:rFonts w:hint="eastAsia" w:hAnsi="宋体" w:cs="宋体"/>
          <w:color w:val="auto"/>
          <w:sz w:val="24"/>
          <w:szCs w:val="20"/>
          <w:highlight w:val="none"/>
          <w:u w:val="single"/>
        </w:rPr>
      </w:pPr>
      <w:r>
        <w:rPr>
          <w:rFonts w:hint="eastAsia" w:hAnsi="宋体" w:cs="宋体"/>
          <w:color w:val="auto"/>
          <w:sz w:val="24"/>
          <w:szCs w:val="20"/>
          <w:highlight w:val="none"/>
        </w:rPr>
        <w:t>项目二：</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西朗二期</w:t>
      </w:r>
      <w:r>
        <w:rPr>
          <w:rFonts w:hint="eastAsia" w:hAnsi="宋体" w:cs="宋体"/>
          <w:color w:val="auto"/>
          <w:sz w:val="24"/>
          <w:szCs w:val="20"/>
          <w:highlight w:val="none"/>
          <w:u w:val="single"/>
        </w:rPr>
        <w:t>分公司</w:t>
      </w:r>
    </w:p>
    <w:p>
      <w:pPr>
        <w:numPr>
          <w:ilvl w:val="0"/>
          <w:numId w:val="7"/>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384" w:lineRule="auto"/>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本项目质量保修期为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zh-CN"/>
        </w:rPr>
        <w:t>年。</w:t>
      </w:r>
    </w:p>
    <w:p>
      <w:pPr>
        <w:spacing w:line="500" w:lineRule="exact"/>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w:t>
      </w:r>
      <w:r>
        <w:rPr>
          <w:rFonts w:hint="eastAsia" w:ascii="宋体" w:hAnsi="宋体" w:cs="宋体"/>
          <w:bCs/>
          <w:color w:val="auto"/>
          <w:sz w:val="24"/>
          <w:highlight w:val="none"/>
          <w:u w:val="single"/>
          <w:lang w:val="en-US" w:eastAsia="zh-CN"/>
        </w:rPr>
        <w:t xml:space="preserve"> 5 </w:t>
      </w:r>
      <w:r>
        <w:rPr>
          <w:rFonts w:hint="eastAsia" w:ascii="宋体" w:hAnsi="宋体" w:cs="宋体"/>
          <w:bCs/>
          <w:color w:val="auto"/>
          <w:sz w:val="24"/>
          <w:highlight w:val="none"/>
        </w:rPr>
        <w:t>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46"/>
        <w:spacing w:line="500" w:lineRule="exact"/>
        <w:rPr>
          <w:color w:val="auto"/>
          <w:highlight w:val="none"/>
        </w:rPr>
      </w:pPr>
    </w:p>
    <w:p>
      <w:pPr>
        <w:spacing w:line="384" w:lineRule="auto"/>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中标通知书</w:t>
      </w:r>
      <w:r>
        <w:rPr>
          <w:rFonts w:ascii="宋体" w:hAnsi="宋体" w:cs="宋体"/>
          <w:color w:val="auto"/>
          <w:sz w:val="24"/>
          <w:highlight w:val="none"/>
        </w:rPr>
        <w:t>/</w:t>
      </w:r>
      <w:r>
        <w:rPr>
          <w:rFonts w:hint="eastAsia" w:ascii="宋体" w:hAnsi="宋体" w:cs="宋体"/>
          <w:color w:val="auto"/>
          <w:sz w:val="24"/>
          <w:highlight w:val="none"/>
        </w:rPr>
        <w:t>发包通知书</w:t>
      </w:r>
      <w:r>
        <w:rPr>
          <w:rFonts w:ascii="宋体" w:hAnsi="宋体" w:cs="宋体"/>
          <w:color w:val="auto"/>
          <w:sz w:val="24"/>
          <w:highlight w:val="none"/>
        </w:rPr>
        <w:t>/</w:t>
      </w:r>
      <w:r>
        <w:rPr>
          <w:rFonts w:hint="eastAsia" w:ascii="宋体" w:hAnsi="宋体" w:cs="宋体"/>
          <w:color w:val="auto"/>
          <w:sz w:val="24"/>
          <w:highlight w:val="none"/>
          <w:lang w:val="en-US" w:eastAsia="zh-CN"/>
        </w:rPr>
        <w:t>成交通知书/</w:t>
      </w:r>
      <w:r>
        <w:rPr>
          <w:rFonts w:hint="eastAsia" w:ascii="宋体" w:hAnsi="宋体" w:cs="宋体"/>
          <w:color w:val="auto"/>
          <w:sz w:val="24"/>
          <w:highlight w:val="none"/>
        </w:rPr>
        <w:t>委托函（如有）</w:t>
      </w:r>
    </w:p>
    <w:p>
      <w:pPr>
        <w:numPr>
          <w:ilvl w:val="0"/>
          <w:numId w:val="0"/>
        </w:numPr>
        <w:spacing w:line="46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廉洁协议</w:t>
      </w:r>
    </w:p>
    <w:p>
      <w:pPr>
        <w:numPr>
          <w:ilvl w:val="0"/>
          <w:numId w:val="0"/>
        </w:numPr>
        <w:spacing w:line="460" w:lineRule="exact"/>
        <w:ind w:firstLine="720" w:firstLineChars="300"/>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不诚信行为的情形及相应被暂停参与投标活动的处理标准</w:t>
      </w:r>
    </w:p>
    <w:p>
      <w:pPr>
        <w:spacing w:line="384" w:lineRule="auto"/>
        <w:ind w:firstLine="720" w:firstLineChars="3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r>
        <w:rPr>
          <w:rFonts w:ascii="宋体" w:hAnsi="宋体" w:cs="宋体"/>
          <w:color w:val="auto"/>
          <w:sz w:val="24"/>
          <w:highlight w:val="none"/>
        </w:rPr>
        <w:t>.</w:t>
      </w:r>
      <w:r>
        <w:rPr>
          <w:rFonts w:hint="eastAsia" w:ascii="宋体" w:hAnsi="宋体" w:cs="宋体"/>
          <w:color w:val="auto"/>
          <w:sz w:val="24"/>
          <w:highlight w:val="none"/>
          <w:lang w:val="en-US" w:eastAsia="zh-CN"/>
        </w:rPr>
        <w:t>营运场所施工安全协议书</w:t>
      </w:r>
    </w:p>
    <w:p>
      <w:pPr>
        <w:spacing w:line="384" w:lineRule="auto"/>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5</w:t>
      </w:r>
      <w:r>
        <w:rPr>
          <w:rFonts w:ascii="宋体" w:hAnsi="宋体" w:cs="宋体"/>
          <w:color w:val="auto"/>
          <w:sz w:val="24"/>
          <w:highlight w:val="none"/>
        </w:rPr>
        <w:t>.</w:t>
      </w:r>
      <w:r>
        <w:rPr>
          <w:rFonts w:hint="eastAsia" w:ascii="宋体" w:hAnsi="宋体" w:cs="宋体"/>
          <w:color w:val="auto"/>
          <w:sz w:val="24"/>
          <w:highlight w:val="none"/>
        </w:rPr>
        <w:t>工程量清单</w:t>
      </w:r>
      <w:r>
        <w:rPr>
          <w:rFonts w:ascii="宋体" w:hAnsi="宋体" w:cs="宋体"/>
          <w:color w:val="auto"/>
          <w:sz w:val="24"/>
          <w:highlight w:val="none"/>
        </w:rPr>
        <w:t>/</w:t>
      </w:r>
      <w:r>
        <w:rPr>
          <w:rFonts w:hint="eastAsia" w:ascii="宋体" w:hAnsi="宋体" w:cs="宋体"/>
          <w:color w:val="auto"/>
          <w:sz w:val="24"/>
          <w:highlight w:val="none"/>
        </w:rPr>
        <w:t>报价</w:t>
      </w:r>
    </w:p>
    <w:p>
      <w:pPr>
        <w:spacing w:line="384" w:lineRule="auto"/>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6</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ascii="宋体" w:hAnsi="宋体" w:cs="宋体"/>
          <w:color w:val="auto"/>
          <w:sz w:val="24"/>
          <w:highlight w:val="none"/>
        </w:rPr>
        <w:t xml:space="preserve"> </w:t>
      </w:r>
    </w:p>
    <w:p>
      <w:pPr>
        <w:spacing w:line="360" w:lineRule="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highlight w:val="none"/>
        </w:rPr>
        <w:t xml:space="preserve">      </w:t>
      </w:r>
      <w:r>
        <w:rPr>
          <w:rFonts w:hint="eastAsia" w:asciiTheme="minorEastAsia" w:hAnsiTheme="minorEastAsia" w:eastAsiaTheme="minorEastAsia" w:cstheme="minorEastAsia"/>
          <w:b w:val="0"/>
          <w:bCs w:val="0"/>
          <w:color w:val="auto"/>
          <w:sz w:val="24"/>
          <w:highlight w:val="none"/>
          <w:lang w:val="en-US" w:eastAsia="zh-CN"/>
        </w:rPr>
        <w:t>7</w:t>
      </w:r>
      <w:r>
        <w:rPr>
          <w:rFonts w:hint="eastAsia" w:asciiTheme="minorEastAsia" w:hAnsiTheme="minorEastAsia" w:eastAsiaTheme="minorEastAsia" w:cstheme="minorEastAsia"/>
          <w:b w:val="0"/>
          <w:bCs w:val="0"/>
          <w:color w:val="auto"/>
          <w:sz w:val="24"/>
          <w:highlight w:val="none"/>
        </w:rPr>
        <w:t>.</w:t>
      </w:r>
      <w:r>
        <w:rPr>
          <w:rFonts w:hint="eastAsia" w:ascii="宋体" w:hAnsi="宋体" w:cs="宋体"/>
          <w:color w:val="auto"/>
          <w:sz w:val="24"/>
          <w:highlight w:val="none"/>
        </w:rPr>
        <w:t>履约保函（模板）</w:t>
      </w:r>
    </w:p>
    <w:p>
      <w:pPr>
        <w:spacing w:line="360" w:lineRule="auto"/>
        <w:ind w:firstLine="720" w:firstLineChars="300"/>
        <w:rPr>
          <w:rFonts w:hint="eastAsia" w:asciiTheme="minorEastAsia" w:hAnsiTheme="minorEastAsia" w:eastAsiaTheme="minorEastAsia" w:cstheme="minorEastAsia"/>
          <w:b w:val="0"/>
          <w:bCs w:val="0"/>
          <w:color w:val="auto"/>
          <w:sz w:val="24"/>
          <w:szCs w:val="24"/>
          <w:highlight w:val="none"/>
          <w:lang w:eastAsia="zh-CN"/>
        </w:rPr>
      </w:pPr>
      <w:r>
        <w:rPr>
          <w:rFonts w:hint="eastAsia" w:ascii="宋体" w:hAnsi="宋体" w:cs="宋体"/>
          <w:color w:val="auto"/>
          <w:sz w:val="24"/>
          <w:highlight w:val="none"/>
          <w:lang w:val="en-US" w:eastAsia="zh-CN"/>
        </w:rPr>
        <w:t>8.</w:t>
      </w:r>
      <w:r>
        <w:rPr>
          <w:rFonts w:hint="eastAsia" w:asciiTheme="minorEastAsia" w:hAnsiTheme="minorEastAsia" w:eastAsiaTheme="minorEastAsia" w:cstheme="minorEastAsia"/>
          <w:b w:val="0"/>
          <w:bCs w:val="0"/>
          <w:color w:val="auto"/>
          <w:sz w:val="24"/>
          <w:szCs w:val="24"/>
          <w:highlight w:val="none"/>
        </w:rPr>
        <w:t>应急救援物资清单</w:t>
      </w:r>
      <w:r>
        <w:rPr>
          <w:rFonts w:hint="eastAsia" w:asciiTheme="minorEastAsia" w:hAnsiTheme="minorEastAsia" w:eastAsiaTheme="minorEastAsia" w:cstheme="minorEastAsia"/>
          <w:b w:val="0"/>
          <w:bCs w:val="0"/>
          <w:color w:val="auto"/>
          <w:sz w:val="24"/>
          <w:szCs w:val="24"/>
          <w:highlight w:val="none"/>
          <w:lang w:eastAsia="zh-CN"/>
        </w:rPr>
        <w:t>（如需）</w:t>
      </w:r>
    </w:p>
    <w:p>
      <w:pPr>
        <w:spacing w:line="360" w:lineRule="auto"/>
        <w:ind w:firstLine="720" w:firstLineChars="3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.授权委托证明（如需）</w:t>
      </w:r>
    </w:p>
    <w:p>
      <w:pPr>
        <w:spacing w:line="500" w:lineRule="exact"/>
        <w:ind w:firstLine="720" w:firstLineChars="300"/>
        <w:rPr>
          <w:rFonts w:ascii="宋体" w:hAnsi="宋体" w:cs="宋体"/>
          <w:color w:val="auto"/>
          <w:sz w:val="24"/>
          <w:szCs w:val="24"/>
          <w:highlight w:val="none"/>
        </w:rPr>
      </w:pPr>
    </w:p>
    <w:p>
      <w:pPr>
        <w:pStyle w:val="46"/>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Ansi="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p>
    <w:p>
      <w:pPr>
        <w:pStyle w:val="2"/>
        <w:ind w:left="0" w:leftChars="0" w:firstLine="0" w:firstLineChars="0"/>
        <w:rPr>
          <w:rFonts w:hint="eastAsia" w:ascii="宋体" w:hAnsi="宋体" w:cs="宋体"/>
          <w:b/>
          <w:bCs/>
          <w:color w:val="auto"/>
          <w:szCs w:val="21"/>
          <w:highlight w:val="none"/>
        </w:rPr>
      </w:pPr>
    </w:p>
    <w:p>
      <w:pPr>
        <w:pStyle w:val="2"/>
        <w:ind w:left="0" w:leftChars="0" w:firstLine="0" w:firstLineChars="0"/>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中标通知书/发包通知书/委托函（如有）</w:t>
      </w:r>
    </w:p>
    <w:p>
      <w:pPr>
        <w:spacing w:line="360" w:lineRule="auto"/>
        <w:rPr>
          <w:rFonts w:hint="eastAsia" w:ascii="仿宋_GB2312" w:hAnsi="仿宋_GB2312" w:eastAsia="仿宋_GB2312" w:cs="仿宋_GB2312"/>
          <w:b w:val="0"/>
          <w:bCs/>
          <w:color w:val="auto"/>
          <w:sz w:val="28"/>
          <w:szCs w:val="28"/>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广州市净水有限公司2022年猎德、西朗二期分公司地磅改造项目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ind w:left="0" w:leftChars="0"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广州市净水有限公司2022年猎德、西朗二期分公司地磅改造项目</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宋体" w:hAnsi="宋体" w:cs="宋体"/>
          <w:b/>
          <w:color w:val="auto"/>
          <w:szCs w:val="21"/>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ind w:left="0" w:leftChars="0" w:firstLine="0" w:firstLineChars="0"/>
        <w:rPr>
          <w:rFonts w:hint="eastAsia" w:ascii="宋体" w:hAnsi="宋体" w:cs="宋体"/>
          <w:b/>
          <w:color w:val="auto"/>
          <w:szCs w:val="21"/>
          <w:highlight w:val="none"/>
        </w:rPr>
      </w:pPr>
    </w:p>
    <w:p>
      <w:pPr>
        <w:pStyle w:val="2"/>
        <w:ind w:left="0" w:leftChars="0" w:firstLine="0" w:firstLineChars="0"/>
        <w:rPr>
          <w:rFonts w:hint="eastAsia" w:ascii="宋体" w:hAnsi="宋体" w:cs="宋体"/>
          <w:b/>
          <w:color w:val="auto"/>
          <w:szCs w:val="21"/>
          <w:highlight w:val="none"/>
        </w:rPr>
      </w:pPr>
    </w:p>
    <w:p>
      <w:pPr>
        <w:pStyle w:val="2"/>
        <w:ind w:left="0" w:leftChars="0" w:firstLine="0" w:firstLineChars="0"/>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adjustRightInd w:val="0"/>
        <w:snapToGrid w:val="0"/>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附件3.</w:t>
      </w:r>
      <w:r>
        <w:rPr>
          <w:rFonts w:hint="eastAsia" w:ascii="宋体" w:hAnsi="宋体" w:eastAsia="宋体" w:cs="宋体"/>
          <w:color w:val="auto"/>
          <w:sz w:val="21"/>
          <w:szCs w:val="21"/>
          <w:highlight w:val="none"/>
        </w:rPr>
        <w:t>不诚信行为的情形及相应被暂停参与投标活动的处理标准</w:t>
      </w:r>
    </w:p>
    <w:tbl>
      <w:tblPr>
        <w:tblStyle w:val="23"/>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auto"/>
          <w:sz w:val="24"/>
          <w:szCs w:val="24"/>
          <w:highlight w:val="none"/>
        </w:rPr>
        <w:t>《广州市净水有限公司经营建设项目参建企业不诚信行为管理办法》</w:t>
      </w:r>
      <w:r>
        <w:rPr>
          <w:rFonts w:hint="eastAsia" w:ascii="仿宋_GB2312" w:hAnsi="仿宋_GB2312" w:eastAsia="仿宋_GB2312" w:cs="仿宋_GB2312"/>
          <w:color w:val="auto"/>
          <w:sz w:val="24"/>
          <w:szCs w:val="24"/>
          <w:highlight w:val="none"/>
          <w:lang w:eastAsia="zh-CN"/>
        </w:rPr>
        <w:t>。</w:t>
      </w:r>
    </w:p>
    <w:p>
      <w:pPr>
        <w:spacing w:line="360" w:lineRule="auto"/>
        <w:rPr>
          <w:rFonts w:ascii="宋体" w:hAnsi="宋体"/>
          <w:b/>
          <w:color w:val="auto"/>
          <w:sz w:val="24"/>
          <w:highlight w:val="none"/>
        </w:rPr>
      </w:pPr>
    </w:p>
    <w:p>
      <w:pPr>
        <w:spacing w:line="360" w:lineRule="auto"/>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ind w:left="0" w:leftChars="0" w:firstLine="0" w:firstLineChars="0"/>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：安全管理协议书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bookmarkStart w:id="91" w:name="_Toc21391"/>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adjustRightInd w:val="0"/>
        <w:snapToGrid w:val="0"/>
        <w:spacing w:line="560" w:lineRule="exact"/>
        <w:jc w:val="left"/>
        <w:rPr>
          <w:rStyle w:val="26"/>
          <w:rFonts w:asciiTheme="minorEastAsia" w:hAnsiTheme="minorEastAsia" w:eastAsiaTheme="minorEastAsia"/>
          <w:b w:val="0"/>
          <w:color w:val="auto"/>
          <w:highlight w:val="none"/>
          <w:u w:val="single"/>
        </w:rPr>
      </w:pPr>
    </w:p>
    <w:bookmarkEnd w:id="91"/>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color w:val="auto"/>
          <w:sz w:val="24"/>
          <w:highlight w:val="none"/>
          <w:u w:val="single"/>
          <w:lang w:val="en-US" w:eastAsia="zh-CN"/>
        </w:rPr>
        <w:t xml:space="preserve"> 广州市净水有限公司2022年猎德、西朗二期分公司地磅改造项目</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color w:val="auto"/>
          <w:sz w:val="24"/>
          <w:highlight w:val="none"/>
          <w:u w:val="single"/>
          <w:lang w:val="en-US" w:eastAsia="zh-CN"/>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6"/>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widowControl/>
        <w:spacing w:line="560" w:lineRule="exact"/>
        <w:ind w:firstLine="1560" w:firstLineChars="650"/>
        <w:jc w:val="left"/>
        <w:rPr>
          <w:rFonts w:ascii="宋体" w:hAnsi="宋体" w:cs="宋体"/>
          <w:color w:val="auto"/>
          <w:kern w:val="0"/>
          <w:sz w:val="24"/>
          <w:highlight w:val="none"/>
        </w:rPr>
      </w:pPr>
    </w:p>
    <w:p>
      <w:pPr>
        <w:spacing w:line="360" w:lineRule="auto"/>
        <w:rPr>
          <w:rFonts w:ascii="宋体" w:hAnsi="宋体" w:cs="宋体"/>
          <w:b/>
          <w:bCs/>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w:t>
      </w:r>
      <w:r>
        <w:rPr>
          <w:rFonts w:hint="eastAsia" w:ascii="宋体" w:hAnsi="宋体" w:cs="宋体"/>
          <w:b/>
          <w:bCs/>
          <w:color w:val="auto"/>
          <w:szCs w:val="21"/>
          <w:highlight w:val="none"/>
          <w:lang w:val="en-US" w:eastAsia="zh-CN"/>
        </w:rPr>
        <w:t>详见响应文件格式要求5 报价表</w:t>
      </w:r>
      <w:r>
        <w:rPr>
          <w:rFonts w:hint="eastAsia" w:ascii="宋体" w:hAnsi="宋体" w:cs="宋体"/>
          <w:b/>
          <w:color w:val="auto"/>
          <w:szCs w:val="21"/>
          <w:highlight w:val="none"/>
          <w:lang w:val="en-US" w:eastAsia="zh-CN"/>
        </w:rPr>
        <w:t>）</w:t>
      </w:r>
    </w:p>
    <w:p>
      <w:pPr>
        <w:pStyle w:val="2"/>
        <w:rPr>
          <w:rFonts w:hint="eastAsia"/>
          <w:color w:val="auto"/>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附件6 ：项目投入人员架构表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：履约保函（模板）</w:t>
      </w:r>
    </w:p>
    <w:p>
      <w:pPr>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履约保函模板</w:t>
      </w:r>
    </w:p>
    <w:p>
      <w:pPr>
        <w:rPr>
          <w:rFonts w:asciiTheme="minorEastAsia" w:hAnsiTheme="minorEastAsia" w:eastAsiaTheme="minorEastAsia"/>
          <w:color w:val="auto"/>
          <w:sz w:val="24"/>
          <w:highlight w:val="none"/>
        </w:rPr>
      </w:pPr>
    </w:p>
    <w:p>
      <w:pP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致：</w:t>
      </w:r>
      <w:r>
        <w:rPr>
          <w:rFonts w:hint="eastAsia" w:asciiTheme="minorEastAsia" w:hAnsiTheme="minorEastAsia" w:eastAsiaTheme="minorEastAsia"/>
          <w:color w:val="auto"/>
          <w:sz w:val="24"/>
          <w:highlight w:val="none"/>
          <w:u w:val="single"/>
        </w:rPr>
        <w:t xml:space="preserve">               （受益人）</w:t>
      </w:r>
      <w:r>
        <w:rPr>
          <w:rFonts w:asciiTheme="minorEastAsia" w:hAnsiTheme="minorEastAsia" w:eastAsiaTheme="minorEastAsia"/>
          <w:color w:val="auto"/>
          <w:sz w:val="24"/>
          <w:highlight w:val="none"/>
        </w:rPr>
        <w:br w:type="textWrapping"/>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鉴于（以下简称“委托人”）与贵方于</w:t>
      </w:r>
      <w:r>
        <w:rPr>
          <w:rFonts w:hint="eastAsia" w:asciiTheme="minorEastAsia" w:hAnsiTheme="minorEastAsia" w:eastAsiaTheme="minorEastAsia"/>
          <w:color w:val="auto"/>
          <w:sz w:val="24"/>
          <w:highlight w:val="none"/>
          <w:u w:val="single"/>
        </w:rPr>
        <w:t xml:space="preserve">   年  月  日</w:t>
      </w:r>
      <w:r>
        <w:rPr>
          <w:rFonts w:hint="eastAsia" w:asciiTheme="minorEastAsia" w:hAnsiTheme="minorEastAsia" w:eastAsiaTheme="minorEastAsia"/>
          <w:color w:val="auto"/>
          <w:sz w:val="24"/>
          <w:highlight w:val="none"/>
        </w:rPr>
        <w:t>签订了（以下简称“合同”），我行同意为委托人出具履约保函，作为委托人履行合同义务的担保，以使你方得到履约保函的保障。本保函为不可撤销，见索即付的独立保函。</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二、贵单位的索赔申请应符合下述条件：</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（一）贵单位法定代表人或其授权代表签字并加盖单位公章；</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（二）在保函有效期内送达我行；</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（三）明确的索赔金额（不得超过本保函第一条所列之限额）。</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三、本保函自签发之日起生效，有效期至</w:t>
      </w:r>
      <w:r>
        <w:rPr>
          <w:rFonts w:hint="eastAsia" w:asciiTheme="minorEastAsia" w:hAnsiTheme="minorEastAsia" w:eastAsiaTheme="minorEastAsia"/>
          <w:color w:val="auto"/>
          <w:sz w:val="24"/>
          <w:highlight w:val="none"/>
          <w:u w:val="single"/>
        </w:rPr>
        <w:t xml:space="preserve">  年  月  日</w:t>
      </w:r>
      <w:r>
        <w:rPr>
          <w:rFonts w:hint="eastAsia" w:asciiTheme="minorEastAsia" w:hAnsiTheme="minorEastAsia" w:eastAsiaTheme="minorEastAsia"/>
          <w:color w:val="auto"/>
          <w:sz w:val="24"/>
          <w:highlight w:val="none"/>
        </w:rPr>
        <w:t>。本保函于下述任一事项发生之时立即失效，我行在本保函项下的保证义务即刻解除：</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（一）本保函有效期限届满；</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（二）我行保证的义务履行完毕。</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五、我行向你方支付索赔金额后，本保函担保金额即按贵方通知的索赔金额予以递减。</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六、保函失效后请将保函退回我行注销，无论正本最终退回与否，不影响本保函依上述约定自动失效。</w:t>
      </w:r>
    </w:p>
    <w:p>
      <w:pPr>
        <w:ind w:firstLine="420"/>
        <w:rPr>
          <w:rFonts w:asciiTheme="minorEastAsia" w:hAnsiTheme="minorEastAsia" w:eastAsiaTheme="minorEastAsia"/>
          <w:color w:val="auto"/>
          <w:sz w:val="24"/>
          <w:highlight w:val="none"/>
        </w:rPr>
      </w:pPr>
    </w:p>
    <w:p>
      <w:pPr>
        <w:ind w:firstLine="420"/>
        <w:rPr>
          <w:rFonts w:asciiTheme="minorEastAsia" w:hAnsiTheme="minorEastAsia" w:eastAsiaTheme="minorEastAsia"/>
          <w:color w:val="auto"/>
          <w:sz w:val="24"/>
          <w:highlight w:val="none"/>
        </w:rPr>
      </w:pP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落款</w:t>
      </w:r>
    </w:p>
    <w:p>
      <w:pPr>
        <w:ind w:firstLine="420"/>
        <w:rPr>
          <w:rFonts w:asciiTheme="minorEastAsia" w:hAnsiTheme="minorEastAsia" w:eastAsiaTheme="minorEastAsia"/>
          <w:color w:val="auto"/>
          <w:sz w:val="24"/>
          <w:highlight w:val="none"/>
        </w:rPr>
      </w:pPr>
    </w:p>
    <w:p>
      <w:pPr>
        <w:ind w:firstLine="64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保函说明：</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保函不得有下列或类似含义的表述：</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1.银行承担的为连带责任保证、一般保证。</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2.未经银行书面同意，受益人与申请人修改合同或其项下附件时，银行的保证义务解除。</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3.合同撤销或无效的，保函失效。</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4.申请人对受益人的抗辩，银行有权向受益人主张。</w:t>
      </w:r>
    </w:p>
    <w:p>
      <w:pPr>
        <w:ind w:firstLine="645"/>
        <w:rPr>
          <w:rFonts w:hint="eastAsia" w:ascii="方正小标宋简体" w:eastAsia="方正小标宋简体"/>
          <w:color w:val="auto"/>
          <w:sz w:val="28"/>
          <w:szCs w:val="28"/>
          <w:highlight w:val="none"/>
        </w:rPr>
      </w:pPr>
      <w:r>
        <w:rPr>
          <w:rFonts w:hint="eastAsia" w:cs="仿宋_GB2312" w:asciiTheme="minorEastAsia" w:hAnsiTheme="minorEastAsia" w:eastAsiaTheme="minorEastAsia"/>
          <w:color w:val="auto"/>
          <w:sz w:val="24"/>
          <w:highlight w:val="none"/>
        </w:rPr>
        <w:t>5.受益人请求付款的请款单据包含法院裁判文书、仲裁裁决、第三方单位出具的鉴定书等申请人违约的证明材料。</w:t>
      </w: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color w:val="auto"/>
          <w:highlight w:val="none"/>
        </w:rPr>
      </w:pPr>
      <w:bookmarkStart w:id="92" w:name="_Toc5129"/>
      <w:bookmarkStart w:id="93" w:name="_Toc16552"/>
      <w:bookmarkStart w:id="94" w:name="_Toc8147"/>
      <w:bookmarkStart w:id="95" w:name="_Toc6230"/>
      <w:bookmarkStart w:id="96" w:name="_Toc3723"/>
      <w:bookmarkStart w:id="97" w:name="_Toc23515"/>
      <w:bookmarkStart w:id="98" w:name="_Toc1563"/>
      <w:bookmarkStart w:id="99" w:name="_Toc30824"/>
      <w:bookmarkStart w:id="100" w:name="_Toc21847"/>
      <w:bookmarkStart w:id="101" w:name="_Toc12169"/>
      <w:bookmarkStart w:id="102" w:name="_Toc28358"/>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92"/>
      <w:bookmarkEnd w:id="93"/>
      <w:bookmarkEnd w:id="94"/>
      <w:bookmarkEnd w:id="95"/>
      <w:bookmarkEnd w:id="96"/>
      <w:bookmarkEnd w:id="97"/>
      <w:bookmarkEnd w:id="98"/>
      <w:bookmarkEnd w:id="99"/>
      <w:bookmarkEnd w:id="100"/>
      <w:bookmarkEnd w:id="101"/>
      <w:bookmarkEnd w:id="102"/>
    </w:p>
    <w:p>
      <w:pPr>
        <w:pStyle w:val="36"/>
        <w:rPr>
          <w:color w:val="auto"/>
          <w:highlight w:val="none"/>
        </w:rPr>
      </w:pPr>
    </w:p>
    <w:p>
      <w:pPr>
        <w:pStyle w:val="4"/>
        <w:rPr>
          <w:color w:val="auto"/>
          <w:highlight w:val="none"/>
        </w:rPr>
      </w:pPr>
      <w:bookmarkStart w:id="103" w:name="_Toc17119"/>
      <w:bookmarkStart w:id="104" w:name="_Toc24815"/>
      <w:bookmarkStart w:id="105" w:name="_Toc22764"/>
      <w:bookmarkStart w:id="106" w:name="_Toc31564"/>
      <w:bookmarkStart w:id="107" w:name="_Toc30157"/>
      <w:bookmarkStart w:id="108" w:name="_Toc88209951"/>
      <w:bookmarkStart w:id="109" w:name="_Toc12769"/>
      <w:bookmarkStart w:id="110" w:name="_Toc5342"/>
      <w:bookmarkStart w:id="111" w:name="_Toc10840"/>
      <w:bookmarkStart w:id="112" w:name="_Toc12610"/>
      <w:bookmarkStart w:id="113" w:name="_Toc24490"/>
      <w:bookmarkStart w:id="114" w:name="_Toc21675"/>
      <w:bookmarkStart w:id="115" w:name="_Toc87616388"/>
      <w:r>
        <w:rPr>
          <w:rFonts w:hint="eastAsia"/>
          <w:color w:val="auto"/>
          <w:highlight w:val="none"/>
        </w:rPr>
        <w:t>响应文件</w:t>
      </w:r>
      <w:r>
        <w:rPr>
          <w:rFonts w:hint="eastAsia"/>
          <w:color w:val="auto"/>
          <w:highlight w:val="none"/>
          <w:lang w:val="en-US" w:eastAsia="zh-CN"/>
        </w:rPr>
        <w:t>格式要求</w:t>
      </w:r>
      <w:bookmarkEnd w:id="103"/>
      <w:bookmarkEnd w:id="104"/>
      <w:bookmarkEnd w:id="105"/>
      <w:bookmarkEnd w:id="106"/>
      <w:bookmarkEnd w:id="107"/>
      <w:bookmarkEnd w:id="108"/>
      <w:bookmarkEnd w:id="109"/>
      <w:bookmarkEnd w:id="110"/>
      <w:bookmarkEnd w:id="111"/>
      <w:bookmarkEnd w:id="112"/>
      <w:bookmarkEnd w:id="113"/>
      <w:bookmarkEnd w:id="114"/>
      <w:bookmarkEnd w:id="11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pStyle w:val="2"/>
        <w:rPr>
          <w:rFonts w:ascii="方正小标宋简体" w:eastAsia="方正小标宋简体"/>
          <w:color w:val="auto"/>
          <w:sz w:val="30"/>
          <w:szCs w:val="30"/>
          <w:highlight w:val="none"/>
        </w:rPr>
      </w:pPr>
    </w:p>
    <w:p>
      <w:pPr>
        <w:pStyle w:val="2"/>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line="600" w:lineRule="exact"/>
        <w:jc w:val="both"/>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6" w:name="_Toc87616389"/>
      <w:bookmarkStart w:id="117" w:name="_Toc88209952"/>
      <w:r>
        <w:rPr>
          <w:rFonts w:hint="eastAsia" w:ascii="仿宋_GB2312" w:eastAsia="仿宋_GB2312"/>
          <w:color w:val="auto"/>
          <w:sz w:val="28"/>
          <w:szCs w:val="28"/>
          <w:highlight w:val="none"/>
        </w:rPr>
        <w:t>1.响应函</w:t>
      </w:r>
      <w:bookmarkEnd w:id="116"/>
      <w:bookmarkEnd w:id="117"/>
    </w:p>
    <w:p>
      <w:pPr>
        <w:spacing w:line="600" w:lineRule="exact"/>
        <w:rPr>
          <w:rFonts w:hint="eastAsia" w:ascii="仿宋_GB2312" w:eastAsia="仿宋_GB2312"/>
          <w:color w:val="auto"/>
          <w:sz w:val="28"/>
          <w:szCs w:val="28"/>
          <w:highlight w:val="none"/>
        </w:rPr>
      </w:pPr>
      <w:bookmarkStart w:id="118" w:name="_Toc87616390"/>
      <w:bookmarkStart w:id="119" w:name="_Toc88209953"/>
      <w:r>
        <w:rPr>
          <w:rFonts w:hint="eastAsia" w:ascii="仿宋_GB2312" w:eastAsia="仿宋_GB2312"/>
          <w:color w:val="auto"/>
          <w:sz w:val="28"/>
          <w:szCs w:val="28"/>
          <w:highlight w:val="none"/>
        </w:rPr>
        <w:t>2.法定代表人证明或授权委托书</w:t>
      </w:r>
      <w:bookmarkEnd w:id="118"/>
      <w:bookmarkEnd w:id="119"/>
      <w:bookmarkStart w:id="120" w:name="_Toc87616393"/>
      <w:bookmarkStart w:id="121"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20"/>
      <w:bookmarkEnd w:id="121"/>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pPr>
    </w:p>
    <w:p>
      <w:pPr>
        <w:pStyle w:val="6"/>
        <w:rPr>
          <w:rFonts w:asciiTheme="minorEastAsia" w:hAnsiTheme="minorEastAsia" w:eastAsiaTheme="minorEastAsia"/>
          <w:color w:val="auto"/>
          <w:sz w:val="28"/>
          <w:szCs w:val="28"/>
          <w:highlight w:val="none"/>
        </w:rPr>
      </w:pPr>
      <w:bookmarkStart w:id="122" w:name="_Toc87616394"/>
      <w:bookmarkStart w:id="123" w:name="_Toc12665"/>
      <w:bookmarkStart w:id="124" w:name="_Toc28619645"/>
      <w:bookmarkStart w:id="125" w:name="_Toc6313"/>
      <w:bookmarkStart w:id="126" w:name="_Toc88209957"/>
      <w:r>
        <w:rPr>
          <w:rFonts w:hint="eastAsia" w:asciiTheme="minorEastAsia" w:hAnsiTheme="minorEastAsia" w:eastAsiaTheme="minorEastAsia"/>
          <w:color w:val="auto"/>
          <w:sz w:val="28"/>
          <w:szCs w:val="28"/>
          <w:highlight w:val="none"/>
        </w:rPr>
        <w:t>1.响应函</w:t>
      </w:r>
      <w:bookmarkEnd w:id="122"/>
      <w:bookmarkEnd w:id="123"/>
      <w:bookmarkEnd w:id="124"/>
      <w:bookmarkEnd w:id="125"/>
      <w:bookmarkEnd w:id="126"/>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广州市净水有限公司2022年猎德、西朗二期分公司地磅改造项目</w:t>
      </w:r>
      <w:r>
        <w:rPr>
          <w:rFonts w:hint="eastAsia" w:ascii="仿宋_GB2312" w:hAnsi="黑体" w:eastAsia="仿宋_GB2312"/>
          <w:color w:val="auto"/>
          <w:sz w:val="28"/>
          <w:szCs w:val="28"/>
          <w:highlight w:val="none"/>
        </w:rPr>
        <w:t>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
        <w:ind w:firstLine="560" w:firstLineChars="200"/>
        <w:rPr>
          <w:rFonts w:hint="eastAsia" w:eastAsia="仿宋_GB2312"/>
          <w:color w:val="auto"/>
          <w:highlight w:val="none"/>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27" w:name="_Toc88209958"/>
      <w:bookmarkStart w:id="128" w:name="_Toc29833"/>
      <w:bookmarkStart w:id="129" w:name="_Toc22527"/>
      <w:bookmarkStart w:id="130" w:name="_Toc87616395"/>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7"/>
      <w:bookmarkEnd w:id="128"/>
      <w:bookmarkEnd w:id="129"/>
      <w:bookmarkEnd w:id="130"/>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8"/>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7"/>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广州市净水有限公司2022年猎德、西朗二期分公司地磅改造项目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6"/>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31" w:name="_Toc87616400"/>
      <w:bookmarkStart w:id="132" w:name="_Toc88209963"/>
      <w:bookmarkStart w:id="133" w:name="_Toc8086"/>
      <w:bookmarkStart w:id="134"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31"/>
      <w:bookmarkEnd w:id="132"/>
      <w:bookmarkEnd w:id="133"/>
      <w:bookmarkEnd w:id="134"/>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35"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35"/>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w:t>
      </w:r>
      <w:r>
        <w:rPr>
          <w:rFonts w:hint="eastAsia" w:ascii="宋体" w:hAnsi="宋体" w:cs="宋体"/>
          <w:color w:val="auto"/>
          <w:kern w:val="2"/>
          <w:sz w:val="24"/>
          <w:szCs w:val="24"/>
          <w:highlight w:val="none"/>
          <w:u w:val="single"/>
          <w:lang w:val="en-US" w:eastAsia="zh-CN"/>
        </w:rPr>
        <w:t xml:space="preserve"> 广州市净水有限公司2022年猎德、西朗二期分公司地磅改造项目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10</w:t>
      </w:r>
      <w:r>
        <w:rPr>
          <w:rFonts w:hint="eastAsia" w:ascii="宋体" w:hAnsi="宋体" w:cs="宋体" w:eastAsiaTheme="minorEastAsia"/>
          <w:color w:val="auto"/>
          <w:sz w:val="24"/>
          <w:szCs w:val="24"/>
          <w:highlight w:val="none"/>
          <w:lang w:val="en-GB"/>
        </w:rPr>
        <w:t>）被纳入本项目采购人（包括市水投集团及相关所属企业）书面限制参与采购活动且处于有效期内的。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1</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numPr>
          <w:ilvl w:val="0"/>
          <w:numId w:val="8"/>
        </w:numPr>
        <w:rPr>
          <w:rFonts w:hint="eastAsia" w:eastAsiaTheme="minorEastAsia"/>
          <w:b/>
          <w:bCs/>
          <w:color w:val="auto"/>
          <w:highlight w:val="none"/>
          <w:lang w:val="en-US" w:eastAsia="zh-CN"/>
        </w:rPr>
      </w:pPr>
      <w:bookmarkStart w:id="136" w:name="_Toc32430"/>
      <w:bookmarkStart w:id="137" w:name="_Toc19423"/>
      <w:r>
        <w:rPr>
          <w:rFonts w:hint="eastAsia" w:asciiTheme="minorEastAsia" w:hAnsiTheme="minorEastAsia" w:eastAsiaTheme="minorEastAsia"/>
          <w:color w:val="auto"/>
          <w:sz w:val="28"/>
          <w:szCs w:val="28"/>
          <w:highlight w:val="none"/>
        </w:rPr>
        <w:t>报价表</w:t>
      </w:r>
      <w:bookmarkEnd w:id="136"/>
      <w:bookmarkEnd w:id="137"/>
    </w:p>
    <w:p>
      <w:pPr>
        <w:pStyle w:val="6"/>
        <w:numPr>
          <w:ilvl w:val="-1"/>
          <w:numId w:val="0"/>
        </w:numPr>
        <w:rPr>
          <w:rFonts w:hint="eastAsia" w:eastAsiaTheme="minorEastAsia"/>
          <w:b/>
          <w:bCs/>
          <w:color w:val="auto"/>
          <w:highlight w:val="none"/>
          <w:lang w:val="en-US" w:eastAsia="zh-CN"/>
        </w:rPr>
      </w:pPr>
      <w:r>
        <w:rPr>
          <w:rFonts w:hint="eastAsia" w:asciiTheme="minorEastAsia" w:hAnsiTheme="minorEastAsia"/>
          <w:b/>
          <w:bCs/>
          <w:color w:val="auto"/>
          <w:sz w:val="28"/>
          <w:szCs w:val="28"/>
          <w:highlight w:val="none"/>
          <w:lang w:val="en-US" w:eastAsia="zh-CN"/>
        </w:rPr>
        <w:t>项目一：猎德分公司2022年厂区地磅改造项目</w:t>
      </w: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5"/>
        <w:gridCol w:w="4770"/>
        <w:gridCol w:w="75"/>
        <w:gridCol w:w="1815"/>
        <w:gridCol w:w="63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工程名称：土建部分</w:t>
            </w:r>
          </w:p>
        </w:tc>
        <w:tc>
          <w:tcPr>
            <w:tcW w:w="1815"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1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52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A.1土石方工程</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A.4砌筑工程</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A.5混凝土及钢筋混凝土工程</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A.16拆除工程</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G.1混凝土构筑物工程</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余泥渣土场外运输</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3222.41</w:t>
            </w: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5572.32</w:t>
            </w: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25"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预算价合计=1+2+3+5</w:t>
            </w:r>
          </w:p>
        </w:tc>
        <w:tc>
          <w:tcPr>
            <w:tcW w:w="2520"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410"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815" w:type="dxa"/>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表—04</w:t>
            </w:r>
          </w:p>
        </w:tc>
      </w:tr>
    </w:tbl>
    <w:p>
      <w:pPr>
        <w:rPr>
          <w:color w:val="auto"/>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560"/>
        <w:gridCol w:w="1275"/>
        <w:gridCol w:w="2430"/>
        <w:gridCol w:w="255"/>
        <w:gridCol w:w="510"/>
        <w:gridCol w:w="900"/>
        <w:gridCol w:w="150"/>
        <w:gridCol w:w="81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工程名称：土建部分</w:t>
            </w:r>
          </w:p>
        </w:tc>
        <w:tc>
          <w:tcPr>
            <w:tcW w:w="181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68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土石方工程</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010101004001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挖基坑土方</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1.土壤类别:按地质勘察报告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2.挖土深度:结合原场地标高及设计图纸确定</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66.53</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010103001001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回填方</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1.密实度要求:原土夯实，按设计要求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2.填方材料品种:原土</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16.6</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砌筑工程</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010401011001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砖检查井</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1.井截面、深度:井净空400mm×200mm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座</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A.5</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混凝土及钢筋混凝土工程</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010501001001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垫层</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1.混凝土强度等级:C10</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010501006001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设备基础</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1.部位:FH5板下二次浇灌</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2.混凝土强度等级:C25</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0.098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010507001001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散水、坡道</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1.垫层材料种类、厚度:碎石，150mm厚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2.面层厚度:15mm厚1：2水泥砂浆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3.混凝土强度等级:200厚C20砼</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6.84</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010515001001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现浇构件钢筋</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1.钢筋种类、规格:I级、圆钢Φ12mm等</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010515001002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现浇构件钢筋</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1.钢筋种类、规格:现浇构件箍筋 圆钢 φ10以外</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0.602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010516001001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螺栓</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1.钢材种类、规格:地脚螺栓M14mm×150 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0.0058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010516002001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预埋铁件</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1.钢材种类:钢板及角钢、锚筋</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0.3018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A.16</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拆除工程</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011602001001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混凝土构件拆除</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1.构件名称:混凝土基础</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17.55</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混凝土构筑物工程</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070109001001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沟道(槽)底板</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1.混凝土强度等级:C25</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17.31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070109002001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沟道(槽)壁板</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1.混凝土强度等级:C25</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余泥渣土场外运输</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工程名称：土建部分</w:t>
            </w:r>
          </w:p>
        </w:tc>
        <w:tc>
          <w:tcPr>
            <w:tcW w:w="181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68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010103002001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余方弃置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1.废弃料品种:余泥渣土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2.运距:暂按20Km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3.外运降效:降效时长综合考虑</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49.93</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010103002002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余方弃置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1.废弃料品种:余泥渣土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2.运距:每增或减1km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3.外运降效:降效时长综合考虑</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010103002003</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余方弃置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1.废弃料品种:砼碎块碎渣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2.运距:暂按20Km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3.外运降效:降效时长综合考虑</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17.55</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010103002004</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余方弃置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1.废弃料品种:砼碎块碎渣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2.运距:每增或减1km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3.外运降效:降效时长综合考虑</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011702001001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1.基础类型:垫层</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2.94</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011702001002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1.基础类型:设备基础（底板）</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011702021001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栏板</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1.部位:槽壁</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56.48</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625"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pStyle w:val="2"/>
        <w:ind w:firstLine="0"/>
        <w:rPr>
          <w:color w:val="auto"/>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6"/>
        <w:gridCol w:w="1416"/>
        <w:gridCol w:w="1705"/>
        <w:gridCol w:w="1365"/>
        <w:gridCol w:w="776"/>
        <w:gridCol w:w="74"/>
        <w:gridCol w:w="919"/>
        <w:gridCol w:w="810"/>
        <w:gridCol w:w="300"/>
        <w:gridCol w:w="795"/>
        <w:gridCol w:w="15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6022"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工程名称：土建部分</w:t>
            </w:r>
          </w:p>
        </w:tc>
        <w:tc>
          <w:tcPr>
            <w:tcW w:w="2029"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59"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8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7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7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99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8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10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564"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6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LSSGCSF00001</w:t>
            </w:r>
          </w:p>
        </w:tc>
        <w:tc>
          <w:tcPr>
            <w:tcW w:w="1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9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3222.41</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以分部分项的人工费与施工机具费之和为计算基础，费率19%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jc w:val="center"/>
        </w:trPr>
        <w:tc>
          <w:tcPr>
            <w:tcW w:w="6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WMGDZJF00001</w:t>
            </w:r>
          </w:p>
        </w:tc>
        <w:tc>
          <w:tcPr>
            <w:tcW w:w="1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9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6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011707002001</w:t>
            </w:r>
          </w:p>
        </w:tc>
        <w:tc>
          <w:tcPr>
            <w:tcW w:w="1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9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jc w:val="center"/>
        </w:trPr>
        <w:tc>
          <w:tcPr>
            <w:tcW w:w="6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GGCSF0000001</w:t>
            </w:r>
          </w:p>
        </w:tc>
        <w:tc>
          <w:tcPr>
            <w:tcW w:w="1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9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6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QTFY00000001</w:t>
            </w:r>
          </w:p>
        </w:tc>
        <w:tc>
          <w:tcPr>
            <w:tcW w:w="1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948"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99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022"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p>
        </w:tc>
        <w:tc>
          <w:tcPr>
            <w:tcW w:w="4388"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22" w:type="dxa"/>
            <w:gridSpan w:val="6"/>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029"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359" w:type="dxa"/>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表-11</w:t>
            </w:r>
          </w:p>
        </w:tc>
      </w:tr>
    </w:tbl>
    <w:p>
      <w:pPr>
        <w:pStyle w:val="2"/>
        <w:rPr>
          <w:color w:val="auto"/>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990"/>
        <w:gridCol w:w="945"/>
        <w:gridCol w:w="945"/>
        <w:gridCol w:w="870"/>
        <w:gridCol w:w="82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工程名称：土建部分</w:t>
            </w:r>
          </w:p>
        </w:tc>
        <w:tc>
          <w:tcPr>
            <w:tcW w:w="18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8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6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5572.32</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消纳费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89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77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410" w:type="dxa"/>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815"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595" w:type="dxa"/>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表—12</w:t>
            </w:r>
          </w:p>
        </w:tc>
      </w:tr>
    </w:tbl>
    <w:p>
      <w:pPr>
        <w:adjustRightInd w:val="0"/>
        <w:snapToGrid w:val="0"/>
        <w:spacing w:line="600" w:lineRule="exact"/>
        <w:ind w:firstLine="0"/>
        <w:rPr>
          <w:rFonts w:ascii="仿宋_GB2312" w:eastAsia="仿宋_GB2312" w:hAnsiTheme="minorEastAsia"/>
          <w:color w:val="auto"/>
          <w:sz w:val="28"/>
          <w:szCs w:val="28"/>
          <w:highlight w:val="none"/>
        </w:rPr>
      </w:pPr>
    </w:p>
    <w:p>
      <w:pPr>
        <w:pStyle w:val="2"/>
        <w:rPr>
          <w:rFonts w:ascii="仿宋_GB2312" w:eastAsia="仿宋_GB2312" w:hAnsiTheme="minorEastAsia"/>
          <w:color w:val="auto"/>
          <w:sz w:val="28"/>
          <w:szCs w:val="28"/>
          <w:highlight w:val="none"/>
        </w:rPr>
      </w:pPr>
    </w:p>
    <w:tbl>
      <w:tblPr>
        <w:tblStyle w:val="23"/>
        <w:tblW w:w="94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0"/>
        <w:gridCol w:w="3008"/>
        <w:gridCol w:w="1822"/>
        <w:gridCol w:w="173"/>
        <w:gridCol w:w="1642"/>
        <w:gridCol w:w="16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458"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暂列金额明细表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工程名称：地磅迁移-土建部分</w:t>
            </w:r>
          </w:p>
        </w:tc>
        <w:tc>
          <w:tcPr>
            <w:tcW w:w="18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64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7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300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19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64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暂定金额（元）</w:t>
            </w:r>
          </w:p>
        </w:tc>
        <w:tc>
          <w:tcPr>
            <w:tcW w:w="164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0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9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元</w:t>
            </w:r>
          </w:p>
        </w:tc>
        <w:tc>
          <w:tcPr>
            <w:tcW w:w="1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5572.32</w:t>
            </w:r>
          </w:p>
        </w:tc>
        <w:tc>
          <w:tcPr>
            <w:tcW w:w="16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73" w:type="dxa"/>
            <w:gridSpan w:val="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64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5572.32</w:t>
            </w:r>
          </w:p>
        </w:tc>
        <w:tc>
          <w:tcPr>
            <w:tcW w:w="164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458"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注：此表由招标人填写，如不能详列，也可只列暂列金额总额，投标人应将上述暂列金额计入投标总价中。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00"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815"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643" w:type="dxa"/>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表—12—1</w:t>
            </w:r>
          </w:p>
        </w:tc>
      </w:tr>
    </w:tbl>
    <w:p>
      <w:pPr>
        <w:pStyle w:val="2"/>
        <w:rPr>
          <w:rFonts w:ascii="仿宋_GB2312" w:eastAsia="仿宋_GB2312" w:hAnsiTheme="minorEastAsia"/>
          <w:color w:val="auto"/>
          <w:sz w:val="28"/>
          <w:szCs w:val="28"/>
          <w:highlight w:val="none"/>
        </w:rPr>
      </w:pPr>
    </w:p>
    <w:tbl>
      <w:tblPr>
        <w:tblStyle w:val="23"/>
        <w:tblW w:w="96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4"/>
        <w:gridCol w:w="2323"/>
        <w:gridCol w:w="1993"/>
        <w:gridCol w:w="867"/>
        <w:gridCol w:w="643"/>
        <w:gridCol w:w="1162"/>
        <w:gridCol w:w="222"/>
        <w:gridCol w:w="612"/>
        <w:gridCol w:w="967"/>
        <w:gridCol w:w="1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683" w:type="dxa"/>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专业工程暂估价及结算价表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957"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工程名称：地磅迁移-土建部分</w:t>
            </w:r>
          </w:p>
        </w:tc>
        <w:tc>
          <w:tcPr>
            <w:tcW w:w="180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921"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20" w:type="dxa"/>
          <w:trHeight w:val="570" w:hRule="atLeast"/>
        </w:trPr>
        <w:tc>
          <w:tcPr>
            <w:tcW w:w="77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32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w:t>
            </w:r>
          </w:p>
        </w:tc>
        <w:tc>
          <w:tcPr>
            <w:tcW w:w="199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工程内容</w:t>
            </w:r>
          </w:p>
        </w:tc>
        <w:tc>
          <w:tcPr>
            <w:tcW w:w="15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138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61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差额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96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20" w:type="dxa"/>
          <w:trHeight w:val="360" w:hRule="atLeast"/>
        </w:trPr>
        <w:tc>
          <w:tcPr>
            <w:tcW w:w="77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2m*3m控制室</w:t>
            </w:r>
          </w:p>
        </w:tc>
        <w:tc>
          <w:tcPr>
            <w:tcW w:w="19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用于放置控制设备</w:t>
            </w:r>
          </w:p>
        </w:tc>
        <w:tc>
          <w:tcPr>
            <w:tcW w:w="15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3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20" w:type="dxa"/>
          <w:trHeight w:val="360" w:hRule="atLeast"/>
        </w:trPr>
        <w:tc>
          <w:tcPr>
            <w:tcW w:w="5090"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5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38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1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83" w:type="dxa"/>
            <w:gridSpan w:val="10"/>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注：此表“暂估金额”由招标人填写，投标人应将“暂估金额”计入投标总价中。结算时按合同约定结算金额填写。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57" w:type="dxa"/>
            <w:gridSpan w:val="4"/>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805"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921" w:type="dxa"/>
            <w:gridSpan w:val="4"/>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表—12—3</w:t>
            </w:r>
          </w:p>
        </w:tc>
      </w:tr>
    </w:tbl>
    <w:p>
      <w:pPr>
        <w:pStyle w:val="2"/>
        <w:rPr>
          <w:rFonts w:ascii="仿宋_GB2312" w:eastAsia="仿宋_GB2312" w:hAnsiTheme="minorEastAsia"/>
          <w:color w:val="auto"/>
          <w:sz w:val="28"/>
          <w:szCs w:val="28"/>
          <w:highlight w:val="none"/>
        </w:rPr>
      </w:pPr>
    </w:p>
    <w:p>
      <w:pPr>
        <w:pStyle w:val="2"/>
        <w:rPr>
          <w:rFonts w:ascii="仿宋_GB2312" w:eastAsia="仿宋_GB2312" w:hAnsiTheme="minorEastAsia"/>
          <w:color w:val="auto"/>
          <w:sz w:val="28"/>
          <w:szCs w:val="28"/>
          <w:highlight w:val="none"/>
        </w:rPr>
      </w:pPr>
    </w:p>
    <w:p>
      <w:pPr>
        <w:pStyle w:val="2"/>
        <w:rPr>
          <w:rFonts w:ascii="仿宋_GB2312" w:eastAsia="仿宋_GB2312" w:hAnsiTheme="minorEastAsia"/>
          <w:color w:val="auto"/>
          <w:sz w:val="28"/>
          <w:szCs w:val="28"/>
          <w:highlight w:val="none"/>
        </w:rPr>
      </w:pPr>
    </w:p>
    <w:p>
      <w:pPr>
        <w:pStyle w:val="2"/>
        <w:ind w:firstLine="0"/>
        <w:rPr>
          <w:rFonts w:ascii="仿宋_GB2312" w:eastAsia="仿宋_GB2312" w:hAnsiTheme="minorEastAsia"/>
          <w:color w:val="auto"/>
          <w:sz w:val="28"/>
          <w:szCs w:val="28"/>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工程名称：土建部分</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441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815" w:type="dxa"/>
            <w:gridSpan w:val="3"/>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p>
        </w:tc>
      </w:tr>
    </w:tbl>
    <w:p>
      <w:pPr>
        <w:adjustRightInd w:val="0"/>
        <w:snapToGrid w:val="0"/>
        <w:spacing w:line="600" w:lineRule="exact"/>
        <w:ind w:firstLine="0"/>
        <w:rPr>
          <w:rFonts w:ascii="仿宋_GB2312" w:eastAsia="仿宋_GB2312" w:hAnsiTheme="minorEastAsia"/>
          <w:color w:val="auto"/>
          <w:sz w:val="28"/>
          <w:szCs w:val="28"/>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5"/>
        <w:gridCol w:w="4770"/>
        <w:gridCol w:w="75"/>
        <w:gridCol w:w="1815"/>
        <w:gridCol w:w="63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15"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1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52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汽车衡部分</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无人值守控制系统部分</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3582.62</w:t>
            </w: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25153.30</w:t>
            </w: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计量检测费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25"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预算价合计=1+2+3+5</w:t>
            </w:r>
          </w:p>
        </w:tc>
        <w:tc>
          <w:tcPr>
            <w:tcW w:w="2520"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410"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815" w:type="dxa"/>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表—04</w:t>
            </w:r>
          </w:p>
        </w:tc>
      </w:tr>
    </w:tbl>
    <w:p>
      <w:pPr>
        <w:adjustRightInd w:val="0"/>
        <w:snapToGrid w:val="0"/>
        <w:spacing w:line="600" w:lineRule="exact"/>
        <w:ind w:firstLine="0"/>
        <w:rPr>
          <w:rFonts w:ascii="仿宋_GB2312" w:eastAsia="仿宋_GB2312" w:hAnsiTheme="minorEastAsia"/>
          <w:color w:val="auto"/>
          <w:sz w:val="28"/>
          <w:szCs w:val="28"/>
          <w:highlight w:val="none"/>
        </w:rPr>
      </w:pPr>
    </w:p>
    <w:p>
      <w:pPr>
        <w:pStyle w:val="2"/>
        <w:ind w:firstLine="0"/>
        <w:rPr>
          <w:color w:val="auto"/>
          <w:highlight w:val="none"/>
        </w:rPr>
      </w:pPr>
    </w:p>
    <w:p>
      <w:pPr>
        <w:pStyle w:val="2"/>
        <w:rPr>
          <w:rFonts w:hint="default"/>
          <w:color w:val="auto"/>
          <w:highlight w:val="none"/>
          <w:lang w:val="en-US"/>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1560"/>
        <w:gridCol w:w="1275"/>
        <w:gridCol w:w="2430"/>
        <w:gridCol w:w="521"/>
        <w:gridCol w:w="525"/>
        <w:gridCol w:w="619"/>
        <w:gridCol w:w="150"/>
        <w:gridCol w:w="81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1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95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5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61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汽车衡部分</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040702001001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秤台</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1.名称:称台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2.采用国标全新材料，面板厚度12mm，端头支撑厚度30mm，6根750“U”型梁，整体安装高度450mm（注：采用材料均为国标材料，其公差为±0.3mm）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3.结构:采用行业领先“U”型钢构造为主梁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4.整梁单根不对接（在全省地磅行业中是唯一一家拥有800吨大型双机连动折弯机、液压摆式剪板机和数控切割机、底盘自动焊接机、预拱机等一整套自叁动化生产设备的厂家,为全省同行业中最先进）</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080902004001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传感器</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1.名称：无接线盒称重传感器（30t）</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2.加强版物联网加密模式，防遥控防干扰，防止称重作弊；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3.采用加强版进口芯片：灵敏度、精度更高、反应速度更快，稳定性更强大；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4.防雷、防水</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030604003001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称重传感器</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1.名称:无接线盒称重传感器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2.规格:30t，防雷、防水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3.功能:加强版物联网加密模式，防遥控防干扰，防止称重作弊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4.调试要求:采用加强版进口芯片：灵敏度、精度更高、反应速度更快，稳定性更强大</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030602001001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显示仪表</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1.名称：物联网仪表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2.加密模式，防遥控防干扰，防止称重作弊；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3.支持云端APP查询监控，电脑手机可以随时查看数据；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4.全触摸屏</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1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95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5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61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030408002001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控制电缆</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1.名称：地磅专用线缆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2.采用金属信号线，具有防鼠、防腐功能</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无人值守控制系统部分</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030507008001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监控摄像设备</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1.名称:防水监控、拍照摄像机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2.类别:详见设计图纸及用户需求书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3.安装方式:立杆上安装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4.规格:200W像素，抓拍车辆图像及保存</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车牌识别摄像机</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1.名称:车牌识别摄像机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2.类别:详见设计图纸及用户需求书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3.安装方式:立杆上安装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4.规格:200W像素，识别率99.9%</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5.支持蓝牌、黄牌、挂车号牌、新军牌、警牌、新武警车牌、教练车牌、大使馆车牌、农用车牌、个性化车牌、港澳出入境车牌、民航车牌等</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粤030507021001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车牌识别机立杆</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1.名称:车牌识别机立杆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2.规格:1.5米</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粤030507021002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拍照摄像机、红绿灯立杆</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1.名称:拍照摄像机、红绿灯立杆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2.规格:2米</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030501012001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交换机</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1.名称:交换机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2.功能:详见设计图纸及用户需求书</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030501004001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存储设备</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1.名称:硬盘录像机（含硬盘）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2.规格:详见设计图纸和用户需求书</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030507014001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显示设备</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1.名称:24寸显示器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2.规格:详见设计图纸和用户需求书</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1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3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95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5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61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道闸设备</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1.名称:道闸设备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2.规格:详见设计图纸及用户需求书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3.功能:前后个一套控制车辆进出，以防车辆在没有完成称重流程提前驶离</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030507016003</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地感线圈</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1.名称:地感线圈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2.规格:详见设计图纸和用户需求书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3.功能:控制道闸的起落</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030507016004</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红外对射光栅</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1.名称:红外对射光栅（含不锈钢外壳及附件）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2.规格:详见设计图纸和用户需求书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3.外壳材质:不锈钢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4.功能:检测确保车辆是否在有效地磅范围，防止作弊</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030507016005</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车辆检测器</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1.名称:车辆检测器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2.规格:详见设计图纸和用户需求书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3.功能:检测车辆的上下情况</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030507016006</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红绿灯</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1.名称:红绿灯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2.规格:详见设计图纸和用户需求书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3.功能:指引及提示司机上下磅</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030507016007</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语音系统</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1.名称:语音系统设备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2.规格:详见设计图纸和用户需求书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3.功能:提示司机离开、向前、向后、称量完毕等，或者操作员通过麦克风人工发出语音提示</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030501013001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工业控制计算机</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1.名称:工业控制计算机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2.规格:详见设计图纸和用户需求书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3.附件:含键盘、鼠标、主机系统，21寸显示器</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1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4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95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5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61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030501017001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软件</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1.名称:网络版无人值守称重管理软件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2.规格:详见设计图纸及用户需求书</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030503004001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控制柜</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1.名称:控制柜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2.规格:详见设计图纸及用户需求书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3.外壳:不锈钢防水机箱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4.功能:为整个系统提供稳定的电源，提高系统稳定性；汇总红绿灯/红外光电开关/道闸等设备的连线，为计算机控制这些设备提供电缆连接，提高系统集成能力</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030501002001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打印机</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1.名称:打印机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2.规格:详见设计图纸和用户需求书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3.功能:集中于控制室连接三台地磅数据打印</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030507016009</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20寸LED显示屏</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1.名称:20寸LED显示屏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2.规格:采用LED发光管，确保亮度，详见设计图纸和用户需求书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3.功能:上滚显示称重重量；防雨式设计，确保全天候可靠运行</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030411001001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1.名称:镀锌钢管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2.规格:SC50×2.75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3.配置形式:埋地敷设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4.接地要求:符合设计及施工规范要求</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29.52</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030411001002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1.名称:镀锌钢管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2.规格:SC75×2.75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3.配置形式:埋地敷设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4.接地要求:符合设计及施工规范要求</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45.71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1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5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95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5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61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95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031001006001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塑料管</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1.安装部位:室外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2.介质:排水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3.材质、规格:PVC110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4.连接形式:粘接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5.压力试验及吹、洗设计要求:灌水试验</w:t>
            </w: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1.65</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031302007001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高层施工增加</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031301017001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295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625"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pStyle w:val="2"/>
        <w:rPr>
          <w:rFonts w:hint="default"/>
          <w:color w:val="auto"/>
          <w:highlight w:val="none"/>
          <w:lang w:val="en-US"/>
        </w:rPr>
      </w:pPr>
    </w:p>
    <w:p>
      <w:pPr>
        <w:pStyle w:val="2"/>
        <w:ind w:firstLine="0"/>
        <w:rPr>
          <w:rFonts w:hint="default"/>
          <w:color w:val="auto"/>
          <w:highlight w:val="none"/>
          <w:lang w:val="en-US"/>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1187"/>
        <w:gridCol w:w="2310"/>
        <w:gridCol w:w="1215"/>
        <w:gridCol w:w="780"/>
        <w:gridCol w:w="750"/>
        <w:gridCol w:w="705"/>
        <w:gridCol w:w="422"/>
        <w:gridCol w:w="508"/>
        <w:gridCol w:w="18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10410" w:type="dxa"/>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6176"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77"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5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8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8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23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2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7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93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84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68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LSSGCSF00001</w:t>
            </w:r>
          </w:p>
        </w:tc>
        <w:tc>
          <w:tcPr>
            <w:tcW w:w="23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35.77</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3582.62</w:t>
            </w: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8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1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031301010001</w:t>
            </w:r>
          </w:p>
        </w:tc>
        <w:tc>
          <w:tcPr>
            <w:tcW w:w="23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8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1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031301011001</w:t>
            </w:r>
          </w:p>
        </w:tc>
        <w:tc>
          <w:tcPr>
            <w:tcW w:w="23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1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TSSGBWZJF001</w:t>
            </w:r>
          </w:p>
        </w:tc>
        <w:tc>
          <w:tcPr>
            <w:tcW w:w="23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jc w:val="center"/>
        </w:trPr>
        <w:tc>
          <w:tcPr>
            <w:tcW w:w="68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1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粤031302008001</w:t>
            </w:r>
          </w:p>
        </w:tc>
        <w:tc>
          <w:tcPr>
            <w:tcW w:w="23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1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031302002001</w:t>
            </w:r>
          </w:p>
        </w:tc>
        <w:tc>
          <w:tcPr>
            <w:tcW w:w="23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1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JTGRSGZJF001</w:t>
            </w:r>
          </w:p>
        </w:tc>
        <w:tc>
          <w:tcPr>
            <w:tcW w:w="23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jc w:val="center"/>
        </w:trPr>
        <w:tc>
          <w:tcPr>
            <w:tcW w:w="68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1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粤031302009001</w:t>
            </w:r>
          </w:p>
        </w:tc>
        <w:tc>
          <w:tcPr>
            <w:tcW w:w="23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684"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18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DXGXJCJXF001</w:t>
            </w:r>
          </w:p>
        </w:tc>
        <w:tc>
          <w:tcPr>
            <w:tcW w:w="23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121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76" w:type="dxa"/>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877"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357" w:type="dxa"/>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0410" w:type="dxa"/>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jc w:val="center"/>
        </w:trPr>
        <w:tc>
          <w:tcPr>
            <w:tcW w:w="6176"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77"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5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8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8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23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2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7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93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84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1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QTFY00000001</w:t>
            </w:r>
          </w:p>
        </w:tc>
        <w:tc>
          <w:tcPr>
            <w:tcW w:w="23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2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76"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7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3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4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bl>
    <w:p>
      <w:pPr>
        <w:pStyle w:val="2"/>
        <w:ind w:firstLine="0"/>
        <w:rPr>
          <w:rFonts w:hint="default"/>
          <w:color w:val="auto"/>
          <w:highlight w:val="none"/>
          <w:lang w:val="en-US"/>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990"/>
        <w:gridCol w:w="945"/>
        <w:gridCol w:w="945"/>
        <w:gridCol w:w="870"/>
        <w:gridCol w:w="82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8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6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25153.30</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计量检测费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89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77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410" w:type="dxa"/>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815"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595" w:type="dxa"/>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表—12</w:t>
            </w:r>
          </w:p>
        </w:tc>
      </w:tr>
    </w:tbl>
    <w:p>
      <w:pPr>
        <w:pStyle w:val="2"/>
        <w:rPr>
          <w:rFonts w:hint="default"/>
          <w:color w:val="auto"/>
          <w:highlight w:val="none"/>
          <w:lang w:val="en-US"/>
        </w:rPr>
      </w:pPr>
    </w:p>
    <w:p>
      <w:pPr>
        <w:pStyle w:val="2"/>
        <w:rPr>
          <w:rFonts w:hint="default"/>
          <w:color w:val="auto"/>
          <w:highlight w:val="none"/>
          <w:lang w:val="en-US"/>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041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工程名称：设备安装部分</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2"/>
        <w:rPr>
          <w:rFonts w:hint="default"/>
          <w:color w:val="auto"/>
          <w:highlight w:val="none"/>
          <w:lang w:val="en-US"/>
        </w:rPr>
      </w:pPr>
    </w:p>
    <w:p>
      <w:pPr>
        <w:pStyle w:val="2"/>
        <w:rPr>
          <w:rFonts w:hint="default"/>
          <w:color w:val="auto"/>
          <w:highlight w:val="none"/>
          <w:lang w:val="en-US"/>
        </w:rPr>
      </w:pPr>
    </w:p>
    <w:p>
      <w:pPr>
        <w:adjustRightInd w:val="0"/>
        <w:snapToGrid w:val="0"/>
        <w:spacing w:line="600" w:lineRule="exact"/>
        <w:ind w:firstLine="0"/>
        <w:rPr>
          <w:rFonts w:hint="eastAsia" w:ascii="仿宋_GB2312" w:eastAsia="仿宋_GB2312" w:hAnsiTheme="minorEastAsia"/>
          <w:b/>
          <w:bCs/>
          <w:color w:val="auto"/>
          <w:sz w:val="28"/>
          <w:szCs w:val="28"/>
          <w:highlight w:val="none"/>
          <w:lang w:val="en-US" w:eastAsia="zh-CN"/>
        </w:rPr>
      </w:pPr>
      <w:r>
        <w:rPr>
          <w:rFonts w:hint="eastAsia" w:ascii="仿宋_GB2312" w:eastAsia="仿宋_GB2312" w:hAnsiTheme="minorEastAsia"/>
          <w:b/>
          <w:bCs/>
          <w:color w:val="auto"/>
          <w:sz w:val="28"/>
          <w:szCs w:val="28"/>
          <w:highlight w:val="none"/>
          <w:lang w:val="en-US" w:eastAsia="zh-CN"/>
        </w:rPr>
        <w:t>项目二：西朗二期分公司二期地磅升级改造项目</w:t>
      </w:r>
    </w:p>
    <w:tbl>
      <w:tblPr>
        <w:tblStyle w:val="23"/>
        <w:tblW w:w="5000" w:type="pct"/>
        <w:tblInd w:w="0" w:type="dxa"/>
        <w:tblLayout w:type="autofit"/>
        <w:tblCellMar>
          <w:top w:w="0" w:type="dxa"/>
          <w:left w:w="108" w:type="dxa"/>
          <w:bottom w:w="0" w:type="dxa"/>
          <w:right w:w="108" w:type="dxa"/>
        </w:tblCellMar>
      </w:tblPr>
      <w:tblGrid>
        <w:gridCol w:w="1392"/>
        <w:gridCol w:w="1898"/>
        <w:gridCol w:w="1944"/>
        <w:gridCol w:w="699"/>
        <w:gridCol w:w="1743"/>
        <w:gridCol w:w="1384"/>
      </w:tblGrid>
      <w:tr>
        <w:tblPrEx>
          <w:tblCellMar>
            <w:top w:w="0" w:type="dxa"/>
            <w:left w:w="108" w:type="dxa"/>
            <w:bottom w:w="0" w:type="dxa"/>
            <w:right w:w="108" w:type="dxa"/>
          </w:tblCellMar>
        </w:tblPrEx>
        <w:trPr>
          <w:trHeight w:val="795" w:hRule="atLeast"/>
        </w:trPr>
        <w:tc>
          <w:tcPr>
            <w:tcW w:w="3332" w:type="pct"/>
            <w:gridSpan w:val="6"/>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单项工程汇总表</w:t>
            </w:r>
          </w:p>
        </w:tc>
      </w:tr>
      <w:tr>
        <w:tblPrEx>
          <w:tblCellMar>
            <w:top w:w="0" w:type="dxa"/>
            <w:left w:w="108" w:type="dxa"/>
            <w:bottom w:w="0" w:type="dxa"/>
            <w:right w:w="108" w:type="dxa"/>
          </w:tblCellMar>
        </w:tblPrEx>
        <w:trPr>
          <w:trHeight w:val="570" w:hRule="atLeast"/>
        </w:trPr>
        <w:tc>
          <w:tcPr>
            <w:tcW w:w="1925" w:type="pct"/>
            <w:gridSpan w:val="3"/>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工程名称：西朗二期分公司二期地磅升级改造项目</w:t>
            </w:r>
          </w:p>
        </w:tc>
        <w:tc>
          <w:tcPr>
            <w:tcW w:w="257" w:type="pct"/>
            <w:tcBorders>
              <w:top w:val="nil"/>
              <w:left w:val="nil"/>
              <w:bottom w:val="nil"/>
              <w:right w:val="nil"/>
            </w:tcBorders>
            <w:shd w:val="clear" w:color="FFFFFF" w:fill="FFFFFF"/>
            <w:vAlign w:val="bottom"/>
          </w:tcPr>
          <w:p>
            <w:pPr>
              <w:jc w:val="center"/>
              <w:rPr>
                <w:rFonts w:ascii="宋体" w:hAnsi="宋体" w:eastAsia="宋体" w:cs="宋体"/>
                <w:color w:val="auto"/>
                <w:sz w:val="20"/>
                <w:szCs w:val="20"/>
                <w:highlight w:val="none"/>
              </w:rPr>
            </w:pPr>
          </w:p>
        </w:tc>
        <w:tc>
          <w:tcPr>
            <w:tcW w:w="1150" w:type="pct"/>
            <w:gridSpan w:val="2"/>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1 页</w:t>
            </w:r>
          </w:p>
        </w:tc>
      </w:tr>
      <w:tr>
        <w:tblPrEx>
          <w:tblCellMar>
            <w:top w:w="0" w:type="dxa"/>
            <w:left w:w="108" w:type="dxa"/>
            <w:bottom w:w="0" w:type="dxa"/>
            <w:right w:w="108" w:type="dxa"/>
          </w:tblCellMar>
        </w:tblPrEx>
        <w:trPr>
          <w:trHeight w:val="345" w:hRule="atLeast"/>
        </w:trPr>
        <w:tc>
          <w:tcPr>
            <w:tcW w:w="51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697"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单位工程名称</w:t>
            </w:r>
          </w:p>
        </w:tc>
        <w:tc>
          <w:tcPr>
            <w:tcW w:w="71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金额（元）</w:t>
            </w:r>
          </w:p>
        </w:tc>
        <w:tc>
          <w:tcPr>
            <w:tcW w:w="1407"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其中：（元）</w:t>
            </w:r>
          </w:p>
        </w:tc>
      </w:tr>
      <w:tr>
        <w:tblPrEx>
          <w:tblCellMar>
            <w:top w:w="0" w:type="dxa"/>
            <w:left w:w="108" w:type="dxa"/>
            <w:bottom w:w="0" w:type="dxa"/>
            <w:right w:w="108" w:type="dxa"/>
          </w:tblCellMar>
        </w:tblPrEx>
        <w:trPr>
          <w:trHeight w:val="570" w:hRule="atLeast"/>
        </w:trPr>
        <w:tc>
          <w:tcPr>
            <w:tcW w:w="51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697"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7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2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暂估价</w:t>
            </w:r>
          </w:p>
        </w:tc>
        <w:tc>
          <w:tcPr>
            <w:tcW w:w="6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绿色施工安全防护措施费</w:t>
            </w:r>
          </w:p>
        </w:tc>
        <w:tc>
          <w:tcPr>
            <w:tcW w:w="50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规费</w:t>
            </w:r>
          </w:p>
        </w:tc>
      </w:tr>
      <w:tr>
        <w:tblPrEx>
          <w:tblCellMar>
            <w:top w:w="0" w:type="dxa"/>
            <w:left w:w="108" w:type="dxa"/>
            <w:bottom w:w="0" w:type="dxa"/>
            <w:right w:w="108" w:type="dxa"/>
          </w:tblCellMar>
        </w:tblPrEx>
        <w:trPr>
          <w:trHeight w:val="564" w:hRule="atLeast"/>
        </w:trPr>
        <w:tc>
          <w:tcPr>
            <w:tcW w:w="5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69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安装工程</w:t>
            </w:r>
          </w:p>
        </w:tc>
        <w:tc>
          <w:tcPr>
            <w:tcW w:w="7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25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64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5628.69</w:t>
            </w:r>
          </w:p>
        </w:tc>
        <w:tc>
          <w:tcPr>
            <w:tcW w:w="50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705" w:hRule="atLeast"/>
        </w:trPr>
        <w:tc>
          <w:tcPr>
            <w:tcW w:w="512"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2</w:t>
            </w:r>
          </w:p>
        </w:tc>
        <w:tc>
          <w:tcPr>
            <w:tcW w:w="697"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both"/>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建筑工程</w:t>
            </w:r>
          </w:p>
        </w:tc>
        <w:tc>
          <w:tcPr>
            <w:tcW w:w="71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25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64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33.97</w:t>
            </w:r>
          </w:p>
        </w:tc>
        <w:tc>
          <w:tcPr>
            <w:tcW w:w="50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705" w:hRule="atLeast"/>
        </w:trPr>
        <w:tc>
          <w:tcPr>
            <w:tcW w:w="1210"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合计</w:t>
            </w:r>
          </w:p>
        </w:tc>
        <w:tc>
          <w:tcPr>
            <w:tcW w:w="71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25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64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0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3332" w:type="pct"/>
            <w:gridSpan w:val="6"/>
            <w:tcBorders>
              <w:top w:val="nil"/>
              <w:left w:val="nil"/>
              <w:bottom w:val="nil"/>
              <w:right w:val="nil"/>
            </w:tcBorders>
            <w:shd w:val="clear" w:color="FFFFFF" w:fill="FFFFFF"/>
            <w:vAlign w:val="center"/>
          </w:tcPr>
          <w:p>
            <w:pPr>
              <w:widowControl/>
              <w:jc w:val="lef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注：本表适用于单项工程招标控制价或投标报价的汇总。暂估价包括分部分项工程中的暂估价和专业工程工程暂估价。</w:t>
            </w:r>
          </w:p>
        </w:tc>
      </w:tr>
    </w:tbl>
    <w:p>
      <w:pPr>
        <w:adjustRightInd w:val="0"/>
        <w:snapToGrid w:val="0"/>
        <w:spacing w:line="600" w:lineRule="exact"/>
        <w:ind w:firstLine="0"/>
        <w:rPr>
          <w:rFonts w:hint="eastAsia" w:ascii="仿宋_GB2312" w:eastAsia="仿宋_GB2312" w:hAnsiTheme="minorEastAsia"/>
          <w:b/>
          <w:bCs/>
          <w:color w:val="auto"/>
          <w:sz w:val="28"/>
          <w:szCs w:val="28"/>
          <w:highlight w:val="none"/>
          <w:lang w:val="en-US" w:eastAsia="zh-CN"/>
        </w:rPr>
      </w:pPr>
    </w:p>
    <w:p>
      <w:pPr>
        <w:adjustRightInd w:val="0"/>
        <w:snapToGrid w:val="0"/>
        <w:spacing w:line="600" w:lineRule="exact"/>
        <w:ind w:firstLine="0"/>
        <w:rPr>
          <w:rFonts w:hint="eastAsia" w:ascii="仿宋_GB2312" w:eastAsia="仿宋_GB2312" w:hAnsiTheme="minorEastAsia"/>
          <w:b/>
          <w:bCs/>
          <w:color w:val="auto"/>
          <w:sz w:val="28"/>
          <w:szCs w:val="28"/>
          <w:highlight w:val="none"/>
          <w:lang w:val="en-US" w:eastAsia="zh-CN"/>
        </w:rPr>
      </w:pPr>
    </w:p>
    <w:p>
      <w:pPr>
        <w:adjustRightInd w:val="0"/>
        <w:snapToGrid w:val="0"/>
        <w:spacing w:line="600" w:lineRule="exact"/>
        <w:rPr>
          <w:rFonts w:ascii="仿宋" w:hAnsi="仿宋" w:eastAsia="仿宋" w:cs="仿宋_GB2312"/>
          <w:b/>
          <w:color w:val="auto"/>
          <w:sz w:val="28"/>
          <w:szCs w:val="28"/>
          <w:highlight w:val="none"/>
        </w:rPr>
      </w:pPr>
    </w:p>
    <w:tbl>
      <w:tblPr>
        <w:tblStyle w:val="23"/>
        <w:tblW w:w="5000" w:type="pct"/>
        <w:tblInd w:w="0" w:type="dxa"/>
        <w:tblLayout w:type="autofit"/>
        <w:tblCellMar>
          <w:top w:w="0" w:type="dxa"/>
          <w:left w:w="108" w:type="dxa"/>
          <w:bottom w:w="0" w:type="dxa"/>
          <w:right w:w="108" w:type="dxa"/>
        </w:tblCellMar>
      </w:tblPr>
      <w:tblGrid>
        <w:gridCol w:w="1283"/>
        <w:gridCol w:w="3050"/>
        <w:gridCol w:w="371"/>
        <w:gridCol w:w="1332"/>
        <w:gridCol w:w="3024"/>
      </w:tblGrid>
      <w:tr>
        <w:tblPrEx>
          <w:tblCellMar>
            <w:top w:w="0" w:type="dxa"/>
            <w:left w:w="108" w:type="dxa"/>
            <w:bottom w:w="0" w:type="dxa"/>
            <w:right w:w="108" w:type="dxa"/>
          </w:tblCellMar>
        </w:tblPrEx>
        <w:trPr>
          <w:trHeight w:val="795" w:hRule="atLeast"/>
        </w:trPr>
        <w:tc>
          <w:tcPr>
            <w:tcW w:w="5000" w:type="pct"/>
            <w:gridSpan w:val="5"/>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单位工程招标控制价汇总表</w:t>
            </w:r>
          </w:p>
        </w:tc>
      </w:tr>
      <w:tr>
        <w:tblPrEx>
          <w:tblCellMar>
            <w:top w:w="0" w:type="dxa"/>
            <w:left w:w="108" w:type="dxa"/>
            <w:bottom w:w="0" w:type="dxa"/>
            <w:right w:w="108" w:type="dxa"/>
          </w:tblCellMar>
        </w:tblPrEx>
        <w:trPr>
          <w:trHeight w:val="570" w:hRule="atLeast"/>
        </w:trPr>
        <w:tc>
          <w:tcPr>
            <w:tcW w:w="2391" w:type="pct"/>
            <w:gridSpan w:val="2"/>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工程名称：安装工程</w:t>
            </w:r>
          </w:p>
        </w:tc>
        <w:tc>
          <w:tcPr>
            <w:tcW w:w="939" w:type="pct"/>
            <w:gridSpan w:val="2"/>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1668" w:type="pct"/>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1 页</w:t>
            </w:r>
          </w:p>
        </w:tc>
      </w:tr>
      <w:tr>
        <w:tblPrEx>
          <w:tblCellMar>
            <w:top w:w="0" w:type="dxa"/>
            <w:left w:w="108" w:type="dxa"/>
            <w:bottom w:w="0" w:type="dxa"/>
            <w:right w:w="108" w:type="dxa"/>
          </w:tblCellMar>
        </w:tblPrEx>
        <w:trPr>
          <w:trHeight w:val="375" w:hRule="atLeast"/>
        </w:trPr>
        <w:tc>
          <w:tcPr>
            <w:tcW w:w="70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188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汇总内容</w:t>
            </w:r>
          </w:p>
        </w:tc>
        <w:tc>
          <w:tcPr>
            <w:tcW w:w="73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金额:(元)</w:t>
            </w:r>
          </w:p>
        </w:tc>
        <w:tc>
          <w:tcPr>
            <w:tcW w:w="1668"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其中：暂估价(元)</w:t>
            </w: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分部分项合计</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1.1</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车牌识别子系统</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1.2</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抬杆落杆控制</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1.3</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信号控制</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显示与打印</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核心控制箱</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其他设备安装</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措施合计</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2.1</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绿色施工安全防护措施费</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5628.69</w:t>
            </w: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其他措施费</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其他项目</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3.1</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暂列金额</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7248.21</w:t>
            </w: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3.2</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暂估价</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3.3</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计日工</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3.4</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总承包服务费</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3.5</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预算包干费</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3.6</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工程优质费</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3.7</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概算幅度差</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3.8</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索赔费用</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3.9</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现场签证费用</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3.10</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其他费用</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税前工程造价</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增值税销项税额</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总造价</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18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人工费</w:t>
            </w:r>
          </w:p>
        </w:tc>
        <w:tc>
          <w:tcPr>
            <w:tcW w:w="7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2596" w:type="pct"/>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招标控制价合计=1+2+3+5</w:t>
            </w:r>
          </w:p>
        </w:tc>
        <w:tc>
          <w:tcPr>
            <w:tcW w:w="73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6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5000" w:type="pct"/>
            <w:gridSpan w:val="5"/>
            <w:tcBorders>
              <w:top w:val="nil"/>
              <w:left w:val="nil"/>
              <w:bottom w:val="nil"/>
              <w:right w:val="nil"/>
            </w:tcBorders>
            <w:shd w:val="clear" w:color="FFFFFF" w:fill="FFFFFF"/>
          </w:tcPr>
          <w:p>
            <w:pPr>
              <w:widowControl/>
              <w:jc w:val="lef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注：本表适用于单位工程招标控制价或投标报价的汇总，如无单位工程划分，单项工程也使用本表汇总</w:t>
            </w:r>
          </w:p>
        </w:tc>
      </w:tr>
    </w:tbl>
    <w:p>
      <w:pPr>
        <w:pStyle w:val="10"/>
        <w:rPr>
          <w:color w:val="auto"/>
          <w:highlight w:val="none"/>
        </w:rPr>
      </w:pPr>
    </w:p>
    <w:tbl>
      <w:tblPr>
        <w:tblStyle w:val="23"/>
        <w:tblW w:w="8967" w:type="dxa"/>
        <w:tblInd w:w="93" w:type="dxa"/>
        <w:tblLayout w:type="autofit"/>
        <w:tblCellMar>
          <w:top w:w="0" w:type="dxa"/>
          <w:left w:w="108" w:type="dxa"/>
          <w:bottom w:w="0" w:type="dxa"/>
          <w:right w:w="108" w:type="dxa"/>
        </w:tblCellMar>
      </w:tblPr>
      <w:tblGrid>
        <w:gridCol w:w="448"/>
        <w:gridCol w:w="1457"/>
        <w:gridCol w:w="1026"/>
        <w:gridCol w:w="1815"/>
        <w:gridCol w:w="1382"/>
        <w:gridCol w:w="514"/>
        <w:gridCol w:w="816"/>
        <w:gridCol w:w="257"/>
        <w:gridCol w:w="257"/>
        <w:gridCol w:w="514"/>
        <w:gridCol w:w="481"/>
      </w:tblGrid>
      <w:tr>
        <w:tblPrEx>
          <w:tblCellMar>
            <w:top w:w="0" w:type="dxa"/>
            <w:left w:w="108" w:type="dxa"/>
            <w:bottom w:w="0" w:type="dxa"/>
            <w:right w:w="108" w:type="dxa"/>
          </w:tblCellMar>
        </w:tblPrEx>
        <w:trPr>
          <w:trHeight w:val="795" w:hRule="atLeast"/>
        </w:trPr>
        <w:tc>
          <w:tcPr>
            <w:tcW w:w="8967" w:type="dxa"/>
            <w:gridSpan w:val="11"/>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分部分项工程和单价措施项目清单与计价表</w:t>
            </w:r>
          </w:p>
        </w:tc>
      </w:tr>
      <w:tr>
        <w:tblPrEx>
          <w:tblCellMar>
            <w:top w:w="0" w:type="dxa"/>
            <w:left w:w="108" w:type="dxa"/>
            <w:bottom w:w="0" w:type="dxa"/>
            <w:right w:w="108" w:type="dxa"/>
          </w:tblCellMar>
        </w:tblPrEx>
        <w:trPr>
          <w:trHeight w:val="570" w:hRule="atLeast"/>
        </w:trPr>
        <w:tc>
          <w:tcPr>
            <w:tcW w:w="4746" w:type="dxa"/>
            <w:gridSpan w:val="4"/>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工程名称：安装工程</w:t>
            </w:r>
          </w:p>
        </w:tc>
        <w:tc>
          <w:tcPr>
            <w:tcW w:w="2969" w:type="dxa"/>
            <w:gridSpan w:val="4"/>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1252" w:type="dxa"/>
            <w:gridSpan w:val="3"/>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3 页</w:t>
            </w:r>
          </w:p>
        </w:tc>
      </w:tr>
      <w:tr>
        <w:tblPrEx>
          <w:tblCellMar>
            <w:top w:w="0" w:type="dxa"/>
            <w:left w:w="108" w:type="dxa"/>
            <w:bottom w:w="0" w:type="dxa"/>
            <w:right w:w="108" w:type="dxa"/>
          </w:tblCellMar>
        </w:tblPrEx>
        <w:trPr>
          <w:trHeight w:val="345" w:hRule="atLeast"/>
        </w:trPr>
        <w:tc>
          <w:tcPr>
            <w:tcW w:w="44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145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项目编码</w:t>
            </w:r>
          </w:p>
        </w:tc>
        <w:tc>
          <w:tcPr>
            <w:tcW w:w="10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项目名称</w:t>
            </w:r>
          </w:p>
        </w:tc>
        <w:tc>
          <w:tcPr>
            <w:tcW w:w="3197"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项目特征描述</w:t>
            </w:r>
          </w:p>
        </w:tc>
        <w:tc>
          <w:tcPr>
            <w:tcW w:w="51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计量单位</w:t>
            </w:r>
          </w:p>
        </w:tc>
        <w:tc>
          <w:tcPr>
            <w:tcW w:w="8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工程量</w:t>
            </w:r>
          </w:p>
        </w:tc>
        <w:tc>
          <w:tcPr>
            <w:tcW w:w="1509"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金额（元）</w:t>
            </w:r>
          </w:p>
        </w:tc>
      </w:tr>
      <w:tr>
        <w:tblPrEx>
          <w:tblCellMar>
            <w:top w:w="0" w:type="dxa"/>
            <w:left w:w="108" w:type="dxa"/>
            <w:bottom w:w="0" w:type="dxa"/>
            <w:right w:w="108" w:type="dxa"/>
          </w:tblCellMar>
        </w:tblPrEx>
        <w:trPr>
          <w:trHeight w:val="345" w:hRule="atLeast"/>
        </w:trPr>
        <w:tc>
          <w:tcPr>
            <w:tcW w:w="44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0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197"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综合单价</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综合合价</w:t>
            </w: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其中</w:t>
            </w:r>
          </w:p>
        </w:tc>
      </w:tr>
      <w:tr>
        <w:tblPrEx>
          <w:tblCellMar>
            <w:top w:w="0" w:type="dxa"/>
            <w:left w:w="108" w:type="dxa"/>
            <w:bottom w:w="0" w:type="dxa"/>
            <w:right w:w="108" w:type="dxa"/>
          </w:tblCellMar>
        </w:tblPrEx>
        <w:trPr>
          <w:trHeight w:val="345" w:hRule="atLeast"/>
        </w:trPr>
        <w:tc>
          <w:tcPr>
            <w:tcW w:w="44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0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197"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暂估价</w:t>
            </w:r>
          </w:p>
        </w:tc>
      </w:tr>
      <w:tr>
        <w:tblPrEx>
          <w:tblCellMar>
            <w:top w:w="0" w:type="dxa"/>
            <w:left w:w="108" w:type="dxa"/>
            <w:bottom w:w="0" w:type="dxa"/>
            <w:right w:w="108" w:type="dxa"/>
          </w:tblCellMar>
        </w:tblPrEx>
        <w:trPr>
          <w:trHeight w:val="9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车牌识别子系统</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791"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030507016025</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高清车牌识别摄像机</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1.名称:高清车牌识别摄像机</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2.规格:300w防水，识别时间小于0.3ms，内置补光</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375"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030507016026</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车牌识别立柱</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1.名称:车牌识别立柱</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2.规格:1.2米高 铝合金 0.5毫米厚</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7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030507016027</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智能补光灯</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1.名称:智能补光灯</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331"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抬杆落杆控制</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1041"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030507016028</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全铜芯电机道闸</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1.名称:全铜芯电机道闸（含横、立杆）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625"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030503003001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道闸控制遥控</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1.名称:道闸控制遥控</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2.功能:无线对频</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1109"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6</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030507016029</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道闸内部网络转485控制模块</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1.名称:道闸内部网络转485控制模块</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2.规格:网线B类接法  带屏蔽水晶头</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692"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030507016030</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大车专用车辆检测器</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1.名称:大车专用车辆检测器</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52"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030507016031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车辆防砸地感线圈</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1.名称:车辆防砸地感线圈</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台</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485"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kern w:val="0"/>
                <w:sz w:val="20"/>
                <w:szCs w:val="20"/>
                <w:highlight w:val="none"/>
                <w:lang w:bidi="ar"/>
              </w:rPr>
            </w:pP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kern w:val="0"/>
                <w:sz w:val="20"/>
                <w:szCs w:val="20"/>
                <w:highlight w:val="none"/>
                <w:lang w:bidi="ar"/>
              </w:rPr>
            </w:pP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信号控制</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kern w:val="0"/>
                <w:sz w:val="20"/>
                <w:szCs w:val="20"/>
                <w:highlight w:val="none"/>
                <w:lang w:bidi="ar"/>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kern w:val="0"/>
                <w:sz w:val="20"/>
                <w:szCs w:val="20"/>
                <w:highlight w:val="none"/>
                <w:lang w:bidi="ar"/>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kern w:val="0"/>
                <w:sz w:val="20"/>
                <w:szCs w:val="20"/>
                <w:highlight w:val="none"/>
                <w:lang w:bidi="ar"/>
              </w:rPr>
            </w:pP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435"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030507016032</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红绿信号灯</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1.名称:红绿信号灯</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2.规格:159灯珠</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819"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10</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030507016033</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红外光栅</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1.名称:红外光栅(含保护箱）</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2.规格:3光束</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4</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19"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kern w:val="0"/>
                <w:sz w:val="20"/>
                <w:szCs w:val="20"/>
                <w:highlight w:val="none"/>
                <w:lang w:bidi="ar"/>
              </w:rPr>
            </w:pP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kern w:val="0"/>
                <w:sz w:val="20"/>
                <w:szCs w:val="20"/>
                <w:highlight w:val="none"/>
                <w:lang w:bidi="ar"/>
              </w:rPr>
            </w:pP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显示与打印</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kern w:val="0"/>
                <w:sz w:val="20"/>
                <w:szCs w:val="20"/>
                <w:highlight w:val="none"/>
                <w:lang w:bidi="ar"/>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kern w:val="0"/>
                <w:sz w:val="20"/>
                <w:szCs w:val="20"/>
                <w:highlight w:val="none"/>
                <w:lang w:bidi="ar"/>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kern w:val="0"/>
                <w:sz w:val="20"/>
                <w:szCs w:val="20"/>
                <w:highlight w:val="none"/>
                <w:lang w:bidi="ar"/>
              </w:rPr>
            </w:pP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352"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11</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030507014001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LED户外显示屏</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1.名称:LED户外显示屏</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2.规格:户外 P10单色</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台</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901"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12</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030507014002</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LED显示屏定制支架</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1.名称:LED显示屏定制支架</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2.规格:不锈钢扎弯 透明亚克力</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台</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985"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13</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030507016034</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LED网络控制模块</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1.名称:LED网络控制模块</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2.规格:网线B类接法 带屏蔽水晶头</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435"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14</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030507016035</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语音播报喇叭（或者音柱）</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1.名称:语音播报喇叭（或者音柱）</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360" w:hRule="atLeast"/>
        </w:trPr>
        <w:tc>
          <w:tcPr>
            <w:tcW w:w="7972"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本页小计</w:t>
            </w:r>
          </w:p>
        </w:tc>
        <w:tc>
          <w:tcPr>
            <w:tcW w:w="51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8967" w:type="dxa"/>
            <w:gridSpan w:val="11"/>
            <w:tcBorders>
              <w:top w:val="nil"/>
              <w:left w:val="nil"/>
              <w:bottom w:val="nil"/>
              <w:right w:val="nil"/>
            </w:tcBorders>
            <w:shd w:val="clear" w:color="FFFFFF" w:fill="FFFFFF"/>
          </w:tcPr>
          <w:p>
            <w:pPr>
              <w:widowControl/>
              <w:jc w:val="lef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注：为计取规费等的使用，可在表中增设其中：“定额人工费”。</w:t>
            </w:r>
          </w:p>
        </w:tc>
      </w:tr>
      <w:tr>
        <w:tblPrEx>
          <w:tblCellMar>
            <w:top w:w="0" w:type="dxa"/>
            <w:left w:w="108" w:type="dxa"/>
            <w:bottom w:w="0" w:type="dxa"/>
            <w:right w:w="108" w:type="dxa"/>
          </w:tblCellMar>
        </w:tblPrEx>
        <w:trPr>
          <w:trHeight w:val="360" w:hRule="atLeast"/>
        </w:trPr>
        <w:tc>
          <w:tcPr>
            <w:tcW w:w="4746" w:type="dxa"/>
            <w:gridSpan w:val="4"/>
            <w:tcBorders>
              <w:top w:val="nil"/>
              <w:left w:val="nil"/>
              <w:bottom w:val="nil"/>
              <w:right w:val="nil"/>
            </w:tcBorders>
            <w:shd w:val="clear" w:color="FFFFFF" w:fill="FFFFFF"/>
          </w:tcPr>
          <w:p>
            <w:pPr>
              <w:jc w:val="left"/>
              <w:rPr>
                <w:rFonts w:ascii="宋体" w:hAnsi="宋体" w:eastAsia="宋体" w:cs="宋体"/>
                <w:color w:val="auto"/>
                <w:sz w:val="18"/>
                <w:szCs w:val="18"/>
                <w:highlight w:val="none"/>
              </w:rPr>
            </w:pPr>
          </w:p>
        </w:tc>
        <w:tc>
          <w:tcPr>
            <w:tcW w:w="2969" w:type="dxa"/>
            <w:gridSpan w:val="4"/>
            <w:tcBorders>
              <w:top w:val="nil"/>
              <w:left w:val="nil"/>
              <w:bottom w:val="nil"/>
              <w:right w:val="nil"/>
            </w:tcBorders>
            <w:shd w:val="clear" w:color="FFFFFF" w:fill="FFFFFF"/>
          </w:tcPr>
          <w:p>
            <w:pPr>
              <w:jc w:val="left"/>
              <w:rPr>
                <w:rFonts w:ascii="宋体" w:hAnsi="宋体" w:eastAsia="宋体" w:cs="宋体"/>
                <w:color w:val="auto"/>
                <w:sz w:val="18"/>
                <w:szCs w:val="18"/>
                <w:highlight w:val="none"/>
                <w:u w:val="single"/>
              </w:rPr>
            </w:pPr>
          </w:p>
        </w:tc>
        <w:tc>
          <w:tcPr>
            <w:tcW w:w="1252" w:type="dxa"/>
            <w:gridSpan w:val="3"/>
            <w:tcBorders>
              <w:top w:val="nil"/>
              <w:left w:val="nil"/>
              <w:bottom w:val="nil"/>
              <w:right w:val="nil"/>
            </w:tcBorders>
            <w:shd w:val="clear" w:color="FFFFFF" w:fill="FFFFFF"/>
          </w:tcPr>
          <w:p>
            <w:pPr>
              <w:widowControl/>
              <w:jc w:val="righ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表—08</w:t>
            </w:r>
          </w:p>
        </w:tc>
      </w:tr>
      <w:tr>
        <w:tblPrEx>
          <w:tblCellMar>
            <w:top w:w="0" w:type="dxa"/>
            <w:left w:w="108" w:type="dxa"/>
            <w:bottom w:w="0" w:type="dxa"/>
            <w:right w:w="108" w:type="dxa"/>
          </w:tblCellMar>
        </w:tblPrEx>
        <w:trPr>
          <w:trHeight w:val="795" w:hRule="atLeast"/>
        </w:trPr>
        <w:tc>
          <w:tcPr>
            <w:tcW w:w="8967" w:type="dxa"/>
            <w:gridSpan w:val="11"/>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分部分项工程和单价措施项目清单与计价表</w:t>
            </w:r>
          </w:p>
        </w:tc>
      </w:tr>
      <w:tr>
        <w:tblPrEx>
          <w:tblCellMar>
            <w:top w:w="0" w:type="dxa"/>
            <w:left w:w="108" w:type="dxa"/>
            <w:bottom w:w="0" w:type="dxa"/>
            <w:right w:w="108" w:type="dxa"/>
          </w:tblCellMar>
        </w:tblPrEx>
        <w:trPr>
          <w:trHeight w:val="90" w:hRule="atLeast"/>
        </w:trPr>
        <w:tc>
          <w:tcPr>
            <w:tcW w:w="4746" w:type="dxa"/>
            <w:gridSpan w:val="4"/>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工程名称：安装工程</w:t>
            </w:r>
          </w:p>
        </w:tc>
        <w:tc>
          <w:tcPr>
            <w:tcW w:w="2969" w:type="dxa"/>
            <w:gridSpan w:val="4"/>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1252" w:type="dxa"/>
            <w:gridSpan w:val="3"/>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2 页  共 3 页</w:t>
            </w:r>
          </w:p>
        </w:tc>
      </w:tr>
      <w:tr>
        <w:tblPrEx>
          <w:tblCellMar>
            <w:top w:w="0" w:type="dxa"/>
            <w:left w:w="108" w:type="dxa"/>
            <w:bottom w:w="0" w:type="dxa"/>
            <w:right w:w="108" w:type="dxa"/>
          </w:tblCellMar>
        </w:tblPrEx>
        <w:trPr>
          <w:trHeight w:val="345" w:hRule="atLeast"/>
        </w:trPr>
        <w:tc>
          <w:tcPr>
            <w:tcW w:w="44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145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项目编码</w:t>
            </w:r>
          </w:p>
        </w:tc>
        <w:tc>
          <w:tcPr>
            <w:tcW w:w="10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项目名称</w:t>
            </w:r>
          </w:p>
        </w:tc>
        <w:tc>
          <w:tcPr>
            <w:tcW w:w="3197"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项目特征描述</w:t>
            </w:r>
          </w:p>
        </w:tc>
        <w:tc>
          <w:tcPr>
            <w:tcW w:w="51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计量单位</w:t>
            </w:r>
          </w:p>
        </w:tc>
        <w:tc>
          <w:tcPr>
            <w:tcW w:w="8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工程量</w:t>
            </w:r>
          </w:p>
        </w:tc>
        <w:tc>
          <w:tcPr>
            <w:tcW w:w="1509"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金额（元）</w:t>
            </w:r>
          </w:p>
        </w:tc>
      </w:tr>
      <w:tr>
        <w:tblPrEx>
          <w:tblCellMar>
            <w:top w:w="0" w:type="dxa"/>
            <w:left w:w="108" w:type="dxa"/>
            <w:bottom w:w="0" w:type="dxa"/>
            <w:right w:w="108" w:type="dxa"/>
          </w:tblCellMar>
        </w:tblPrEx>
        <w:trPr>
          <w:trHeight w:val="345" w:hRule="atLeast"/>
        </w:trPr>
        <w:tc>
          <w:tcPr>
            <w:tcW w:w="44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0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197"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综合单价</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综合合价</w:t>
            </w: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其中</w:t>
            </w:r>
          </w:p>
        </w:tc>
      </w:tr>
      <w:tr>
        <w:tblPrEx>
          <w:tblCellMar>
            <w:top w:w="0" w:type="dxa"/>
            <w:left w:w="108" w:type="dxa"/>
            <w:bottom w:w="0" w:type="dxa"/>
            <w:right w:w="108" w:type="dxa"/>
          </w:tblCellMar>
        </w:tblPrEx>
        <w:trPr>
          <w:trHeight w:val="570" w:hRule="atLeast"/>
        </w:trPr>
        <w:tc>
          <w:tcPr>
            <w:tcW w:w="44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0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197"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暂估价</w:t>
            </w:r>
          </w:p>
        </w:tc>
      </w:tr>
      <w:tr>
        <w:tblPrEx>
          <w:tblCellMar>
            <w:top w:w="0" w:type="dxa"/>
            <w:left w:w="108" w:type="dxa"/>
            <w:bottom w:w="0" w:type="dxa"/>
            <w:right w:w="108" w:type="dxa"/>
          </w:tblCellMar>
        </w:tblPrEx>
        <w:trPr>
          <w:trHeight w:val="782"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15</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030507016036</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语音转换模块</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1.名称:语音转换模块</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825"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16</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030507016037</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运输车前后抓拍摄像头</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1.名称:运输车前后抓拍摄像头</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2.规格:300w防水，识别时间小于0.3ms,内置补光，跨省设置</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36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17</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030507005001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RFID远程读卡器（15米）</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1.名称:RFID远程读卡器（15米）</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7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18</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030501002001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射频卡</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1.名称:射频卡</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100</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839"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19</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030507016038</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USB桌面发卡器</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1.名称:USB桌面发卡器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030507016039</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针式打印机</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1.名称:针式打印机</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3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21</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030608004001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工控机</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1.名称:工控机</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2.规格:控汇610 13-7100</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802"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030502009003</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一进两出串口线</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1.名称:一进两出串口线</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条</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7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核心控制箱</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23</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030507016040</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称重专用PLC控制器及组成电路系统</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1.名称:称重专用PLC控制器及组成电路系统</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2.规格:成套安装</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9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kern w:val="0"/>
                <w:sz w:val="20"/>
                <w:szCs w:val="20"/>
                <w:highlight w:val="none"/>
                <w:lang w:bidi="ar"/>
              </w:rPr>
            </w:pP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kern w:val="0"/>
                <w:sz w:val="20"/>
                <w:szCs w:val="20"/>
                <w:highlight w:val="none"/>
                <w:lang w:bidi="ar"/>
              </w:rPr>
            </w:pP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其他设备安装</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kern w:val="0"/>
                <w:sz w:val="20"/>
                <w:szCs w:val="20"/>
                <w:highlight w:val="none"/>
                <w:lang w:bidi="ar"/>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kern w:val="0"/>
                <w:sz w:val="20"/>
                <w:szCs w:val="20"/>
                <w:highlight w:val="none"/>
                <w:lang w:bidi="ar"/>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kern w:val="0"/>
                <w:sz w:val="20"/>
                <w:szCs w:val="20"/>
                <w:highlight w:val="none"/>
                <w:lang w:bidi="ar"/>
              </w:rPr>
            </w:pP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96"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24</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030501012004</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24口核心交换机</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1.名称:24口核心交换机</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2.功能:华为工程机，双电源，4个光口</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14"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25</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030411001001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配管</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1.名称:塑料管</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2.规格:PVC32</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m</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79.3</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47"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26</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030502005001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超六类网线</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1.名称:超六类网线</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2.敷设方式:埋地</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m</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79.3</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814"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27</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030411004001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配线</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1.名称:RVVP3*1.5电源线</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m</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79.3</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86"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28</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030411004002</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配线</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1.名称:PRVVP4*0.75信号线</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m</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79.3</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714"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29</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030501012005</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8口POE交换机</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1.功能:8口POE交换机</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套</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108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031103008001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4芯户外光纤</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1.规格、型号:4芯室外单模光缆</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2.敷设部位:室外</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3.敷设方式:室外埋管敷设</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m</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103.37</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360" w:hRule="atLeast"/>
        </w:trPr>
        <w:tc>
          <w:tcPr>
            <w:tcW w:w="7972"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本页小计</w:t>
            </w:r>
          </w:p>
        </w:tc>
        <w:tc>
          <w:tcPr>
            <w:tcW w:w="51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8967" w:type="dxa"/>
            <w:gridSpan w:val="11"/>
            <w:tcBorders>
              <w:top w:val="nil"/>
              <w:left w:val="nil"/>
              <w:bottom w:val="nil"/>
              <w:right w:val="nil"/>
            </w:tcBorders>
            <w:shd w:val="clear" w:color="FFFFFF" w:fill="FFFFFF"/>
          </w:tcPr>
          <w:p>
            <w:pPr>
              <w:widowControl/>
              <w:jc w:val="lef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注：为计取规费等的使用，可在表中增设其中：“定额人工费”。</w:t>
            </w:r>
          </w:p>
        </w:tc>
      </w:tr>
      <w:tr>
        <w:tblPrEx>
          <w:tblCellMar>
            <w:top w:w="0" w:type="dxa"/>
            <w:left w:w="108" w:type="dxa"/>
            <w:bottom w:w="0" w:type="dxa"/>
            <w:right w:w="108" w:type="dxa"/>
          </w:tblCellMar>
        </w:tblPrEx>
        <w:trPr>
          <w:trHeight w:val="360" w:hRule="atLeast"/>
        </w:trPr>
        <w:tc>
          <w:tcPr>
            <w:tcW w:w="4746" w:type="dxa"/>
            <w:gridSpan w:val="4"/>
            <w:tcBorders>
              <w:top w:val="nil"/>
              <w:left w:val="nil"/>
              <w:bottom w:val="nil"/>
              <w:right w:val="nil"/>
            </w:tcBorders>
            <w:shd w:val="clear" w:color="FFFFFF" w:fill="FFFFFF"/>
          </w:tcPr>
          <w:p>
            <w:pPr>
              <w:jc w:val="left"/>
              <w:rPr>
                <w:rFonts w:ascii="宋体" w:hAnsi="宋体" w:eastAsia="宋体" w:cs="宋体"/>
                <w:color w:val="auto"/>
                <w:sz w:val="18"/>
                <w:szCs w:val="18"/>
                <w:highlight w:val="none"/>
              </w:rPr>
            </w:pPr>
          </w:p>
        </w:tc>
        <w:tc>
          <w:tcPr>
            <w:tcW w:w="2969" w:type="dxa"/>
            <w:gridSpan w:val="4"/>
            <w:tcBorders>
              <w:top w:val="nil"/>
              <w:left w:val="nil"/>
              <w:bottom w:val="nil"/>
              <w:right w:val="nil"/>
            </w:tcBorders>
            <w:shd w:val="clear" w:color="FFFFFF" w:fill="FFFFFF"/>
          </w:tcPr>
          <w:p>
            <w:pPr>
              <w:jc w:val="left"/>
              <w:rPr>
                <w:rFonts w:ascii="宋体" w:hAnsi="宋体" w:eastAsia="宋体" w:cs="宋体"/>
                <w:color w:val="auto"/>
                <w:sz w:val="18"/>
                <w:szCs w:val="18"/>
                <w:highlight w:val="none"/>
                <w:u w:val="single"/>
              </w:rPr>
            </w:pPr>
          </w:p>
        </w:tc>
        <w:tc>
          <w:tcPr>
            <w:tcW w:w="1252" w:type="dxa"/>
            <w:gridSpan w:val="3"/>
            <w:tcBorders>
              <w:top w:val="nil"/>
              <w:left w:val="nil"/>
              <w:bottom w:val="nil"/>
              <w:right w:val="nil"/>
            </w:tcBorders>
            <w:shd w:val="clear" w:color="FFFFFF" w:fill="FFFFFF"/>
          </w:tcPr>
          <w:p>
            <w:pPr>
              <w:widowControl/>
              <w:jc w:val="righ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表—08</w:t>
            </w:r>
          </w:p>
        </w:tc>
      </w:tr>
      <w:tr>
        <w:tblPrEx>
          <w:tblCellMar>
            <w:top w:w="0" w:type="dxa"/>
            <w:left w:w="108" w:type="dxa"/>
            <w:bottom w:w="0" w:type="dxa"/>
            <w:right w:w="108" w:type="dxa"/>
          </w:tblCellMar>
        </w:tblPrEx>
        <w:trPr>
          <w:trHeight w:val="795" w:hRule="atLeast"/>
        </w:trPr>
        <w:tc>
          <w:tcPr>
            <w:tcW w:w="8967" w:type="dxa"/>
            <w:gridSpan w:val="11"/>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分部分项工程和单价措施项目清单与计价表</w:t>
            </w:r>
          </w:p>
        </w:tc>
      </w:tr>
      <w:tr>
        <w:tblPrEx>
          <w:tblCellMar>
            <w:top w:w="0" w:type="dxa"/>
            <w:left w:w="108" w:type="dxa"/>
            <w:bottom w:w="0" w:type="dxa"/>
            <w:right w:w="108" w:type="dxa"/>
          </w:tblCellMar>
        </w:tblPrEx>
        <w:trPr>
          <w:trHeight w:val="570" w:hRule="atLeast"/>
        </w:trPr>
        <w:tc>
          <w:tcPr>
            <w:tcW w:w="4746" w:type="dxa"/>
            <w:gridSpan w:val="4"/>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工程名称：安装工程</w:t>
            </w:r>
          </w:p>
        </w:tc>
        <w:tc>
          <w:tcPr>
            <w:tcW w:w="2969" w:type="dxa"/>
            <w:gridSpan w:val="4"/>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1252" w:type="dxa"/>
            <w:gridSpan w:val="3"/>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3 页  共 3 页</w:t>
            </w:r>
          </w:p>
        </w:tc>
      </w:tr>
      <w:tr>
        <w:tblPrEx>
          <w:tblCellMar>
            <w:top w:w="0" w:type="dxa"/>
            <w:left w:w="108" w:type="dxa"/>
            <w:bottom w:w="0" w:type="dxa"/>
            <w:right w:w="108" w:type="dxa"/>
          </w:tblCellMar>
        </w:tblPrEx>
        <w:trPr>
          <w:trHeight w:val="345" w:hRule="atLeast"/>
        </w:trPr>
        <w:tc>
          <w:tcPr>
            <w:tcW w:w="44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145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项目编码</w:t>
            </w:r>
          </w:p>
        </w:tc>
        <w:tc>
          <w:tcPr>
            <w:tcW w:w="10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项目名称</w:t>
            </w:r>
          </w:p>
        </w:tc>
        <w:tc>
          <w:tcPr>
            <w:tcW w:w="3197"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项目特征描述</w:t>
            </w:r>
          </w:p>
        </w:tc>
        <w:tc>
          <w:tcPr>
            <w:tcW w:w="51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计量单位</w:t>
            </w:r>
          </w:p>
        </w:tc>
        <w:tc>
          <w:tcPr>
            <w:tcW w:w="8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工程量</w:t>
            </w:r>
          </w:p>
        </w:tc>
        <w:tc>
          <w:tcPr>
            <w:tcW w:w="1509"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金额（元）</w:t>
            </w:r>
          </w:p>
        </w:tc>
      </w:tr>
      <w:tr>
        <w:tblPrEx>
          <w:tblCellMar>
            <w:top w:w="0" w:type="dxa"/>
            <w:left w:w="108" w:type="dxa"/>
            <w:bottom w:w="0" w:type="dxa"/>
            <w:right w:w="108" w:type="dxa"/>
          </w:tblCellMar>
        </w:tblPrEx>
        <w:trPr>
          <w:trHeight w:val="345" w:hRule="atLeast"/>
        </w:trPr>
        <w:tc>
          <w:tcPr>
            <w:tcW w:w="44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0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197"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综合单价</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综合合价</w:t>
            </w: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其中</w:t>
            </w:r>
          </w:p>
        </w:tc>
      </w:tr>
      <w:tr>
        <w:tblPrEx>
          <w:tblCellMar>
            <w:top w:w="0" w:type="dxa"/>
            <w:left w:w="108" w:type="dxa"/>
            <w:bottom w:w="0" w:type="dxa"/>
            <w:right w:w="108" w:type="dxa"/>
          </w:tblCellMar>
        </w:tblPrEx>
        <w:trPr>
          <w:trHeight w:val="570" w:hRule="atLeast"/>
        </w:trPr>
        <w:tc>
          <w:tcPr>
            <w:tcW w:w="44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0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197"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暂估价</w:t>
            </w:r>
          </w:p>
        </w:tc>
      </w:tr>
      <w:tr>
        <w:tblPrEx>
          <w:tblCellMar>
            <w:top w:w="0" w:type="dxa"/>
            <w:left w:w="108" w:type="dxa"/>
            <w:bottom w:w="0" w:type="dxa"/>
            <w:right w:w="108" w:type="dxa"/>
          </w:tblCellMar>
        </w:tblPrEx>
        <w:trPr>
          <w:trHeight w:val="9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31</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030505009001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光纤收发器</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1.名称:光纤收发器</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2.类别:一光四电千兆单模光纤收发器</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台</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335"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32</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030502016001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尾纤盒</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1.名称:SC尾纤</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根</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36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33</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030502009004</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光纤跳线</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1.名称:光纤跳线</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条</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36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34</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030502014001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光纤熔接</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1.方法:光纤熔接</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2.模式:热熔接 前后24芯</w:t>
            </w: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芯</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103.37</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435"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措施项目</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57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35</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031302007001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高层施工增加</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4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36</w:t>
            </w:r>
          </w:p>
        </w:tc>
        <w:tc>
          <w:tcPr>
            <w:tcW w:w="14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031301017001</w:t>
            </w:r>
          </w:p>
        </w:tc>
        <w:tc>
          <w:tcPr>
            <w:tcW w:w="10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脚手架搭拆费</w:t>
            </w:r>
          </w:p>
        </w:tc>
        <w:tc>
          <w:tcPr>
            <w:tcW w:w="319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w:t>
            </w:r>
          </w:p>
        </w:tc>
        <w:tc>
          <w:tcPr>
            <w:tcW w:w="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51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7972"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本页小计</w:t>
            </w:r>
          </w:p>
        </w:tc>
        <w:tc>
          <w:tcPr>
            <w:tcW w:w="51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48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8967" w:type="dxa"/>
            <w:gridSpan w:val="11"/>
            <w:tcBorders>
              <w:top w:val="nil"/>
              <w:left w:val="nil"/>
              <w:bottom w:val="nil"/>
              <w:right w:val="nil"/>
            </w:tcBorders>
            <w:shd w:val="clear" w:color="FFFFFF" w:fill="FFFFFF"/>
          </w:tcPr>
          <w:p>
            <w:pPr>
              <w:widowControl/>
              <w:jc w:val="lef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注：为计取规费等的使用，可在表中增设其中：“定额人工费”。</w:t>
            </w:r>
          </w:p>
        </w:tc>
      </w:tr>
    </w:tbl>
    <w:p>
      <w:pPr>
        <w:rPr>
          <w:color w:val="auto"/>
          <w:highlight w:val="none"/>
        </w:rPr>
        <w:sectPr>
          <w:footerReference r:id="rId7" w:type="first"/>
          <w:footerReference r:id="rId6" w:type="default"/>
          <w:pgSz w:w="11906" w:h="16838"/>
          <w:pgMar w:top="2098" w:right="1474" w:bottom="1985" w:left="1588" w:header="851" w:footer="992" w:gutter="0"/>
          <w:pgNumType w:start="1"/>
          <w:cols w:space="425" w:num="1"/>
          <w:docGrid w:type="lines" w:linePitch="312" w:charSpace="0"/>
        </w:sectPr>
      </w:pPr>
    </w:p>
    <w:tbl>
      <w:tblPr>
        <w:tblStyle w:val="23"/>
        <w:tblW w:w="0" w:type="auto"/>
        <w:tblInd w:w="93" w:type="dxa"/>
        <w:tblLayout w:type="autofit"/>
        <w:tblCellMar>
          <w:top w:w="0" w:type="dxa"/>
          <w:left w:w="108" w:type="dxa"/>
          <w:bottom w:w="0" w:type="dxa"/>
          <w:right w:w="108" w:type="dxa"/>
        </w:tblCellMar>
      </w:tblPr>
      <w:tblGrid>
        <w:gridCol w:w="452"/>
        <w:gridCol w:w="1416"/>
        <w:gridCol w:w="1254"/>
        <w:gridCol w:w="1083"/>
        <w:gridCol w:w="400"/>
        <w:gridCol w:w="398"/>
        <w:gridCol w:w="916"/>
        <w:gridCol w:w="527"/>
        <w:gridCol w:w="526"/>
        <w:gridCol w:w="850"/>
        <w:gridCol w:w="1145"/>
      </w:tblGrid>
      <w:tr>
        <w:tblPrEx>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总价措施项目清单与计价表</w:t>
            </w:r>
          </w:p>
        </w:tc>
      </w:tr>
      <w:tr>
        <w:tblPrEx>
          <w:tblCellMar>
            <w:top w:w="0" w:type="dxa"/>
            <w:left w:w="108" w:type="dxa"/>
            <w:bottom w:w="0" w:type="dxa"/>
            <w:right w:w="108" w:type="dxa"/>
          </w:tblCellMar>
        </w:tblPrEx>
        <w:trPr>
          <w:trHeight w:val="570" w:hRule="atLeast"/>
        </w:trPr>
        <w:tc>
          <w:tcPr>
            <w:tcW w:w="0" w:type="auto"/>
            <w:gridSpan w:val="5"/>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工程名称：安装工程</w:t>
            </w:r>
          </w:p>
        </w:tc>
        <w:tc>
          <w:tcPr>
            <w:tcW w:w="0" w:type="auto"/>
            <w:gridSpan w:val="3"/>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0" w:type="auto"/>
            <w:gridSpan w:val="3"/>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1 页</w:t>
            </w:r>
          </w:p>
        </w:tc>
      </w:tr>
      <w:tr>
        <w:tblPrEx>
          <w:tblCellMar>
            <w:top w:w="0" w:type="dxa"/>
            <w:left w:w="108" w:type="dxa"/>
            <w:bottom w:w="0" w:type="dxa"/>
            <w:right w:w="108" w:type="dxa"/>
          </w:tblCellMar>
        </w:tblPrEx>
        <w:trPr>
          <w:trHeight w:val="82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项目编码</w:t>
            </w:r>
          </w:p>
        </w:tc>
        <w:tc>
          <w:tcPr>
            <w:tcW w:w="125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项目名称</w:t>
            </w:r>
          </w:p>
        </w:tc>
        <w:tc>
          <w:tcPr>
            <w:tcW w:w="108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计算基础</w:t>
            </w:r>
          </w:p>
        </w:tc>
        <w:tc>
          <w:tcPr>
            <w:tcW w:w="80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费率</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w:t>
            </w:r>
          </w:p>
        </w:tc>
        <w:tc>
          <w:tcPr>
            <w:tcW w:w="9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(元)</w:t>
            </w:r>
          </w:p>
        </w:tc>
        <w:tc>
          <w:tcPr>
            <w:tcW w:w="106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调整费率</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w:t>
            </w:r>
          </w:p>
        </w:tc>
        <w:tc>
          <w:tcPr>
            <w:tcW w:w="8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调整后金额</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(元)</w:t>
            </w:r>
          </w:p>
        </w:tc>
        <w:tc>
          <w:tcPr>
            <w:tcW w:w="114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备注</w:t>
            </w:r>
          </w:p>
        </w:tc>
      </w:tr>
      <w:tr>
        <w:tblPrEx>
          <w:tblCellMar>
            <w:top w:w="0" w:type="dxa"/>
            <w:left w:w="108" w:type="dxa"/>
            <w:bottom w:w="0" w:type="dxa"/>
            <w:right w:w="108" w:type="dxa"/>
          </w:tblCellMar>
        </w:tblPrEx>
        <w:trPr>
          <w:trHeight w:val="1590"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LSSGCSF00001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绿色施工安全防护措施费</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分部分项人工费+分部分项机具费</w:t>
            </w: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35.77</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5628.69</w:t>
            </w: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825"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031301010001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安装与生产同时进行增加费用</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分部分项人工费</w:t>
            </w: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917"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031301011001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在有害身体健康环境中施工增加费</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分部分项人工费</w:t>
            </w: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825"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TSSGBWZJF001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在地下（暗）室、设备及大口径管道内等特殊施工部位进行施工增加费</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1495"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粤031302008001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赶工措施费</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分部分项人工费+分部分项机具费</w:t>
            </w: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031302002001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夜间施工增加费</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20</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JTGRSGZJF001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交通干扰工程施工增加费</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粤031302009001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文明工地增加费</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分部分项人工费+分部分项机具费</w:t>
            </w: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DXGXJCJXF001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地下管线交叉降效费</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45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QTFY00000001</w:t>
            </w:r>
          </w:p>
        </w:tc>
        <w:tc>
          <w:tcPr>
            <w:tcW w:w="12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其他费用</w:t>
            </w:r>
          </w:p>
        </w:tc>
        <w:tc>
          <w:tcPr>
            <w:tcW w:w="10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5005"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合    计</w:t>
            </w:r>
          </w:p>
        </w:tc>
        <w:tc>
          <w:tcPr>
            <w:tcW w:w="9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06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8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114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tcPr>
          <w:p>
            <w:pPr>
              <w:widowControl/>
              <w:jc w:val="lef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编制人（造价人员）：</w:t>
            </w:r>
          </w:p>
        </w:tc>
        <w:tc>
          <w:tcPr>
            <w:tcW w:w="0" w:type="auto"/>
            <w:gridSpan w:val="6"/>
            <w:tcBorders>
              <w:top w:val="nil"/>
              <w:left w:val="nil"/>
              <w:bottom w:val="nil"/>
              <w:right w:val="nil"/>
            </w:tcBorders>
            <w:shd w:val="clear" w:color="FFFFFF" w:fill="FFFFFF"/>
          </w:tcPr>
          <w:p>
            <w:pPr>
              <w:widowControl/>
              <w:jc w:val="lef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复核人（造价工程师）：</w:t>
            </w:r>
          </w:p>
        </w:tc>
      </w:tr>
      <w:tr>
        <w:tblPrEx>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tcPr>
          <w:p>
            <w:pPr>
              <w:jc w:val="left"/>
              <w:rPr>
                <w:rFonts w:ascii="宋体" w:hAnsi="宋体" w:eastAsia="宋体" w:cs="宋体"/>
                <w:color w:val="auto"/>
                <w:sz w:val="18"/>
                <w:szCs w:val="18"/>
                <w:highlight w:val="none"/>
              </w:rPr>
            </w:pPr>
          </w:p>
        </w:tc>
        <w:tc>
          <w:tcPr>
            <w:tcW w:w="0" w:type="auto"/>
            <w:gridSpan w:val="3"/>
            <w:tcBorders>
              <w:top w:val="nil"/>
              <w:left w:val="nil"/>
              <w:bottom w:val="nil"/>
              <w:right w:val="nil"/>
            </w:tcBorders>
            <w:shd w:val="clear" w:color="FFFFFF" w:fill="FFFFFF"/>
          </w:tcPr>
          <w:p>
            <w:pPr>
              <w:jc w:val="right"/>
              <w:rPr>
                <w:rFonts w:ascii="宋体" w:hAnsi="宋体" w:eastAsia="宋体" w:cs="宋体"/>
                <w:color w:val="auto"/>
                <w:sz w:val="18"/>
                <w:szCs w:val="18"/>
                <w:highlight w:val="none"/>
              </w:rPr>
            </w:pPr>
          </w:p>
        </w:tc>
        <w:tc>
          <w:tcPr>
            <w:tcW w:w="0" w:type="auto"/>
            <w:gridSpan w:val="3"/>
            <w:tcBorders>
              <w:top w:val="nil"/>
              <w:left w:val="nil"/>
              <w:bottom w:val="nil"/>
              <w:right w:val="nil"/>
            </w:tcBorders>
            <w:shd w:val="clear" w:color="FFFFFF" w:fill="FFFFFF"/>
          </w:tcPr>
          <w:p>
            <w:pPr>
              <w:widowControl/>
              <w:jc w:val="righ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表-11</w:t>
            </w:r>
          </w:p>
        </w:tc>
      </w:tr>
    </w:tbl>
    <w:p>
      <w:pPr>
        <w:pStyle w:val="11"/>
        <w:rPr>
          <w:color w:val="auto"/>
          <w:highlight w:val="none"/>
        </w:rPr>
      </w:pPr>
    </w:p>
    <w:tbl>
      <w:tblPr>
        <w:tblStyle w:val="23"/>
        <w:tblW w:w="0" w:type="auto"/>
        <w:tblInd w:w="93" w:type="dxa"/>
        <w:tblLayout w:type="autofit"/>
        <w:tblCellMar>
          <w:top w:w="0" w:type="dxa"/>
          <w:left w:w="108" w:type="dxa"/>
          <w:bottom w:w="0" w:type="dxa"/>
          <w:right w:w="108" w:type="dxa"/>
        </w:tblCellMar>
      </w:tblPr>
      <w:tblGrid>
        <w:gridCol w:w="822"/>
        <w:gridCol w:w="2164"/>
        <w:gridCol w:w="1626"/>
        <w:gridCol w:w="1616"/>
        <w:gridCol w:w="1816"/>
      </w:tblGrid>
      <w:tr>
        <w:tblPrEx>
          <w:tblCellMar>
            <w:top w:w="0" w:type="dxa"/>
            <w:left w:w="108" w:type="dxa"/>
            <w:bottom w:w="0" w:type="dxa"/>
            <w:right w:w="108" w:type="dxa"/>
          </w:tblCellMar>
        </w:tblPrEx>
        <w:trPr>
          <w:trHeight w:val="966" w:hRule="atLeast"/>
        </w:trPr>
        <w:tc>
          <w:tcPr>
            <w:tcW w:w="0" w:type="auto"/>
            <w:gridSpan w:val="5"/>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其他项目清单与计价汇总表</w:t>
            </w:r>
          </w:p>
        </w:tc>
      </w:tr>
      <w:tr>
        <w:tblPrEx>
          <w:tblCellMar>
            <w:top w:w="0" w:type="dxa"/>
            <w:left w:w="108" w:type="dxa"/>
            <w:bottom w:w="0" w:type="dxa"/>
            <w:right w:w="108" w:type="dxa"/>
          </w:tblCellMar>
        </w:tblPrEx>
        <w:trPr>
          <w:trHeight w:val="691" w:hRule="atLeast"/>
        </w:trPr>
        <w:tc>
          <w:tcPr>
            <w:tcW w:w="0" w:type="auto"/>
            <w:gridSpan w:val="2"/>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工程名称：安装工程</w:t>
            </w:r>
          </w:p>
        </w:tc>
        <w:tc>
          <w:tcPr>
            <w:tcW w:w="0" w:type="auto"/>
            <w:gridSpan w:val="2"/>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0" w:type="auto"/>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1 页</w:t>
            </w:r>
          </w:p>
        </w:tc>
      </w:tr>
      <w:tr>
        <w:tblPrEx>
          <w:tblCellMar>
            <w:top w:w="0" w:type="dxa"/>
            <w:left w:w="108" w:type="dxa"/>
            <w:bottom w:w="0" w:type="dxa"/>
            <w:right w:w="108" w:type="dxa"/>
          </w:tblCellMar>
        </w:tblPrEx>
        <w:trPr>
          <w:trHeight w:val="524"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备注</w:t>
            </w: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暂列金额</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7248.21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暂估价</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2.1</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材料暂估价</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专业工程暂估价</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计日工</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总承包服务费</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预算包干费</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工程优质费</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概算幅度差</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现场签证费用</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索赔费用</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8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21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其他费用</w:t>
            </w:r>
          </w:p>
        </w:tc>
        <w:tc>
          <w:tcPr>
            <w:tcW w:w="16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47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w:t>
            </w:r>
          </w:p>
        </w:tc>
      </w:tr>
      <w:tr>
        <w:tblPrEx>
          <w:tblCellMar>
            <w:top w:w="0" w:type="dxa"/>
            <w:left w:w="108" w:type="dxa"/>
            <w:bottom w:w="0" w:type="dxa"/>
            <w:right w:w="108" w:type="dxa"/>
          </w:tblCellMar>
        </w:tblPrEx>
        <w:trPr>
          <w:trHeight w:val="506" w:hRule="atLeast"/>
        </w:trPr>
        <w:tc>
          <w:tcPr>
            <w:tcW w:w="0" w:type="auto"/>
            <w:gridSpan w:val="5"/>
            <w:tcBorders>
              <w:top w:val="nil"/>
              <w:left w:val="nil"/>
              <w:bottom w:val="nil"/>
              <w:right w:val="nil"/>
            </w:tcBorders>
            <w:shd w:val="clear" w:color="FFFFFF" w:fill="FFFFFF"/>
          </w:tcPr>
          <w:p>
            <w:pPr>
              <w:widowControl/>
              <w:jc w:val="lef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注：材料（工程设备）暂估单价进入清单项目综合单价，此处不汇总。</w:t>
            </w:r>
          </w:p>
        </w:tc>
      </w:tr>
      <w:tr>
        <w:tblPrEx>
          <w:tblCellMar>
            <w:top w:w="0" w:type="dxa"/>
            <w:left w:w="108" w:type="dxa"/>
            <w:bottom w:w="0" w:type="dxa"/>
            <w:right w:w="108" w:type="dxa"/>
          </w:tblCellMar>
        </w:tblPrEx>
        <w:trPr>
          <w:trHeight w:val="436" w:hRule="atLeast"/>
        </w:trPr>
        <w:tc>
          <w:tcPr>
            <w:tcW w:w="0" w:type="auto"/>
            <w:gridSpan w:val="2"/>
            <w:tcBorders>
              <w:top w:val="nil"/>
              <w:left w:val="nil"/>
              <w:bottom w:val="nil"/>
              <w:right w:val="nil"/>
            </w:tcBorders>
            <w:shd w:val="clear" w:color="FFFFFF" w:fill="FFFFFF"/>
          </w:tcPr>
          <w:p>
            <w:pPr>
              <w:jc w:val="left"/>
              <w:rPr>
                <w:rFonts w:ascii="宋体" w:hAnsi="宋体" w:eastAsia="宋体" w:cs="宋体"/>
                <w:color w:val="auto"/>
                <w:sz w:val="18"/>
                <w:szCs w:val="18"/>
                <w:highlight w:val="none"/>
              </w:rPr>
            </w:pPr>
          </w:p>
        </w:tc>
        <w:tc>
          <w:tcPr>
            <w:tcW w:w="0" w:type="auto"/>
            <w:gridSpan w:val="2"/>
            <w:tcBorders>
              <w:top w:val="nil"/>
              <w:left w:val="nil"/>
              <w:bottom w:val="nil"/>
              <w:right w:val="nil"/>
            </w:tcBorders>
            <w:shd w:val="clear" w:color="FFFFFF" w:fill="FFFFFF"/>
          </w:tcPr>
          <w:p>
            <w:pPr>
              <w:jc w:val="left"/>
              <w:rPr>
                <w:rFonts w:ascii="宋体" w:hAnsi="宋体" w:eastAsia="宋体" w:cs="宋体"/>
                <w:color w:val="auto"/>
                <w:sz w:val="18"/>
                <w:szCs w:val="18"/>
                <w:highlight w:val="none"/>
              </w:rPr>
            </w:pPr>
          </w:p>
        </w:tc>
        <w:tc>
          <w:tcPr>
            <w:tcW w:w="0" w:type="auto"/>
            <w:tcBorders>
              <w:top w:val="nil"/>
              <w:left w:val="nil"/>
              <w:bottom w:val="nil"/>
              <w:right w:val="nil"/>
            </w:tcBorders>
            <w:shd w:val="clear" w:color="FFFFFF" w:fill="FFFFFF"/>
          </w:tcPr>
          <w:p>
            <w:pPr>
              <w:widowControl/>
              <w:jc w:val="righ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表—12</w:t>
            </w:r>
          </w:p>
        </w:tc>
      </w:tr>
    </w:tbl>
    <w:p>
      <w:pPr>
        <w:pStyle w:val="11"/>
        <w:rPr>
          <w:color w:val="auto"/>
          <w:highlight w:val="none"/>
        </w:rPr>
      </w:pPr>
    </w:p>
    <w:tbl>
      <w:tblPr>
        <w:tblStyle w:val="23"/>
        <w:tblW w:w="9412" w:type="dxa"/>
        <w:tblInd w:w="0" w:type="dxa"/>
        <w:tblLayout w:type="autofit"/>
        <w:tblCellMar>
          <w:top w:w="0" w:type="dxa"/>
          <w:left w:w="108" w:type="dxa"/>
          <w:bottom w:w="0" w:type="dxa"/>
          <w:right w:w="108" w:type="dxa"/>
        </w:tblCellMar>
      </w:tblPr>
      <w:tblGrid>
        <w:gridCol w:w="93"/>
        <w:gridCol w:w="817"/>
        <w:gridCol w:w="283"/>
        <w:gridCol w:w="1815"/>
        <w:gridCol w:w="314"/>
        <w:gridCol w:w="1155"/>
        <w:gridCol w:w="1518"/>
        <w:gridCol w:w="192"/>
        <w:gridCol w:w="626"/>
        <w:gridCol w:w="694"/>
        <w:gridCol w:w="285"/>
        <w:gridCol w:w="720"/>
        <w:gridCol w:w="257"/>
        <w:gridCol w:w="643"/>
      </w:tblGrid>
      <w:tr>
        <w:tblPrEx>
          <w:tblCellMar>
            <w:top w:w="0" w:type="dxa"/>
            <w:left w:w="108" w:type="dxa"/>
            <w:bottom w:w="0" w:type="dxa"/>
            <w:right w:w="108" w:type="dxa"/>
          </w:tblCellMar>
        </w:tblPrEx>
        <w:trPr>
          <w:gridBefore w:val="1"/>
          <w:gridAfter w:val="1"/>
          <w:wBefore w:w="93" w:type="dxa"/>
          <w:wAfter w:w="643" w:type="dxa"/>
          <w:trHeight w:val="795" w:hRule="atLeast"/>
        </w:trPr>
        <w:tc>
          <w:tcPr>
            <w:tcW w:w="8676" w:type="dxa"/>
            <w:gridSpan w:val="12"/>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暂列金额明细表</w:t>
            </w:r>
          </w:p>
        </w:tc>
      </w:tr>
      <w:tr>
        <w:tblPrEx>
          <w:tblCellMar>
            <w:top w:w="0" w:type="dxa"/>
            <w:left w:w="108" w:type="dxa"/>
            <w:bottom w:w="0" w:type="dxa"/>
            <w:right w:w="108" w:type="dxa"/>
          </w:tblCellMar>
        </w:tblPrEx>
        <w:trPr>
          <w:gridBefore w:val="1"/>
          <w:gridAfter w:val="1"/>
          <w:wBefore w:w="93" w:type="dxa"/>
          <w:wAfter w:w="643" w:type="dxa"/>
          <w:trHeight w:val="570" w:hRule="atLeast"/>
        </w:trPr>
        <w:tc>
          <w:tcPr>
            <w:tcW w:w="2915" w:type="dxa"/>
            <w:gridSpan w:val="3"/>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工程名称：安装工程</w:t>
            </w:r>
          </w:p>
        </w:tc>
        <w:tc>
          <w:tcPr>
            <w:tcW w:w="3805" w:type="dxa"/>
            <w:gridSpan w:val="5"/>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1956" w:type="dxa"/>
            <w:gridSpan w:val="4"/>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1 页</w:t>
            </w:r>
          </w:p>
        </w:tc>
      </w:tr>
      <w:tr>
        <w:tblPrEx>
          <w:tblCellMar>
            <w:top w:w="0" w:type="dxa"/>
            <w:left w:w="108" w:type="dxa"/>
            <w:bottom w:w="0" w:type="dxa"/>
            <w:right w:w="108" w:type="dxa"/>
          </w:tblCellMar>
        </w:tblPrEx>
        <w:trPr>
          <w:gridBefore w:val="1"/>
          <w:gridAfter w:val="1"/>
          <w:wBefore w:w="93" w:type="dxa"/>
          <w:wAfter w:w="643" w:type="dxa"/>
          <w:trHeight w:val="375" w:hRule="atLeast"/>
        </w:trPr>
        <w:tc>
          <w:tcPr>
            <w:tcW w:w="1100"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18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名称</w:t>
            </w:r>
          </w:p>
        </w:tc>
        <w:tc>
          <w:tcPr>
            <w:tcW w:w="146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计量单位</w:t>
            </w:r>
          </w:p>
        </w:tc>
        <w:tc>
          <w:tcPr>
            <w:tcW w:w="2336"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暂定金额（元）</w:t>
            </w:r>
          </w:p>
        </w:tc>
        <w:tc>
          <w:tcPr>
            <w:tcW w:w="1956" w:type="dxa"/>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备注</w:t>
            </w:r>
          </w:p>
        </w:tc>
      </w:tr>
      <w:tr>
        <w:tblPrEx>
          <w:tblCellMar>
            <w:top w:w="0" w:type="dxa"/>
            <w:left w:w="108" w:type="dxa"/>
            <w:bottom w:w="0" w:type="dxa"/>
            <w:right w:w="108" w:type="dxa"/>
          </w:tblCellMar>
        </w:tblPrEx>
        <w:trPr>
          <w:gridBefore w:val="1"/>
          <w:gridAfter w:val="1"/>
          <w:wBefore w:w="93" w:type="dxa"/>
          <w:wAfter w:w="643" w:type="dxa"/>
          <w:trHeight w:val="360" w:hRule="atLeast"/>
        </w:trPr>
        <w:tc>
          <w:tcPr>
            <w:tcW w:w="110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暂列金额</w:t>
            </w:r>
          </w:p>
        </w:tc>
        <w:tc>
          <w:tcPr>
            <w:tcW w:w="1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元</w:t>
            </w:r>
          </w:p>
        </w:tc>
        <w:tc>
          <w:tcPr>
            <w:tcW w:w="233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7248.21</w:t>
            </w:r>
          </w:p>
        </w:tc>
        <w:tc>
          <w:tcPr>
            <w:tcW w:w="1956"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1"/>
          <w:gridAfter w:val="1"/>
          <w:wBefore w:w="93" w:type="dxa"/>
          <w:wAfter w:w="643" w:type="dxa"/>
          <w:trHeight w:val="424" w:hRule="atLeast"/>
        </w:trPr>
        <w:tc>
          <w:tcPr>
            <w:tcW w:w="4384"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合    计</w:t>
            </w:r>
          </w:p>
        </w:tc>
        <w:tc>
          <w:tcPr>
            <w:tcW w:w="2336"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7248.21</w:t>
            </w:r>
          </w:p>
        </w:tc>
        <w:tc>
          <w:tcPr>
            <w:tcW w:w="1956" w:type="dxa"/>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w:t>
            </w:r>
          </w:p>
        </w:tc>
      </w:tr>
      <w:tr>
        <w:tblPrEx>
          <w:tblCellMar>
            <w:top w:w="0" w:type="dxa"/>
            <w:left w:w="108" w:type="dxa"/>
            <w:bottom w:w="0" w:type="dxa"/>
            <w:right w:w="108" w:type="dxa"/>
          </w:tblCellMar>
        </w:tblPrEx>
        <w:trPr>
          <w:gridBefore w:val="1"/>
          <w:gridAfter w:val="1"/>
          <w:wBefore w:w="93" w:type="dxa"/>
          <w:wAfter w:w="643" w:type="dxa"/>
          <w:trHeight w:val="360" w:hRule="atLeast"/>
        </w:trPr>
        <w:tc>
          <w:tcPr>
            <w:tcW w:w="8676" w:type="dxa"/>
            <w:gridSpan w:val="12"/>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注：此表由招标人填写，如不能详列，也可只列暂列金额总额，投标人应将上述暂列金额计入投标总价中。</w:t>
            </w:r>
          </w:p>
        </w:tc>
      </w:tr>
      <w:tr>
        <w:tblPrEx>
          <w:tblCellMar>
            <w:top w:w="0" w:type="dxa"/>
            <w:left w:w="108" w:type="dxa"/>
            <w:bottom w:w="0" w:type="dxa"/>
            <w:right w:w="108" w:type="dxa"/>
          </w:tblCellMar>
        </w:tblPrEx>
        <w:trPr>
          <w:gridBefore w:val="1"/>
          <w:gridAfter w:val="1"/>
          <w:wBefore w:w="93" w:type="dxa"/>
          <w:wAfter w:w="643" w:type="dxa"/>
          <w:trHeight w:val="360" w:hRule="atLeast"/>
        </w:trPr>
        <w:tc>
          <w:tcPr>
            <w:tcW w:w="2915" w:type="dxa"/>
            <w:gridSpan w:val="3"/>
            <w:tcBorders>
              <w:top w:val="nil"/>
              <w:left w:val="nil"/>
              <w:bottom w:val="nil"/>
              <w:right w:val="nil"/>
            </w:tcBorders>
            <w:shd w:val="clear" w:color="FFFFFF" w:fill="FFFFFF"/>
            <w:vAlign w:val="bottom"/>
          </w:tcPr>
          <w:p>
            <w:pPr>
              <w:jc w:val="left"/>
              <w:rPr>
                <w:rFonts w:ascii="宋体" w:hAnsi="宋体" w:eastAsia="宋体" w:cs="宋体"/>
                <w:color w:val="auto"/>
                <w:sz w:val="18"/>
                <w:szCs w:val="18"/>
                <w:highlight w:val="none"/>
              </w:rPr>
            </w:pPr>
          </w:p>
        </w:tc>
        <w:tc>
          <w:tcPr>
            <w:tcW w:w="3805" w:type="dxa"/>
            <w:gridSpan w:val="5"/>
            <w:tcBorders>
              <w:top w:val="nil"/>
              <w:left w:val="nil"/>
              <w:bottom w:val="nil"/>
              <w:right w:val="nil"/>
            </w:tcBorders>
            <w:shd w:val="clear" w:color="FFFFFF" w:fill="FFFFFF"/>
            <w:vAlign w:val="bottom"/>
          </w:tcPr>
          <w:p>
            <w:pPr>
              <w:jc w:val="left"/>
              <w:rPr>
                <w:rFonts w:ascii="宋体" w:hAnsi="宋体" w:eastAsia="宋体" w:cs="宋体"/>
                <w:color w:val="auto"/>
                <w:sz w:val="18"/>
                <w:szCs w:val="18"/>
                <w:highlight w:val="none"/>
              </w:rPr>
            </w:pPr>
          </w:p>
        </w:tc>
        <w:tc>
          <w:tcPr>
            <w:tcW w:w="1956" w:type="dxa"/>
            <w:gridSpan w:val="4"/>
            <w:tcBorders>
              <w:top w:val="nil"/>
              <w:left w:val="nil"/>
              <w:bottom w:val="nil"/>
              <w:right w:val="nil"/>
            </w:tcBorders>
            <w:shd w:val="clear" w:color="FFFFFF"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9412" w:type="dxa"/>
            <w:gridSpan w:val="1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995"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工程名称：安装工程</w:t>
            </w:r>
          </w:p>
        </w:tc>
        <w:tc>
          <w:tcPr>
            <w:tcW w:w="1512"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90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910"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412"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86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60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7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900"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910"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6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6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0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12" w:type="dxa"/>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900"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11"/>
        <w:rPr>
          <w:color w:val="auto"/>
          <w:highlight w:val="none"/>
        </w:rPr>
      </w:pPr>
    </w:p>
    <w:tbl>
      <w:tblPr>
        <w:tblStyle w:val="23"/>
        <w:tblW w:w="5194" w:type="pct"/>
        <w:tblInd w:w="0" w:type="dxa"/>
        <w:tblLayout w:type="fixed"/>
        <w:tblCellMar>
          <w:top w:w="0" w:type="dxa"/>
          <w:left w:w="108" w:type="dxa"/>
          <w:bottom w:w="0" w:type="dxa"/>
          <w:right w:w="108" w:type="dxa"/>
        </w:tblCellMar>
      </w:tblPr>
      <w:tblGrid>
        <w:gridCol w:w="70"/>
        <w:gridCol w:w="8"/>
        <w:gridCol w:w="4"/>
        <w:gridCol w:w="4"/>
        <w:gridCol w:w="420"/>
        <w:gridCol w:w="11"/>
        <w:gridCol w:w="380"/>
        <w:gridCol w:w="13"/>
        <w:gridCol w:w="273"/>
        <w:gridCol w:w="77"/>
        <w:gridCol w:w="672"/>
        <w:gridCol w:w="21"/>
        <w:gridCol w:w="1009"/>
        <w:gridCol w:w="34"/>
        <w:gridCol w:w="64"/>
        <w:gridCol w:w="126"/>
        <w:gridCol w:w="6"/>
        <w:gridCol w:w="130"/>
        <w:gridCol w:w="941"/>
        <w:gridCol w:w="43"/>
        <w:gridCol w:w="158"/>
        <w:gridCol w:w="211"/>
        <w:gridCol w:w="9"/>
        <w:gridCol w:w="107"/>
        <w:gridCol w:w="284"/>
        <w:gridCol w:w="907"/>
        <w:gridCol w:w="13"/>
        <w:gridCol w:w="192"/>
        <w:gridCol w:w="113"/>
        <w:gridCol w:w="213"/>
        <w:gridCol w:w="72"/>
        <w:gridCol w:w="166"/>
        <w:gridCol w:w="49"/>
        <w:gridCol w:w="235"/>
        <w:gridCol w:w="299"/>
        <w:gridCol w:w="424"/>
        <w:gridCol w:w="34"/>
        <w:gridCol w:w="19"/>
        <w:gridCol w:w="73"/>
        <w:gridCol w:w="30"/>
        <w:gridCol w:w="598"/>
        <w:gridCol w:w="31"/>
        <w:gridCol w:w="158"/>
        <w:gridCol w:w="60"/>
        <w:gridCol w:w="231"/>
        <w:gridCol w:w="72"/>
        <w:gridCol w:w="348"/>
      </w:tblGrid>
      <w:tr>
        <w:tblPrEx>
          <w:tblCellMar>
            <w:top w:w="0" w:type="dxa"/>
            <w:left w:w="108" w:type="dxa"/>
            <w:bottom w:w="0" w:type="dxa"/>
            <w:right w:w="108" w:type="dxa"/>
          </w:tblCellMar>
        </w:tblPrEx>
        <w:trPr>
          <w:gridAfter w:val="1"/>
          <w:wAfter w:w="184" w:type="pct"/>
          <w:trHeight w:val="795" w:hRule="atLeast"/>
        </w:trPr>
        <w:tc>
          <w:tcPr>
            <w:tcW w:w="4815" w:type="pct"/>
            <w:gridSpan w:val="46"/>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单位工程招标控制价汇总表</w:t>
            </w:r>
          </w:p>
        </w:tc>
      </w:tr>
      <w:tr>
        <w:tblPrEx>
          <w:tblCellMar>
            <w:top w:w="0" w:type="dxa"/>
            <w:left w:w="108" w:type="dxa"/>
            <w:bottom w:w="0" w:type="dxa"/>
            <w:right w:w="108" w:type="dxa"/>
          </w:tblCellMar>
        </w:tblPrEx>
        <w:trPr>
          <w:gridAfter w:val="1"/>
          <w:wAfter w:w="184" w:type="pct"/>
          <w:trHeight w:val="570" w:hRule="atLeast"/>
        </w:trPr>
        <w:tc>
          <w:tcPr>
            <w:tcW w:w="2287" w:type="pct"/>
            <w:gridSpan w:val="20"/>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w:t>
            </w:r>
            <w:r>
              <w:rPr>
                <w:rFonts w:hint="eastAsia" w:ascii="宋体" w:hAnsi="宋体" w:eastAsia="宋体" w:cs="宋体"/>
                <w:color w:val="auto"/>
                <w:kern w:val="0"/>
                <w:sz w:val="20"/>
                <w:szCs w:val="20"/>
                <w:highlight w:val="none"/>
                <w:lang w:val="en-US" w:eastAsia="zh-CN" w:bidi="ar"/>
              </w:rPr>
              <w:t>建筑</w:t>
            </w:r>
            <w:r>
              <w:rPr>
                <w:rFonts w:hint="eastAsia" w:ascii="宋体" w:hAnsi="宋体" w:eastAsia="宋体" w:cs="宋体"/>
                <w:color w:val="auto"/>
                <w:kern w:val="0"/>
                <w:sz w:val="20"/>
                <w:szCs w:val="20"/>
                <w:highlight w:val="none"/>
                <w:lang w:bidi="ar"/>
              </w:rPr>
              <w:t>工程</w:t>
            </w:r>
          </w:p>
        </w:tc>
        <w:tc>
          <w:tcPr>
            <w:tcW w:w="897" w:type="pct"/>
            <w:gridSpan w:val="7"/>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1630" w:type="pct"/>
            <w:gridSpan w:val="19"/>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1 页</w:t>
            </w:r>
          </w:p>
        </w:tc>
      </w:tr>
      <w:tr>
        <w:tblPrEx>
          <w:tblCellMar>
            <w:top w:w="0" w:type="dxa"/>
            <w:left w:w="108" w:type="dxa"/>
            <w:bottom w:w="0" w:type="dxa"/>
            <w:right w:w="108" w:type="dxa"/>
          </w:tblCellMar>
        </w:tblPrEx>
        <w:trPr>
          <w:gridAfter w:val="1"/>
          <w:wAfter w:w="184" w:type="pct"/>
          <w:trHeight w:val="375" w:hRule="atLeast"/>
        </w:trPr>
        <w:tc>
          <w:tcPr>
            <w:tcW w:w="669" w:type="pct"/>
            <w:gridSpan w:val="10"/>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1814"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汇总内容</w:t>
            </w:r>
          </w:p>
        </w:tc>
        <w:tc>
          <w:tcPr>
            <w:tcW w:w="701"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金额:(元)</w:t>
            </w:r>
          </w:p>
        </w:tc>
        <w:tc>
          <w:tcPr>
            <w:tcW w:w="1630" w:type="pct"/>
            <w:gridSpan w:val="19"/>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其中：暂估价(元)</w:t>
            </w: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分部分项合计</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kern w:val="0"/>
                <w:sz w:val="20"/>
                <w:szCs w:val="20"/>
                <w:highlight w:val="none"/>
                <w:lang w:val="en-US" w:eastAsia="zh-CN" w:bidi="ar"/>
              </w:rPr>
              <w:t>2</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措施合计</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bidi="ar"/>
              </w:rPr>
              <w:t>2</w:t>
            </w:r>
            <w:r>
              <w:rPr>
                <w:rFonts w:hint="eastAsia" w:ascii="宋体" w:hAnsi="宋体" w:eastAsia="宋体" w:cs="宋体"/>
                <w:color w:val="auto"/>
                <w:kern w:val="0"/>
                <w:sz w:val="20"/>
                <w:szCs w:val="20"/>
                <w:highlight w:val="none"/>
                <w:lang w:val="en-US" w:eastAsia="zh-CN" w:bidi="ar"/>
              </w:rPr>
              <w:t>.1</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绿色施工安全防护措施费</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33.97</w:t>
            </w: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2.2</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其他项目</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暂列金额</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177.47</w:t>
            </w: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
              </w:rPr>
              <w:t>3.</w:t>
            </w:r>
            <w:r>
              <w:rPr>
                <w:rFonts w:hint="eastAsia" w:ascii="宋体" w:hAnsi="宋体" w:eastAsia="宋体" w:cs="宋体"/>
                <w:color w:val="auto"/>
                <w:kern w:val="0"/>
                <w:sz w:val="20"/>
                <w:szCs w:val="20"/>
                <w:highlight w:val="none"/>
                <w:lang w:bidi="ar"/>
              </w:rPr>
              <w:t>1</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暂估金额</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3.2</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kern w:val="0"/>
                <w:sz w:val="20"/>
                <w:szCs w:val="20"/>
                <w:highlight w:val="none"/>
                <w:lang w:val="en-US" w:eastAsia="zh-CN" w:bidi="ar"/>
              </w:rPr>
              <w:t>暂估价</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3.3</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kern w:val="0"/>
                <w:sz w:val="20"/>
                <w:szCs w:val="20"/>
                <w:highlight w:val="none"/>
                <w:lang w:val="en-US" w:eastAsia="zh-CN" w:bidi="ar"/>
              </w:rPr>
              <w:t>计工日</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3.4</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总承包服务费</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3.5</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预算包干费</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bidi="ar"/>
              </w:rPr>
              <w:t>3</w:t>
            </w:r>
            <w:r>
              <w:rPr>
                <w:rFonts w:hint="eastAsia" w:ascii="宋体" w:hAnsi="宋体" w:eastAsia="宋体" w:cs="宋体"/>
                <w:color w:val="auto"/>
                <w:kern w:val="0"/>
                <w:sz w:val="20"/>
                <w:szCs w:val="20"/>
                <w:highlight w:val="none"/>
                <w:lang w:val="en-US" w:eastAsia="zh-CN" w:bidi="ar"/>
              </w:rPr>
              <w:t>.6</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工程优质费</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bidi="ar"/>
              </w:rPr>
              <w:t>3.</w:t>
            </w:r>
            <w:r>
              <w:rPr>
                <w:rFonts w:hint="eastAsia" w:ascii="宋体" w:hAnsi="宋体" w:eastAsia="宋体" w:cs="宋体"/>
                <w:color w:val="auto"/>
                <w:kern w:val="0"/>
                <w:sz w:val="20"/>
                <w:szCs w:val="20"/>
                <w:highlight w:val="none"/>
                <w:lang w:val="en-US" w:eastAsia="zh-CN" w:bidi="ar"/>
              </w:rPr>
              <w:t>7</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概算幅度差</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bidi="ar"/>
              </w:rPr>
              <w:t>3.</w:t>
            </w:r>
            <w:r>
              <w:rPr>
                <w:rFonts w:hint="eastAsia" w:ascii="宋体" w:hAnsi="宋体" w:eastAsia="宋体" w:cs="宋体"/>
                <w:color w:val="auto"/>
                <w:kern w:val="0"/>
                <w:sz w:val="20"/>
                <w:szCs w:val="20"/>
                <w:highlight w:val="none"/>
                <w:lang w:val="en-US" w:eastAsia="zh-CN" w:bidi="ar"/>
              </w:rPr>
              <w:t>8</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索赔费用</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bidi="ar"/>
              </w:rPr>
              <w:t>3.</w:t>
            </w:r>
            <w:r>
              <w:rPr>
                <w:rFonts w:hint="eastAsia" w:ascii="宋体" w:hAnsi="宋体" w:eastAsia="宋体" w:cs="宋体"/>
                <w:color w:val="auto"/>
                <w:kern w:val="0"/>
                <w:sz w:val="20"/>
                <w:szCs w:val="20"/>
                <w:highlight w:val="none"/>
                <w:lang w:val="en-US" w:eastAsia="zh-CN" w:bidi="ar"/>
              </w:rPr>
              <w:t>9</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现场签证费用</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bidi="ar"/>
              </w:rPr>
              <w:t>3.</w:t>
            </w:r>
            <w:r>
              <w:rPr>
                <w:rFonts w:hint="eastAsia" w:ascii="宋体" w:hAnsi="宋体" w:eastAsia="宋体" w:cs="宋体"/>
                <w:color w:val="auto"/>
                <w:kern w:val="0"/>
                <w:sz w:val="20"/>
                <w:szCs w:val="20"/>
                <w:highlight w:val="none"/>
                <w:lang w:val="en-US" w:eastAsia="zh-CN" w:bidi="ar"/>
              </w:rPr>
              <w:t>10</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其他费用</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税前工程造价</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增值税销税额</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6</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总造价</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669" w:type="pct"/>
            <w:gridSpan w:val="10"/>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7</w:t>
            </w:r>
          </w:p>
        </w:tc>
        <w:tc>
          <w:tcPr>
            <w:tcW w:w="1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人工费</w:t>
            </w:r>
          </w:p>
        </w:tc>
        <w:tc>
          <w:tcPr>
            <w:tcW w:w="70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After w:val="1"/>
          <w:wAfter w:w="184" w:type="pct"/>
          <w:trHeight w:val="360" w:hRule="atLeast"/>
        </w:trPr>
        <w:tc>
          <w:tcPr>
            <w:tcW w:w="2483" w:type="pct"/>
            <w:gridSpan w:val="22"/>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招标控制价合计=1+2+3+5</w:t>
            </w:r>
          </w:p>
        </w:tc>
        <w:tc>
          <w:tcPr>
            <w:tcW w:w="701"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630" w:type="pct"/>
            <w:gridSpan w:val="19"/>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1"/>
          <w:gridAfter w:val="4"/>
          <w:wBefore w:w="37" w:type="pct"/>
          <w:wAfter w:w="377" w:type="pct"/>
          <w:trHeight w:val="360" w:hRule="atLeast"/>
        </w:trPr>
        <w:tc>
          <w:tcPr>
            <w:tcW w:w="1536" w:type="pct"/>
            <w:gridSpan w:val="12"/>
            <w:tcBorders>
              <w:top w:val="nil"/>
              <w:left w:val="nil"/>
              <w:bottom w:val="nil"/>
              <w:right w:val="nil"/>
            </w:tcBorders>
            <w:shd w:val="clear" w:color="FFFFFF" w:fill="FFFFFF"/>
            <w:vAlign w:val="bottom"/>
          </w:tcPr>
          <w:p>
            <w:pPr>
              <w:jc w:val="left"/>
              <w:rPr>
                <w:rFonts w:ascii="宋体" w:hAnsi="宋体" w:eastAsia="宋体" w:cs="宋体"/>
                <w:color w:val="auto"/>
                <w:sz w:val="18"/>
                <w:szCs w:val="18"/>
                <w:highlight w:val="none"/>
              </w:rPr>
            </w:pPr>
          </w:p>
        </w:tc>
        <w:tc>
          <w:tcPr>
            <w:tcW w:w="2012" w:type="pct"/>
            <w:gridSpan w:val="19"/>
            <w:tcBorders>
              <w:top w:val="nil"/>
              <w:left w:val="nil"/>
              <w:bottom w:val="nil"/>
              <w:right w:val="nil"/>
            </w:tcBorders>
            <w:shd w:val="clear" w:color="FFFFFF" w:fill="FFFFFF"/>
            <w:vAlign w:val="bottom"/>
          </w:tcPr>
          <w:p>
            <w:pPr>
              <w:jc w:val="left"/>
              <w:rPr>
                <w:rFonts w:ascii="宋体" w:hAnsi="宋体" w:eastAsia="宋体" w:cs="宋体"/>
                <w:color w:val="auto"/>
                <w:sz w:val="18"/>
                <w:szCs w:val="18"/>
                <w:highlight w:val="none"/>
              </w:rPr>
            </w:pPr>
          </w:p>
        </w:tc>
        <w:tc>
          <w:tcPr>
            <w:tcW w:w="1035" w:type="pct"/>
            <w:gridSpan w:val="11"/>
            <w:tcBorders>
              <w:top w:val="nil"/>
              <w:left w:val="nil"/>
              <w:bottom w:val="nil"/>
              <w:right w:val="nil"/>
            </w:tcBorders>
            <w:shd w:val="clear" w:color="FFFFFF" w:fill="FFFFFF"/>
            <w:vAlign w:val="center"/>
          </w:tcPr>
          <w:p>
            <w:pPr>
              <w:widowControl/>
              <w:jc w:val="right"/>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表—1</w:t>
            </w:r>
            <w:r>
              <w:rPr>
                <w:rFonts w:hint="eastAsia" w:ascii="宋体" w:hAnsi="宋体" w:eastAsia="宋体" w:cs="宋体"/>
                <w:color w:val="auto"/>
                <w:kern w:val="0"/>
                <w:sz w:val="18"/>
                <w:szCs w:val="18"/>
                <w:highlight w:val="none"/>
                <w:lang w:val="en-US" w:eastAsia="zh-CN" w:bidi="ar"/>
              </w:rPr>
              <w:t>3</w:t>
            </w:r>
          </w:p>
        </w:tc>
      </w:tr>
      <w:tr>
        <w:tblPrEx>
          <w:tblCellMar>
            <w:top w:w="0" w:type="dxa"/>
            <w:left w:w="108" w:type="dxa"/>
            <w:bottom w:w="0" w:type="dxa"/>
            <w:right w:w="108" w:type="dxa"/>
          </w:tblCellMar>
        </w:tblPrEx>
        <w:trPr>
          <w:gridBefore w:val="1"/>
          <w:gridAfter w:val="1"/>
          <w:wBefore w:w="37" w:type="pct"/>
          <w:wAfter w:w="184" w:type="pct"/>
          <w:trHeight w:val="795" w:hRule="atLeast"/>
        </w:trPr>
        <w:tc>
          <w:tcPr>
            <w:tcW w:w="4777" w:type="pct"/>
            <w:gridSpan w:val="45"/>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分部分项工程和单价措施项目清单与计价表</w:t>
            </w:r>
          </w:p>
        </w:tc>
      </w:tr>
      <w:tr>
        <w:tblPrEx>
          <w:tblCellMar>
            <w:top w:w="0" w:type="dxa"/>
            <w:left w:w="108" w:type="dxa"/>
            <w:bottom w:w="0" w:type="dxa"/>
            <w:right w:w="108" w:type="dxa"/>
          </w:tblCellMar>
        </w:tblPrEx>
        <w:trPr>
          <w:gridBefore w:val="1"/>
          <w:gridAfter w:val="1"/>
          <w:wBefore w:w="37" w:type="pct"/>
          <w:wAfter w:w="184" w:type="pct"/>
          <w:trHeight w:val="570" w:hRule="atLeast"/>
        </w:trPr>
        <w:tc>
          <w:tcPr>
            <w:tcW w:w="2507" w:type="pct"/>
            <w:gridSpan w:val="23"/>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w:t>
            </w:r>
            <w:r>
              <w:rPr>
                <w:rFonts w:hint="eastAsia" w:ascii="宋体" w:hAnsi="宋体" w:eastAsia="宋体" w:cs="宋体"/>
                <w:color w:val="auto"/>
                <w:kern w:val="0"/>
                <w:sz w:val="20"/>
                <w:szCs w:val="20"/>
                <w:highlight w:val="none"/>
                <w:lang w:val="en-US" w:eastAsia="zh-CN" w:bidi="ar"/>
              </w:rPr>
              <w:t>建筑</w:t>
            </w:r>
            <w:r>
              <w:rPr>
                <w:rFonts w:hint="eastAsia" w:ascii="宋体" w:hAnsi="宋体" w:eastAsia="宋体" w:cs="宋体"/>
                <w:color w:val="auto"/>
                <w:kern w:val="0"/>
                <w:sz w:val="20"/>
                <w:szCs w:val="20"/>
                <w:highlight w:val="none"/>
                <w:lang w:bidi="ar"/>
              </w:rPr>
              <w:t>工程</w:t>
            </w:r>
          </w:p>
        </w:tc>
        <w:tc>
          <w:tcPr>
            <w:tcW w:w="1576" w:type="pct"/>
            <w:gridSpan w:val="12"/>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693" w:type="pct"/>
            <w:gridSpan w:val="10"/>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 xml:space="preserve">第 </w:t>
            </w:r>
            <w:r>
              <w:rPr>
                <w:rFonts w:hint="eastAsia" w:ascii="宋体" w:hAnsi="宋体" w:eastAsia="宋体" w:cs="宋体"/>
                <w:color w:val="auto"/>
                <w:kern w:val="0"/>
                <w:sz w:val="20"/>
                <w:szCs w:val="20"/>
                <w:highlight w:val="none"/>
                <w:lang w:val="en-US" w:eastAsia="zh-CN" w:bidi="ar"/>
              </w:rPr>
              <w:t>1</w:t>
            </w:r>
            <w:r>
              <w:rPr>
                <w:rFonts w:hint="eastAsia" w:ascii="宋体" w:hAnsi="宋体" w:eastAsia="宋体" w:cs="宋体"/>
                <w:color w:val="auto"/>
                <w:kern w:val="0"/>
                <w:sz w:val="20"/>
                <w:szCs w:val="20"/>
                <w:highlight w:val="none"/>
                <w:lang w:bidi="ar"/>
              </w:rPr>
              <w:t xml:space="preserve"> 页  共 </w:t>
            </w:r>
            <w:r>
              <w:rPr>
                <w:rFonts w:hint="eastAsia" w:ascii="宋体" w:hAnsi="宋体" w:eastAsia="宋体" w:cs="宋体"/>
                <w:color w:val="auto"/>
                <w:kern w:val="0"/>
                <w:sz w:val="20"/>
                <w:szCs w:val="20"/>
                <w:highlight w:val="none"/>
                <w:lang w:val="en-US" w:eastAsia="zh-CN" w:bidi="ar"/>
              </w:rPr>
              <w:t>1</w:t>
            </w:r>
            <w:r>
              <w:rPr>
                <w:rFonts w:hint="eastAsia" w:ascii="宋体" w:hAnsi="宋体" w:eastAsia="宋体" w:cs="宋体"/>
                <w:color w:val="auto"/>
                <w:kern w:val="0"/>
                <w:sz w:val="20"/>
                <w:szCs w:val="20"/>
                <w:highlight w:val="none"/>
                <w:lang w:bidi="ar"/>
              </w:rPr>
              <w:t xml:space="preserve"> 页</w:t>
            </w:r>
          </w:p>
        </w:tc>
      </w:tr>
      <w:tr>
        <w:tblPrEx>
          <w:tblCellMar>
            <w:top w:w="0" w:type="dxa"/>
            <w:left w:w="108" w:type="dxa"/>
            <w:bottom w:w="0" w:type="dxa"/>
            <w:right w:w="108" w:type="dxa"/>
          </w:tblCellMar>
        </w:tblPrEx>
        <w:trPr>
          <w:gridBefore w:val="1"/>
          <w:gridAfter w:val="1"/>
          <w:wBefore w:w="37" w:type="pct"/>
          <w:wAfter w:w="184" w:type="pct"/>
          <w:trHeight w:val="345" w:hRule="atLeast"/>
        </w:trPr>
        <w:tc>
          <w:tcPr>
            <w:tcW w:w="231" w:type="pct"/>
            <w:gridSpan w:val="4"/>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768"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项目编码</w:t>
            </w:r>
          </w:p>
        </w:tc>
        <w:tc>
          <w:tcPr>
            <w:tcW w:w="65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项目名称</w:t>
            </w:r>
          </w:p>
        </w:tc>
        <w:tc>
          <w:tcPr>
            <w:tcW w:w="1489" w:type="pct"/>
            <w:gridSpan w:val="10"/>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项目特征描述</w:t>
            </w:r>
          </w:p>
        </w:tc>
        <w:tc>
          <w:tcPr>
            <w:tcW w:w="313"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计量单位</w:t>
            </w:r>
          </w:p>
        </w:tc>
        <w:tc>
          <w:tcPr>
            <w:tcW w:w="397"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工程量</w:t>
            </w:r>
          </w:p>
        </w:tc>
        <w:tc>
          <w:tcPr>
            <w:tcW w:w="919"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金额（元）</w:t>
            </w:r>
          </w:p>
        </w:tc>
      </w:tr>
      <w:tr>
        <w:tblPrEx>
          <w:tblCellMar>
            <w:top w:w="0" w:type="dxa"/>
            <w:left w:w="108" w:type="dxa"/>
            <w:bottom w:w="0" w:type="dxa"/>
            <w:right w:w="108" w:type="dxa"/>
          </w:tblCellMar>
        </w:tblPrEx>
        <w:trPr>
          <w:gridBefore w:val="1"/>
          <w:gridAfter w:val="1"/>
          <w:wBefore w:w="37" w:type="pct"/>
          <w:wAfter w:w="184" w:type="pct"/>
          <w:trHeight w:val="345" w:hRule="atLeast"/>
        </w:trPr>
        <w:tc>
          <w:tcPr>
            <w:tcW w:w="231" w:type="pct"/>
            <w:gridSpan w:val="4"/>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768"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65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89" w:type="pct"/>
            <w:gridSpan w:val="10"/>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13"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97"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08"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综合单价</w:t>
            </w:r>
          </w:p>
        </w:tc>
        <w:tc>
          <w:tcPr>
            <w:tcW w:w="334"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综合合价</w:t>
            </w:r>
          </w:p>
        </w:tc>
        <w:tc>
          <w:tcPr>
            <w:tcW w:w="27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其中</w:t>
            </w:r>
          </w:p>
        </w:tc>
      </w:tr>
      <w:tr>
        <w:tblPrEx>
          <w:tblCellMar>
            <w:top w:w="0" w:type="dxa"/>
            <w:left w:w="108" w:type="dxa"/>
            <w:bottom w:w="0" w:type="dxa"/>
            <w:right w:w="108" w:type="dxa"/>
          </w:tblCellMar>
        </w:tblPrEx>
        <w:trPr>
          <w:gridBefore w:val="1"/>
          <w:gridAfter w:val="1"/>
          <w:wBefore w:w="37" w:type="pct"/>
          <w:wAfter w:w="184" w:type="pct"/>
          <w:trHeight w:val="570" w:hRule="atLeast"/>
        </w:trPr>
        <w:tc>
          <w:tcPr>
            <w:tcW w:w="231" w:type="pct"/>
            <w:gridSpan w:val="4"/>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768"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65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489" w:type="pct"/>
            <w:gridSpan w:val="10"/>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13"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97"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08"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334"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27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暂估价</w:t>
            </w:r>
          </w:p>
        </w:tc>
      </w:tr>
      <w:tr>
        <w:tblPrEx>
          <w:tblCellMar>
            <w:top w:w="0" w:type="dxa"/>
            <w:left w:w="108" w:type="dxa"/>
            <w:bottom w:w="0" w:type="dxa"/>
            <w:right w:w="108" w:type="dxa"/>
          </w:tblCellMar>
        </w:tblPrEx>
        <w:trPr>
          <w:gridBefore w:val="1"/>
          <w:gridAfter w:val="1"/>
          <w:wBefore w:w="37" w:type="pct"/>
          <w:wAfter w:w="184" w:type="pct"/>
          <w:trHeight w:val="414" w:hRule="atLeast"/>
        </w:trPr>
        <w:tc>
          <w:tcPr>
            <w:tcW w:w="23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7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6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整个项目</w:t>
            </w:r>
          </w:p>
        </w:tc>
        <w:tc>
          <w:tcPr>
            <w:tcW w:w="1489"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31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3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p>
        </w:tc>
        <w:tc>
          <w:tcPr>
            <w:tcW w:w="30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33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27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gridBefore w:val="1"/>
          <w:gridAfter w:val="1"/>
          <w:wBefore w:w="37" w:type="pct"/>
          <w:wAfter w:w="184" w:type="pct"/>
          <w:trHeight w:val="569" w:hRule="atLeast"/>
        </w:trPr>
        <w:tc>
          <w:tcPr>
            <w:tcW w:w="23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kern w:val="0"/>
                <w:sz w:val="20"/>
                <w:szCs w:val="20"/>
                <w:highlight w:val="none"/>
                <w:lang w:val="en-US" w:eastAsia="zh-CN" w:bidi="ar"/>
              </w:rPr>
              <w:t>1</w:t>
            </w:r>
          </w:p>
        </w:tc>
        <w:tc>
          <w:tcPr>
            <w:tcW w:w="7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03050</w:t>
            </w:r>
            <w:r>
              <w:rPr>
                <w:rFonts w:hint="eastAsia" w:ascii="宋体" w:hAnsi="宋体" w:eastAsia="宋体" w:cs="宋体"/>
                <w:color w:val="auto"/>
                <w:kern w:val="0"/>
                <w:sz w:val="20"/>
                <w:szCs w:val="20"/>
                <w:highlight w:val="none"/>
                <w:lang w:val="en-US" w:eastAsia="zh-CN" w:bidi="ar"/>
              </w:rPr>
              <w:t>7</w:t>
            </w:r>
            <w:r>
              <w:rPr>
                <w:rFonts w:hint="eastAsia" w:ascii="宋体" w:hAnsi="宋体" w:eastAsia="宋体" w:cs="宋体"/>
                <w:color w:val="auto"/>
                <w:kern w:val="0"/>
                <w:sz w:val="20"/>
                <w:szCs w:val="20"/>
                <w:highlight w:val="none"/>
                <w:lang w:bidi="ar"/>
              </w:rPr>
              <w:t>016001</w:t>
            </w:r>
          </w:p>
        </w:tc>
        <w:tc>
          <w:tcPr>
            <w:tcW w:w="6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安全岛制作</w:t>
            </w:r>
          </w:p>
        </w:tc>
        <w:tc>
          <w:tcPr>
            <w:tcW w:w="1489"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w:t>
            </w:r>
            <w:r>
              <w:rPr>
                <w:rFonts w:hint="eastAsia" w:ascii="宋体" w:hAnsi="宋体" w:eastAsia="宋体" w:cs="宋体"/>
                <w:color w:val="auto"/>
                <w:kern w:val="0"/>
                <w:sz w:val="20"/>
                <w:szCs w:val="20"/>
                <w:highlight w:val="none"/>
                <w:lang w:val="en-US" w:eastAsia="zh-CN" w:bidi="ar"/>
              </w:rPr>
              <w:t>安全岛制作</w:t>
            </w:r>
          </w:p>
        </w:tc>
        <w:tc>
          <w:tcPr>
            <w:tcW w:w="31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m3</w:t>
            </w:r>
          </w:p>
        </w:tc>
        <w:tc>
          <w:tcPr>
            <w:tcW w:w="3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1.42</w:t>
            </w:r>
          </w:p>
        </w:tc>
        <w:tc>
          <w:tcPr>
            <w:tcW w:w="30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33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27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gridBefore w:val="1"/>
          <w:gridAfter w:val="1"/>
          <w:wBefore w:w="37" w:type="pct"/>
          <w:wAfter w:w="184" w:type="pct"/>
          <w:trHeight w:val="593" w:hRule="atLeast"/>
        </w:trPr>
        <w:tc>
          <w:tcPr>
            <w:tcW w:w="23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kern w:val="0"/>
                <w:sz w:val="20"/>
                <w:szCs w:val="20"/>
                <w:highlight w:val="none"/>
                <w:lang w:val="en-US" w:eastAsia="zh-CN" w:bidi="ar"/>
              </w:rPr>
              <w:t>2</w:t>
            </w:r>
          </w:p>
        </w:tc>
        <w:tc>
          <w:tcPr>
            <w:tcW w:w="7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011406001001</w:t>
            </w:r>
          </w:p>
        </w:tc>
        <w:tc>
          <w:tcPr>
            <w:tcW w:w="6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安全岛刷漆</w:t>
            </w:r>
          </w:p>
        </w:tc>
        <w:tc>
          <w:tcPr>
            <w:tcW w:w="1489"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1.名称:光纤跳线</w:t>
            </w:r>
          </w:p>
        </w:tc>
        <w:tc>
          <w:tcPr>
            <w:tcW w:w="31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座</w:t>
            </w:r>
          </w:p>
        </w:tc>
        <w:tc>
          <w:tcPr>
            <w:tcW w:w="3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w:t>
            </w:r>
          </w:p>
        </w:tc>
        <w:tc>
          <w:tcPr>
            <w:tcW w:w="30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33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27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gridBefore w:val="1"/>
          <w:gridAfter w:val="1"/>
          <w:wBefore w:w="37" w:type="pct"/>
          <w:wAfter w:w="184" w:type="pct"/>
          <w:trHeight w:val="360" w:hRule="atLeast"/>
        </w:trPr>
        <w:tc>
          <w:tcPr>
            <w:tcW w:w="23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kern w:val="0"/>
                <w:sz w:val="20"/>
                <w:szCs w:val="20"/>
                <w:highlight w:val="none"/>
                <w:lang w:bidi="ar"/>
              </w:rPr>
            </w:pPr>
          </w:p>
        </w:tc>
        <w:tc>
          <w:tcPr>
            <w:tcW w:w="7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color w:val="auto"/>
                <w:kern w:val="0"/>
                <w:sz w:val="20"/>
                <w:szCs w:val="20"/>
                <w:highlight w:val="none"/>
                <w:lang w:val="en-US" w:eastAsia="zh-CN" w:bidi="ar"/>
              </w:rPr>
            </w:pPr>
          </w:p>
        </w:tc>
        <w:tc>
          <w:tcPr>
            <w:tcW w:w="6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措施项目</w:t>
            </w:r>
          </w:p>
        </w:tc>
        <w:tc>
          <w:tcPr>
            <w:tcW w:w="1489"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color w:val="auto"/>
                <w:kern w:val="0"/>
                <w:sz w:val="20"/>
                <w:szCs w:val="20"/>
                <w:highlight w:val="none"/>
                <w:lang w:bidi="ar"/>
              </w:rPr>
            </w:pPr>
          </w:p>
        </w:tc>
        <w:tc>
          <w:tcPr>
            <w:tcW w:w="31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eastAsia" w:ascii="宋体" w:hAnsi="宋体" w:eastAsia="宋体" w:cs="宋体"/>
                <w:color w:val="auto"/>
                <w:kern w:val="0"/>
                <w:sz w:val="20"/>
                <w:szCs w:val="20"/>
                <w:highlight w:val="none"/>
                <w:lang w:bidi="ar"/>
              </w:rPr>
            </w:pPr>
          </w:p>
        </w:tc>
        <w:tc>
          <w:tcPr>
            <w:tcW w:w="3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eastAsia" w:ascii="宋体" w:hAnsi="宋体" w:eastAsia="宋体" w:cs="宋体"/>
                <w:color w:val="auto"/>
                <w:kern w:val="0"/>
                <w:sz w:val="20"/>
                <w:szCs w:val="20"/>
                <w:highlight w:val="none"/>
                <w:lang w:bidi="ar"/>
              </w:rPr>
            </w:pPr>
          </w:p>
        </w:tc>
        <w:tc>
          <w:tcPr>
            <w:tcW w:w="30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33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27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gridBefore w:val="1"/>
          <w:gridAfter w:val="1"/>
          <w:wBefore w:w="37" w:type="pct"/>
          <w:wAfter w:w="184" w:type="pct"/>
          <w:trHeight w:val="360" w:hRule="atLeast"/>
        </w:trPr>
        <w:tc>
          <w:tcPr>
            <w:tcW w:w="23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768"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011902001001</w:t>
            </w:r>
          </w:p>
        </w:tc>
        <w:tc>
          <w:tcPr>
            <w:tcW w:w="65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安全岛制模</w:t>
            </w:r>
          </w:p>
        </w:tc>
        <w:tc>
          <w:tcPr>
            <w:tcW w:w="1489"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1.方法:光纤熔接</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2.模式:热熔接 前后24芯</w:t>
            </w:r>
          </w:p>
        </w:tc>
        <w:tc>
          <w:tcPr>
            <w:tcW w:w="31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M2</w:t>
            </w:r>
          </w:p>
        </w:tc>
        <w:tc>
          <w:tcPr>
            <w:tcW w:w="39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6.34</w:t>
            </w:r>
          </w:p>
        </w:tc>
        <w:tc>
          <w:tcPr>
            <w:tcW w:w="30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33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18"/>
                <w:szCs w:val="18"/>
                <w:highlight w:val="none"/>
              </w:rPr>
            </w:pPr>
          </w:p>
        </w:tc>
        <w:tc>
          <w:tcPr>
            <w:tcW w:w="276"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18"/>
                <w:szCs w:val="18"/>
                <w:highlight w:val="none"/>
              </w:rPr>
            </w:pPr>
          </w:p>
        </w:tc>
      </w:tr>
      <w:tr>
        <w:tblPrEx>
          <w:tblCellMar>
            <w:top w:w="0" w:type="dxa"/>
            <w:left w:w="108" w:type="dxa"/>
            <w:bottom w:w="0" w:type="dxa"/>
            <w:right w:w="108" w:type="dxa"/>
          </w:tblCellMar>
        </w:tblPrEx>
        <w:trPr>
          <w:gridBefore w:val="1"/>
          <w:gridAfter w:val="1"/>
          <w:wBefore w:w="37" w:type="pct"/>
          <w:wAfter w:w="184" w:type="pct"/>
          <w:trHeight w:val="360" w:hRule="atLeast"/>
        </w:trPr>
        <w:tc>
          <w:tcPr>
            <w:tcW w:w="4167" w:type="pct"/>
            <w:gridSpan w:val="39"/>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本页小计</w:t>
            </w:r>
          </w:p>
        </w:tc>
        <w:tc>
          <w:tcPr>
            <w:tcW w:w="33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276" w:type="pct"/>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1"/>
          <w:gridAfter w:val="1"/>
          <w:wBefore w:w="37" w:type="pct"/>
          <w:wAfter w:w="184" w:type="pct"/>
          <w:trHeight w:val="360" w:hRule="atLeast"/>
        </w:trPr>
        <w:tc>
          <w:tcPr>
            <w:tcW w:w="4777" w:type="pct"/>
            <w:gridSpan w:val="45"/>
            <w:tcBorders>
              <w:top w:val="nil"/>
              <w:left w:val="nil"/>
              <w:bottom w:val="nil"/>
              <w:right w:val="nil"/>
            </w:tcBorders>
            <w:shd w:val="clear" w:color="FFFFFF" w:fill="FFFFFF"/>
          </w:tcPr>
          <w:p>
            <w:pPr>
              <w:widowControl/>
              <w:ind w:firstLine="1800" w:firstLineChars="1000"/>
              <w:jc w:val="right"/>
              <w:textAlignment w:val="top"/>
              <w:rPr>
                <w:rFonts w:hint="default" w:ascii="宋体" w:hAnsi="宋体" w:eastAsia="宋体" w:cs="宋体"/>
                <w:color w:val="auto"/>
                <w:sz w:val="18"/>
                <w:szCs w:val="18"/>
                <w:highlight w:val="none"/>
                <w:lang w:val="en-US"/>
              </w:rPr>
            </w:pPr>
            <w:r>
              <w:rPr>
                <w:rFonts w:hint="eastAsia" w:ascii="宋体" w:hAnsi="宋体" w:eastAsia="宋体" w:cs="宋体"/>
                <w:color w:val="auto"/>
                <w:kern w:val="0"/>
                <w:sz w:val="18"/>
                <w:szCs w:val="18"/>
                <w:highlight w:val="none"/>
                <w:lang w:bidi="ar"/>
              </w:rPr>
              <w:t>表—1</w:t>
            </w:r>
            <w:r>
              <w:rPr>
                <w:rFonts w:hint="eastAsia" w:ascii="宋体" w:hAnsi="宋体" w:eastAsia="宋体" w:cs="宋体"/>
                <w:color w:val="auto"/>
                <w:kern w:val="0"/>
                <w:sz w:val="18"/>
                <w:szCs w:val="18"/>
                <w:highlight w:val="none"/>
                <w:lang w:val="en-US" w:eastAsia="zh-CN" w:bidi="ar"/>
              </w:rPr>
              <w:t>3-1</w:t>
            </w:r>
          </w:p>
        </w:tc>
      </w:tr>
      <w:tr>
        <w:tblPrEx>
          <w:tblCellMar>
            <w:top w:w="0" w:type="dxa"/>
            <w:left w:w="108" w:type="dxa"/>
            <w:bottom w:w="0" w:type="dxa"/>
            <w:right w:w="108" w:type="dxa"/>
          </w:tblCellMar>
        </w:tblPrEx>
        <w:trPr>
          <w:gridBefore w:val="2"/>
          <w:gridAfter w:val="1"/>
          <w:wBefore w:w="41" w:type="pct"/>
          <w:wAfter w:w="184" w:type="pct"/>
          <w:trHeight w:val="795" w:hRule="atLeast"/>
        </w:trPr>
        <w:tc>
          <w:tcPr>
            <w:tcW w:w="4773" w:type="pct"/>
            <w:gridSpan w:val="44"/>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总价措施项目清单与计价表</w:t>
            </w:r>
          </w:p>
        </w:tc>
      </w:tr>
      <w:tr>
        <w:tblPrEx>
          <w:tblCellMar>
            <w:top w:w="0" w:type="dxa"/>
            <w:left w:w="108" w:type="dxa"/>
            <w:bottom w:w="0" w:type="dxa"/>
            <w:right w:w="108" w:type="dxa"/>
          </w:tblCellMar>
        </w:tblPrEx>
        <w:trPr>
          <w:gridBefore w:val="2"/>
          <w:gridAfter w:val="1"/>
          <w:wBefore w:w="41" w:type="pct"/>
          <w:wAfter w:w="184" w:type="pct"/>
          <w:trHeight w:val="570" w:hRule="atLeast"/>
        </w:trPr>
        <w:tc>
          <w:tcPr>
            <w:tcW w:w="2442" w:type="pct"/>
            <w:gridSpan w:val="20"/>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w:t>
            </w:r>
            <w:r>
              <w:rPr>
                <w:rFonts w:hint="eastAsia" w:ascii="宋体" w:hAnsi="宋体" w:eastAsia="宋体" w:cs="宋体"/>
                <w:color w:val="auto"/>
                <w:kern w:val="0"/>
                <w:sz w:val="20"/>
                <w:szCs w:val="20"/>
                <w:highlight w:val="none"/>
                <w:lang w:val="en-US" w:eastAsia="zh-CN" w:bidi="ar"/>
              </w:rPr>
              <w:t>建筑</w:t>
            </w:r>
            <w:r>
              <w:rPr>
                <w:rFonts w:hint="eastAsia" w:ascii="宋体" w:hAnsi="宋体" w:eastAsia="宋体" w:cs="宋体"/>
                <w:color w:val="auto"/>
                <w:kern w:val="0"/>
                <w:sz w:val="20"/>
                <w:szCs w:val="20"/>
                <w:highlight w:val="none"/>
                <w:lang w:bidi="ar"/>
              </w:rPr>
              <w:t>工程</w:t>
            </w:r>
          </w:p>
        </w:tc>
        <w:tc>
          <w:tcPr>
            <w:tcW w:w="976" w:type="pct"/>
            <w:gridSpan w:val="8"/>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1355" w:type="pct"/>
            <w:gridSpan w:val="16"/>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1 页</w:t>
            </w:r>
          </w:p>
        </w:tc>
      </w:tr>
      <w:tr>
        <w:tblPrEx>
          <w:tblCellMar>
            <w:top w:w="0" w:type="dxa"/>
            <w:left w:w="108" w:type="dxa"/>
            <w:bottom w:w="0" w:type="dxa"/>
            <w:right w:w="108" w:type="dxa"/>
          </w:tblCellMar>
        </w:tblPrEx>
        <w:trPr>
          <w:gridBefore w:val="2"/>
          <w:gridAfter w:val="1"/>
          <w:wBefore w:w="41" w:type="pct"/>
          <w:wAfter w:w="184" w:type="pct"/>
          <w:trHeight w:val="825" w:hRule="atLeast"/>
        </w:trPr>
        <w:tc>
          <w:tcPr>
            <w:tcW w:w="233"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751"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项目编码</w:t>
            </w:r>
          </w:p>
        </w:tc>
        <w:tc>
          <w:tcPr>
            <w:tcW w:w="666"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项目名称</w:t>
            </w:r>
          </w:p>
        </w:tc>
        <w:tc>
          <w:tcPr>
            <w:tcW w:w="572"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计算基础</w:t>
            </w:r>
          </w:p>
        </w:tc>
        <w:tc>
          <w:tcPr>
            <w:tcW w:w="431"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费率</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w:t>
            </w:r>
          </w:p>
        </w:tc>
        <w:tc>
          <w:tcPr>
            <w:tcW w:w="48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(元)</w:t>
            </w:r>
          </w:p>
        </w:tc>
        <w:tc>
          <w:tcPr>
            <w:tcW w:w="559"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调整费率</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w:t>
            </w:r>
          </w:p>
        </w:tc>
        <w:tc>
          <w:tcPr>
            <w:tcW w:w="451"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调整后金额</w:t>
            </w:r>
            <w:r>
              <w:rPr>
                <w:rFonts w:hint="eastAsia" w:ascii="宋体" w:hAnsi="宋体" w:eastAsia="宋体" w:cs="宋体"/>
                <w:color w:val="auto"/>
                <w:kern w:val="0"/>
                <w:sz w:val="20"/>
                <w:szCs w:val="20"/>
                <w:highlight w:val="none"/>
                <w:lang w:bidi="ar"/>
              </w:rPr>
              <w:br w:type="textWrapping"/>
            </w:r>
            <w:r>
              <w:rPr>
                <w:rFonts w:hint="eastAsia" w:ascii="宋体" w:hAnsi="宋体" w:eastAsia="宋体" w:cs="宋体"/>
                <w:color w:val="auto"/>
                <w:kern w:val="0"/>
                <w:sz w:val="20"/>
                <w:szCs w:val="20"/>
                <w:highlight w:val="none"/>
                <w:lang w:bidi="ar"/>
              </w:rPr>
              <w:t>(元)</w:t>
            </w:r>
          </w:p>
        </w:tc>
        <w:tc>
          <w:tcPr>
            <w:tcW w:w="626" w:type="pct"/>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备注</w:t>
            </w:r>
          </w:p>
        </w:tc>
      </w:tr>
      <w:tr>
        <w:tblPrEx>
          <w:tblCellMar>
            <w:top w:w="0" w:type="dxa"/>
            <w:left w:w="108" w:type="dxa"/>
            <w:bottom w:w="0" w:type="dxa"/>
            <w:right w:w="108" w:type="dxa"/>
          </w:tblCellMar>
        </w:tblPrEx>
        <w:trPr>
          <w:gridBefore w:val="2"/>
          <w:gridAfter w:val="1"/>
          <w:wBefore w:w="41" w:type="pct"/>
          <w:wAfter w:w="184" w:type="pct"/>
          <w:trHeight w:val="1590" w:hRule="atLeast"/>
        </w:trPr>
        <w:tc>
          <w:tcPr>
            <w:tcW w:w="23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7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LSSGCSF00001</w:t>
            </w:r>
          </w:p>
        </w:tc>
        <w:tc>
          <w:tcPr>
            <w:tcW w:w="66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绿色施工安全防护措施费</w:t>
            </w:r>
          </w:p>
        </w:tc>
        <w:tc>
          <w:tcPr>
            <w:tcW w:w="57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分部分项人工费+分部分项机具费</w:t>
            </w:r>
          </w:p>
        </w:tc>
        <w:tc>
          <w:tcPr>
            <w:tcW w:w="43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19</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33.97</w:t>
            </w:r>
          </w:p>
        </w:tc>
        <w:tc>
          <w:tcPr>
            <w:tcW w:w="55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4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62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2"/>
          <w:gridAfter w:val="1"/>
          <w:wBefore w:w="41" w:type="pct"/>
          <w:wAfter w:w="184" w:type="pct"/>
          <w:trHeight w:val="825" w:hRule="atLeast"/>
        </w:trPr>
        <w:tc>
          <w:tcPr>
            <w:tcW w:w="23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7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WMGDZJF00001</w:t>
            </w:r>
          </w:p>
        </w:tc>
        <w:tc>
          <w:tcPr>
            <w:tcW w:w="66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文明工地增加费</w:t>
            </w:r>
          </w:p>
        </w:tc>
        <w:tc>
          <w:tcPr>
            <w:tcW w:w="57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分部分项人工费</w:t>
            </w:r>
          </w:p>
        </w:tc>
        <w:tc>
          <w:tcPr>
            <w:tcW w:w="43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55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4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62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2"/>
          <w:gridAfter w:val="1"/>
          <w:wBefore w:w="41" w:type="pct"/>
          <w:wAfter w:w="184" w:type="pct"/>
          <w:trHeight w:val="917" w:hRule="atLeast"/>
        </w:trPr>
        <w:tc>
          <w:tcPr>
            <w:tcW w:w="23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7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011707002001</w:t>
            </w:r>
          </w:p>
        </w:tc>
        <w:tc>
          <w:tcPr>
            <w:tcW w:w="66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夜间施工增加费</w:t>
            </w:r>
          </w:p>
        </w:tc>
        <w:tc>
          <w:tcPr>
            <w:tcW w:w="57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43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55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4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62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2"/>
          <w:gridAfter w:val="1"/>
          <w:wBefore w:w="41" w:type="pct"/>
          <w:wAfter w:w="184" w:type="pct"/>
          <w:trHeight w:val="825" w:hRule="atLeast"/>
        </w:trPr>
        <w:tc>
          <w:tcPr>
            <w:tcW w:w="23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7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GGCSF0000001</w:t>
            </w:r>
          </w:p>
        </w:tc>
        <w:tc>
          <w:tcPr>
            <w:tcW w:w="66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赶工措施费</w:t>
            </w:r>
          </w:p>
        </w:tc>
        <w:tc>
          <w:tcPr>
            <w:tcW w:w="57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43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55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4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62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2"/>
          <w:gridAfter w:val="1"/>
          <w:wBefore w:w="41" w:type="pct"/>
          <w:wAfter w:w="184" w:type="pct"/>
          <w:trHeight w:val="1495" w:hRule="atLeast"/>
        </w:trPr>
        <w:tc>
          <w:tcPr>
            <w:tcW w:w="23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7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QTFY00000001</w:t>
            </w:r>
          </w:p>
        </w:tc>
        <w:tc>
          <w:tcPr>
            <w:tcW w:w="66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其他费用</w:t>
            </w:r>
          </w:p>
        </w:tc>
        <w:tc>
          <w:tcPr>
            <w:tcW w:w="57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431"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c>
          <w:tcPr>
            <w:tcW w:w="55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451"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c>
          <w:tcPr>
            <w:tcW w:w="626"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2"/>
          <w:gridAfter w:val="1"/>
          <w:wBefore w:w="41" w:type="pct"/>
          <w:wAfter w:w="184" w:type="pct"/>
          <w:trHeight w:val="360" w:hRule="atLeast"/>
        </w:trPr>
        <w:tc>
          <w:tcPr>
            <w:tcW w:w="2654" w:type="pct"/>
            <w:gridSpan w:val="23"/>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合    计</w:t>
            </w:r>
          </w:p>
        </w:tc>
        <w:tc>
          <w:tcPr>
            <w:tcW w:w="48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559" w:type="pct"/>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451"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626" w:type="pct"/>
            <w:gridSpan w:val="7"/>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2"/>
          <w:gridAfter w:val="1"/>
          <w:wBefore w:w="41" w:type="pct"/>
          <w:wAfter w:w="184" w:type="pct"/>
          <w:trHeight w:val="360" w:hRule="atLeast"/>
        </w:trPr>
        <w:tc>
          <w:tcPr>
            <w:tcW w:w="2442" w:type="pct"/>
            <w:gridSpan w:val="20"/>
            <w:tcBorders>
              <w:top w:val="nil"/>
              <w:left w:val="nil"/>
              <w:bottom w:val="nil"/>
              <w:right w:val="nil"/>
            </w:tcBorders>
            <w:shd w:val="clear" w:color="FFFFFF" w:fill="FFFFFF"/>
          </w:tcPr>
          <w:p>
            <w:pPr>
              <w:jc w:val="left"/>
              <w:rPr>
                <w:rFonts w:ascii="宋体" w:hAnsi="宋体" w:eastAsia="宋体" w:cs="宋体"/>
                <w:color w:val="auto"/>
                <w:sz w:val="18"/>
                <w:szCs w:val="18"/>
                <w:highlight w:val="none"/>
              </w:rPr>
            </w:pPr>
          </w:p>
        </w:tc>
        <w:tc>
          <w:tcPr>
            <w:tcW w:w="976" w:type="pct"/>
            <w:gridSpan w:val="8"/>
            <w:tcBorders>
              <w:top w:val="nil"/>
              <w:left w:val="nil"/>
              <w:bottom w:val="nil"/>
              <w:right w:val="nil"/>
            </w:tcBorders>
            <w:shd w:val="clear" w:color="FFFFFF" w:fill="FFFFFF"/>
          </w:tcPr>
          <w:p>
            <w:pPr>
              <w:jc w:val="right"/>
              <w:rPr>
                <w:rFonts w:ascii="宋体" w:hAnsi="宋体" w:eastAsia="宋体" w:cs="宋体"/>
                <w:color w:val="auto"/>
                <w:sz w:val="18"/>
                <w:szCs w:val="18"/>
                <w:highlight w:val="none"/>
              </w:rPr>
            </w:pPr>
          </w:p>
        </w:tc>
        <w:tc>
          <w:tcPr>
            <w:tcW w:w="1355" w:type="pct"/>
            <w:gridSpan w:val="16"/>
            <w:tcBorders>
              <w:top w:val="nil"/>
              <w:left w:val="nil"/>
              <w:bottom w:val="nil"/>
              <w:right w:val="nil"/>
            </w:tcBorders>
            <w:shd w:val="clear" w:color="FFFFFF" w:fill="FFFFFF"/>
          </w:tcPr>
          <w:p>
            <w:pPr>
              <w:widowControl/>
              <w:jc w:val="right"/>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表-1</w:t>
            </w:r>
            <w:r>
              <w:rPr>
                <w:rFonts w:hint="eastAsia" w:ascii="宋体" w:hAnsi="宋体" w:eastAsia="宋体" w:cs="宋体"/>
                <w:color w:val="auto"/>
                <w:kern w:val="0"/>
                <w:sz w:val="18"/>
                <w:szCs w:val="18"/>
                <w:highlight w:val="none"/>
                <w:lang w:val="en-US" w:eastAsia="zh-CN" w:bidi="ar"/>
              </w:rPr>
              <w:t>3-2</w:t>
            </w:r>
          </w:p>
        </w:tc>
      </w:tr>
      <w:tr>
        <w:tblPrEx>
          <w:tblCellMar>
            <w:top w:w="0" w:type="dxa"/>
            <w:left w:w="108" w:type="dxa"/>
            <w:bottom w:w="0" w:type="dxa"/>
            <w:right w:w="108" w:type="dxa"/>
          </w:tblCellMar>
        </w:tblPrEx>
        <w:trPr>
          <w:gridBefore w:val="3"/>
          <w:gridAfter w:val="2"/>
          <w:wBefore w:w="43" w:type="pct"/>
          <w:wAfter w:w="223" w:type="pct"/>
          <w:trHeight w:val="966" w:hRule="atLeast"/>
        </w:trPr>
        <w:tc>
          <w:tcPr>
            <w:tcW w:w="4733" w:type="pct"/>
            <w:gridSpan w:val="42"/>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其他项目清单与计价汇总表</w:t>
            </w:r>
          </w:p>
        </w:tc>
      </w:tr>
      <w:tr>
        <w:tblPrEx>
          <w:tblCellMar>
            <w:top w:w="0" w:type="dxa"/>
            <w:left w:w="108" w:type="dxa"/>
            <w:bottom w:w="0" w:type="dxa"/>
            <w:right w:w="108" w:type="dxa"/>
          </w:tblCellMar>
        </w:tblPrEx>
        <w:trPr>
          <w:gridBefore w:val="3"/>
          <w:gridAfter w:val="2"/>
          <w:wBefore w:w="43" w:type="pct"/>
          <w:wAfter w:w="223" w:type="pct"/>
          <w:trHeight w:val="691" w:hRule="atLeast"/>
        </w:trPr>
        <w:tc>
          <w:tcPr>
            <w:tcW w:w="1582" w:type="pct"/>
            <w:gridSpan w:val="12"/>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w:t>
            </w:r>
            <w:r>
              <w:rPr>
                <w:rFonts w:hint="eastAsia" w:ascii="宋体" w:hAnsi="宋体" w:eastAsia="宋体" w:cs="宋体"/>
                <w:color w:val="auto"/>
                <w:kern w:val="0"/>
                <w:sz w:val="20"/>
                <w:szCs w:val="20"/>
                <w:highlight w:val="none"/>
                <w:lang w:val="en-US" w:eastAsia="zh-CN" w:bidi="ar"/>
              </w:rPr>
              <w:t>建筑</w:t>
            </w:r>
            <w:r>
              <w:rPr>
                <w:rFonts w:hint="eastAsia" w:ascii="宋体" w:hAnsi="宋体" w:eastAsia="宋体" w:cs="宋体"/>
                <w:color w:val="auto"/>
                <w:kern w:val="0"/>
                <w:sz w:val="20"/>
                <w:szCs w:val="20"/>
                <w:highlight w:val="none"/>
                <w:lang w:bidi="ar"/>
              </w:rPr>
              <w:t>工程</w:t>
            </w:r>
          </w:p>
        </w:tc>
        <w:tc>
          <w:tcPr>
            <w:tcW w:w="1721" w:type="pct"/>
            <w:gridSpan w:val="14"/>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1430" w:type="pct"/>
            <w:gridSpan w:val="16"/>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1 页</w:t>
            </w:r>
          </w:p>
        </w:tc>
      </w:tr>
      <w:tr>
        <w:tblPrEx>
          <w:tblCellMar>
            <w:top w:w="0" w:type="dxa"/>
            <w:left w:w="108" w:type="dxa"/>
            <w:bottom w:w="0" w:type="dxa"/>
            <w:right w:w="108" w:type="dxa"/>
          </w:tblCellMar>
        </w:tblPrEx>
        <w:trPr>
          <w:gridBefore w:val="3"/>
          <w:gridAfter w:val="2"/>
          <w:wBefore w:w="43" w:type="pct"/>
          <w:wAfter w:w="223" w:type="pct"/>
          <w:trHeight w:val="524" w:hRule="atLeast"/>
        </w:trPr>
        <w:tc>
          <w:tcPr>
            <w:tcW w:w="432"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1149"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项目名称</w:t>
            </w:r>
          </w:p>
        </w:tc>
        <w:tc>
          <w:tcPr>
            <w:tcW w:w="862"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金额（元）</w:t>
            </w:r>
          </w:p>
        </w:tc>
        <w:tc>
          <w:tcPr>
            <w:tcW w:w="85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结算金额（元）</w:t>
            </w:r>
          </w:p>
        </w:tc>
        <w:tc>
          <w:tcPr>
            <w:tcW w:w="1430" w:type="pct"/>
            <w:gridSpan w:val="16"/>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备注</w:t>
            </w: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暂列金额</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177.47</w:t>
            </w: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暂估价</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2.1</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材料暂估价</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w:t>
            </w: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2.2</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专业工程暂估价</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3</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计日工</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4</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总承包服务费</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5</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预算包干费</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6</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工程优质费</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7</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概算幅度差</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8</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现场签证费用</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9</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索赔费用</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10</w:t>
            </w: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其他费用</w:t>
            </w: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432"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auto"/>
                <w:sz w:val="20"/>
                <w:szCs w:val="20"/>
                <w:highlight w:val="none"/>
              </w:rPr>
            </w:pPr>
          </w:p>
        </w:tc>
        <w:tc>
          <w:tcPr>
            <w:tcW w:w="114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auto"/>
                <w:sz w:val="20"/>
                <w:szCs w:val="20"/>
                <w:highlight w:val="none"/>
              </w:rPr>
            </w:pPr>
          </w:p>
        </w:tc>
        <w:tc>
          <w:tcPr>
            <w:tcW w:w="862"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3"/>
          <w:gridAfter w:val="2"/>
          <w:wBefore w:w="43" w:type="pct"/>
          <w:wAfter w:w="223" w:type="pct"/>
          <w:trHeight w:val="470" w:hRule="atLeast"/>
        </w:trPr>
        <w:tc>
          <w:tcPr>
            <w:tcW w:w="1582" w:type="pct"/>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合    计</w:t>
            </w:r>
          </w:p>
        </w:tc>
        <w:tc>
          <w:tcPr>
            <w:tcW w:w="862" w:type="pct"/>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858"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ascii="宋体" w:hAnsi="宋体" w:eastAsia="宋体" w:cs="宋体"/>
                <w:color w:val="auto"/>
                <w:sz w:val="20"/>
                <w:szCs w:val="20"/>
                <w:highlight w:val="none"/>
              </w:rPr>
            </w:pPr>
          </w:p>
        </w:tc>
        <w:tc>
          <w:tcPr>
            <w:tcW w:w="1430" w:type="pct"/>
            <w:gridSpan w:val="16"/>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w:t>
            </w:r>
          </w:p>
        </w:tc>
      </w:tr>
      <w:tr>
        <w:tblPrEx>
          <w:tblCellMar>
            <w:top w:w="0" w:type="dxa"/>
            <w:left w:w="108" w:type="dxa"/>
            <w:bottom w:w="0" w:type="dxa"/>
            <w:right w:w="108" w:type="dxa"/>
          </w:tblCellMar>
        </w:tblPrEx>
        <w:trPr>
          <w:gridBefore w:val="3"/>
          <w:gridAfter w:val="2"/>
          <w:wBefore w:w="43" w:type="pct"/>
          <w:wAfter w:w="223" w:type="pct"/>
          <w:trHeight w:val="506" w:hRule="atLeast"/>
        </w:trPr>
        <w:tc>
          <w:tcPr>
            <w:tcW w:w="4733" w:type="pct"/>
            <w:gridSpan w:val="42"/>
            <w:tcBorders>
              <w:top w:val="nil"/>
              <w:left w:val="nil"/>
              <w:bottom w:val="nil"/>
              <w:right w:val="nil"/>
            </w:tcBorders>
            <w:shd w:val="clear" w:color="FFFFFF" w:fill="FFFFFF"/>
          </w:tcPr>
          <w:p>
            <w:pPr>
              <w:widowControl/>
              <w:jc w:val="left"/>
              <w:textAlignment w:val="top"/>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注：材料（工程设备）暂估单价进入清单项目综合单价，此处不汇总。</w:t>
            </w:r>
          </w:p>
        </w:tc>
      </w:tr>
      <w:tr>
        <w:tblPrEx>
          <w:tblCellMar>
            <w:top w:w="0" w:type="dxa"/>
            <w:left w:w="108" w:type="dxa"/>
            <w:bottom w:w="0" w:type="dxa"/>
            <w:right w:w="108" w:type="dxa"/>
          </w:tblCellMar>
        </w:tblPrEx>
        <w:trPr>
          <w:gridBefore w:val="3"/>
          <w:gridAfter w:val="2"/>
          <w:wBefore w:w="43" w:type="pct"/>
          <w:wAfter w:w="223" w:type="pct"/>
          <w:trHeight w:val="436" w:hRule="atLeast"/>
        </w:trPr>
        <w:tc>
          <w:tcPr>
            <w:tcW w:w="1582" w:type="pct"/>
            <w:gridSpan w:val="12"/>
            <w:tcBorders>
              <w:top w:val="nil"/>
              <w:left w:val="nil"/>
              <w:bottom w:val="nil"/>
              <w:right w:val="nil"/>
            </w:tcBorders>
            <w:shd w:val="clear" w:color="FFFFFF" w:fill="FFFFFF"/>
          </w:tcPr>
          <w:p>
            <w:pPr>
              <w:jc w:val="left"/>
              <w:rPr>
                <w:rFonts w:ascii="宋体" w:hAnsi="宋体" w:eastAsia="宋体" w:cs="宋体"/>
                <w:color w:val="auto"/>
                <w:sz w:val="18"/>
                <w:szCs w:val="18"/>
                <w:highlight w:val="none"/>
              </w:rPr>
            </w:pPr>
          </w:p>
        </w:tc>
        <w:tc>
          <w:tcPr>
            <w:tcW w:w="1721" w:type="pct"/>
            <w:gridSpan w:val="14"/>
            <w:tcBorders>
              <w:top w:val="nil"/>
              <w:left w:val="nil"/>
              <w:bottom w:val="nil"/>
              <w:right w:val="nil"/>
            </w:tcBorders>
            <w:shd w:val="clear" w:color="FFFFFF" w:fill="FFFFFF"/>
          </w:tcPr>
          <w:p>
            <w:pPr>
              <w:jc w:val="left"/>
              <w:rPr>
                <w:rFonts w:ascii="宋体" w:hAnsi="宋体" w:eastAsia="宋体" w:cs="宋体"/>
                <w:color w:val="auto"/>
                <w:sz w:val="18"/>
                <w:szCs w:val="18"/>
                <w:highlight w:val="none"/>
              </w:rPr>
            </w:pPr>
          </w:p>
        </w:tc>
        <w:tc>
          <w:tcPr>
            <w:tcW w:w="1430" w:type="pct"/>
            <w:gridSpan w:val="16"/>
            <w:tcBorders>
              <w:top w:val="nil"/>
              <w:left w:val="nil"/>
              <w:bottom w:val="nil"/>
              <w:right w:val="nil"/>
            </w:tcBorders>
            <w:shd w:val="clear" w:color="FFFFFF" w:fill="FFFFFF"/>
          </w:tcPr>
          <w:p>
            <w:pPr>
              <w:widowControl/>
              <w:jc w:val="right"/>
              <w:textAlignment w:val="top"/>
              <w:rPr>
                <w:rFonts w:hint="eastAsia" w:ascii="宋体" w:hAnsi="宋体" w:eastAsia="宋体" w:cs="宋体"/>
                <w:color w:val="auto"/>
                <w:sz w:val="18"/>
                <w:szCs w:val="18"/>
                <w:highlight w:val="none"/>
                <w:lang w:val="en-US" w:eastAsia="zh-CN"/>
              </w:rPr>
            </w:pPr>
            <w:r>
              <w:rPr>
                <w:rFonts w:hint="eastAsia" w:ascii="宋体" w:hAnsi="宋体" w:eastAsia="宋体" w:cs="宋体"/>
                <w:color w:val="auto"/>
                <w:kern w:val="0"/>
                <w:sz w:val="18"/>
                <w:szCs w:val="18"/>
                <w:highlight w:val="none"/>
                <w:lang w:bidi="ar"/>
              </w:rPr>
              <w:t>表—1</w:t>
            </w:r>
            <w:r>
              <w:rPr>
                <w:rFonts w:hint="eastAsia" w:ascii="宋体" w:hAnsi="宋体" w:eastAsia="宋体" w:cs="宋体"/>
                <w:color w:val="auto"/>
                <w:kern w:val="0"/>
                <w:sz w:val="18"/>
                <w:szCs w:val="18"/>
                <w:highlight w:val="none"/>
                <w:lang w:val="en-US" w:eastAsia="zh-CN" w:bidi="ar"/>
              </w:rPr>
              <w:t>4</w:t>
            </w:r>
          </w:p>
        </w:tc>
      </w:tr>
      <w:tr>
        <w:tblPrEx>
          <w:tblCellMar>
            <w:top w:w="0" w:type="dxa"/>
            <w:left w:w="108" w:type="dxa"/>
            <w:bottom w:w="0" w:type="dxa"/>
            <w:right w:w="108" w:type="dxa"/>
          </w:tblCellMar>
        </w:tblPrEx>
        <w:trPr>
          <w:gridBefore w:val="4"/>
          <w:gridAfter w:val="3"/>
          <w:wBefore w:w="45" w:type="pct"/>
          <w:wAfter w:w="345" w:type="pct"/>
          <w:trHeight w:val="795" w:hRule="atLeast"/>
        </w:trPr>
        <w:tc>
          <w:tcPr>
            <w:tcW w:w="4608" w:type="pct"/>
            <w:gridSpan w:val="40"/>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auto"/>
                <w:sz w:val="40"/>
                <w:szCs w:val="40"/>
                <w:highlight w:val="none"/>
              </w:rPr>
            </w:pPr>
            <w:r>
              <w:rPr>
                <w:rFonts w:hint="eastAsia" w:ascii="宋体" w:hAnsi="宋体" w:eastAsia="宋体" w:cs="宋体"/>
                <w:b/>
                <w:bCs/>
                <w:color w:val="auto"/>
                <w:kern w:val="0"/>
                <w:sz w:val="40"/>
                <w:szCs w:val="40"/>
                <w:highlight w:val="none"/>
                <w:lang w:bidi="ar"/>
              </w:rPr>
              <w:t>暂列金额明细表</w:t>
            </w:r>
          </w:p>
        </w:tc>
      </w:tr>
      <w:tr>
        <w:tblPrEx>
          <w:tblCellMar>
            <w:top w:w="0" w:type="dxa"/>
            <w:left w:w="108" w:type="dxa"/>
            <w:bottom w:w="0" w:type="dxa"/>
            <w:right w:w="108" w:type="dxa"/>
          </w:tblCellMar>
        </w:tblPrEx>
        <w:trPr>
          <w:gridBefore w:val="4"/>
          <w:gridAfter w:val="3"/>
          <w:wBefore w:w="45" w:type="pct"/>
          <w:wAfter w:w="345" w:type="pct"/>
          <w:trHeight w:val="570" w:hRule="atLeast"/>
        </w:trPr>
        <w:tc>
          <w:tcPr>
            <w:tcW w:w="1545" w:type="pct"/>
            <w:gridSpan w:val="10"/>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工程名称：</w:t>
            </w:r>
            <w:r>
              <w:rPr>
                <w:rFonts w:hint="eastAsia" w:ascii="宋体" w:hAnsi="宋体" w:eastAsia="宋体" w:cs="宋体"/>
                <w:color w:val="auto"/>
                <w:kern w:val="0"/>
                <w:sz w:val="20"/>
                <w:szCs w:val="20"/>
                <w:highlight w:val="none"/>
                <w:lang w:val="en-US" w:eastAsia="zh-CN" w:bidi="ar"/>
              </w:rPr>
              <w:t>建筑</w:t>
            </w:r>
            <w:r>
              <w:rPr>
                <w:rFonts w:hint="eastAsia" w:ascii="宋体" w:hAnsi="宋体" w:eastAsia="宋体" w:cs="宋体"/>
                <w:color w:val="auto"/>
                <w:kern w:val="0"/>
                <w:sz w:val="20"/>
                <w:szCs w:val="20"/>
                <w:highlight w:val="none"/>
                <w:lang w:bidi="ar"/>
              </w:rPr>
              <w:t>工程</w:t>
            </w:r>
          </w:p>
        </w:tc>
        <w:tc>
          <w:tcPr>
            <w:tcW w:w="2020" w:type="pct"/>
            <w:gridSpan w:val="19"/>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标段：</w:t>
            </w:r>
          </w:p>
        </w:tc>
        <w:tc>
          <w:tcPr>
            <w:tcW w:w="1041" w:type="pct"/>
            <w:gridSpan w:val="11"/>
            <w:tcBorders>
              <w:top w:val="nil"/>
              <w:left w:val="nil"/>
              <w:bottom w:val="nil"/>
              <w:right w:val="nil"/>
            </w:tcBorders>
            <w:shd w:val="clear" w:color="FFFFFF" w:fill="FFFFFF"/>
            <w:vAlign w:val="bottom"/>
          </w:tcPr>
          <w:p>
            <w:pPr>
              <w:widowControl/>
              <w:jc w:val="right"/>
              <w:textAlignment w:val="bottom"/>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第 1 页  共 1 页</w:t>
            </w:r>
          </w:p>
        </w:tc>
      </w:tr>
      <w:tr>
        <w:tblPrEx>
          <w:tblCellMar>
            <w:top w:w="0" w:type="dxa"/>
            <w:left w:w="108" w:type="dxa"/>
            <w:bottom w:w="0" w:type="dxa"/>
            <w:right w:w="108" w:type="dxa"/>
          </w:tblCellMar>
        </w:tblPrEx>
        <w:trPr>
          <w:gridBefore w:val="4"/>
          <w:gridAfter w:val="3"/>
          <w:wBefore w:w="45" w:type="pct"/>
          <w:wAfter w:w="345" w:type="pct"/>
          <w:trHeight w:val="375" w:hRule="atLeast"/>
        </w:trPr>
        <w:tc>
          <w:tcPr>
            <w:tcW w:w="582"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序号</w:t>
            </w:r>
          </w:p>
        </w:tc>
        <w:tc>
          <w:tcPr>
            <w:tcW w:w="963"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名称</w:t>
            </w:r>
          </w:p>
        </w:tc>
        <w:tc>
          <w:tcPr>
            <w:tcW w:w="77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计量单位</w:t>
            </w:r>
          </w:p>
        </w:tc>
        <w:tc>
          <w:tcPr>
            <w:tcW w:w="1240"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暂定金额（元）</w:t>
            </w:r>
          </w:p>
        </w:tc>
        <w:tc>
          <w:tcPr>
            <w:tcW w:w="1041" w:type="pct"/>
            <w:gridSpan w:val="11"/>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备注</w:t>
            </w:r>
          </w:p>
        </w:tc>
      </w:tr>
      <w:tr>
        <w:tblPrEx>
          <w:tblCellMar>
            <w:top w:w="0" w:type="dxa"/>
            <w:left w:w="108" w:type="dxa"/>
            <w:bottom w:w="0" w:type="dxa"/>
            <w:right w:w="108" w:type="dxa"/>
          </w:tblCellMar>
        </w:tblPrEx>
        <w:trPr>
          <w:gridBefore w:val="4"/>
          <w:gridAfter w:val="3"/>
          <w:wBefore w:w="45" w:type="pct"/>
          <w:wAfter w:w="345" w:type="pct"/>
          <w:trHeight w:val="360" w:hRule="atLeast"/>
        </w:trPr>
        <w:tc>
          <w:tcPr>
            <w:tcW w:w="582"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p>
        </w:tc>
        <w:tc>
          <w:tcPr>
            <w:tcW w:w="96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暂列金额</w:t>
            </w:r>
          </w:p>
        </w:tc>
        <w:tc>
          <w:tcPr>
            <w:tcW w:w="779"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元</w:t>
            </w:r>
          </w:p>
        </w:tc>
        <w:tc>
          <w:tcPr>
            <w:tcW w:w="1240"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177.47</w:t>
            </w:r>
          </w:p>
        </w:tc>
        <w:tc>
          <w:tcPr>
            <w:tcW w:w="1041"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auto"/>
                <w:sz w:val="20"/>
                <w:szCs w:val="20"/>
                <w:highlight w:val="none"/>
              </w:rPr>
            </w:pPr>
          </w:p>
        </w:tc>
      </w:tr>
      <w:tr>
        <w:tblPrEx>
          <w:tblCellMar>
            <w:top w:w="0" w:type="dxa"/>
            <w:left w:w="108" w:type="dxa"/>
            <w:bottom w:w="0" w:type="dxa"/>
            <w:right w:w="108" w:type="dxa"/>
          </w:tblCellMar>
        </w:tblPrEx>
        <w:trPr>
          <w:gridBefore w:val="4"/>
          <w:gridAfter w:val="3"/>
          <w:wBefore w:w="45" w:type="pct"/>
          <w:wAfter w:w="345" w:type="pct"/>
          <w:trHeight w:val="424" w:hRule="atLeast"/>
        </w:trPr>
        <w:tc>
          <w:tcPr>
            <w:tcW w:w="2325" w:type="pct"/>
            <w:gridSpan w:val="1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合    计</w:t>
            </w:r>
          </w:p>
        </w:tc>
        <w:tc>
          <w:tcPr>
            <w:tcW w:w="1240" w:type="pct"/>
            <w:gridSpan w:val="12"/>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textAlignment w:val="center"/>
              <w:rPr>
                <w:rFonts w:hint="default" w:ascii="宋体" w:hAnsi="宋体" w:eastAsia="宋体" w:cs="宋体"/>
                <w:color w:val="auto"/>
                <w:sz w:val="20"/>
                <w:szCs w:val="20"/>
                <w:highlight w:val="none"/>
                <w:lang w:val="en-US"/>
              </w:rPr>
            </w:pPr>
            <w:r>
              <w:rPr>
                <w:rFonts w:hint="eastAsia" w:ascii="宋体" w:hAnsi="宋体" w:eastAsia="宋体" w:cs="宋体"/>
                <w:color w:val="auto"/>
                <w:sz w:val="20"/>
                <w:szCs w:val="20"/>
                <w:highlight w:val="none"/>
                <w:lang w:val="en-US" w:eastAsia="zh-CN"/>
              </w:rPr>
              <w:t>177.47</w:t>
            </w:r>
          </w:p>
        </w:tc>
        <w:tc>
          <w:tcPr>
            <w:tcW w:w="1041" w:type="pct"/>
            <w:gridSpan w:val="11"/>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w:t>
            </w:r>
          </w:p>
        </w:tc>
      </w:tr>
      <w:tr>
        <w:tblPrEx>
          <w:tblCellMar>
            <w:top w:w="0" w:type="dxa"/>
            <w:left w:w="108" w:type="dxa"/>
            <w:bottom w:w="0" w:type="dxa"/>
            <w:right w:w="108" w:type="dxa"/>
          </w:tblCellMar>
        </w:tblPrEx>
        <w:trPr>
          <w:gridBefore w:val="4"/>
          <w:gridAfter w:val="3"/>
          <w:wBefore w:w="45" w:type="pct"/>
          <w:wAfter w:w="345" w:type="pct"/>
          <w:trHeight w:val="360" w:hRule="atLeast"/>
        </w:trPr>
        <w:tc>
          <w:tcPr>
            <w:tcW w:w="4608" w:type="pct"/>
            <w:gridSpan w:val="40"/>
            <w:tcBorders>
              <w:top w:val="nil"/>
              <w:left w:val="nil"/>
              <w:bottom w:val="nil"/>
              <w:right w:val="nil"/>
            </w:tcBorders>
            <w:shd w:val="clear" w:color="FFFFFF" w:fill="FFFFFF"/>
            <w:vAlign w:val="bottom"/>
          </w:tcPr>
          <w:p>
            <w:pPr>
              <w:widowControl/>
              <w:jc w:val="left"/>
              <w:textAlignment w:val="bottom"/>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注：此表由招标人填写，如不能详列，也可只列暂列金额总额，投标人应将上述暂列金额计入投标总价中。</w:t>
            </w:r>
          </w:p>
        </w:tc>
      </w:tr>
      <w:tr>
        <w:tblPrEx>
          <w:tblCellMar>
            <w:top w:w="0" w:type="dxa"/>
            <w:left w:w="108" w:type="dxa"/>
            <w:bottom w:w="0" w:type="dxa"/>
            <w:right w:w="108" w:type="dxa"/>
          </w:tblCellMar>
        </w:tblPrEx>
        <w:trPr>
          <w:gridBefore w:val="4"/>
          <w:gridAfter w:val="3"/>
          <w:wBefore w:w="45" w:type="pct"/>
          <w:wAfter w:w="345" w:type="pct"/>
          <w:trHeight w:val="360" w:hRule="atLeast"/>
        </w:trPr>
        <w:tc>
          <w:tcPr>
            <w:tcW w:w="1545" w:type="pct"/>
            <w:gridSpan w:val="10"/>
            <w:tcBorders>
              <w:top w:val="nil"/>
              <w:left w:val="nil"/>
              <w:bottom w:val="nil"/>
              <w:right w:val="nil"/>
            </w:tcBorders>
            <w:shd w:val="clear" w:color="FFFFFF" w:fill="FFFFFF"/>
            <w:vAlign w:val="bottom"/>
          </w:tcPr>
          <w:p>
            <w:pPr>
              <w:jc w:val="left"/>
              <w:rPr>
                <w:rFonts w:ascii="宋体" w:hAnsi="宋体" w:eastAsia="宋体" w:cs="宋体"/>
                <w:color w:val="auto"/>
                <w:sz w:val="18"/>
                <w:szCs w:val="18"/>
                <w:highlight w:val="none"/>
              </w:rPr>
            </w:pPr>
          </w:p>
        </w:tc>
        <w:tc>
          <w:tcPr>
            <w:tcW w:w="2020" w:type="pct"/>
            <w:gridSpan w:val="19"/>
            <w:tcBorders>
              <w:top w:val="nil"/>
              <w:left w:val="nil"/>
              <w:bottom w:val="nil"/>
              <w:right w:val="nil"/>
            </w:tcBorders>
            <w:shd w:val="clear" w:color="FFFFFF" w:fill="FFFFFF"/>
            <w:vAlign w:val="bottom"/>
          </w:tcPr>
          <w:p>
            <w:pPr>
              <w:jc w:val="left"/>
              <w:rPr>
                <w:rFonts w:ascii="宋体" w:hAnsi="宋体" w:eastAsia="宋体" w:cs="宋体"/>
                <w:color w:val="auto"/>
                <w:sz w:val="18"/>
                <w:szCs w:val="18"/>
                <w:highlight w:val="none"/>
              </w:rPr>
            </w:pPr>
          </w:p>
        </w:tc>
        <w:tc>
          <w:tcPr>
            <w:tcW w:w="1041" w:type="pct"/>
            <w:gridSpan w:val="11"/>
            <w:tcBorders>
              <w:top w:val="nil"/>
              <w:left w:val="nil"/>
              <w:bottom w:val="nil"/>
              <w:right w:val="nil"/>
            </w:tcBorders>
            <w:shd w:val="clear" w:color="FFFFFF" w:fill="FFFFFF"/>
            <w:vAlign w:val="center"/>
          </w:tcPr>
          <w:p>
            <w:pPr>
              <w:widowControl/>
              <w:jc w:val="right"/>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表—1</w:t>
            </w:r>
            <w:r>
              <w:rPr>
                <w:rFonts w:hint="eastAsia" w:ascii="宋体" w:hAnsi="宋体" w:eastAsia="宋体" w:cs="宋体"/>
                <w:color w:val="auto"/>
                <w:kern w:val="0"/>
                <w:sz w:val="18"/>
                <w:szCs w:val="18"/>
                <w:highlight w:val="none"/>
                <w:lang w:val="en-US" w:eastAsia="zh-CN" w:bidi="ar"/>
              </w:rPr>
              <w:t>4</w:t>
            </w:r>
            <w:r>
              <w:rPr>
                <w:rFonts w:hint="eastAsia" w:ascii="宋体" w:hAnsi="宋体" w:eastAsia="宋体" w:cs="宋体"/>
                <w:color w:val="auto"/>
                <w:kern w:val="0"/>
                <w:sz w:val="18"/>
                <w:szCs w:val="18"/>
                <w:highlight w:val="none"/>
                <w:lang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5000" w:type="pct"/>
            <w:gridSpan w:val="4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3184" w:type="pct"/>
            <w:gridSpan w:val="2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工程名称：建筑工程</w:t>
            </w:r>
          </w:p>
        </w:tc>
        <w:tc>
          <w:tcPr>
            <w:tcW w:w="964" w:type="pct"/>
            <w:gridSpan w:val="11"/>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850"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483" w:type="pct"/>
            <w:gridSpan w:val="8"/>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281"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521"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852" w:type="pct"/>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382"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478"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483" w:type="pct"/>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8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521"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852" w:type="pct"/>
            <w:gridSpan w:val="9"/>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478"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4521" w:type="pct"/>
            <w:gridSpan w:val="41"/>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478" w:type="pct"/>
            <w:gridSpan w:val="6"/>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11"/>
        <w:rPr>
          <w:color w:val="auto"/>
          <w:highlight w:val="none"/>
        </w:rPr>
      </w:pPr>
    </w:p>
    <w:p>
      <w:pPr>
        <w:pStyle w:val="11"/>
        <w:rPr>
          <w:color w:val="auto"/>
          <w:highlight w:val="none"/>
        </w:rPr>
      </w:pPr>
    </w:p>
    <w:p>
      <w:pPr>
        <w:adjustRightInd w:val="0"/>
        <w:snapToGrid w:val="0"/>
        <w:spacing w:line="300" w:lineRule="auto"/>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单位代表（签名或盖私章）：</w:t>
      </w:r>
      <w:r>
        <w:rPr>
          <w:rFonts w:hint="eastAsia" w:ascii="仿宋" w:hAnsi="仿宋" w:eastAsia="仿宋" w:cs="仿宋_GB2312"/>
          <w:color w:val="auto"/>
          <w:sz w:val="28"/>
          <w:szCs w:val="28"/>
          <w:highlight w:val="none"/>
          <w:u w:val="single"/>
        </w:rPr>
        <w:t xml:space="preserve">                   </w:t>
      </w:r>
    </w:p>
    <w:p>
      <w:pPr>
        <w:adjustRightInd w:val="0"/>
        <w:snapToGrid w:val="0"/>
        <w:spacing w:line="300" w:lineRule="auto"/>
        <w:rPr>
          <w:rFonts w:ascii="仿宋" w:hAnsi="仿宋" w:eastAsia="仿宋" w:cs="仿宋_GB2312"/>
          <w:color w:val="auto"/>
          <w:sz w:val="28"/>
          <w:szCs w:val="28"/>
          <w:highlight w:val="none"/>
          <w:u w:val="single"/>
        </w:rPr>
      </w:pPr>
      <w:r>
        <w:rPr>
          <w:rFonts w:hint="eastAsia" w:ascii="仿宋" w:hAnsi="仿宋" w:eastAsia="仿宋" w:cs="仿宋_GB2312"/>
          <w:color w:val="auto"/>
          <w:sz w:val="28"/>
          <w:szCs w:val="28"/>
          <w:highlight w:val="none"/>
        </w:rPr>
        <w:t>报价单位名称（盖单位公章）：</w:t>
      </w:r>
      <w:r>
        <w:rPr>
          <w:rFonts w:hint="eastAsia" w:ascii="仿宋" w:hAnsi="仿宋" w:eastAsia="仿宋" w:cs="仿宋_GB2312"/>
          <w:color w:val="auto"/>
          <w:sz w:val="28"/>
          <w:szCs w:val="28"/>
          <w:highlight w:val="none"/>
          <w:u w:val="single"/>
        </w:rPr>
        <w:t xml:space="preserve">                        </w:t>
      </w:r>
    </w:p>
    <w:p>
      <w:pPr>
        <w:pStyle w:val="11"/>
        <w:rPr>
          <w:rFonts w:ascii="仿宋" w:hAnsi="仿宋" w:eastAsia="仿宋" w:cs="仿宋_GB2312"/>
          <w:color w:val="auto"/>
          <w:szCs w:val="28"/>
          <w:highlight w:val="none"/>
        </w:rPr>
      </w:pPr>
      <w:r>
        <w:rPr>
          <w:rFonts w:hint="eastAsia" w:ascii="仿宋" w:hAnsi="仿宋" w:eastAsia="仿宋" w:cs="仿宋_GB2312"/>
          <w:color w:val="auto"/>
          <w:szCs w:val="28"/>
          <w:highlight w:val="none"/>
        </w:rPr>
        <w:t>日期：          年      月     日</w:t>
      </w:r>
    </w:p>
    <w:p>
      <w:pPr>
        <w:pStyle w:val="2"/>
        <w:rPr>
          <w:rFonts w:ascii="仿宋" w:hAnsi="仿宋" w:eastAsia="仿宋" w:cs="仿宋"/>
          <w:b/>
          <w:bCs/>
          <w:color w:val="auto"/>
          <w:sz w:val="28"/>
          <w:szCs w:val="36"/>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pStyle w:val="2"/>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38" w:name="_Toc16386"/>
      <w:bookmarkStart w:id="139" w:name="_Toc87616402"/>
      <w:bookmarkStart w:id="140" w:name="_Toc6058"/>
      <w:bookmarkStart w:id="141" w:name="_Toc88209965"/>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8"/>
      <w:bookmarkEnd w:id="139"/>
      <w:bookmarkEnd w:id="140"/>
      <w:bookmarkEnd w:id="141"/>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headerReference r:id="rId8" w:type="first"/>
      <w:footerReference r:id="rId11" w:type="first"/>
      <w:footerReference r:id="rId9" w:type="default"/>
      <w:footerReference r:id="rId10" w:type="even"/>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EzJD8IBAACO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hMyQ/CAQAAjgMAAA4AAAAAAAAAAQAgAAAAHgEAAGRycy9lMm9Eb2MueG1sUEsF&#10;BgAAAAAGAAYAWQEAAFI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8K/p8MBAACO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V1eU+K4xYmff/44//pz/v2d&#10;vM369AFqTLsPmJiGd37ArZn9gM5Me1DR5i8SIhhHdU8XdeWQiMiPVsvVqsKQwNh8QXz28DxESO+l&#10;tyQbDY04vqIqP36ENKbOKbma83famDJC4/5xIGb2sNz72GO20rAbJkI7356QT4+Tb6jDRafEfHAo&#10;bF6S2YizsZuMXAPC7SFh4dJPRh2hpmI4psJoWqm8B4/vJevhN9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3wr+nwwEAAI4DAAAOAAAAAAAAAAEAIAAAAB4BAABkcnMvZTJvRG9jLnhtbFBL&#10;BQYAAAAABgAGAFkBAABTBQ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m6nC8MBAACO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OVbShy3OPHzzx/nX3/Ov7+T&#10;1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ubqcLwwEAAI4DAAAOAAAAAAAAAAEAIAAAAB4BAABkcnMvZTJvRG9jLnhtbFBL&#10;BQYAAAAABgAGAFkBAABT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QHJ2c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Arn7rjFiV9+/rj8+nP5/Z0s&#10;sz59gBrT7gMmpuGdH3BrZj+gM9MeVLT5i4QIxlHd81VdOSQi8qP1ar2uMCQwNl8Qnz08DxHSe+kt&#10;yUZDI46vqMpPHyGNqXNKrub8nTamjNC4fxyImT0s9z72mK007IeJ0N63Z+TT4+Qb6nDRKTEfHAqb&#10;l2Q24mzsJyPXgHB7TFi49JNRR6ipGI6pMJpWKu/B43vJeviNt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EBydnCAQAAjgMAAA4AAAAAAAAAAQAgAAAAHgEAAGRycy9lMm9Eb2MueG1sUEsF&#10;BgAAAAAGAAYAWQEAAFI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2h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8TaG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h0n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WOI+tCVLcr1INweEzZRessVRtipMI6ssJvWK+/E43vJevi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xYdJzIAQAAm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2B05F"/>
    <w:multiLevelType w:val="singleLevel"/>
    <w:tmpl w:val="B302B05F"/>
    <w:lvl w:ilvl="0" w:tentative="0">
      <w:start w:val="1"/>
      <w:numFmt w:val="decimal"/>
      <w:suff w:val="nothing"/>
      <w:lvlText w:val="（%1）"/>
      <w:lvlJc w:val="left"/>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D55B3A6D"/>
    <w:multiLevelType w:val="singleLevel"/>
    <w:tmpl w:val="D55B3A6D"/>
    <w:lvl w:ilvl="0" w:tentative="0">
      <w:start w:val="3"/>
      <w:numFmt w:val="decimal"/>
      <w:suff w:val="nothing"/>
      <w:lvlText w:val="%1、"/>
      <w:lvlJc w:val="left"/>
    </w:lvl>
  </w:abstractNum>
  <w:abstractNum w:abstractNumId="3">
    <w:nsid w:val="EEF36D1F"/>
    <w:multiLevelType w:val="singleLevel"/>
    <w:tmpl w:val="EEF36D1F"/>
    <w:lvl w:ilvl="0" w:tentative="0">
      <w:start w:val="1"/>
      <w:numFmt w:val="chineseCounting"/>
      <w:suff w:val="nothing"/>
      <w:lvlText w:val="%1、"/>
      <w:lvlJc w:val="left"/>
      <w:rPr>
        <w:rFonts w:hint="eastAsia"/>
      </w:rPr>
    </w:lvl>
  </w:abstractNum>
  <w:abstractNum w:abstractNumId="4">
    <w:nsid w:val="F05832E8"/>
    <w:multiLevelType w:val="singleLevel"/>
    <w:tmpl w:val="F05832E8"/>
    <w:lvl w:ilvl="0" w:tentative="0">
      <w:start w:val="5"/>
      <w:numFmt w:val="decimal"/>
      <w:lvlText w:val="%1."/>
      <w:lvlJc w:val="left"/>
      <w:pPr>
        <w:tabs>
          <w:tab w:val="left" w:pos="312"/>
        </w:tabs>
      </w:pPr>
    </w:lvl>
  </w:abstractNum>
  <w:abstractNum w:abstractNumId="5">
    <w:nsid w:val="F474C9A6"/>
    <w:multiLevelType w:val="singleLevel"/>
    <w:tmpl w:val="F474C9A6"/>
    <w:lvl w:ilvl="0" w:tentative="0">
      <w:start w:val="10"/>
      <w:numFmt w:val="chineseCounting"/>
      <w:suff w:val="space"/>
      <w:lvlText w:val="第%1条"/>
      <w:lvlJc w:val="left"/>
      <w:rPr>
        <w:rFonts w:hint="eastAsia"/>
      </w:rPr>
    </w:lvl>
  </w:abstractNum>
  <w:abstractNum w:abstractNumId="6">
    <w:nsid w:val="4734DCE6"/>
    <w:multiLevelType w:val="singleLevel"/>
    <w:tmpl w:val="4734DCE6"/>
    <w:lvl w:ilvl="0" w:tentative="0">
      <w:start w:val="1"/>
      <w:numFmt w:val="decimal"/>
      <w:lvlText w:val="%1."/>
      <w:lvlJc w:val="left"/>
      <w:pPr>
        <w:tabs>
          <w:tab w:val="left" w:pos="312"/>
        </w:tabs>
      </w:pPr>
    </w:lvl>
  </w:abstractNum>
  <w:abstractNum w:abstractNumId="7">
    <w:nsid w:val="705D32C3"/>
    <w:multiLevelType w:val="singleLevel"/>
    <w:tmpl w:val="705D32C3"/>
    <w:lvl w:ilvl="0" w:tentative="0">
      <w:start w:val="5"/>
      <w:numFmt w:val="decimal"/>
      <w:lvlText w:val="%1."/>
      <w:lvlJc w:val="left"/>
      <w:pPr>
        <w:tabs>
          <w:tab w:val="left" w:pos="312"/>
        </w:tabs>
      </w:pPr>
    </w:lvl>
  </w:abstractNum>
  <w:num w:numId="1">
    <w:abstractNumId w:val="1"/>
  </w:num>
  <w:num w:numId="2">
    <w:abstractNumId w:val="7"/>
  </w:num>
  <w:num w:numId="3">
    <w:abstractNumId w:val="6"/>
  </w:num>
  <w:num w:numId="4">
    <w:abstractNumId w:val="2"/>
  </w:num>
  <w:num w:numId="5">
    <w:abstractNumId w:val="3"/>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60BA"/>
    <w:rsid w:val="00411689"/>
    <w:rsid w:val="004703EE"/>
    <w:rsid w:val="005D618A"/>
    <w:rsid w:val="00911ECD"/>
    <w:rsid w:val="00A042E0"/>
    <w:rsid w:val="00B26BB1"/>
    <w:rsid w:val="00B26E21"/>
    <w:rsid w:val="00B741D7"/>
    <w:rsid w:val="00D4533C"/>
    <w:rsid w:val="00F83B64"/>
    <w:rsid w:val="013E3461"/>
    <w:rsid w:val="01BB0F13"/>
    <w:rsid w:val="02090C75"/>
    <w:rsid w:val="02A23A3C"/>
    <w:rsid w:val="02FB196F"/>
    <w:rsid w:val="035D130A"/>
    <w:rsid w:val="039110A9"/>
    <w:rsid w:val="03AC246A"/>
    <w:rsid w:val="03AE6061"/>
    <w:rsid w:val="03B23056"/>
    <w:rsid w:val="03DA023E"/>
    <w:rsid w:val="03DC3EBA"/>
    <w:rsid w:val="03F9794D"/>
    <w:rsid w:val="046A2461"/>
    <w:rsid w:val="051C2970"/>
    <w:rsid w:val="060C3611"/>
    <w:rsid w:val="06C64829"/>
    <w:rsid w:val="070E7B6E"/>
    <w:rsid w:val="071D62B7"/>
    <w:rsid w:val="07267E44"/>
    <w:rsid w:val="077D16D2"/>
    <w:rsid w:val="082A69F3"/>
    <w:rsid w:val="08675FC8"/>
    <w:rsid w:val="09B713FD"/>
    <w:rsid w:val="09EF6ACC"/>
    <w:rsid w:val="0A08687F"/>
    <w:rsid w:val="0A315056"/>
    <w:rsid w:val="0A3E3B7B"/>
    <w:rsid w:val="0A694621"/>
    <w:rsid w:val="0AA213B4"/>
    <w:rsid w:val="0AF61C7E"/>
    <w:rsid w:val="0AFB45AD"/>
    <w:rsid w:val="0B1A7CC0"/>
    <w:rsid w:val="0B351E9B"/>
    <w:rsid w:val="0B4C50D3"/>
    <w:rsid w:val="0B806B92"/>
    <w:rsid w:val="0B827E94"/>
    <w:rsid w:val="0B842F76"/>
    <w:rsid w:val="0BD070E1"/>
    <w:rsid w:val="0BD65B6B"/>
    <w:rsid w:val="0C030754"/>
    <w:rsid w:val="0C2361E7"/>
    <w:rsid w:val="0C247926"/>
    <w:rsid w:val="0D794204"/>
    <w:rsid w:val="0E2125D1"/>
    <w:rsid w:val="0E214211"/>
    <w:rsid w:val="0E5F2769"/>
    <w:rsid w:val="0ED8332F"/>
    <w:rsid w:val="0F4D75A3"/>
    <w:rsid w:val="0F5B2DCA"/>
    <w:rsid w:val="0F714D08"/>
    <w:rsid w:val="0FA20605"/>
    <w:rsid w:val="0FED051E"/>
    <w:rsid w:val="0FEE4C29"/>
    <w:rsid w:val="0FFD33F6"/>
    <w:rsid w:val="10031608"/>
    <w:rsid w:val="10046082"/>
    <w:rsid w:val="104974DD"/>
    <w:rsid w:val="111703D2"/>
    <w:rsid w:val="112B101A"/>
    <w:rsid w:val="114415F3"/>
    <w:rsid w:val="11763776"/>
    <w:rsid w:val="119B53FC"/>
    <w:rsid w:val="1215733B"/>
    <w:rsid w:val="12424CDC"/>
    <w:rsid w:val="129A2738"/>
    <w:rsid w:val="12B56BF1"/>
    <w:rsid w:val="12CB1A89"/>
    <w:rsid w:val="131119A8"/>
    <w:rsid w:val="131840FB"/>
    <w:rsid w:val="13467417"/>
    <w:rsid w:val="136E76CF"/>
    <w:rsid w:val="13AA1D0A"/>
    <w:rsid w:val="145F08C6"/>
    <w:rsid w:val="14CC0253"/>
    <w:rsid w:val="14E43F59"/>
    <w:rsid w:val="15776308"/>
    <w:rsid w:val="15966080"/>
    <w:rsid w:val="15BC6B3C"/>
    <w:rsid w:val="15EC2C59"/>
    <w:rsid w:val="16360A7B"/>
    <w:rsid w:val="164D40B0"/>
    <w:rsid w:val="1694429A"/>
    <w:rsid w:val="17635326"/>
    <w:rsid w:val="17B803EA"/>
    <w:rsid w:val="1815096B"/>
    <w:rsid w:val="18236EFD"/>
    <w:rsid w:val="18377249"/>
    <w:rsid w:val="189D5B1F"/>
    <w:rsid w:val="18A34CD0"/>
    <w:rsid w:val="19A53EA8"/>
    <w:rsid w:val="19B64DBC"/>
    <w:rsid w:val="19EC6A4A"/>
    <w:rsid w:val="1A373ACF"/>
    <w:rsid w:val="1A7B10BA"/>
    <w:rsid w:val="1A895341"/>
    <w:rsid w:val="1A9B5FFB"/>
    <w:rsid w:val="1B0D071F"/>
    <w:rsid w:val="1B4568CE"/>
    <w:rsid w:val="1B9015B7"/>
    <w:rsid w:val="1B950DA6"/>
    <w:rsid w:val="1BF54245"/>
    <w:rsid w:val="1C715266"/>
    <w:rsid w:val="1D0E6976"/>
    <w:rsid w:val="1D5A79EE"/>
    <w:rsid w:val="1E0E2CD0"/>
    <w:rsid w:val="1E831280"/>
    <w:rsid w:val="1EBC4704"/>
    <w:rsid w:val="1F172EB5"/>
    <w:rsid w:val="1F22070B"/>
    <w:rsid w:val="1F94592D"/>
    <w:rsid w:val="1FB860DE"/>
    <w:rsid w:val="203C5A02"/>
    <w:rsid w:val="209D4C94"/>
    <w:rsid w:val="20B44FCD"/>
    <w:rsid w:val="20BF0C96"/>
    <w:rsid w:val="20E84705"/>
    <w:rsid w:val="218400BA"/>
    <w:rsid w:val="21AB1E2F"/>
    <w:rsid w:val="21D40498"/>
    <w:rsid w:val="22493963"/>
    <w:rsid w:val="22767047"/>
    <w:rsid w:val="23A05588"/>
    <w:rsid w:val="240476A1"/>
    <w:rsid w:val="24E953B9"/>
    <w:rsid w:val="25431AEB"/>
    <w:rsid w:val="25B875EB"/>
    <w:rsid w:val="25BE3BFB"/>
    <w:rsid w:val="25BF43FD"/>
    <w:rsid w:val="25F86BCD"/>
    <w:rsid w:val="2605748B"/>
    <w:rsid w:val="26396D26"/>
    <w:rsid w:val="264544A6"/>
    <w:rsid w:val="267702FB"/>
    <w:rsid w:val="269E416A"/>
    <w:rsid w:val="26C11C6B"/>
    <w:rsid w:val="272100D3"/>
    <w:rsid w:val="272C72FC"/>
    <w:rsid w:val="273E5806"/>
    <w:rsid w:val="275131CB"/>
    <w:rsid w:val="278F6521"/>
    <w:rsid w:val="27EB149D"/>
    <w:rsid w:val="27FD3E52"/>
    <w:rsid w:val="28E11370"/>
    <w:rsid w:val="294A756A"/>
    <w:rsid w:val="29781BF8"/>
    <w:rsid w:val="297939E2"/>
    <w:rsid w:val="29C33ED0"/>
    <w:rsid w:val="29D5322D"/>
    <w:rsid w:val="2A025DD9"/>
    <w:rsid w:val="2A2619CB"/>
    <w:rsid w:val="2A7317D3"/>
    <w:rsid w:val="2A7C2231"/>
    <w:rsid w:val="2A920E4F"/>
    <w:rsid w:val="2ABB753D"/>
    <w:rsid w:val="2AFE6EC4"/>
    <w:rsid w:val="2B7A49FA"/>
    <w:rsid w:val="2C615D26"/>
    <w:rsid w:val="2CB679ED"/>
    <w:rsid w:val="2CE83C37"/>
    <w:rsid w:val="2CEB2FFC"/>
    <w:rsid w:val="2D173C07"/>
    <w:rsid w:val="2D424A86"/>
    <w:rsid w:val="2D6D1A79"/>
    <w:rsid w:val="2DDA66B7"/>
    <w:rsid w:val="2E6F2D11"/>
    <w:rsid w:val="2E7B52DB"/>
    <w:rsid w:val="2ED60115"/>
    <w:rsid w:val="2F324CFE"/>
    <w:rsid w:val="2FBA09F1"/>
    <w:rsid w:val="2FEF2ACF"/>
    <w:rsid w:val="2FF93D20"/>
    <w:rsid w:val="30540211"/>
    <w:rsid w:val="30A37532"/>
    <w:rsid w:val="30E45100"/>
    <w:rsid w:val="31112A0D"/>
    <w:rsid w:val="3118711F"/>
    <w:rsid w:val="311F4B20"/>
    <w:rsid w:val="312D7741"/>
    <w:rsid w:val="316F137F"/>
    <w:rsid w:val="31DF525F"/>
    <w:rsid w:val="31EC162B"/>
    <w:rsid w:val="32324C2E"/>
    <w:rsid w:val="327171DF"/>
    <w:rsid w:val="3391569E"/>
    <w:rsid w:val="341E3434"/>
    <w:rsid w:val="34BB4442"/>
    <w:rsid w:val="3584136B"/>
    <w:rsid w:val="35FF5AA4"/>
    <w:rsid w:val="360B7EBA"/>
    <w:rsid w:val="36416867"/>
    <w:rsid w:val="367D5DD4"/>
    <w:rsid w:val="369C32FD"/>
    <w:rsid w:val="37255904"/>
    <w:rsid w:val="37666E72"/>
    <w:rsid w:val="38081EA3"/>
    <w:rsid w:val="38167A04"/>
    <w:rsid w:val="381C3783"/>
    <w:rsid w:val="383D79D7"/>
    <w:rsid w:val="394B167A"/>
    <w:rsid w:val="39AD34EA"/>
    <w:rsid w:val="39AD3929"/>
    <w:rsid w:val="39DA2868"/>
    <w:rsid w:val="39DF6BF2"/>
    <w:rsid w:val="3A055F4B"/>
    <w:rsid w:val="3A4E4336"/>
    <w:rsid w:val="3A6007FE"/>
    <w:rsid w:val="3A802587"/>
    <w:rsid w:val="3A852164"/>
    <w:rsid w:val="3ADC53F9"/>
    <w:rsid w:val="3AF93D6C"/>
    <w:rsid w:val="3AFD06C8"/>
    <w:rsid w:val="3B477B26"/>
    <w:rsid w:val="3B7C2CE4"/>
    <w:rsid w:val="3BAF716B"/>
    <w:rsid w:val="3C0B5355"/>
    <w:rsid w:val="3C5207B8"/>
    <w:rsid w:val="3CD4176B"/>
    <w:rsid w:val="3D1F44D9"/>
    <w:rsid w:val="3D5C38CD"/>
    <w:rsid w:val="3E5070F1"/>
    <w:rsid w:val="3E7569E0"/>
    <w:rsid w:val="3EC370CB"/>
    <w:rsid w:val="3F500A86"/>
    <w:rsid w:val="3F6C3589"/>
    <w:rsid w:val="3F850180"/>
    <w:rsid w:val="3F9004D6"/>
    <w:rsid w:val="3FEE7CFA"/>
    <w:rsid w:val="400E4D5E"/>
    <w:rsid w:val="408D76F8"/>
    <w:rsid w:val="40E1138C"/>
    <w:rsid w:val="413814BA"/>
    <w:rsid w:val="41872511"/>
    <w:rsid w:val="41DF1251"/>
    <w:rsid w:val="424236D9"/>
    <w:rsid w:val="42466655"/>
    <w:rsid w:val="42C82F57"/>
    <w:rsid w:val="435707E5"/>
    <w:rsid w:val="43672D9B"/>
    <w:rsid w:val="439927E1"/>
    <w:rsid w:val="43C76AF7"/>
    <w:rsid w:val="43E97E4A"/>
    <w:rsid w:val="440D65DA"/>
    <w:rsid w:val="446828F0"/>
    <w:rsid w:val="45093E85"/>
    <w:rsid w:val="45C13B4D"/>
    <w:rsid w:val="46054BCA"/>
    <w:rsid w:val="464C6AFC"/>
    <w:rsid w:val="468B0091"/>
    <w:rsid w:val="46A107C3"/>
    <w:rsid w:val="46B15CE2"/>
    <w:rsid w:val="46BE113D"/>
    <w:rsid w:val="46E44B13"/>
    <w:rsid w:val="4703508A"/>
    <w:rsid w:val="475023F8"/>
    <w:rsid w:val="479A1E7B"/>
    <w:rsid w:val="479D361E"/>
    <w:rsid w:val="47B74789"/>
    <w:rsid w:val="47CF0086"/>
    <w:rsid w:val="47E66258"/>
    <w:rsid w:val="48032A55"/>
    <w:rsid w:val="480F2B9D"/>
    <w:rsid w:val="48102176"/>
    <w:rsid w:val="48282920"/>
    <w:rsid w:val="483E1347"/>
    <w:rsid w:val="485321E0"/>
    <w:rsid w:val="48546AD3"/>
    <w:rsid w:val="48CA4868"/>
    <w:rsid w:val="48D43A0A"/>
    <w:rsid w:val="48F005D3"/>
    <w:rsid w:val="491E0AFA"/>
    <w:rsid w:val="49466522"/>
    <w:rsid w:val="49547ADD"/>
    <w:rsid w:val="49732351"/>
    <w:rsid w:val="498F4AF1"/>
    <w:rsid w:val="49C05787"/>
    <w:rsid w:val="49CF518D"/>
    <w:rsid w:val="4A7F3979"/>
    <w:rsid w:val="4ADA1F63"/>
    <w:rsid w:val="4AE23D89"/>
    <w:rsid w:val="4B2038D0"/>
    <w:rsid w:val="4B296E7D"/>
    <w:rsid w:val="4B454190"/>
    <w:rsid w:val="4B79394E"/>
    <w:rsid w:val="4B877F28"/>
    <w:rsid w:val="4C80447D"/>
    <w:rsid w:val="4CD200BA"/>
    <w:rsid w:val="4D2044E7"/>
    <w:rsid w:val="4D916BA6"/>
    <w:rsid w:val="4DC44169"/>
    <w:rsid w:val="4DE24E21"/>
    <w:rsid w:val="4E1B19A3"/>
    <w:rsid w:val="4E48787F"/>
    <w:rsid w:val="4ED04BAA"/>
    <w:rsid w:val="4EF0709E"/>
    <w:rsid w:val="4F0469A4"/>
    <w:rsid w:val="4FC36CA6"/>
    <w:rsid w:val="500E56F4"/>
    <w:rsid w:val="50540C73"/>
    <w:rsid w:val="50752AF8"/>
    <w:rsid w:val="50ED0658"/>
    <w:rsid w:val="513C6A7B"/>
    <w:rsid w:val="517300C9"/>
    <w:rsid w:val="52EC6EC2"/>
    <w:rsid w:val="532D486F"/>
    <w:rsid w:val="5333545B"/>
    <w:rsid w:val="538D0E89"/>
    <w:rsid w:val="5450213C"/>
    <w:rsid w:val="546711F3"/>
    <w:rsid w:val="546C3825"/>
    <w:rsid w:val="54C133F5"/>
    <w:rsid w:val="54D24048"/>
    <w:rsid w:val="54D64CD5"/>
    <w:rsid w:val="5532287C"/>
    <w:rsid w:val="55887D69"/>
    <w:rsid w:val="55EE5D11"/>
    <w:rsid w:val="561A0928"/>
    <w:rsid w:val="56423872"/>
    <w:rsid w:val="569E06BC"/>
    <w:rsid w:val="56B279F0"/>
    <w:rsid w:val="56F20F86"/>
    <w:rsid w:val="579D710E"/>
    <w:rsid w:val="581F22F6"/>
    <w:rsid w:val="586E1E17"/>
    <w:rsid w:val="58862C35"/>
    <w:rsid w:val="58C14957"/>
    <w:rsid w:val="58CC23D2"/>
    <w:rsid w:val="58E66050"/>
    <w:rsid w:val="596B36B6"/>
    <w:rsid w:val="59FC7994"/>
    <w:rsid w:val="5AAA5FAE"/>
    <w:rsid w:val="5AE83A50"/>
    <w:rsid w:val="5B353193"/>
    <w:rsid w:val="5BAB2917"/>
    <w:rsid w:val="5BFC33FA"/>
    <w:rsid w:val="5C3107A4"/>
    <w:rsid w:val="5C3B1B93"/>
    <w:rsid w:val="5C9220DF"/>
    <w:rsid w:val="5D4A15F3"/>
    <w:rsid w:val="5D69542A"/>
    <w:rsid w:val="5D783B72"/>
    <w:rsid w:val="5E0930EF"/>
    <w:rsid w:val="5E3D4D53"/>
    <w:rsid w:val="5E4717E6"/>
    <w:rsid w:val="5E55774C"/>
    <w:rsid w:val="5E8A70FF"/>
    <w:rsid w:val="5F304531"/>
    <w:rsid w:val="60045F96"/>
    <w:rsid w:val="60104DDC"/>
    <w:rsid w:val="605C0804"/>
    <w:rsid w:val="60913E6F"/>
    <w:rsid w:val="61733C3E"/>
    <w:rsid w:val="6189617B"/>
    <w:rsid w:val="61B52BB6"/>
    <w:rsid w:val="61B749C2"/>
    <w:rsid w:val="62280D20"/>
    <w:rsid w:val="62B4786E"/>
    <w:rsid w:val="62CA2457"/>
    <w:rsid w:val="638240A1"/>
    <w:rsid w:val="63833423"/>
    <w:rsid w:val="63A5257B"/>
    <w:rsid w:val="63BD3DCC"/>
    <w:rsid w:val="63C61741"/>
    <w:rsid w:val="64560967"/>
    <w:rsid w:val="656B1D10"/>
    <w:rsid w:val="65B44D15"/>
    <w:rsid w:val="65B841F9"/>
    <w:rsid w:val="66022B28"/>
    <w:rsid w:val="664A38E2"/>
    <w:rsid w:val="66581E87"/>
    <w:rsid w:val="66766EBB"/>
    <w:rsid w:val="66EA475C"/>
    <w:rsid w:val="66FA11D5"/>
    <w:rsid w:val="674302C7"/>
    <w:rsid w:val="67CB09D8"/>
    <w:rsid w:val="67EE3B0F"/>
    <w:rsid w:val="680A5986"/>
    <w:rsid w:val="680D5F4B"/>
    <w:rsid w:val="68113F51"/>
    <w:rsid w:val="68B272C7"/>
    <w:rsid w:val="68E94770"/>
    <w:rsid w:val="68EC1CEF"/>
    <w:rsid w:val="68F949C9"/>
    <w:rsid w:val="695A4290"/>
    <w:rsid w:val="696F3649"/>
    <w:rsid w:val="6A267606"/>
    <w:rsid w:val="6A334932"/>
    <w:rsid w:val="6A3353FF"/>
    <w:rsid w:val="6A5D63E6"/>
    <w:rsid w:val="6A5F24D1"/>
    <w:rsid w:val="6ACA70C4"/>
    <w:rsid w:val="6AE347EB"/>
    <w:rsid w:val="6B330365"/>
    <w:rsid w:val="6B434AF0"/>
    <w:rsid w:val="6B51237C"/>
    <w:rsid w:val="6B57675A"/>
    <w:rsid w:val="6B87098A"/>
    <w:rsid w:val="6BDD7B4D"/>
    <w:rsid w:val="6EBC0B3A"/>
    <w:rsid w:val="6EF51C7D"/>
    <w:rsid w:val="6F8363E5"/>
    <w:rsid w:val="6F841DCF"/>
    <w:rsid w:val="6FA80CCD"/>
    <w:rsid w:val="6FAC3CC5"/>
    <w:rsid w:val="6FC746F5"/>
    <w:rsid w:val="6FE33EF5"/>
    <w:rsid w:val="70317AC6"/>
    <w:rsid w:val="704B26F7"/>
    <w:rsid w:val="70697B21"/>
    <w:rsid w:val="70863262"/>
    <w:rsid w:val="70A76ED3"/>
    <w:rsid w:val="71860B17"/>
    <w:rsid w:val="723B27CC"/>
    <w:rsid w:val="72687227"/>
    <w:rsid w:val="72A03FD9"/>
    <w:rsid w:val="73406CFF"/>
    <w:rsid w:val="7383028C"/>
    <w:rsid w:val="73A25E44"/>
    <w:rsid w:val="741F68CF"/>
    <w:rsid w:val="75252DF3"/>
    <w:rsid w:val="75621536"/>
    <w:rsid w:val="75BF3154"/>
    <w:rsid w:val="75DA4A2D"/>
    <w:rsid w:val="764A07CF"/>
    <w:rsid w:val="764F6B3D"/>
    <w:rsid w:val="76CD2B7B"/>
    <w:rsid w:val="76D80645"/>
    <w:rsid w:val="76E03371"/>
    <w:rsid w:val="77017699"/>
    <w:rsid w:val="771211AA"/>
    <w:rsid w:val="77736C04"/>
    <w:rsid w:val="780E5898"/>
    <w:rsid w:val="782642CC"/>
    <w:rsid w:val="7894095E"/>
    <w:rsid w:val="78964555"/>
    <w:rsid w:val="78CF4963"/>
    <w:rsid w:val="79000679"/>
    <w:rsid w:val="7916258F"/>
    <w:rsid w:val="791C0FE5"/>
    <w:rsid w:val="79A416F0"/>
    <w:rsid w:val="79B03EB6"/>
    <w:rsid w:val="79B61437"/>
    <w:rsid w:val="7AE15A5C"/>
    <w:rsid w:val="7AF37579"/>
    <w:rsid w:val="7AF87F64"/>
    <w:rsid w:val="7B1C0C84"/>
    <w:rsid w:val="7B4C4A6A"/>
    <w:rsid w:val="7B4C5DF7"/>
    <w:rsid w:val="7B5A62DF"/>
    <w:rsid w:val="7B7A04A8"/>
    <w:rsid w:val="7C0C3F6D"/>
    <w:rsid w:val="7C22163C"/>
    <w:rsid w:val="7C457B4B"/>
    <w:rsid w:val="7C595075"/>
    <w:rsid w:val="7C6B07B2"/>
    <w:rsid w:val="7D133243"/>
    <w:rsid w:val="7D945420"/>
    <w:rsid w:val="7D997857"/>
    <w:rsid w:val="7E394207"/>
    <w:rsid w:val="7E4007A2"/>
    <w:rsid w:val="7E791CAD"/>
    <w:rsid w:val="7EA50DFB"/>
    <w:rsid w:val="7EC86878"/>
    <w:rsid w:val="7F16390D"/>
    <w:rsid w:val="7F1B011A"/>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0"/>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5"/>
    <w:semiHidden/>
    <w:unhideWhenUsed/>
    <w:qFormat/>
    <w:uiPriority w:val="99"/>
    <w:rPr>
      <w:sz w:val="18"/>
      <w:szCs w:val="18"/>
    </w:rPr>
  </w:style>
  <w:style w:type="paragraph" w:styleId="18">
    <w:name w:val="footer"/>
    <w:basedOn w:val="1"/>
    <w:link w:val="29"/>
    <w:unhideWhenUsed/>
    <w:qFormat/>
    <w:uiPriority w:val="99"/>
    <w:pPr>
      <w:tabs>
        <w:tab w:val="center" w:pos="4153"/>
        <w:tab w:val="right" w:pos="8306"/>
      </w:tabs>
      <w:snapToGrid w:val="0"/>
      <w:jc w:val="left"/>
    </w:pPr>
    <w:rPr>
      <w:sz w:val="18"/>
      <w:szCs w:val="18"/>
    </w:rPr>
  </w:style>
  <w:style w:type="paragraph" w:styleId="19">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customStyle="1" w:styleId="28">
    <w:name w:val="页眉 Char"/>
    <w:basedOn w:val="25"/>
    <w:link w:val="19"/>
    <w:semiHidden/>
    <w:qFormat/>
    <w:uiPriority w:val="99"/>
    <w:rPr>
      <w:sz w:val="18"/>
      <w:szCs w:val="18"/>
    </w:rPr>
  </w:style>
  <w:style w:type="character" w:customStyle="1" w:styleId="29">
    <w:name w:val="页脚 Char"/>
    <w:basedOn w:val="25"/>
    <w:link w:val="18"/>
    <w:qFormat/>
    <w:uiPriority w:val="99"/>
    <w:rPr>
      <w:sz w:val="18"/>
      <w:szCs w:val="18"/>
    </w:rPr>
  </w:style>
  <w:style w:type="character" w:customStyle="1" w:styleId="30">
    <w:name w:val="标题 1 Char"/>
    <w:basedOn w:val="25"/>
    <w:link w:val="4"/>
    <w:qFormat/>
    <w:uiPriority w:val="9"/>
    <w:rPr>
      <w:rFonts w:eastAsia="方正小标宋简体"/>
      <w:bCs/>
      <w:kern w:val="44"/>
      <w:sz w:val="44"/>
      <w:szCs w:val="44"/>
    </w:rPr>
  </w:style>
  <w:style w:type="character" w:customStyle="1" w:styleId="31">
    <w:name w:val="标题 2 Char"/>
    <w:basedOn w:val="25"/>
    <w:link w:val="5"/>
    <w:qFormat/>
    <w:uiPriority w:val="9"/>
    <w:rPr>
      <w:rFonts w:eastAsia="方正小标宋简体" w:asciiTheme="majorHAnsi" w:hAnsiTheme="majorHAnsi" w:cstheme="majorBidi"/>
      <w:bCs/>
      <w:sz w:val="36"/>
      <w:szCs w:val="32"/>
    </w:rPr>
  </w:style>
  <w:style w:type="character" w:customStyle="1" w:styleId="32">
    <w:name w:val="标题 3 Char"/>
    <w:basedOn w:val="25"/>
    <w:link w:val="6"/>
    <w:qFormat/>
    <w:uiPriority w:val="9"/>
    <w:rPr>
      <w:rFonts w:ascii="Calibri" w:hAnsi="Calibri" w:eastAsia="宋体" w:cs="Times New Roman"/>
      <w:b/>
      <w:bCs/>
      <w:sz w:val="32"/>
      <w:szCs w:val="32"/>
    </w:rPr>
  </w:style>
  <w:style w:type="paragraph" w:styleId="33">
    <w:name w:val="List Paragraph"/>
    <w:basedOn w:val="1"/>
    <w:link w:val="41"/>
    <w:qFormat/>
    <w:uiPriority w:val="34"/>
    <w:pPr>
      <w:ind w:firstLine="420" w:firstLineChars="200"/>
    </w:pPr>
  </w:style>
  <w:style w:type="paragraph" w:customStyle="1" w:styleId="34">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5"/>
    <w:link w:val="17"/>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4"/>
    <w:next w:val="14"/>
    <w:qFormat/>
    <w:uiPriority w:val="0"/>
    <w:pPr>
      <w:spacing w:after="373"/>
    </w:pPr>
    <w:rPr>
      <w:color w:val="auto"/>
    </w:rPr>
  </w:style>
  <w:style w:type="paragraph" w:customStyle="1" w:styleId="38">
    <w:name w:val="CM91"/>
    <w:basedOn w:val="14"/>
    <w:next w:val="14"/>
    <w:qFormat/>
    <w:uiPriority w:val="0"/>
    <w:pPr>
      <w:spacing w:after="160"/>
    </w:pPr>
    <w:rPr>
      <w:color w:val="auto"/>
    </w:rPr>
  </w:style>
  <w:style w:type="character" w:customStyle="1" w:styleId="39">
    <w:name w:val="正文文本 3 Char"/>
    <w:link w:val="9"/>
    <w:qFormat/>
    <w:uiPriority w:val="99"/>
    <w:rPr>
      <w:sz w:val="16"/>
      <w:szCs w:val="16"/>
    </w:rPr>
  </w:style>
  <w:style w:type="character" w:customStyle="1" w:styleId="40">
    <w:name w:val="正文文本 3 Char1"/>
    <w:basedOn w:val="25"/>
    <w:link w:val="9"/>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3"/>
    <w:qFormat/>
    <w:uiPriority w:val="99"/>
    <w:pPr>
      <w:widowControl w:val="0"/>
      <w:jc w:val="both"/>
    </w:pPr>
    <w:rPr>
      <w:rFonts w:ascii="宋体" w:hAnsi="Courier New"/>
      <w:kern w:val="2"/>
    </w:rPr>
  </w:style>
  <w:style w:type="paragraph" w:customStyle="1" w:styleId="43">
    <w:name w:val="WPSOffice手动目录 1"/>
    <w:qFormat/>
    <w:uiPriority w:val="0"/>
    <w:pPr>
      <w:ind w:leftChars="0"/>
    </w:pPr>
    <w:rPr>
      <w:rFonts w:asciiTheme="minorHAnsi" w:hAnsiTheme="minorHAnsi" w:eastAsiaTheme="minorEastAsia" w:cstheme="minorBidi"/>
      <w:sz w:val="20"/>
      <w:szCs w:val="20"/>
    </w:rPr>
  </w:style>
  <w:style w:type="paragraph" w:customStyle="1" w:styleId="44">
    <w:name w:val="WPSOffice手动目录 2"/>
    <w:qFormat/>
    <w:uiPriority w:val="0"/>
    <w:pPr>
      <w:ind w:leftChars="200"/>
    </w:pPr>
    <w:rPr>
      <w:rFonts w:asciiTheme="minorHAnsi" w:hAnsiTheme="minorHAnsi" w:eastAsiaTheme="minorEastAsia" w:cstheme="minorBidi"/>
      <w:sz w:val="20"/>
      <w:szCs w:val="20"/>
    </w:rPr>
  </w:style>
  <w:style w:type="paragraph" w:customStyle="1" w:styleId="45">
    <w:name w:val="WPSOffice手动目录 3"/>
    <w:qFormat/>
    <w:uiPriority w:val="0"/>
    <w:pPr>
      <w:ind w:leftChars="400"/>
    </w:pPr>
    <w:rPr>
      <w:rFonts w:asciiTheme="minorHAnsi" w:hAnsiTheme="minorHAnsi" w:eastAsiaTheme="minorEastAsia" w:cstheme="minorBidi"/>
      <w:sz w:val="20"/>
      <w:szCs w:val="20"/>
    </w:rPr>
  </w:style>
  <w:style w:type="paragraph" w:customStyle="1" w:styleId="46">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7">
    <w:name w:val="_Style 4"/>
    <w:basedOn w:val="4"/>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108</Pages>
  <Words>37924</Words>
  <Characters>41697</Characters>
  <Lines>300</Lines>
  <Paragraphs>84</Paragraphs>
  <TotalTime>11</TotalTime>
  <ScaleCrop>false</ScaleCrop>
  <LinksUpToDate>false</LinksUpToDate>
  <CharactersWithSpaces>44383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2022-10-25T01:11:00Z</cp:lastPrinted>
  <dcterms:modified xsi:type="dcterms:W3CDTF">2022-11-02T07:44:01Z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464461B26DB94B40A941A39BE60519F4</vt:lpwstr>
  </property>
</Properties>
</file>