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广州市净水有限公司对讲机信号</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覆盖更新改造项目</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4275"/>
      <w:bookmarkStart w:id="5" w:name="_Toc7519"/>
      <w:bookmarkStart w:id="6" w:name="_Toc11322"/>
      <w:bookmarkStart w:id="7" w:name="_Toc19609"/>
      <w:bookmarkStart w:id="8" w:name="_Toc31938"/>
      <w:bookmarkStart w:id="9" w:name="_Toc17801"/>
      <w:bookmarkStart w:id="10" w:name="_Toc166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2346325</wp:posOffset>
                </wp:positionH>
                <wp:positionV relativeFrom="paragraph">
                  <wp:posOffset>532765</wp:posOffset>
                </wp:positionV>
                <wp:extent cx="958850" cy="0"/>
                <wp:effectExtent l="5715" t="6985" r="6985" b="12065"/>
                <wp:wrapNone/>
                <wp:docPr id="19"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4.75pt;margin-top:41.95pt;height:0pt;width:75.5pt;z-index:251673600;mso-width-relative:page;mso-height-relative:page;" filled="f" stroked="t" coordsize="21600,21600" o:gfxdata="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fkCTWAAAACQEAAA8AAAAAAAAAAQAgAAAA&#10;IgAAAGRycy9kb3ducmV2LnhtbFBLAQIUABQAAAAIAIdO4kAbZrJY1AEAALMDAAAOAAAAAAAAAAEA&#10;IAAAACU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13335" t="7620" r="8890" b="11430"/>
                <wp:wrapNone/>
                <wp:docPr id="18"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K2LetYAAAAJAQAADwAAAAAAAAABACAAAAAi&#10;AAAAZHJzL2Rvd25yZXYueG1sUEsBAhQAFAAAAAgAh07iQMipXJTTAQAAswMAAA4AAAAAAAAAAQAg&#10;AAAAJQ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广州市净水有限公司对讲机信号覆盖更新改造项目</w:t>
      </w:r>
      <w:r>
        <w:rPr>
          <w:rFonts w:hint="eastAsia" w:ascii="仿宋_GB2312" w:eastAsia="仿宋_GB2312"/>
          <w:color w:val="auto"/>
          <w:sz w:val="28"/>
          <w:szCs w:val="28"/>
          <w:highlight w:val="none"/>
        </w:rPr>
        <w:t>已具备采购条件，现邀请合格单位参加本</w:t>
      </w:r>
      <w:r>
        <w:rPr>
          <w:rFonts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□服务项目采购活动，采用</w:t>
      </w:r>
      <w:r>
        <w:rPr>
          <w:rFonts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rPr>
        <w:t xml:space="preserve">邀请询比 </w:t>
      </w:r>
      <w:r>
        <w:rPr>
          <w:rFonts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广州市净水有限公司对讲机信号覆盖更新改造项目</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XJ-20221101-5</w:t>
      </w:r>
      <w:r>
        <w:rPr>
          <w:rFonts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ascii="仿宋_GB2312" w:eastAsia="仿宋_GB2312"/>
          <w:color w:val="auto"/>
          <w:sz w:val="28"/>
          <w:szCs w:val="28"/>
          <w:highlight w:val="none"/>
          <w:u w:val="single"/>
        </w:rPr>
        <w:t xml:space="preserve"> 539500.00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沥滘三期：360300，京溪：179200</w:t>
      </w:r>
      <w:r>
        <w:rPr>
          <w:rFonts w:hint="eastAsia" w:ascii="仿宋_GB2312" w:eastAsia="仿宋_GB2312"/>
          <w:color w:val="auto"/>
          <w:sz w:val="28"/>
          <w:szCs w:val="28"/>
          <w:highlight w:val="none"/>
          <w:u w:val="single"/>
          <w:lang w:eastAsia="zh-CN"/>
        </w:rPr>
        <w:t>）</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1.5标段划分：</w:t>
      </w:r>
      <w:r>
        <w:rPr>
          <w:rFonts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包括沥滘三期和京溪分公司这</w:t>
      </w:r>
      <w:r>
        <w:rPr>
          <w:rFonts w:ascii="仿宋_GB2312" w:eastAsia="仿宋_GB2312"/>
          <w:color w:val="auto"/>
          <w:sz w:val="28"/>
          <w:szCs w:val="28"/>
          <w:highlight w:val="none"/>
          <w:u w:val="single"/>
        </w:rPr>
        <w:t>2</w:t>
      </w:r>
      <w:r>
        <w:rPr>
          <w:rFonts w:hint="eastAsia" w:ascii="仿宋_GB2312" w:eastAsia="仿宋_GB2312"/>
          <w:color w:val="auto"/>
          <w:sz w:val="28"/>
          <w:szCs w:val="28"/>
          <w:highlight w:val="none"/>
          <w:u w:val="single"/>
        </w:rPr>
        <w:t xml:space="preserve">座地埋式净水厂地下空间的对讲机信号覆盖系统更新改造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□交货期</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90日</w:t>
      </w:r>
      <w:r>
        <w:rPr>
          <w:rFonts w:ascii="仿宋_GB2312" w:eastAsia="仿宋_GB2312"/>
          <w:color w:val="auto"/>
          <w:sz w:val="28"/>
          <w:szCs w:val="28"/>
          <w:highlight w:val="none"/>
          <w:u w:val="single"/>
        </w:rPr>
        <w:t xml:space="preserve">                  </w:t>
      </w:r>
      <w:r>
        <w:rPr>
          <w:rFonts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详见第五章采购要求。                     </w:t>
      </w:r>
      <w:r>
        <w:rPr>
          <w:rFonts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none"/>
        </w:rPr>
        <w:t>通信工程施工总承包三级（或以上）或电子与智能化工程专业承包资质二级（或以上）</w:t>
      </w:r>
      <w:r>
        <w:rPr>
          <w:rFonts w:hint="eastAsia" w:ascii="仿宋_GB2312" w:eastAsia="仿宋_GB2312"/>
          <w:color w:val="auto"/>
          <w:sz w:val="28"/>
          <w:szCs w:val="28"/>
          <w:highlight w:val="none"/>
        </w:rPr>
        <w:t>资质，建设主管部门颁发且在有效期内的《安全生产许可证》资质。</w:t>
      </w:r>
    </w:p>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u w:val="single"/>
        </w:rPr>
        <w:t>无线通讯类</w:t>
      </w:r>
      <w:r>
        <w:rPr>
          <w:rFonts w:hint="eastAsia" w:ascii="仿宋_GB2312" w:eastAsia="仿宋_GB2312"/>
          <w:color w:val="auto"/>
          <w:sz w:val="28"/>
          <w:szCs w:val="28"/>
          <w:highlight w:val="none"/>
        </w:rPr>
        <w:t>项目的业绩。（提供合同复印件及验收报告，包括但不限于项目名称、金额及实施内容、合同盖章、签订日期，加盖单位公章。原件备查）</w:t>
      </w:r>
    </w:p>
    <w:p>
      <w:pPr>
        <w:pStyle w:val="2"/>
        <w:ind w:firstLine="0"/>
        <w:rPr>
          <w:rFonts w:ascii="仿宋_GB2312" w:eastAsia="仿宋_GB2312"/>
          <w:color w:val="auto"/>
          <w:sz w:val="28"/>
          <w:szCs w:val="28"/>
          <w:highlight w:val="none"/>
          <w:u w:val="none"/>
        </w:rPr>
      </w:pPr>
      <w:r>
        <w:rPr>
          <w:rFonts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ascii="仿宋_GB2312" w:eastAsia="仿宋_GB2312"/>
          <w:color w:val="auto"/>
          <w:sz w:val="28"/>
          <w:szCs w:val="28"/>
          <w:highlight w:val="none"/>
          <w:u w:val="none"/>
        </w:rPr>
        <w:t>4）项目负责人应当具备以下资格条件之一。</w:t>
      </w:r>
    </w:p>
    <w:p>
      <w:pPr>
        <w:pStyle w:val="43"/>
        <w:autoSpaceDE w:val="0"/>
        <w:autoSpaceDN w:val="0"/>
        <w:ind w:firstLine="840" w:firstLineChars="300"/>
        <w:jc w:val="left"/>
        <w:rPr>
          <w:rFonts w:ascii="仿宋_GB2312" w:eastAsia="仿宋_GB2312" w:cs="仿宋_GB2312"/>
          <w:color w:val="auto"/>
          <w:sz w:val="28"/>
          <w:szCs w:val="28"/>
          <w:highlight w:val="none"/>
          <w:u w:val="none"/>
          <w:lang w:val="zh-CN"/>
        </w:rPr>
      </w:pPr>
      <w:r>
        <w:rPr>
          <w:rFonts w:hint="eastAsia" w:ascii="仿宋_GB2312" w:eastAsia="仿宋_GB2312" w:cs="仿宋_GB2312"/>
          <w:color w:val="auto"/>
          <w:sz w:val="28"/>
          <w:szCs w:val="28"/>
          <w:highlight w:val="none"/>
          <w:u w:val="none"/>
          <w:lang w:val="zh-CN"/>
        </w:rPr>
        <w:t>（</w:t>
      </w:r>
      <w:r>
        <w:rPr>
          <w:rFonts w:ascii="仿宋_GB2312" w:eastAsia="仿宋_GB2312" w:cs="仿宋_GB2312"/>
          <w:color w:val="auto"/>
          <w:sz w:val="28"/>
          <w:szCs w:val="28"/>
          <w:highlight w:val="none"/>
          <w:u w:val="none"/>
        </w:rPr>
        <w:t>A</w:t>
      </w:r>
      <w:r>
        <w:rPr>
          <w:rFonts w:hint="eastAsia" w:ascii="仿宋_GB2312" w:eastAsia="仿宋_GB2312" w:cs="仿宋_GB2312"/>
          <w:color w:val="auto"/>
          <w:sz w:val="28"/>
          <w:szCs w:val="28"/>
          <w:highlight w:val="none"/>
          <w:u w:val="none"/>
          <w:lang w:val="zh-CN"/>
        </w:rPr>
        <w:t>）通信</w:t>
      </w:r>
      <w:r>
        <w:rPr>
          <w:rFonts w:hint="eastAsia" w:ascii="仿宋_GB2312" w:eastAsia="仿宋_GB2312" w:cs="仿宋_GB2312"/>
          <w:color w:val="auto"/>
          <w:sz w:val="28"/>
          <w:szCs w:val="28"/>
          <w:highlight w:val="none"/>
          <w:u w:val="none"/>
        </w:rPr>
        <w:t>与</w:t>
      </w:r>
      <w:r>
        <w:rPr>
          <w:rFonts w:hint="eastAsia" w:ascii="仿宋_GB2312" w:eastAsia="仿宋_GB2312" w:cs="仿宋_GB2312"/>
          <w:color w:val="auto"/>
          <w:sz w:val="28"/>
          <w:szCs w:val="28"/>
          <w:highlight w:val="none"/>
          <w:u w:val="none"/>
          <w:lang w:val="zh-CN"/>
        </w:rPr>
        <w:t>广电工程</w:t>
      </w:r>
      <w:r>
        <w:rPr>
          <w:rFonts w:hint="eastAsia" w:ascii="仿宋_GB2312" w:eastAsia="仿宋_GB2312" w:cs="仿宋_GB2312"/>
          <w:color w:val="auto"/>
          <w:sz w:val="28"/>
          <w:szCs w:val="28"/>
          <w:highlight w:val="none"/>
          <w:u w:val="none"/>
        </w:rPr>
        <w:t>或机电安装工程</w:t>
      </w:r>
      <w:r>
        <w:rPr>
          <w:rFonts w:hint="eastAsia" w:ascii="仿宋_GB2312" w:eastAsia="仿宋_GB2312" w:cs="仿宋_GB2312"/>
          <w:color w:val="auto"/>
          <w:sz w:val="28"/>
          <w:szCs w:val="28"/>
          <w:highlight w:val="none"/>
          <w:u w:val="none"/>
          <w:lang w:val="zh-CN"/>
        </w:rPr>
        <w:t>二级（</w:t>
      </w:r>
      <w:r>
        <w:rPr>
          <w:rFonts w:hint="eastAsia" w:ascii="仿宋_GB2312" w:eastAsia="仿宋_GB2312" w:cs="仿宋_GB2312"/>
          <w:color w:val="auto"/>
          <w:sz w:val="28"/>
          <w:szCs w:val="28"/>
          <w:highlight w:val="none"/>
          <w:u w:val="none"/>
        </w:rPr>
        <w:t>或</w:t>
      </w:r>
      <w:r>
        <w:rPr>
          <w:rFonts w:hint="eastAsia" w:ascii="仿宋_GB2312" w:eastAsia="仿宋_GB2312" w:cs="仿宋_GB2312"/>
          <w:color w:val="auto"/>
          <w:sz w:val="28"/>
          <w:szCs w:val="28"/>
          <w:highlight w:val="none"/>
          <w:u w:val="none"/>
          <w:lang w:val="zh-CN"/>
        </w:rPr>
        <w:t>以上级别）的注册建造师；</w:t>
      </w:r>
    </w:p>
    <w:p>
      <w:pPr>
        <w:pStyle w:val="43"/>
        <w:autoSpaceDE w:val="0"/>
        <w:autoSpaceDN w:val="0"/>
        <w:ind w:firstLine="840" w:firstLineChars="300"/>
        <w:jc w:val="left"/>
        <w:rPr>
          <w:rFonts w:ascii="仿宋_GB2312" w:eastAsia="仿宋_GB2312" w:cs="仿宋_GB2312"/>
          <w:color w:val="auto"/>
          <w:sz w:val="28"/>
          <w:szCs w:val="28"/>
          <w:highlight w:val="none"/>
          <w:u w:val="none"/>
          <w:lang w:val="zh-CN"/>
        </w:rPr>
      </w:pPr>
      <w:r>
        <w:rPr>
          <w:rFonts w:hint="eastAsia" w:ascii="仿宋_GB2312" w:eastAsia="仿宋_GB2312" w:cs="仿宋_GB2312"/>
          <w:color w:val="auto"/>
          <w:sz w:val="28"/>
          <w:szCs w:val="28"/>
          <w:highlight w:val="none"/>
          <w:u w:val="none"/>
          <w:lang w:val="zh-CN"/>
        </w:rPr>
        <w:t>（</w:t>
      </w:r>
      <w:r>
        <w:rPr>
          <w:rFonts w:ascii="仿宋_GB2312" w:eastAsia="仿宋_GB2312" w:cs="仿宋_GB2312"/>
          <w:color w:val="auto"/>
          <w:sz w:val="28"/>
          <w:szCs w:val="28"/>
          <w:highlight w:val="none"/>
          <w:u w:val="none"/>
        </w:rPr>
        <w:t>B</w:t>
      </w:r>
      <w:r>
        <w:rPr>
          <w:rFonts w:hint="eastAsia" w:ascii="仿宋_GB2312" w:eastAsia="仿宋_GB2312" w:cs="仿宋_GB2312"/>
          <w:color w:val="auto"/>
          <w:sz w:val="28"/>
          <w:szCs w:val="28"/>
          <w:highlight w:val="none"/>
          <w:u w:val="none"/>
          <w:lang w:val="zh-CN"/>
        </w:rPr>
        <w:t>）具备符合粤建市〔2010〕26号文规定的小型项目负责人资格）。</w:t>
      </w:r>
    </w:p>
    <w:p>
      <w:pPr>
        <w:pStyle w:val="43"/>
        <w:autoSpaceDE w:val="0"/>
        <w:autoSpaceDN w:val="0"/>
        <w:ind w:firstLine="560"/>
        <w:jc w:val="left"/>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同时持有项目负责人安全生产考核合格证（B类）（或能够提供广东省建筑施工企业管理人员安全生产考核信息系统安全生产管理人员证书信息的网页截图）</w:t>
      </w:r>
    </w:p>
    <w:p>
      <w:pPr>
        <w:pStyle w:val="43"/>
        <w:autoSpaceDE w:val="0"/>
        <w:autoSpaceDN w:val="0"/>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（注：注册建造师电子证书须由本人在个人签名处手写签名，未手写签名或与签名图像笔迹不一致的，电子证书无效。广东省外注册的二级建造师人员暂不能在我省执业）</w:t>
      </w:r>
    </w:p>
    <w:p>
      <w:pPr>
        <w:pStyle w:val="43"/>
        <w:autoSpaceDE w:val="0"/>
        <w:autoSpaceDN w:val="0"/>
        <w:ind w:firstLine="560"/>
        <w:jc w:val="left"/>
        <w:rPr>
          <w:rFonts w:ascii="仿宋_GB2312" w:eastAsia="仿宋_GB2312"/>
          <w:color w:val="auto"/>
          <w:sz w:val="28"/>
          <w:szCs w:val="28"/>
          <w:highlight w:val="none"/>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p>
    <w:p>
      <w:pPr>
        <w:pStyle w:val="43"/>
        <w:autoSpaceDE w:val="0"/>
        <w:autoSpaceDN w:val="0"/>
        <w:ind w:firstLine="560"/>
        <w:jc w:val="left"/>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autoSpaceDE w:val="0"/>
        <w:autoSpaceDN w:val="0"/>
        <w:spacing w:line="600" w:lineRule="exact"/>
        <w:ind w:firstLine="0"/>
        <w:jc w:val="left"/>
        <w:rPr>
          <w:rFonts w:ascii="仿宋_GB2312" w:eastAsia="仿宋_GB2312" w:cs="仿宋_GB2312"/>
          <w:color w:val="auto"/>
          <w:sz w:val="28"/>
          <w:szCs w:val="28"/>
          <w:highlight w:val="none"/>
          <w:u w:val="single"/>
          <w:lang w:val="zh-CN"/>
        </w:rPr>
      </w:pPr>
      <w:r>
        <w:rPr>
          <w:rFonts w:ascii="仿宋_GB2312" w:hAnsi="Calibri" w:eastAsia="仿宋_GB2312"/>
          <w:color w:val="auto"/>
          <w:kern w:val="2"/>
          <w:sz w:val="28"/>
          <w:szCs w:val="28"/>
          <w:highlight w:val="none"/>
          <w:u w:val="single"/>
        </w:rPr>
        <w:t>2</w:t>
      </w:r>
      <w:r>
        <w:rPr>
          <w:rFonts w:ascii="仿宋_GB2312" w:hAnsi="Calibri" w:eastAsia="仿宋_GB2312"/>
          <w:color w:val="auto"/>
          <w:kern w:val="2"/>
          <w:sz w:val="28"/>
          <w:szCs w:val="28"/>
          <w:highlight w:val="none"/>
        </w:rPr>
        <w:t>.</w:t>
      </w:r>
      <w:r>
        <w:rPr>
          <w:rFonts w:hint="eastAsia" w:ascii="仿宋_GB2312" w:hAnsi="Calibri" w:eastAsia="仿宋_GB2312"/>
          <w:color w:val="auto"/>
          <w:kern w:val="2"/>
          <w:sz w:val="28"/>
          <w:szCs w:val="28"/>
          <w:highlight w:val="none"/>
        </w:rPr>
        <w:t>中选后于合同签订前须提供主要设备（中继台、双工器、远端和近端光纤机）的厂家授权函。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rPr>
          <w:rFonts w:ascii="仿宋_GB2312" w:eastAsia="仿宋_GB2312"/>
          <w:color w:val="auto"/>
          <w:sz w:val="28"/>
          <w:szCs w:val="28"/>
          <w:highlight w:val="none"/>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基于疫情防控形势，授权委托人须通过“广州净水公司”微信公众号当天（提前）预约，填写访客预约信息（包括：1.近7天内行程有异地低中高风险地区及所在的</w:t>
      </w:r>
      <w:r>
        <w:rPr>
          <w:rFonts w:hint="eastAsia"/>
          <w:b/>
          <w:color w:val="auto"/>
          <w:sz w:val="28"/>
          <w:szCs w:val="28"/>
          <w:highlight w:val="none"/>
        </w:rPr>
        <w:t>县（市、区、旗）</w:t>
      </w:r>
      <w:r>
        <w:rPr>
          <w:rFonts w:hint="eastAsia" w:ascii="仿宋_GB2312" w:eastAsia="仿宋_GB2312"/>
          <w:color w:val="auto"/>
          <w:sz w:val="28"/>
          <w:szCs w:val="28"/>
          <w:highlight w:val="none"/>
        </w:rPr>
        <w:t>旅居史的来（返）穗人员拒绝来访。2.近7天内行程有异地本土疫情报告的</w:t>
      </w:r>
      <w:r>
        <w:rPr>
          <w:rFonts w:hint="eastAsia"/>
          <w:b/>
          <w:color w:val="auto"/>
          <w:sz w:val="28"/>
          <w:szCs w:val="28"/>
          <w:highlight w:val="none"/>
        </w:rPr>
        <w:t>县（市、区、旗）</w:t>
      </w:r>
      <w:r>
        <w:rPr>
          <w:rFonts w:hint="eastAsia" w:ascii="仿宋_GB2312" w:eastAsia="仿宋_GB2312"/>
          <w:color w:val="auto"/>
          <w:sz w:val="28"/>
          <w:szCs w:val="28"/>
          <w:highlight w:val="none"/>
        </w:rPr>
        <w:t>旅居史的来（返）穗人员及省外无低中高风险地区来访人员应持有来访前的两次核酸检测阴性证明，即“三天两检”（每次至少间隔24小时），其中抵穗后必须完成一次核酸检测。上述1、2项以外临时来访人员，应持有来访前24小时内核酸检测阴性证明。</w:t>
      </w:r>
      <w:r>
        <w:rPr>
          <w:rFonts w:ascii="仿宋_GB2312" w:eastAsia="仿宋_GB2312"/>
          <w:color w:val="auto"/>
          <w:sz w:val="28"/>
          <w:szCs w:val="28"/>
          <w:highlight w:val="none"/>
        </w:rPr>
        <w:t>）。待被访部室审核员审批通过后，凭访客手机生成的“通行访客码”通行。于门岗处测温并扫码填写调查问卷，手机显示问卷“提交成功”后方可进入厂区。</w:t>
      </w:r>
    </w:p>
    <w:p>
      <w:pPr>
        <w:pStyle w:val="2"/>
        <w:rPr>
          <w:rFonts w:hint="eastAsia"/>
          <w:color w:val="auto"/>
          <w:highlight w:val="none"/>
        </w:rPr>
      </w:pPr>
    </w:p>
    <w:p>
      <w:pPr>
        <w:rPr>
          <w:rFonts w:ascii="仿宋_GB2312" w:eastAsia="仿宋_GB2312"/>
          <w:color w:val="auto"/>
          <w:sz w:val="28"/>
          <w:szCs w:val="28"/>
          <w:highlight w:val="none"/>
        </w:rPr>
      </w:pPr>
      <w:r>
        <w:rPr>
          <w:rFonts w:hint="eastAsia" w:ascii="仿宋_GB2312" w:eastAsia="仿宋_GB2312"/>
          <w:color w:val="auto"/>
          <w:sz w:val="28"/>
          <w:szCs w:val="28"/>
          <w:highlight w:val="none"/>
        </w:rPr>
        <w:t>踏勘现场信息：</w:t>
      </w:r>
    </w:p>
    <w:p>
      <w:pPr>
        <w:pStyle w:val="2"/>
        <w:ind w:firstLine="560" w:firstLineChars="200"/>
        <w:rPr>
          <w:color w:val="auto"/>
          <w:highlight w:val="none"/>
        </w:rPr>
      </w:pPr>
      <w:bookmarkStart w:id="243" w:name="_GoBack"/>
      <w:bookmarkEnd w:id="243"/>
      <w:r>
        <w:rPr>
          <w:rFonts w:hint="eastAsia" w:ascii="仿宋_GB2312" w:eastAsia="仿宋_GB2312"/>
          <w:color w:val="auto"/>
          <w:sz w:val="28"/>
          <w:szCs w:val="28"/>
          <w:highlight w:val="none"/>
        </w:rPr>
        <w:t>沥滘三期</w:t>
      </w:r>
      <w:r>
        <w:rPr>
          <w:rFonts w:ascii="仿宋_GB2312" w:eastAsia="仿宋_GB2312"/>
          <w:color w:val="auto"/>
          <w:sz w:val="28"/>
          <w:szCs w:val="28"/>
          <w:highlight w:val="none"/>
        </w:rPr>
        <w:t>(</w:t>
      </w:r>
      <w:r>
        <w:rPr>
          <w:rFonts w:hint="eastAsia" w:ascii="仿宋_GB2312" w:eastAsia="仿宋_GB2312"/>
          <w:color w:val="auto"/>
          <w:sz w:val="28"/>
          <w:szCs w:val="28"/>
          <w:highlight w:val="none"/>
        </w:rPr>
        <w:t>龙工</w:t>
      </w:r>
      <w:r>
        <w:rPr>
          <w:rFonts w:ascii="仿宋_GB2312" w:eastAsia="仿宋_GB2312"/>
          <w:color w:val="auto"/>
          <w:sz w:val="28"/>
          <w:szCs w:val="28"/>
          <w:highlight w:val="none"/>
        </w:rPr>
        <w:t>)</w:t>
      </w:r>
      <w:r>
        <w:rPr>
          <w:rFonts w:hint="eastAsia" w:ascii="仿宋_GB2312" w:eastAsia="仿宋_GB2312"/>
          <w:color w:val="auto"/>
          <w:sz w:val="28"/>
          <w:szCs w:val="28"/>
          <w:highlight w:val="none"/>
        </w:rPr>
        <w:t>（电话：</w:t>
      </w:r>
      <w:r>
        <w:rPr>
          <w:rFonts w:ascii="仿宋_GB2312" w:eastAsia="仿宋_GB2312"/>
          <w:color w:val="auto"/>
          <w:sz w:val="28"/>
          <w:szCs w:val="28"/>
          <w:highlight w:val="none"/>
        </w:rPr>
        <w:t>020-34060316</w:t>
      </w:r>
      <w:r>
        <w:rPr>
          <w:rFonts w:hint="eastAsia" w:ascii="仿宋_GB2312" w:eastAsia="仿宋_GB2312" w:hAnsiTheme="minorHAnsi" w:cstheme="minorBidi"/>
          <w:color w:val="auto"/>
          <w:kern w:val="2"/>
          <w:sz w:val="28"/>
          <w:szCs w:val="28"/>
          <w:highlight w:val="none"/>
        </w:rPr>
        <w:t>，地点：广州市海珠区南洲路</w:t>
      </w:r>
      <w:r>
        <w:rPr>
          <w:rFonts w:ascii="仿宋_GB2312" w:eastAsia="仿宋_GB2312" w:hAnsiTheme="minorHAnsi" w:cstheme="minorBidi"/>
          <w:color w:val="auto"/>
          <w:kern w:val="2"/>
          <w:sz w:val="28"/>
          <w:szCs w:val="28"/>
          <w:highlight w:val="none"/>
        </w:rPr>
        <w:t>1375号</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）；集合时间：从</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hAnsiTheme="minorHAnsi" w:cstheme="minorBidi"/>
          <w:color w:val="auto"/>
          <w:kern w:val="2"/>
          <w:sz w:val="28"/>
          <w:szCs w:val="28"/>
          <w:highlight w:val="none"/>
          <w:u w:val="single"/>
          <w:lang w:val="en-US" w:eastAsia="zh-CN"/>
        </w:rPr>
        <w:t>4</w:t>
      </w:r>
      <w:r>
        <w:rPr>
          <w:rFonts w:hint="eastAsia" w:ascii="仿宋_GB2312" w:eastAsia="仿宋_GB2312" w:hAnsiTheme="minorHAnsi" w:cstheme="minorBidi"/>
          <w:color w:val="auto"/>
          <w:kern w:val="2"/>
          <w:sz w:val="28"/>
          <w:szCs w:val="28"/>
          <w:highlight w:val="none"/>
        </w:rPr>
        <w:t>日</w:t>
      </w:r>
      <w:r>
        <w:rPr>
          <w:rFonts w:hint="eastAsia" w:ascii="仿宋_GB2312" w:eastAsia="仿宋_GB2312" w:hAnsiTheme="minorHAnsi" w:cstheme="minorBidi"/>
          <w:color w:val="auto"/>
          <w:kern w:val="2"/>
          <w:sz w:val="28"/>
          <w:szCs w:val="28"/>
          <w:highlight w:val="none"/>
          <w:u w:val="single"/>
          <w:lang w:eastAsia="zh-CN"/>
        </w:rPr>
        <w:t>1</w:t>
      </w:r>
      <w:r>
        <w:rPr>
          <w:rFonts w:hint="eastAsia" w:ascii="仿宋_GB2312" w:eastAsia="仿宋_GB2312" w:hAnsiTheme="minorHAnsi" w:cstheme="minorBidi"/>
          <w:color w:val="auto"/>
          <w:kern w:val="2"/>
          <w:sz w:val="28"/>
          <w:szCs w:val="28"/>
          <w:highlight w:val="none"/>
          <w:u w:val="single"/>
          <w:lang w:val="en-US" w:eastAsia="zh-CN"/>
        </w:rPr>
        <w:t>4</w:t>
      </w:r>
      <w:r>
        <w:rPr>
          <w:rFonts w:hint="eastAsia" w:ascii="仿宋_GB2312" w:eastAsia="仿宋_GB2312" w:hAnsiTheme="minorHAnsi" w:cstheme="minorBidi"/>
          <w:color w:val="auto"/>
          <w:kern w:val="2"/>
          <w:sz w:val="28"/>
          <w:szCs w:val="28"/>
          <w:highlight w:val="none"/>
          <w:lang w:val="en-US" w:eastAsia="zh-CN"/>
        </w:rPr>
        <w:t>点</w:t>
      </w:r>
      <w:r>
        <w:rPr>
          <w:rFonts w:hint="eastAsia" w:ascii="仿宋_GB2312" w:eastAsia="仿宋_GB2312" w:hAnsiTheme="minorHAnsi" w:cstheme="minorBidi"/>
          <w:color w:val="auto"/>
          <w:kern w:val="2"/>
          <w:sz w:val="28"/>
          <w:szCs w:val="28"/>
          <w:highlight w:val="none"/>
          <w:u w:val="single"/>
          <w:lang w:val="en-US" w:eastAsia="zh-CN"/>
        </w:rPr>
        <w:t>30</w:t>
      </w:r>
      <w:r>
        <w:rPr>
          <w:rFonts w:hint="eastAsia" w:ascii="仿宋_GB2312" w:eastAsia="仿宋_GB2312" w:hAnsiTheme="minorHAnsi" w:cstheme="minorBidi"/>
          <w:color w:val="auto"/>
          <w:kern w:val="2"/>
          <w:sz w:val="28"/>
          <w:szCs w:val="28"/>
          <w:highlight w:val="none"/>
          <w:lang w:val="en-US" w:eastAsia="zh-CN"/>
        </w:rPr>
        <w:t>分至</w:t>
      </w:r>
      <w:r>
        <w:rPr>
          <w:rFonts w:hint="eastAsia" w:ascii="仿宋_GB2312" w:eastAsia="仿宋_GB2312" w:hAnsiTheme="minorHAnsi" w:cstheme="minorBidi"/>
          <w:color w:val="auto"/>
          <w:kern w:val="2"/>
          <w:sz w:val="28"/>
          <w:szCs w:val="28"/>
          <w:highlight w:val="none"/>
          <w:u w:val="single"/>
          <w:lang w:val="en-US" w:eastAsia="zh-CN"/>
        </w:rPr>
        <w:t>15</w:t>
      </w:r>
      <w:r>
        <w:rPr>
          <w:rFonts w:hint="eastAsia" w:ascii="仿宋_GB2312" w:eastAsia="仿宋_GB2312" w:hAnsiTheme="minorHAnsi" w:cstheme="minorBidi"/>
          <w:color w:val="auto"/>
          <w:kern w:val="2"/>
          <w:sz w:val="28"/>
          <w:szCs w:val="28"/>
          <w:highlight w:val="none"/>
          <w:lang w:val="en-US" w:eastAsia="zh-CN"/>
        </w:rPr>
        <w:t>点</w:t>
      </w:r>
      <w:r>
        <w:rPr>
          <w:rFonts w:hint="eastAsia" w:ascii="仿宋_GB2312" w:eastAsia="仿宋_GB2312" w:hAnsiTheme="minorHAnsi" w:cstheme="minorBidi"/>
          <w:color w:val="auto"/>
          <w:kern w:val="2"/>
          <w:sz w:val="28"/>
          <w:szCs w:val="28"/>
          <w:highlight w:val="none"/>
          <w:u w:val="single"/>
          <w:lang w:val="en-US" w:eastAsia="zh-CN"/>
        </w:rPr>
        <w:t>00</w:t>
      </w:r>
      <w:r>
        <w:rPr>
          <w:rFonts w:hint="eastAsia" w:ascii="仿宋_GB2312" w:eastAsia="仿宋_GB2312" w:hAnsiTheme="minorHAnsi" w:cstheme="minorBidi"/>
          <w:color w:val="auto"/>
          <w:kern w:val="2"/>
          <w:sz w:val="28"/>
          <w:szCs w:val="28"/>
          <w:highlight w:val="none"/>
          <w:lang w:val="en-US" w:eastAsia="zh-CN"/>
        </w:rPr>
        <w:t>分</w:t>
      </w:r>
      <w:r>
        <w:rPr>
          <w:rFonts w:hint="eastAsia" w:ascii="仿宋_GB2312" w:eastAsia="仿宋_GB2312" w:hAnsiTheme="minorHAnsi" w:cstheme="minorBidi"/>
          <w:color w:val="auto"/>
          <w:kern w:val="2"/>
          <w:sz w:val="28"/>
          <w:szCs w:val="28"/>
          <w:highlight w:val="none"/>
        </w:rPr>
        <w:t>。</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京溪（梁工）（电话</w:t>
      </w:r>
      <w:r>
        <w:rPr>
          <w:rFonts w:ascii="仿宋_GB2312" w:eastAsia="仿宋_GB2312"/>
          <w:color w:val="auto"/>
          <w:sz w:val="28"/>
          <w:szCs w:val="28"/>
          <w:highlight w:val="none"/>
        </w:rPr>
        <w:t xml:space="preserve"> 020- 28082566</w:t>
      </w:r>
      <w:r>
        <w:rPr>
          <w:rFonts w:hint="eastAsia" w:ascii="仿宋_GB2312" w:eastAsia="仿宋_GB2312"/>
          <w:color w:val="auto"/>
          <w:sz w:val="28"/>
          <w:szCs w:val="28"/>
          <w:highlight w:val="none"/>
        </w:rPr>
        <w:t>，地点：广州市白云区沙太北路犀牛二马路</w:t>
      </w:r>
      <w:r>
        <w:rPr>
          <w:rFonts w:ascii="仿宋_GB2312" w:eastAsia="仿宋_GB2312"/>
          <w:color w:val="auto"/>
          <w:sz w:val="28"/>
          <w:szCs w:val="28"/>
          <w:highlight w:val="none"/>
        </w:rPr>
        <w:t>1号</w:t>
      </w:r>
      <w:r>
        <w:rPr>
          <w:rFonts w:hint="eastAsia" w:ascii="仿宋_GB2312" w:eastAsia="仿宋_GB2312"/>
          <w:color w:val="auto"/>
          <w:sz w:val="28"/>
          <w:szCs w:val="28"/>
          <w:highlight w:val="none"/>
        </w:rPr>
        <w:t>）；集合时间：从</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hAnsiTheme="minorHAnsi" w:cstheme="minorBidi"/>
          <w:color w:val="auto"/>
          <w:kern w:val="2"/>
          <w:sz w:val="28"/>
          <w:szCs w:val="28"/>
          <w:highlight w:val="none"/>
          <w:u w:val="single"/>
          <w:lang w:val="en-US" w:eastAsia="zh-CN"/>
        </w:rPr>
        <w:t>4</w:t>
      </w:r>
      <w:r>
        <w:rPr>
          <w:rFonts w:hint="eastAsia" w:ascii="仿宋_GB2312" w:eastAsia="仿宋_GB2312" w:hAnsiTheme="minorHAnsi" w:cstheme="minorBidi"/>
          <w:color w:val="auto"/>
          <w:kern w:val="2"/>
          <w:sz w:val="28"/>
          <w:szCs w:val="28"/>
          <w:highlight w:val="none"/>
        </w:rPr>
        <w:t>日</w:t>
      </w:r>
      <w:r>
        <w:rPr>
          <w:rFonts w:hint="eastAsia" w:ascii="仿宋_GB2312" w:eastAsia="仿宋_GB2312" w:hAnsiTheme="minorHAnsi" w:cstheme="minorBidi"/>
          <w:color w:val="auto"/>
          <w:kern w:val="2"/>
          <w:sz w:val="28"/>
          <w:szCs w:val="28"/>
          <w:highlight w:val="none"/>
          <w:u w:val="single"/>
          <w:lang w:eastAsia="zh-CN"/>
        </w:rPr>
        <w:t>1</w:t>
      </w:r>
      <w:r>
        <w:rPr>
          <w:rFonts w:hint="eastAsia" w:ascii="仿宋_GB2312" w:eastAsia="仿宋_GB2312" w:cstheme="minorBidi"/>
          <w:color w:val="auto"/>
          <w:kern w:val="2"/>
          <w:sz w:val="28"/>
          <w:szCs w:val="28"/>
          <w:highlight w:val="none"/>
          <w:u w:val="single"/>
          <w:lang w:val="en-US" w:eastAsia="zh-CN"/>
        </w:rPr>
        <w:t>5</w:t>
      </w:r>
      <w:r>
        <w:rPr>
          <w:rFonts w:hint="eastAsia" w:ascii="仿宋_GB2312" w:eastAsia="仿宋_GB2312" w:hAnsiTheme="minorHAnsi" w:cstheme="minorBidi"/>
          <w:color w:val="auto"/>
          <w:kern w:val="2"/>
          <w:sz w:val="28"/>
          <w:szCs w:val="28"/>
          <w:highlight w:val="none"/>
          <w:lang w:val="en-US" w:eastAsia="zh-CN"/>
        </w:rPr>
        <w:t>点</w:t>
      </w:r>
      <w:r>
        <w:rPr>
          <w:rFonts w:hint="eastAsia" w:ascii="仿宋_GB2312" w:eastAsia="仿宋_GB2312" w:hAnsiTheme="minorHAnsi" w:cstheme="minorBidi"/>
          <w:color w:val="auto"/>
          <w:kern w:val="2"/>
          <w:sz w:val="28"/>
          <w:szCs w:val="28"/>
          <w:highlight w:val="none"/>
          <w:u w:val="single"/>
          <w:lang w:val="en-US" w:eastAsia="zh-CN"/>
        </w:rPr>
        <w:t>30</w:t>
      </w:r>
      <w:r>
        <w:rPr>
          <w:rFonts w:hint="eastAsia" w:ascii="仿宋_GB2312" w:eastAsia="仿宋_GB2312" w:hAnsiTheme="minorHAnsi" w:cstheme="minorBidi"/>
          <w:color w:val="auto"/>
          <w:kern w:val="2"/>
          <w:sz w:val="28"/>
          <w:szCs w:val="28"/>
          <w:highlight w:val="none"/>
          <w:lang w:val="en-US" w:eastAsia="zh-CN"/>
        </w:rPr>
        <w:t>分至</w:t>
      </w:r>
      <w:r>
        <w:rPr>
          <w:rFonts w:hint="eastAsia" w:ascii="仿宋_GB2312" w:eastAsia="仿宋_GB2312" w:hAnsiTheme="minorHAnsi" w:cstheme="minorBidi"/>
          <w:color w:val="auto"/>
          <w:kern w:val="2"/>
          <w:sz w:val="28"/>
          <w:szCs w:val="28"/>
          <w:highlight w:val="none"/>
          <w:u w:val="single"/>
          <w:lang w:val="en-US" w:eastAsia="zh-CN"/>
        </w:rPr>
        <w:t>1</w:t>
      </w:r>
      <w:r>
        <w:rPr>
          <w:rFonts w:hint="eastAsia" w:ascii="仿宋_GB2312" w:eastAsia="仿宋_GB2312" w:cstheme="minorBidi"/>
          <w:color w:val="auto"/>
          <w:kern w:val="2"/>
          <w:sz w:val="28"/>
          <w:szCs w:val="28"/>
          <w:highlight w:val="none"/>
          <w:u w:val="single"/>
          <w:lang w:val="en-US" w:eastAsia="zh-CN"/>
        </w:rPr>
        <w:t>6</w:t>
      </w:r>
      <w:r>
        <w:rPr>
          <w:rFonts w:hint="eastAsia" w:ascii="仿宋_GB2312" w:eastAsia="仿宋_GB2312" w:hAnsiTheme="minorHAnsi" w:cstheme="minorBidi"/>
          <w:color w:val="auto"/>
          <w:kern w:val="2"/>
          <w:sz w:val="28"/>
          <w:szCs w:val="28"/>
          <w:highlight w:val="none"/>
          <w:lang w:val="en-US" w:eastAsia="zh-CN"/>
        </w:rPr>
        <w:t>点</w:t>
      </w:r>
      <w:r>
        <w:rPr>
          <w:rFonts w:hint="eastAsia" w:ascii="仿宋_GB2312" w:eastAsia="仿宋_GB2312" w:hAnsiTheme="minorHAnsi" w:cstheme="minorBidi"/>
          <w:color w:val="auto"/>
          <w:kern w:val="2"/>
          <w:sz w:val="28"/>
          <w:szCs w:val="28"/>
          <w:highlight w:val="none"/>
          <w:u w:val="single"/>
          <w:lang w:val="en-US" w:eastAsia="zh-CN"/>
        </w:rPr>
        <w:t>00</w:t>
      </w:r>
      <w:r>
        <w:rPr>
          <w:rFonts w:hint="eastAsia" w:ascii="仿宋_GB2312" w:eastAsia="仿宋_GB2312" w:hAnsiTheme="minorHAnsi" w:cstheme="minorBidi"/>
          <w:color w:val="auto"/>
          <w:kern w:val="2"/>
          <w:sz w:val="28"/>
          <w:szCs w:val="28"/>
          <w:highlight w:val="none"/>
          <w:lang w:val="en-US" w:eastAsia="zh-CN"/>
        </w:rPr>
        <w:t>分</w:t>
      </w:r>
      <w:r>
        <w:rPr>
          <w:rFonts w:hint="eastAsia" w:ascii="仿宋_GB2312" w:eastAsia="仿宋_GB2312"/>
          <w:color w:val="auto"/>
          <w:sz w:val="28"/>
          <w:szCs w:val="28"/>
          <w:highlight w:val="none"/>
        </w:rPr>
        <w:t>。</w:t>
      </w:r>
    </w:p>
    <w:p>
      <w:pPr>
        <w:pStyle w:val="2"/>
        <w:rPr>
          <w:color w:val="auto"/>
          <w:highlight w:val="none"/>
        </w:rPr>
      </w:pPr>
    </w:p>
    <w:p>
      <w:pPr>
        <w:adjustRightInd w:val="0"/>
        <w:snapToGrid w:val="0"/>
        <w:spacing w:line="360" w:lineRule="auto"/>
        <w:jc w:val="left"/>
        <w:rPr>
          <w:rFonts w:asciiTheme="minorEastAsia" w:hAnsiTheme="minorEastAsia"/>
          <w:b/>
          <w:color w:val="auto"/>
          <w:sz w:val="32"/>
          <w:szCs w:val="32"/>
          <w:highlight w:val="none"/>
        </w:rPr>
      </w:pPr>
      <w:r>
        <w:rPr>
          <w:rFonts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asciiTheme="minorEastAsia" w:hAnsiTheme="minorEastAsia"/>
          <w:b/>
          <w:color w:val="auto"/>
          <w:sz w:val="32"/>
          <w:szCs w:val="32"/>
          <w:highlight w:val="none"/>
        </w:rPr>
        <w:t>8.</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w:t>
      </w:r>
      <w:r>
        <w:rPr>
          <w:rFonts w:ascii="仿宋_GB2312" w:hAnsi="仿宋" w:eastAsia="仿宋_GB2312"/>
          <w:color w:val="auto"/>
          <w:sz w:val="28"/>
          <w:szCs w:val="28"/>
          <w:highlight w:val="none"/>
          <w:u w:val="single"/>
        </w:rPr>
        <w:t>501号广州市净水有限公司</w:t>
      </w:r>
      <w:r>
        <w:rPr>
          <w:rFonts w:ascii="仿宋_GB2312" w:hAnsi="仿宋"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 xml:space="preserve">9. </w:t>
      </w:r>
      <w:r>
        <w:rPr>
          <w:rFonts w:hint="eastAsia" w:asciiTheme="minorEastAsia" w:hAnsiTheme="minorEastAsia"/>
          <w:b/>
          <w:color w:val="auto"/>
          <w:sz w:val="32"/>
          <w:szCs w:val="32"/>
          <w:highlight w:val="none"/>
        </w:rPr>
        <w:t>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ascii="宋体" w:hAnsi="宋体" w:eastAsia="宋体" w:cs="宋体"/>
                <w:color w:val="auto"/>
                <w:sz w:val="24"/>
                <w:highlight w:val="none"/>
              </w:rPr>
              <w:t>2021年11月18至2023年</w:t>
            </w:r>
            <w:r>
              <w:rPr>
                <w:rFonts w:ascii="宋体" w:hAnsi="宋体" w:cs="宋体"/>
                <w:color w:val="auto"/>
                <w:sz w:val="24"/>
                <w:highlight w:val="none"/>
              </w:rPr>
              <w:t>5</w:t>
            </w:r>
            <w:r>
              <w:rPr>
                <w:rFonts w:hint="eastAsia" w:ascii="宋体" w:hAnsi="宋体" w:eastAsia="宋体" w:cs="宋体"/>
                <w:color w:val="auto"/>
                <w:sz w:val="24"/>
                <w:highlight w:val="none"/>
              </w:rPr>
              <w:t>月</w:t>
            </w:r>
            <w:r>
              <w:rPr>
                <w:rFonts w:ascii="宋体" w:hAnsi="宋体" w:eastAsia="宋体" w:cs="宋体"/>
                <w:color w:val="auto"/>
                <w:sz w:val="24"/>
                <w:highlight w:val="none"/>
              </w:rPr>
              <w:t>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ascii="宋体" w:hAnsi="宋体" w:eastAsia="宋体" w:cs="宋体"/>
                <w:color w:val="auto"/>
                <w:sz w:val="24"/>
                <w:highlight w:val="none"/>
              </w:rPr>
              <w:t>2021年11月18至20</w:t>
            </w:r>
            <w:r>
              <w:rPr>
                <w:rFonts w:ascii="宋体" w:hAnsi="宋体" w:cs="宋体"/>
                <w:color w:val="auto"/>
                <w:sz w:val="24"/>
                <w:highlight w:val="none"/>
              </w:rPr>
              <w:t>23</w:t>
            </w:r>
            <w:r>
              <w:rPr>
                <w:rFonts w:hint="eastAsia" w:ascii="宋体" w:hAnsi="宋体" w:eastAsia="宋体" w:cs="宋体"/>
                <w:color w:val="auto"/>
                <w:sz w:val="24"/>
                <w:highlight w:val="none"/>
              </w:rPr>
              <w:t>年</w:t>
            </w:r>
            <w:r>
              <w:rPr>
                <w:rFonts w:ascii="宋体" w:hAnsi="宋体" w:cs="宋体"/>
                <w:color w:val="auto"/>
                <w:sz w:val="24"/>
                <w:highlight w:val="none"/>
              </w:rPr>
              <w:t>5</w:t>
            </w:r>
            <w:r>
              <w:rPr>
                <w:rFonts w:hint="eastAsia" w:ascii="宋体" w:hAnsi="宋体" w:eastAsia="宋体" w:cs="宋体"/>
                <w:color w:val="auto"/>
                <w:sz w:val="24"/>
                <w:highlight w:val="none"/>
              </w:rPr>
              <w:t>月</w:t>
            </w:r>
            <w:r>
              <w:rPr>
                <w:rFonts w:ascii="宋体" w:hAnsi="宋体" w:eastAsia="宋体" w:cs="宋体"/>
                <w:color w:val="auto"/>
                <w:sz w:val="24"/>
                <w:highlight w:val="none"/>
              </w:rPr>
              <w:t>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ascii="宋体" w:hAnsi="宋体" w:eastAsia="宋体" w:cs="宋体"/>
                <w:color w:val="auto"/>
                <w:sz w:val="24"/>
                <w:highlight w:val="none"/>
              </w:rPr>
              <w:t>202</w:t>
            </w:r>
            <w:r>
              <w:rPr>
                <w:rFonts w:ascii="宋体" w:hAnsi="宋体" w:cs="宋体"/>
                <w:color w:val="auto"/>
                <w:sz w:val="24"/>
                <w:highlight w:val="none"/>
              </w:rPr>
              <w:t>2</w:t>
            </w:r>
            <w:r>
              <w:rPr>
                <w:rFonts w:hint="eastAsia" w:ascii="宋体" w:hAnsi="宋体" w:eastAsia="宋体" w:cs="宋体"/>
                <w:color w:val="auto"/>
                <w:sz w:val="24"/>
                <w:highlight w:val="none"/>
              </w:rPr>
              <w:t>年</w:t>
            </w:r>
            <w:r>
              <w:rPr>
                <w:rFonts w:ascii="宋体" w:hAnsi="宋体" w:eastAsia="宋体" w:cs="宋体"/>
                <w:color w:val="auto"/>
                <w:sz w:val="24"/>
                <w:highlight w:val="none"/>
              </w:rPr>
              <w:t>1月</w:t>
            </w:r>
            <w:r>
              <w:rPr>
                <w:rFonts w:ascii="宋体" w:hAnsi="宋体" w:cs="宋体"/>
                <w:color w:val="auto"/>
                <w:sz w:val="24"/>
                <w:highlight w:val="none"/>
              </w:rPr>
              <w:t>1</w:t>
            </w:r>
            <w:r>
              <w:rPr>
                <w:rFonts w:hint="eastAsia" w:ascii="宋体" w:hAnsi="宋体" w:eastAsia="宋体" w:cs="宋体"/>
                <w:color w:val="auto"/>
                <w:sz w:val="24"/>
                <w:highlight w:val="none"/>
              </w:rPr>
              <w:t>至</w:t>
            </w:r>
            <w:r>
              <w:rPr>
                <w:rFonts w:ascii="宋体" w:hAnsi="宋体" w:eastAsia="宋体" w:cs="宋体"/>
                <w:color w:val="auto"/>
                <w:sz w:val="24"/>
                <w:highlight w:val="none"/>
              </w:rPr>
              <w:t>2022年</w:t>
            </w:r>
            <w:r>
              <w:rPr>
                <w:rFonts w:ascii="宋体" w:hAnsi="宋体" w:cs="宋体"/>
                <w:color w:val="auto"/>
                <w:sz w:val="24"/>
                <w:highlight w:val="none"/>
              </w:rPr>
              <w:t>12</w:t>
            </w:r>
            <w:r>
              <w:rPr>
                <w:rFonts w:hint="eastAsia" w:ascii="宋体" w:hAnsi="宋体" w:eastAsia="宋体" w:cs="宋体"/>
                <w:color w:val="auto"/>
                <w:sz w:val="24"/>
                <w:highlight w:val="none"/>
              </w:rPr>
              <w:t>月</w:t>
            </w:r>
            <w:r>
              <w:rPr>
                <w:rFonts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10.联系方式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电</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话：</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ascii="仿宋_GB2312" w:eastAsia="仿宋_GB2312"/>
                <w:color w:val="auto"/>
                <w:sz w:val="28"/>
                <w:szCs w:val="28"/>
                <w:highlight w:val="non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19295"/>
      <w:bookmarkStart w:id="15" w:name="_Toc16557"/>
      <w:bookmarkStart w:id="16" w:name="_Toc32588"/>
      <w:bookmarkStart w:id="17" w:name="_Toc9448"/>
      <w:bookmarkStart w:id="18" w:name="_Toc16705"/>
      <w:bookmarkStart w:id="19" w:name="_Toc23749"/>
      <w:bookmarkStart w:id="20" w:name="_Toc7340"/>
      <w:bookmarkStart w:id="21" w:name="_Toc25603"/>
      <w:bookmarkStart w:id="22" w:name="_Toc2331"/>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560705</wp:posOffset>
                </wp:positionV>
                <wp:extent cx="958850" cy="0"/>
                <wp:effectExtent l="5715" t="6350" r="6985" b="12700"/>
                <wp:wrapNone/>
                <wp:docPr id="17"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4.3pt;margin-top:44.1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2AsR1wAAAAsBAAAPAAAAAAAAAAEAIAAA&#10;ACIAAABkcnMvZG93bnJldi54bWxQSwECFAAUAAAACACHTuJAAMeNHtQBAACzAwAADgAAAAAAAAAB&#10;ACAAAAAmAQAAZHJzL2Uyb0RvYy54bWxQSwUGAAAAAAYABgBZAQAAb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13335" t="6985" r="8890" b="12065"/>
                <wp:wrapNone/>
                <wp:docPr id="16"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K2LetYAAAAJAQAADwAAAAAAAAABACAAAAAi&#10;AAAAZHJzL2Rvd25yZXYueG1sUEsBAhQAFAAAAAgAh07iQNMIY9LTAQAAswMAAA4AAAAAAAAAAQAg&#10;AAAAJQ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widowControl/>
        <w:jc w:val="left"/>
        <w:rPr>
          <w:color w:val="auto"/>
          <w:highlight w:val="none"/>
        </w:rPr>
      </w:pPr>
      <w:r>
        <w:rPr>
          <w:color w:val="auto"/>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asciiTheme="minorEastAsia" w:hAnsiTheme="minorEastAsia"/>
          <w:b/>
          <w:color w:val="auto"/>
          <w:sz w:val="32"/>
          <w:szCs w:val="32"/>
          <w:highlight w:val="none"/>
        </w:rPr>
        <w:t>.</w:t>
      </w:r>
    </w:p>
    <w:p>
      <w:pPr>
        <w:pStyle w:val="2"/>
        <w:numPr>
          <w:ilvl w:val="255"/>
          <w:numId w:val="0"/>
        </w:numPr>
        <w:rPr>
          <w:color w:val="auto"/>
          <w:highlight w:val="none"/>
        </w:rPr>
      </w:pPr>
      <w:r>
        <w:rPr>
          <w:rFonts w:hint="eastAsia"/>
          <w:color w:val="auto"/>
          <w:highlight w:val="none"/>
        </w:rPr>
        <w:t>详见第一章采购公告（采购邀请书）</w:t>
      </w:r>
      <w:r>
        <w:rPr>
          <w:color w:val="auto"/>
          <w:highlight w:val="none"/>
        </w:rPr>
        <w:t>3.供应商资格要求</w:t>
      </w:r>
    </w:p>
    <w:p>
      <w:pPr>
        <w:adjustRightInd w:val="0"/>
        <w:snapToGrid w:val="0"/>
        <w:spacing w:line="600" w:lineRule="exact"/>
        <w:jc w:val="left"/>
        <w:rPr>
          <w:rFonts w:ascii="仿宋_GB2312" w:eastAsia="仿宋_GB2312"/>
          <w:color w:val="auto"/>
          <w:sz w:val="28"/>
          <w:szCs w:val="28"/>
          <w:highlight w:val="none"/>
        </w:rPr>
      </w:pPr>
      <w:r>
        <w:rPr>
          <w:rFonts w:asciiTheme="minorEastAsia" w:hAnsiTheme="minorEastAsia"/>
          <w:b/>
          <w:color w:val="auto"/>
          <w:sz w:val="32"/>
          <w:szCs w:val="32"/>
          <w:highlight w:val="none"/>
        </w:rPr>
        <w:t xml:space="preserve">2.  </w:t>
      </w:r>
      <w:r>
        <w:rPr>
          <w:rFonts w:hint="eastAsia" w:asciiTheme="minorEastAsia" w:hAnsiTheme="minorEastAsia"/>
          <w:b/>
          <w:color w:val="auto"/>
          <w:sz w:val="32"/>
          <w:szCs w:val="32"/>
          <w:highlight w:val="none"/>
        </w:rPr>
        <w:t>本次交易一般规则</w:t>
      </w:r>
      <w:r>
        <w:rPr>
          <w:rFonts w:asciiTheme="minorEastAsia" w:hAnsiTheme="minorEastAsia"/>
          <w:b/>
          <w:color w:val="auto"/>
          <w:sz w:val="32"/>
          <w:szCs w:val="32"/>
          <w:highlight w:val="none"/>
        </w:rPr>
        <w:t>.</w:t>
      </w:r>
      <w:r>
        <w:rPr>
          <w:rFonts w:hint="eastAsia" w:ascii="仿宋_GB2312" w:eastAsia="仿宋_GB2312"/>
          <w:color w:val="auto"/>
          <w:sz w:val="28"/>
          <w:szCs w:val="28"/>
          <w:highlight w:val="none"/>
        </w:rPr>
        <w:t>表</w:t>
      </w:r>
      <w:r>
        <w:rPr>
          <w:rFonts w:ascii="仿宋_GB2312" w:eastAsia="仿宋_GB2312"/>
          <w:color w:val="auto"/>
          <w:sz w:val="28"/>
          <w:szCs w:val="28"/>
          <w:highlight w:val="none"/>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w:t>
            </w:r>
            <w:r>
              <w:rPr>
                <w:rFonts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1.2.1供应商对采购文件有疑问的，应当在提交响应文件截止之日</w:t>
            </w:r>
            <w:r>
              <w:rPr>
                <w:rFonts w:ascii="仿宋_GB2312" w:eastAsia="仿宋_GB2312"/>
                <w:color w:val="auto"/>
                <w:sz w:val="24"/>
                <w:szCs w:val="24"/>
                <w:highlight w:val="none"/>
                <w:u w:val="single"/>
              </w:rPr>
              <w:t>2</w:t>
            </w:r>
            <w:r>
              <w:rPr>
                <w:rFonts w:hint="eastAsia" w:ascii="仿宋_GB2312" w:eastAsia="仿宋_GB2312"/>
                <w:color w:val="auto"/>
                <w:sz w:val="24"/>
                <w:szCs w:val="24"/>
                <w:highlight w:val="none"/>
              </w:rPr>
              <w:t>个工作日前，以书面形式提出。</w:t>
            </w:r>
          </w:p>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r>
              <w:rPr>
                <w:rFonts w:ascii="仿宋_GB2312" w:eastAsia="仿宋_GB2312" w:hAnsiTheme="minorEastAsia"/>
                <w:color w:val="auto"/>
                <w:sz w:val="24"/>
                <w:szCs w:val="24"/>
                <w:highlight w:val="none"/>
              </w:rPr>
              <w:t>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及其</w:t>
            </w:r>
          </w:p>
          <w:p>
            <w:pPr>
              <w:jc w:val="center"/>
              <w:rPr>
                <w:color w:val="auto"/>
                <w:sz w:val="24"/>
                <w:szCs w:val="24"/>
                <w:highlight w:val="none"/>
              </w:rPr>
            </w:pPr>
            <w:r>
              <w:rPr>
                <w:rFonts w:hint="eastAsia"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w:t>
            </w:r>
            <w:r>
              <w:rPr>
                <w:rFonts w:ascii="仿宋_GB2312" w:eastAsia="仿宋_GB2312" w:hAnsiTheme="minorEastAsia"/>
                <w:color w:val="auto"/>
                <w:sz w:val="24"/>
                <w:szCs w:val="24"/>
                <w:highlight w:val="none"/>
              </w:rPr>
              <w:t>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hint="eastAsia"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ascii="仿宋_GB2312" w:eastAsia="仿宋_GB2312" w:hAnsiTheme="minorEastAsia"/>
                <w:color w:val="auto"/>
                <w:sz w:val="24"/>
                <w:szCs w:val="24"/>
                <w:highlight w:val="none"/>
              </w:rPr>
              <w:t xml:space="preserve">1份，副本 </w:t>
            </w:r>
            <w:r>
              <w:rPr>
                <w:rFonts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7.1 </w:t>
      </w:r>
      <w:r>
        <w:rPr>
          <w:rFonts w:hint="eastAsia" w:ascii="仿宋_GB2312" w:eastAsia="仿宋_GB2312"/>
          <w:color w:val="auto"/>
          <w:sz w:val="28"/>
          <w:szCs w:val="28"/>
          <w:highlight w:val="none"/>
        </w:rPr>
        <w:t>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7.3 </w:t>
      </w:r>
      <w:r>
        <w:rPr>
          <w:rFonts w:hint="eastAsia" w:ascii="仿宋_GB2312" w:eastAsia="仿宋_GB2312"/>
          <w:color w:val="auto"/>
          <w:sz w:val="28"/>
          <w:szCs w:val="28"/>
          <w:highlight w:val="none"/>
        </w:rPr>
        <w:t>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widowControl/>
        <w:jc w:val="left"/>
        <w:rPr>
          <w:rFonts w:ascii="宋体" w:hAnsi="宋体" w:eastAsia="等线" w:cs="Times New Roman"/>
          <w:color w:val="auto"/>
          <w:kern w:val="0"/>
          <w:sz w:val="24"/>
          <w:szCs w:val="24"/>
          <w:highlight w:val="none"/>
        </w:rPr>
      </w:pPr>
      <w:r>
        <w:rPr>
          <w:color w:val="auto"/>
          <w:highlight w:val="none"/>
        </w:rPr>
        <w:br w:type="page"/>
      </w: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ascii="仿宋_GB2312" w:eastAsia="仿宋_GB2312" w:hAnsiTheme="majorEastAsia"/>
          <w:color w:val="auto"/>
          <w:sz w:val="28"/>
          <w:szCs w:val="28"/>
          <w:highlight w:val="none"/>
          <w:u w:val="single"/>
        </w:rPr>
        <w:t xml:space="preserve">           </w:t>
      </w:r>
      <w:r>
        <w:rPr>
          <w:rFonts w:ascii="仿宋_GB2312" w:eastAsia="仿宋_GB2312" w:hAnsiTheme="majorEastAsia"/>
          <w:color w:val="auto"/>
          <w:sz w:val="28"/>
          <w:szCs w:val="28"/>
          <w:highlight w:val="none"/>
        </w:rPr>
        <w:t xml:space="preserve">      记录人</w:t>
      </w:r>
      <w:r>
        <w:rPr>
          <w:rFonts w:ascii="仿宋_GB2312" w:eastAsia="仿宋_GB2312" w:hAnsiTheme="majorEastAsia"/>
          <w:color w:val="auto"/>
          <w:sz w:val="28"/>
          <w:szCs w:val="28"/>
          <w:highlight w:val="none"/>
          <w:u w:val="single"/>
        </w:rPr>
        <w:t xml:space="preserve">          </w:t>
      </w:r>
      <w:r>
        <w:rPr>
          <w:rFonts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asciiTheme="majorEastAsia" w:hAnsiTheme="majorEastAsia" w:eastAsiaTheme="majorEastAsia"/>
          <w:b/>
          <w:color w:val="auto"/>
          <w:sz w:val="28"/>
          <w:szCs w:val="28"/>
          <w:highlight w:val="none"/>
        </w:rPr>
        <w:t>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w:t>
      </w:r>
      <w:r>
        <w:rPr>
          <w:rFonts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asciiTheme="majorEastAsia" w:hAnsiTheme="majorEastAsia" w:eastAsiaTheme="majorEastAsia"/>
          <w:b/>
          <w:color w:val="auto"/>
          <w:sz w:val="28"/>
          <w:szCs w:val="28"/>
          <w:highlight w:val="none"/>
        </w:rPr>
        <w:t>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问题澄清通知（编号：</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asciiTheme="majorEastAsia" w:hAnsiTheme="majorEastAsia" w:eastAsiaTheme="majorEastAsia"/>
          <w:b/>
          <w:color w:val="auto"/>
          <w:sz w:val="28"/>
          <w:szCs w:val="28"/>
          <w:highlight w:val="none"/>
        </w:rPr>
        <w:t xml:space="preserve">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ascii="仿宋_GB2312" w:eastAsia="仿宋_GB2312" w:hAnsiTheme="majorEastAsia"/>
          <w:color w:val="auto"/>
          <w:sz w:val="28"/>
          <w:szCs w:val="28"/>
          <w:highlight w:val="none"/>
          <w:u w:val="single"/>
        </w:rPr>
        <w:t xml:space="preserve">                  </w:t>
      </w:r>
      <w:r>
        <w:rPr>
          <w:rFonts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t xml:space="preserve"> </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2329180</wp:posOffset>
                </wp:positionH>
                <wp:positionV relativeFrom="paragraph">
                  <wp:posOffset>643255</wp:posOffset>
                </wp:positionV>
                <wp:extent cx="958850" cy="0"/>
                <wp:effectExtent l="12065" t="7620" r="10160" b="11430"/>
                <wp:wrapNone/>
                <wp:docPr id="15"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83.4pt;margin-top:50.6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JYRTt1gAAAAkBAAAPAAAAAAAAAAEAIAAAACIA&#10;AABkcnMvZG93bnJldi54bWxQSwECFAAUAAAACACHTuJAlk1DTtIBAACyAwAADgAAAAAAAAABACAA&#10;AAAlAQAAZHJzL2Uyb0RvYy54bWxQSwUGAAAAAAYABgBZAQAAaQU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9525" t="5715" r="12700" b="13335"/>
                <wp:wrapNone/>
                <wp:docPr id="14"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0PytYAAAAJAQAADwAAAAAAAAABACAAAAAi&#10;AAAAZHJzL2Rvd25yZXYueG1sUEsBAhQAFAAAAAgAh07iQHGgppvTAQAAsgMAAA4AAAAAAAAAAQAg&#10;AAAAJQEAAGRycy9lMm9Eb2MueG1sUEsFBgAAAAAGAAYAWQEAAGo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3"/>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color w:val="auto"/>
          <w:kern w:val="0"/>
          <w:sz w:val="44"/>
          <w:szCs w:val="44"/>
          <w:highlight w:val="none"/>
        </w:rPr>
      </w:pPr>
      <w:r>
        <w:rPr>
          <w:rFonts w:ascii="方正小标宋简体" w:eastAsia="方正小标宋简体"/>
          <w:color w:val="auto"/>
          <w:sz w:val="44"/>
          <w:szCs w:val="44"/>
          <w:highlight w:val="none"/>
        </w:rPr>
        <w:br w:type="page"/>
      </w: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 xml:space="preserve"> </w:t>
            </w:r>
            <w:r>
              <w:rPr>
                <w:rFonts w:ascii="仿宋_GB2312" w:eastAsia="仿宋_GB2312" w:hAnsiTheme="minorEastAsia"/>
                <w:color w:val="auto"/>
                <w:sz w:val="24"/>
                <w:szCs w:val="24"/>
                <w:highlight w:val="none"/>
                <w:u w:val="single"/>
              </w:rPr>
              <w:t xml:space="preserve"> </w:t>
            </w:r>
            <w:r>
              <w:rPr>
                <w:rFonts w:ascii="仿宋_GB2312" w:eastAsia="仿宋_GB2312" w:hAnsiTheme="minorEastAsia"/>
                <w:color w:val="auto"/>
                <w:sz w:val="24"/>
                <w:szCs w:val="24"/>
                <w:highlight w:val="none"/>
              </w:rPr>
              <w:t xml:space="preserve">1.1 </w:t>
            </w:r>
            <w:r>
              <w:rPr>
                <w:rFonts w:hint="eastAsia" w:ascii="仿宋_GB2312" w:eastAsia="仿宋_GB2312" w:hAnsiTheme="minorEastAsia"/>
                <w:color w:val="auto"/>
                <w:sz w:val="24"/>
                <w:szCs w:val="24"/>
                <w:highlight w:val="none"/>
              </w:rPr>
              <w:t>在采购文件约定的时间、地点，供应商应向采购人提交响应文件；响应文件按照采购文件第二章供应商须知</w:t>
            </w:r>
            <w:r>
              <w:rPr>
                <w:rFonts w:ascii="仿宋_GB2312" w:eastAsia="仿宋_GB2312" w:hAnsiTheme="minorEastAsia"/>
                <w:color w:val="auto"/>
                <w:sz w:val="24"/>
                <w:szCs w:val="24"/>
                <w:highlight w:val="none"/>
              </w:rPr>
              <w:t>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 xml:space="preserve">1.2 </w:t>
            </w:r>
            <w:r>
              <w:rPr>
                <w:rFonts w:hint="eastAsia" w:ascii="仿宋_GB2312" w:eastAsia="仿宋_GB2312" w:hAnsiTheme="minorEastAsia"/>
                <w:color w:val="auto"/>
                <w:sz w:val="24"/>
                <w:szCs w:val="24"/>
                <w:highlight w:val="none"/>
              </w:rPr>
              <w:t>资格审查执行第二章供应商须知</w:t>
            </w:r>
            <w:r>
              <w:rPr>
                <w:rFonts w:ascii="仿宋_GB2312" w:eastAsia="仿宋_GB2312" w:hAnsiTheme="minorEastAsia"/>
                <w:color w:val="auto"/>
                <w:sz w:val="24"/>
                <w:szCs w:val="24"/>
                <w:highlight w:val="none"/>
              </w:rPr>
              <w:t>1.对供应商的资格要求</w:t>
            </w:r>
          </w:p>
          <w:p>
            <w:pPr>
              <w:adjustRightInd w:val="0"/>
              <w:snapToGrid w:val="0"/>
              <w:ind w:left="480" w:hanging="480" w:hangingChars="200"/>
              <w:rPr>
                <w:rFonts w:ascii="仿宋_GB2312" w:eastAsia="仿宋_GB2312"/>
                <w:color w:val="auto"/>
                <w:sz w:val="24"/>
                <w:szCs w:val="24"/>
                <w:highlight w:val="none"/>
              </w:rPr>
            </w:pPr>
            <w:r>
              <w:rPr>
                <w:rFonts w:ascii="仿宋_GB2312" w:eastAsia="仿宋_GB2312" w:hAnsiTheme="minorEastAsia"/>
                <w:color w:val="auto"/>
                <w:sz w:val="24"/>
                <w:szCs w:val="24"/>
                <w:highlight w:val="none"/>
              </w:rPr>
              <w:t xml:space="preserve">1.3 </w:t>
            </w:r>
            <w:r>
              <w:rPr>
                <w:rFonts w:hint="eastAsia" w:ascii="仿宋_GB2312" w:eastAsia="仿宋_GB2312" w:hAnsiTheme="minorEastAsia"/>
                <w:color w:val="auto"/>
                <w:sz w:val="24"/>
                <w:szCs w:val="24"/>
                <w:highlight w:val="none"/>
              </w:rPr>
              <w:t>响应文件提交截止后，递交响应文件供应商不足</w:t>
            </w:r>
            <w:r>
              <w:rPr>
                <w:rFonts w:ascii="仿宋_GB2312" w:eastAsia="仿宋_GB2312" w:hAnsiTheme="minorEastAsia"/>
                <w:color w:val="auto"/>
                <w:sz w:val="24"/>
                <w:szCs w:val="24"/>
                <w:highlight w:val="none"/>
              </w:rPr>
              <w:t>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ascii="仿宋_GB2312" w:eastAsia="仿宋_GB2312" w:hAnsiTheme="minorEastAsia"/>
                <w:color w:val="auto"/>
                <w:sz w:val="24"/>
                <w:szCs w:val="24"/>
                <w:highlight w:val="none"/>
              </w:rPr>
              <w:t xml:space="preserve">2.1 </w:t>
            </w:r>
            <w:r>
              <w:rPr>
                <w:rFonts w:hint="eastAsia" w:ascii="仿宋_GB2312" w:eastAsia="仿宋_GB2312" w:hAnsiTheme="minorEastAsia"/>
                <w:color w:val="auto"/>
                <w:sz w:val="24"/>
                <w:szCs w:val="24"/>
                <w:highlight w:val="none"/>
              </w:rPr>
              <w:t>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w:t>
            </w:r>
            <w:r>
              <w:rPr>
                <w:rFonts w:ascii="仿宋_GB2312" w:eastAsia="仿宋_GB2312" w:hAnsiTheme="minorEastAsia"/>
                <w:color w:val="auto"/>
                <w:sz w:val="24"/>
                <w:szCs w:val="24"/>
                <w:highlight w:val="none"/>
                <w:u w:val="single"/>
              </w:rPr>
              <w:t>501号广州市净水有限公司</w:t>
            </w:r>
          </w:p>
          <w:p>
            <w:pPr>
              <w:adjustRightInd w:val="0"/>
              <w:snapToGrid w:val="0"/>
              <w:rPr>
                <w:rFonts w:ascii="仿宋_GB2312" w:eastAsia="仿宋_GB2312" w:hAnsiTheme="minorEastAsia"/>
                <w:color w:val="auto"/>
                <w:sz w:val="24"/>
                <w:szCs w:val="24"/>
                <w:highlight w:val="none"/>
                <w:u w:val="single"/>
              </w:rPr>
            </w:pPr>
            <w:r>
              <w:rPr>
                <w:rFonts w:ascii="仿宋_GB2312" w:eastAsia="仿宋_GB2312" w:hAnsiTheme="minorEastAsia"/>
                <w:color w:val="auto"/>
                <w:sz w:val="24"/>
                <w:szCs w:val="24"/>
                <w:highlight w:val="none"/>
              </w:rPr>
              <w:t xml:space="preserve">2.3 </w:t>
            </w:r>
            <w:r>
              <w:rPr>
                <w:rFonts w:hint="eastAsia" w:ascii="仿宋_GB2312" w:eastAsia="仿宋_GB2312" w:hAnsiTheme="minorEastAsia"/>
                <w:color w:val="auto"/>
                <w:sz w:val="24"/>
                <w:szCs w:val="24"/>
                <w:highlight w:val="none"/>
              </w:rPr>
              <w:t>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ascii="仿宋_GB2312" w:eastAsia="仿宋_GB2312"/>
                <w:color w:val="auto"/>
                <w:sz w:val="24"/>
                <w:szCs w:val="24"/>
                <w:highlight w:val="none"/>
              </w:rPr>
              <w:t xml:space="preserve">2.4 </w:t>
            </w:r>
            <w:r>
              <w:rPr>
                <w:rFonts w:hint="eastAsia" w:ascii="仿宋_GB2312" w:eastAsia="仿宋_GB2312"/>
                <w:color w:val="auto"/>
                <w:sz w:val="24"/>
                <w:szCs w:val="24"/>
                <w:highlight w:val="none"/>
              </w:rPr>
              <w:t>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ascii="仿宋_GB2312" w:eastAsia="仿宋_GB2312" w:hAnsiTheme="minorEastAsia"/>
                <w:color w:val="auto"/>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w:t>
            </w:r>
            <w:r>
              <w:rPr>
                <w:rFonts w:ascii="仿宋_GB2312" w:eastAsia="仿宋_GB2312" w:hAnsiTheme="minorEastAsia"/>
                <w:color w:val="auto"/>
                <w:sz w:val="24"/>
                <w:szCs w:val="24"/>
                <w:highlight w:val="none"/>
              </w:rPr>
              <w:t>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ascii="仿宋_GB2312" w:eastAsia="仿宋_GB2312" w:hAnsiTheme="minorEastAsia"/>
                <w:color w:val="auto"/>
                <w:sz w:val="24"/>
                <w:szCs w:val="24"/>
                <w:highlight w:val="none"/>
              </w:rPr>
              <w:t>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0930"/>
      <w:bookmarkStart w:id="36" w:name="_Toc23581"/>
      <w:bookmarkStart w:id="37" w:name="_Toc20594"/>
      <w:bookmarkStart w:id="38" w:name="_Toc7437"/>
      <w:bookmarkStart w:id="39" w:name="_Toc3156"/>
      <w:bookmarkStart w:id="40" w:name="_Toc7118"/>
      <w:bookmarkStart w:id="41" w:name="_Toc14552"/>
      <w:bookmarkStart w:id="42" w:name="_Toc19759"/>
      <w:bookmarkStart w:id="43" w:name="_Toc14870"/>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9525" t="13970" r="12700" b="5080"/>
                <wp:wrapNone/>
                <wp:docPr id="13"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mwvrXAAAACwEAAA8AAAAAAAAAAQAgAAAA&#10;IgAAAGRycy9kb3ducmV2LnhtbFBLAQIUABQAAAAIAIdO4kAT7gvk0wEAALI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9525" t="12065" r="12700" b="6985"/>
                <wp:wrapNone/>
                <wp:docPr id="12"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EaFa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CXIqgPE/8yyFBoRZ32Z8xUs1p&#10;m7DDrFCfwlN8BP2LRIDNoEJvSvLzOXLtLFdUf5XkA0Vm2Y/foOUcxfjFrFOHPkOyDeJUZnJ+mYk5&#10;JaH58vNiuVzwtPQtVKn6VheR0lcDXuRNIymhsv2QNhACDx5wVljU8ZFS7krVt4JMGuDBOlfm74IY&#10;M9N8UQoInG1zMKcR9vuNQ3FU+QWVr0jkyOs0hENoLyQuXB3Ioi/27aE97/DmDI+ydHN9dvmtvD6X&#10;6j+/2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w64ENcAAAAJAQAADwAAAAAAAAABACAAAAAi&#10;AAAAZHJzL2Rvd25yZXYueG1sUEsBAhQAFAAAAAgAh07iQDgRoVrSAQAAsgMAAA4AAAAAAAAAAQAg&#10;AAAAJg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12177"/>
      <w:bookmarkStart w:id="46" w:name="_Toc7831"/>
      <w:bookmarkStart w:id="47" w:name="_Toc21840"/>
      <w:bookmarkStart w:id="48" w:name="_Toc87616378"/>
      <w:bookmarkStart w:id="49" w:name="_Toc21079"/>
      <w:bookmarkStart w:id="50" w:name="_Toc29484"/>
      <w:bookmarkStart w:id="51" w:name="_Toc29345"/>
      <w:bookmarkStart w:id="52" w:name="_Toc13898"/>
      <w:bookmarkStart w:id="53" w:name="_Toc32607"/>
      <w:bookmarkStart w:id="54" w:name="_Toc22212"/>
      <w:bookmarkStart w:id="55" w:name="_Toc30530"/>
      <w:bookmarkStart w:id="56" w:name="_Toc88209941"/>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 xml:space="preserve">2.1 </w:t>
      </w:r>
      <w:r>
        <w:rPr>
          <w:rFonts w:hint="eastAsia" w:ascii="仿宋_GB2312" w:eastAsia="仿宋_GB2312" w:hAnsiTheme="minorEastAsia"/>
          <w:color w:val="auto"/>
          <w:sz w:val="28"/>
          <w:szCs w:val="28"/>
          <w:highlight w:val="none"/>
        </w:rPr>
        <w:t>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color w:val="auto"/>
          <w:sz w:val="28"/>
          <w:szCs w:val="28"/>
          <w:highlight w:val="none"/>
        </w:rPr>
        <w:t>表</w:t>
      </w:r>
      <w:r>
        <w:rPr>
          <w:rFonts w:ascii="仿宋_GB2312" w:eastAsia="仿宋_GB2312"/>
          <w:color w:val="auto"/>
          <w:sz w:val="28"/>
          <w:szCs w:val="28"/>
          <w:highlight w:val="none"/>
        </w:rPr>
        <w:t xml:space="preserve">4-1                      </w:t>
      </w:r>
      <w:r>
        <w:rPr>
          <w:rFonts w:hint="eastAsia" w:ascii="仿宋_GB2312" w:eastAsia="仿宋_GB2312"/>
          <w:color w:val="auto"/>
          <w:sz w:val="28"/>
          <w:szCs w:val="28"/>
          <w:highlight w:val="none"/>
        </w:rPr>
        <w:t>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 xml:space="preserve">2.3评审结果 </w:t>
      </w:r>
      <w:r>
        <w:rPr>
          <w:rFonts w:hint="eastAsia" w:ascii="仿宋_GB2312" w:eastAsia="仿宋_GB2312" w:hAnsiTheme="minorEastAsia"/>
          <w:color w:val="auto"/>
          <w:sz w:val="28"/>
          <w:szCs w:val="28"/>
          <w:highlight w:val="none"/>
        </w:rPr>
        <w:t>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widowControl/>
        <w:jc w:val="left"/>
        <w:rPr>
          <w:rFonts w:ascii="仿宋_GB2312" w:eastAsia="仿宋_GB2312" w:cs="Times New Roman" w:hAnsiTheme="minorEastAsia"/>
          <w:color w:val="auto"/>
          <w:kern w:val="0"/>
          <w:sz w:val="24"/>
          <w:szCs w:val="21"/>
          <w:highlight w:val="none"/>
        </w:rPr>
      </w:pPr>
      <w:r>
        <w:rPr>
          <w:rFonts w:ascii="仿宋_GB2312" w:eastAsia="仿宋_GB2312" w:hAnsiTheme="minorEastAsia"/>
          <w:color w:val="auto"/>
          <w:szCs w:val="21"/>
          <w:highlight w:val="none"/>
        </w:rPr>
        <w:br w:type="page"/>
      </w: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5715" t="10795" r="6985" b="8255"/>
                <wp:wrapNone/>
                <wp:docPr id="1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2AsR1wAAAAsBAAAPAAAAAAAAAAEAIAAA&#10;ACIAAABkcnMvZG93bnJldi54bWxQSwECFAAUAAAACACHTuJAyf6cxdQBAACzAwAADgAAAAAAAAAB&#10;ACAAAAAmAQAAZHJzL2Uyb0RvYy54bWxQSwUGAAAAAAYABgBZAQAAb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13335" t="11430" r="8890" b="7620"/>
                <wp:wrapNone/>
                <wp:docPr id="10"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K2LetYAAAAJAQAADwAAAAAAAAABACAAAAAiAAAA&#10;ZHJzL2Rvd25yZXYueG1sUEsBAhQAFAAAAAgAh07iQBoxcgnQAQAAswMAAA4AAAAAAAAAAQAgAAAA&#10;JQEAAGRycy9lMm9Eb2MueG1sUEsFBgAAAAAGAAYAWQEAAGc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p>
      <w:pPr>
        <w:widowControl/>
        <w:jc w:val="left"/>
        <w:rPr>
          <w:rFonts w:ascii="宋体" w:hAnsi="宋体" w:eastAsia="等线" w:cs="Times New Roman"/>
          <w:color w:val="auto"/>
          <w:kern w:val="0"/>
          <w:sz w:val="24"/>
          <w:szCs w:val="44"/>
          <w:highlight w:val="none"/>
        </w:rPr>
      </w:pPr>
      <w:r>
        <w:rPr>
          <w:color w:val="auto"/>
          <w:szCs w:val="44"/>
          <w:highlight w:val="none"/>
        </w:rPr>
        <w:br w:type="page"/>
      </w:r>
    </w:p>
    <w:bookmarkEnd w:id="60"/>
    <w:p>
      <w:pPr>
        <w:pStyle w:val="2"/>
        <w:rPr>
          <w:color w:val="auto"/>
          <w:highlight w:val="none"/>
        </w:rPr>
      </w:pPr>
    </w:p>
    <w:p>
      <w:pPr>
        <w:pStyle w:val="5"/>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29871"/>
      <w:bookmarkStart w:id="62" w:name="_Toc17348"/>
      <w:bookmarkStart w:id="63" w:name="_Toc25033"/>
      <w:bookmarkStart w:id="64" w:name="_Toc10599"/>
      <w:bookmarkStart w:id="65" w:name="_Toc14677"/>
      <w:bookmarkStart w:id="66" w:name="_Toc15950"/>
      <w:bookmarkStart w:id="67" w:name="_Toc499646386"/>
      <w:bookmarkStart w:id="68" w:name="_Toc13011"/>
      <w:bookmarkStart w:id="69" w:name="_Toc4719"/>
      <w:bookmarkStart w:id="70" w:name="_Toc9482"/>
      <w:bookmarkStart w:id="71" w:name="_Toc20689"/>
      <w:bookmarkStart w:id="72" w:name="_Toc3215"/>
      <w:bookmarkStart w:id="73" w:name="_Toc27481"/>
      <w:bookmarkStart w:id="74" w:name="_Toc10028"/>
      <w:bookmarkStart w:id="75" w:name="_Toc8717"/>
      <w:bookmarkStart w:id="76" w:name="_Toc3470"/>
      <w:bookmarkStart w:id="77" w:name="_Toc495915334"/>
      <w:bookmarkStart w:id="78" w:name="_Toc4833"/>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项目的建设目标是保证地埋式净水厂地下空间的对讲机信号通讯的畅通，通过对讲机信号覆盖系统更新改造，为建设信息化智能化地埋式净水厂提供基础通讯保障，从而为厂区安全生产的正常稳定运行保驾护航。</w:t>
      </w:r>
    </w:p>
    <w:p>
      <w:pPr>
        <w:pStyle w:val="6"/>
        <w:rPr>
          <w:rFonts w:asciiTheme="majorEastAsia" w:hAnsiTheme="majorEastAsia" w:eastAsiaTheme="majorEastAsia"/>
          <w:b w:val="0"/>
          <w:color w:val="auto"/>
          <w:sz w:val="28"/>
          <w:szCs w:val="28"/>
          <w:highlight w:val="none"/>
        </w:rPr>
      </w:pPr>
      <w:bookmarkStart w:id="80" w:name="_Toc23145"/>
      <w:bookmarkStart w:id="81" w:name="_Toc27242"/>
      <w:bookmarkStart w:id="82" w:name="_Toc26054"/>
      <w:bookmarkStart w:id="83" w:name="_Toc12931"/>
      <w:bookmarkStart w:id="84" w:name="_Toc1412"/>
      <w:bookmarkStart w:id="85" w:name="_Toc12764"/>
      <w:bookmarkStart w:id="86" w:name="_Toc19162"/>
      <w:bookmarkStart w:id="87" w:name="_Toc3555"/>
      <w:bookmarkStart w:id="88" w:name="_Toc12433"/>
      <w:bookmarkStart w:id="89" w:name="_Toc499646389"/>
      <w:bookmarkStart w:id="90" w:name="_Toc15157"/>
      <w:bookmarkStart w:id="91" w:name="_Toc101423160"/>
      <w:bookmarkStart w:id="92" w:name="_Toc3384"/>
      <w:bookmarkStart w:id="93" w:name="_Toc4029"/>
      <w:bookmarkStart w:id="94" w:name="_Toc4069"/>
      <w:bookmarkStart w:id="95" w:name="_Toc430701020"/>
      <w:bookmarkStart w:id="96" w:name="_Toc13880"/>
      <w:bookmarkStart w:id="97" w:name="_Toc495915337"/>
      <w:bookmarkStart w:id="98" w:name="_Toc12933"/>
      <w:bookmarkStart w:id="99" w:name="_Toc470514645"/>
      <w:bookmarkStart w:id="100" w:name="_Toc20690"/>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45"/>
        <w:ind w:left="0" w:firstLine="560" w:firstLineChars="200"/>
        <w:rPr>
          <w:rFonts w:ascii="仿宋_GB2312" w:eastAsia="仿宋_GB2312"/>
          <w:color w:val="auto"/>
          <w:sz w:val="28"/>
          <w:szCs w:val="28"/>
          <w:highlight w:val="none"/>
          <w:lang w:bidi="ar"/>
        </w:rPr>
      </w:pPr>
      <w:r>
        <w:rPr>
          <w:rFonts w:hint="eastAsia" w:ascii="仿宋_GB2312" w:eastAsia="仿宋_GB2312"/>
          <w:color w:val="auto"/>
          <w:sz w:val="28"/>
          <w:szCs w:val="28"/>
          <w:highlight w:val="none"/>
          <w:lang w:bidi="ar"/>
        </w:rPr>
        <w:t>本次对讲机信号覆盖更新改造项目的建设内容主要包括数字对讲机信号覆盖的主要设备中继器、双工器、耦合器以及天线等的采购安装调试等工作。</w:t>
      </w:r>
    </w:p>
    <w:p>
      <w:pPr>
        <w:pStyle w:val="6"/>
        <w:rPr>
          <w:rFonts w:asciiTheme="majorEastAsia" w:hAnsiTheme="majorEastAsia" w:eastAsiaTheme="majorEastAsia"/>
          <w:b w:val="0"/>
          <w:color w:val="auto"/>
          <w:sz w:val="28"/>
          <w:szCs w:val="28"/>
          <w:highlight w:val="none"/>
        </w:rPr>
      </w:pPr>
      <w:bookmarkStart w:id="101" w:name="_Toc101423161"/>
      <w:r>
        <w:rPr>
          <w:rFonts w:asciiTheme="majorEastAsia" w:hAnsiTheme="majorEastAsia" w:eastAsiaTheme="majorEastAsia"/>
          <w:b w:val="0"/>
          <w:color w:val="auto"/>
          <w:sz w:val="28"/>
          <w:szCs w:val="28"/>
          <w:highlight w:val="none"/>
        </w:rPr>
        <w:t>3</w:t>
      </w:r>
      <w:r>
        <w:rPr>
          <w:rFonts w:hint="eastAsia" w:asciiTheme="majorEastAsia" w:hAnsiTheme="majorEastAsia" w:eastAsiaTheme="majorEastAsia"/>
          <w:b w:val="0"/>
          <w:color w:val="auto"/>
          <w:sz w:val="28"/>
          <w:szCs w:val="28"/>
          <w:highlight w:val="none"/>
        </w:rPr>
        <w:t>建设范围</w:t>
      </w:r>
      <w:bookmarkEnd w:id="101"/>
    </w:p>
    <w:p>
      <w:pPr>
        <w:adjustRightInd w:val="0"/>
        <w:snapToGrid w:val="0"/>
        <w:ind w:firstLine="42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本项目涉及广州市净水有限公司下属的</w:t>
      </w:r>
      <w:r>
        <w:rPr>
          <w:rFonts w:ascii="仿宋_GB2312" w:hAnsi="宋体" w:eastAsia="仿宋_GB2312"/>
          <w:color w:val="auto"/>
          <w:sz w:val="28"/>
          <w:szCs w:val="28"/>
          <w:highlight w:val="none"/>
        </w:rPr>
        <w:t>3</w:t>
      </w:r>
      <w:r>
        <w:rPr>
          <w:rFonts w:hint="eastAsia" w:ascii="仿宋_GB2312" w:hAnsi="宋体" w:eastAsia="仿宋_GB2312"/>
          <w:color w:val="auto"/>
          <w:sz w:val="28"/>
          <w:szCs w:val="28"/>
          <w:highlight w:val="none"/>
        </w:rPr>
        <w:t>个地埋式净水厂，具体见下表：</w:t>
      </w:r>
      <w:r>
        <w:rPr>
          <w:rFonts w:ascii="仿宋_GB2312" w:hAnsi="宋体" w:eastAsia="仿宋_GB2312"/>
          <w:color w:val="auto"/>
          <w:sz w:val="28"/>
          <w:szCs w:val="28"/>
          <w:highlight w:val="none"/>
        </w:rPr>
        <w:t xml:space="preserve"> </w:t>
      </w:r>
    </w:p>
    <w:tbl>
      <w:tblPr>
        <w:tblStyle w:val="20"/>
        <w:tblW w:w="8642" w:type="dxa"/>
        <w:jc w:val="center"/>
        <w:tblLayout w:type="autofit"/>
        <w:tblCellMar>
          <w:top w:w="0" w:type="dxa"/>
          <w:left w:w="108" w:type="dxa"/>
          <w:bottom w:w="0" w:type="dxa"/>
          <w:right w:w="108" w:type="dxa"/>
        </w:tblCellMar>
      </w:tblPr>
      <w:tblGrid>
        <w:gridCol w:w="1080"/>
        <w:gridCol w:w="1780"/>
        <w:gridCol w:w="4365"/>
        <w:gridCol w:w="1417"/>
      </w:tblGrid>
      <w:tr>
        <w:tblPrEx>
          <w:tblCellMar>
            <w:top w:w="0" w:type="dxa"/>
            <w:left w:w="108" w:type="dxa"/>
            <w:bottom w:w="0" w:type="dxa"/>
            <w:right w:w="108" w:type="dxa"/>
          </w:tblCellMar>
        </w:tblPrEx>
        <w:trPr>
          <w:trHeight w:val="7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序号</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地下净水厂</w:t>
            </w:r>
            <w:r>
              <w:rPr>
                <w:rFonts w:ascii="仿宋" w:hAnsi="仿宋" w:eastAsia="仿宋" w:cs="宋体"/>
                <w:color w:val="auto"/>
                <w:kern w:val="0"/>
                <w:szCs w:val="24"/>
                <w:highlight w:val="none"/>
              </w:rPr>
              <w:t xml:space="preserve"> </w:t>
            </w:r>
          </w:p>
        </w:tc>
        <w:tc>
          <w:tcPr>
            <w:tcW w:w="43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地址</w:t>
            </w:r>
            <w:r>
              <w:rPr>
                <w:rFonts w:ascii="仿宋" w:hAnsi="仿宋" w:eastAsia="仿宋" w:cs="宋体"/>
                <w:color w:val="auto"/>
                <w:kern w:val="0"/>
                <w:szCs w:val="24"/>
                <w:highlight w:val="none"/>
              </w:rPr>
              <w:t xml:space="preserve">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备注</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ascii="仿宋" w:hAnsi="仿宋" w:eastAsia="仿宋" w:cs="宋体"/>
                <w:color w:val="auto"/>
                <w:kern w:val="0"/>
                <w:szCs w:val="24"/>
                <w:highlight w: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沥滘三期</w:t>
            </w:r>
          </w:p>
        </w:tc>
        <w:tc>
          <w:tcPr>
            <w:tcW w:w="43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ascii="仿宋" w:hAnsi="仿宋" w:eastAsia="仿宋" w:cs="宋体"/>
                <w:color w:val="auto"/>
                <w:kern w:val="0"/>
                <w:szCs w:val="24"/>
                <w:highlight w:val="none"/>
              </w:rPr>
              <w:t xml:space="preserve"> 广州市海珠区南洲路1375号</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对讲机信号覆盖更新</w:t>
            </w:r>
          </w:p>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改造</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ascii="仿宋" w:hAnsi="仿宋" w:eastAsia="仿宋" w:cs="宋体"/>
                <w:color w:val="auto"/>
                <w:kern w:val="0"/>
                <w:szCs w:val="24"/>
                <w:highlight w:val="none"/>
              </w:rPr>
              <w:t>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京溪</w:t>
            </w:r>
          </w:p>
        </w:tc>
        <w:tc>
          <w:tcPr>
            <w:tcW w:w="43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广州市白云区沙太北路犀牛二马路</w:t>
            </w:r>
            <w:r>
              <w:rPr>
                <w:rFonts w:ascii="仿宋" w:hAnsi="仿宋" w:eastAsia="仿宋" w:cs="宋体"/>
                <w:color w:val="auto"/>
                <w:kern w:val="0"/>
                <w:szCs w:val="24"/>
                <w:highlight w:val="none"/>
              </w:rPr>
              <w:t>1号</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Cs w:val="28"/>
                <w:highlight w:val="none"/>
              </w:rPr>
            </w:pPr>
          </w:p>
        </w:tc>
      </w:tr>
    </w:tbl>
    <w:p>
      <w:pPr>
        <w:pStyle w:val="6"/>
        <w:rPr>
          <w:rFonts w:asciiTheme="majorEastAsia" w:hAnsiTheme="majorEastAsia" w:eastAsiaTheme="majorEastAsia"/>
          <w:b w:val="0"/>
          <w:color w:val="auto"/>
          <w:sz w:val="28"/>
          <w:szCs w:val="28"/>
          <w:highlight w:val="none"/>
        </w:rPr>
      </w:pPr>
      <w:bookmarkStart w:id="102" w:name="_Toc101423170"/>
      <w:bookmarkStart w:id="103" w:name="_Toc11372"/>
      <w:bookmarkStart w:id="104" w:name="_Toc16194"/>
      <w:bookmarkStart w:id="105" w:name="_Toc21836"/>
      <w:bookmarkStart w:id="106" w:name="_Toc28281"/>
      <w:r>
        <w:rPr>
          <w:rFonts w:asciiTheme="majorEastAsia" w:hAnsiTheme="majorEastAsia" w:eastAsiaTheme="majorEastAsia"/>
          <w:b w:val="0"/>
          <w:color w:val="auto"/>
          <w:sz w:val="28"/>
          <w:szCs w:val="28"/>
          <w:highlight w:val="none"/>
        </w:rPr>
        <w:t>4</w:t>
      </w:r>
      <w:r>
        <w:rPr>
          <w:rFonts w:hint="eastAsia" w:asciiTheme="majorEastAsia" w:hAnsiTheme="majorEastAsia" w:eastAsiaTheme="majorEastAsia"/>
          <w:b w:val="0"/>
          <w:color w:val="auto"/>
          <w:sz w:val="28"/>
          <w:szCs w:val="28"/>
          <w:highlight w:val="none"/>
        </w:rPr>
        <w:t>对讲机信号覆盖的技术需求</w:t>
      </w:r>
      <w:bookmarkEnd w:id="102"/>
    </w:p>
    <w:p>
      <w:pPr>
        <w:widowControl/>
        <w:spacing w:line="360" w:lineRule="auto"/>
        <w:jc w:val="left"/>
        <w:rPr>
          <w:rFonts w:ascii="仿宋_GB2312" w:hAnsi="宋体" w:eastAsia="仿宋_GB2312"/>
          <w:color w:val="auto"/>
          <w:sz w:val="28"/>
          <w:szCs w:val="28"/>
          <w:highlight w:val="none"/>
        </w:rPr>
      </w:pPr>
      <w:bookmarkStart w:id="107" w:name="_Toc32408"/>
      <w:bookmarkStart w:id="108" w:name="_Toc478921251"/>
      <w:bookmarkStart w:id="109" w:name="_Toc495915348"/>
      <w:r>
        <w:rPr>
          <w:rFonts w:ascii="仿宋_GB2312" w:hAnsi="宋体" w:eastAsia="仿宋_GB2312"/>
          <w:color w:val="auto"/>
          <w:sz w:val="28"/>
          <w:szCs w:val="28"/>
          <w:highlight w:val="none"/>
        </w:rPr>
        <w:t>4.1、中继台的基本要求</w:t>
      </w:r>
    </w:p>
    <w:p>
      <w:pPr>
        <w:widowControl/>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中继台与对讲机的品牌原则上要求为同一厂家，以保证系统长期使用的稳定性和可靠性。建议选择知名品牌，如摩托罗拉、海能达、</w:t>
      </w:r>
      <w:r>
        <w:rPr>
          <w:rFonts w:ascii="仿宋_GB2312" w:hAnsi="宋体" w:eastAsia="仿宋_GB2312"/>
          <w:color w:val="auto"/>
          <w:sz w:val="28"/>
          <w:szCs w:val="28"/>
          <w:highlight w:val="none"/>
        </w:rPr>
        <w:t>建伍</w:t>
      </w:r>
      <w:r>
        <w:rPr>
          <w:rFonts w:hint="eastAsia" w:ascii="仿宋_GB2312" w:hAnsi="宋体" w:eastAsia="仿宋_GB2312"/>
          <w:color w:val="auto"/>
          <w:sz w:val="28"/>
          <w:szCs w:val="28"/>
          <w:highlight w:val="none"/>
        </w:rPr>
        <w:t>等，保证产品质量。</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中继台是数字对讲机系统的核心设备，该设备性能的优劣直接影响整个系统的稳定性和可靠性，因此选取散热功能强，发热量小，语音通话清晰的成熟稳定产品，具体技术参数要求如下： </w:t>
      </w:r>
    </w:p>
    <w:tbl>
      <w:tblPr>
        <w:tblStyle w:val="20"/>
        <w:tblW w:w="4295" w:type="pct"/>
        <w:jc w:val="center"/>
        <w:tblLayout w:type="autofit"/>
        <w:tblCellMar>
          <w:top w:w="0" w:type="dxa"/>
          <w:left w:w="0" w:type="dxa"/>
          <w:bottom w:w="0" w:type="dxa"/>
          <w:right w:w="0" w:type="dxa"/>
        </w:tblCellMar>
      </w:tblPr>
      <w:tblGrid>
        <w:gridCol w:w="1963"/>
        <w:gridCol w:w="5881"/>
      </w:tblGrid>
      <w:tr>
        <w:tblPrEx>
          <w:tblCellMar>
            <w:top w:w="0" w:type="dxa"/>
            <w:left w:w="0" w:type="dxa"/>
            <w:bottom w:w="0" w:type="dxa"/>
            <w:right w:w="0" w:type="dxa"/>
          </w:tblCellMar>
        </w:tblPrEx>
        <w:trPr>
          <w:trHeight w:val="458" w:hRule="atLeas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b/>
                <w:bCs/>
                <w:color w:val="auto"/>
                <w:kern w:val="24"/>
                <w:szCs w:val="21"/>
                <w:highlight w:val="none"/>
              </w:rPr>
              <w:t>类别</w:t>
            </w:r>
            <w:r>
              <w:rPr>
                <w:rFonts w:ascii="仿宋_GB2312" w:eastAsia="仿宋_GB2312" w:cs="Arial"/>
                <w:color w:val="auto"/>
                <w:kern w:val="24"/>
                <w:szCs w:val="21"/>
                <w:highlight w:val="none"/>
              </w:rPr>
              <w:t xml:space="preserve"> </w:t>
            </w:r>
          </w:p>
        </w:tc>
        <w:tc>
          <w:tcPr>
            <w:tcW w:w="6198"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b/>
                <w:bCs/>
                <w:color w:val="auto"/>
                <w:kern w:val="24"/>
                <w:szCs w:val="21"/>
                <w:highlight w:val="none"/>
              </w:rPr>
              <w:t>说明</w:t>
            </w:r>
            <w:r>
              <w:rPr>
                <w:rFonts w:ascii="仿宋_GB2312" w:eastAsia="仿宋_GB2312" w:cs="Arial"/>
                <w:color w:val="auto"/>
                <w:kern w:val="24"/>
                <w:szCs w:val="21"/>
                <w:highlight w:val="none"/>
              </w:rPr>
              <w:t xml:space="preserve"> </w:t>
            </w:r>
          </w:p>
        </w:tc>
      </w:tr>
      <w:tr>
        <w:tblPrEx>
          <w:tblCellMar>
            <w:top w:w="0" w:type="dxa"/>
            <w:left w:w="0" w:type="dxa"/>
            <w:bottom w:w="0" w:type="dxa"/>
            <w:right w:w="0" w:type="dxa"/>
          </w:tblCellMar>
        </w:tblPrEx>
        <w:trPr>
          <w:trHeight w:val="1402" w:hRule="atLeas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频率范围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360" w:lineRule="auto"/>
              <w:jc w:val="center"/>
              <w:rPr>
                <w:rFonts w:ascii="仿宋_GB2312" w:eastAsia="仿宋_GB2312" w:cs="Arial"/>
                <w:color w:val="auto"/>
                <w:kern w:val="0"/>
                <w:szCs w:val="21"/>
                <w:highlight w:val="none"/>
              </w:rPr>
            </w:pPr>
            <w:r>
              <w:rPr>
                <w:rFonts w:hint="eastAsia" w:ascii="仿宋_GB2312" w:hAnsi="仿宋_GB2312" w:eastAsia="微软雅黑 Light" w:cs="Arial"/>
                <w:color w:val="auto"/>
                <w:kern w:val="24"/>
                <w:szCs w:val="21"/>
                <w:highlight w:val="none"/>
              </w:rPr>
              <w:t>•</w:t>
            </w:r>
            <w:r>
              <w:rPr>
                <w:rFonts w:hint="eastAsia" w:ascii="仿宋_GB2312" w:eastAsia="仿宋_GB2312" w:cs="Arial"/>
                <w:color w:val="auto"/>
                <w:kern w:val="24"/>
                <w:szCs w:val="21"/>
                <w:highlight w:val="none"/>
              </w:rPr>
              <w:t>VHF：136-174</w:t>
            </w:r>
            <w:r>
              <w:rPr>
                <w:rFonts w:ascii="仿宋_GB2312" w:eastAsia="仿宋_GB2312" w:cs="Arial"/>
                <w:color w:val="auto"/>
                <w:kern w:val="24"/>
                <w:szCs w:val="21"/>
                <w:highlight w:val="none"/>
              </w:rPr>
              <w:t xml:space="preserve"> MHz</w:t>
            </w:r>
          </w:p>
          <w:p>
            <w:pPr>
              <w:widowControl/>
              <w:spacing w:line="360" w:lineRule="auto"/>
              <w:jc w:val="center"/>
              <w:rPr>
                <w:rFonts w:ascii="仿宋_GB2312" w:eastAsia="仿宋_GB2312" w:cs="Arial"/>
                <w:color w:val="auto"/>
                <w:kern w:val="0"/>
                <w:szCs w:val="21"/>
                <w:highlight w:val="none"/>
              </w:rPr>
            </w:pPr>
            <w:r>
              <w:rPr>
                <w:rFonts w:hint="eastAsia" w:ascii="仿宋_GB2312" w:hAnsi="仿宋_GB2312" w:eastAsia="微软雅黑 Light" w:cs="Arial"/>
                <w:color w:val="auto"/>
                <w:kern w:val="24"/>
                <w:szCs w:val="21"/>
                <w:highlight w:val="none"/>
              </w:rPr>
              <w:t>•</w:t>
            </w:r>
            <w:r>
              <w:rPr>
                <w:rFonts w:hint="eastAsia" w:ascii="仿宋_GB2312" w:eastAsia="仿宋_GB2312" w:cs="Arial"/>
                <w:color w:val="auto"/>
                <w:kern w:val="24"/>
                <w:szCs w:val="21"/>
                <w:highlight w:val="none"/>
              </w:rPr>
              <w:t>UHF：400-470</w:t>
            </w:r>
            <w:r>
              <w:rPr>
                <w:rFonts w:ascii="仿宋_GB2312" w:eastAsia="仿宋_GB2312" w:cs="Arial"/>
                <w:color w:val="auto"/>
                <w:kern w:val="24"/>
                <w:szCs w:val="21"/>
                <w:highlight w:val="none"/>
              </w:rPr>
              <w:t xml:space="preserve"> MHz</w:t>
            </w:r>
          </w:p>
          <w:p>
            <w:pPr>
              <w:widowControl/>
              <w:spacing w:line="360" w:lineRule="auto"/>
              <w:jc w:val="center"/>
              <w:rPr>
                <w:rFonts w:ascii="仿宋_GB2312" w:eastAsia="仿宋_GB2312" w:cs="Arial"/>
                <w:color w:val="auto"/>
                <w:kern w:val="0"/>
                <w:szCs w:val="21"/>
                <w:highlight w:val="none"/>
              </w:rPr>
            </w:pPr>
            <w:r>
              <w:rPr>
                <w:rFonts w:ascii="仿宋_GB2312" w:eastAsia="仿宋_GB2312" w:cs="Arial"/>
                <w:color w:val="auto"/>
                <w:kern w:val="24"/>
                <w:szCs w:val="21"/>
                <w:highlight w:val="none"/>
              </w:rPr>
              <w:t xml:space="preserve">350 </w:t>
            </w:r>
            <w:r>
              <w:rPr>
                <w:rFonts w:hint="eastAsia" w:ascii="仿宋_GB2312" w:eastAsia="仿宋_GB2312" w:cs="Arial"/>
                <w:color w:val="auto"/>
                <w:kern w:val="24"/>
                <w:szCs w:val="21"/>
                <w:highlight w:val="none"/>
              </w:rPr>
              <w:t>MHz：350-400</w:t>
            </w:r>
            <w:r>
              <w:rPr>
                <w:rFonts w:ascii="仿宋_GB2312" w:eastAsia="仿宋_GB2312" w:cs="Arial"/>
                <w:color w:val="auto"/>
                <w:kern w:val="24"/>
                <w:szCs w:val="21"/>
                <w:highlight w:val="none"/>
              </w:rPr>
              <w:t xml:space="preserve"> MHz</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RF输出功率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360" w:lineRule="auto"/>
              <w:jc w:val="center"/>
              <w:rPr>
                <w:rFonts w:ascii="仿宋_GB2312" w:eastAsia="仿宋_GB2312" w:cs="Arial"/>
                <w:color w:val="auto"/>
                <w:kern w:val="0"/>
                <w:szCs w:val="21"/>
                <w:highlight w:val="none"/>
              </w:rPr>
            </w:pPr>
            <w:r>
              <w:rPr>
                <w:rFonts w:ascii="仿宋_GB2312" w:eastAsia="仿宋_GB2312" w:cs="Arial"/>
                <w:color w:val="auto"/>
                <w:kern w:val="24"/>
                <w:szCs w:val="21"/>
                <w:highlight w:val="none"/>
              </w:rPr>
              <w:t xml:space="preserve">1—50W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信道容量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VHF/UHF：64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信道间隔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ascii="仿宋_GB2312" w:eastAsia="仿宋_GB2312" w:cs="Arial"/>
                <w:color w:val="auto"/>
                <w:kern w:val="24"/>
                <w:szCs w:val="21"/>
                <w:highlight w:val="none"/>
              </w:rPr>
              <w:t xml:space="preserve">VHF/UHF:12.5/20/25* kHz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系统类型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ascii="仿宋_GB2312" w:eastAsia="仿宋_GB2312" w:cs="Arial"/>
                <w:color w:val="auto"/>
                <w:kern w:val="24"/>
                <w:szCs w:val="21"/>
                <w:highlight w:val="none"/>
              </w:rPr>
              <w:t xml:space="preserve">TDMA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重量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19磅（8.6千克） </w:t>
            </w:r>
          </w:p>
        </w:tc>
      </w:tr>
    </w:tbl>
    <w:p>
      <w:pPr>
        <w:ind w:firstLine="280" w:firstLineChars="100"/>
        <w:rPr>
          <w:rFonts w:ascii="仿宋_GB2312" w:eastAsia="仿宋_GB2312"/>
          <w:color w:val="auto"/>
          <w:sz w:val="28"/>
          <w:szCs w:val="28"/>
          <w:highlight w:val="none"/>
        </w:rPr>
      </w:pPr>
      <w:r>
        <w:rPr>
          <w:rFonts w:ascii="仿宋_GB2312" w:eastAsia="仿宋_GB2312"/>
          <w:color w:val="auto"/>
          <w:sz w:val="28"/>
          <w:szCs w:val="28"/>
          <w:highlight w:val="none"/>
        </w:rPr>
        <w:t>4.</w:t>
      </w:r>
      <w:r>
        <w:rPr>
          <w:rFonts w:hint="eastAsia" w:ascii="仿宋_GB2312" w:eastAsia="仿宋_GB2312"/>
          <w:color w:val="auto"/>
          <w:sz w:val="28"/>
          <w:szCs w:val="28"/>
          <w:highlight w:val="none"/>
        </w:rPr>
        <w:t>2、数字光纤近端机</w:t>
      </w:r>
    </w:p>
    <w:tbl>
      <w:tblPr>
        <w:tblStyle w:val="20"/>
        <w:tblW w:w="4220" w:type="pct"/>
        <w:jc w:val="center"/>
        <w:tblLayout w:type="autofit"/>
        <w:tblCellMar>
          <w:top w:w="0" w:type="dxa"/>
          <w:left w:w="0" w:type="dxa"/>
          <w:bottom w:w="0" w:type="dxa"/>
          <w:right w:w="0" w:type="dxa"/>
        </w:tblCellMar>
      </w:tblPr>
      <w:tblGrid>
        <w:gridCol w:w="3833"/>
        <w:gridCol w:w="3874"/>
      </w:tblGrid>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类别</w:t>
            </w:r>
            <w:r>
              <w:rPr>
                <w:rFonts w:ascii="仿宋_GB2312" w:eastAsia="仿宋_GB2312"/>
                <w:color w:val="auto"/>
                <w:szCs w:val="21"/>
                <w:highlight w:val="none"/>
              </w:rPr>
              <w:t xml:space="preserve"> </w:t>
            </w:r>
          </w:p>
        </w:tc>
        <w:tc>
          <w:tcPr>
            <w:tcW w:w="4065"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 xml:space="preserve">说明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频率范围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400-470Mhz</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最大增益 </w:t>
            </w:r>
          </w:p>
        </w:tc>
        <w:tc>
          <w:tcPr>
            <w:tcW w:w="4065"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 xml:space="preserve">18dB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射频连接方式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N/F，50</w:t>
            </w:r>
            <w:r>
              <w:rPr>
                <w:rFonts w:hint="eastAsia" w:ascii="仿宋_GB2312" w:eastAsia="仿宋_GB2312"/>
                <w:color w:val="auto"/>
                <w:szCs w:val="21"/>
                <w:highlight w:val="none"/>
                <w:lang w:val="el-GR" w:eastAsia="el-GR"/>
              </w:rPr>
              <w:t>Ω</w:t>
            </w:r>
            <w:r>
              <w:rPr>
                <w:rFonts w:ascii="仿宋_GB2312" w:eastAsia="仿宋_GB2312"/>
                <w:color w:val="auto"/>
                <w:szCs w:val="21"/>
                <w:highlight w:val="none"/>
              </w:rPr>
              <w:t xml:space="preserve">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光连接方式 </w:t>
            </w:r>
          </w:p>
        </w:tc>
        <w:tc>
          <w:tcPr>
            <w:tcW w:w="4065"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 xml:space="preserve">LC-APC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供电方式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AC-220V，DC-48可选 </w:t>
            </w:r>
          </w:p>
        </w:tc>
      </w:tr>
    </w:tbl>
    <w:p>
      <w:pPr>
        <w:ind w:firstLine="280" w:firstLineChars="100"/>
        <w:rPr>
          <w:rFonts w:ascii="仿宋_GB2312" w:eastAsia="仿宋_GB2312"/>
          <w:color w:val="auto"/>
          <w:sz w:val="28"/>
          <w:szCs w:val="28"/>
          <w:highlight w:val="none"/>
        </w:rPr>
      </w:pPr>
      <w:r>
        <w:rPr>
          <w:rFonts w:ascii="仿宋_GB2312" w:eastAsia="仿宋_GB2312"/>
          <w:color w:val="auto"/>
          <w:sz w:val="28"/>
          <w:szCs w:val="28"/>
          <w:highlight w:val="none"/>
        </w:rPr>
        <w:t>4.</w:t>
      </w:r>
      <w:r>
        <w:rPr>
          <w:rFonts w:hint="eastAsia" w:ascii="仿宋_GB2312" w:eastAsia="仿宋_GB2312"/>
          <w:color w:val="auto"/>
          <w:sz w:val="28"/>
          <w:szCs w:val="28"/>
          <w:highlight w:val="none"/>
        </w:rPr>
        <w:t>3、数字光纤远端机</w:t>
      </w:r>
    </w:p>
    <w:tbl>
      <w:tblPr>
        <w:tblStyle w:val="20"/>
        <w:tblW w:w="4111" w:type="pct"/>
        <w:jc w:val="center"/>
        <w:tblLayout w:type="autofit"/>
        <w:tblCellMar>
          <w:top w:w="0" w:type="dxa"/>
          <w:left w:w="0" w:type="dxa"/>
          <w:bottom w:w="0" w:type="dxa"/>
          <w:right w:w="0" w:type="dxa"/>
        </w:tblCellMar>
      </w:tblPr>
      <w:tblGrid>
        <w:gridCol w:w="3782"/>
        <w:gridCol w:w="3726"/>
      </w:tblGrid>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类别</w:t>
            </w:r>
            <w:r>
              <w:rPr>
                <w:rFonts w:ascii="仿宋_GB2312" w:eastAsia="仿宋_GB2312"/>
                <w:color w:val="auto"/>
                <w:szCs w:val="21"/>
                <w:highlight w:val="none"/>
              </w:rPr>
              <w:t xml:space="preserve"> </w:t>
            </w:r>
          </w:p>
        </w:tc>
        <w:tc>
          <w:tcPr>
            <w:tcW w:w="3906"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 xml:space="preserve">说明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频率范围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400-470Mhz</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最大增益 </w:t>
            </w:r>
          </w:p>
        </w:tc>
        <w:tc>
          <w:tcPr>
            <w:tcW w:w="3906"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 xml:space="preserve">45±3dB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射频连接方式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N/F，50</w:t>
            </w:r>
            <w:r>
              <w:rPr>
                <w:rFonts w:hint="eastAsia" w:ascii="仿宋_GB2312" w:eastAsia="仿宋_GB2312"/>
                <w:color w:val="auto"/>
                <w:szCs w:val="21"/>
                <w:highlight w:val="none"/>
                <w:lang w:val="el-GR" w:eastAsia="el-GR"/>
              </w:rPr>
              <w:t>Ω</w:t>
            </w:r>
            <w:r>
              <w:rPr>
                <w:rFonts w:ascii="仿宋_GB2312" w:eastAsia="仿宋_GB2312"/>
                <w:color w:val="auto"/>
                <w:szCs w:val="21"/>
                <w:highlight w:val="none"/>
              </w:rPr>
              <w:t xml:space="preserve">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光连接方式 </w:t>
            </w:r>
          </w:p>
        </w:tc>
        <w:tc>
          <w:tcPr>
            <w:tcW w:w="3906"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ascii="仿宋_GB2312" w:eastAsia="仿宋_GB2312"/>
                <w:color w:val="auto"/>
                <w:szCs w:val="21"/>
                <w:highlight w:val="none"/>
              </w:rPr>
              <w:t xml:space="preserve">LC-APC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供电方式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AC-220V，DC-48可选 </w:t>
            </w:r>
          </w:p>
        </w:tc>
      </w:tr>
    </w:tbl>
    <w:p>
      <w:pPr>
        <w:pStyle w:val="2"/>
        <w:rPr>
          <w:color w:val="auto"/>
          <w:highlight w:val="none"/>
        </w:rPr>
      </w:pPr>
    </w:p>
    <w:p>
      <w:pPr>
        <w:ind w:firstLine="280" w:firstLineChars="100"/>
        <w:rPr>
          <w:rFonts w:ascii="仿宋_GB2312" w:eastAsia="仿宋_GB2312"/>
          <w:color w:val="auto"/>
          <w:sz w:val="28"/>
          <w:szCs w:val="28"/>
          <w:highlight w:val="none"/>
        </w:rPr>
      </w:pPr>
      <w:r>
        <w:rPr>
          <w:rFonts w:ascii="仿宋_GB2312" w:eastAsia="仿宋_GB2312"/>
          <w:color w:val="auto"/>
          <w:sz w:val="28"/>
          <w:szCs w:val="28"/>
          <w:highlight w:val="none"/>
        </w:rPr>
        <w:t>4.4、天线的基本要求</w:t>
      </w:r>
    </w:p>
    <w:p>
      <w:pPr>
        <w:widowControl/>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全向天线和定向天线建议选择国内性能稳定的品牌产品，保证产品质量，与耦合器和功分器品牌原则上要求为同一厂家。</w:t>
      </w:r>
    </w:p>
    <w:p>
      <w:pPr>
        <w:widowControl/>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t>5</w:t>
      </w:r>
      <w:r>
        <w:rPr>
          <w:rFonts w:hint="eastAsia" w:ascii="仿宋_GB2312" w:hAnsi="宋体" w:eastAsia="仿宋_GB2312"/>
          <w:color w:val="auto"/>
          <w:sz w:val="28"/>
          <w:szCs w:val="28"/>
          <w:highlight w:val="none"/>
        </w:rPr>
        <w:t>、信号覆盖的性能要求</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无线对讲的呼损率＜2%，无线对讲的接通率＞98%</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无线对讲机覆盖区域内可接通率：要求在无线对讲覆盖区域的</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95%位置均可接通，99%的时间移动手持对讲机可接入系统；</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覆盖区域与周围环境的对讲机系统之间无相互干扰。</w:t>
      </w:r>
    </w:p>
    <w:bookmarkEnd w:id="107"/>
    <w:bookmarkEnd w:id="108"/>
    <w:bookmarkEnd w:id="109"/>
    <w:p>
      <w:pPr>
        <w:pStyle w:val="6"/>
        <w:rPr>
          <w:rFonts w:asciiTheme="majorEastAsia" w:hAnsiTheme="majorEastAsia" w:eastAsiaTheme="majorEastAsia"/>
          <w:b w:val="0"/>
          <w:color w:val="auto"/>
          <w:sz w:val="28"/>
          <w:szCs w:val="28"/>
          <w:highlight w:val="none"/>
        </w:rPr>
      </w:pPr>
      <w:bookmarkStart w:id="110" w:name="_Toc101423171"/>
      <w:r>
        <w:rPr>
          <w:rFonts w:asciiTheme="majorEastAsia" w:hAnsiTheme="majorEastAsia" w:eastAsiaTheme="majorEastAsia"/>
          <w:b w:val="0"/>
          <w:color w:val="auto"/>
          <w:sz w:val="28"/>
          <w:szCs w:val="28"/>
          <w:highlight w:val="none"/>
        </w:rPr>
        <w:t>5</w:t>
      </w:r>
      <w:r>
        <w:rPr>
          <w:rFonts w:hint="eastAsia" w:asciiTheme="majorEastAsia" w:hAnsiTheme="majorEastAsia" w:eastAsiaTheme="majorEastAsia"/>
          <w:b w:val="0"/>
          <w:color w:val="auto"/>
          <w:sz w:val="28"/>
          <w:szCs w:val="28"/>
          <w:highlight w:val="none"/>
        </w:rPr>
        <w:t>系统建设的基础要求</w:t>
      </w:r>
      <w:bookmarkEnd w:id="110"/>
    </w:p>
    <w:bookmarkEnd w:id="103"/>
    <w:bookmarkEnd w:id="104"/>
    <w:bookmarkEnd w:id="105"/>
    <w:bookmarkEnd w:id="106"/>
    <w:p>
      <w:pPr>
        <w:pStyle w:val="6"/>
        <w:rPr>
          <w:rFonts w:ascii="仿宋_GB2312" w:eastAsia="仿宋_GB2312"/>
          <w:color w:val="auto"/>
          <w:sz w:val="28"/>
          <w:szCs w:val="28"/>
          <w:highlight w:val="none"/>
        </w:rPr>
      </w:pPr>
      <w:bookmarkStart w:id="111" w:name="_Toc101423172"/>
      <w:bookmarkStart w:id="112" w:name="_Toc29945"/>
      <w:bookmarkStart w:id="113" w:name="_Toc495915409"/>
      <w:r>
        <w:rPr>
          <w:rFonts w:hint="eastAsia" w:ascii="仿宋_GB2312" w:eastAsia="仿宋_GB2312"/>
          <w:color w:val="auto"/>
          <w:sz w:val="28"/>
          <w:szCs w:val="28"/>
          <w:highlight w:val="none"/>
        </w:rPr>
        <w:t>5</w:t>
      </w:r>
      <w:r>
        <w:rPr>
          <w:rFonts w:ascii="仿宋_GB2312" w:eastAsia="仿宋_GB2312"/>
          <w:color w:val="auto"/>
          <w:sz w:val="28"/>
          <w:szCs w:val="28"/>
          <w:highlight w:val="none"/>
        </w:rPr>
        <w:t>.1</w:t>
      </w:r>
      <w:r>
        <w:rPr>
          <w:rFonts w:hint="eastAsia" w:ascii="仿宋_GB2312" w:eastAsia="仿宋_GB2312"/>
          <w:color w:val="auto"/>
          <w:sz w:val="28"/>
          <w:szCs w:val="28"/>
          <w:highlight w:val="none"/>
        </w:rPr>
        <w:t>供电要求</w:t>
      </w:r>
      <w:bookmarkEnd w:id="111"/>
    </w:p>
    <w:p>
      <w:pPr>
        <w:adjustRightInd w:val="0"/>
        <w:snapToGrid w:val="0"/>
        <w:ind w:firstLine="560" w:firstLineChars="200"/>
        <w:jc w:val="left"/>
        <w:rPr>
          <w:rFonts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整个系统数据通讯的实时存储、实时处理与实时传递，关系重大，所以对电源的质量与可靠性的要求最高，采用</w:t>
      </w:r>
      <w:r>
        <w:rPr>
          <w:rFonts w:ascii="仿宋_GB2312" w:hAnsi="宋体" w:eastAsia="仿宋_GB2312" w:cs="宋体"/>
          <w:bCs/>
          <w:color w:val="auto"/>
          <w:kern w:val="0"/>
          <w:sz w:val="28"/>
          <w:szCs w:val="28"/>
          <w:highlight w:val="none"/>
        </w:rPr>
        <w:t>UPS不间断电源。</w:t>
      </w:r>
    </w:p>
    <w:p>
      <w:pPr>
        <w:adjustRightInd w:val="0"/>
        <w:snapToGrid w:val="0"/>
        <w:ind w:firstLine="560" w:firstLineChars="200"/>
        <w:jc w:val="left"/>
        <w:rPr>
          <w:rFonts w:ascii="仿宋_GB2312" w:hAnsi="宋体" w:eastAsia="仿宋_GB2312" w:cs="Arial"/>
          <w:bCs/>
          <w:color w:val="auto"/>
          <w:kern w:val="0"/>
          <w:sz w:val="28"/>
          <w:szCs w:val="28"/>
          <w:highlight w:val="none"/>
        </w:rPr>
      </w:pPr>
      <w:r>
        <w:rPr>
          <w:rFonts w:hint="eastAsia" w:ascii="仿宋_GB2312" w:hAnsi="宋体" w:eastAsia="仿宋_GB2312" w:cs="Arial"/>
          <w:bCs/>
          <w:color w:val="auto"/>
          <w:kern w:val="0"/>
          <w:sz w:val="28"/>
          <w:szCs w:val="28"/>
          <w:highlight w:val="none"/>
        </w:rPr>
        <w:t>本项目须根据设备容量增加</w:t>
      </w:r>
      <w:r>
        <w:rPr>
          <w:rFonts w:ascii="仿宋_GB2312" w:hAnsi="宋体" w:eastAsia="仿宋_GB2312" w:cs="Arial"/>
          <w:bCs/>
          <w:color w:val="auto"/>
          <w:kern w:val="0"/>
          <w:sz w:val="28"/>
          <w:szCs w:val="28"/>
          <w:highlight w:val="none"/>
        </w:rPr>
        <w:t>UPS不间断电源供电，。</w:t>
      </w:r>
      <w:bookmarkStart w:id="114" w:name="_Toc377730869"/>
      <w:bookmarkStart w:id="115" w:name="_Toc7706"/>
      <w:bookmarkStart w:id="116" w:name="_Toc6682"/>
      <w:bookmarkStart w:id="117" w:name="_Toc15491"/>
      <w:bookmarkStart w:id="118" w:name="_Toc1960"/>
      <w:bookmarkStart w:id="119" w:name="_Toc19955"/>
      <w:bookmarkStart w:id="120" w:name="_Toc32079"/>
      <w:bookmarkStart w:id="121" w:name="_Toc736"/>
      <w:bookmarkStart w:id="122" w:name="_Toc20956"/>
      <w:bookmarkStart w:id="123" w:name="_Toc16811"/>
      <w:bookmarkStart w:id="124" w:name="_Toc1188"/>
      <w:bookmarkStart w:id="125" w:name="_Toc499646446"/>
      <w:bookmarkStart w:id="126" w:name="_Toc4447"/>
      <w:bookmarkStart w:id="127" w:name="_Toc8943"/>
      <w:bookmarkStart w:id="128" w:name="_Toc31994"/>
      <w:bookmarkStart w:id="129" w:name="_Toc6042"/>
      <w:bookmarkStart w:id="130" w:name="_Toc28063"/>
    </w:p>
    <w:bookmarkEnd w:id="114"/>
    <w:p>
      <w:pPr>
        <w:pStyle w:val="6"/>
        <w:rPr>
          <w:rFonts w:ascii="仿宋_GB2312" w:eastAsia="仿宋_GB2312"/>
          <w:color w:val="auto"/>
          <w:sz w:val="28"/>
          <w:szCs w:val="28"/>
          <w:highlight w:val="none"/>
        </w:rPr>
      </w:pPr>
      <w:bookmarkStart w:id="131" w:name="_Toc101423173"/>
      <w:bookmarkStart w:id="132" w:name="_Toc377730870"/>
      <w:r>
        <w:rPr>
          <w:rFonts w:hint="eastAsia" w:ascii="仿宋_GB2312" w:eastAsia="仿宋_GB2312"/>
          <w:color w:val="auto"/>
          <w:sz w:val="28"/>
          <w:szCs w:val="28"/>
          <w:highlight w:val="none"/>
        </w:rPr>
        <w:t>5</w:t>
      </w:r>
      <w:r>
        <w:rPr>
          <w:rFonts w:ascii="仿宋_GB2312" w:eastAsia="仿宋_GB2312"/>
          <w:color w:val="auto"/>
          <w:sz w:val="28"/>
          <w:szCs w:val="28"/>
          <w:highlight w:val="none"/>
        </w:rPr>
        <w:t>.2</w:t>
      </w:r>
      <w:r>
        <w:rPr>
          <w:rFonts w:hint="eastAsia" w:ascii="仿宋_GB2312" w:eastAsia="仿宋_GB2312"/>
          <w:color w:val="auto"/>
          <w:sz w:val="28"/>
          <w:szCs w:val="28"/>
          <w:highlight w:val="none"/>
        </w:rPr>
        <w:t>设备安装要求</w:t>
      </w:r>
      <w:bookmarkEnd w:id="131"/>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 xml:space="preserve">(1) </w:t>
      </w:r>
      <w:r>
        <w:rPr>
          <w:rFonts w:hint="eastAsia" w:ascii="仿宋_GB2312" w:hAnsi="宋体" w:eastAsia="仿宋_GB2312" w:cs="宋体"/>
          <w:bCs/>
          <w:color w:val="auto"/>
          <w:sz w:val="28"/>
          <w:szCs w:val="28"/>
          <w:highlight w:val="none"/>
        </w:rPr>
        <w:t>安装位置要求</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设备的安装位置符合设计文件（方案）的要求；设备尽量安装在馈线走线的线井内，安装位置应便于调测、维护和散热需要。</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安装位置确保无强电、强磁和强腐蚀性设备的干扰。</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设备电源插板至少有两芯及三芯插座各一个，工作状态时放置于不易触摸到的安全位置。</w:t>
      </w:r>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 xml:space="preserve">(2) </w:t>
      </w:r>
      <w:r>
        <w:rPr>
          <w:rFonts w:hint="eastAsia" w:ascii="仿宋_GB2312" w:hAnsi="宋体" w:eastAsia="仿宋_GB2312" w:cs="宋体"/>
          <w:bCs/>
          <w:color w:val="auto"/>
          <w:sz w:val="28"/>
          <w:szCs w:val="28"/>
          <w:highlight w:val="none"/>
        </w:rPr>
        <w:t>电源线安装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有源设备的电源线接在不间断电源的输出开关，电源线必须走线槽或铁管，线槽或铁管要牢靠固定、保持良好的接地，配电箱内的走线要美观可参照配电箱内原有的走线，要使用硬线，线槽要美观、牢固。电源线要有移动标志和方向标识。</w:t>
      </w:r>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 xml:space="preserve">(3) </w:t>
      </w:r>
      <w:r>
        <w:rPr>
          <w:rFonts w:hint="eastAsia" w:ascii="仿宋_GB2312" w:hAnsi="宋体" w:eastAsia="仿宋_GB2312" w:cs="宋体"/>
          <w:bCs/>
          <w:color w:val="auto"/>
          <w:sz w:val="28"/>
          <w:szCs w:val="28"/>
          <w:highlight w:val="none"/>
        </w:rPr>
        <w:t>设备安装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严格按照说明书的介绍进行，使用合理的工具，安装牢固平整。设备上要有移动标志，安装时应用相应的安装件进行牢固固定。要求主机内所有的设备单元安装正确、牢固、无损伤、掉漆的现象。</w:t>
      </w:r>
    </w:p>
    <w:bookmarkEnd w:id="132"/>
    <w:p>
      <w:pPr>
        <w:pStyle w:val="6"/>
        <w:rPr>
          <w:rFonts w:ascii="仿宋_GB2312" w:eastAsia="仿宋_GB2312"/>
          <w:color w:val="auto"/>
          <w:sz w:val="28"/>
          <w:szCs w:val="28"/>
          <w:highlight w:val="none"/>
        </w:rPr>
      </w:pPr>
      <w:bookmarkStart w:id="133" w:name="_Toc101423174"/>
      <w:r>
        <w:rPr>
          <w:rFonts w:hint="eastAsia" w:ascii="仿宋_GB2312" w:eastAsia="仿宋_GB2312"/>
          <w:color w:val="auto"/>
          <w:sz w:val="28"/>
          <w:szCs w:val="28"/>
          <w:highlight w:val="none"/>
        </w:rPr>
        <w:t>5</w:t>
      </w:r>
      <w:r>
        <w:rPr>
          <w:rFonts w:ascii="仿宋_GB2312" w:eastAsia="仿宋_GB2312"/>
          <w:color w:val="auto"/>
          <w:sz w:val="28"/>
          <w:szCs w:val="28"/>
          <w:highlight w:val="none"/>
        </w:rPr>
        <w:t>.3</w:t>
      </w:r>
      <w:r>
        <w:rPr>
          <w:rFonts w:hint="eastAsia" w:ascii="仿宋_GB2312" w:eastAsia="仿宋_GB2312"/>
          <w:color w:val="auto"/>
          <w:sz w:val="28"/>
          <w:szCs w:val="28"/>
          <w:highlight w:val="none"/>
        </w:rPr>
        <w:t>天线安装要求</w:t>
      </w:r>
      <w:bookmarkEnd w:id="133"/>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(1)天线固定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壁挂天线必须牢固地安装在墙上，保证天线垂直美观，并且不破坏室内整体环境。</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吸顶式天线可固定安装在天花吊顶外或天花吊顶内，保证天线水平美观，并且不破坏室内整体环境。如果天花吊顶为石膏板或木质，可将天线安装在天花吊顶内，但必须用天线支架对天线做固定，不能任意摆放在天花吊顶内，支架捆绑所用的扎带不可少于</w:t>
      </w:r>
      <w:r>
        <w:rPr>
          <w:rFonts w:ascii="仿宋_GB2312" w:hAnsi="宋体" w:eastAsia="仿宋_GB2312" w:cs="宋体"/>
          <w:bCs/>
          <w:color w:val="auto"/>
          <w:sz w:val="28"/>
          <w:szCs w:val="28"/>
          <w:highlight w:val="none"/>
        </w:rPr>
        <w:t>4条。在天线附近须留有出口位。</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安装天线时应戴干净手套操作，保证天线及天花板的清洁干净。</w:t>
      </w:r>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(2)天线位置</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天线的安装位置符合天线点位的设计要求（相对误差</w:t>
      </w:r>
      <w:r>
        <w:rPr>
          <w:rFonts w:ascii="仿宋_GB2312" w:hAnsi="宋体" w:eastAsia="仿宋_GB2312" w:cs="宋体"/>
          <w:bCs/>
          <w:color w:val="auto"/>
          <w:sz w:val="28"/>
          <w:szCs w:val="28"/>
          <w:highlight w:val="none"/>
        </w:rPr>
        <w:t>&lt;1米）。</w:t>
      </w:r>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(3)天线安装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室内全向吸顶天线可根据业主的要求吸顶安装在天花上或安装在非金属天花内，在没有吊顶天花的区域需要用天线支架固定安装。</w:t>
      </w:r>
    </w:p>
    <w:p>
      <w:pPr>
        <w:pStyle w:val="6"/>
        <w:rPr>
          <w:rFonts w:ascii="仿宋_GB2312" w:eastAsia="仿宋_GB2312"/>
          <w:color w:val="auto"/>
          <w:sz w:val="28"/>
          <w:szCs w:val="28"/>
          <w:highlight w:val="none"/>
        </w:rPr>
      </w:pPr>
      <w:bookmarkStart w:id="134" w:name="_Toc101423175"/>
      <w:r>
        <w:rPr>
          <w:rFonts w:hint="eastAsia" w:ascii="仿宋_GB2312" w:eastAsia="仿宋_GB2312"/>
          <w:color w:val="auto"/>
          <w:sz w:val="28"/>
          <w:szCs w:val="28"/>
          <w:highlight w:val="none"/>
        </w:rPr>
        <w:t>5</w:t>
      </w:r>
      <w:r>
        <w:rPr>
          <w:rFonts w:ascii="仿宋_GB2312" w:eastAsia="仿宋_GB2312"/>
          <w:color w:val="auto"/>
          <w:sz w:val="28"/>
          <w:szCs w:val="28"/>
          <w:highlight w:val="none"/>
        </w:rPr>
        <w:t>.4</w:t>
      </w:r>
      <w:r>
        <w:rPr>
          <w:rFonts w:hint="eastAsia" w:ascii="仿宋_GB2312" w:eastAsia="仿宋_GB2312"/>
          <w:color w:val="auto"/>
          <w:sz w:val="28"/>
          <w:szCs w:val="28"/>
          <w:highlight w:val="none"/>
        </w:rPr>
        <w:t>馈线布放要求</w:t>
      </w:r>
      <w:bookmarkEnd w:id="134"/>
    </w:p>
    <w:p>
      <w:pPr>
        <w:pStyle w:val="9"/>
        <w:spacing w:after="0"/>
        <w:rPr>
          <w:rFonts w:ascii="仿宋_GB2312" w:hAnsi="宋体" w:eastAsia="仿宋_GB2312" w:cs="宋体"/>
          <w:bCs/>
          <w:color w:val="auto"/>
          <w:sz w:val="28"/>
          <w:szCs w:val="28"/>
          <w:highlight w:val="none"/>
        </w:rPr>
      </w:pPr>
      <w:bookmarkStart w:id="135" w:name="_Hlk90056808"/>
      <w:r>
        <w:rPr>
          <w:rFonts w:ascii="仿宋_GB2312" w:hAnsi="宋体" w:eastAsia="仿宋_GB2312" w:cs="宋体"/>
          <w:bCs/>
          <w:color w:val="auto"/>
          <w:sz w:val="28"/>
          <w:szCs w:val="28"/>
          <w:highlight w:val="none"/>
        </w:rPr>
        <w:t>(1)</w:t>
      </w:r>
      <w:r>
        <w:rPr>
          <w:rFonts w:hint="eastAsia" w:ascii="仿宋_GB2312" w:hAnsi="宋体" w:eastAsia="仿宋_GB2312" w:cs="宋体"/>
          <w:bCs/>
          <w:color w:val="auto"/>
          <w:sz w:val="28"/>
          <w:szCs w:val="28"/>
          <w:highlight w:val="none"/>
        </w:rPr>
        <w:t>馈线必须按照设计文件（方案）的要求布放，要求走线牢固、美观，不得有交叉、扭曲、裂损情况。跳线或馈线需要弯曲布放时，要求弯曲角保持平滑，弯曲曲率半径不超过规定。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竖线布放要求合理安装，方便器件的制作。穿</w:t>
      </w:r>
      <w:r>
        <w:rPr>
          <w:rFonts w:ascii="仿宋_GB2312" w:hAnsi="宋体" w:eastAsia="仿宋_GB2312" w:cs="宋体"/>
          <w:bCs/>
          <w:color w:val="auto"/>
          <w:sz w:val="28"/>
          <w:szCs w:val="28"/>
          <w:highlight w:val="none"/>
        </w:rPr>
        <w:t>PVC管时，每1米用一个扎带固定。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横线穿放</w:t>
      </w:r>
      <w:r>
        <w:rPr>
          <w:rFonts w:ascii="仿宋_GB2312" w:hAnsi="宋体" w:eastAsia="仿宋_GB2312" w:cs="宋体"/>
          <w:bCs/>
          <w:color w:val="auto"/>
          <w:sz w:val="28"/>
          <w:szCs w:val="28"/>
          <w:highlight w:val="none"/>
        </w:rPr>
        <w:t>PVC管，要求布放平整，不可捆绑在细的线缆上。在天花板内每1.5米用一个扎带固定，明线每0.6米一个扎带固定。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布放馈线经过的线井应为电气管井，通常指弱电井，不能使用风管或水管管井。馈线尽量避免与强电高压管道和消防管道一起布放，避免强电、强磁的干扰。</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对于不在机房、线井和天花吊顶中布放的馈线，应套用</w:t>
      </w:r>
      <w:r>
        <w:rPr>
          <w:rFonts w:ascii="仿宋_GB2312" w:hAnsi="宋体" w:eastAsia="仿宋_GB2312" w:cs="宋体"/>
          <w:bCs/>
          <w:color w:val="auto"/>
          <w:sz w:val="28"/>
          <w:szCs w:val="28"/>
          <w:highlight w:val="none"/>
        </w:rPr>
        <w:t>PVC管。要求所有走线管布放整齐、美观，转弯处使用PVC软管连接。</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走线管靠墙布放，用线码或馈线夹进行固定</w:t>
      </w:r>
      <w:bookmarkEnd w:id="135"/>
      <w:r>
        <w:rPr>
          <w:rFonts w:hint="eastAsia" w:ascii="仿宋_GB2312" w:hAnsi="宋体" w:eastAsia="仿宋_GB2312" w:cs="宋体"/>
          <w:bCs/>
          <w:color w:val="auto"/>
          <w:sz w:val="28"/>
          <w:szCs w:val="28"/>
          <w:highlight w:val="none"/>
        </w:rPr>
        <w:t>，其固定间距如下表：</w:t>
      </w:r>
    </w:p>
    <w:p>
      <w:pPr>
        <w:pStyle w:val="49"/>
        <w:ind w:left="480"/>
        <w:rPr>
          <w:color w:val="auto"/>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2091"/>
        <w:gridCol w:w="3561"/>
        <w:gridCol w:w="3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4" w:hRule="atLeast"/>
          <w:tblHeader/>
          <w:jc w:val="center"/>
        </w:trPr>
        <w:tc>
          <w:tcPr>
            <w:tcW w:w="2091" w:type="dxa"/>
            <w:vAlign w:val="center"/>
          </w:tcPr>
          <w:p>
            <w:pPr>
              <w:pStyle w:val="50"/>
              <w:ind w:firstLine="480"/>
              <w:rPr>
                <w:color w:val="auto"/>
                <w:highlight w:val="none"/>
              </w:rPr>
            </w:pPr>
          </w:p>
        </w:tc>
        <w:tc>
          <w:tcPr>
            <w:tcW w:w="3561" w:type="dxa"/>
            <w:vAlign w:val="center"/>
          </w:tcPr>
          <w:p>
            <w:pPr>
              <w:pStyle w:val="50"/>
              <w:ind w:firstLine="480"/>
              <w:rPr>
                <w:color w:val="auto"/>
                <w:highlight w:val="none"/>
              </w:rPr>
            </w:pPr>
            <w:r>
              <w:rPr>
                <w:rFonts w:hint="eastAsia"/>
                <w:color w:val="auto"/>
                <w:highlight w:val="none"/>
              </w:rPr>
              <w:t>&lt;1/2"线径馈线</w:t>
            </w:r>
          </w:p>
        </w:tc>
        <w:tc>
          <w:tcPr>
            <w:tcW w:w="3131" w:type="dxa"/>
            <w:vAlign w:val="center"/>
          </w:tcPr>
          <w:p>
            <w:pPr>
              <w:pStyle w:val="50"/>
              <w:ind w:firstLine="480"/>
              <w:rPr>
                <w:color w:val="auto"/>
                <w:highlight w:val="none"/>
              </w:rPr>
            </w:pPr>
            <w:r>
              <w:rPr>
                <w:rFonts w:hint="eastAsia"/>
                <w:color w:val="auto"/>
                <w:highlight w:val="none"/>
              </w:rPr>
              <w:t>&gt;1/2"线径馈线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2091" w:type="dxa"/>
            <w:vAlign w:val="center"/>
          </w:tcPr>
          <w:p>
            <w:pPr>
              <w:pStyle w:val="50"/>
              <w:ind w:firstLine="480"/>
              <w:rPr>
                <w:color w:val="auto"/>
                <w:szCs w:val="21"/>
                <w:highlight w:val="none"/>
              </w:rPr>
            </w:pPr>
            <w:r>
              <w:rPr>
                <w:rFonts w:hint="eastAsia"/>
                <w:color w:val="auto"/>
                <w:szCs w:val="21"/>
                <w:highlight w:val="none"/>
              </w:rPr>
              <w:t>馈线水平走线时</w:t>
            </w:r>
          </w:p>
        </w:tc>
        <w:tc>
          <w:tcPr>
            <w:tcW w:w="3561" w:type="dxa"/>
            <w:vAlign w:val="center"/>
          </w:tcPr>
          <w:p>
            <w:pPr>
              <w:pStyle w:val="50"/>
              <w:ind w:firstLine="480"/>
              <w:rPr>
                <w:color w:val="auto"/>
                <w:szCs w:val="21"/>
                <w:highlight w:val="none"/>
              </w:rPr>
            </w:pPr>
            <w:r>
              <w:rPr>
                <w:color w:val="auto"/>
                <w:szCs w:val="21"/>
                <w:highlight w:val="none"/>
              </w:rPr>
              <w:t>1.0m</w:t>
            </w:r>
          </w:p>
        </w:tc>
        <w:tc>
          <w:tcPr>
            <w:tcW w:w="3131" w:type="dxa"/>
            <w:vAlign w:val="center"/>
          </w:tcPr>
          <w:p>
            <w:pPr>
              <w:pStyle w:val="50"/>
              <w:ind w:firstLine="480"/>
              <w:rPr>
                <w:color w:val="auto"/>
                <w:szCs w:val="21"/>
                <w:highlight w:val="none"/>
              </w:rPr>
            </w:pPr>
            <w:r>
              <w:rPr>
                <w:color w:val="auto"/>
                <w:szCs w:val="21"/>
                <w:highlight w:val="none"/>
              </w:rPr>
              <w:t>1.5m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95" w:hRule="atLeast"/>
          <w:jc w:val="center"/>
        </w:trPr>
        <w:tc>
          <w:tcPr>
            <w:tcW w:w="2091" w:type="dxa"/>
            <w:vAlign w:val="center"/>
          </w:tcPr>
          <w:p>
            <w:pPr>
              <w:pStyle w:val="50"/>
              <w:ind w:firstLine="480"/>
              <w:rPr>
                <w:color w:val="auto"/>
                <w:szCs w:val="21"/>
                <w:highlight w:val="none"/>
              </w:rPr>
            </w:pPr>
            <w:r>
              <w:rPr>
                <w:rFonts w:hint="eastAsia"/>
                <w:color w:val="auto"/>
                <w:szCs w:val="21"/>
                <w:highlight w:val="none"/>
              </w:rPr>
              <w:t>馈线垂直走线时</w:t>
            </w:r>
          </w:p>
        </w:tc>
        <w:tc>
          <w:tcPr>
            <w:tcW w:w="3561" w:type="dxa"/>
            <w:vAlign w:val="center"/>
          </w:tcPr>
          <w:p>
            <w:pPr>
              <w:pStyle w:val="50"/>
              <w:ind w:firstLine="480"/>
              <w:rPr>
                <w:color w:val="auto"/>
                <w:szCs w:val="21"/>
                <w:highlight w:val="none"/>
              </w:rPr>
            </w:pPr>
            <w:r>
              <w:rPr>
                <w:color w:val="auto"/>
                <w:szCs w:val="21"/>
                <w:highlight w:val="none"/>
              </w:rPr>
              <w:t>0.8m</w:t>
            </w:r>
          </w:p>
        </w:tc>
        <w:tc>
          <w:tcPr>
            <w:tcW w:w="3131" w:type="dxa"/>
            <w:vAlign w:val="center"/>
          </w:tcPr>
          <w:p>
            <w:pPr>
              <w:pStyle w:val="50"/>
              <w:ind w:firstLine="480"/>
              <w:rPr>
                <w:color w:val="auto"/>
                <w:szCs w:val="21"/>
                <w:highlight w:val="none"/>
              </w:rPr>
            </w:pPr>
            <w:r>
              <w:rPr>
                <w:color w:val="auto"/>
                <w:szCs w:val="21"/>
                <w:highlight w:val="none"/>
              </w:rPr>
              <w:t>1.0m</w:t>
            </w:r>
          </w:p>
        </w:tc>
      </w:tr>
    </w:tbl>
    <w:p>
      <w:pPr>
        <w:pStyle w:val="9"/>
        <w:spacing w:after="0"/>
        <w:ind w:firstLine="560"/>
        <w:jc w:val="center"/>
        <w:rPr>
          <w:rFonts w:ascii="仿宋_GB2312" w:hAnsi="宋体" w:eastAsia="仿宋_GB2312" w:cs="宋体"/>
          <w:b/>
          <w:bCs/>
          <w:color w:val="auto"/>
          <w:sz w:val="28"/>
          <w:szCs w:val="28"/>
          <w:highlight w:val="none"/>
        </w:rPr>
      </w:pPr>
      <w:r>
        <w:rPr>
          <w:rFonts w:hint="eastAsia"/>
          <w:b/>
          <w:color w:val="auto"/>
          <w:highlight w:val="none"/>
        </w:rPr>
        <w:t>表 馈线安装固定要求</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馈线布放不能有交叉和空中飞线。若走线管无法靠墙布放，馈线走线管可与其他线管一起走线，并用扎带与其他线管固定。馈线进出口的墙孔应用防水、阻燃的材料进行密封。</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过墙馈线须进线槽，不能进线槽的须穿镀锌钢管，以保证施工质量，避免鼠咬破坏。</w:t>
      </w:r>
    </w:p>
    <w:p>
      <w:pPr>
        <w:pStyle w:val="9"/>
        <w:spacing w:after="0"/>
        <w:rPr>
          <w:rFonts w:ascii="仿宋_GB2312" w:hAnsi="宋体" w:eastAsia="仿宋_GB2312" w:cs="宋体"/>
          <w:bCs/>
          <w:color w:val="auto"/>
          <w:sz w:val="28"/>
          <w:szCs w:val="28"/>
          <w:highlight w:val="none"/>
        </w:rPr>
      </w:pPr>
      <w:r>
        <w:rPr>
          <w:rFonts w:ascii="仿宋_GB2312" w:hAnsi="宋体" w:eastAsia="仿宋_GB2312" w:cs="宋体"/>
          <w:bCs/>
          <w:color w:val="auto"/>
          <w:sz w:val="28"/>
          <w:szCs w:val="28"/>
          <w:highlight w:val="none"/>
        </w:rPr>
        <w:t>(2)馈线接头</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馈线的连接头必须牢固，使用专用的做头工具，严格按照施工工艺制作，保证驻波比小于</w:t>
      </w:r>
      <w:r>
        <w:rPr>
          <w:rFonts w:ascii="仿宋_GB2312" w:hAnsi="宋体" w:eastAsia="仿宋_GB2312" w:cs="宋体"/>
          <w:bCs/>
          <w:color w:val="auto"/>
          <w:sz w:val="28"/>
          <w:szCs w:val="28"/>
          <w:highlight w:val="none"/>
        </w:rPr>
        <w:t>1.3，并做</w:t>
      </w:r>
      <w:r>
        <w:rPr>
          <w:rFonts w:hint="eastAsia" w:ascii="仿宋_GB2312" w:hAnsi="宋体" w:eastAsia="仿宋_GB2312" w:cs="宋体"/>
          <w:bCs/>
          <w:color w:val="auto"/>
          <w:sz w:val="28"/>
          <w:szCs w:val="28"/>
          <w:highlight w:val="none"/>
        </w:rPr>
        <w:t>防水防腐密封处理。</w:t>
      </w:r>
    </w:p>
    <w:p>
      <w:pPr>
        <w:pStyle w:val="6"/>
        <w:rPr>
          <w:rFonts w:ascii="仿宋_GB2312" w:eastAsia="仿宋_GB2312"/>
          <w:color w:val="auto"/>
          <w:sz w:val="28"/>
          <w:szCs w:val="28"/>
          <w:highlight w:val="none"/>
        </w:rPr>
      </w:pPr>
      <w:bookmarkStart w:id="136" w:name="_Toc101423176"/>
      <w:r>
        <w:rPr>
          <w:rFonts w:hint="eastAsia" w:ascii="仿宋_GB2312" w:eastAsia="仿宋_GB2312"/>
          <w:color w:val="auto"/>
          <w:sz w:val="28"/>
          <w:szCs w:val="28"/>
          <w:highlight w:val="none"/>
        </w:rPr>
        <w:t>5</w:t>
      </w:r>
      <w:r>
        <w:rPr>
          <w:rFonts w:ascii="仿宋_GB2312" w:eastAsia="仿宋_GB2312"/>
          <w:color w:val="auto"/>
          <w:sz w:val="28"/>
          <w:szCs w:val="28"/>
          <w:highlight w:val="none"/>
        </w:rPr>
        <w:t>.5</w:t>
      </w:r>
      <w:r>
        <w:rPr>
          <w:rFonts w:hint="eastAsia" w:ascii="仿宋_GB2312" w:eastAsia="仿宋_GB2312"/>
          <w:color w:val="auto"/>
          <w:sz w:val="28"/>
          <w:szCs w:val="28"/>
          <w:highlight w:val="none"/>
        </w:rPr>
        <w:t>传输线缆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仿宋_GB2312" w:eastAsia="仿宋_GB2312"/>
          <w:color w:val="auto"/>
          <w:sz w:val="28"/>
          <w:szCs w:val="28"/>
          <w:highlight w:val="none"/>
        </w:rPr>
        <w:t>要求</w:t>
      </w:r>
      <w:bookmarkEnd w:id="136"/>
    </w:p>
    <w:p>
      <w:pPr>
        <w:pStyle w:val="47"/>
        <w:spacing w:line="360" w:lineRule="auto"/>
        <w:ind w:firstLine="560"/>
        <w:rPr>
          <w:rFonts w:hAnsi="宋体" w:cs="Arial"/>
          <w:color w:val="auto"/>
          <w:sz w:val="28"/>
          <w:highlight w:val="none"/>
        </w:rPr>
      </w:pPr>
      <w:r>
        <w:rPr>
          <w:rFonts w:hint="eastAsia" w:hAnsi="宋体" w:cs="Arial"/>
          <w:color w:val="auto"/>
          <w:sz w:val="28"/>
          <w:highlight w:val="none"/>
        </w:rPr>
        <w:t>对于光缆的敷设实现端到端到位，并在各端盘留一定的长度，对于光缆的型号、芯数和光端机的选择充分考虑传输距离、信号、施工和环境的要求，考虑后续扩容需要，在选择上预留一定的冗余。</w:t>
      </w:r>
    </w:p>
    <w:p>
      <w:pPr>
        <w:ind w:firstLine="480"/>
        <w:rPr>
          <w:rFonts w:ascii="仿宋_GB2312" w:hAnsi="宋体" w:eastAsia="仿宋_GB2312" w:cs="Arial"/>
          <w:color w:val="auto"/>
          <w:sz w:val="28"/>
          <w:szCs w:val="28"/>
          <w:highlight w:val="none"/>
        </w:rPr>
      </w:pPr>
      <w:r>
        <w:rPr>
          <w:rFonts w:hint="eastAsia" w:ascii="仿宋_GB2312" w:hAnsi="宋体" w:eastAsia="仿宋_GB2312" w:cs="Arial"/>
          <w:color w:val="auto"/>
          <w:sz w:val="28"/>
          <w:szCs w:val="28"/>
          <w:highlight w:val="none"/>
        </w:rPr>
        <w:t>机房及所有汇聚点的主干、支线光纤要求满融到光纤配线架上，满足今后扩容需要。</w:t>
      </w:r>
    </w:p>
    <w:p>
      <w:pPr>
        <w:pStyle w:val="6"/>
        <w:rPr>
          <w:rFonts w:asciiTheme="majorEastAsia" w:hAnsiTheme="majorEastAsia" w:eastAsiaTheme="majorEastAsia"/>
          <w:b w:val="0"/>
          <w:color w:val="auto"/>
          <w:sz w:val="28"/>
          <w:szCs w:val="28"/>
          <w:highlight w:val="none"/>
        </w:rPr>
      </w:pPr>
      <w:bookmarkStart w:id="137" w:name="_Toc101423177"/>
      <w:r>
        <w:rPr>
          <w:rFonts w:asciiTheme="majorEastAsia" w:hAnsiTheme="majorEastAsia" w:eastAsiaTheme="majorEastAsia"/>
          <w:b w:val="0"/>
          <w:color w:val="auto"/>
          <w:sz w:val="28"/>
          <w:szCs w:val="28"/>
          <w:highlight w:val="none"/>
        </w:rPr>
        <w:t>6</w:t>
      </w:r>
      <w:r>
        <w:rPr>
          <w:rFonts w:hint="eastAsia" w:asciiTheme="majorEastAsia" w:hAnsiTheme="majorEastAsia" w:eastAsiaTheme="majorEastAsia"/>
          <w:b w:val="0"/>
          <w:color w:val="auto"/>
          <w:sz w:val="28"/>
          <w:szCs w:val="28"/>
          <w:highlight w:val="none"/>
        </w:rPr>
        <w:t>实施要求</w:t>
      </w:r>
      <w:bookmarkEnd w:id="137"/>
    </w:p>
    <w:p>
      <w:pPr>
        <w:ind w:firstLine="560" w:firstLineChars="200"/>
        <w:rPr>
          <w:rFonts w:ascii="仿宋_GB2312" w:hAnsi="宋体" w:eastAsia="仿宋_GB2312" w:cs="宋体"/>
          <w:bCs/>
          <w:color w:val="auto"/>
          <w:kern w:val="0"/>
          <w:sz w:val="28"/>
          <w:szCs w:val="28"/>
          <w:highlight w:val="none"/>
        </w:rPr>
      </w:pPr>
      <w:r>
        <w:rPr>
          <w:rFonts w:ascii="仿宋_GB2312" w:hAnsi="宋体" w:eastAsia="仿宋_GB2312" w:cs="宋体"/>
          <w:bCs/>
          <w:color w:val="auto"/>
          <w:kern w:val="0"/>
          <w:sz w:val="28"/>
          <w:szCs w:val="28"/>
          <w:highlight w:val="none"/>
        </w:rPr>
        <w:t>(1)项目实施单位须根据地埋式净水厂安全生产的需要做好系统的信道分配规划，协助厂区管理人员制定通讯组日常实施细则，当出现紧急情况下，应急指挥可灵活调整系统设置。保证通讯信号畅通，互不干扰，互为补充。</w:t>
      </w:r>
    </w:p>
    <w:p>
      <w:pPr>
        <w:ind w:firstLine="560" w:firstLineChars="200"/>
        <w:rPr>
          <w:rFonts w:ascii="仿宋_GB2312" w:hAnsi="宋体" w:eastAsia="仿宋_GB2312" w:cs="宋体"/>
          <w:bCs/>
          <w:color w:val="auto"/>
          <w:kern w:val="0"/>
          <w:sz w:val="28"/>
          <w:szCs w:val="28"/>
          <w:highlight w:val="none"/>
        </w:rPr>
      </w:pPr>
      <w:r>
        <w:rPr>
          <w:rFonts w:ascii="仿宋_GB2312" w:hAnsi="宋体" w:eastAsia="仿宋_GB2312" w:cs="宋体"/>
          <w:bCs/>
          <w:color w:val="auto"/>
          <w:kern w:val="0"/>
          <w:sz w:val="28"/>
          <w:szCs w:val="28"/>
          <w:highlight w:val="none"/>
        </w:rPr>
        <w:t>(2)线路的安装要规范美观，要求每隔1米须固定一次，转弯须适当增加加固点。</w:t>
      </w:r>
    </w:p>
    <w:p>
      <w:pPr>
        <w:ind w:firstLine="560" w:firstLineChars="200"/>
        <w:rPr>
          <w:rFonts w:ascii="仿宋_GB2312" w:hAnsi="宋体" w:eastAsia="仿宋_GB2312" w:cs="宋体"/>
          <w:bCs/>
          <w:color w:val="auto"/>
          <w:kern w:val="0"/>
          <w:sz w:val="28"/>
          <w:szCs w:val="28"/>
          <w:highlight w:val="none"/>
        </w:rPr>
      </w:pPr>
      <w:r>
        <w:rPr>
          <w:rFonts w:ascii="仿宋_GB2312" w:hAnsi="宋体" w:eastAsia="仿宋_GB2312" w:cs="宋体"/>
          <w:bCs/>
          <w:color w:val="auto"/>
          <w:kern w:val="0"/>
          <w:sz w:val="28"/>
          <w:szCs w:val="28"/>
          <w:highlight w:val="none"/>
        </w:rPr>
        <w:t>(3)由施工单位提供规范的测试方案，经我方审批通过后开展整体测试，达到我方技术参数要求后方可申请验收。</w:t>
      </w:r>
    </w:p>
    <w:bookmarkEnd w:id="112"/>
    <w:bookmarkEnd w:id="113"/>
    <w:p>
      <w:pPr>
        <w:rPr>
          <w:color w:val="auto"/>
          <w:highlight w:val="none"/>
        </w:rPr>
      </w:pPr>
    </w:p>
    <w:p>
      <w:pPr>
        <w:widowControl/>
        <w:jc w:val="left"/>
        <w:rPr>
          <w:rFonts w:eastAsia="方正小标宋简体"/>
          <w:bCs/>
          <w:color w:val="auto"/>
          <w:kern w:val="44"/>
          <w:sz w:val="44"/>
          <w:szCs w:val="44"/>
          <w:highlight w:val="none"/>
        </w:rPr>
      </w:pPr>
      <w:bookmarkStart w:id="138" w:name="_Toc18538"/>
      <w:bookmarkStart w:id="139" w:name="_Toc1496"/>
      <w:bookmarkStart w:id="140" w:name="_Toc537"/>
      <w:bookmarkStart w:id="141" w:name="_Toc25925"/>
      <w:bookmarkStart w:id="142" w:name="_Toc12135"/>
      <w:bookmarkStart w:id="143" w:name="_Toc23330"/>
      <w:bookmarkStart w:id="144" w:name="_Toc4680"/>
      <w:bookmarkStart w:id="145" w:name="_Toc15570"/>
      <w:bookmarkStart w:id="146" w:name="_Toc23353"/>
      <w:bookmarkStart w:id="147" w:name="_Toc1284"/>
      <w:bookmarkStart w:id="148" w:name="_Toc29835"/>
      <w:r>
        <w:rPr>
          <w:color w:val="auto"/>
          <w:highlight w:val="none"/>
        </w:rPr>
        <w:br w:type="page"/>
      </w: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2305050</wp:posOffset>
                </wp:positionH>
                <wp:positionV relativeFrom="paragraph">
                  <wp:posOffset>26670</wp:posOffset>
                </wp:positionV>
                <wp:extent cx="958850" cy="0"/>
                <wp:effectExtent l="9525" t="13335" r="12700" b="5715"/>
                <wp:wrapNone/>
                <wp:docPr id="8" name="AutoShape 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81.5pt;margin-top:2.1pt;height:0pt;width:75.5pt;z-index:251666432;mso-width-relative:page;mso-height-relative:page;" filled="f" stroked="t" coordsize="21600,21600" o:gfxdata="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uzkXdUAAAAHAQAADwAAAAAAAAABACAAAAAiAAAA&#10;ZHJzL2Rvd25yZXYueG1sUEsBAhQAFAAAAAgAh07iQFwIeGzRAQAAsQMAAA4AAAAAAAAAAQAgAAAA&#10;JAEAAGRycy9lMm9Eb2MueG1sUEsFBgAAAAAGAAYAWQEAAGc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600710</wp:posOffset>
                </wp:positionV>
                <wp:extent cx="958850" cy="0"/>
                <wp:effectExtent l="9525" t="5715" r="12700" b="13335"/>
                <wp:wrapNone/>
                <wp:docPr id="9" name="AutoShape 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81.6pt;margin-top:47.3pt;height:0pt;width:75.5pt;z-index:251667456;mso-width-relative:page;mso-height-relative:page;" filled="f" stroked="t" coordsize="21600,21600" o:gfxdata="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VKr1wAAAAkBAAAPAAAAAAAAAAEAIAAAACIA&#10;AABkcnMvZG93bnJldi54bWxQSwECFAAUAAAACACHTuJAd/fS0tEBAACxAwAADgAAAAAAAAABACAA&#10;AAAm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第六</w:t>
      </w:r>
      <w:bookmarkEnd w:id="138"/>
      <w:bookmarkEnd w:id="139"/>
      <w:bookmarkEnd w:id="140"/>
      <w:bookmarkEnd w:id="141"/>
      <w:bookmarkEnd w:id="142"/>
      <w:bookmarkEnd w:id="143"/>
      <w:bookmarkEnd w:id="144"/>
      <w:bookmarkEnd w:id="145"/>
      <w:bookmarkEnd w:id="146"/>
      <w:bookmarkEnd w:id="147"/>
      <w:bookmarkEnd w:id="148"/>
      <w:r>
        <w:rPr>
          <w:rFonts w:hint="eastAsia"/>
          <w:color w:val="auto"/>
          <w:highlight w:val="none"/>
        </w:rPr>
        <w:t>章</w:t>
      </w:r>
    </w:p>
    <w:p>
      <w:pPr>
        <w:pStyle w:val="33"/>
        <w:rPr>
          <w:color w:val="auto"/>
          <w:highlight w:val="none"/>
        </w:rPr>
      </w:pPr>
    </w:p>
    <w:p>
      <w:pPr>
        <w:pStyle w:val="4"/>
        <w:rPr>
          <w:color w:val="auto"/>
          <w:highlight w:val="none"/>
        </w:rPr>
      </w:pPr>
      <w:bookmarkStart w:id="149" w:name="_Toc12968"/>
      <w:bookmarkStart w:id="150" w:name="_Toc87616386"/>
      <w:bookmarkStart w:id="151" w:name="_Toc1375"/>
      <w:bookmarkStart w:id="152" w:name="_Toc13309"/>
      <w:bookmarkStart w:id="153" w:name="_Toc22501"/>
      <w:bookmarkStart w:id="154" w:name="_Toc12721"/>
      <w:bookmarkStart w:id="155" w:name="_Toc88209949"/>
      <w:bookmarkStart w:id="156" w:name="_Toc323"/>
      <w:bookmarkStart w:id="157" w:name="_Toc8183"/>
      <w:bookmarkStart w:id="158" w:name="_Toc19088"/>
      <w:bookmarkStart w:id="159" w:name="_Toc22797"/>
      <w:bookmarkStart w:id="160" w:name="_Toc19686"/>
      <w:bookmarkStart w:id="161" w:name="_Toc12980"/>
      <w:r>
        <w:rPr>
          <w:rFonts w:hint="eastAsia"/>
          <w:color w:val="auto"/>
          <w:highlight w:val="none"/>
        </w:rPr>
        <w:t>合同</w:t>
      </w:r>
      <w:bookmarkEnd w:id="149"/>
      <w:bookmarkEnd w:id="150"/>
      <w:bookmarkEnd w:id="151"/>
      <w:bookmarkEnd w:id="152"/>
      <w:bookmarkEnd w:id="153"/>
      <w:bookmarkEnd w:id="154"/>
      <w:bookmarkEnd w:id="155"/>
      <w:bookmarkEnd w:id="156"/>
      <w:bookmarkEnd w:id="157"/>
      <w:bookmarkEnd w:id="158"/>
      <w:bookmarkEnd w:id="159"/>
      <w:bookmarkEnd w:id="160"/>
      <w:bookmarkEnd w:id="16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widowControl/>
        <w:jc w:val="left"/>
        <w:rPr>
          <w:rFonts w:ascii="方正小标宋简体" w:eastAsia="方正小标宋简体"/>
          <w:color w:val="auto"/>
          <w:sz w:val="28"/>
          <w:szCs w:val="28"/>
          <w:highlight w:val="none"/>
        </w:rPr>
      </w:pPr>
      <w:r>
        <w:rPr>
          <w:rFonts w:ascii="方正小标宋简体" w:eastAsia="方正小标宋简体"/>
          <w:color w:val="auto"/>
          <w:sz w:val="28"/>
          <w:szCs w:val="28"/>
          <w:highlight w:val="none"/>
        </w:rPr>
        <w:br w:type="page"/>
      </w: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w:t>
      </w:r>
      <w:r>
        <w:rPr>
          <w:rFonts w:ascii="宋体" w:hAnsi="宋体" w:eastAsia="宋体" w:cs="宋体"/>
          <w:b/>
          <w:bCs/>
          <w:color w:val="auto"/>
          <w:sz w:val="48"/>
          <w:szCs w:val="48"/>
          <w:highlight w:val="none"/>
        </w:rPr>
        <w:t>/技改项目合同</w:t>
      </w:r>
    </w:p>
    <w:p>
      <w:pPr>
        <w:spacing w:line="400" w:lineRule="atLeast"/>
        <w:jc w:val="center"/>
        <w:rPr>
          <w:rFonts w:ascii="宋体" w:hAnsi="宋体" w:eastAsia="宋体" w:cs="Times New Roman"/>
          <w:bCs/>
          <w:color w:val="auto"/>
          <w:sz w:val="28"/>
          <w:szCs w:val="24"/>
          <w:highlight w:val="none"/>
        </w:rPr>
      </w:pPr>
      <w:r>
        <w:rPr>
          <w:rFonts w:hint="eastAsia" w:ascii="宋体" w:hAnsi="宋体" w:eastAsia="宋体" w:cs="Times New Roman"/>
          <w:bCs/>
          <w:color w:val="auto"/>
          <w:sz w:val="28"/>
          <w:szCs w:val="24"/>
          <w:highlight w:val="none"/>
        </w:rPr>
        <w:t>（示范文本）</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autoSpaceDE w:val="0"/>
        <w:autoSpaceDN w:val="0"/>
        <w:adjustRightInd w:val="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w:t>
      </w:r>
      <w:r>
        <w:rPr>
          <w:rFonts w:ascii="宋体" w:hAnsi="宋体" w:eastAsia="宋体" w:cs="宋体"/>
          <w:b/>
          <w:color w:val="auto"/>
          <w:sz w:val="30"/>
          <w:szCs w:val="30"/>
          <w:highlight w:val="none"/>
        </w:rPr>
        <w:t>:</w:t>
      </w:r>
      <w:r>
        <w:rPr>
          <w:rFonts w:hint="eastAsia" w:ascii="宋体" w:hAnsi="宋体" w:eastAsia="宋体" w:cs="宋体"/>
          <w:b/>
          <w:color w:val="auto"/>
          <w:sz w:val="30"/>
          <w:szCs w:val="30"/>
          <w:highlight w:val="none"/>
        </w:rPr>
        <w:t>广州市净水有限公司对讲机信号覆盖更新改造项目</w:t>
      </w:r>
    </w:p>
    <w:p>
      <w:pPr>
        <w:autoSpaceDE w:val="0"/>
        <w:autoSpaceDN w:val="0"/>
        <w:adjustRightInd w:val="0"/>
        <w:spacing w:line="240" w:lineRule="auto"/>
        <w:jc w:val="lef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ascii="宋体" w:hAnsi="宋体" w:eastAsia="宋体" w:cs="宋体"/>
          <w:b/>
          <w:color w:val="auto"/>
          <w:sz w:val="30"/>
          <w:szCs w:val="30"/>
          <w:highlight w:val="none"/>
        </w:rPr>
        <w:t>:</w:t>
      </w:r>
      <w:r>
        <w:rPr>
          <w:rFonts w:ascii="宋体" w:hAnsi="宋体" w:cs="宋体"/>
          <w:b/>
          <w:color w:val="auto"/>
          <w:sz w:val="30"/>
          <w:szCs w:val="30"/>
          <w:highlight w:val="none"/>
        </w:rPr>
        <w:t>02422022000002</w:t>
      </w: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w:t>
      </w:r>
      <w:r>
        <w:rPr>
          <w:rFonts w:ascii="宋体" w:hAnsi="宋体" w:eastAsia="宋体" w:cs="宋体"/>
          <w:b/>
          <w:bCs/>
          <w:color w:val="auto"/>
          <w:sz w:val="30"/>
          <w:szCs w:val="30"/>
          <w:highlight w:val="none"/>
        </w:rPr>
        <w:t xml:space="preserve">[     ]    </w:t>
      </w:r>
      <w:r>
        <w:rPr>
          <w:rFonts w:hint="eastAsia" w:ascii="宋体" w:hAnsi="宋体" w:eastAsia="宋体" w:cs="宋体"/>
          <w:b/>
          <w:bCs/>
          <w:color w:val="auto"/>
          <w:sz w:val="30"/>
          <w:szCs w:val="30"/>
          <w:highlight w:val="none"/>
        </w:rPr>
        <w:t>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w:t>
      </w:r>
      <w:r>
        <w:rPr>
          <w:rFonts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rPr>
        <w:t>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w:t>
      </w:r>
      <w:r>
        <w:rPr>
          <w:rFonts w:ascii="宋体" w:hAnsi="宋体" w:eastAsia="宋体" w:cs="宋体"/>
          <w:b/>
          <w:color w:val="auto"/>
          <w:sz w:val="30"/>
          <w:szCs w:val="30"/>
          <w:highlight w:val="none"/>
        </w:rPr>
        <w:t xml:space="preserve">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w:t>
      </w:r>
      <w:r>
        <w:rPr>
          <w:rFonts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中标通知书</w:t>
      </w:r>
      <w:r>
        <w:rPr>
          <w:rFonts w:ascii="宋体" w:hAnsi="宋体" w:eastAsia="宋体" w:cs="宋体"/>
          <w:bCs/>
          <w:color w:val="auto"/>
          <w:sz w:val="24"/>
          <w:szCs w:val="24"/>
          <w:highlight w:val="none"/>
        </w:rPr>
        <w:t>/发包通知书/成交通知书/委托函；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招标文件</w:t>
      </w:r>
      <w:r>
        <w:rPr>
          <w:rFonts w:ascii="宋体" w:hAnsi="宋体" w:eastAsia="宋体" w:cs="宋体"/>
          <w:bCs/>
          <w:color w:val="auto"/>
          <w:sz w:val="24"/>
          <w:szCs w:val="24"/>
          <w:highlight w:val="none"/>
        </w:rPr>
        <w:t>/询价文件；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投标文件</w:t>
      </w:r>
      <w:r>
        <w:rPr>
          <w:rFonts w:ascii="宋体" w:hAnsi="宋体" w:eastAsia="宋体" w:cs="宋体"/>
          <w:bCs/>
          <w:color w:val="auto"/>
          <w:sz w:val="24"/>
          <w:szCs w:val="24"/>
          <w:highlight w:val="none"/>
        </w:rPr>
        <w:t>/响应文件；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工程量清单</w:t>
      </w:r>
      <w:r>
        <w:rPr>
          <w:rFonts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w:t>
      </w:r>
      <w:r>
        <w:rPr>
          <w:rFonts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rPr>
        <w:t>广州市净水有限公司对讲机信号覆盖更新改造项目</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2.2项目地点：</w:t>
      </w:r>
      <w:r>
        <w:rPr>
          <w:rFonts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rPr>
        <w:t>包括沥滘三期和京溪这</w:t>
      </w:r>
      <w:r>
        <w:rPr>
          <w:rFonts w:ascii="宋体" w:hAnsi="宋体" w:eastAsia="宋体" w:cs="宋体"/>
          <w:color w:val="auto"/>
          <w:sz w:val="24"/>
          <w:szCs w:val="24"/>
          <w:highlight w:val="none"/>
          <w:u w:val="single"/>
        </w:rPr>
        <w:t>2座地埋式净水厂地下空间的对讲机信号覆盖系统更新改造</w:t>
      </w:r>
      <w:r>
        <w:rPr>
          <w:rFonts w:hint="eastAsia" w:ascii="仿宋_GB2312" w:eastAsia="仿宋_GB2312"/>
          <w:color w:val="auto"/>
          <w:sz w:val="28"/>
          <w:szCs w:val="28"/>
          <w:highlight w:val="none"/>
          <w:u w:val="single"/>
        </w:rPr>
        <w:t xml:space="preserve"> 。</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0"/>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w:t>
      </w:r>
      <w:r>
        <w:rPr>
          <w:rFonts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FE"/>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ascii="宋体" w:hAnsi="宋体" w:eastAsia="宋体" w:cs="宋体"/>
          <w:color w:val="auto"/>
          <w:sz w:val="24"/>
          <w:szCs w:val="24"/>
          <w:highlight w:val="none"/>
        </w:rPr>
        <w:t>2）执行。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ascii="宋体" w:hAnsi="宋体" w:eastAsia="宋体" w:cs="宋体"/>
          <w:color w:val="auto"/>
          <w:sz w:val="24"/>
          <w:szCs w:val="24"/>
          <w:highlight w:val="none"/>
          <w:u w:val="single"/>
        </w:rPr>
        <w:t>9%</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w:t>
      </w:r>
      <w:r>
        <w:rPr>
          <w:rFonts w:ascii="宋体" w:hAnsi="宋体" w:eastAsia="宋体" w:cs="宋体"/>
          <w:color w:val="auto"/>
          <w:kern w:val="0"/>
          <w:sz w:val="24"/>
          <w:szCs w:val="24"/>
          <w:highlight w:val="none"/>
        </w:rPr>
        <w:t>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spacing w:line="560" w:lineRule="exact"/>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（4）通过市场询价双方协商确定。</w:t>
      </w:r>
    </w:p>
    <w:p>
      <w:pPr>
        <w:spacing w:line="56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3.按1、2组价后下浮5%计取。</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ascii="宋体" w:hAnsi="宋体" w:eastAsia="宋体" w:cs="宋体"/>
          <w:color w:val="auto"/>
          <w:sz w:val="24"/>
          <w:szCs w:val="24"/>
          <w:highlight w:val="none"/>
          <w:u w:val="single"/>
        </w:rPr>
        <w:t xml:space="preserve"> 30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ascii="宋体" w:hAnsi="宋体" w:eastAsia="宋体" w:cs="宋体"/>
          <w:bCs/>
          <w:color w:val="auto"/>
          <w:sz w:val="24"/>
          <w:szCs w:val="24"/>
          <w:highlight w:val="none"/>
          <w:u w:val="single"/>
        </w:rPr>
        <w:t>15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作为违约金，以及赔偿由此造成的一切损失</w:t>
      </w:r>
      <w:r>
        <w:rPr>
          <w:rFonts w:asciiTheme="minorEastAsia" w:hAnsiTheme="minorEastAsia" w:cstheme="minorEastAsia"/>
          <w:color w:val="auto"/>
          <w:sz w:val="24"/>
          <w:szCs w:val="24"/>
          <w:highlight w:val="none"/>
        </w:rPr>
        <w:t xml:space="preserve">(包含质量安全事故、工期延误、增加投资等)。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5.7施工过程中，项目负责人应驻场管理，否则甲方有权要求乙方支付违约</w:t>
      </w:r>
      <w:r>
        <w:rPr>
          <w:rFonts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spacing w:line="500" w:lineRule="exact"/>
        <w:ind w:firstLine="480" w:firstLineChars="20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5.9</w:t>
      </w:r>
      <w:r>
        <w:rPr>
          <w:rFonts w:hint="eastAsia" w:asciiTheme="minorEastAsia" w:hAnsiTheme="minorEastAsia" w:cstheme="minorEastAsia"/>
          <w:color w:val="auto"/>
          <w:sz w:val="24"/>
          <w:szCs w:val="24"/>
          <w:highlight w:val="none"/>
        </w:rPr>
        <w:t>在合同有效期内，乙方自愿接受甲方按《广州市净水有限公司经营建设项目参建企业不诚信行为管理办法》、《营运项目承包单位日常履约考评参照表（安全）》处理，具体处理标准详见附件</w:t>
      </w:r>
      <w:r>
        <w:rPr>
          <w:rFonts w:asciiTheme="minorEastAsia" w:hAnsiTheme="minorEastAsia" w:cstheme="minorEastAsia"/>
          <w:color w:val="auto"/>
          <w:sz w:val="24"/>
          <w:szCs w:val="24"/>
          <w:highlight w:val="none"/>
        </w:rPr>
        <w:t>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w:t>
      </w:r>
      <w:r>
        <w:rPr>
          <w:rFonts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材料及设备供应</w:t>
      </w:r>
    </w:p>
    <w:p>
      <w:pPr>
        <w:spacing w:line="384" w:lineRule="auto"/>
        <w:ind w:firstLine="480" w:firstLineChars="200"/>
        <w:rPr>
          <w:color w:val="auto"/>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7.5</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7.6</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仿宋_GB2312" w:eastAsia="仿宋_GB2312"/>
          <w:color w:val="auto"/>
          <w:sz w:val="28"/>
          <w:szCs w:val="28"/>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2"/>
        <w:rPr>
          <w:rFonts w:eastAsia="宋体" w:cs="宋体"/>
          <w:color w:val="auto"/>
          <w:kern w:val="2"/>
          <w:highlight w:val="none"/>
        </w:rPr>
      </w:pPr>
      <w:r>
        <w:rPr>
          <w:rFonts w:eastAsia="宋体" w:cs="宋体"/>
          <w:color w:val="auto"/>
          <w:kern w:val="2"/>
          <w:highlight w:val="none"/>
        </w:rPr>
        <w:t>8.2</w:t>
      </w:r>
      <w:r>
        <w:rPr>
          <w:rFonts w:hint="eastAsia" w:eastAsia="宋体" w:cs="宋体"/>
          <w:color w:val="auto"/>
          <w:kern w:val="2"/>
          <w:highlight w:val="none"/>
        </w:rPr>
        <w:t>在收到甲方发出的开工报告</w:t>
      </w:r>
      <w:r>
        <w:rPr>
          <w:rFonts w:eastAsia="宋体" w:cs="宋体"/>
          <w:color w:val="auto"/>
          <w:kern w:val="2"/>
          <w:highlight w:val="none"/>
        </w:rPr>
        <w:t>/</w:t>
      </w:r>
      <w:r>
        <w:rPr>
          <w:rFonts w:hint="eastAsia" w:eastAsia="宋体" w:cs="宋体"/>
          <w:color w:val="auto"/>
          <w:kern w:val="2"/>
          <w:highlight w:val="none"/>
        </w:rPr>
        <w:t>通知之日起</w:t>
      </w:r>
      <w:r>
        <w:rPr>
          <w:rFonts w:eastAsia="宋体" w:cs="宋体"/>
          <w:color w:val="auto"/>
          <w:kern w:val="2"/>
          <w:highlight w:val="none"/>
        </w:rPr>
        <w:t>10</w:t>
      </w:r>
      <w:r>
        <w:rPr>
          <w:rFonts w:hint="eastAsia" w:eastAsia="宋体" w:cs="宋体"/>
          <w:color w:val="auto"/>
          <w:kern w:val="2"/>
          <w:highlight w:val="none"/>
        </w:rPr>
        <w:t>个工作日内完成现场勘查并出具施工方案，所提供施工方案经甲方确认后</w:t>
      </w:r>
      <w:r>
        <w:rPr>
          <w:rFonts w:eastAsia="宋体" w:cs="宋体"/>
          <w:color w:val="auto"/>
          <w:kern w:val="2"/>
          <w:highlight w:val="none"/>
        </w:rPr>
        <w:t>15</w:t>
      </w:r>
      <w:r>
        <w:rPr>
          <w:rFonts w:hint="eastAsia" w:eastAsia="宋体" w:cs="宋体"/>
          <w:color w:val="auto"/>
          <w:kern w:val="2"/>
          <w:highlight w:val="none"/>
        </w:rPr>
        <w:t>个工作日内，甲方支付合同暂定总价的（</w:t>
      </w:r>
      <w:r>
        <w:rPr>
          <w:rFonts w:eastAsia="宋体" w:cs="宋体"/>
          <w:color w:val="auto"/>
          <w:kern w:val="2"/>
          <w:highlight w:val="none"/>
        </w:rPr>
        <w:t>30%</w:t>
      </w:r>
      <w:r>
        <w:rPr>
          <w:rFonts w:hint="eastAsia" w:eastAsia="宋体" w:cs="宋体"/>
          <w:color w:val="auto"/>
          <w:kern w:val="2"/>
          <w:highlight w:val="none"/>
        </w:rPr>
        <w:t>）即…元给乙方。</w:t>
      </w:r>
    </w:p>
    <w:p>
      <w:pPr>
        <w:pStyle w:val="2"/>
        <w:rPr>
          <w:rFonts w:eastAsia="宋体" w:cs="宋体"/>
          <w:color w:val="auto"/>
          <w:kern w:val="2"/>
          <w:highlight w:val="none"/>
        </w:rPr>
      </w:pPr>
      <w:r>
        <w:rPr>
          <w:rFonts w:eastAsia="宋体" w:cs="宋体"/>
          <w:color w:val="auto"/>
          <w:kern w:val="2"/>
          <w:highlight w:val="none"/>
        </w:rPr>
        <w:t>8.3</w:t>
      </w:r>
      <w:r>
        <w:rPr>
          <w:rFonts w:hint="eastAsia" w:eastAsia="宋体" w:cs="宋体"/>
          <w:color w:val="auto"/>
          <w:kern w:val="2"/>
          <w:highlight w:val="none"/>
        </w:rPr>
        <w:t>甲方确认施工方案后起</w:t>
      </w:r>
      <w:r>
        <w:rPr>
          <w:rFonts w:eastAsia="宋体" w:cs="宋体"/>
          <w:color w:val="auto"/>
          <w:kern w:val="2"/>
          <w:highlight w:val="none"/>
        </w:rPr>
        <w:t>20</w:t>
      </w:r>
      <w:r>
        <w:rPr>
          <w:rFonts w:hint="eastAsia" w:eastAsia="宋体" w:cs="宋体"/>
          <w:color w:val="auto"/>
          <w:kern w:val="2"/>
          <w:highlight w:val="none"/>
        </w:rPr>
        <w:t>个工作日内乙方须保证项目所需货物全部到货，完成设备安装调试后，提供测试报告并经甲方确认后</w:t>
      </w:r>
      <w:r>
        <w:rPr>
          <w:rFonts w:eastAsia="宋体" w:cs="宋体"/>
          <w:color w:val="auto"/>
          <w:kern w:val="2"/>
          <w:highlight w:val="none"/>
        </w:rPr>
        <w:t>15</w:t>
      </w:r>
      <w:r>
        <w:rPr>
          <w:rFonts w:hint="eastAsia" w:eastAsia="宋体" w:cs="宋体"/>
          <w:color w:val="auto"/>
          <w:kern w:val="2"/>
          <w:highlight w:val="none"/>
        </w:rPr>
        <w:t>个工作日内，甲方支付合同暂定总价的（</w:t>
      </w:r>
      <w:r>
        <w:rPr>
          <w:rFonts w:eastAsia="宋体" w:cs="宋体"/>
          <w:color w:val="auto"/>
          <w:kern w:val="2"/>
          <w:highlight w:val="none"/>
        </w:rPr>
        <w:t>30%</w:t>
      </w:r>
      <w:r>
        <w:rPr>
          <w:rFonts w:hint="eastAsia" w:eastAsia="宋体" w:cs="宋体"/>
          <w:color w:val="auto"/>
          <w:kern w:val="2"/>
          <w:highlight w:val="none"/>
        </w:rPr>
        <w:t>）即…元给乙方。</w:t>
      </w:r>
    </w:p>
    <w:p>
      <w:pPr>
        <w:tabs>
          <w:tab w:val="left" w:pos="0"/>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8.4</w:t>
      </w:r>
      <w:r>
        <w:rPr>
          <w:rFonts w:hint="eastAsia" w:ascii="宋体" w:hAnsi="宋体" w:eastAsia="宋体" w:cs="宋体"/>
          <w:color w:val="auto"/>
          <w:sz w:val="24"/>
          <w:szCs w:val="24"/>
          <w:highlight w:val="none"/>
          <w:u w:val="single"/>
        </w:rPr>
        <w:t>项目验收合格后，</w:t>
      </w:r>
      <w:r>
        <w:rPr>
          <w:rFonts w:hint="eastAsia" w:ascii="宋体" w:hAnsi="宋体" w:eastAsia="宋体" w:cs="宋体"/>
          <w:color w:val="auto"/>
          <w:sz w:val="24"/>
          <w:szCs w:val="24"/>
          <w:highlight w:val="none"/>
        </w:rPr>
        <w:t>经甲方或甲方委托有资质第三方机构审核后，由乙方提交申请支付资料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个工作日内，甲方支付至合同结算价的</w:t>
      </w:r>
      <w:r>
        <w:rPr>
          <w:rFonts w:ascii="宋体" w:hAnsi="宋体" w:eastAsia="宋体" w:cs="宋体"/>
          <w:color w:val="auto"/>
          <w:sz w:val="24"/>
          <w:szCs w:val="24"/>
          <w:highlight w:val="none"/>
        </w:rPr>
        <w:t>95%</w:t>
      </w:r>
      <w:r>
        <w:rPr>
          <w:rFonts w:hint="eastAsia" w:ascii="宋体" w:hAnsi="宋体" w:eastAsia="宋体" w:cs="宋体"/>
          <w:color w:val="auto"/>
          <w:sz w:val="24"/>
          <w:szCs w:val="24"/>
          <w:highlight w:val="none"/>
        </w:rPr>
        <w:t>。</w:t>
      </w:r>
    </w:p>
    <w:p>
      <w:pPr>
        <w:spacing w:line="384" w:lineRule="auto"/>
        <w:ind w:firstLine="480" w:firstLineChars="200"/>
        <w:outlineLvl w:val="1"/>
        <w:rPr>
          <w:rFonts w:ascii="Times New Roman" w:hAnsi="宋体" w:eastAsia="宋体" w:cs="宋体"/>
          <w:color w:val="auto"/>
          <w:sz w:val="24"/>
          <w:szCs w:val="24"/>
          <w:highlight w:val="none"/>
        </w:rPr>
      </w:pPr>
      <w:r>
        <w:rPr>
          <w:rFonts w:ascii="宋体" w:hAnsi="宋体" w:eastAsia="宋体" w:cs="宋体"/>
          <w:color w:val="auto"/>
          <w:sz w:val="24"/>
          <w:szCs w:val="24"/>
          <w:highlight w:val="none"/>
        </w:rPr>
        <w:t>8.4.1</w:t>
      </w:r>
      <w:r>
        <w:rPr>
          <w:rFonts w:hint="eastAsia" w:ascii="Times New Roman" w:hAnsi="宋体" w:eastAsia="宋体" w:cs="宋体"/>
          <w:color w:val="auto"/>
          <w:sz w:val="24"/>
          <w:szCs w:val="24"/>
          <w:highlight w:val="none"/>
        </w:rPr>
        <w:t>质保期按合同第十条规定执行，质保期满后且乙方不存在违约情形，由乙方提交申请质保金退还资料</w:t>
      </w:r>
      <w:r>
        <w:rPr>
          <w:rFonts w:ascii="Times New Roman" w:hAnsi="宋体" w:eastAsia="宋体" w:cs="宋体"/>
          <w:color w:val="auto"/>
          <w:sz w:val="24"/>
          <w:szCs w:val="24"/>
          <w:highlight w:val="none"/>
          <w:u w:val="single"/>
        </w:rPr>
        <w:t xml:space="preserve"> 15 </w:t>
      </w:r>
      <w:r>
        <w:rPr>
          <w:rFonts w:hint="eastAsia" w:ascii="Times New Roman" w:hAnsi="宋体" w:eastAsia="宋体" w:cs="宋体"/>
          <w:color w:val="auto"/>
          <w:sz w:val="24"/>
          <w:szCs w:val="24"/>
          <w:highlight w:val="none"/>
        </w:rPr>
        <w:t>个工作日内，甲方支付合同结算价的</w:t>
      </w:r>
      <w:r>
        <w:rPr>
          <w:rFonts w:ascii="Times New Roman" w:hAnsi="宋体" w:eastAsia="宋体" w:cs="宋体"/>
          <w:color w:val="auto"/>
          <w:sz w:val="24"/>
          <w:szCs w:val="24"/>
          <w:highlight w:val="none"/>
        </w:rPr>
        <w:t>5</w:t>
      </w:r>
      <w:r>
        <w:rPr>
          <w:rFonts w:hint="eastAsia" w:ascii="Times New Roman" w:hAnsi="宋体" w:eastAsia="宋体" w:cs="宋体"/>
          <w:color w:val="auto"/>
          <w:sz w:val="24"/>
          <w:szCs w:val="24"/>
          <w:highlight w:val="none"/>
        </w:rPr>
        <w:t>％（质保金）给乙方（无息）。</w:t>
      </w:r>
    </w:p>
    <w:p>
      <w:pPr>
        <w:spacing w:line="384" w:lineRule="auto"/>
        <w:ind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8.4.2本项目工程款的支付单位为：</w:t>
      </w:r>
      <w:r>
        <w:rPr>
          <w:rFonts w:ascii="宋体" w:hAnsi="宋体" w:eastAsia="宋体" w:cs="宋体"/>
          <w:color w:val="auto"/>
          <w:sz w:val="24"/>
          <w:szCs w:val="24"/>
          <w:highlight w:val="none"/>
          <w:u w:val="single"/>
        </w:rPr>
        <w:t xml:space="preserve"> … </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8.5</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8.6</w:t>
      </w:r>
      <w:r>
        <w:rPr>
          <w:rFonts w:hint="eastAsia" w:ascii="宋体" w:hAnsi="宋体" w:eastAsia="宋体" w:cs="宋体"/>
          <w:color w:val="auto"/>
          <w:sz w:val="24"/>
          <w:szCs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w:t>
      </w:r>
      <w:r>
        <w:rPr>
          <w:rFonts w:hint="eastAsia" w:ascii="宋体" w:hAnsi="宋体" w:eastAsia="宋体" w:cs="宋体"/>
          <w:color w:val="auto"/>
          <w:sz w:val="24"/>
          <w:szCs w:val="24"/>
          <w:highlight w:val="none"/>
        </w:rPr>
        <w:t>履约担保：</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rPr>
        <w:t>□有</w:t>
      </w:r>
      <w:r>
        <w:rPr>
          <w:rFonts w:ascii="宋体" w:hAnsi="宋体" w:eastAsia="宋体" w:cs="宋体"/>
          <w:color w:val="auto"/>
          <w:szCs w:val="21"/>
          <w:highlight w:val="none"/>
        </w:rPr>
        <w:t>,</w:t>
      </w:r>
      <w:r>
        <w:rPr>
          <w:rFonts w:hint="eastAsia" w:ascii="宋体" w:hAnsi="宋体" w:eastAsia="宋体" w:cs="宋体"/>
          <w:color w:val="auto"/>
          <w:sz w:val="24"/>
          <w:szCs w:val="24"/>
          <w:highlight w:val="none"/>
        </w:rPr>
        <w:t>本合同签订后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w:t>
      </w:r>
      <w:r>
        <w:rPr>
          <w:rFonts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8.7.1</w:t>
      </w:r>
      <w:r>
        <w:rPr>
          <w:rFonts w:ascii="宋体" w:hAnsi="宋体" w:eastAsia="宋体" w:cs="Times New Roman"/>
          <w:color w:val="auto"/>
          <w:kern w:val="0"/>
          <w:sz w:val="24"/>
          <w:szCs w:val="24"/>
          <w:highlight w:val="none"/>
        </w:rPr>
        <w:t>履约担保</w:t>
      </w:r>
      <w:r>
        <w:rPr>
          <w:rFonts w:hint="eastAsia" w:ascii="宋体" w:hAnsi="宋体" w:eastAsia="宋体" w:cs="Times New Roman"/>
          <w:color w:val="auto"/>
          <w:kern w:val="0"/>
          <w:sz w:val="24"/>
          <w:szCs w:val="24"/>
          <w:highlight w:val="none"/>
        </w:rPr>
        <w:t>按以下任一种形式提供</w:t>
      </w:r>
      <w:r>
        <w:rPr>
          <w:rFonts w:ascii="宋体" w:hAnsi="宋体" w:eastAsia="宋体" w:cs="Times New Roman"/>
          <w:color w:val="auto"/>
          <w:kern w:val="0"/>
          <w:sz w:val="24"/>
          <w:szCs w:val="24"/>
          <w:highlight w:val="none"/>
        </w:rPr>
        <w:t>：</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1）符合甲方要求（详见附件7保函格式）的银行独立保函，</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2）现金转账至甲方以下指定账户：</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ascii="宋体" w:hAnsi="宋体" w:eastAsia="宋体" w:cs="宋体"/>
          <w:bCs/>
          <w:color w:val="auto"/>
          <w:sz w:val="24"/>
          <w:szCs w:val="24"/>
          <w:highlight w:val="none"/>
        </w:rPr>
        <w:t>82010154900000342</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8.7.2</w:t>
      </w:r>
      <w:r>
        <w:rPr>
          <w:rFonts w:hint="eastAsia" w:ascii="宋体" w:hAnsi="宋体" w:eastAsia="宋体" w:cs="宋体"/>
          <w:color w:val="auto"/>
          <w:sz w:val="24"/>
          <w:szCs w:val="24"/>
          <w:highlight w:val="none"/>
        </w:rPr>
        <w:t>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w:t>
      </w:r>
      <w:r>
        <w:rPr>
          <w:rFonts w:ascii="宋体" w:hAnsi="宋体" w:eastAsia="宋体" w:cs="宋体"/>
          <w:color w:val="auto"/>
          <w:sz w:val="24"/>
          <w:szCs w:val="24"/>
          <w:highlight w:val="none"/>
        </w:rPr>
        <w:t>28日内返还，不支付利息：</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⑷现金履约保证金的退还：合同履行完成后，由乙方提出申请，甲方在</w:t>
      </w:r>
      <w:r>
        <w:rPr>
          <w:rFonts w:ascii="宋体" w:hAnsi="宋体" w:eastAsia="宋体" w:cs="宋体"/>
          <w:color w:val="auto"/>
          <w:sz w:val="24"/>
          <w:szCs w:val="24"/>
          <w:highlight w:val="none"/>
        </w:rPr>
        <w:t>28日内将剩余保证金（无息）返还。</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8.7.3</w:t>
      </w:r>
      <w:r>
        <w:rPr>
          <w:rFonts w:hint="eastAsia" w:ascii="宋体" w:hAnsi="宋体" w:eastAsia="宋体" w:cs="宋体"/>
          <w:color w:val="auto"/>
          <w:sz w:val="24"/>
          <w:szCs w:val="24"/>
          <w:highlight w:val="none"/>
        </w:rPr>
        <w:t>甲方按本合同规定提取履约担保金额后，乙方应在收到甲方通知后</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szCs w:val="24"/>
          <w:highlight w:val="none"/>
          <w:bdr w:val="single" w:color="auto" w:sz="4" w:space="0"/>
        </w:rPr>
      </w:pPr>
      <w:r>
        <w:rPr>
          <w:rFonts w:ascii="宋体" w:hAnsi="宋体" w:eastAsia="宋体" w:cs="宋体"/>
          <w:color w:val="auto"/>
          <w:sz w:val="24"/>
          <w:szCs w:val="24"/>
          <w:highlight w:val="none"/>
        </w:rPr>
        <w:t>8.8</w:t>
      </w:r>
      <w:r>
        <w:rPr>
          <w:rFonts w:hint="eastAsia" w:asciiTheme="minorEastAsia" w:hAnsiTheme="minorEastAsia" w:cstheme="minorEastAsia"/>
          <w:color w:val="auto"/>
          <w:sz w:val="24"/>
          <w:szCs w:val="24"/>
          <w:highlight w:val="none"/>
        </w:rPr>
        <w:t>付款方式：</w:t>
      </w:r>
      <w:r>
        <w:rPr>
          <w:rFonts w:asciiTheme="minorEastAsia" w:hAnsiTheme="minorEastAsia" w:cstheme="minorEastAsia"/>
          <w:color w:val="auto"/>
          <w:sz w:val="24"/>
          <w:szCs w:val="24"/>
          <w:highlight w:val="none"/>
        </w:rPr>
        <w:t xml:space="preserve"> </w:t>
      </w:r>
      <w:r>
        <w:rPr>
          <w:rFonts w:ascii="宋体" w:hAnsi="宋体" w:eastAsia="宋体" w:cs="宋体"/>
          <w:bCs/>
          <w:color w:val="auto"/>
          <w:sz w:val="24"/>
          <w:highlight w:val="none"/>
        </w:rPr>
        <w:sym w:font="Wingdings" w:char="00FE"/>
      </w:r>
      <w:r>
        <w:rPr>
          <w:rFonts w:hint="eastAsia" w:asciiTheme="minorEastAsia" w:hAnsiTheme="minorEastAsia" w:cstheme="minorEastAsia"/>
          <w:color w:val="auto"/>
          <w:sz w:val="24"/>
          <w:szCs w:val="24"/>
          <w:highlight w:val="none"/>
        </w:rPr>
        <w:t>网银支付；</w:t>
      </w:r>
      <w:r>
        <w:rPr>
          <w:rFonts w:asciiTheme="minorEastAsia" w:hAnsiTheme="minorEastAsia" w:cstheme="minorEastAsia"/>
          <w:color w:val="auto"/>
          <w:sz w:val="24"/>
          <w:szCs w:val="24"/>
          <w:highlight w:val="none"/>
        </w:rPr>
        <w:t xml:space="preserve">  </w:t>
      </w:r>
      <w:r>
        <w:rPr>
          <w:rFonts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支票；</w:t>
      </w:r>
      <w:r>
        <w:rPr>
          <w:rFonts w:asciiTheme="minorEastAsia" w:hAnsiTheme="minorEastAsia" w:cstheme="minorEastAsia"/>
          <w:color w:val="auto"/>
          <w:sz w:val="24"/>
          <w:szCs w:val="24"/>
          <w:highlight w:val="none"/>
        </w:rPr>
        <w:t xml:space="preserve">   </w:t>
      </w:r>
      <w:r>
        <w:rPr>
          <w:rFonts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其他：</w:t>
      </w:r>
    </w:p>
    <w:p>
      <w:pPr>
        <w:spacing w:line="384" w:lineRule="auto"/>
        <w:ind w:firstLine="720" w:firstLineChars="3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（建议采用网银支付</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4"/>
          <w:highlight w:val="none"/>
        </w:rPr>
        <w:t>支票两种形式</w:t>
      </w:r>
      <w:r>
        <w:rPr>
          <w:rFonts w:hint="eastAsia" w:ascii="宋体" w:hAnsi="宋体" w:eastAsia="宋体" w:cs="宋体"/>
          <w:color w:val="auto"/>
          <w:sz w:val="24"/>
          <w:szCs w:val="21"/>
          <w:highlight w:val="none"/>
        </w:rPr>
        <w:t>中之一</w:t>
      </w:r>
      <w:r>
        <w:rPr>
          <w:rFonts w:hint="eastAsia" w:ascii="宋体" w:hAnsi="宋体" w:eastAsia="宋体" w:cs="宋体"/>
          <w:color w:val="auto"/>
          <w:sz w:val="24"/>
          <w:szCs w:val="24"/>
          <w:highlight w:val="none"/>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w:t>
      </w:r>
      <w:r>
        <w:rPr>
          <w:rFonts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62" w:name="_Toc474245220"/>
      <w:bookmarkStart w:id="163" w:name="_Toc518992994"/>
      <w:bookmarkStart w:id="164" w:name="_Toc520190034"/>
      <w:r>
        <w:rPr>
          <w:rFonts w:hint="eastAsia" w:ascii="宋体" w:hAnsi="宋体" w:eastAsia="宋体" w:cs="宋体"/>
          <w:b/>
          <w:bCs/>
          <w:color w:val="auto"/>
          <w:sz w:val="24"/>
          <w:szCs w:val="24"/>
          <w:highlight w:val="none"/>
        </w:rPr>
        <w:t>质量保证</w:t>
      </w:r>
      <w:bookmarkEnd w:id="162"/>
      <w:bookmarkEnd w:id="163"/>
      <w:bookmarkEnd w:id="164"/>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65" w:name="_Toc306350467"/>
      <w:bookmarkStart w:id="166" w:name="_Toc520190040"/>
      <w:bookmarkStart w:id="167" w:name="_Toc518993000"/>
      <w:bookmarkStart w:id="168" w:name="_Toc107447255"/>
      <w:bookmarkStart w:id="169" w:name="_Toc107446862"/>
      <w:bookmarkStart w:id="170" w:name="_Toc19692"/>
      <w:bookmarkStart w:id="171" w:name="_Toc474245226"/>
      <w:bookmarkStart w:id="172" w:name="_Toc183666531"/>
      <w:r>
        <w:rPr>
          <w:rFonts w:hint="eastAsia" w:ascii="宋体" w:hAnsi="宋体" w:eastAsia="宋体" w:cs="宋体"/>
          <w:b/>
          <w:bCs/>
          <w:color w:val="auto"/>
          <w:sz w:val="24"/>
          <w:szCs w:val="24"/>
          <w:highlight w:val="none"/>
        </w:rPr>
        <w:t>第十一条不可抗力</w:t>
      </w:r>
      <w:bookmarkEnd w:id="165"/>
      <w:bookmarkEnd w:id="166"/>
      <w:bookmarkEnd w:id="167"/>
      <w:bookmarkEnd w:id="168"/>
      <w:bookmarkEnd w:id="169"/>
      <w:bookmarkEnd w:id="170"/>
      <w:bookmarkEnd w:id="171"/>
      <w:bookmarkEnd w:id="172"/>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73" w:name="_Toc12010"/>
      <w:bookmarkStart w:id="174" w:name="_Toc183666532"/>
      <w:bookmarkStart w:id="175" w:name="_Toc306350468"/>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6" w:name="_Toc118172294"/>
      <w:bookmarkStart w:id="177" w:name="_Toc107447257"/>
      <w:bookmarkStart w:id="178" w:name="_Toc474245227"/>
      <w:bookmarkStart w:id="179" w:name="_Toc107446864"/>
      <w:bookmarkStart w:id="180" w:name="_Toc520190041"/>
      <w:bookmarkStart w:id="181" w:name="_Toc518993001"/>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73"/>
      <w:bookmarkEnd w:id="174"/>
      <w:bookmarkEnd w:id="175"/>
      <w:bookmarkEnd w:id="176"/>
      <w:bookmarkEnd w:id="177"/>
      <w:bookmarkEnd w:id="178"/>
      <w:bookmarkEnd w:id="179"/>
      <w:bookmarkEnd w:id="180"/>
      <w:bookmarkEnd w:id="181"/>
    </w:p>
    <w:p>
      <w:pPr>
        <w:spacing w:line="384" w:lineRule="auto"/>
        <w:ind w:firstLine="482"/>
        <w:rPr>
          <w:rFonts w:ascii="宋体" w:hAnsi="宋体" w:eastAsia="宋体" w:cs="宋体"/>
          <w:bCs/>
          <w:color w:val="auto"/>
          <w:sz w:val="24"/>
          <w:szCs w:val="24"/>
          <w:highlight w:val="none"/>
        </w:rPr>
      </w:pPr>
      <w:bookmarkStart w:id="182" w:name="_Toc183666533"/>
      <w:bookmarkStart w:id="183" w:name="_Toc306350469"/>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82"/>
      <w:bookmarkEnd w:id="183"/>
      <w:bookmarkStart w:id="184" w:name="_Toc474245229"/>
      <w:bookmarkStart w:id="185" w:name="_Toc520190043"/>
      <w:bookmarkStart w:id="186" w:name="_Toc518993003"/>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87" w:name="_Toc107447264"/>
      <w:bookmarkStart w:id="188" w:name="_Toc107446871"/>
      <w:r>
        <w:rPr>
          <w:rFonts w:hint="eastAsia" w:ascii="宋体" w:hAnsi="宋体" w:eastAsia="宋体" w:cs="宋体"/>
          <w:b/>
          <w:bCs/>
          <w:color w:val="auto"/>
          <w:sz w:val="24"/>
          <w:szCs w:val="24"/>
          <w:highlight w:val="none"/>
        </w:rPr>
        <w:t>合同生效及其他</w:t>
      </w:r>
      <w:bookmarkEnd w:id="184"/>
      <w:bookmarkEnd w:id="185"/>
      <w:bookmarkEnd w:id="186"/>
      <w:bookmarkEnd w:id="187"/>
      <w:bookmarkEnd w:id="188"/>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w:t>
      </w:r>
      <w:r>
        <w:rPr>
          <w:rFonts w:ascii="宋体" w:hAnsi="宋体" w:eastAsia="宋体" w:cs="宋体"/>
          <w:color w:val="auto"/>
          <w:sz w:val="24"/>
          <w:szCs w:val="24"/>
          <w:highlight w:val="none"/>
        </w:rPr>
        <w:t>/委托函（如有）</w:t>
      </w:r>
    </w:p>
    <w:p>
      <w:pPr>
        <w:spacing w:line="460" w:lineRule="exact"/>
        <w:ind w:firstLine="720" w:firstLineChars="300"/>
        <w:rPr>
          <w:rFonts w:ascii="宋体" w:hAnsi="宋体" w:eastAsia="宋体" w:cs="宋体"/>
          <w:color w:val="auto"/>
          <w:sz w:val="24"/>
          <w:szCs w:val="24"/>
          <w:highlight w:val="none"/>
        </w:rPr>
      </w:pPr>
      <w:r>
        <w:rPr>
          <w:rFonts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6.</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firstLine="720" w:firstLineChars="300"/>
        <w:rPr>
          <w:rFonts w:ascii="宋体" w:hAnsi="宋体" w:eastAsia="宋体" w:cs="宋体"/>
          <w:color w:val="auto"/>
          <w:sz w:val="24"/>
          <w:szCs w:val="24"/>
          <w:highlight w:val="none"/>
        </w:rPr>
      </w:pPr>
      <w:r>
        <w:rPr>
          <w:rFonts w:ascii="宋体" w:hAnsi="宋体" w:eastAsia="宋体" w:cs="宋体"/>
          <w:color w:val="auto"/>
          <w:sz w:val="24"/>
          <w:szCs w:val="24"/>
          <w:highlight w:val="none"/>
        </w:rPr>
        <w:t>9.授权委托证明（如需）</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 xml:space="preserve">1  </w:t>
      </w:r>
      <w:r>
        <w:rPr>
          <w:rFonts w:hint="eastAsia" w:ascii="宋体" w:hAnsi="宋体" w:eastAsia="宋体" w:cs="宋体"/>
          <w:b/>
          <w:bCs/>
          <w:color w:val="auto"/>
          <w:szCs w:val="21"/>
          <w:highlight w:val="none"/>
        </w:rPr>
        <w:t>中标通知书</w:t>
      </w:r>
      <w:r>
        <w:rPr>
          <w:rFonts w:ascii="宋体" w:hAnsi="宋体" w:eastAsia="宋体" w:cs="宋体"/>
          <w:b/>
          <w:bCs/>
          <w:color w:val="auto"/>
          <w:szCs w:val="21"/>
          <w:highlight w:val="none"/>
        </w:rPr>
        <w:t>/发包通知书/委托函（如有）</w:t>
      </w:r>
    </w:p>
    <w:p>
      <w:pPr>
        <w:spacing w:line="360" w:lineRule="auto"/>
        <w:rPr>
          <w:rFonts w:ascii="宋体" w:hAnsi="宋体" w:eastAsia="宋体" w:cs="宋体"/>
          <w:b/>
          <w:bCs/>
          <w:color w:val="auto"/>
          <w:szCs w:val="21"/>
          <w:highlight w:val="none"/>
        </w:rPr>
      </w:pPr>
      <w:bookmarkStart w:id="189" w:name="_Toc389815031"/>
      <w:bookmarkStart w:id="190" w:name="_Toc389815339"/>
      <w:bookmarkStart w:id="191" w:name="_Toc387080836"/>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w:t>
      </w:r>
      <w:r>
        <w:rPr>
          <w:rFonts w:ascii="仿宋_GB2312" w:hAnsi="仿宋_GB2312" w:eastAsia="仿宋_GB2312" w:cs="仿宋_GB2312"/>
          <w:bCs/>
          <w:color w:val="auto"/>
          <w:sz w:val="28"/>
          <w:szCs w:val="28"/>
          <w:highlight w:val="none"/>
        </w:rPr>
        <w:t>)乙方不得以任何名义为甲方及其工作人员报销应由甲方单位或个人支付的任何费用。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第五条</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kern w:val="0"/>
          <w:sz w:val="28"/>
          <w:szCs w:val="28"/>
          <w:highlight w:val="none"/>
        </w:rPr>
        <w:t>本协议执行情况，接受有管辖权的纪检、监察部门的监督，双方应予以配合检查调查。</w:t>
      </w:r>
      <w:r>
        <w:rPr>
          <w:rFonts w:ascii="仿宋_GB2312" w:hAnsi="仿宋_GB2312" w:eastAsia="仿宋_GB2312" w:cs="仿宋_GB2312"/>
          <w:bCs/>
          <w:color w:val="auto"/>
          <w:kern w:val="0"/>
          <w:sz w:val="28"/>
          <w:szCs w:val="28"/>
          <w:highlight w:val="none"/>
        </w:rPr>
        <w:t xml:space="preserve">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w:t>
      </w:r>
      <w:r>
        <w:rPr>
          <w:rFonts w:ascii="仿宋_GB2312" w:hAnsi="仿宋_GB2312" w:eastAsia="仿宋_GB2312" w:cs="仿宋_GB2312"/>
          <w:bCs/>
          <w:color w:val="auto"/>
          <w:sz w:val="28"/>
          <w:szCs w:val="28"/>
          <w:highlight w:val="none"/>
          <w:u w:val="single"/>
        </w:rPr>
        <w:t>+（合同编号）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年</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月</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日</w:t>
      </w:r>
      <w:r>
        <w:rPr>
          <w:rFonts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年</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月</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3.</w:t>
      </w:r>
      <w:r>
        <w:rPr>
          <w:rFonts w:hint="eastAsia" w:ascii="宋体" w:hAnsi="宋体" w:eastAsia="宋体" w:cs="宋体"/>
          <w:color w:val="auto"/>
          <w:szCs w:val="21"/>
          <w:highlight w:val="none"/>
        </w:rPr>
        <w:t>不诚信行为的情形及相应被暂停参与投标活动的处理标准</w:t>
      </w:r>
    </w:p>
    <w:tbl>
      <w:tblPr>
        <w:tblStyle w:val="20"/>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w:t>
            </w:r>
            <w:r>
              <w:rPr>
                <w:rFonts w:ascii="仿宋_GB2312" w:hAnsi="仿宋_GB2312" w:eastAsia="仿宋_GB2312" w:cs="仿宋_GB2312"/>
                <w:color w:val="auto"/>
                <w:szCs w:val="24"/>
                <w:highlight w:val="none"/>
              </w:rPr>
              <w:t>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w:t>
            </w:r>
            <w:r>
              <w:rPr>
                <w:rFonts w:ascii="仿宋_GB2312" w:hAnsi="仿宋_GB2312" w:eastAsia="仿宋_GB2312" w:cs="仿宋_GB2312"/>
                <w:color w:val="auto"/>
                <w:szCs w:val="24"/>
                <w:highlight w:val="none"/>
              </w:rPr>
              <w:t>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w:t>
            </w:r>
            <w:r>
              <w:rPr>
                <w:rFonts w:ascii="仿宋_GB2312" w:hAnsi="仿宋_GB2312" w:eastAsia="仿宋_GB2312" w:cs="仿宋_GB2312"/>
                <w:color w:val="auto"/>
                <w:szCs w:val="24"/>
                <w:highlight w:val="none"/>
              </w:rPr>
              <w:t>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w:t>
            </w:r>
            <w:r>
              <w:rPr>
                <w:rFonts w:ascii="仿宋_GB2312" w:hAnsi="仿宋_GB2312" w:eastAsia="仿宋_GB2312" w:cs="仿宋_GB2312"/>
                <w:color w:val="auto"/>
                <w:szCs w:val="24"/>
                <w:highlight w:val="none"/>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仿宋_GB2312" w:hAnsi="仿宋_GB2312" w:eastAsia="仿宋_GB2312" w:cs="仿宋_GB2312"/>
                <w:color w:val="auto"/>
                <w:szCs w:val="24"/>
                <w:highlight w:val="none"/>
              </w:rPr>
              <w:t>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ascii="仿宋_GB2312" w:hAnsi="仿宋_GB2312" w:eastAsia="仿宋_GB2312" w:cs="仿宋_GB2312"/>
                <w:color w:val="auto"/>
                <w:szCs w:val="24"/>
                <w:highlight w:val="none"/>
              </w:rPr>
              <w:t>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ascii="仿宋_GB2312" w:hAnsi="仿宋_GB2312" w:eastAsia="仿宋_GB2312" w:cs="仿宋_GB2312"/>
                <w:color w:val="auto"/>
                <w:szCs w:val="24"/>
                <w:highlight w:val="none"/>
              </w:rPr>
              <w:t>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w:t>
            </w:r>
            <w:r>
              <w:rPr>
                <w:rFonts w:ascii="仿宋_GB2312" w:hAnsi="仿宋_GB2312" w:eastAsia="仿宋_GB2312" w:cs="仿宋_GB2312"/>
                <w:color w:val="auto"/>
                <w:szCs w:val="24"/>
                <w:highlight w:val="none"/>
              </w:rPr>
              <w:t>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w:t>
            </w:r>
            <w:r>
              <w:rPr>
                <w:rFonts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rPr>
          <w:color w:val="auto"/>
          <w:highlight w:val="none"/>
        </w:rPr>
      </w:pPr>
      <w:r>
        <w:rPr>
          <w:color w:val="auto"/>
          <w:highlight w:val="none"/>
        </w:rPr>
        <w:br w:type="page"/>
      </w:r>
    </w:p>
    <w:tbl>
      <w:tblPr>
        <w:tblStyle w:val="20"/>
        <w:tblpPr w:leftFromText="180" w:rightFromText="180" w:vertAnchor="text" w:horzAnchor="page" w:tblpXSpec="center" w:tblpY="618"/>
        <w:tblOverlap w:val="never"/>
        <w:tblW w:w="10694" w:type="dxa"/>
        <w:tblInd w:w="0" w:type="dxa"/>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kern w:val="0"/>
                <w:sz w:val="16"/>
                <w:szCs w:val="16"/>
                <w:highlight w:val="none"/>
                <w:lang w:bidi="ar"/>
              </w:rPr>
            </w:pPr>
          </w:p>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w:t>
            </w:r>
            <w:r>
              <w:rPr>
                <w:rFonts w:ascii="等线" w:hAnsi="等线" w:eastAsia="等线" w:cs="等线"/>
                <w:color w:val="auto"/>
                <w:kern w:val="0"/>
                <w:sz w:val="16"/>
                <w:szCs w:val="16"/>
                <w:highlight w:val="none"/>
                <w:lang w:bidi="ar"/>
              </w:rPr>
              <w:t>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w:t>
            </w:r>
            <w:r>
              <w:rPr>
                <w:rFonts w:ascii="等线" w:hAnsi="等线" w:eastAsia="等线" w:cs="等线"/>
                <w:color w:val="auto"/>
                <w:kern w:val="0"/>
                <w:sz w:val="16"/>
                <w:szCs w:val="16"/>
                <w:highlight w:val="none"/>
                <w:lang w:bidi="ar"/>
              </w:rPr>
              <w:t>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w:t>
            </w:r>
            <w:r>
              <w:rPr>
                <w:rFonts w:ascii="等线" w:hAnsi="等线" w:eastAsia="等线" w:cs="等线"/>
                <w:color w:val="auto"/>
                <w:kern w:val="0"/>
                <w:sz w:val="16"/>
                <w:szCs w:val="16"/>
                <w:highlight w:val="none"/>
                <w:lang w:bidi="ar"/>
              </w:rPr>
              <w:t>100万</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w:t>
            </w:r>
            <w:r>
              <w:rPr>
                <w:rFonts w:ascii="仿宋_GB2312" w:hAnsi="等线" w:eastAsia="仿宋_GB2312" w:cs="仿宋_GB2312"/>
                <w:color w:val="auto"/>
                <w:kern w:val="0"/>
                <w:sz w:val="16"/>
                <w:szCs w:val="16"/>
                <w:highlight w:val="none"/>
                <w:lang w:bidi="ar"/>
              </w:rPr>
              <w:t>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w:t>
            </w:r>
            <w:r>
              <w:rPr>
                <w:rFonts w:ascii="仿宋_GB2312" w:hAnsi="等线" w:eastAsia="仿宋_GB2312" w:cs="仿宋_GB2312"/>
                <w:color w:val="auto"/>
                <w:kern w:val="0"/>
                <w:sz w:val="16"/>
                <w:szCs w:val="16"/>
                <w:highlight w:val="none"/>
                <w:lang w:bidi="ar"/>
              </w:rPr>
              <w:t>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30%～50%；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20%～30%；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10%～20%；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5%～10%;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8万～12万</w:t>
            </w:r>
          </w:p>
        </w:tc>
      </w:tr>
      <w:tr>
        <w:tblPrEx>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w:t>
            </w:r>
            <w:r>
              <w:rPr>
                <w:rFonts w:ascii="仿宋_GB2312" w:hAnsi="等线" w:eastAsia="仿宋_GB2312" w:cs="仿宋_GB2312"/>
                <w:color w:val="auto"/>
                <w:kern w:val="0"/>
                <w:sz w:val="16"/>
                <w:szCs w:val="16"/>
                <w:highlight w:val="none"/>
                <w:lang w:bidi="ar"/>
              </w:rPr>
              <w:t>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20%～30%;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10%～20%；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5%～10%；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3%～5%；</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4万～8万</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10%～20%；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5%～10%；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3%～5%；</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1%～2%；</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2万～4万</w:t>
            </w:r>
          </w:p>
        </w:tc>
      </w:tr>
      <w:tr>
        <w:tblPrEx>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1.发生事故或事件隐瞒不报的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2.未在1小时内向业主单位上报事故的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3.拒绝、不配合事故事件调查的或事故事件调查提供虚假信息</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4.未按规定和程序组织事故调查和事故处理的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5.未及时处理导致事故扩大的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30%～50%；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20%～30%；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10%～20%；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5%～10%;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8万～12万</w:t>
            </w:r>
          </w:p>
        </w:tc>
      </w:tr>
      <w:tr>
        <w:tblPrEx>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2.施工单位对施工人员的三级安全教育材料</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w:t>
            </w:r>
            <w:r>
              <w:rPr>
                <w:rFonts w:ascii="仿宋_GB2312" w:hAnsi="等线" w:eastAsia="仿宋_GB2312" w:cs="仿宋_GB2312"/>
                <w:color w:val="auto"/>
                <w:kern w:val="0"/>
                <w:sz w:val="16"/>
                <w:szCs w:val="16"/>
                <w:highlight w:val="none"/>
                <w:lang w:bidi="ar"/>
              </w:rPr>
              <w:t>5%或500；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w:t>
            </w:r>
            <w:r>
              <w:rPr>
                <w:rFonts w:ascii="仿宋_GB2312" w:hAnsi="等线" w:eastAsia="仿宋_GB2312" w:cs="仿宋_GB2312"/>
                <w:color w:val="auto"/>
                <w:kern w:val="0"/>
                <w:sz w:val="16"/>
                <w:szCs w:val="16"/>
                <w:highlight w:val="none"/>
                <w:lang w:bidi="ar"/>
              </w:rPr>
              <w:t>2%或2000；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w:t>
            </w:r>
            <w:r>
              <w:rPr>
                <w:rFonts w:ascii="仿宋_GB2312" w:hAnsi="等线" w:eastAsia="仿宋_GB2312" w:cs="仿宋_GB2312"/>
                <w:color w:val="auto"/>
                <w:kern w:val="0"/>
                <w:sz w:val="16"/>
                <w:szCs w:val="16"/>
                <w:highlight w:val="none"/>
                <w:lang w:bidi="ar"/>
              </w:rPr>
              <w:t>1%或4500；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w:t>
            </w:r>
            <w:r>
              <w:rPr>
                <w:rFonts w:ascii="仿宋_GB2312" w:hAnsi="等线" w:eastAsia="仿宋_GB2312" w:cs="仿宋_GB2312"/>
                <w:color w:val="auto"/>
                <w:kern w:val="0"/>
                <w:sz w:val="16"/>
                <w:szCs w:val="16"/>
                <w:highlight w:val="none"/>
                <w:lang w:bidi="ar"/>
              </w:rPr>
              <w:t>0.4%或8000；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0.2%或4000</w:t>
            </w:r>
          </w:p>
        </w:tc>
      </w:tr>
      <w:tr>
        <w:tblPrEx>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4.施工方案，应满足合同要求，内容至少包括：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施工点介绍</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施工内容（含作业流程、风险分析、施工工艺等）</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施工设备和材料（必要时含构件测试手段等）</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w:t>
            </w:r>
            <w:r>
              <w:rPr>
                <w:rFonts w:ascii="仿宋_GB2312" w:hAnsi="等线" w:eastAsia="仿宋_GB2312" w:cs="仿宋_GB2312"/>
                <w:color w:val="auto"/>
                <w:kern w:val="0"/>
                <w:sz w:val="16"/>
                <w:szCs w:val="16"/>
                <w:highlight w:val="none"/>
                <w:lang w:bidi="ar"/>
              </w:rPr>
              <w:t>6%或700；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w:t>
            </w:r>
            <w:r>
              <w:rPr>
                <w:rFonts w:ascii="仿宋_GB2312" w:hAnsi="等线" w:eastAsia="仿宋_GB2312" w:cs="仿宋_GB2312"/>
                <w:color w:val="auto"/>
                <w:kern w:val="0"/>
                <w:sz w:val="16"/>
                <w:szCs w:val="16"/>
                <w:highlight w:val="none"/>
                <w:lang w:bidi="ar"/>
              </w:rPr>
              <w:t>3%或3500；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w:t>
            </w:r>
            <w:r>
              <w:rPr>
                <w:rFonts w:ascii="仿宋_GB2312" w:hAnsi="等线" w:eastAsia="仿宋_GB2312" w:cs="仿宋_GB2312"/>
                <w:color w:val="auto"/>
                <w:kern w:val="0"/>
                <w:sz w:val="16"/>
                <w:szCs w:val="16"/>
                <w:highlight w:val="none"/>
                <w:lang w:bidi="ar"/>
              </w:rPr>
              <w:t>1.5%或5000；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w:t>
            </w:r>
            <w:r>
              <w:rPr>
                <w:rFonts w:ascii="仿宋_GB2312" w:hAnsi="等线" w:eastAsia="仿宋_GB2312" w:cs="仿宋_GB2312"/>
                <w:color w:val="auto"/>
                <w:kern w:val="0"/>
                <w:sz w:val="16"/>
                <w:szCs w:val="16"/>
                <w:highlight w:val="none"/>
                <w:lang w:bidi="ar"/>
              </w:rPr>
              <w:t>0.5%或1万；</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5.应急预案，内容至少包括：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现场情况介绍</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风险评估</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应急流程</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应急物资清单</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w:t>
            </w:r>
            <w:r>
              <w:rPr>
                <w:rFonts w:ascii="仿宋_GB2312" w:hAnsi="等线" w:eastAsia="仿宋_GB2312" w:cs="仿宋_GB2312"/>
                <w:color w:val="auto"/>
                <w:kern w:val="0"/>
                <w:sz w:val="16"/>
                <w:szCs w:val="16"/>
                <w:highlight w:val="none"/>
                <w:lang w:bidi="ar"/>
              </w:rPr>
              <w:t>6%或700；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w:t>
            </w:r>
            <w:r>
              <w:rPr>
                <w:rFonts w:ascii="仿宋_GB2312" w:hAnsi="等线" w:eastAsia="仿宋_GB2312" w:cs="仿宋_GB2312"/>
                <w:color w:val="auto"/>
                <w:kern w:val="0"/>
                <w:sz w:val="16"/>
                <w:szCs w:val="16"/>
                <w:highlight w:val="none"/>
                <w:lang w:bidi="ar"/>
              </w:rPr>
              <w:t>3%或3500；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w:t>
            </w:r>
            <w:r>
              <w:rPr>
                <w:rFonts w:ascii="仿宋_GB2312" w:hAnsi="等线" w:eastAsia="仿宋_GB2312" w:cs="仿宋_GB2312"/>
                <w:color w:val="auto"/>
                <w:kern w:val="0"/>
                <w:sz w:val="16"/>
                <w:szCs w:val="16"/>
                <w:highlight w:val="none"/>
                <w:lang w:bidi="ar"/>
              </w:rPr>
              <w:t>1.5%或5000；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w:t>
            </w:r>
            <w:r>
              <w:rPr>
                <w:rFonts w:ascii="仿宋_GB2312" w:hAnsi="等线" w:eastAsia="仿宋_GB2312" w:cs="仿宋_GB2312"/>
                <w:color w:val="auto"/>
                <w:kern w:val="0"/>
                <w:sz w:val="16"/>
                <w:szCs w:val="16"/>
                <w:highlight w:val="none"/>
                <w:lang w:bidi="ar"/>
              </w:rPr>
              <w:t>0.5%或1万；</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安全责任人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施工负责人（可与安全责任人为同一个人）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设备、物资管理人员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w:t>
            </w:r>
            <w:r>
              <w:rPr>
                <w:rFonts w:ascii="仿宋_GB2312" w:hAnsi="等线" w:eastAsia="仿宋_GB2312" w:cs="仿宋_GB2312"/>
                <w:color w:val="auto"/>
                <w:kern w:val="0"/>
                <w:sz w:val="16"/>
                <w:szCs w:val="16"/>
                <w:highlight w:val="none"/>
                <w:lang w:bidi="ar"/>
              </w:rPr>
              <w:t>10%或2000；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w:t>
            </w:r>
            <w:r>
              <w:rPr>
                <w:rFonts w:ascii="仿宋_GB2312" w:hAnsi="等线" w:eastAsia="仿宋_GB2312" w:cs="仿宋_GB2312"/>
                <w:color w:val="auto"/>
                <w:kern w:val="0"/>
                <w:sz w:val="16"/>
                <w:szCs w:val="16"/>
                <w:highlight w:val="none"/>
                <w:lang w:bidi="ar"/>
              </w:rPr>
              <w:t>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w:t>
            </w:r>
            <w:r>
              <w:rPr>
                <w:rFonts w:ascii="仿宋_GB2312" w:hAnsi="等线" w:eastAsia="仿宋_GB2312" w:cs="仿宋_GB2312"/>
                <w:color w:val="auto"/>
                <w:kern w:val="0"/>
                <w:sz w:val="16"/>
                <w:szCs w:val="16"/>
                <w:highlight w:val="none"/>
                <w:lang w:bidi="ar"/>
              </w:rPr>
              <w:t>5%或5000；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w:t>
            </w:r>
            <w:r>
              <w:rPr>
                <w:rFonts w:ascii="仿宋_GB2312" w:hAnsi="等线" w:eastAsia="仿宋_GB2312" w:cs="仿宋_GB2312"/>
                <w:color w:val="auto"/>
                <w:kern w:val="0"/>
                <w:sz w:val="16"/>
                <w:szCs w:val="16"/>
                <w:highlight w:val="none"/>
                <w:lang w:bidi="ar"/>
              </w:rPr>
              <w:t>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w:t>
            </w:r>
            <w:r>
              <w:rPr>
                <w:rFonts w:ascii="仿宋_GB2312" w:hAnsi="等线" w:eastAsia="仿宋_GB2312" w:cs="仿宋_GB2312"/>
                <w:color w:val="auto"/>
                <w:kern w:val="0"/>
                <w:sz w:val="16"/>
                <w:szCs w:val="16"/>
                <w:highlight w:val="none"/>
                <w:lang w:bidi="ar"/>
              </w:rPr>
              <w:t>2%或1万；</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w:t>
            </w:r>
            <w:r>
              <w:rPr>
                <w:rFonts w:ascii="仿宋_GB2312" w:hAnsi="等线" w:eastAsia="仿宋_GB2312" w:cs="仿宋_GB2312"/>
                <w:color w:val="auto"/>
                <w:kern w:val="0"/>
                <w:sz w:val="16"/>
                <w:szCs w:val="16"/>
                <w:highlight w:val="none"/>
                <w:lang w:bidi="ar"/>
              </w:rPr>
              <w:t>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w:t>
            </w:r>
            <w:r>
              <w:rPr>
                <w:rFonts w:ascii="仿宋_GB2312" w:hAnsi="等线" w:eastAsia="仿宋_GB2312" w:cs="仿宋_GB2312"/>
                <w:color w:val="auto"/>
                <w:kern w:val="0"/>
                <w:sz w:val="16"/>
                <w:szCs w:val="16"/>
                <w:highlight w:val="none"/>
                <w:lang w:bidi="ar"/>
              </w:rPr>
              <w:t>1%或2万；</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w:t>
            </w:r>
            <w:r>
              <w:rPr>
                <w:rFonts w:ascii="仿宋_GB2312" w:hAnsi="等线" w:eastAsia="仿宋_GB2312" w:cs="仿宋_GB2312"/>
                <w:color w:val="auto"/>
                <w:kern w:val="0"/>
                <w:sz w:val="16"/>
                <w:szCs w:val="16"/>
                <w:highlight w:val="none"/>
                <w:lang w:bidi="ar"/>
              </w:rPr>
              <w:t>0.5%或1万</w:t>
            </w:r>
          </w:p>
        </w:tc>
      </w:tr>
      <w:tr>
        <w:tblPrEx>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7.施工人员花名册，人员应包含：</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施工负责人（需要施工管理人员资格证书）</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一般施工人员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可能需要进入厂区的其他人员（如监理人员、资料员等）</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w:t>
            </w:r>
            <w:r>
              <w:rPr>
                <w:rFonts w:ascii="仿宋_GB2312" w:hAnsi="等线" w:eastAsia="仿宋_GB2312" w:cs="仿宋_GB2312"/>
                <w:color w:val="auto"/>
                <w:kern w:val="0"/>
                <w:sz w:val="16"/>
                <w:szCs w:val="16"/>
                <w:highlight w:val="none"/>
                <w:lang w:bidi="ar"/>
              </w:rPr>
              <w:t>5%或500；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w:t>
            </w:r>
            <w:r>
              <w:rPr>
                <w:rFonts w:ascii="仿宋_GB2312" w:hAnsi="等线" w:eastAsia="仿宋_GB2312" w:cs="仿宋_GB2312"/>
                <w:color w:val="auto"/>
                <w:kern w:val="0"/>
                <w:sz w:val="16"/>
                <w:szCs w:val="16"/>
                <w:highlight w:val="none"/>
                <w:lang w:bidi="ar"/>
              </w:rPr>
              <w:t>5%或500；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w:t>
            </w:r>
            <w:r>
              <w:rPr>
                <w:rFonts w:ascii="仿宋_GB2312" w:hAnsi="等线" w:eastAsia="仿宋_GB2312" w:cs="仿宋_GB2312"/>
                <w:color w:val="auto"/>
                <w:kern w:val="0"/>
                <w:sz w:val="16"/>
                <w:szCs w:val="16"/>
                <w:highlight w:val="none"/>
                <w:lang w:bidi="ar"/>
              </w:rPr>
              <w:t>2%或2000；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w:t>
            </w:r>
            <w:r>
              <w:rPr>
                <w:rFonts w:ascii="仿宋_GB2312" w:hAnsi="等线" w:eastAsia="仿宋_GB2312" w:cs="仿宋_GB2312"/>
                <w:color w:val="auto"/>
                <w:kern w:val="0"/>
                <w:sz w:val="16"/>
                <w:szCs w:val="16"/>
                <w:highlight w:val="none"/>
                <w:lang w:bidi="ar"/>
              </w:rPr>
              <w:t>2%或2000；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w:t>
            </w:r>
            <w:r>
              <w:rPr>
                <w:rFonts w:ascii="仿宋_GB2312" w:hAnsi="等线" w:eastAsia="仿宋_GB2312" w:cs="仿宋_GB2312"/>
                <w:color w:val="auto"/>
                <w:kern w:val="0"/>
                <w:sz w:val="16"/>
                <w:szCs w:val="16"/>
                <w:highlight w:val="none"/>
                <w:lang w:bidi="ar"/>
              </w:rPr>
              <w:t>1%或4500；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w:t>
            </w:r>
            <w:r>
              <w:rPr>
                <w:rFonts w:ascii="仿宋_GB2312" w:hAnsi="等线" w:eastAsia="仿宋_GB2312" w:cs="仿宋_GB2312"/>
                <w:color w:val="auto"/>
                <w:kern w:val="0"/>
                <w:sz w:val="16"/>
                <w:szCs w:val="16"/>
                <w:highlight w:val="none"/>
                <w:lang w:bidi="ar"/>
              </w:rPr>
              <w:t>1%或4500；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w:t>
            </w:r>
            <w:r>
              <w:rPr>
                <w:rFonts w:ascii="仿宋_GB2312" w:hAnsi="等线" w:eastAsia="仿宋_GB2312" w:cs="仿宋_GB2312"/>
                <w:color w:val="auto"/>
                <w:kern w:val="0"/>
                <w:sz w:val="16"/>
                <w:szCs w:val="16"/>
                <w:highlight w:val="none"/>
                <w:lang w:bidi="ar"/>
              </w:rPr>
              <w:t>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w:t>
            </w:r>
            <w:r>
              <w:rPr>
                <w:rFonts w:ascii="仿宋_GB2312" w:hAnsi="等线" w:eastAsia="仿宋_GB2312" w:cs="仿宋_GB2312"/>
                <w:color w:val="auto"/>
                <w:kern w:val="0"/>
                <w:sz w:val="16"/>
                <w:szCs w:val="16"/>
                <w:highlight w:val="none"/>
                <w:lang w:bidi="ar"/>
              </w:rPr>
              <w:t>0.4%或8000；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w:t>
            </w:r>
            <w:r>
              <w:rPr>
                <w:rFonts w:ascii="仿宋_GB2312" w:hAnsi="等线" w:eastAsia="仿宋_GB2312" w:cs="仿宋_GB2312"/>
                <w:color w:val="auto"/>
                <w:kern w:val="0"/>
                <w:sz w:val="16"/>
                <w:szCs w:val="16"/>
                <w:highlight w:val="none"/>
                <w:lang w:bidi="ar"/>
              </w:rPr>
              <w:t>0.4%或8000；</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w:t>
            </w:r>
            <w:r>
              <w:rPr>
                <w:rFonts w:ascii="仿宋_GB2312" w:hAnsi="等线" w:eastAsia="仿宋_GB2312" w:cs="仿宋_GB2312"/>
                <w:color w:val="auto"/>
                <w:kern w:val="0"/>
                <w:sz w:val="16"/>
                <w:szCs w:val="16"/>
                <w:highlight w:val="none"/>
                <w:lang w:bidi="ar"/>
              </w:rPr>
              <w:t>0.2%或4000</w:t>
            </w:r>
          </w:p>
        </w:tc>
      </w:tr>
      <w:tr>
        <w:tblPrEx>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1.施工现场未开展有效围蔽</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3.现场无危险源公示、告知及相应警示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0.5%或1万</w:t>
            </w:r>
          </w:p>
        </w:tc>
      </w:tr>
      <w:tr>
        <w:tblPrEx>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1.现场未按施工方案落实安全防范措施的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2.危险作业未经业主人员审批先行施工的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1%或2万</w:t>
            </w:r>
          </w:p>
        </w:tc>
      </w:tr>
      <w:tr>
        <w:tblPrEx>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1.违反9大危险作业相关作业规范的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2.现场存在违章作业、违章指挥等违反相关安全管理规定或制度的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0.5%或1万</w:t>
            </w:r>
          </w:p>
        </w:tc>
      </w:tr>
      <w:tr>
        <w:tblPrEx>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1.未设置应急物资点，未统一存放应急物资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2.应急物资点无应急物资清单或无应急物资每日检查表</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0.3%或5000</w:t>
            </w:r>
          </w:p>
        </w:tc>
      </w:tr>
      <w:tr>
        <w:tblPrEx>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0.4%或8000</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3%～5%；</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1%～2%；</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0.5%～1%；</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w:t>
            </w:r>
            <w:r>
              <w:rPr>
                <w:rFonts w:ascii="仿宋_GB2312" w:hAnsi="等线" w:eastAsia="仿宋_GB2312" w:cs="仿宋_GB2312"/>
                <w:color w:val="auto"/>
                <w:kern w:val="0"/>
                <w:sz w:val="16"/>
                <w:szCs w:val="16"/>
                <w:highlight w:val="none"/>
                <w:lang w:bidi="ar"/>
              </w:rPr>
              <w:t>0.3%～0.4%；</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w:t>
            </w:r>
            <w:r>
              <w:rPr>
                <w:rFonts w:ascii="仿宋_GB2312" w:hAnsi="等线" w:eastAsia="仿宋_GB2312" w:cs="仿宋_GB2312"/>
                <w:color w:val="auto"/>
                <w:kern w:val="0"/>
                <w:sz w:val="16"/>
                <w:szCs w:val="16"/>
                <w:highlight w:val="none"/>
                <w:lang w:bidi="ar"/>
              </w:rPr>
              <w:t>5000～8000</w:t>
            </w:r>
          </w:p>
        </w:tc>
      </w:tr>
      <w:tr>
        <w:tblPrEx>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w:t>
            </w:r>
            <w:r>
              <w:rPr>
                <w:color w:val="auto"/>
                <w:sz w:val="13"/>
                <w:szCs w:val="13"/>
                <w:highlight w:val="none"/>
              </w:rPr>
              <w:t xml:space="preserve"> </w:t>
            </w:r>
            <w:r>
              <w:rPr>
                <w:rFonts w:hint="eastAsia"/>
                <w:color w:val="auto"/>
                <w:sz w:val="13"/>
                <w:szCs w:val="13"/>
                <w:highlight w:val="none"/>
              </w:rPr>
              <w:t>1-2021）执行。</w:t>
            </w:r>
          </w:p>
          <w:p>
            <w:pPr>
              <w:contextualSpacing/>
              <w:jc w:val="left"/>
              <w:rPr>
                <w:rFonts w:ascii="仿宋_GB2312" w:hAnsi="仿宋_GB2312" w:eastAsia="仿宋_GB2312" w:cs="仿宋_GB2312"/>
                <w:color w:val="auto"/>
                <w:sz w:val="13"/>
                <w:szCs w:val="13"/>
                <w:highlight w:val="none"/>
              </w:rPr>
            </w:pPr>
            <w:r>
              <w:rPr>
                <w:rFonts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p>
      <w:pPr>
        <w:pStyle w:val="2"/>
        <w:ind w:firstLine="0"/>
        <w:rPr>
          <w:rFonts w:cs="宋体"/>
          <w:b/>
          <w:bCs/>
          <w:color w:val="auto"/>
          <w:highlight w:val="none"/>
        </w:rPr>
      </w:pPr>
    </w:p>
    <w:tbl>
      <w:tblPr>
        <w:tblStyle w:val="20"/>
        <w:tblW w:w="9639" w:type="dxa"/>
        <w:tblInd w:w="0" w:type="dxa"/>
        <w:tblLayout w:type="autofit"/>
        <w:tblCellMar>
          <w:top w:w="0" w:type="dxa"/>
          <w:left w:w="0" w:type="dxa"/>
          <w:bottom w:w="0" w:type="dxa"/>
          <w:right w:w="0" w:type="dxa"/>
        </w:tblCellMar>
      </w:tblPr>
      <w:tblGrid>
        <w:gridCol w:w="344"/>
        <w:gridCol w:w="454"/>
        <w:gridCol w:w="495"/>
        <w:gridCol w:w="3993"/>
        <w:gridCol w:w="1091"/>
        <w:gridCol w:w="757"/>
        <w:gridCol w:w="521"/>
        <w:gridCol w:w="567"/>
        <w:gridCol w:w="709"/>
        <w:gridCol w:w="708"/>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w:t>
            </w:r>
            <w:r>
              <w:rPr>
                <w:rFonts w:ascii="等线" w:hAnsi="等线" w:eastAsia="等线" w:cs="等线"/>
                <w:color w:val="auto"/>
                <w:kern w:val="0"/>
                <w:sz w:val="16"/>
                <w:szCs w:val="16"/>
                <w:highlight w:val="none"/>
                <w:lang w:bidi="ar"/>
              </w:rPr>
              <w:t>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2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67"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709"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708"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9639" w:type="dxa"/>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b/>
                <w:color w:val="auto"/>
                <w:sz w:val="16"/>
                <w:szCs w:val="16"/>
                <w:highlight w:val="none"/>
              </w:rPr>
            </w:pPr>
          </w:p>
        </w:tc>
        <w:tc>
          <w:tcPr>
            <w:tcW w:w="3262" w:type="dxa"/>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w:t>
            </w:r>
            <w:r>
              <w:rPr>
                <w:rFonts w:ascii="等线" w:hAnsi="等线" w:eastAsia="等线" w:cs="等线"/>
                <w:b/>
                <w:color w:val="auto"/>
                <w:kern w:val="0"/>
                <w:sz w:val="16"/>
                <w:szCs w:val="16"/>
                <w:highlight w:val="none"/>
                <w:lang w:bidi="ar"/>
              </w:rPr>
              <w:t xml:space="preserve">      </w:t>
            </w:r>
            <w:r>
              <w:rPr>
                <w:rFonts w:hint="eastAsia" w:ascii="等线" w:hAnsi="等线" w:eastAsia="等线" w:cs="等线"/>
                <w:b/>
                <w:color w:val="auto"/>
                <w:kern w:val="0"/>
                <w:sz w:val="16"/>
                <w:szCs w:val="16"/>
                <w:highlight w:val="none"/>
                <w:lang w:bidi="ar"/>
              </w:rPr>
              <w:t>年</w:t>
            </w:r>
            <w:r>
              <w:rPr>
                <w:rFonts w:ascii="等线" w:hAnsi="等线" w:eastAsia="等线" w:cs="等线"/>
                <w:b/>
                <w:color w:val="auto"/>
                <w:kern w:val="0"/>
                <w:sz w:val="16"/>
                <w:szCs w:val="16"/>
                <w:highlight w:val="none"/>
                <w:lang w:bidi="ar"/>
              </w:rPr>
              <w:t xml:space="preserve">      </w:t>
            </w:r>
            <w:r>
              <w:rPr>
                <w:rFonts w:hint="eastAsia" w:ascii="等线" w:hAnsi="等线" w:eastAsia="等线" w:cs="等线"/>
                <w:b/>
                <w:color w:val="auto"/>
                <w:kern w:val="0"/>
                <w:sz w:val="16"/>
                <w:szCs w:val="16"/>
                <w:highlight w:val="none"/>
                <w:lang w:bidi="ar"/>
              </w:rPr>
              <w:t>月</w:t>
            </w:r>
            <w:r>
              <w:rPr>
                <w:rFonts w:ascii="等线" w:hAnsi="等线" w:eastAsia="等线" w:cs="等线"/>
                <w:b/>
                <w:color w:val="auto"/>
                <w:kern w:val="0"/>
                <w:sz w:val="16"/>
                <w:szCs w:val="16"/>
                <w:highlight w:val="none"/>
                <w:lang w:bidi="ar"/>
              </w:rPr>
              <w:t xml:space="preserve">    </w:t>
            </w:r>
            <w:r>
              <w:rPr>
                <w:rFonts w:hint="eastAsia" w:ascii="等线" w:hAnsi="等线" w:eastAsia="等线" w:cs="等线"/>
                <w:b/>
                <w:color w:val="auto"/>
                <w:kern w:val="0"/>
                <w:sz w:val="16"/>
                <w:szCs w:val="16"/>
                <w:highlight w:val="none"/>
                <w:lang w:bidi="ar"/>
              </w:rPr>
              <w:t>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9639"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w:t>
            </w:r>
            <w:r>
              <w:rPr>
                <w:rFonts w:ascii="仿宋_GB2312" w:hAnsi="等线" w:eastAsia="仿宋_GB2312" w:cs="仿宋_GB2312"/>
                <w:color w:val="auto"/>
                <w:kern w:val="0"/>
                <w:sz w:val="16"/>
                <w:szCs w:val="16"/>
                <w:highlight w:val="none"/>
                <w:lang w:bidi="ar"/>
              </w:rPr>
              <w:t>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w:t>
            </w:r>
            <w:r>
              <w:rPr>
                <w:rFonts w:ascii="仿宋_GB2312" w:hAnsi="等线" w:eastAsia="仿宋_GB2312" w:cs="仿宋_GB2312"/>
                <w:color w:val="auto"/>
                <w:kern w:val="0"/>
                <w:sz w:val="16"/>
                <w:szCs w:val="16"/>
                <w:highlight w:val="none"/>
                <w:lang w:bidi="ar"/>
              </w:rPr>
              <w:t>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9639"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w:t>
            </w:r>
            <w:r>
              <w:rPr>
                <w:rFonts w:ascii="仿宋_GB2312" w:hAnsi="等线" w:eastAsia="仿宋_GB2312" w:cs="仿宋_GB2312"/>
                <w:color w:val="auto"/>
                <w:kern w:val="0"/>
                <w:sz w:val="16"/>
                <w:szCs w:val="16"/>
                <w:highlight w:val="none"/>
                <w:lang w:bidi="ar"/>
              </w:rPr>
              <w:t>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1.发生事故或事件隐瞒不报的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2.未在1小时内向业主单位上报事故的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3.拒绝、不配合事故事件调查的或事故事件调查提供虚假信息</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4.未按规定和程序组织事故调查和事故处理的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5.未及时处理导致事故扩大的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2.施工单位对施工人员的三级安全教育材料</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w:t>
            </w:r>
            <w:r>
              <w:rPr>
                <w:rFonts w:ascii="仿宋_GB2312" w:hAnsi="等线" w:eastAsia="仿宋_GB2312" w:cs="仿宋_GB2312"/>
                <w:color w:val="auto"/>
                <w:kern w:val="0"/>
                <w:sz w:val="16"/>
                <w:szCs w:val="16"/>
                <w:highlight w:val="none"/>
                <w:lang w:bidi="ar"/>
              </w:rPr>
              <w:t>3～5分/项；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w:t>
            </w:r>
            <w:r>
              <w:rPr>
                <w:rFonts w:ascii="仿宋_GB2312" w:hAnsi="等线" w:eastAsia="仿宋_GB2312" w:cs="仿宋_GB2312"/>
                <w:color w:val="auto"/>
                <w:kern w:val="0"/>
                <w:sz w:val="16"/>
                <w:szCs w:val="16"/>
                <w:highlight w:val="none"/>
                <w:lang w:bidi="ar"/>
              </w:rPr>
              <w:t>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4.施工方案，应满足合同要求，内容至少包括：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施工点介绍</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施工内容（含作业流程、风险分析、施工工艺等）</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施工设备和材料（必要时含构件测试手段等）</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w:t>
            </w:r>
            <w:r>
              <w:rPr>
                <w:rFonts w:ascii="仿宋_GB2312" w:hAnsi="等线" w:eastAsia="仿宋_GB2312" w:cs="仿宋_GB2312"/>
                <w:color w:val="auto"/>
                <w:kern w:val="0"/>
                <w:sz w:val="16"/>
                <w:szCs w:val="16"/>
                <w:highlight w:val="none"/>
                <w:lang w:bidi="ar"/>
              </w:rPr>
              <w:t>4～8分/项；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w:t>
            </w:r>
            <w:r>
              <w:rPr>
                <w:rFonts w:ascii="仿宋_GB2312" w:hAnsi="等线" w:eastAsia="仿宋_GB2312" w:cs="仿宋_GB2312"/>
                <w:color w:val="auto"/>
                <w:kern w:val="0"/>
                <w:sz w:val="16"/>
                <w:szCs w:val="16"/>
                <w:highlight w:val="none"/>
                <w:lang w:bidi="ar"/>
              </w:rPr>
              <w:t>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5.应急预案，内容至少包括：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现场情况介绍</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风险评估</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应急流程</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应急物资清单</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w:t>
            </w:r>
            <w:r>
              <w:rPr>
                <w:rFonts w:ascii="仿宋_GB2312" w:hAnsi="等线" w:eastAsia="仿宋_GB2312" w:cs="仿宋_GB2312"/>
                <w:color w:val="auto"/>
                <w:kern w:val="0"/>
                <w:sz w:val="16"/>
                <w:szCs w:val="16"/>
                <w:highlight w:val="none"/>
                <w:lang w:bidi="ar"/>
              </w:rPr>
              <w:t>4～8分/项；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w:t>
            </w:r>
            <w:r>
              <w:rPr>
                <w:rFonts w:ascii="仿宋_GB2312" w:hAnsi="等线" w:eastAsia="仿宋_GB2312" w:cs="仿宋_GB2312"/>
                <w:color w:val="auto"/>
                <w:kern w:val="0"/>
                <w:sz w:val="16"/>
                <w:szCs w:val="16"/>
                <w:highlight w:val="none"/>
                <w:lang w:bidi="ar"/>
              </w:rPr>
              <w:t>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安全责任人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施工负责人（可与安全责任人为同一个人）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设备、物资管理人员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w:t>
            </w:r>
            <w:r>
              <w:rPr>
                <w:rFonts w:ascii="仿宋_GB2312" w:hAnsi="等线" w:eastAsia="仿宋_GB2312" w:cs="仿宋_GB2312"/>
                <w:color w:val="auto"/>
                <w:kern w:val="0"/>
                <w:sz w:val="16"/>
                <w:szCs w:val="16"/>
                <w:highlight w:val="none"/>
                <w:lang w:bidi="ar"/>
              </w:rPr>
              <w:t>5～10分/项；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w:t>
            </w:r>
            <w:r>
              <w:rPr>
                <w:rFonts w:ascii="仿宋_GB2312" w:hAnsi="等线" w:eastAsia="仿宋_GB2312" w:cs="仿宋_GB2312"/>
                <w:color w:val="auto"/>
                <w:kern w:val="0"/>
                <w:sz w:val="16"/>
                <w:szCs w:val="16"/>
                <w:highlight w:val="none"/>
                <w:lang w:bidi="ar"/>
              </w:rPr>
              <w:t>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7.施工人员花名册，人员应包含：</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施工负责人（需要施工管理人员资格证书）</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一般施工人员</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 xml:space="preserve">  可能需要进入厂区的其他人员（如监理人员、资料员等）</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w:t>
            </w:r>
            <w:r>
              <w:rPr>
                <w:rFonts w:ascii="仿宋_GB2312" w:hAnsi="等线" w:eastAsia="仿宋_GB2312" w:cs="仿宋_GB2312"/>
                <w:color w:val="auto"/>
                <w:kern w:val="0"/>
                <w:sz w:val="16"/>
                <w:szCs w:val="16"/>
                <w:highlight w:val="none"/>
                <w:lang w:bidi="ar"/>
              </w:rPr>
              <w:t>3～5分/项；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w:t>
            </w:r>
            <w:r>
              <w:rPr>
                <w:rFonts w:ascii="仿宋_GB2312" w:hAnsi="等线" w:eastAsia="仿宋_GB2312" w:cs="仿宋_GB2312"/>
                <w:color w:val="auto"/>
                <w:kern w:val="0"/>
                <w:sz w:val="16"/>
                <w:szCs w:val="16"/>
                <w:highlight w:val="none"/>
                <w:lang w:bidi="ar"/>
              </w:rPr>
              <w:t>3～5分/项；</w:t>
            </w:r>
            <w:r>
              <w:rPr>
                <w:rFonts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w:t>
            </w:r>
            <w:r>
              <w:rPr>
                <w:rFonts w:ascii="仿宋_GB2312" w:hAnsi="等线" w:eastAsia="仿宋_GB2312" w:cs="仿宋_GB2312"/>
                <w:color w:val="auto"/>
                <w:kern w:val="0"/>
                <w:sz w:val="16"/>
                <w:szCs w:val="16"/>
                <w:highlight w:val="none"/>
                <w:lang w:bidi="ar"/>
              </w:rPr>
              <w:t>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1.施工现场未开展有效围蔽</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3.现场无危险源公示、告知及相应警示</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1.现场未按施工方案落实安全防范措施的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2.危险作业未经业主人员审批先行施工的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1.违反9大危险作业相关作业规范的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2.现场存在违章作业、违章指挥等违反相关安全管理规定或制度的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ascii="仿宋_GB2312" w:hAnsi="等线" w:eastAsia="仿宋_GB2312" w:cs="仿宋_GB2312"/>
                <w:color w:val="auto"/>
                <w:kern w:val="0"/>
                <w:sz w:val="16"/>
                <w:szCs w:val="16"/>
                <w:highlight w:val="none"/>
                <w:lang w:bidi="ar"/>
              </w:rPr>
              <w:t>1.未设置应急物资点，未统一存放应急物资</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2.应急物资点无应急物资清单或无应急物资每日检查表</w:t>
            </w:r>
            <w:r>
              <w:rPr>
                <w:rFonts w:ascii="仿宋_GB2312" w:hAnsi="等线" w:eastAsia="仿宋_GB2312" w:cs="仿宋_GB2312"/>
                <w:color w:val="auto"/>
                <w:kern w:val="0"/>
                <w:sz w:val="16"/>
                <w:szCs w:val="16"/>
                <w:highlight w:val="none"/>
                <w:lang w:bidi="ar"/>
              </w:rPr>
              <w:br w:type="textWrapping"/>
            </w:r>
            <w:r>
              <w:rPr>
                <w:rFonts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w:t>
            </w:r>
            <w:r>
              <w:rPr>
                <w:rFonts w:ascii="仿宋_GB2312" w:hAnsi="等线" w:eastAsia="仿宋_GB2312" w:cs="仿宋_GB2312"/>
                <w:color w:val="auto"/>
                <w:kern w:val="0"/>
                <w:sz w:val="16"/>
                <w:szCs w:val="16"/>
                <w:highlight w:val="none"/>
                <w:lang w:bidi="ar"/>
              </w:rPr>
              <w:t>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9639"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color w:val="auto"/>
                <w:sz w:val="13"/>
                <w:szCs w:val="13"/>
                <w:highlight w:val="none"/>
              </w:rPr>
              <w:br w:type="textWrapping"/>
            </w:r>
            <w:r>
              <w:rPr>
                <w:rFonts w:hint="eastAsia"/>
                <w:color w:val="auto"/>
                <w:sz w:val="13"/>
                <w:szCs w:val="13"/>
                <w:highlight w:val="none"/>
              </w:rPr>
              <w:t xml:space="preserve">    6、最后得分=综合考评总分X类别系数；</w:t>
            </w:r>
            <w:r>
              <w:rPr>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rPr>
          <w:rFonts w:ascii="宋体" w:hAnsi="宋体" w:eastAsia="宋体" w:cs="Times New Roman"/>
          <w:b/>
          <w:color w:val="auto"/>
          <w:sz w:val="24"/>
          <w:szCs w:val="24"/>
          <w:highlight w:val="none"/>
        </w:rPr>
      </w:pPr>
    </w:p>
    <w:p>
      <w:pPr>
        <w:spacing w:line="360" w:lineRule="auto"/>
        <w:rPr>
          <w:rFonts w:ascii="宋体" w:hAnsi="宋体" w:eastAsia="宋体" w:cs="宋体"/>
          <w:b/>
          <w:color w:val="auto"/>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widowControl/>
        <w:jc w:val="left"/>
        <w:rPr>
          <w:rFonts w:ascii="宋体" w:hAnsi="宋体" w:eastAsia="仿宋_GB2312" w:cs="宋体"/>
          <w:b/>
          <w:color w:val="auto"/>
          <w:sz w:val="32"/>
          <w:szCs w:val="21"/>
          <w:highlight w:val="none"/>
        </w:rPr>
      </w:pPr>
      <w:r>
        <w:rPr>
          <w:rFonts w:ascii="宋体" w:hAnsi="宋体" w:eastAsia="仿宋_GB2312" w:cs="宋体"/>
          <w:b/>
          <w:color w:val="auto"/>
          <w:sz w:val="32"/>
          <w:szCs w:val="21"/>
          <w:highlight w:val="none"/>
        </w:rPr>
        <w:br w:type="page"/>
      </w: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ascii="宋体" w:hAnsi="宋体" w:eastAsia="宋体" w:cs="宋体"/>
          <w:b/>
          <w:color w:val="auto"/>
          <w:szCs w:val="21"/>
          <w:highlight w:val="none"/>
        </w:rPr>
        <w:t>4：</w:t>
      </w:r>
      <w:bookmarkEnd w:id="189"/>
      <w:bookmarkEnd w:id="190"/>
      <w:bookmarkEnd w:id="191"/>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92"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乙方：</w:t>
      </w:r>
      <w:r>
        <w:rPr>
          <w:rFonts w:ascii="宋体" w:hAnsi="宋体" w:eastAsia="宋体" w:cs="Arial"/>
          <w:color w:val="auto"/>
          <w:kern w:val="0"/>
          <w:sz w:val="24"/>
          <w:szCs w:val="24"/>
          <w:highlight w:val="none"/>
        </w:rPr>
        <w:t xml:space="preserve">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92"/>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w:t>
      </w:r>
      <w:r>
        <w:rPr>
          <w:rFonts w:cs="Times New Roman" w:asciiTheme="minorEastAsia" w:hAnsiTheme="minorEastAsia"/>
          <w:color w:val="auto"/>
          <w:sz w:val="24"/>
          <w:szCs w:val="24"/>
          <w:highlight w:val="none"/>
        </w:rPr>
        <w:t xml:space="preserve">, </w:t>
      </w:r>
      <w:r>
        <w:rPr>
          <w:rFonts w:hint="eastAsia" w:cs="Times New Roman" w:asciiTheme="minorEastAsia" w:hAnsiTheme="minorEastAsia"/>
          <w:color w:val="auto"/>
          <w:sz w:val="24"/>
          <w:szCs w:val="24"/>
          <w:highlight w:val="none"/>
        </w:rPr>
        <w:t>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w:t>
      </w:r>
      <w:r>
        <w:rPr>
          <w:rFonts w:cs="Times New Roman" w:asciiTheme="minorEastAsia" w:hAnsiTheme="minorEastAsia"/>
          <w:color w:val="auto"/>
          <w:sz w:val="24"/>
          <w:szCs w:val="24"/>
          <w:highlight w:val="none"/>
        </w:rPr>
        <w:t>2014</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10</w:t>
      </w:r>
      <w:r>
        <w:rPr>
          <w:rFonts w:hint="eastAsia" w:cs="Times New Roman" w:asciiTheme="minorEastAsia" w:hAnsiTheme="minorEastAsia"/>
          <w:color w:val="auto"/>
          <w:sz w:val="24"/>
          <w:szCs w:val="24"/>
          <w:highlight w:val="none"/>
        </w:rPr>
        <w:t>号）、《市净水公司关于印发施工和监理企业诚信评价工作实施办法的通知》（穗净水〔</w:t>
      </w:r>
      <w:r>
        <w:rPr>
          <w:rFonts w:cs="Times New Roman" w:asciiTheme="minorEastAsia" w:hAnsiTheme="minorEastAsia"/>
          <w:color w:val="auto"/>
          <w:sz w:val="24"/>
          <w:szCs w:val="24"/>
          <w:highlight w:val="none"/>
        </w:rPr>
        <w:t>2015</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240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3.</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5：</w:t>
      </w: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0"/>
        <w:tblW w:w="8642" w:type="dxa"/>
        <w:tblInd w:w="0" w:type="dxa"/>
        <w:tblLayout w:type="fixed"/>
        <w:tblCellMar>
          <w:top w:w="0" w:type="dxa"/>
          <w:left w:w="108" w:type="dxa"/>
          <w:bottom w:w="0" w:type="dxa"/>
          <w:right w:w="108" w:type="dxa"/>
        </w:tblCellMar>
      </w:tblPr>
      <w:tblGrid>
        <w:gridCol w:w="1668"/>
        <w:gridCol w:w="4239"/>
        <w:gridCol w:w="609"/>
        <w:gridCol w:w="709"/>
        <w:gridCol w:w="708"/>
        <w:gridCol w:w="709"/>
      </w:tblGrid>
      <w:tr>
        <w:tblPrEx>
          <w:tblCellMar>
            <w:top w:w="0" w:type="dxa"/>
            <w:left w:w="108" w:type="dxa"/>
            <w:bottom w:w="0" w:type="dxa"/>
            <w:right w:w="108" w:type="dxa"/>
          </w:tblCellMar>
        </w:tblPrEx>
        <w:trPr>
          <w:trHeight w:val="402" w:hRule="atLeast"/>
        </w:trPr>
        <w:tc>
          <w:tcPr>
            <w:tcW w:w="86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沥滘分公司</w:t>
            </w:r>
          </w:p>
        </w:tc>
      </w:tr>
      <w:tr>
        <w:tblPrEx>
          <w:tblCellMar>
            <w:top w:w="0" w:type="dxa"/>
            <w:left w:w="108" w:type="dxa"/>
            <w:bottom w:w="0" w:type="dxa"/>
            <w:right w:w="108" w:type="dxa"/>
          </w:tblCellMar>
        </w:tblPrEx>
        <w:trPr>
          <w:trHeight w:val="3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名称</w:t>
            </w:r>
          </w:p>
        </w:tc>
        <w:tc>
          <w:tcPr>
            <w:tcW w:w="42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产品描述</w:t>
            </w:r>
          </w:p>
        </w:tc>
        <w:tc>
          <w:tcPr>
            <w:tcW w:w="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单位</w:t>
            </w:r>
          </w:p>
        </w:tc>
        <w:tc>
          <w:tcPr>
            <w:tcW w:w="708"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型号</w:t>
            </w:r>
          </w:p>
        </w:tc>
        <w:tc>
          <w:tcPr>
            <w:tcW w:w="709"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品牌</w:t>
            </w:r>
          </w:p>
        </w:tc>
      </w:tr>
      <w:tr>
        <w:tblPrEx>
          <w:tblCellMar>
            <w:top w:w="0" w:type="dxa"/>
            <w:left w:w="108" w:type="dxa"/>
            <w:bottom w:w="0" w:type="dxa"/>
            <w:right w:w="108" w:type="dxa"/>
          </w:tblCellMar>
        </w:tblPrEx>
        <w:trPr>
          <w:trHeight w:val="603"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UHF:400-470MHz；数模两用；信道容量64</w:t>
            </w:r>
            <w:r>
              <w:rPr>
                <w:rFonts w:hint="eastAsia" w:ascii="仿宋" w:hAnsi="仿宋" w:eastAsia="仿宋" w:cs="宋体"/>
                <w:color w:val="auto"/>
                <w:kern w:val="0"/>
                <w:sz w:val="18"/>
                <w:szCs w:val="18"/>
                <w:highlight w:val="none"/>
              </w:rPr>
              <w:t>；功率</w:t>
            </w:r>
            <w:r>
              <w:rPr>
                <w:rFonts w:ascii="仿宋" w:hAnsi="仿宋" w:eastAsia="仿宋" w:cs="宋体"/>
                <w:color w:val="auto"/>
                <w:kern w:val="0"/>
                <w:sz w:val="18"/>
                <w:szCs w:val="18"/>
                <w:highlight w:val="none"/>
              </w:rPr>
              <w:t>50W；工作电压100-240V（交流）。</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上行频率</w:t>
            </w:r>
            <w:r>
              <w:rPr>
                <w:rFonts w:ascii="仿宋" w:hAnsi="仿宋" w:eastAsia="仿宋" w:cs="宋体"/>
                <w:color w:val="auto"/>
                <w:kern w:val="0"/>
                <w:sz w:val="18"/>
                <w:szCs w:val="18"/>
                <w:highlight w:val="none"/>
              </w:rPr>
              <w:t>400-470MHz，下行频率400-470MHz</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光纤近端机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频率</w:t>
            </w:r>
            <w:r>
              <w:rPr>
                <w:rFonts w:ascii="仿宋" w:hAnsi="仿宋" w:eastAsia="仿宋" w:cs="宋体"/>
                <w:color w:val="auto"/>
                <w:kern w:val="0"/>
                <w:sz w:val="18"/>
                <w:szCs w:val="18"/>
                <w:highlight w:val="none"/>
              </w:rPr>
              <w:t>400-470MHz，4光口，1U机架式。</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光纤远端机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频率</w:t>
            </w:r>
            <w:r>
              <w:rPr>
                <w:rFonts w:ascii="仿宋" w:hAnsi="仿宋" w:eastAsia="仿宋" w:cs="宋体"/>
                <w:color w:val="auto"/>
                <w:kern w:val="0"/>
                <w:sz w:val="18"/>
                <w:szCs w:val="18"/>
                <w:highlight w:val="none"/>
              </w:rPr>
              <w:t>400-470MHz，1光口。</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室外全向天线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室内全向天线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室内定向天线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功率分配器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350-520MHz，二功分。</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耦合分配器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50-520MHz，耦合度：6/10/15/20/30。</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0-6GHz，NM-NF接头。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22U标准机柜，600×800×1200。含2个PDU插座</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系统安装调试</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8642"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京溪分公司</w:t>
            </w: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UHF:400-470MHz；数模两用；信道容量64</w:t>
            </w:r>
            <w:r>
              <w:rPr>
                <w:rFonts w:hint="eastAsia" w:ascii="仿宋" w:hAnsi="仿宋" w:eastAsia="仿宋" w:cs="宋体"/>
                <w:color w:val="auto"/>
                <w:kern w:val="0"/>
                <w:sz w:val="18"/>
                <w:szCs w:val="18"/>
                <w:highlight w:val="none"/>
              </w:rPr>
              <w:t>；功率</w:t>
            </w:r>
            <w:r>
              <w:rPr>
                <w:rFonts w:ascii="仿宋" w:hAnsi="仿宋" w:eastAsia="仿宋" w:cs="宋体"/>
                <w:color w:val="auto"/>
                <w:kern w:val="0"/>
                <w:sz w:val="18"/>
                <w:szCs w:val="18"/>
                <w:highlight w:val="none"/>
              </w:rPr>
              <w:t>50W；工作电压100-240V（交流）。</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上行频率</w:t>
            </w:r>
            <w:r>
              <w:rPr>
                <w:rFonts w:ascii="仿宋" w:hAnsi="仿宋" w:eastAsia="仿宋" w:cs="宋体"/>
                <w:color w:val="auto"/>
                <w:kern w:val="0"/>
                <w:sz w:val="18"/>
                <w:szCs w:val="18"/>
                <w:highlight w:val="none"/>
              </w:rPr>
              <w:t>400-470MHz，下行频率400-470MHz</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光纤近端机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频率</w:t>
            </w:r>
            <w:r>
              <w:rPr>
                <w:rFonts w:ascii="仿宋" w:hAnsi="仿宋" w:eastAsia="仿宋" w:cs="宋体"/>
                <w:color w:val="auto"/>
                <w:kern w:val="0"/>
                <w:sz w:val="18"/>
                <w:szCs w:val="18"/>
                <w:highlight w:val="none"/>
              </w:rPr>
              <w:t>400-470MHz，4光口，1U机架式。</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光纤远端机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频率</w:t>
            </w:r>
            <w:r>
              <w:rPr>
                <w:rFonts w:ascii="仿宋" w:hAnsi="仿宋" w:eastAsia="仿宋" w:cs="宋体"/>
                <w:color w:val="auto"/>
                <w:kern w:val="0"/>
                <w:sz w:val="18"/>
                <w:szCs w:val="18"/>
                <w:highlight w:val="none"/>
              </w:rPr>
              <w:t>400-470MHz，1光口。</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室外全向天线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室内全向天线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室内定向天线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400-470MHz，接头：N型母头。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功率分配器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350-520MHz，二功分。</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耦合分配器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50-520MHz，耦合度：6/10/15/20/30。</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0-6GHz，NM-NF接头。</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22U标准机柜，600×800×1200。含2个PDU插座</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系统安装调试</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ascii="仿宋" w:hAnsi="仿宋" w:eastAsia="仿宋" w:cs="宋体"/>
                <w:color w:val="auto"/>
                <w:kern w:val="0"/>
                <w:sz w:val="18"/>
                <w:szCs w:val="18"/>
                <w:highlight w:val="none"/>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r>
        <w:tblPrEx>
          <w:tblCellMar>
            <w:top w:w="0" w:type="dxa"/>
            <w:left w:w="108" w:type="dxa"/>
            <w:bottom w:w="0" w:type="dxa"/>
            <w:right w:w="108" w:type="dxa"/>
          </w:tblCellMar>
        </w:tblPrEx>
        <w:trPr>
          <w:trHeight w:val="820" w:hRule="atLeast"/>
        </w:trPr>
        <w:tc>
          <w:tcPr>
            <w:tcW w:w="72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auto"/>
                <w:sz w:val="18"/>
                <w:szCs w:val="18"/>
                <w:highlight w:val="none"/>
              </w:rPr>
            </w:pPr>
            <w:r>
              <w:rPr>
                <w:rFonts w:hint="eastAsia" w:ascii="仿宋" w:hAnsi="仿宋" w:eastAsia="仿宋"/>
                <w:color w:val="auto"/>
                <w:sz w:val="18"/>
                <w:szCs w:val="18"/>
                <w:highlight w:val="none"/>
              </w:rPr>
              <w:t>含税金额合计（元）</w:t>
            </w:r>
          </w:p>
        </w:tc>
        <w:tc>
          <w:tcPr>
            <w:tcW w:w="1417"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auto"/>
                <w:kern w:val="0"/>
                <w:sz w:val="18"/>
                <w:szCs w:val="18"/>
                <w:highlight w:val="none"/>
              </w:rPr>
            </w:pPr>
          </w:p>
        </w:tc>
      </w:tr>
    </w:tbl>
    <w:p>
      <w:pPr>
        <w:spacing w:line="360" w:lineRule="auto"/>
        <w:rPr>
          <w:rFonts w:ascii="宋体" w:hAnsi="宋体" w:eastAsia="宋体" w:cs="宋体"/>
          <w:color w:val="auto"/>
          <w:sz w:val="24"/>
          <w:szCs w:val="24"/>
          <w:highlight w:val="none"/>
        </w:rPr>
      </w:pPr>
    </w:p>
    <w:p>
      <w:pPr>
        <w:spacing w:line="360" w:lineRule="auto"/>
        <w:rPr>
          <w:rFonts w:hint="eastAsia"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 xml:space="preserve">6 </w:t>
      </w:r>
      <w:r>
        <w:rPr>
          <w:rFonts w:hint="eastAsia" w:ascii="宋体" w:hAnsi="宋体" w:eastAsia="宋体" w:cs="宋体"/>
          <w:b/>
          <w:bCs/>
          <w:color w:val="auto"/>
          <w:szCs w:val="21"/>
          <w:highlight w:val="none"/>
        </w:rPr>
        <w:t>：项目投入人员架构表</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pStyle w:val="2"/>
        <w:rPr>
          <w:color w:val="auto"/>
          <w:highlight w:val="none"/>
        </w:rPr>
      </w:pPr>
      <w:r>
        <w:rPr>
          <w:color w:val="auto"/>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w:t>
      </w:r>
      <w:r>
        <w:rPr>
          <w:rFonts w:cs="Times New Roman" w:asciiTheme="minorEastAsia" w:hAnsiTheme="minorEastAsia"/>
          <w:color w:val="auto"/>
          <w:sz w:val="24"/>
          <w:szCs w:val="24"/>
          <w:highlight w:val="none"/>
        </w:rPr>
        <w:t xml:space="preserve"> </w:t>
      </w:r>
      <w:r>
        <w:rPr>
          <w:rFonts w:hint="eastAsia" w:cs="Times New Roman" w:asciiTheme="minorEastAsia" w:hAnsiTheme="minorEastAsia"/>
          <w:color w:val="auto"/>
          <w:sz w:val="24"/>
          <w:szCs w:val="24"/>
          <w:highlight w:val="none"/>
        </w:rPr>
        <w:t>）的履约保证金，并放弃向你方提出任何异议和追索的权利。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cs="仿宋_GB2312" w:asciiTheme="minorEastAsia" w:hAnsiTheme="minorEastAsia"/>
          <w:color w:val="auto"/>
          <w:sz w:val="24"/>
          <w:szCs w:val="24"/>
          <w:highlight w:val="none"/>
        </w:rPr>
        <w:t>4.申请人对受益人的抗辩，银行有权向受益人主张。</w:t>
      </w:r>
    </w:p>
    <w:p>
      <w:pPr>
        <w:ind w:firstLine="645"/>
        <w:rPr>
          <w:rFonts w:cs="Times New Roman" w:asciiTheme="minorEastAsia" w:hAnsiTheme="minorEastAsia"/>
          <w:color w:val="auto"/>
          <w:sz w:val="24"/>
          <w:szCs w:val="24"/>
          <w:highlight w:val="none"/>
        </w:rPr>
      </w:pPr>
      <w:r>
        <w:rPr>
          <w:rFonts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93" w:name="_Toc3723"/>
      <w:bookmarkStart w:id="194" w:name="_Toc28358"/>
      <w:bookmarkStart w:id="195" w:name="_Toc5129"/>
      <w:bookmarkStart w:id="196" w:name="_Toc30824"/>
      <w:bookmarkStart w:id="197" w:name="_Toc12169"/>
      <w:bookmarkStart w:id="198" w:name="_Toc6230"/>
      <w:bookmarkStart w:id="199" w:name="_Toc16552"/>
      <w:bookmarkStart w:id="200" w:name="_Toc8147"/>
      <w:bookmarkStart w:id="201" w:name="_Toc1563"/>
      <w:bookmarkStart w:id="202" w:name="_Toc23515"/>
      <w:bookmarkStart w:id="203" w:name="_Toc21847"/>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56515</wp:posOffset>
                </wp:positionV>
                <wp:extent cx="958850" cy="0"/>
                <wp:effectExtent l="9525" t="10795" r="12700" b="8255"/>
                <wp:wrapNone/>
                <wp:docPr id="6" name="AutoShape 10"/>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83.1pt;margin-top:4.45pt;height:0pt;width:75.5pt;z-index:251668480;mso-width-relative:page;mso-height-relative:page;" filled="f" stroked="t" coordsize="21600,21600" o:gfxdata="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t+spLUAAAABwEAAA8AAAAAAAAAAQAgAAAAIgAA&#10;AGRycy9kb3ducmV2LnhtbFBLAQIUABQAAAAIAIdO4kDTtvwF0wEAALIDAAAOAAAAAAAAAAEAIAAA&#10;ACMBAABkcnMvZTJvRG9jLnhtbFBLBQYAAAAABgAGAFkBAABo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9525" t="12700" r="12700" b="6350"/>
                <wp:wrapNone/>
                <wp:docPr id="7" name="AutoShape 11"/>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WbC+tcAAAALAQAADwAAAAAAAAABACAAAAAi&#10;AAAAZHJzL2Rvd25yZXYueG1sUEsBAhQAFAAAAAgAh07iQAB5EsnSAQAAsgMAAA4AAAAAAAAAAQAg&#10;AAAAJg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第七章</w:t>
      </w:r>
      <w:bookmarkEnd w:id="193"/>
      <w:bookmarkEnd w:id="194"/>
      <w:bookmarkEnd w:id="195"/>
      <w:bookmarkEnd w:id="196"/>
      <w:bookmarkEnd w:id="197"/>
      <w:bookmarkEnd w:id="198"/>
      <w:bookmarkEnd w:id="199"/>
      <w:bookmarkEnd w:id="200"/>
      <w:bookmarkEnd w:id="201"/>
      <w:bookmarkEnd w:id="202"/>
      <w:bookmarkEnd w:id="203"/>
    </w:p>
    <w:p>
      <w:pPr>
        <w:pStyle w:val="33"/>
        <w:rPr>
          <w:color w:val="auto"/>
          <w:highlight w:val="none"/>
        </w:rPr>
      </w:pPr>
    </w:p>
    <w:p>
      <w:pPr>
        <w:pStyle w:val="4"/>
        <w:rPr>
          <w:color w:val="auto"/>
          <w:highlight w:val="none"/>
        </w:rPr>
      </w:pPr>
      <w:bookmarkStart w:id="204" w:name="_Toc30157"/>
      <w:bookmarkStart w:id="205" w:name="_Toc31564"/>
      <w:bookmarkStart w:id="206" w:name="_Toc22764"/>
      <w:bookmarkStart w:id="207" w:name="_Toc17119"/>
      <w:bookmarkStart w:id="208" w:name="_Toc24490"/>
      <w:bookmarkStart w:id="209" w:name="_Toc5342"/>
      <w:bookmarkStart w:id="210" w:name="_Toc21675"/>
      <w:bookmarkStart w:id="211" w:name="_Toc12769"/>
      <w:bookmarkStart w:id="212" w:name="_Toc10840"/>
      <w:bookmarkStart w:id="213" w:name="_Toc24815"/>
      <w:bookmarkStart w:id="214" w:name="_Toc88209951"/>
      <w:bookmarkStart w:id="215" w:name="_Toc87616388"/>
      <w:bookmarkStart w:id="216" w:name="_Toc12610"/>
      <w:r>
        <w:rPr>
          <w:rFonts w:hint="eastAsia"/>
          <w:color w:val="auto"/>
          <w:highlight w:val="none"/>
        </w:rPr>
        <w:t>响应文件格式要求</w:t>
      </w:r>
      <w:bookmarkEnd w:id="204"/>
      <w:bookmarkEnd w:id="205"/>
      <w:bookmarkEnd w:id="206"/>
      <w:bookmarkEnd w:id="207"/>
      <w:bookmarkEnd w:id="208"/>
      <w:bookmarkEnd w:id="209"/>
      <w:bookmarkEnd w:id="210"/>
      <w:bookmarkEnd w:id="211"/>
      <w:bookmarkEnd w:id="212"/>
      <w:bookmarkEnd w:id="213"/>
      <w:bookmarkEnd w:id="214"/>
      <w:bookmarkEnd w:id="215"/>
      <w:bookmarkEnd w:id="21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eastAsia="方正小标宋简体"/>
          <w:color w:val="auto"/>
          <w:sz w:val="30"/>
          <w:szCs w:val="30"/>
          <w:highlight w:val="none"/>
        </w:rPr>
      </w:pPr>
      <w:r>
        <w:rPr>
          <w:rFonts w:ascii="方正小标宋简体" w:eastAsia="方正小标宋简体"/>
          <w:color w:val="auto"/>
          <w:sz w:val="30"/>
          <w:szCs w:val="30"/>
          <w:highlight w:val="none"/>
        </w:rPr>
        <w:br w:type="page"/>
      </w: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w:t>
      </w:r>
      <w:r>
        <w:rPr>
          <w:rFonts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217" w:name="_Toc88209952"/>
      <w:bookmarkStart w:id="218" w:name="_Toc87616389"/>
      <w:r>
        <w:rPr>
          <w:rFonts w:hint="eastAsia" w:ascii="仿宋_GB2312" w:eastAsia="仿宋_GB2312"/>
          <w:color w:val="auto"/>
          <w:sz w:val="28"/>
          <w:szCs w:val="28"/>
          <w:highlight w:val="none"/>
        </w:rPr>
        <w:t>1.响应函</w:t>
      </w:r>
      <w:bookmarkEnd w:id="217"/>
      <w:bookmarkEnd w:id="218"/>
    </w:p>
    <w:p>
      <w:pPr>
        <w:spacing w:line="600" w:lineRule="exact"/>
        <w:rPr>
          <w:rFonts w:ascii="仿宋_GB2312" w:eastAsia="仿宋_GB2312"/>
          <w:color w:val="auto"/>
          <w:sz w:val="28"/>
          <w:szCs w:val="28"/>
          <w:highlight w:val="none"/>
        </w:rPr>
      </w:pPr>
      <w:bookmarkStart w:id="219" w:name="_Toc88209953"/>
      <w:bookmarkStart w:id="220" w:name="_Toc87616390"/>
      <w:r>
        <w:rPr>
          <w:rFonts w:hint="eastAsia" w:ascii="仿宋_GB2312" w:eastAsia="仿宋_GB2312"/>
          <w:color w:val="auto"/>
          <w:sz w:val="28"/>
          <w:szCs w:val="28"/>
          <w:highlight w:val="none"/>
        </w:rPr>
        <w:t>2.法定代表人证明或授权委托书</w:t>
      </w:r>
      <w:bookmarkEnd w:id="219"/>
      <w:bookmarkEnd w:id="220"/>
      <w:bookmarkStart w:id="221" w:name="_Toc88209956"/>
      <w:bookmarkStart w:id="222" w:name="_Toc87616393"/>
      <w:r>
        <w:rPr>
          <w:rFonts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221"/>
      <w:bookmarkEnd w:id="222"/>
      <w:r>
        <w:rPr>
          <w:rFonts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223" w:name="_Toc6313"/>
      <w:bookmarkStart w:id="224" w:name="_Toc87616394"/>
      <w:bookmarkStart w:id="225" w:name="_Toc88209957"/>
      <w:bookmarkStart w:id="226" w:name="_Toc12665"/>
      <w:bookmarkStart w:id="227" w:name="_Toc28619645"/>
      <w:r>
        <w:rPr>
          <w:rFonts w:asciiTheme="minorEastAsia" w:hAnsiTheme="minorEastAsia" w:eastAsiaTheme="minorEastAsia"/>
          <w:color w:val="auto"/>
          <w:sz w:val="28"/>
          <w:szCs w:val="28"/>
          <w:highlight w:val="none"/>
        </w:rPr>
        <w:t>1.响应函</w:t>
      </w:r>
      <w:bookmarkEnd w:id="223"/>
      <w:bookmarkEnd w:id="224"/>
      <w:bookmarkEnd w:id="225"/>
      <w:bookmarkEnd w:id="226"/>
      <w:bookmarkEnd w:id="227"/>
    </w:p>
    <w:p>
      <w:pPr>
        <w:spacing w:line="360" w:lineRule="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（项目名称、项目编号、标段</w:t>
      </w:r>
      <w:r>
        <w:rPr>
          <w:rFonts w:ascii="仿宋_GB2312" w:hAnsi="黑体" w:eastAsia="仿宋_GB2312"/>
          <w:color w:val="auto"/>
          <w:sz w:val="28"/>
          <w:szCs w:val="28"/>
          <w:highlight w:val="none"/>
          <w:u w:val="single"/>
        </w:rPr>
        <w:t xml:space="preserve">/标包号）   </w:t>
      </w:r>
      <w:r>
        <w:rPr>
          <w:rFonts w:hint="eastAsia" w:ascii="仿宋_GB2312" w:hAnsi="黑体" w:eastAsia="仿宋_GB2312"/>
          <w:color w:val="auto"/>
          <w:sz w:val="28"/>
          <w:szCs w:val="28"/>
          <w:highlight w:val="none"/>
        </w:rPr>
        <w:t>采购文件的全部内容，愿意以含税价人民币（大写）</w:t>
      </w:r>
      <w:r>
        <w:rPr>
          <w:rFonts w:ascii="仿宋_GB2312" w:hAnsi="黑体" w:eastAsia="仿宋_GB2312"/>
          <w:color w:val="auto"/>
          <w:sz w:val="28"/>
          <w:szCs w:val="28"/>
          <w:highlight w:val="none"/>
          <w:u w:val="single"/>
        </w:rPr>
        <w:t xml:space="preserve">                </w:t>
      </w:r>
      <w:r>
        <w:rPr>
          <w:rFonts w:ascii="仿宋_GB2312" w:hAnsi="黑体" w:eastAsia="仿宋_GB2312"/>
          <w:color w:val="auto"/>
          <w:sz w:val="28"/>
          <w:szCs w:val="28"/>
          <w:highlight w:val="none"/>
        </w:rPr>
        <w:t>(</w:t>
      </w:r>
      <w:r>
        <w:rPr>
          <w:rFonts w:ascii="宋体" w:hAnsi="宋体" w:eastAsia="仿宋_GB2312"/>
          <w:color w:val="auto"/>
          <w:sz w:val="28"/>
          <w:szCs w:val="28"/>
          <w:highlight w:val="none"/>
        </w:rPr>
        <w:t>¥</w:t>
      </w:r>
      <w:r>
        <w:rPr>
          <w:rFonts w:ascii="仿宋_GB2312" w:hAnsi="黑体" w:eastAsia="仿宋_GB2312"/>
          <w:color w:val="auto"/>
          <w:sz w:val="28"/>
          <w:szCs w:val="28"/>
          <w:highlight w:val="none"/>
          <w:u w:val="single"/>
        </w:rPr>
        <w:tab/>
      </w:r>
      <w:r>
        <w:rPr>
          <w:rFonts w:ascii="仿宋_GB2312" w:hAnsi="黑体" w:eastAsia="仿宋_GB2312"/>
          <w:color w:val="auto"/>
          <w:sz w:val="28"/>
          <w:szCs w:val="28"/>
          <w:highlight w:val="none"/>
          <w:u w:val="single"/>
        </w:rPr>
        <w:tab/>
      </w:r>
      <w:r>
        <w:rPr>
          <w:rFonts w:ascii="仿宋_GB2312" w:hAnsi="黑体" w:eastAsia="仿宋_GB2312"/>
          <w:color w:val="auto"/>
          <w:sz w:val="28"/>
          <w:szCs w:val="28"/>
          <w:highlight w:val="none"/>
          <w:u w:val="single"/>
        </w:rPr>
        <w:t xml:space="preserve">  </w:t>
      </w:r>
      <w:r>
        <w:rPr>
          <w:rFonts w:ascii="仿宋_GB2312" w:hAnsi="黑体" w:eastAsia="仿宋_GB2312"/>
          <w:color w:val="auto"/>
          <w:sz w:val="28"/>
          <w:szCs w:val="28"/>
          <w:highlight w:val="none"/>
          <w:u w:val="single"/>
        </w:rPr>
        <w:tab/>
      </w:r>
      <w:r>
        <w:rPr>
          <w:rFonts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w:t>
      </w:r>
      <w:r>
        <w:rPr>
          <w:rFonts w:ascii="仿宋_GB2312" w:hAnsi="黑体" w:eastAsia="仿宋_GB2312"/>
          <w:color w:val="auto"/>
          <w:sz w:val="28"/>
          <w:szCs w:val="28"/>
          <w:highlight w:val="none"/>
        </w:rPr>
        <w:t>/提供本项目</w:t>
      </w:r>
      <w:r>
        <w:rPr>
          <w:rFonts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工程</w:t>
      </w:r>
      <w:r>
        <w:rPr>
          <w:rFonts w:ascii="仿宋_GB2312" w:hAnsi="黑体" w:eastAsia="仿宋_GB2312"/>
          <w:color w:val="auto"/>
          <w:sz w:val="28"/>
          <w:szCs w:val="28"/>
          <w:highlight w:val="none"/>
        </w:rPr>
        <w:t xml:space="preserve">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widowControl/>
        <w:jc w:val="left"/>
        <w:rPr>
          <w:rFonts w:asciiTheme="minorEastAsia" w:hAnsiTheme="minorEastAsia"/>
          <w:color w:val="auto"/>
          <w:sz w:val="28"/>
          <w:szCs w:val="28"/>
          <w:highlight w:val="none"/>
        </w:rPr>
      </w:pPr>
      <w:bookmarkStart w:id="228" w:name="_Toc22527"/>
      <w:bookmarkStart w:id="229" w:name="_Toc88209958"/>
      <w:bookmarkStart w:id="230" w:name="_Toc29833"/>
      <w:bookmarkStart w:id="231" w:name="_Toc87616395"/>
      <w:r>
        <w:rPr>
          <w:rFonts w:asciiTheme="minorEastAsia" w:hAnsiTheme="minorEastAsia"/>
          <w:color w:val="auto"/>
          <w:sz w:val="28"/>
          <w:szCs w:val="28"/>
          <w:highlight w:val="none"/>
        </w:rPr>
        <w:br w:type="page"/>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2.法定代表人证明或授权委托书</w:t>
      </w:r>
      <w:bookmarkEnd w:id="228"/>
      <w:bookmarkEnd w:id="229"/>
      <w:bookmarkEnd w:id="230"/>
      <w:bookmarkEnd w:id="231"/>
    </w:p>
    <w:p>
      <w:pPr>
        <w:spacing w:line="360" w:lineRule="auto"/>
        <w:rPr>
          <w:color w:val="auto"/>
          <w:highlight w:val="none"/>
        </w:rPr>
      </w:pPr>
      <w:r>
        <w:rPr>
          <w:rFonts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sz w:val="30"/>
          <w:szCs w:val="30"/>
          <w:highlight w:val="none"/>
          <w:u w:val="single"/>
        </w:rPr>
      </w:pPr>
      <w:r>
        <w:rPr>
          <w:rFonts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ascii="仿宋_GB2312" w:hAnsi="宋体" w:eastAsia="仿宋_GB2312" w:cs="Times New Roman"/>
          <w:color w:val="auto"/>
          <w:sz w:val="30"/>
          <w:szCs w:val="30"/>
          <w:highlight w:val="none"/>
        </w:rPr>
        <w:t xml:space="preserve">     单位性质：</w:t>
      </w:r>
      <w:r>
        <w:rPr>
          <w:rFonts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w:t>
      </w:r>
      <w:r>
        <w:rPr>
          <w:rFonts w:ascii="仿宋_GB2312" w:hAnsi="宋体" w:eastAsia="仿宋_GB2312" w:cs="Times New Roman"/>
          <w:sz w:val="30"/>
          <w:szCs w:val="30"/>
          <w:highlight w:val="none"/>
        </w:rPr>
        <w:t xml:space="preserve">    </w:t>
      </w:r>
      <w:r>
        <w:rPr>
          <w:rFonts w:hint="eastAsia" w:ascii="仿宋_GB2312" w:hAnsi="宋体" w:eastAsia="仿宋_GB2312" w:cs="Times New Roman"/>
          <w:sz w:val="30"/>
          <w:szCs w:val="30"/>
          <w:highlight w:val="none"/>
        </w:rPr>
        <w:t>址：</w:t>
      </w:r>
      <w:r>
        <w:rPr>
          <w:rFonts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ascii="仿宋_GB2312" w:hAnsi="宋体" w:eastAsia="仿宋_GB2312" w:cs="Times New Roman"/>
          <w:color w:val="auto"/>
          <w:sz w:val="30"/>
          <w:szCs w:val="30"/>
          <w:highlight w:val="none"/>
          <w:u w:val="single"/>
        </w:rPr>
        <w:t xml:space="preserve">                            </w:t>
      </w:r>
      <w:r>
        <w:rPr>
          <w:rFonts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ascii="仿宋_GB2312" w:hAnsi="宋体" w:eastAsia="仿宋_GB2312" w:cs="Times New Roman"/>
          <w:color w:val="auto"/>
          <w:sz w:val="30"/>
          <w:szCs w:val="30"/>
          <w:highlight w:val="none"/>
          <w:u w:val="single"/>
        </w:rPr>
        <w:t xml:space="preserve">     </w:t>
      </w:r>
      <w:r>
        <w:rPr>
          <w:rFonts w:ascii="仿宋_GB2312" w:hAnsi="宋体" w:eastAsia="仿宋_GB2312" w:cs="Times New Roman"/>
          <w:color w:val="auto"/>
          <w:sz w:val="30"/>
          <w:szCs w:val="30"/>
          <w:highlight w:val="none"/>
        </w:rPr>
        <w:t xml:space="preserve"> 性别：</w:t>
      </w:r>
      <w:r>
        <w:rPr>
          <w:rFonts w:ascii="仿宋_GB2312" w:hAnsi="宋体" w:eastAsia="仿宋_GB2312" w:cs="Times New Roman"/>
          <w:color w:val="auto"/>
          <w:sz w:val="30"/>
          <w:szCs w:val="30"/>
          <w:highlight w:val="none"/>
          <w:u w:val="single"/>
        </w:rPr>
        <w:t xml:space="preserve">    </w:t>
      </w:r>
      <w:r>
        <w:rPr>
          <w:rFonts w:ascii="仿宋_GB2312" w:hAnsi="宋体" w:eastAsia="仿宋_GB2312" w:cs="Times New Roman"/>
          <w:color w:val="auto"/>
          <w:sz w:val="30"/>
          <w:szCs w:val="30"/>
          <w:highlight w:val="none"/>
        </w:rPr>
        <w:t xml:space="preserve"> 年龄：</w:t>
      </w:r>
      <w:r>
        <w:rPr>
          <w:rFonts w:ascii="仿宋_GB2312" w:hAnsi="宋体" w:eastAsia="仿宋_GB2312" w:cs="Times New Roman"/>
          <w:color w:val="auto"/>
          <w:sz w:val="30"/>
          <w:szCs w:val="30"/>
          <w:highlight w:val="none"/>
          <w:u w:val="single"/>
        </w:rPr>
        <w:t xml:space="preserve">    </w:t>
      </w:r>
      <w:r>
        <w:rPr>
          <w:rFonts w:ascii="仿宋_GB2312" w:hAnsi="宋体" w:eastAsia="仿宋_GB2312" w:cs="Times New Roman"/>
          <w:color w:val="auto"/>
          <w:sz w:val="30"/>
          <w:szCs w:val="30"/>
          <w:highlight w:val="none"/>
        </w:rPr>
        <w:t xml:space="preserve"> 身份证号码：</w:t>
      </w:r>
      <w:r>
        <w:rPr>
          <w:rFonts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ascii="仿宋_GB2312" w:hAnsi="宋体" w:eastAsia="仿宋_GB2312" w:cs="Times New Roman"/>
          <w:color w:val="auto"/>
          <w:sz w:val="30"/>
          <w:szCs w:val="30"/>
          <w:highlight w:val="none"/>
          <w:u w:val="single"/>
        </w:rPr>
        <w:t xml:space="preserve">     (供应商名称)       </w:t>
      </w:r>
      <w:r>
        <w:rPr>
          <w:rFonts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w:t>
      </w:r>
      <w:r>
        <w:rPr>
          <w:rFonts w:ascii="仿宋_GB2312" w:hAnsi="宋体" w:eastAsia="仿宋_GB2312"/>
          <w:color w:val="auto"/>
          <w:sz w:val="30"/>
          <w:szCs w:val="30"/>
          <w:highlight w:val="none"/>
        </w:rPr>
        <w:t>(正反两面)复印件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 xml:space="preserve">  </w:t>
      </w:r>
      <w:r>
        <w:rPr>
          <w:rFonts w:hint="eastAsia" w:ascii="仿宋_GB2312" w:hAnsi="宋体" w:eastAsia="仿宋_GB2312"/>
          <w:color w:val="auto"/>
          <w:sz w:val="30"/>
          <w:szCs w:val="30"/>
          <w:highlight w:val="none"/>
        </w:rPr>
        <w:t>期：</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ascii="宋体" w:hAnsi="宋体" w:cs="宋体"/>
          <w:color w:val="auto"/>
          <w:kern w:val="0"/>
          <w:sz w:val="28"/>
          <w:szCs w:val="28"/>
          <w:highlight w:val="none"/>
        </w:rPr>
        <w:br w:type="page"/>
      </w:r>
      <w:r>
        <w:rPr>
          <w:rFonts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ascii="仿宋_GB2312" w:hAnsi="宋体" w:eastAsia="仿宋_GB2312"/>
          <w:color w:val="auto"/>
          <w:sz w:val="30"/>
          <w:szCs w:val="30"/>
          <w:highlight w:val="none"/>
        </w:rPr>
        <w:t>1.委托代理人身份证(正反两面)复印件</w:t>
      </w:r>
    </w:p>
    <w:p>
      <w:pPr>
        <w:pStyle w:val="33"/>
        <w:ind w:firstLine="1200" w:firstLineChars="400"/>
        <w:rPr>
          <w:rFonts w:ascii="仿宋_GB2312" w:hAnsi="宋体" w:eastAsia="仿宋_GB2312"/>
          <w:color w:val="auto"/>
          <w:sz w:val="30"/>
          <w:szCs w:val="30"/>
          <w:highlight w:val="none"/>
        </w:rPr>
      </w:pPr>
      <w:r>
        <w:rPr>
          <w:rFonts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ascii="仿宋_GB2312" w:hAnsi="宋体" w:eastAsia="仿宋_GB2312"/>
          <w:color w:val="auto"/>
          <w:sz w:val="30"/>
          <w:szCs w:val="30"/>
          <w:highlight w:val="none"/>
        </w:rPr>
        <w:t xml:space="preserve">                        日    期：</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ascii="仿宋_GB2312" w:eastAsia="仿宋_GB2312" w:hAnsiTheme="minorEastAsia"/>
          <w:color w:val="auto"/>
          <w:sz w:val="28"/>
          <w:szCs w:val="28"/>
          <w:highlight w:val="none"/>
        </w:rPr>
        <w:t xml:space="preserve"> </w:t>
      </w:r>
      <w:bookmarkStart w:id="232" w:name="_Toc87616400"/>
      <w:bookmarkStart w:id="233" w:name="_Toc88209963"/>
      <w:bookmarkStart w:id="234" w:name="_Toc19830"/>
      <w:bookmarkStart w:id="235" w:name="_Toc8086"/>
      <w:r>
        <w:rPr>
          <w:rFonts w:ascii="仿宋_GB2312" w:eastAsia="仿宋_GB2312" w:hAnsiTheme="minorEastAsia"/>
          <w:color w:val="auto"/>
          <w:sz w:val="28"/>
          <w:szCs w:val="28"/>
          <w:highlight w:val="none"/>
        </w:rPr>
        <w:t>3</w:t>
      </w:r>
      <w:r>
        <w:rPr>
          <w:rFonts w:asciiTheme="minorEastAsia" w:hAnsiTheme="minorEastAsia" w:eastAsiaTheme="minorEastAsia"/>
          <w:color w:val="auto"/>
          <w:sz w:val="28"/>
          <w:szCs w:val="28"/>
          <w:highlight w:val="none"/>
        </w:rPr>
        <w:t>.资格审查资料</w:t>
      </w:r>
      <w:bookmarkEnd w:id="232"/>
      <w:bookmarkEnd w:id="233"/>
      <w:bookmarkEnd w:id="234"/>
      <w:bookmarkEnd w:id="235"/>
    </w:p>
    <w:p>
      <w:pPr>
        <w:spacing w:line="360" w:lineRule="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3.1供应商基本情况表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236"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3.2不得存在情形承诺函</w:t>
      </w:r>
    </w:p>
    <w:bookmarkEnd w:id="23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广州市净水有限公司对讲机信号覆盖更新改造项目</w:t>
      </w:r>
      <w:r>
        <w:rPr>
          <w:rFonts w:hint="eastAsia" w:ascii="宋体" w:hAnsi="宋体" w:eastAsia="宋体" w:cs="宋体"/>
          <w:color w:val="auto"/>
          <w:sz w:val="24"/>
          <w:szCs w:val="24"/>
          <w:highlight w:val="none"/>
          <w:u w:val="single"/>
          <w:lang w:val="en-GB"/>
        </w:rPr>
        <w:t>（项目编号：</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11）其他违法违纪行为，经审查认为不宜被邀请参加采购活动的。注：附件：网页截图</w:t>
      </w:r>
    </w:p>
    <w:p>
      <w:pPr>
        <w:adjustRightInd w:val="0"/>
        <w:snapToGrid w:val="0"/>
        <w:spacing w:line="360" w:lineRule="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r>
        <w:rPr>
          <w:rFonts w:ascii="宋体" w:hAnsi="宋体" w:eastAsia="宋体" w:cs="宋体"/>
          <w:color w:val="auto"/>
          <w:sz w:val="24"/>
          <w:szCs w:val="24"/>
          <w:highlight w:val="none"/>
          <w:lang w:val="en-GB"/>
        </w:rPr>
        <w:t xml:space="preserve"> </w:t>
      </w:r>
    </w:p>
    <w:p>
      <w:pPr>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w:t>
      </w:r>
      <w:r>
        <w:rPr>
          <w:rFonts w:ascii="宋体" w:hAnsi="宋体" w:eastAsia="宋体" w:cs="宋体"/>
          <w:color w:val="auto"/>
          <w:sz w:val="24"/>
          <w:szCs w:val="24"/>
          <w:highlight w:val="none"/>
          <w:lang w:val="en-GB"/>
        </w:rPr>
        <w:t xml:space="preserve">  </w:t>
      </w:r>
      <w:r>
        <w:rPr>
          <w:rFonts w:hint="eastAsia" w:ascii="宋体" w:hAnsi="宋体" w:eastAsia="宋体" w:cs="宋体"/>
          <w:color w:val="auto"/>
          <w:sz w:val="24"/>
          <w:szCs w:val="24"/>
          <w:highlight w:val="none"/>
          <w:lang w:val="en-GB"/>
        </w:rPr>
        <w:t>月</w:t>
      </w:r>
      <w:r>
        <w:rPr>
          <w:rFonts w:ascii="宋体" w:hAnsi="宋体" w:eastAsia="宋体" w:cs="宋体"/>
          <w:color w:val="auto"/>
          <w:sz w:val="24"/>
          <w:szCs w:val="24"/>
          <w:highlight w:val="none"/>
          <w:lang w:val="en-GB"/>
        </w:rPr>
        <w:t xml:space="preserve">  </w:t>
      </w:r>
      <w:r>
        <w:rPr>
          <w:rFonts w:hint="eastAsia" w:ascii="宋体" w:hAnsi="宋体" w:eastAsia="宋体" w:cs="宋体"/>
          <w:color w:val="auto"/>
          <w:sz w:val="24"/>
          <w:szCs w:val="24"/>
          <w:highlight w:val="none"/>
          <w:lang w:val="en-GB"/>
        </w:rPr>
        <w:t>日</w:t>
      </w:r>
    </w:p>
    <w:p>
      <w:pPr>
        <w:pStyle w:val="2"/>
        <w:rPr>
          <w:color w:val="auto"/>
          <w:highlight w:val="none"/>
          <w:lang w:val="en-GB"/>
        </w:rPr>
      </w:pPr>
    </w:p>
    <w:p>
      <w:pPr>
        <w:pStyle w:val="2"/>
        <w:rPr>
          <w:color w:val="auto"/>
          <w:highlight w:val="none"/>
          <w:lang w:val="en-GB"/>
        </w:rPr>
      </w:pPr>
    </w:p>
    <w:p>
      <w:pPr>
        <w:widowControl/>
        <w:jc w:val="left"/>
        <w:rPr>
          <w:rFonts w:ascii="宋体" w:hAnsi="宋体" w:eastAsia="等线" w:cs="Times New Roman"/>
          <w:color w:val="auto"/>
          <w:kern w:val="0"/>
          <w:sz w:val="24"/>
          <w:szCs w:val="24"/>
          <w:highlight w:val="none"/>
          <w:lang w:val="en-GB"/>
        </w:rPr>
      </w:pPr>
      <w:r>
        <w:rPr>
          <w:color w:val="auto"/>
          <w:highlight w:val="none"/>
          <w:lang w:val="en-GB"/>
        </w:rPr>
        <w:br w:type="page"/>
      </w:r>
    </w:p>
    <w:p>
      <w:pPr>
        <w:pStyle w:val="2"/>
        <w:rPr>
          <w:color w:val="auto"/>
          <w:highlight w:val="none"/>
          <w:lang w:val="en-GB"/>
        </w:rPr>
      </w:pPr>
    </w:p>
    <w:p>
      <w:pPr>
        <w:jc w:val="left"/>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r>
        <w:rPr>
          <w:rFonts w:ascii="宋体" w:hAnsi="宋体" w:eastAsia="宋体" w:cs="宋体"/>
          <w:color w:val="auto"/>
          <w:sz w:val="24"/>
          <w:szCs w:val="24"/>
          <w:highlight w:val="none"/>
          <w:lang w:val="en-GB"/>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w:t>
      </w:r>
      <w:r>
        <w:rPr>
          <w:rFonts w:ascii="宋体" w:hAnsi="宋体" w:eastAsia="宋体" w:cs="宋体"/>
          <w:color w:val="auto"/>
          <w:sz w:val="24"/>
          <w:szCs w:val="24"/>
          <w:highlight w:val="none"/>
          <w:lang w:val="en-GB"/>
        </w:rPr>
        <w:t xml:space="preserve">  </w:t>
      </w:r>
      <w:r>
        <w:rPr>
          <w:rFonts w:hint="eastAsia" w:ascii="宋体" w:hAnsi="宋体" w:eastAsia="宋体" w:cs="宋体"/>
          <w:color w:val="auto"/>
          <w:sz w:val="24"/>
          <w:szCs w:val="24"/>
          <w:highlight w:val="none"/>
          <w:lang w:val="en-GB"/>
        </w:rPr>
        <w:t>月</w:t>
      </w:r>
      <w:r>
        <w:rPr>
          <w:rFonts w:ascii="宋体" w:hAnsi="宋体" w:eastAsia="宋体" w:cs="宋体"/>
          <w:color w:val="auto"/>
          <w:sz w:val="24"/>
          <w:szCs w:val="24"/>
          <w:highlight w:val="none"/>
          <w:lang w:val="en-GB"/>
        </w:rPr>
        <w:t xml:space="preserve">  </w:t>
      </w:r>
      <w:r>
        <w:rPr>
          <w:rFonts w:hint="eastAsia" w:ascii="宋体" w:hAnsi="宋体" w:eastAsia="宋体" w:cs="宋体"/>
          <w:color w:val="auto"/>
          <w:sz w:val="24"/>
          <w:szCs w:val="24"/>
          <w:highlight w:val="none"/>
          <w:lang w:val="en-GB"/>
        </w:rPr>
        <w:t>日</w:t>
      </w:r>
    </w:p>
    <w:p>
      <w:pPr>
        <w:pStyle w:val="2"/>
        <w:rPr>
          <w:color w:val="auto"/>
          <w:highlight w:val="none"/>
          <w:lang w:val="en-GB"/>
        </w:rPr>
      </w:pPr>
      <w:r>
        <w:rPr>
          <w:color w:val="auto"/>
          <w:highlight w:val="none"/>
          <w:lang w:val="en-GB"/>
        </w:rPr>
        <w:br w:type="page"/>
      </w:r>
    </w:p>
    <w:p>
      <w:pPr>
        <w:adjustRightInd w:val="0"/>
        <w:snapToGrid w:val="0"/>
        <w:spacing w:line="360" w:lineRule="auto"/>
        <w:jc w:val="right"/>
        <w:rPr>
          <w:rFonts w:ascii="宋体" w:hAnsi="宋体" w:eastAsia="宋体" w:cs="宋体"/>
          <w:color w:val="auto"/>
          <w:sz w:val="24"/>
          <w:szCs w:val="24"/>
          <w:highlight w:val="none"/>
          <w:lang w:val="en-GB"/>
        </w:rPr>
      </w:pPr>
    </w:p>
    <w:p>
      <w:pPr>
        <w:pStyle w:val="6"/>
        <w:rPr>
          <w:rFonts w:asciiTheme="minorEastAsia" w:hAnsiTheme="minorEastAsia" w:eastAsiaTheme="minorEastAsia"/>
          <w:color w:val="auto"/>
          <w:sz w:val="28"/>
          <w:szCs w:val="28"/>
          <w:highlight w:val="none"/>
        </w:rPr>
      </w:pPr>
      <w:bookmarkStart w:id="237" w:name="_Toc19423"/>
      <w:bookmarkStart w:id="238" w:name="_Toc32430"/>
      <w:r>
        <w:rPr>
          <w:rFonts w:ascii="仿宋_GB2312" w:eastAsia="仿宋_GB2312" w:hAnsiTheme="minorEastAsia"/>
          <w:color w:val="auto"/>
          <w:sz w:val="28"/>
          <w:szCs w:val="28"/>
          <w:highlight w:val="none"/>
        </w:rPr>
        <w:t>5</w:t>
      </w:r>
      <w:r>
        <w:rPr>
          <w:rFonts w:asciiTheme="minorEastAsia" w:hAnsiTheme="minorEastAsia" w:eastAsiaTheme="minorEastAsia"/>
          <w:color w:val="auto"/>
          <w:sz w:val="28"/>
          <w:szCs w:val="28"/>
          <w:highlight w:val="none"/>
        </w:rPr>
        <w:t>.报价表</w:t>
      </w:r>
      <w:bookmarkEnd w:id="237"/>
      <w:bookmarkEnd w:id="238"/>
    </w:p>
    <w:p>
      <w:pPr>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本项目承包方式为总价包干，请根据厂区设备清单提供报价，并请考虑实际施工过程中为了达到对讲机信号的全面覆盖有可能增加天线的分布。（本主要设备清单仅作为报价参考）</w:t>
      </w:r>
    </w:p>
    <w:tbl>
      <w:tblPr>
        <w:tblStyle w:val="20"/>
        <w:tblW w:w="7792" w:type="dxa"/>
        <w:jc w:val="center"/>
        <w:tblLayout w:type="fixed"/>
        <w:tblCellMar>
          <w:top w:w="0" w:type="dxa"/>
          <w:left w:w="108" w:type="dxa"/>
          <w:bottom w:w="0" w:type="dxa"/>
          <w:right w:w="108" w:type="dxa"/>
        </w:tblCellMar>
      </w:tblPr>
      <w:tblGrid>
        <w:gridCol w:w="1169"/>
        <w:gridCol w:w="3752"/>
        <w:gridCol w:w="557"/>
        <w:gridCol w:w="871"/>
        <w:gridCol w:w="734"/>
        <w:gridCol w:w="709"/>
      </w:tblGrid>
      <w:tr>
        <w:tblPrEx>
          <w:tblCellMar>
            <w:top w:w="0" w:type="dxa"/>
            <w:left w:w="108" w:type="dxa"/>
            <w:bottom w:w="0" w:type="dxa"/>
            <w:right w:w="108" w:type="dxa"/>
          </w:tblCellMar>
        </w:tblPrEx>
        <w:trPr>
          <w:trHeight w:val="275" w:hRule="atLeast"/>
          <w:jc w:val="center"/>
        </w:trPr>
        <w:tc>
          <w:tcPr>
            <w:tcW w:w="77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沥滘分公司</w:t>
            </w:r>
          </w:p>
        </w:tc>
      </w:tr>
      <w:tr>
        <w:tblPrEx>
          <w:tblCellMar>
            <w:top w:w="0" w:type="dxa"/>
            <w:left w:w="108" w:type="dxa"/>
            <w:bottom w:w="0" w:type="dxa"/>
            <w:right w:w="108" w:type="dxa"/>
          </w:tblCellMar>
        </w:tblPrEx>
        <w:trPr>
          <w:trHeight w:val="237"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名称</w:t>
            </w:r>
          </w:p>
        </w:tc>
        <w:tc>
          <w:tcPr>
            <w:tcW w:w="3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产品描述</w:t>
            </w:r>
          </w:p>
        </w:tc>
        <w:tc>
          <w:tcPr>
            <w:tcW w:w="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数量</w:t>
            </w:r>
          </w:p>
        </w:tc>
        <w:tc>
          <w:tcPr>
            <w:tcW w:w="8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单位</w:t>
            </w:r>
          </w:p>
        </w:tc>
        <w:tc>
          <w:tcPr>
            <w:tcW w:w="734"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型号</w:t>
            </w:r>
          </w:p>
        </w:tc>
        <w:tc>
          <w:tcPr>
            <w:tcW w:w="709"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品牌</w:t>
            </w:r>
          </w:p>
        </w:tc>
      </w:tr>
      <w:tr>
        <w:tblPrEx>
          <w:tblCellMar>
            <w:top w:w="0" w:type="dxa"/>
            <w:left w:w="108" w:type="dxa"/>
            <w:bottom w:w="0" w:type="dxa"/>
            <w:right w:w="108" w:type="dxa"/>
          </w:tblCellMar>
        </w:tblPrEx>
        <w:trPr>
          <w:trHeight w:val="483"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数字中继台</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UHF:400-470MHz；数模两用；信道容量64</w:t>
            </w:r>
            <w:r>
              <w:rPr>
                <w:rFonts w:hint="eastAsia" w:ascii="仿宋" w:hAnsi="仿宋" w:eastAsia="仿宋" w:cs="宋体"/>
                <w:color w:val="auto"/>
                <w:kern w:val="0"/>
                <w:sz w:val="15"/>
                <w:szCs w:val="15"/>
                <w:highlight w:val="none"/>
              </w:rPr>
              <w:t>；功率</w:t>
            </w:r>
            <w:r>
              <w:rPr>
                <w:rFonts w:ascii="仿宋" w:hAnsi="仿宋" w:eastAsia="仿宋" w:cs="宋体"/>
                <w:color w:val="auto"/>
                <w:kern w:val="0"/>
                <w:sz w:val="15"/>
                <w:szCs w:val="15"/>
                <w:highlight w:val="none"/>
              </w:rPr>
              <w:t>50W；工作电压100-240V（交流）。</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3</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279"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双工器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上行频率</w:t>
            </w:r>
            <w:r>
              <w:rPr>
                <w:rFonts w:ascii="仿宋" w:hAnsi="仿宋" w:eastAsia="仿宋" w:cs="宋体"/>
                <w:color w:val="auto"/>
                <w:kern w:val="0"/>
                <w:sz w:val="15"/>
                <w:szCs w:val="15"/>
                <w:highlight w:val="none"/>
              </w:rPr>
              <w:t>400-470MHz，下行频率400-470MHz</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241"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光纤近端机</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频率</w:t>
            </w:r>
            <w:r>
              <w:rPr>
                <w:rFonts w:ascii="仿宋" w:hAnsi="仿宋" w:eastAsia="仿宋" w:cs="宋体"/>
                <w:color w:val="auto"/>
                <w:kern w:val="0"/>
                <w:sz w:val="15"/>
                <w:szCs w:val="15"/>
                <w:highlight w:val="none"/>
              </w:rPr>
              <w:t>400-470MHz，4光口，1U机架式。</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189"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光纤远端机</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频率</w:t>
            </w:r>
            <w:r>
              <w:rPr>
                <w:rFonts w:ascii="仿宋" w:hAnsi="仿宋" w:eastAsia="仿宋" w:cs="宋体"/>
                <w:color w:val="auto"/>
                <w:kern w:val="0"/>
                <w:sz w:val="15"/>
                <w:szCs w:val="15"/>
                <w:highlight w:val="none"/>
              </w:rPr>
              <w:t>400-470MHz，1光口。</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2</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293"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室外全向天线</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室内全向天线</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室内定向天线</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功率分配器</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350-520MHz，二功分。</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耦合分配器</w:t>
            </w:r>
          </w:p>
        </w:tc>
        <w:tc>
          <w:tcPr>
            <w:tcW w:w="375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50-520MHz，耦合度：6/10/15/20/30。</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避雷器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0-6GHz，NM-NF接头。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机柜</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22U标准机柜，600×800×1200。含2个PDU插座</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系统调试</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系统安装调试</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套</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221" w:hRule="atLeast"/>
          <w:jc w:val="center"/>
        </w:trPr>
        <w:tc>
          <w:tcPr>
            <w:tcW w:w="7792"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京溪分公司</w:t>
            </w: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数字中继台</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UHF:400-470MHz；数模两用；信道容量64</w:t>
            </w:r>
            <w:r>
              <w:rPr>
                <w:rFonts w:hint="eastAsia" w:ascii="仿宋" w:hAnsi="仿宋" w:eastAsia="仿宋" w:cs="宋体"/>
                <w:color w:val="auto"/>
                <w:kern w:val="0"/>
                <w:sz w:val="15"/>
                <w:szCs w:val="15"/>
                <w:highlight w:val="none"/>
              </w:rPr>
              <w:t>；功率</w:t>
            </w:r>
            <w:r>
              <w:rPr>
                <w:rFonts w:ascii="仿宋" w:hAnsi="仿宋" w:eastAsia="仿宋" w:cs="宋体"/>
                <w:color w:val="auto"/>
                <w:kern w:val="0"/>
                <w:sz w:val="15"/>
                <w:szCs w:val="15"/>
                <w:highlight w:val="none"/>
              </w:rPr>
              <w:t>50W；工作电压100-240V（交流）。</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2</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双工器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上行频率</w:t>
            </w:r>
            <w:r>
              <w:rPr>
                <w:rFonts w:ascii="仿宋" w:hAnsi="仿宋" w:eastAsia="仿宋" w:cs="宋体"/>
                <w:color w:val="auto"/>
                <w:kern w:val="0"/>
                <w:sz w:val="15"/>
                <w:szCs w:val="15"/>
                <w:highlight w:val="none"/>
              </w:rPr>
              <w:t>400-470MHz，下行频率400-470MHz</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光纤近端机</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频率</w:t>
            </w:r>
            <w:r>
              <w:rPr>
                <w:rFonts w:ascii="仿宋" w:hAnsi="仿宋" w:eastAsia="仿宋" w:cs="宋体"/>
                <w:color w:val="auto"/>
                <w:kern w:val="0"/>
                <w:sz w:val="15"/>
                <w:szCs w:val="15"/>
                <w:highlight w:val="none"/>
              </w:rPr>
              <w:t>400-470MHz，4光口，1U机架式。</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光纤远端机</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频率</w:t>
            </w:r>
            <w:r>
              <w:rPr>
                <w:rFonts w:ascii="仿宋" w:hAnsi="仿宋" w:eastAsia="仿宋" w:cs="宋体"/>
                <w:color w:val="auto"/>
                <w:kern w:val="0"/>
                <w:sz w:val="15"/>
                <w:szCs w:val="15"/>
                <w:highlight w:val="none"/>
              </w:rPr>
              <w:t>400-470MHz，1光口。</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2</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室外全向天线</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室内全向天线</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室内定向天线</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400-470MHz，接头：N型母头。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功率分配器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350-520MHz，二功分。</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耦合分配器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50-520MHz，耦合度：6/10/15/20/30。</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15"/>
                <w:szCs w:val="15"/>
                <w:highlight w:val="none"/>
              </w:rPr>
            </w:pPr>
            <w:r>
              <w:rPr>
                <w:rFonts w:hint="eastAsia" w:ascii="仿宋" w:hAnsi="仿宋" w:eastAsia="仿宋" w:cs="宋体"/>
                <w:b/>
                <w:bCs/>
                <w:color w:val="auto"/>
                <w:kern w:val="0"/>
                <w:sz w:val="15"/>
                <w:szCs w:val="15"/>
                <w:highlight w:val="none"/>
              </w:rPr>
              <w:t>批</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避雷器</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0-6GHz，NM-NF接头。</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机柜</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22U标准机柜，600×800×1200。含2个PDU插座</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台</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402" w:hRule="atLeast"/>
          <w:jc w:val="center"/>
        </w:trPr>
        <w:tc>
          <w:tcPr>
            <w:tcW w:w="1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系统调试</w:t>
            </w:r>
          </w:p>
        </w:tc>
        <w:tc>
          <w:tcPr>
            <w:tcW w:w="375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系统安装调试</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ascii="仿宋" w:hAnsi="仿宋" w:eastAsia="仿宋" w:cs="宋体"/>
                <w:color w:val="auto"/>
                <w:kern w:val="0"/>
                <w:sz w:val="15"/>
                <w:szCs w:val="15"/>
                <w:highlight w:val="none"/>
              </w:rPr>
              <w:t>1</w:t>
            </w:r>
          </w:p>
        </w:tc>
        <w:tc>
          <w:tcPr>
            <w:tcW w:w="8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15"/>
                <w:szCs w:val="15"/>
                <w:highlight w:val="none"/>
              </w:rPr>
            </w:pPr>
            <w:r>
              <w:rPr>
                <w:rFonts w:hint="eastAsia" w:ascii="仿宋" w:hAnsi="仿宋" w:eastAsia="仿宋" w:cs="宋体"/>
                <w:color w:val="auto"/>
                <w:kern w:val="0"/>
                <w:sz w:val="15"/>
                <w:szCs w:val="15"/>
                <w:highlight w:val="none"/>
              </w:rPr>
              <w:t>套</w:t>
            </w:r>
          </w:p>
        </w:tc>
        <w:tc>
          <w:tcPr>
            <w:tcW w:w="734"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c>
          <w:tcPr>
            <w:tcW w:w="709"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r>
        <w:tblPrEx>
          <w:tblCellMar>
            <w:top w:w="0" w:type="dxa"/>
            <w:left w:w="108" w:type="dxa"/>
            <w:bottom w:w="0" w:type="dxa"/>
            <w:right w:w="108" w:type="dxa"/>
          </w:tblCellMar>
        </w:tblPrEx>
        <w:trPr>
          <w:trHeight w:val="444" w:hRule="atLeast"/>
          <w:jc w:val="center"/>
        </w:trPr>
        <w:tc>
          <w:tcPr>
            <w:tcW w:w="63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auto"/>
                <w:sz w:val="15"/>
                <w:szCs w:val="15"/>
                <w:highlight w:val="none"/>
              </w:rPr>
            </w:pPr>
            <w:bookmarkStart w:id="239" w:name="_Toc87616402"/>
            <w:bookmarkStart w:id="240" w:name="_Toc6058"/>
            <w:bookmarkStart w:id="241" w:name="_Toc16386"/>
            <w:bookmarkStart w:id="242" w:name="_Toc88209965"/>
            <w:r>
              <w:rPr>
                <w:rFonts w:hint="eastAsia" w:ascii="仿宋" w:hAnsi="仿宋" w:eastAsia="仿宋"/>
                <w:color w:val="auto"/>
                <w:sz w:val="15"/>
                <w:szCs w:val="15"/>
                <w:highlight w:val="none"/>
              </w:rPr>
              <w:t>含税金额合计（元）</w:t>
            </w:r>
          </w:p>
        </w:tc>
        <w:tc>
          <w:tcPr>
            <w:tcW w:w="1443"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auto"/>
                <w:kern w:val="0"/>
                <w:sz w:val="15"/>
                <w:szCs w:val="15"/>
                <w:highlight w:val="none"/>
              </w:rPr>
            </w:pPr>
          </w:p>
        </w:tc>
      </w:tr>
    </w:tbl>
    <w:p>
      <w:pPr>
        <w:pStyle w:val="6"/>
        <w:rPr>
          <w:rFonts w:asciiTheme="majorEastAsia" w:hAnsiTheme="majorEastAsia" w:eastAsiaTheme="majorEastAsia"/>
          <w:color w:val="auto"/>
          <w:sz w:val="28"/>
          <w:szCs w:val="28"/>
          <w:highlight w:val="none"/>
        </w:rPr>
      </w:pPr>
      <w:r>
        <w:rPr>
          <w:rFonts w:eastAsiaTheme="majorEastAsia"/>
          <w:color w:val="auto"/>
          <w:highlight w:val="none"/>
        </w:rPr>
        <w:t>6</w:t>
      </w:r>
      <w:r>
        <w:rPr>
          <w:rFonts w:asciiTheme="majorEastAsia" w:hAnsiTheme="majorEastAsia" w:eastAsiaTheme="majorEastAsia"/>
          <w:color w:val="auto"/>
          <w:sz w:val="28"/>
          <w:szCs w:val="28"/>
          <w:highlight w:val="none"/>
        </w:rPr>
        <w:t>.其他资料</w:t>
      </w:r>
      <w:bookmarkEnd w:id="239"/>
      <w:bookmarkEnd w:id="240"/>
      <w:bookmarkEnd w:id="241"/>
      <w:bookmarkEnd w:id="24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w:t>
      </w:r>
      <w:r>
        <w:rPr>
          <w:rFonts w:hint="eastAsia" w:ascii="仿宋_GB2312" w:eastAsia="仿宋_GB2312" w:hAnsiTheme="minorEastAsia"/>
          <w:color w:val="auto"/>
          <w:sz w:val="28"/>
          <w:szCs w:val="28"/>
          <w:highlight w:val="none"/>
        </w:rPr>
        <w:t>地埋式净水厂无线对讲机覆盖实施方案和施工计划。</w:t>
      </w:r>
    </w:p>
    <w:sectPr>
      <w:footerReference r:id="rId5" w:type="first"/>
      <w:footerReference r:id="rId3" w:type="default"/>
      <w:footerReference r:id="rId4" w:type="even"/>
      <w:pgSz w:w="11906" w:h="16838"/>
      <w:pgMar w:top="1418" w:right="1531" w:bottom="1134" w:left="153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1270" r="1905" b="190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AG+tuf6AQAAAQQAAA4AAAAAAAAAAQAgAAAAHwEAAGRycy9lMm9Eb2MueG1sUEsF&#10;BgAAAAAGAAYAWQEAAIs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DrskLz+gEAAAEEAAAOAAAAAAAAAAEAIAAAACABAABkcnMvZTJvRG9jLnhtbFBL&#10;BQYAAAAABgAGAFkBAACM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254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16"/>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DIhRzQAAAAAwEAAA8AAAAAAAAAAQAgAAAAIgAAAGRycy9kb3ducmV2LnhtbFBLAQIUABQA&#10;AAAIAIdO4kDc/LlZ+AEAAAEEAAAOAAAAAAAAAAEAIAAAAB8BAABkcnMvZTJvRG9jLnhtbFBLBQYA&#10;AAAABgAGAFkBAACJBQ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7250001"/>
    <w:multiLevelType w:val="multilevel"/>
    <w:tmpl w:val="5725000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340AE"/>
    <w:rsid w:val="00057C32"/>
    <w:rsid w:val="000F3891"/>
    <w:rsid w:val="001034EE"/>
    <w:rsid w:val="00141184"/>
    <w:rsid w:val="00162DD7"/>
    <w:rsid w:val="00172DEA"/>
    <w:rsid w:val="001A2C87"/>
    <w:rsid w:val="001A6376"/>
    <w:rsid w:val="001B7F1D"/>
    <w:rsid w:val="001C428B"/>
    <w:rsid w:val="001C6E8F"/>
    <w:rsid w:val="001D15D4"/>
    <w:rsid w:val="001E6301"/>
    <w:rsid w:val="002159A6"/>
    <w:rsid w:val="00224E4D"/>
    <w:rsid w:val="00227C52"/>
    <w:rsid w:val="00230D30"/>
    <w:rsid w:val="00287833"/>
    <w:rsid w:val="00290A1F"/>
    <w:rsid w:val="002B30A8"/>
    <w:rsid w:val="002D2EE5"/>
    <w:rsid w:val="002F0E26"/>
    <w:rsid w:val="00307272"/>
    <w:rsid w:val="00310667"/>
    <w:rsid w:val="003257E1"/>
    <w:rsid w:val="00326685"/>
    <w:rsid w:val="00333161"/>
    <w:rsid w:val="00345258"/>
    <w:rsid w:val="00360F4B"/>
    <w:rsid w:val="00396D74"/>
    <w:rsid w:val="003A487A"/>
    <w:rsid w:val="003C5165"/>
    <w:rsid w:val="003D3853"/>
    <w:rsid w:val="003D60BA"/>
    <w:rsid w:val="003E6322"/>
    <w:rsid w:val="003F25BD"/>
    <w:rsid w:val="00411689"/>
    <w:rsid w:val="00421320"/>
    <w:rsid w:val="00421DDA"/>
    <w:rsid w:val="004353E4"/>
    <w:rsid w:val="00451FDD"/>
    <w:rsid w:val="00492586"/>
    <w:rsid w:val="004927AF"/>
    <w:rsid w:val="004A0D27"/>
    <w:rsid w:val="004B3A7E"/>
    <w:rsid w:val="004B4E44"/>
    <w:rsid w:val="004E74DE"/>
    <w:rsid w:val="00510B88"/>
    <w:rsid w:val="0055585C"/>
    <w:rsid w:val="00593C26"/>
    <w:rsid w:val="005D5B8B"/>
    <w:rsid w:val="005D618A"/>
    <w:rsid w:val="005F6955"/>
    <w:rsid w:val="006121F1"/>
    <w:rsid w:val="006410F0"/>
    <w:rsid w:val="006546CA"/>
    <w:rsid w:val="0065473F"/>
    <w:rsid w:val="006563FF"/>
    <w:rsid w:val="00657F87"/>
    <w:rsid w:val="0066264C"/>
    <w:rsid w:val="006864A8"/>
    <w:rsid w:val="006C2EDF"/>
    <w:rsid w:val="006C67AA"/>
    <w:rsid w:val="007012DE"/>
    <w:rsid w:val="007424C1"/>
    <w:rsid w:val="00773591"/>
    <w:rsid w:val="007C73A7"/>
    <w:rsid w:val="007E5764"/>
    <w:rsid w:val="007F369B"/>
    <w:rsid w:val="00806F1D"/>
    <w:rsid w:val="0082064E"/>
    <w:rsid w:val="00846D6F"/>
    <w:rsid w:val="00855D34"/>
    <w:rsid w:val="00872331"/>
    <w:rsid w:val="0087384B"/>
    <w:rsid w:val="00873B7C"/>
    <w:rsid w:val="008820E7"/>
    <w:rsid w:val="008A5021"/>
    <w:rsid w:val="008B70A1"/>
    <w:rsid w:val="008E3991"/>
    <w:rsid w:val="00904370"/>
    <w:rsid w:val="00911ECD"/>
    <w:rsid w:val="00923308"/>
    <w:rsid w:val="009272DD"/>
    <w:rsid w:val="00940264"/>
    <w:rsid w:val="009515FB"/>
    <w:rsid w:val="00993899"/>
    <w:rsid w:val="009D0D82"/>
    <w:rsid w:val="00A03A70"/>
    <w:rsid w:val="00A042E0"/>
    <w:rsid w:val="00A0743A"/>
    <w:rsid w:val="00A1246A"/>
    <w:rsid w:val="00A15C85"/>
    <w:rsid w:val="00A417C2"/>
    <w:rsid w:val="00A97F1E"/>
    <w:rsid w:val="00AC4307"/>
    <w:rsid w:val="00AC43D0"/>
    <w:rsid w:val="00B26BB1"/>
    <w:rsid w:val="00B26E21"/>
    <w:rsid w:val="00B27167"/>
    <w:rsid w:val="00B33DC2"/>
    <w:rsid w:val="00B42E57"/>
    <w:rsid w:val="00B55792"/>
    <w:rsid w:val="00B56C6E"/>
    <w:rsid w:val="00B6564F"/>
    <w:rsid w:val="00B83461"/>
    <w:rsid w:val="00B84BF0"/>
    <w:rsid w:val="00B9296A"/>
    <w:rsid w:val="00BA0E17"/>
    <w:rsid w:val="00BA1C9E"/>
    <w:rsid w:val="00BA5C97"/>
    <w:rsid w:val="00BE55E4"/>
    <w:rsid w:val="00C00C9A"/>
    <w:rsid w:val="00C44083"/>
    <w:rsid w:val="00C8204A"/>
    <w:rsid w:val="00C84E40"/>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31BEC"/>
    <w:rsid w:val="00E83AAB"/>
    <w:rsid w:val="00EA4B78"/>
    <w:rsid w:val="00ED45F5"/>
    <w:rsid w:val="00EE0F09"/>
    <w:rsid w:val="00EF4CD5"/>
    <w:rsid w:val="00F243D4"/>
    <w:rsid w:val="00F41C32"/>
    <w:rsid w:val="00F70EA2"/>
    <w:rsid w:val="00F83B64"/>
    <w:rsid w:val="00F83F8E"/>
    <w:rsid w:val="00F86DDC"/>
    <w:rsid w:val="00FA398D"/>
    <w:rsid w:val="00FB5963"/>
    <w:rsid w:val="00FB6015"/>
    <w:rsid w:val="00FD7A90"/>
    <w:rsid w:val="00FF0676"/>
    <w:rsid w:val="00FF06E0"/>
    <w:rsid w:val="00FF2433"/>
    <w:rsid w:val="013E3461"/>
    <w:rsid w:val="01BB0F13"/>
    <w:rsid w:val="02090C75"/>
    <w:rsid w:val="029A7D90"/>
    <w:rsid w:val="02A23A3C"/>
    <w:rsid w:val="035D130A"/>
    <w:rsid w:val="039110A9"/>
    <w:rsid w:val="03AC246A"/>
    <w:rsid w:val="03AE6061"/>
    <w:rsid w:val="03B23056"/>
    <w:rsid w:val="03DA023E"/>
    <w:rsid w:val="03DC3EBA"/>
    <w:rsid w:val="03F9794D"/>
    <w:rsid w:val="04377393"/>
    <w:rsid w:val="046A2461"/>
    <w:rsid w:val="051C2970"/>
    <w:rsid w:val="060C3611"/>
    <w:rsid w:val="06C64829"/>
    <w:rsid w:val="070E7B6E"/>
    <w:rsid w:val="071D62B7"/>
    <w:rsid w:val="077D16D2"/>
    <w:rsid w:val="082A69F3"/>
    <w:rsid w:val="08675FC8"/>
    <w:rsid w:val="09B713FD"/>
    <w:rsid w:val="09EF6ACC"/>
    <w:rsid w:val="09F47D86"/>
    <w:rsid w:val="0A315056"/>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F4D75A3"/>
    <w:rsid w:val="0F5B2DCA"/>
    <w:rsid w:val="0FED051E"/>
    <w:rsid w:val="0FEE4C29"/>
    <w:rsid w:val="10031608"/>
    <w:rsid w:val="10046082"/>
    <w:rsid w:val="104974DD"/>
    <w:rsid w:val="111703D2"/>
    <w:rsid w:val="112B101A"/>
    <w:rsid w:val="116E717D"/>
    <w:rsid w:val="119B53FC"/>
    <w:rsid w:val="1215733B"/>
    <w:rsid w:val="12424CDC"/>
    <w:rsid w:val="129A2738"/>
    <w:rsid w:val="12B56BF1"/>
    <w:rsid w:val="12CB1A89"/>
    <w:rsid w:val="131840FB"/>
    <w:rsid w:val="13467417"/>
    <w:rsid w:val="136E76CF"/>
    <w:rsid w:val="14123C2A"/>
    <w:rsid w:val="145F08C6"/>
    <w:rsid w:val="14E43F59"/>
    <w:rsid w:val="15007F26"/>
    <w:rsid w:val="15776308"/>
    <w:rsid w:val="15BC6B3C"/>
    <w:rsid w:val="16360A7B"/>
    <w:rsid w:val="164D40B0"/>
    <w:rsid w:val="1694429A"/>
    <w:rsid w:val="171B1048"/>
    <w:rsid w:val="17635326"/>
    <w:rsid w:val="17B803EA"/>
    <w:rsid w:val="1815096B"/>
    <w:rsid w:val="18236EFD"/>
    <w:rsid w:val="189D5B1F"/>
    <w:rsid w:val="18A34CD0"/>
    <w:rsid w:val="19A53EA8"/>
    <w:rsid w:val="19B64DBC"/>
    <w:rsid w:val="19D96F98"/>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94592D"/>
    <w:rsid w:val="1FB860DE"/>
    <w:rsid w:val="203C5A02"/>
    <w:rsid w:val="20457135"/>
    <w:rsid w:val="209D4C94"/>
    <w:rsid w:val="20B44FCD"/>
    <w:rsid w:val="20E84705"/>
    <w:rsid w:val="218400BA"/>
    <w:rsid w:val="21AB1E2F"/>
    <w:rsid w:val="21D40498"/>
    <w:rsid w:val="22493963"/>
    <w:rsid w:val="22767047"/>
    <w:rsid w:val="22E04EF3"/>
    <w:rsid w:val="22EB3FC4"/>
    <w:rsid w:val="23294AEC"/>
    <w:rsid w:val="23A05588"/>
    <w:rsid w:val="240476A1"/>
    <w:rsid w:val="25431AEB"/>
    <w:rsid w:val="25BE3BFB"/>
    <w:rsid w:val="25BF43FD"/>
    <w:rsid w:val="25F86BCD"/>
    <w:rsid w:val="2605748B"/>
    <w:rsid w:val="26396D26"/>
    <w:rsid w:val="264544A6"/>
    <w:rsid w:val="267702FB"/>
    <w:rsid w:val="267947E9"/>
    <w:rsid w:val="269E416A"/>
    <w:rsid w:val="26C11C6B"/>
    <w:rsid w:val="272100D3"/>
    <w:rsid w:val="272C72FC"/>
    <w:rsid w:val="275131CB"/>
    <w:rsid w:val="278F6521"/>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BA09F1"/>
    <w:rsid w:val="2FEF2ACF"/>
    <w:rsid w:val="2FF93D20"/>
    <w:rsid w:val="301E71E2"/>
    <w:rsid w:val="30540211"/>
    <w:rsid w:val="30D34FFE"/>
    <w:rsid w:val="30E45100"/>
    <w:rsid w:val="31112A0D"/>
    <w:rsid w:val="311F4B20"/>
    <w:rsid w:val="312D7741"/>
    <w:rsid w:val="316F137F"/>
    <w:rsid w:val="31DF525F"/>
    <w:rsid w:val="31EC162B"/>
    <w:rsid w:val="32324C2E"/>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D4176B"/>
    <w:rsid w:val="3D1F44D9"/>
    <w:rsid w:val="3D5C38CD"/>
    <w:rsid w:val="3E5070F1"/>
    <w:rsid w:val="3E9A01F4"/>
    <w:rsid w:val="3EC06A6A"/>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A532F6"/>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706679"/>
    <w:rsid w:val="48835686"/>
    <w:rsid w:val="48CA4868"/>
    <w:rsid w:val="48F005D3"/>
    <w:rsid w:val="49547ADD"/>
    <w:rsid w:val="49732351"/>
    <w:rsid w:val="498F4AF1"/>
    <w:rsid w:val="49C05787"/>
    <w:rsid w:val="49CF518D"/>
    <w:rsid w:val="4A1F42D0"/>
    <w:rsid w:val="4A7F3979"/>
    <w:rsid w:val="4ADA1F63"/>
    <w:rsid w:val="4AE23D89"/>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790E97"/>
    <w:rsid w:val="579D710E"/>
    <w:rsid w:val="57A123BE"/>
    <w:rsid w:val="57F5464A"/>
    <w:rsid w:val="581F22F6"/>
    <w:rsid w:val="586E1E17"/>
    <w:rsid w:val="58862C35"/>
    <w:rsid w:val="58C14957"/>
    <w:rsid w:val="58CC23D2"/>
    <w:rsid w:val="58E66050"/>
    <w:rsid w:val="596E4C89"/>
    <w:rsid w:val="59FC7994"/>
    <w:rsid w:val="5A0A173D"/>
    <w:rsid w:val="5AE83A50"/>
    <w:rsid w:val="5B353193"/>
    <w:rsid w:val="5BAB2917"/>
    <w:rsid w:val="5BFC33FA"/>
    <w:rsid w:val="5C3107A4"/>
    <w:rsid w:val="5C3B1B93"/>
    <w:rsid w:val="5C69772C"/>
    <w:rsid w:val="5C7F0CFE"/>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9F6CC6"/>
    <w:rsid w:val="6BDD7B4D"/>
    <w:rsid w:val="6C44786E"/>
    <w:rsid w:val="6D747CD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49E0D2F"/>
    <w:rsid w:val="75252DF3"/>
    <w:rsid w:val="75621536"/>
    <w:rsid w:val="75BF3154"/>
    <w:rsid w:val="764A07CF"/>
    <w:rsid w:val="764F6B3D"/>
    <w:rsid w:val="76872831"/>
    <w:rsid w:val="76CD2B7B"/>
    <w:rsid w:val="76D80645"/>
    <w:rsid w:val="76E03371"/>
    <w:rsid w:val="76E2215D"/>
    <w:rsid w:val="771211AA"/>
    <w:rsid w:val="775648F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页眉 字符"/>
    <w:basedOn w:val="22"/>
    <w:link w:val="17"/>
    <w:qFormat/>
    <w:uiPriority w:val="99"/>
    <w:rPr>
      <w:sz w:val="18"/>
      <w:szCs w:val="18"/>
    </w:rPr>
  </w:style>
  <w:style w:type="character" w:customStyle="1" w:styleId="26">
    <w:name w:val="页脚 字符"/>
    <w:basedOn w:val="22"/>
    <w:link w:val="16"/>
    <w:qFormat/>
    <w:uiPriority w:val="99"/>
    <w:rPr>
      <w:sz w:val="18"/>
      <w:szCs w:val="18"/>
    </w:rPr>
  </w:style>
  <w:style w:type="character" w:customStyle="1" w:styleId="27">
    <w:name w:val="标题 1 字符"/>
    <w:basedOn w:val="22"/>
    <w:link w:val="4"/>
    <w:qFormat/>
    <w:uiPriority w:val="9"/>
    <w:rPr>
      <w:rFonts w:eastAsia="方正小标宋简体"/>
      <w:bCs/>
      <w:kern w:val="44"/>
      <w:sz w:val="44"/>
      <w:szCs w:val="44"/>
    </w:rPr>
  </w:style>
  <w:style w:type="character" w:customStyle="1" w:styleId="28">
    <w:name w:val="标题 2 字符"/>
    <w:basedOn w:val="22"/>
    <w:link w:val="5"/>
    <w:qFormat/>
    <w:uiPriority w:val="9"/>
    <w:rPr>
      <w:rFonts w:eastAsia="方正小标宋简体" w:asciiTheme="majorHAnsi" w:hAnsiTheme="majorHAnsi" w:cstheme="majorBidi"/>
      <w:bCs/>
      <w:sz w:val="36"/>
      <w:szCs w:val="32"/>
    </w:rPr>
  </w:style>
  <w:style w:type="character" w:customStyle="1" w:styleId="29">
    <w:name w:val="标题 3 字符"/>
    <w:basedOn w:val="22"/>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22"/>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qFormat/>
    <w:uiPriority w:val="99"/>
    <w:rPr>
      <w:sz w:val="16"/>
      <w:szCs w:val="16"/>
    </w:rPr>
  </w:style>
  <w:style w:type="character" w:customStyle="1" w:styleId="37">
    <w:name w:val="正文文本 3 字符"/>
    <w:basedOn w:val="22"/>
    <w:link w:val="8"/>
    <w:semiHidden/>
    <w:qFormat/>
    <w:uiPriority w:val="99"/>
    <w:rPr>
      <w:sz w:val="16"/>
      <w:szCs w:val="16"/>
    </w:rPr>
  </w:style>
  <w:style w:type="character" w:customStyle="1" w:styleId="38">
    <w:name w:val="列出段落 字符"/>
    <w:link w:val="30"/>
    <w:qFormat/>
    <w:uiPriority w:val="34"/>
  </w:style>
  <w:style w:type="paragraph" w:customStyle="1" w:styleId="39">
    <w:name w:val="1"/>
    <w:basedOn w:val="1"/>
    <w:next w:val="12"/>
    <w:qFormat/>
    <w:uiPriority w:val="99"/>
    <w:rPr>
      <w:rFonts w:ascii="宋体" w:hAnsi="Courier New"/>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paragraph" w:customStyle="1" w:styleId="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2">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3">
    <w:name w:val="_Style 1"/>
    <w:basedOn w:val="1"/>
    <w:uiPriority w:val="0"/>
    <w:pPr>
      <w:ind w:firstLine="200" w:firstLineChars="200"/>
    </w:pPr>
    <w:rPr>
      <w:rFonts w:ascii="Calibri" w:hAnsi="Calibri" w:eastAsia="宋体" w:cs="Times New Roman"/>
    </w:rPr>
  </w:style>
  <w:style w:type="table" w:customStyle="1" w:styleId="44">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_"/>
    <w:basedOn w:val="1"/>
    <w:qFormat/>
    <w:uiPriority w:val="0"/>
    <w:pPr>
      <w:spacing w:line="360" w:lineRule="auto"/>
      <w:ind w:left="480"/>
    </w:pPr>
    <w:rPr>
      <w:rFonts w:ascii="Calibri" w:hAnsi="Calibri" w:eastAsia="宋体" w:cs="Times New Roman"/>
      <w:sz w:val="24"/>
    </w:rPr>
  </w:style>
  <w:style w:type="character" w:customStyle="1" w:styleId="46">
    <w:name w:val="*正文 Char"/>
    <w:link w:val="47"/>
    <w:qFormat/>
    <w:uiPriority w:val="0"/>
    <w:rPr>
      <w:rFonts w:ascii="仿宋_GB2312" w:hAnsi="Times New Roman" w:eastAsia="仿宋_GB2312" w:cs="Times New Roman"/>
      <w:sz w:val="24"/>
      <w:szCs w:val="28"/>
    </w:rPr>
  </w:style>
  <w:style w:type="paragraph" w:customStyle="1" w:styleId="47">
    <w:name w:val="*正文"/>
    <w:basedOn w:val="1"/>
    <w:next w:val="1"/>
    <w:link w:val="46"/>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8">
    <w:name w:val="表格标题(居中) Char"/>
    <w:link w:val="49"/>
    <w:qFormat/>
    <w:uiPriority w:val="0"/>
    <w:rPr>
      <w:rFonts w:eastAsia="黑体"/>
      <w:kern w:val="2"/>
      <w:sz w:val="24"/>
    </w:rPr>
  </w:style>
  <w:style w:type="paragraph" w:customStyle="1" w:styleId="49">
    <w:name w:val="表格标题(居中)"/>
    <w:basedOn w:val="1"/>
    <w:link w:val="48"/>
    <w:qFormat/>
    <w:uiPriority w:val="0"/>
    <w:pPr>
      <w:snapToGrid w:val="0"/>
      <w:spacing w:line="300" w:lineRule="auto"/>
      <w:jc w:val="center"/>
    </w:pPr>
    <w:rPr>
      <w:rFonts w:eastAsia="黑体"/>
      <w:sz w:val="24"/>
      <w:szCs w:val="20"/>
    </w:rPr>
  </w:style>
  <w:style w:type="paragraph" w:customStyle="1" w:styleId="50">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29563</Words>
  <Characters>31664</Characters>
  <Lines>260</Lines>
  <Paragraphs>73</Paragraphs>
  <TotalTime>2</TotalTime>
  <ScaleCrop>false</ScaleCrop>
  <LinksUpToDate>false</LinksUpToDate>
  <CharactersWithSpaces>33943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2022-09-21T07:53:00Z</dcterms:created>
  <dc:creator>陈义春</dc:creator>
  <cp:lastModifiedBy>刘琳</cp:lastModifiedBy>
  <cp:lastPrinted>2022-10-24T03:23:00Z</cp:lastPrinted>
  <dcterms:modified xsi:type="dcterms:W3CDTF">2022-11-01T07:14:27Z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913D2AAEE55241A2AC862E65CBCE1C34</vt:lpwstr>
  </property>
</Properties>
</file>