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p>
      <w:pP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广州市净水有限公司2022年固定式</w:t>
      </w:r>
    </w:p>
    <w:p>
      <w:pPr>
        <w:jc w:val="center"/>
        <w:rPr>
          <w:rFonts w:hint="default"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气体检测仪采购项目</w:t>
      </w: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both"/>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二二年</w:t>
      </w:r>
      <w:r>
        <w:rPr>
          <w:rFonts w:hint="eastAsia" w:ascii="黑体" w:hAnsi="黑体" w:eastAsia="黑体" w:cs="仿宋_GB2312"/>
          <w:color w:val="auto"/>
          <w:sz w:val="32"/>
          <w:szCs w:val="32"/>
          <w:highlight w:val="none"/>
          <w:lang w:val="en-US" w:eastAsia="zh-CN"/>
        </w:rPr>
        <w:t>十</w:t>
      </w:r>
      <w:r>
        <w:rPr>
          <w:rFonts w:hint="eastAsia" w:ascii="黑体" w:hAnsi="黑体" w:eastAsia="黑体" w:cs="仿宋_GB2312"/>
          <w:color w:val="auto"/>
          <w:sz w:val="32"/>
          <w:szCs w:val="32"/>
          <w:highlight w:val="none"/>
        </w:rPr>
        <w:t>月</w:t>
      </w:r>
    </w:p>
    <w:p>
      <w:pPr>
        <w:rPr>
          <w:color w:val="auto"/>
          <w:highlight w:val="none"/>
        </w:rPr>
        <w:sectPr>
          <w:headerReference r:id="rId3" w:type="first"/>
          <w:footerReference r:id="rId6" w:type="first"/>
          <w:footerReference r:id="rId4" w:type="default"/>
          <w:footerReference r:id="rId5" w:type="even"/>
          <w:pgSz w:w="11906" w:h="16838"/>
          <w:pgMar w:top="2098" w:right="1474" w:bottom="1985" w:left="1588" w:header="851" w:footer="992" w:gutter="0"/>
          <w:pgNumType w:start="0"/>
          <w:cols w:space="425" w:num="1"/>
          <w:titlePg/>
          <w:docGrid w:type="lines" w:linePitch="312" w:charSpace="0"/>
        </w:sectPr>
      </w:pPr>
    </w:p>
    <w:p>
      <w:pPr>
        <w:pStyle w:val="2"/>
        <w:rPr>
          <w:color w:val="auto"/>
          <w:highlight w:val="none"/>
        </w:rPr>
      </w:pPr>
    </w:p>
    <w:p>
      <w:pPr>
        <w:pStyle w:val="36"/>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19"/>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19"/>
        <w:numPr>
          <w:ilvl w:val="0"/>
          <w:numId w:val="1"/>
        </w:numPr>
        <w:tabs>
          <w:tab w:val="right" w:pos="8844"/>
        </w:tabs>
        <w:rPr>
          <w:color w:val="auto"/>
          <w:highlight w:val="none"/>
        </w:rPr>
      </w:pPr>
      <w:r>
        <w:rPr>
          <w:rFonts w:hint="eastAsia"/>
          <w:color w:val="auto"/>
          <w:highlight w:val="none"/>
          <w:lang w:val="en-US" w:eastAsia="zh-CN"/>
        </w:rPr>
        <w:t>供应商须知</w:t>
      </w:r>
    </w:p>
    <w:p>
      <w:pPr>
        <w:pStyle w:val="19"/>
        <w:numPr>
          <w:ilvl w:val="0"/>
          <w:numId w:val="1"/>
        </w:numPr>
        <w:tabs>
          <w:tab w:val="right" w:pos="8844"/>
        </w:tabs>
        <w:rPr>
          <w:color w:val="auto"/>
          <w:highlight w:val="none"/>
        </w:rPr>
      </w:pPr>
      <w:r>
        <w:rPr>
          <w:rFonts w:hint="eastAsia"/>
          <w:color w:val="auto"/>
          <w:highlight w:val="none"/>
          <w:lang w:val="en-US" w:eastAsia="zh-CN"/>
        </w:rPr>
        <w:t>采购方法</w:t>
      </w:r>
    </w:p>
    <w:p>
      <w:pPr>
        <w:pStyle w:val="19"/>
        <w:numPr>
          <w:ilvl w:val="0"/>
          <w:numId w:val="1"/>
        </w:numPr>
        <w:tabs>
          <w:tab w:val="right" w:pos="8844"/>
        </w:tabs>
        <w:rPr>
          <w:color w:val="auto"/>
          <w:highlight w:val="none"/>
        </w:rPr>
      </w:pPr>
      <w:r>
        <w:rPr>
          <w:rFonts w:hint="eastAsia"/>
          <w:color w:val="auto"/>
          <w:highlight w:val="none"/>
          <w:lang w:val="en-US" w:eastAsia="zh-CN"/>
        </w:rPr>
        <w:t>评审方法</w:t>
      </w:r>
    </w:p>
    <w:p>
      <w:pPr>
        <w:pStyle w:val="19"/>
        <w:numPr>
          <w:ilvl w:val="0"/>
          <w:numId w:val="1"/>
        </w:numPr>
        <w:tabs>
          <w:tab w:val="right" w:pos="8844"/>
        </w:tabs>
        <w:rPr>
          <w:color w:val="auto"/>
          <w:highlight w:val="none"/>
        </w:rPr>
      </w:pPr>
      <w:r>
        <w:rPr>
          <w:rFonts w:hint="eastAsia"/>
          <w:color w:val="auto"/>
          <w:highlight w:val="none"/>
          <w:lang w:val="en-US" w:eastAsia="zh-CN"/>
        </w:rPr>
        <w:t>采购需求</w:t>
      </w:r>
    </w:p>
    <w:p>
      <w:pPr>
        <w:pStyle w:val="19"/>
        <w:numPr>
          <w:ilvl w:val="0"/>
          <w:numId w:val="1"/>
        </w:numPr>
        <w:tabs>
          <w:tab w:val="right" w:pos="8844"/>
        </w:tabs>
        <w:rPr>
          <w:color w:val="auto"/>
          <w:highlight w:val="none"/>
        </w:rPr>
      </w:pPr>
      <w:r>
        <w:rPr>
          <w:rFonts w:hint="eastAsia"/>
          <w:color w:val="auto"/>
          <w:highlight w:val="none"/>
        </w:rPr>
        <w:t>合同草案</w:t>
      </w:r>
    </w:p>
    <w:p>
      <w:pPr>
        <w:pStyle w:val="19"/>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19"/>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19"/>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rFonts w:hint="eastAsia"/>
          <w:color w:val="auto"/>
          <w:highlight w:val="none"/>
        </w:rPr>
      </w:pPr>
      <w:bookmarkStart w:id="0" w:name="_Toc18145"/>
      <w:bookmarkStart w:id="1" w:name="_Toc26148"/>
    </w:p>
    <w:p>
      <w:pPr>
        <w:rPr>
          <w:rFonts w:hint="eastAsia"/>
          <w:color w:val="auto"/>
          <w:highlight w:val="none"/>
        </w:rPr>
      </w:pPr>
    </w:p>
    <w:p>
      <w:pPr>
        <w:pStyle w:val="4"/>
        <w:rPr>
          <w:rFonts w:hint="eastAsia"/>
          <w:color w:val="auto"/>
          <w:highlight w:val="none"/>
        </w:rPr>
      </w:pPr>
      <w:bookmarkStart w:id="2" w:name="_Toc17696"/>
      <w:bookmarkStart w:id="3" w:name="_Toc1711"/>
    </w:p>
    <w:p>
      <w:pPr>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4"/>
        <w:rPr>
          <w:rFonts w:hint="eastAsia"/>
          <w:color w:val="auto"/>
          <w:highlight w:val="none"/>
        </w:rPr>
      </w:pPr>
      <w:bookmarkStart w:id="4" w:name="_Toc19609"/>
      <w:bookmarkStart w:id="5" w:name="_Toc31938"/>
      <w:bookmarkStart w:id="6" w:name="_Toc17801"/>
      <w:bookmarkStart w:id="7" w:name="_Toc11322"/>
      <w:bookmarkStart w:id="8" w:name="_Toc1669"/>
      <w:bookmarkStart w:id="9" w:name="_Toc7519"/>
      <w:bookmarkStart w:id="10" w:name="_Toc4275"/>
    </w:p>
    <w:p>
      <w:pPr>
        <w:pStyle w:val="4"/>
        <w:rPr>
          <w:rFonts w:hint="eastAsia"/>
          <w:color w:val="auto"/>
          <w:highlight w:val="none"/>
        </w:rPr>
      </w:pPr>
    </w:p>
    <w:p>
      <w:pPr>
        <w:pStyle w:val="4"/>
        <w:rPr>
          <w:rFonts w:hint="eastAsia"/>
          <w:color w:val="auto"/>
          <w:highlight w:val="none"/>
        </w:rPr>
      </w:pPr>
    </w:p>
    <w:p>
      <w:pPr>
        <w:pStyle w:val="4"/>
        <w:rPr>
          <w:color w:val="auto"/>
          <w:highlight w:val="none"/>
        </w:rPr>
      </w:pPr>
      <w:r>
        <w:rPr>
          <w:color w:val="auto"/>
          <w:highlight w:val="none"/>
        </w:rPr>
        <w:pict>
          <v:shape id="_x0000_s2065" o:spid="_x0000_s2065" o:spt="32" type="#_x0000_t32" style="position:absolute;left:0pt;margin-left:184.3pt;margin-top:58.7pt;height:0pt;width:75.5pt;z-index:251671552;mso-width-relative:page;mso-height-relative:page;" o:connectortype="straight" filled="f" coordsize="21600,21600">
            <v:path arrowok="t"/>
            <v:fill on="f" focussize="0,0"/>
            <v:stroke/>
            <v:imagedata o:title=""/>
            <o:lock v:ext="edit"/>
          </v:shape>
        </w:pict>
      </w:r>
      <w:r>
        <w:rPr>
          <w:color w:val="auto"/>
          <w:highlight w:val="none"/>
        </w:rPr>
        <w:pict>
          <v:shape id="_x0000_s2064" o:spid="_x0000_s2064" o:spt="32" type="#_x0000_t32" style="position:absolute;left:0pt;margin-left:184.9pt;margin-top:8.5pt;height:0pt;width:75.5pt;z-index:251670528;mso-width-relative:page;mso-height-relative:page;" o:connectortype="straight" filled="f" coordsize="21600,21600">
            <v:path arrowok="t"/>
            <v:fill on="f" focussize="0,0"/>
            <v:stroke/>
            <v:imagedata o:title=""/>
            <o:lock v:ext="edit"/>
          </v:shape>
        </w:pic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8"/>
        <w:rPr>
          <w:color w:val="auto"/>
          <w:highlight w:val="none"/>
        </w:rPr>
      </w:pPr>
    </w:p>
    <w:p>
      <w:pPr>
        <w:pStyle w:val="4"/>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仿宋_GB2312" w:eastAsia="仿宋_GB2312"/>
          <w:color w:val="auto"/>
          <w:sz w:val="28"/>
          <w:szCs w:val="28"/>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4"/>
        <w:rPr>
          <w:rFonts w:hint="eastAsia" w:eastAsia="方正小标宋简体"/>
          <w:color w:val="auto"/>
          <w:highlight w:val="none"/>
          <w:lang w:eastAsia="zh-CN"/>
        </w:rPr>
      </w:pPr>
      <w:bookmarkStart w:id="11" w:name="_Toc9680"/>
      <w:bookmarkStart w:id="12" w:name="_Toc21373"/>
      <w:r>
        <w:rPr>
          <w:rFonts w:hint="eastAsia"/>
          <w:color w:val="auto"/>
          <w:highlight w:val="none"/>
          <w:lang w:eastAsia="zh-CN"/>
        </w:rPr>
        <w:t>采购公告（采购邀请书）</w:t>
      </w:r>
    </w:p>
    <w:bookmarkEnd w:id="11"/>
    <w:bookmarkEnd w:id="12"/>
    <w:p>
      <w:pPr>
        <w:adjustRightInd w:val="0"/>
        <w:snapToGrid w:val="0"/>
        <w:spacing w:line="600" w:lineRule="exact"/>
        <w:ind w:firstLine="560" w:firstLineChars="200"/>
        <w:jc w:val="left"/>
        <w:rPr>
          <w:rFonts w:ascii="仿宋_GB2312" w:eastAsia="仿宋_GB2312"/>
          <w:color w:val="auto"/>
          <w:sz w:val="28"/>
          <w:szCs w:val="28"/>
          <w:highlight w:val="none"/>
          <w:u w:val="single"/>
        </w:rPr>
      </w:pPr>
      <w:bookmarkStart w:id="187" w:name="_GoBack"/>
      <w:r>
        <w:rPr>
          <w:rFonts w:hint="eastAsia" w:ascii="仿宋_GB2312" w:eastAsia="仿宋_GB2312"/>
          <w:color w:val="auto"/>
          <w:sz w:val="28"/>
          <w:szCs w:val="28"/>
          <w:highlight w:val="none"/>
          <w:u w:val="single"/>
          <w:lang w:val="en-US" w:eastAsia="zh-CN"/>
        </w:rPr>
        <w:t>广州市净水有限公司2022年固定式气体检测仪采购项目</w:t>
      </w:r>
      <w:bookmarkEnd w:id="187"/>
      <w:r>
        <w:rPr>
          <w:rFonts w:hint="eastAsia" w:ascii="仿宋_GB2312" w:eastAsia="仿宋_GB2312"/>
          <w:color w:val="auto"/>
          <w:sz w:val="28"/>
          <w:szCs w:val="28"/>
          <w:highlight w:val="none"/>
        </w:rPr>
        <w:t>已具备采购条件，现</w:t>
      </w:r>
      <w:r>
        <w:rPr>
          <w:rFonts w:hint="eastAsia" w:ascii="仿宋_GB2312" w:eastAsia="仿宋_GB2312"/>
          <w:color w:val="auto"/>
          <w:sz w:val="28"/>
          <w:szCs w:val="28"/>
          <w:highlight w:val="none"/>
          <w:lang w:val="en-US" w:eastAsia="zh-CN"/>
        </w:rPr>
        <w:t>邀请合格</w:t>
      </w:r>
      <w:r>
        <w:rPr>
          <w:rFonts w:hint="eastAsia" w:ascii="仿宋_GB2312" w:eastAsia="仿宋_GB2312"/>
          <w:color w:val="auto"/>
          <w:sz w:val="28"/>
          <w:szCs w:val="28"/>
          <w:highlight w:val="none"/>
          <w:u w:val="none"/>
          <w:lang w:val="en-US" w:eastAsia="zh-CN"/>
        </w:rPr>
        <w:t>单位</w:t>
      </w:r>
      <w:r>
        <w:rPr>
          <w:rFonts w:hint="eastAsia" w:ascii="仿宋_GB2312" w:eastAsia="仿宋_GB2312"/>
          <w:color w:val="auto"/>
          <w:sz w:val="28"/>
          <w:szCs w:val="28"/>
          <w:highlight w:val="none"/>
        </w:rPr>
        <w:t>参加本</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 xml:space="preserve">施工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货物 □服务项目采购活动，采用</w:t>
      </w:r>
      <w:r>
        <w:rPr>
          <w:rFonts w:hint="eastAsia" w:ascii="仿宋_GB2312" w:eastAsia="仿宋_GB2312"/>
          <w:color w:val="auto"/>
          <w:sz w:val="28"/>
          <w:szCs w:val="28"/>
          <w:highlight w:val="none"/>
          <w:u w:val="none"/>
        </w:rPr>
        <w:sym w:font="Wingdings 2" w:char="00A3"/>
      </w:r>
      <w:r>
        <w:rPr>
          <w:rFonts w:hint="eastAsia" w:ascii="仿宋_GB2312" w:eastAsia="仿宋_GB2312"/>
          <w:color w:val="auto"/>
          <w:sz w:val="28"/>
          <w:szCs w:val="28"/>
          <w:highlight w:val="none"/>
          <w:u w:val="none"/>
          <w:lang w:val="en-US" w:eastAsia="zh-CN"/>
        </w:rPr>
        <w:t>邀请</w:t>
      </w:r>
      <w:r>
        <w:rPr>
          <w:rFonts w:hint="eastAsia" w:ascii="仿宋_GB2312" w:eastAsia="仿宋_GB2312"/>
          <w:color w:val="auto"/>
          <w:sz w:val="28"/>
          <w:szCs w:val="28"/>
          <w:highlight w:val="none"/>
          <w:u w:val="none"/>
        </w:rPr>
        <w:t>询比</w:t>
      </w:r>
      <w:r>
        <w:rPr>
          <w:rFonts w:hint="eastAsia" w:ascii="仿宋_GB2312" w:eastAsia="仿宋_GB2312"/>
          <w:color w:val="auto"/>
          <w:sz w:val="28"/>
          <w:szCs w:val="28"/>
          <w:highlight w:val="none"/>
          <w:u w:val="none"/>
          <w:lang w:val="en-US" w:eastAsia="zh-CN"/>
        </w:rPr>
        <w:t xml:space="preserve"> </w:t>
      </w:r>
      <w:r>
        <w:rPr>
          <w:rFonts w:hint="eastAsia" w:ascii="仿宋_GB2312" w:eastAsia="仿宋_GB2312"/>
          <w:color w:val="auto"/>
          <w:sz w:val="28"/>
          <w:szCs w:val="28"/>
          <w:highlight w:val="none"/>
          <w:u w:val="none"/>
          <w:lang w:val="en-US" w:eastAsia="zh-CN"/>
        </w:rPr>
        <w:sym w:font="Wingdings 2" w:char="0052"/>
      </w:r>
      <w:r>
        <w:rPr>
          <w:rFonts w:hint="eastAsia" w:ascii="仿宋_GB2312" w:eastAsia="仿宋_GB2312"/>
          <w:color w:val="auto"/>
          <w:sz w:val="28"/>
          <w:szCs w:val="28"/>
          <w:highlight w:val="none"/>
          <w:u w:val="none"/>
          <w:lang w:val="en-US" w:eastAsia="zh-CN"/>
        </w:rPr>
        <w:t>公开询比</w:t>
      </w:r>
      <w:r>
        <w:rPr>
          <w:rFonts w:hint="eastAsia" w:ascii="仿宋_GB2312" w:eastAsia="仿宋_GB2312"/>
          <w:color w:val="auto"/>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val="en-US" w:eastAsia="zh-CN"/>
        </w:rPr>
        <w:t>广州市净水有限公司2022年固定式气体检测仪采购项目</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lang w:val="en-US" w:eastAsia="zh-CN"/>
        </w:rPr>
        <w:t>XJ-20221026-1</w:t>
      </w:r>
    </w:p>
    <w:p>
      <w:pPr>
        <w:adjustRightInd w:val="0"/>
        <w:snapToGrid w:val="0"/>
        <w:spacing w:line="600" w:lineRule="exact"/>
        <w:jc w:val="left"/>
        <w:rPr>
          <w:rFonts w:hint="eastAsia" w:ascii="仿宋_GB2312" w:eastAsia="仿宋_GB2312"/>
          <w:color w:val="auto"/>
          <w:sz w:val="28"/>
          <w:szCs w:val="28"/>
          <w:highlight w:val="none"/>
          <w:u w:val="single"/>
          <w:lang w:val="en-US" w:eastAsia="zh-CN"/>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自有资金</w:t>
      </w: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w:t>
      </w:r>
      <w:r>
        <w:rPr>
          <w:rFonts w:hint="eastAsia" w:ascii="仿宋_GB2312" w:eastAsia="仿宋_GB2312"/>
          <w:color w:val="auto"/>
          <w:sz w:val="28"/>
          <w:szCs w:val="28"/>
          <w:highlight w:val="none"/>
          <w:u w:val="single"/>
          <w:lang w:val="en-US" w:eastAsia="zh-CN"/>
        </w:rPr>
        <w:t>标段一298800，标段二275900。</w:t>
      </w:r>
      <w:r>
        <w:rPr>
          <w:rFonts w:hint="eastAsia" w:ascii="仿宋_GB2312" w:eastAsia="仿宋_GB2312"/>
          <w:color w:val="auto"/>
          <w:sz w:val="28"/>
          <w:szCs w:val="28"/>
          <w:highlight w:val="none"/>
          <w:u w:val="none"/>
        </w:rPr>
        <w:t xml:space="preserve">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eastAsia="zh-CN"/>
        </w:rPr>
        <w:t>标段一</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lang w:eastAsia="zh-CN"/>
        </w:rPr>
        <w:t>沥滘分公司固定式气体检测仪及多通道控制器购置</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lang w:eastAsia="zh-CN"/>
        </w:rPr>
        <w:t>健康城分公司固定式气体检测仪购置</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lang w:eastAsia="zh-CN"/>
        </w:rPr>
        <w:t>标段二</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lang w:eastAsia="zh-CN"/>
        </w:rPr>
        <w:t>江高分公司固定式气体检测仪及控制器购置、设备铺设安装、信号传输至中控室统一管理。</w:t>
      </w:r>
      <w:r>
        <w:rPr>
          <w:rFonts w:hint="eastAsia" w:ascii="仿宋_GB2312" w:hAnsi="Times New Roman" w:cs="宋体"/>
          <w:b w:val="0"/>
          <w:bCs w:val="0"/>
          <w:color w:val="auto"/>
          <w:sz w:val="28"/>
          <w:szCs w:val="28"/>
          <w:highlight w:val="none"/>
          <w:u w:val="single"/>
          <w:lang w:val="en-US"/>
        </w:rPr>
        <w:t>本项目共分</w:t>
      </w:r>
      <w:r>
        <w:rPr>
          <w:rFonts w:hint="eastAsia" w:ascii="仿宋_GB2312" w:hAnsi="Times New Roman" w:cs="宋体"/>
          <w:b w:val="0"/>
          <w:bCs w:val="0"/>
          <w:color w:val="auto"/>
          <w:sz w:val="28"/>
          <w:szCs w:val="28"/>
          <w:highlight w:val="none"/>
          <w:u w:val="single"/>
          <w:lang w:val="en-US" w:eastAsia="zh-CN"/>
        </w:rPr>
        <w:t>2</w:t>
      </w:r>
      <w:r>
        <w:rPr>
          <w:rFonts w:hint="eastAsia" w:ascii="仿宋_GB2312" w:hAnsi="Times New Roman" w:cs="宋体"/>
          <w:b w:val="0"/>
          <w:bCs w:val="0"/>
          <w:color w:val="auto"/>
          <w:sz w:val="28"/>
          <w:szCs w:val="28"/>
          <w:highlight w:val="none"/>
          <w:u w:val="single"/>
          <w:lang w:val="en-US"/>
        </w:rPr>
        <w:t>个</w:t>
      </w:r>
      <w:r>
        <w:rPr>
          <w:rFonts w:hint="eastAsia" w:ascii="仿宋_GB2312" w:hAnsi="Times New Roman" w:cs="宋体"/>
          <w:b w:val="0"/>
          <w:bCs w:val="0"/>
          <w:color w:val="auto"/>
          <w:sz w:val="28"/>
          <w:szCs w:val="28"/>
          <w:highlight w:val="none"/>
          <w:u w:val="single"/>
          <w:lang w:val="en-US" w:eastAsia="zh-CN"/>
        </w:rPr>
        <w:t>标段</w:t>
      </w:r>
      <w:r>
        <w:rPr>
          <w:rFonts w:hint="eastAsia" w:ascii="仿宋_GB2312" w:hAnsi="Times New Roman" w:cs="宋体"/>
          <w:b w:val="0"/>
          <w:bCs w:val="0"/>
          <w:color w:val="auto"/>
          <w:sz w:val="28"/>
          <w:szCs w:val="28"/>
          <w:highlight w:val="none"/>
          <w:u w:val="single"/>
          <w:lang w:val="en-US"/>
        </w:rPr>
        <w:t>，供应商可对一个或</w:t>
      </w:r>
      <w:r>
        <w:rPr>
          <w:rFonts w:hint="eastAsia" w:ascii="仿宋_GB2312" w:hAnsi="Times New Roman" w:cs="宋体"/>
          <w:b w:val="0"/>
          <w:bCs w:val="0"/>
          <w:color w:val="auto"/>
          <w:sz w:val="28"/>
          <w:szCs w:val="28"/>
          <w:highlight w:val="none"/>
          <w:u w:val="single"/>
          <w:lang w:val="en-US" w:eastAsia="zh-CN"/>
        </w:rPr>
        <w:t>两</w:t>
      </w:r>
      <w:r>
        <w:rPr>
          <w:rFonts w:hint="eastAsia" w:ascii="仿宋_GB2312" w:hAnsi="Times New Roman" w:cs="宋体"/>
          <w:b w:val="0"/>
          <w:bCs w:val="0"/>
          <w:color w:val="auto"/>
          <w:sz w:val="28"/>
          <w:szCs w:val="28"/>
          <w:highlight w:val="none"/>
          <w:u w:val="single"/>
          <w:lang w:val="en-US"/>
        </w:rPr>
        <w:t>个</w:t>
      </w:r>
      <w:r>
        <w:rPr>
          <w:rFonts w:hint="eastAsia" w:ascii="仿宋_GB2312" w:hAnsi="Times New Roman" w:cs="宋体"/>
          <w:b w:val="0"/>
          <w:bCs w:val="0"/>
          <w:color w:val="auto"/>
          <w:sz w:val="28"/>
          <w:szCs w:val="28"/>
          <w:highlight w:val="none"/>
          <w:u w:val="single"/>
          <w:lang w:val="en-US" w:eastAsia="zh-CN"/>
        </w:rPr>
        <w:t>标段</w:t>
      </w:r>
      <w:r>
        <w:rPr>
          <w:rFonts w:hint="eastAsia" w:ascii="仿宋_GB2312" w:hAnsi="Times New Roman" w:cs="宋体"/>
          <w:b w:val="0"/>
          <w:bCs w:val="0"/>
          <w:color w:val="auto"/>
          <w:sz w:val="28"/>
          <w:szCs w:val="28"/>
          <w:highlight w:val="none"/>
          <w:u w:val="single"/>
          <w:lang w:val="en-US"/>
        </w:rPr>
        <w:t>进行响应，可兼投兼中</w:t>
      </w:r>
      <w:r>
        <w:rPr>
          <w:rFonts w:hint="eastAsia" w:ascii="仿宋_GB2312" w:hAnsi="Times New Roman" w:cs="宋体"/>
          <w:b w:val="0"/>
          <w:bCs w:val="0"/>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2.1采购内容和范围：</w:t>
      </w:r>
      <w:r>
        <w:rPr>
          <w:rFonts w:hint="eastAsia" w:ascii="仿宋_GB2312" w:eastAsia="仿宋_GB2312"/>
          <w:color w:val="auto"/>
          <w:sz w:val="28"/>
          <w:szCs w:val="28"/>
          <w:highlight w:val="none"/>
          <w:u w:val="single"/>
          <w:lang w:eastAsia="zh-CN"/>
        </w:rPr>
        <w:t>标段一，沥滘分公司固定式气体检测仪及多通道控制器购置</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lang w:eastAsia="zh-CN"/>
        </w:rPr>
        <w:t>健康城分公司固定式气体检测仪购置；标段二</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lang w:eastAsia="zh-CN"/>
        </w:rPr>
        <w:t>江高分公司固定式气体检测仪及控制器购置、设备铺设安装、信号传输至中控室统一管理。</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2.2项目工期：</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 xml:space="preserve">计划工期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交货期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服务期为</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eastAsia="zh-CN"/>
        </w:rPr>
        <w:t>标段一交货期为</w:t>
      </w:r>
      <w:r>
        <w:rPr>
          <w:rFonts w:hint="eastAsia" w:ascii="仿宋_GB2312" w:eastAsia="仿宋_GB2312"/>
          <w:color w:val="auto"/>
          <w:sz w:val="28"/>
          <w:szCs w:val="28"/>
          <w:highlight w:val="none"/>
          <w:u w:val="single"/>
          <w:lang w:val="en-US" w:eastAsia="zh-CN"/>
        </w:rPr>
        <w:t>30个日，标段二交货期为60日。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 xml:space="preserve">建设地点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交货地点  □服务地点位于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eastAsia="zh-CN"/>
        </w:rPr>
        <w:t>标段一，沥滘分公司地址是广州市海珠区南洲路1375号</w:t>
      </w:r>
      <w:r>
        <w:rPr>
          <w:rFonts w:hint="eastAsia" w:ascii="仿宋_GB2312" w:eastAsia="仿宋_GB2312"/>
          <w:color w:val="auto"/>
          <w:sz w:val="28"/>
          <w:szCs w:val="28"/>
          <w:highlight w:val="none"/>
          <w:u w:val="single"/>
          <w:lang w:val="en-US" w:eastAsia="zh-CN"/>
        </w:rPr>
        <w:t>，健康城分公司地址是广州市白云区钟落潭镇广陈路568号；标段二，江高分公司地址是广州市白云区江高镇南贤路1号。</w:t>
      </w:r>
      <w:r>
        <w:rPr>
          <w:rFonts w:hint="eastAsia" w:ascii="仿宋_GB2312" w:eastAsia="仿宋_GB2312"/>
          <w:color w:val="auto"/>
          <w:sz w:val="28"/>
          <w:szCs w:val="28"/>
          <w:highlight w:val="none"/>
          <w:u w:val="single"/>
        </w:rPr>
        <w:t xml:space="preserve">                      </w:t>
      </w:r>
    </w:p>
    <w:p>
      <w:pPr>
        <w:adjustRightInd w:val="0"/>
        <w:snapToGrid w:val="0"/>
        <w:spacing w:line="600" w:lineRule="exact"/>
        <w:ind w:left="420" w:right="-370" w:rightChars="-176" w:hanging="420" w:hangingChars="150"/>
        <w:jc w:val="left"/>
        <w:rPr>
          <w:rFonts w:hint="eastAsia" w:ascii="仿宋_GB2312" w:hAnsi="仿宋_GB2312" w:eastAsia="仿宋_GB2312" w:cs="仿宋_GB2312"/>
          <w:color w:val="auto"/>
          <w:sz w:val="28"/>
          <w:szCs w:val="28"/>
          <w:highlight w:val="none"/>
          <w:u w:val="single"/>
          <w:lang w:eastAsia="zh-CN"/>
        </w:rPr>
      </w:pPr>
      <w:r>
        <w:rPr>
          <w:rFonts w:hint="eastAsia" w:ascii="仿宋_GB2312" w:eastAsia="仿宋_GB2312"/>
          <w:color w:val="auto"/>
          <w:sz w:val="28"/>
          <w:szCs w:val="28"/>
          <w:highlight w:val="none"/>
        </w:rPr>
        <w:t xml:space="preserve">2.4质量要求：□施工质量要求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货物质量标准或主要技术性能指标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服务质量要求或服务标准如下：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eastAsia="zh-CN"/>
        </w:rPr>
        <w:t>标段一，报价方</w:t>
      </w:r>
      <w:r>
        <w:rPr>
          <w:rFonts w:hint="eastAsia" w:ascii="仿宋_GB2312" w:hAnsi="仿宋_GB2312" w:eastAsia="仿宋_GB2312" w:cs="仿宋_GB2312"/>
          <w:color w:val="auto"/>
          <w:sz w:val="28"/>
          <w:szCs w:val="28"/>
          <w:highlight w:val="none"/>
          <w:u w:val="single"/>
        </w:rPr>
        <w:t>所提供的货物及配件是全新合格产品，应符合国家标准及相关认证，并提供</w:t>
      </w:r>
      <w:r>
        <w:rPr>
          <w:rFonts w:hint="eastAsia" w:ascii="仿宋_GB2312" w:hAnsi="仿宋_GB2312" w:eastAsia="仿宋_GB2312" w:cs="仿宋_GB2312"/>
          <w:color w:val="auto"/>
          <w:sz w:val="28"/>
          <w:szCs w:val="28"/>
          <w:highlight w:val="none"/>
          <w:u w:val="single"/>
          <w:lang w:eastAsia="zh-CN"/>
        </w:rPr>
        <w:t>第三方检测机构的产品检测合格报告。</w:t>
      </w:r>
    </w:p>
    <w:p>
      <w:pPr>
        <w:adjustRightInd w:val="0"/>
        <w:snapToGrid w:val="0"/>
        <w:spacing w:line="600" w:lineRule="exact"/>
        <w:ind w:left="0" w:leftChars="0" w:right="-370" w:rightChars="-176" w:firstLine="560" w:firstLineChars="200"/>
        <w:jc w:val="left"/>
        <w:rPr>
          <w:rFonts w:ascii="仿宋_GB2312" w:eastAsia="仿宋_GB2312"/>
          <w:color w:val="auto"/>
          <w:sz w:val="28"/>
          <w:szCs w:val="28"/>
          <w:highlight w:val="none"/>
        </w:rPr>
      </w:pPr>
      <w:r>
        <w:rPr>
          <w:rFonts w:hint="eastAsia" w:ascii="仿宋_GB2312" w:hAnsi="仿宋_GB2312" w:eastAsia="仿宋_GB2312" w:cs="仿宋_GB2312"/>
          <w:color w:val="auto"/>
          <w:sz w:val="28"/>
          <w:szCs w:val="28"/>
          <w:highlight w:val="none"/>
          <w:u w:val="single"/>
          <w:lang w:eastAsia="zh-CN"/>
        </w:rPr>
        <w:t>标段二，</w:t>
      </w:r>
      <w:r>
        <w:rPr>
          <w:rFonts w:hint="eastAsia" w:ascii="仿宋_GB2312" w:eastAsia="仿宋_GB2312"/>
          <w:color w:val="auto"/>
          <w:sz w:val="28"/>
          <w:szCs w:val="28"/>
          <w:highlight w:val="none"/>
          <w:u w:val="single"/>
          <w:lang w:eastAsia="zh-CN"/>
        </w:rPr>
        <w:t>报价方</w:t>
      </w:r>
      <w:r>
        <w:rPr>
          <w:rFonts w:hint="eastAsia" w:ascii="仿宋_GB2312" w:hAnsi="仿宋_GB2312" w:eastAsia="仿宋_GB2312" w:cs="仿宋_GB2312"/>
          <w:color w:val="auto"/>
          <w:sz w:val="28"/>
          <w:szCs w:val="28"/>
          <w:highlight w:val="none"/>
          <w:u w:val="single"/>
        </w:rPr>
        <w:t>所提供的货物及配件是全新合格产品，应符合国家标准及相关认证，并提供</w:t>
      </w:r>
      <w:r>
        <w:rPr>
          <w:rFonts w:hint="eastAsia" w:ascii="仿宋_GB2312" w:hAnsi="仿宋_GB2312" w:eastAsia="仿宋_GB2312" w:cs="仿宋_GB2312"/>
          <w:color w:val="auto"/>
          <w:sz w:val="28"/>
          <w:szCs w:val="28"/>
          <w:highlight w:val="none"/>
          <w:u w:val="single"/>
          <w:lang w:eastAsia="zh-CN"/>
        </w:rPr>
        <w:t>第三方检测机构的产品检测合格报告；现场固定式气体检测仪及多通道检测仪按我方检测仪器布点要求及按气体检测高度合理铺设安装，检测数据信号、报警信号上传到分公司中控室统一管理。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供应商应当具备</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资质。</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single"/>
          <w:lang w:val="en-US" w:eastAsia="zh-CN"/>
        </w:rPr>
        <w:t xml:space="preserve"> 2019  </w:t>
      </w:r>
      <w:r>
        <w:rPr>
          <w:rFonts w:hint="eastAsia" w:ascii="仿宋_GB2312" w:eastAsia="仿宋_GB2312"/>
          <w:color w:val="auto"/>
          <w:sz w:val="28"/>
          <w:szCs w:val="28"/>
          <w:highlight w:val="none"/>
          <w:lang w:val="en-US" w:eastAsia="zh-CN"/>
        </w:rPr>
        <w:t>年1月1日至今，</w:t>
      </w:r>
      <w:r>
        <w:rPr>
          <w:rFonts w:hint="eastAsia" w:ascii="仿宋_GB2312" w:eastAsia="仿宋_GB2312"/>
          <w:color w:val="auto"/>
          <w:sz w:val="28"/>
          <w:szCs w:val="28"/>
          <w:highlight w:val="none"/>
        </w:rPr>
        <w:t>供应商</w:t>
      </w:r>
      <w:r>
        <w:rPr>
          <w:rFonts w:hint="eastAsia" w:ascii="仿宋_GB2312" w:eastAsia="仿宋_GB2312"/>
          <w:color w:val="auto"/>
          <w:sz w:val="28"/>
          <w:szCs w:val="28"/>
          <w:highlight w:val="none"/>
          <w:lang w:val="en-US" w:eastAsia="zh-CN"/>
        </w:rPr>
        <w:t>最少</w:t>
      </w:r>
      <w:r>
        <w:rPr>
          <w:rFonts w:hint="eastAsia" w:ascii="仿宋_GB2312" w:eastAsia="仿宋_GB2312"/>
          <w:color w:val="auto"/>
          <w:sz w:val="28"/>
          <w:szCs w:val="28"/>
          <w:highlight w:val="none"/>
        </w:rPr>
        <w:t>具有</w:t>
      </w:r>
      <w:r>
        <w:rPr>
          <w:rFonts w:hint="eastAsia" w:ascii="仿宋_GB2312" w:eastAsia="仿宋_GB2312"/>
          <w:color w:val="auto"/>
          <w:sz w:val="28"/>
          <w:szCs w:val="28"/>
          <w:highlight w:val="none"/>
          <w:lang w:val="en-US" w:eastAsia="zh-CN"/>
        </w:rPr>
        <w:t>一项</w:t>
      </w:r>
      <w:r>
        <w:rPr>
          <w:rFonts w:hint="eastAsia" w:ascii="仿宋_GB2312" w:eastAsia="仿宋_GB2312"/>
          <w:color w:val="auto"/>
          <w:sz w:val="28"/>
          <w:szCs w:val="28"/>
          <w:highlight w:val="none"/>
          <w:u w:val="single"/>
          <w:lang w:val="en-US" w:eastAsia="zh-CN"/>
        </w:rPr>
        <w:t xml:space="preserve"> 固定式气体检测仪销售或安装（调试）     </w:t>
      </w:r>
      <w:r>
        <w:rPr>
          <w:rFonts w:hint="eastAsia" w:ascii="仿宋_GB2312" w:eastAsia="仿宋_GB2312"/>
          <w:color w:val="auto"/>
          <w:sz w:val="28"/>
          <w:szCs w:val="28"/>
          <w:highlight w:val="none"/>
        </w:rPr>
        <w:t>项目的业绩（提供合同复印件证明，包括但不限于项目名称、金额及实施内容、合同盖章、签订日期，加盖单位公章）</w:t>
      </w:r>
      <w:r>
        <w:rPr>
          <w:rFonts w:hint="eastAsia" w:ascii="仿宋_GB2312" w:eastAsia="仿宋_GB2312"/>
          <w:color w:val="auto"/>
          <w:sz w:val="28"/>
          <w:szCs w:val="28"/>
          <w:highlight w:val="none"/>
          <w:lang w:eastAsia="zh-CN"/>
        </w:rPr>
        <w:t>。</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）项目负责人应当具备</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资格条件。</w:t>
      </w:r>
    </w:p>
    <w:p>
      <w:pPr>
        <w:pStyle w:val="2"/>
        <w:adjustRightInd w:val="0"/>
        <w:snapToGrid w:val="0"/>
        <w:spacing w:line="600" w:lineRule="exact"/>
        <w:ind w:firstLine="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）其他要求：</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（2）与本项目其他供应商存在控股关系。</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（3）与本项目其他供应商存在管理关系。</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（4）被本项目所在地省级以上行业主管部门依法暂停、取消投标或禁止参加采购活动且处于有效期内的。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（5）处于被责令停产停业、暂扣或者吊销执照、暂扣或者吊销许可证、吊销资质证书状态。</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（6）进入清算程序，或被宣告破产，或其他丧失履约能力情形的。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（7）近三年内因发生质量或安全生产事故等受到行政处罚且在处罚期内的。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（8）被最高人民法院在</w:t>
      </w:r>
      <w:r>
        <w:rPr>
          <w:rFonts w:ascii="仿宋_GB2312" w:eastAsia="仿宋_GB2312"/>
          <w:color w:val="auto"/>
          <w:sz w:val="28"/>
          <w:szCs w:val="28"/>
          <w:highlight w:val="none"/>
        </w:rPr>
        <w:t>“</w:t>
      </w:r>
      <w:r>
        <w:rPr>
          <w:rFonts w:hint="eastAsia" w:ascii="仿宋_GB2312" w:eastAsia="仿宋_GB2312"/>
          <w:color w:val="auto"/>
          <w:sz w:val="28"/>
          <w:szCs w:val="28"/>
          <w:highlight w:val="none"/>
        </w:rPr>
        <w:t>信用中国</w:t>
      </w:r>
      <w:r>
        <w:rPr>
          <w:rFonts w:ascii="仿宋_GB2312" w:eastAsia="仿宋_GB2312"/>
          <w:color w:val="auto"/>
          <w:sz w:val="28"/>
          <w:szCs w:val="28"/>
          <w:highlight w:val="none"/>
        </w:rPr>
        <w:t>”</w:t>
      </w:r>
      <w:r>
        <w:rPr>
          <w:rFonts w:hint="eastAsia" w:ascii="仿宋_GB2312" w:eastAsia="仿宋_GB2312"/>
          <w:color w:val="auto"/>
          <w:sz w:val="28"/>
          <w:szCs w:val="28"/>
          <w:highlight w:val="none"/>
        </w:rPr>
        <w:t>网站（www.creditchina.gov.cn）或各级信用信息共享平台中列入失信被执行人名单。</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（10）被纳入本项目采购人（包括市水投集团及相关所属企业）书面限制参与采购活动且处于有效期内的。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（11）其他违法违纪行为，经审查认为不宜被邀请参加采购活动的。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（12）其他禁止情形：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non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27</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2"/>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color w:val="auto"/>
          <w:sz w:val="28"/>
          <w:szCs w:val="28"/>
          <w:highlight w:val="none"/>
          <w:lang w:eastAsia="zh-CN"/>
        </w:rPr>
        <w:t>标段一</w:t>
      </w:r>
      <w:r>
        <w:rPr>
          <w:rFonts w:hint="eastAsia" w:ascii="仿宋_GB2312" w:eastAsia="仿宋_GB2312"/>
          <w:color w:val="auto"/>
          <w:sz w:val="28"/>
          <w:szCs w:val="28"/>
          <w:highlight w:val="none"/>
        </w:rPr>
        <w:t>不组织</w:t>
      </w:r>
    </w:p>
    <w:p>
      <w:pPr>
        <w:adjustRightInd w:val="0"/>
        <w:snapToGrid w:val="0"/>
        <w:spacing w:line="360" w:lineRule="auto"/>
        <w:rPr>
          <w:rFonts w:hint="eastAsia" w:ascii="仿宋_GB2312" w:hAnsi="仿宋" w:eastAsia="仿宋_GB2312" w:cs="仿宋_GB2312"/>
          <w:color w:val="auto"/>
          <w:sz w:val="28"/>
          <w:szCs w:val="28"/>
          <w:highlight w:val="none"/>
          <w:lang w:val="zh-CN"/>
        </w:rPr>
      </w:pPr>
      <w:r>
        <w:rPr>
          <w:rFonts w:hint="eastAsia" w:ascii="仿宋_GB2312" w:eastAsia="仿宋_GB2312" w:hAnsiTheme="minorHAnsi"/>
          <w:color w:val="auto"/>
          <w:sz w:val="28"/>
          <w:szCs w:val="28"/>
          <w:highlight w:val="none"/>
        </w:rPr>
        <w:sym w:font="Wingdings 2" w:char="0052"/>
      </w:r>
      <w:r>
        <w:rPr>
          <w:rFonts w:hint="eastAsia" w:ascii="仿宋_GB2312" w:eastAsia="仿宋_GB2312"/>
          <w:color w:val="auto"/>
          <w:sz w:val="28"/>
          <w:szCs w:val="28"/>
          <w:highlight w:val="none"/>
          <w:lang w:eastAsia="zh-CN"/>
        </w:rPr>
        <w:t>标段二</w:t>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hAnsi="仿宋" w:eastAsia="仿宋_GB2312" w:cs="仿宋_GB2312"/>
          <w:color w:val="auto"/>
          <w:sz w:val="28"/>
          <w:szCs w:val="28"/>
          <w:highlight w:val="none"/>
          <w:lang w:val="en-US" w:eastAsia="zh-CN"/>
        </w:rPr>
        <w:t>供应商可</w:t>
      </w:r>
      <w:r>
        <w:rPr>
          <w:rFonts w:hint="eastAsia" w:ascii="仿宋_GB2312" w:hAnsi="仿宋" w:eastAsia="仿宋_GB2312" w:cs="仿宋_GB2312"/>
          <w:color w:val="auto"/>
          <w:sz w:val="28"/>
          <w:szCs w:val="28"/>
          <w:highlight w:val="none"/>
          <w:lang w:val="zh-CN"/>
        </w:rPr>
        <w:t>自行</w:t>
      </w:r>
      <w:r>
        <w:rPr>
          <w:rFonts w:hint="eastAsia" w:ascii="仿宋_GB2312" w:hAnsi="仿宋" w:eastAsia="仿宋_GB2312" w:cs="仿宋_GB2312"/>
          <w:color w:val="auto"/>
          <w:sz w:val="28"/>
          <w:szCs w:val="28"/>
          <w:highlight w:val="none"/>
          <w:lang w:val="en-US" w:eastAsia="zh-CN"/>
        </w:rPr>
        <w:t>选择是否前往现场踏勘</w:t>
      </w:r>
      <w:r>
        <w:rPr>
          <w:rFonts w:hint="eastAsia" w:ascii="仿宋_GB2312" w:hAnsi="仿宋" w:eastAsia="仿宋_GB2312" w:cs="仿宋_GB2312"/>
          <w:color w:val="auto"/>
          <w:sz w:val="28"/>
          <w:szCs w:val="28"/>
          <w:highlight w:val="none"/>
          <w:lang w:val="zh-CN"/>
        </w:rPr>
        <w:t>，</w:t>
      </w:r>
      <w:r>
        <w:rPr>
          <w:rFonts w:hint="eastAsia" w:ascii="仿宋_GB2312" w:hAnsi="仿宋" w:eastAsia="仿宋_GB2312" w:cs="仿宋_GB2312"/>
          <w:color w:val="auto"/>
          <w:sz w:val="28"/>
          <w:szCs w:val="28"/>
          <w:highlight w:val="none"/>
          <w:lang w:val="en-US" w:eastAsia="zh-CN"/>
        </w:rPr>
        <w:t>若前往现场踏勘须在规定时间内到达集中地点，逾期不再接待</w:t>
      </w:r>
      <w:r>
        <w:rPr>
          <w:rFonts w:hint="eastAsia" w:ascii="仿宋_GB2312" w:hAnsi="仿宋" w:eastAsia="仿宋_GB2312" w:cs="仿宋_GB2312"/>
          <w:color w:val="auto"/>
          <w:sz w:val="28"/>
          <w:szCs w:val="28"/>
          <w:highlight w:val="none"/>
          <w:lang w:val="zh-CN"/>
        </w:rPr>
        <w:t>。</w:t>
      </w:r>
    </w:p>
    <w:p>
      <w:pPr>
        <w:spacing w:line="540" w:lineRule="exact"/>
        <w:ind w:firstLine="560" w:firstLineChars="200"/>
        <w:rPr>
          <w:rFonts w:hint="eastAsia" w:ascii="仿宋_GB2312" w:eastAsia="仿宋_GB2312" w:hAnsiTheme="minorHAnsi" w:cstheme="minorBidi"/>
          <w:color w:val="auto"/>
          <w:sz w:val="28"/>
          <w:szCs w:val="28"/>
          <w:highlight w:val="none"/>
        </w:rPr>
      </w:pPr>
      <w:r>
        <w:rPr>
          <w:rFonts w:hint="eastAsia" w:ascii="仿宋_GB2312" w:eastAsia="仿宋_GB2312"/>
          <w:color w:val="auto"/>
          <w:sz w:val="28"/>
          <w:szCs w:val="28"/>
          <w:highlight w:val="none"/>
          <w:lang w:val="en-US" w:eastAsia="zh-CN"/>
        </w:rPr>
        <w:t>防疫要求：基于疫情防控形势，授权委托人须通过“广州净水公司”微信公众号当天（提前）预约，填写访客预约信息。1、</w:t>
      </w:r>
      <w:r>
        <w:rPr>
          <w:rFonts w:hint="eastAsia" w:ascii="仿宋_GB2312" w:eastAsia="仿宋_GB2312" w:hAnsiTheme="minorHAnsi" w:cstheme="minorBidi"/>
          <w:color w:val="auto"/>
          <w:sz w:val="28"/>
          <w:szCs w:val="28"/>
          <w:highlight w:val="none"/>
        </w:rPr>
        <w:t>近</w:t>
      </w:r>
      <w:r>
        <w:rPr>
          <w:rFonts w:hint="eastAsia" w:ascii="仿宋_GB2312" w:eastAsia="仿宋_GB2312" w:hAnsiTheme="minorHAnsi" w:cstheme="minorBidi"/>
          <w:color w:val="auto"/>
          <w:sz w:val="28"/>
          <w:szCs w:val="28"/>
          <w:highlight w:val="none"/>
          <w:lang w:val="en-US" w:eastAsia="zh-CN"/>
        </w:rPr>
        <w:t>10</w:t>
      </w:r>
      <w:r>
        <w:rPr>
          <w:rFonts w:hint="eastAsia" w:ascii="仿宋_GB2312" w:eastAsia="仿宋_GB2312" w:hAnsiTheme="minorHAnsi" w:cstheme="minorBidi"/>
          <w:color w:val="auto"/>
          <w:sz w:val="28"/>
          <w:szCs w:val="28"/>
          <w:highlight w:val="none"/>
        </w:rPr>
        <w:t>天内</w:t>
      </w:r>
      <w:r>
        <w:rPr>
          <w:rFonts w:hint="eastAsia" w:ascii="仿宋_GB2312" w:eastAsia="仿宋_GB2312" w:hAnsiTheme="minorHAnsi" w:cstheme="minorBidi"/>
          <w:color w:val="auto"/>
          <w:sz w:val="28"/>
          <w:szCs w:val="28"/>
          <w:highlight w:val="none"/>
          <w:lang w:val="en-US" w:eastAsia="zh-CN"/>
        </w:rPr>
        <w:t>有境外旅居史的来（返）穗（澳门除外）人员</w:t>
      </w:r>
      <w:r>
        <w:rPr>
          <w:rFonts w:hint="eastAsia" w:ascii="仿宋_GB2312" w:eastAsia="仿宋_GB2312" w:hAnsiTheme="minorHAnsi" w:cstheme="minorBidi"/>
          <w:bCs w:val="0"/>
          <w:color w:val="auto"/>
          <w:sz w:val="28"/>
          <w:szCs w:val="28"/>
          <w:highlight w:val="none"/>
        </w:rPr>
        <w:t>拒绝来访。</w:t>
      </w:r>
      <w:r>
        <w:rPr>
          <w:rFonts w:hint="eastAsia" w:ascii="仿宋_GB2312" w:eastAsia="仿宋_GB2312" w:hAnsiTheme="minorHAnsi" w:cstheme="minorBidi"/>
          <w:bCs w:val="0"/>
          <w:color w:val="auto"/>
          <w:sz w:val="28"/>
          <w:szCs w:val="28"/>
          <w:highlight w:val="none"/>
          <w:lang w:val="en-US" w:eastAsia="zh-CN"/>
        </w:rPr>
        <w:t>2、</w:t>
      </w:r>
      <w:r>
        <w:rPr>
          <w:rFonts w:hint="eastAsia" w:ascii="仿宋_GB2312" w:eastAsia="仿宋_GB2312" w:hAnsiTheme="minorHAnsi" w:cstheme="minorBidi"/>
          <w:bCs w:val="0"/>
          <w:color w:val="auto"/>
          <w:sz w:val="28"/>
          <w:szCs w:val="28"/>
          <w:highlight w:val="none"/>
        </w:rPr>
        <w:t>近</w:t>
      </w:r>
      <w:r>
        <w:rPr>
          <w:rFonts w:hint="eastAsia" w:ascii="仿宋_GB2312" w:eastAsia="仿宋_GB2312" w:hAnsiTheme="minorHAnsi" w:cstheme="minorBidi"/>
          <w:bCs w:val="0"/>
          <w:color w:val="auto"/>
          <w:sz w:val="28"/>
          <w:szCs w:val="28"/>
          <w:highlight w:val="none"/>
          <w:lang w:val="en-US" w:eastAsia="zh-CN"/>
        </w:rPr>
        <w:t>7</w:t>
      </w:r>
      <w:r>
        <w:rPr>
          <w:rFonts w:hint="eastAsia" w:ascii="仿宋_GB2312" w:eastAsia="仿宋_GB2312" w:hAnsiTheme="minorHAnsi" w:cstheme="minorBidi"/>
          <w:bCs w:val="0"/>
          <w:color w:val="auto"/>
          <w:sz w:val="28"/>
          <w:szCs w:val="28"/>
          <w:highlight w:val="none"/>
        </w:rPr>
        <w:t>天</w:t>
      </w:r>
      <w:r>
        <w:rPr>
          <w:rFonts w:hint="eastAsia" w:ascii="仿宋_GB2312" w:eastAsia="仿宋_GB2312" w:hAnsiTheme="minorHAnsi" w:cstheme="minorBidi"/>
          <w:bCs w:val="0"/>
          <w:color w:val="auto"/>
          <w:sz w:val="28"/>
          <w:szCs w:val="28"/>
          <w:highlight w:val="none"/>
          <w:lang w:val="en-US" w:eastAsia="zh-CN"/>
        </w:rPr>
        <w:t>内</w:t>
      </w:r>
      <w:r>
        <w:rPr>
          <w:rFonts w:hint="eastAsia" w:ascii="仿宋_GB2312" w:eastAsia="仿宋_GB2312" w:hAnsiTheme="minorHAnsi" w:cstheme="minorBidi"/>
          <w:bCs w:val="0"/>
          <w:color w:val="auto"/>
          <w:sz w:val="28"/>
          <w:szCs w:val="28"/>
          <w:highlight w:val="none"/>
        </w:rPr>
        <w:t>行程有</w:t>
      </w:r>
      <w:r>
        <w:rPr>
          <w:rFonts w:hint="eastAsia" w:ascii="仿宋_GB2312" w:eastAsia="仿宋_GB2312" w:hAnsiTheme="minorHAnsi" w:cstheme="minorBidi"/>
          <w:bCs w:val="0"/>
          <w:color w:val="auto"/>
          <w:sz w:val="28"/>
          <w:szCs w:val="28"/>
          <w:highlight w:val="none"/>
          <w:shd w:val="clear"/>
          <w:lang w:val="en-US" w:eastAsia="zh-CN"/>
        </w:rPr>
        <w:t>澳门</w:t>
      </w:r>
      <w:r>
        <w:rPr>
          <w:rFonts w:hint="eastAsia" w:ascii="仿宋_GB2312" w:eastAsia="仿宋_GB2312" w:hAnsiTheme="minorHAnsi" w:cstheme="minorBidi"/>
          <w:color w:val="auto"/>
          <w:sz w:val="28"/>
          <w:szCs w:val="28"/>
          <w:highlight w:val="none"/>
        </w:rPr>
        <w:t>旅居史的来（返）穗人员</w:t>
      </w:r>
      <w:r>
        <w:rPr>
          <w:rFonts w:hint="eastAsia" w:ascii="仿宋_GB2312" w:eastAsia="仿宋_GB2312" w:hAnsiTheme="minorHAnsi" w:cstheme="minorBidi"/>
          <w:color w:val="auto"/>
          <w:sz w:val="28"/>
          <w:szCs w:val="28"/>
          <w:highlight w:val="none"/>
          <w:lang w:eastAsia="zh-CN"/>
        </w:rPr>
        <w:t>应持有</w:t>
      </w:r>
      <w:r>
        <w:rPr>
          <w:rFonts w:hint="eastAsia" w:ascii="仿宋_GB2312" w:eastAsia="仿宋_GB2312" w:hAnsiTheme="minorHAnsi" w:cstheme="minorBidi"/>
          <w:color w:val="auto"/>
          <w:sz w:val="28"/>
          <w:szCs w:val="28"/>
          <w:highlight w:val="none"/>
          <w:u w:val="none"/>
          <w:lang w:val="en-US" w:eastAsia="zh-CN"/>
        </w:rPr>
        <w:t>抵穗后</w:t>
      </w:r>
      <w:r>
        <w:rPr>
          <w:rFonts w:hint="eastAsia" w:ascii="仿宋_GB2312" w:eastAsia="仿宋_GB2312" w:hAnsiTheme="minorHAnsi" w:cstheme="minorBidi"/>
          <w:color w:val="auto"/>
          <w:sz w:val="28"/>
          <w:szCs w:val="28"/>
          <w:highlight w:val="none"/>
          <w:u w:val="none"/>
          <w:lang w:eastAsia="zh-CN"/>
        </w:rPr>
        <w:t>来访前</w:t>
      </w:r>
      <w:r>
        <w:rPr>
          <w:rFonts w:hint="eastAsia" w:ascii="仿宋_GB2312" w:eastAsia="仿宋_GB2312" w:hAnsiTheme="minorHAnsi" w:cstheme="minorBidi"/>
          <w:color w:val="auto"/>
          <w:sz w:val="28"/>
          <w:szCs w:val="28"/>
          <w:highlight w:val="none"/>
          <w:lang w:eastAsia="zh-CN"/>
        </w:rPr>
        <w:t>的</w:t>
      </w:r>
      <w:r>
        <w:rPr>
          <w:rFonts w:hint="eastAsia" w:ascii="仿宋_GB2312" w:eastAsia="仿宋_GB2312" w:hAnsiTheme="minorHAnsi" w:cstheme="minorBidi"/>
          <w:b w:val="0"/>
          <w:bCs w:val="0"/>
          <w:color w:val="auto"/>
          <w:sz w:val="28"/>
          <w:szCs w:val="28"/>
          <w:highlight w:val="none"/>
          <w:lang w:val="en-US" w:eastAsia="zh-CN"/>
        </w:rPr>
        <w:t>三</w:t>
      </w:r>
      <w:r>
        <w:rPr>
          <w:rFonts w:hint="eastAsia" w:ascii="仿宋_GB2312" w:eastAsia="仿宋_GB2312" w:hAnsiTheme="minorHAnsi" w:cstheme="minorBidi"/>
          <w:color w:val="auto"/>
          <w:sz w:val="28"/>
          <w:szCs w:val="28"/>
          <w:highlight w:val="none"/>
          <w:lang w:val="en-US" w:eastAsia="zh-CN"/>
        </w:rPr>
        <w:t>次核酸检测阴性证明，即“三天三检”（每次至少间隔24小时），若澳门存在低中高风险地区或出入境往返途径城市（如珠海市等）存在低中高风</w:t>
      </w:r>
      <w:r>
        <w:rPr>
          <w:rFonts w:hint="eastAsia" w:ascii="仿宋_GB2312" w:eastAsia="仿宋_GB2312" w:hAnsiTheme="minorHAnsi" w:cstheme="minorBidi"/>
          <w:color w:val="auto"/>
          <w:sz w:val="28"/>
          <w:szCs w:val="28"/>
          <w:highlight w:val="none"/>
        </w:rPr>
        <w:t>险地区</w:t>
      </w:r>
      <w:r>
        <w:rPr>
          <w:rFonts w:hint="eastAsia" w:ascii="仿宋_GB2312" w:eastAsia="仿宋_GB2312" w:hAnsiTheme="minorHAnsi" w:cstheme="minorBidi"/>
          <w:color w:val="auto"/>
          <w:sz w:val="28"/>
          <w:szCs w:val="28"/>
          <w:highlight w:val="none"/>
          <w:lang w:eastAsia="zh-CN"/>
        </w:rPr>
        <w:t>，</w:t>
      </w:r>
      <w:r>
        <w:rPr>
          <w:rFonts w:hint="eastAsia" w:ascii="仿宋_GB2312" w:eastAsia="仿宋_GB2312" w:hAnsiTheme="minorHAnsi" w:cstheme="minorBidi"/>
          <w:color w:val="auto"/>
          <w:sz w:val="28"/>
          <w:szCs w:val="28"/>
          <w:highlight w:val="none"/>
          <w:lang w:val="en-US" w:eastAsia="zh-CN"/>
        </w:rPr>
        <w:t>来访则参照上述第1点执行。3、</w:t>
      </w:r>
      <w:r>
        <w:rPr>
          <w:rFonts w:hint="eastAsia" w:ascii="仿宋_GB2312" w:eastAsia="仿宋_GB2312" w:hAnsiTheme="minorHAnsi" w:cstheme="minorBidi"/>
          <w:color w:val="auto"/>
          <w:sz w:val="28"/>
          <w:szCs w:val="28"/>
          <w:highlight w:val="none"/>
        </w:rPr>
        <w:t>近</w:t>
      </w:r>
      <w:r>
        <w:rPr>
          <w:rFonts w:hint="eastAsia" w:ascii="仿宋_GB2312" w:eastAsia="仿宋_GB2312" w:hAnsiTheme="minorHAnsi" w:cstheme="minorBidi"/>
          <w:color w:val="auto"/>
          <w:sz w:val="28"/>
          <w:szCs w:val="28"/>
          <w:highlight w:val="none"/>
          <w:lang w:val="en-US" w:eastAsia="zh-CN"/>
        </w:rPr>
        <w:t>7</w:t>
      </w:r>
      <w:r>
        <w:rPr>
          <w:rFonts w:hint="eastAsia" w:ascii="仿宋_GB2312" w:eastAsia="仿宋_GB2312" w:hAnsiTheme="minorHAnsi" w:cstheme="minorBidi"/>
          <w:color w:val="auto"/>
          <w:sz w:val="28"/>
          <w:szCs w:val="28"/>
          <w:highlight w:val="none"/>
        </w:rPr>
        <w:t>天内行程有</w:t>
      </w:r>
      <w:r>
        <w:rPr>
          <w:rFonts w:hint="eastAsia" w:ascii="仿宋_GB2312" w:eastAsia="仿宋_GB2312" w:hAnsiTheme="minorHAnsi" w:cstheme="minorBidi"/>
          <w:color w:val="auto"/>
          <w:sz w:val="28"/>
          <w:szCs w:val="28"/>
          <w:highlight w:val="none"/>
          <w:u w:val="none"/>
        </w:rPr>
        <w:t>异地</w:t>
      </w:r>
      <w:r>
        <w:rPr>
          <w:rFonts w:hint="eastAsia" w:ascii="仿宋_GB2312" w:eastAsia="仿宋_GB2312" w:hAnsiTheme="minorHAnsi" w:cstheme="minorBidi"/>
          <w:color w:val="auto"/>
          <w:sz w:val="28"/>
          <w:szCs w:val="28"/>
          <w:highlight w:val="none"/>
          <w:u w:val="none"/>
          <w:lang w:val="en-US" w:eastAsia="zh-CN"/>
        </w:rPr>
        <w:t>低</w:t>
      </w:r>
      <w:r>
        <w:rPr>
          <w:rFonts w:hint="eastAsia" w:ascii="仿宋_GB2312" w:eastAsia="仿宋_GB2312" w:hAnsiTheme="minorHAnsi" w:cstheme="minorBidi"/>
          <w:color w:val="auto"/>
          <w:sz w:val="28"/>
          <w:szCs w:val="28"/>
          <w:highlight w:val="none"/>
        </w:rPr>
        <w:t>中高风险</w:t>
      </w:r>
      <w:r>
        <w:rPr>
          <w:rFonts w:hint="eastAsia" w:ascii="仿宋_GB2312" w:eastAsia="仿宋_GB2312" w:hAnsiTheme="minorHAnsi" w:cstheme="minorBidi"/>
          <w:color w:val="auto"/>
          <w:sz w:val="28"/>
          <w:szCs w:val="28"/>
          <w:highlight w:val="none"/>
          <w:lang w:val="en-US" w:eastAsia="zh-CN"/>
        </w:rPr>
        <w:t>地区</w:t>
      </w:r>
      <w:r>
        <w:rPr>
          <w:rFonts w:hint="eastAsia" w:ascii="仿宋_GB2312" w:eastAsia="仿宋_GB2312" w:hAnsiTheme="minorHAnsi" w:cstheme="minorBidi"/>
          <w:bCs w:val="0"/>
          <w:color w:val="auto"/>
          <w:sz w:val="28"/>
          <w:szCs w:val="28"/>
          <w:highlight w:val="none"/>
        </w:rPr>
        <w:t>及所在的县（市、区、旗）来（返）穗人员拒绝来访</w:t>
      </w:r>
      <w:r>
        <w:rPr>
          <w:rFonts w:hint="eastAsia" w:ascii="仿宋_GB2312" w:eastAsia="仿宋_GB2312" w:hAnsiTheme="minorHAnsi" w:cstheme="minorBidi"/>
          <w:bCs w:val="0"/>
          <w:color w:val="auto"/>
          <w:sz w:val="28"/>
          <w:szCs w:val="28"/>
          <w:highlight w:val="none"/>
          <w:lang w:eastAsia="zh-CN"/>
        </w:rPr>
        <w:t>；</w:t>
      </w:r>
      <w:r>
        <w:rPr>
          <w:rFonts w:hint="eastAsia" w:ascii="仿宋_GB2312" w:eastAsia="仿宋_GB2312" w:hAnsiTheme="minorHAnsi" w:cstheme="minorBidi"/>
          <w:bCs w:val="0"/>
          <w:color w:val="auto"/>
          <w:sz w:val="28"/>
          <w:szCs w:val="28"/>
          <w:highlight w:val="none"/>
        </w:rPr>
        <w:t>近7天内行程有</w:t>
      </w:r>
      <w:r>
        <w:rPr>
          <w:rFonts w:hint="eastAsia" w:ascii="仿宋_GB2312" w:eastAsia="仿宋_GB2312" w:hAnsiTheme="minorHAnsi" w:cstheme="minorBidi"/>
          <w:bCs w:val="0"/>
          <w:color w:val="auto"/>
          <w:sz w:val="28"/>
          <w:szCs w:val="28"/>
          <w:highlight w:val="none"/>
          <w:u w:val="none"/>
        </w:rPr>
        <w:t>异地</w:t>
      </w:r>
      <w:r>
        <w:rPr>
          <w:rFonts w:hint="eastAsia" w:ascii="仿宋_GB2312" w:eastAsia="仿宋_GB2312" w:hAnsiTheme="minorHAnsi" w:cstheme="minorBidi"/>
          <w:bCs w:val="0"/>
          <w:color w:val="auto"/>
          <w:sz w:val="28"/>
          <w:szCs w:val="28"/>
          <w:highlight w:val="none"/>
        </w:rPr>
        <w:t>本土疫情报告的县（市、区、旗）旅居史的来（返）穗人员拒绝来访。</w:t>
      </w:r>
      <w:r>
        <w:rPr>
          <w:rFonts w:hint="eastAsia" w:ascii="仿宋_GB2312" w:eastAsia="仿宋_GB2312" w:hAnsiTheme="minorHAnsi" w:cstheme="minorBidi"/>
          <w:bCs w:val="0"/>
          <w:color w:val="auto"/>
          <w:sz w:val="28"/>
          <w:szCs w:val="28"/>
          <w:highlight w:val="none"/>
          <w:lang w:val="en-US" w:eastAsia="zh-CN"/>
        </w:rPr>
        <w:t>4、</w:t>
      </w:r>
      <w:r>
        <w:rPr>
          <w:rFonts w:hint="eastAsia" w:ascii="仿宋_GB2312" w:eastAsia="仿宋_GB2312" w:hAnsiTheme="minorHAnsi" w:cstheme="minorBidi"/>
          <w:bCs w:val="0"/>
          <w:color w:val="auto"/>
          <w:sz w:val="28"/>
          <w:szCs w:val="28"/>
          <w:highlight w:val="none"/>
        </w:rPr>
        <w:t>近</w:t>
      </w:r>
      <w:r>
        <w:rPr>
          <w:rFonts w:hint="eastAsia" w:ascii="仿宋_GB2312" w:eastAsia="仿宋_GB2312" w:hAnsiTheme="minorHAnsi" w:cstheme="minorBidi"/>
          <w:bCs w:val="0"/>
          <w:color w:val="auto"/>
          <w:sz w:val="28"/>
          <w:szCs w:val="28"/>
          <w:highlight w:val="none"/>
          <w:lang w:val="en-US" w:eastAsia="zh-CN"/>
        </w:rPr>
        <w:t>7</w:t>
      </w:r>
      <w:r>
        <w:rPr>
          <w:rFonts w:hint="eastAsia" w:ascii="仿宋_GB2312" w:eastAsia="仿宋_GB2312" w:hAnsiTheme="minorHAnsi" w:cstheme="minorBidi"/>
          <w:bCs w:val="0"/>
          <w:color w:val="auto"/>
          <w:sz w:val="28"/>
          <w:szCs w:val="28"/>
          <w:highlight w:val="none"/>
        </w:rPr>
        <w:t>天</w:t>
      </w:r>
      <w:r>
        <w:rPr>
          <w:rFonts w:hint="eastAsia" w:ascii="仿宋_GB2312" w:eastAsia="仿宋_GB2312" w:hAnsiTheme="minorHAnsi" w:cstheme="minorBidi"/>
          <w:bCs w:val="0"/>
          <w:color w:val="auto"/>
          <w:sz w:val="28"/>
          <w:szCs w:val="28"/>
          <w:highlight w:val="none"/>
          <w:lang w:val="en-US" w:eastAsia="zh-CN"/>
        </w:rPr>
        <w:t>内</w:t>
      </w:r>
      <w:r>
        <w:rPr>
          <w:rFonts w:hint="eastAsia" w:ascii="仿宋_GB2312" w:eastAsia="仿宋_GB2312" w:hAnsiTheme="minorHAnsi" w:cstheme="minorBidi"/>
          <w:bCs w:val="0"/>
          <w:color w:val="auto"/>
          <w:sz w:val="28"/>
          <w:szCs w:val="28"/>
          <w:highlight w:val="none"/>
        </w:rPr>
        <w:t>行程有</w:t>
      </w:r>
      <w:r>
        <w:rPr>
          <w:rFonts w:hint="eastAsia" w:ascii="仿宋_GB2312" w:eastAsia="仿宋_GB2312" w:hAnsiTheme="minorHAnsi" w:cstheme="minorBidi"/>
          <w:color w:val="auto"/>
          <w:sz w:val="28"/>
          <w:szCs w:val="28"/>
          <w:highlight w:val="none"/>
          <w:u w:val="none"/>
          <w:lang w:val="en-US" w:eastAsia="zh-CN"/>
        </w:rPr>
        <w:t>省外非低中高风险地地市</w:t>
      </w:r>
      <w:r>
        <w:rPr>
          <w:rFonts w:hint="eastAsia" w:ascii="仿宋_GB2312" w:eastAsia="仿宋_GB2312" w:hAnsiTheme="minorHAnsi" w:cstheme="minorBidi"/>
          <w:color w:val="auto"/>
          <w:sz w:val="28"/>
          <w:szCs w:val="28"/>
          <w:highlight w:val="none"/>
          <w:lang w:val="en-US" w:eastAsia="zh-CN"/>
        </w:rPr>
        <w:t>来访人员</w:t>
      </w:r>
      <w:r>
        <w:rPr>
          <w:rFonts w:hint="eastAsia" w:ascii="仿宋_GB2312" w:eastAsia="仿宋_GB2312" w:hAnsiTheme="minorHAnsi" w:cstheme="minorBidi"/>
          <w:color w:val="auto"/>
          <w:sz w:val="28"/>
          <w:szCs w:val="28"/>
          <w:highlight w:val="none"/>
          <w:lang w:eastAsia="zh-CN"/>
        </w:rPr>
        <w:t>应持有</w:t>
      </w:r>
      <w:r>
        <w:rPr>
          <w:rFonts w:hint="eastAsia" w:ascii="仿宋_GB2312" w:eastAsia="仿宋_GB2312" w:hAnsiTheme="minorHAnsi" w:cstheme="minorBidi"/>
          <w:color w:val="auto"/>
          <w:sz w:val="28"/>
          <w:szCs w:val="28"/>
          <w:highlight w:val="none"/>
          <w:u w:val="none"/>
          <w:lang w:val="en-US" w:eastAsia="zh-CN"/>
        </w:rPr>
        <w:t>抵穗后</w:t>
      </w:r>
      <w:r>
        <w:rPr>
          <w:rFonts w:hint="eastAsia" w:ascii="仿宋_GB2312" w:eastAsia="仿宋_GB2312" w:hAnsiTheme="minorHAnsi" w:cstheme="minorBidi"/>
          <w:color w:val="auto"/>
          <w:sz w:val="28"/>
          <w:szCs w:val="28"/>
          <w:highlight w:val="none"/>
          <w:u w:val="none"/>
          <w:lang w:eastAsia="zh-CN"/>
        </w:rPr>
        <w:t>来访前</w:t>
      </w:r>
      <w:r>
        <w:rPr>
          <w:rFonts w:hint="eastAsia" w:ascii="仿宋_GB2312" w:eastAsia="仿宋_GB2312" w:hAnsiTheme="minorHAnsi" w:cstheme="minorBidi"/>
          <w:color w:val="auto"/>
          <w:sz w:val="28"/>
          <w:szCs w:val="28"/>
          <w:highlight w:val="none"/>
          <w:lang w:eastAsia="zh-CN"/>
        </w:rPr>
        <w:t>的</w:t>
      </w:r>
      <w:r>
        <w:rPr>
          <w:rFonts w:hint="eastAsia" w:ascii="仿宋_GB2312" w:eastAsia="仿宋_GB2312" w:hAnsiTheme="minorHAnsi" w:cstheme="minorBidi"/>
          <w:color w:val="auto"/>
          <w:sz w:val="28"/>
          <w:szCs w:val="28"/>
          <w:highlight w:val="none"/>
          <w:lang w:val="en-US" w:eastAsia="zh-CN"/>
        </w:rPr>
        <w:t>三</w:t>
      </w:r>
      <w:r>
        <w:rPr>
          <w:rFonts w:hint="eastAsia" w:ascii="仿宋_GB2312" w:eastAsia="仿宋_GB2312" w:hAnsiTheme="minorHAnsi" w:cstheme="minorBidi"/>
          <w:color w:val="auto"/>
          <w:spacing w:val="0"/>
          <w:sz w:val="28"/>
          <w:szCs w:val="28"/>
          <w:highlight w:val="none"/>
          <w:shd w:val="clear"/>
        </w:rPr>
        <w:t>次核酸检测</w:t>
      </w:r>
      <w:r>
        <w:rPr>
          <w:rFonts w:hint="eastAsia" w:ascii="仿宋_GB2312" w:eastAsia="仿宋_GB2312" w:hAnsiTheme="minorHAnsi" w:cstheme="minorBidi"/>
          <w:color w:val="auto"/>
          <w:spacing w:val="0"/>
          <w:sz w:val="28"/>
          <w:szCs w:val="28"/>
          <w:highlight w:val="none"/>
          <w:shd w:val="clear"/>
          <w:lang w:eastAsia="zh-CN"/>
        </w:rPr>
        <w:t>阴性</w:t>
      </w:r>
      <w:r>
        <w:rPr>
          <w:rFonts w:hint="eastAsia" w:ascii="仿宋_GB2312" w:eastAsia="仿宋_GB2312" w:hAnsiTheme="minorHAnsi" w:cstheme="minorBidi"/>
          <w:color w:val="auto"/>
          <w:spacing w:val="0"/>
          <w:sz w:val="28"/>
          <w:szCs w:val="28"/>
          <w:highlight w:val="none"/>
          <w:shd w:val="clear"/>
        </w:rPr>
        <w:t>证明，</w:t>
      </w:r>
      <w:r>
        <w:rPr>
          <w:rFonts w:hint="eastAsia" w:ascii="仿宋_GB2312" w:eastAsia="仿宋_GB2312" w:hAnsiTheme="minorHAnsi" w:cstheme="minorBidi"/>
          <w:color w:val="auto"/>
          <w:sz w:val="28"/>
          <w:szCs w:val="28"/>
          <w:highlight w:val="none"/>
        </w:rPr>
        <w:t>即“三天</w:t>
      </w:r>
      <w:r>
        <w:rPr>
          <w:rFonts w:hint="eastAsia" w:ascii="仿宋_GB2312" w:eastAsia="仿宋_GB2312" w:hAnsiTheme="minorHAnsi" w:cstheme="minorBidi"/>
          <w:color w:val="auto"/>
          <w:sz w:val="28"/>
          <w:szCs w:val="28"/>
          <w:highlight w:val="none"/>
          <w:lang w:val="en-US" w:eastAsia="zh-CN"/>
        </w:rPr>
        <w:t>三</w:t>
      </w:r>
      <w:r>
        <w:rPr>
          <w:rFonts w:hint="eastAsia" w:ascii="仿宋_GB2312" w:eastAsia="仿宋_GB2312" w:hAnsiTheme="minorHAnsi" w:cstheme="minorBidi"/>
          <w:color w:val="auto"/>
          <w:sz w:val="28"/>
          <w:szCs w:val="28"/>
          <w:highlight w:val="none"/>
        </w:rPr>
        <w:t>检”</w:t>
      </w:r>
      <w:r>
        <w:rPr>
          <w:rFonts w:hint="eastAsia" w:ascii="仿宋_GB2312" w:eastAsia="仿宋_GB2312" w:hAnsiTheme="minorHAnsi" w:cstheme="minorBidi"/>
          <w:color w:val="auto"/>
          <w:sz w:val="28"/>
          <w:szCs w:val="28"/>
          <w:highlight w:val="none"/>
          <w:lang w:eastAsia="zh-CN"/>
        </w:rPr>
        <w:t>，</w:t>
      </w:r>
      <w:r>
        <w:rPr>
          <w:rFonts w:hint="eastAsia" w:ascii="仿宋_GB2312" w:eastAsia="仿宋_GB2312" w:hAnsiTheme="minorHAnsi" w:cstheme="minorBidi"/>
          <w:color w:val="auto"/>
          <w:spacing w:val="0"/>
          <w:sz w:val="28"/>
          <w:szCs w:val="28"/>
          <w:highlight w:val="none"/>
          <w:shd w:val="clear"/>
        </w:rPr>
        <w:t>每次至少间隔24小时</w:t>
      </w:r>
      <w:r>
        <w:rPr>
          <w:rFonts w:hint="eastAsia" w:ascii="仿宋_GB2312" w:eastAsia="仿宋_GB2312" w:hAnsiTheme="minorHAnsi" w:cstheme="minorBidi"/>
          <w:color w:val="auto"/>
          <w:sz w:val="28"/>
          <w:szCs w:val="28"/>
          <w:highlight w:val="none"/>
        </w:rPr>
        <w:t>。</w:t>
      </w:r>
      <w:r>
        <w:rPr>
          <w:rFonts w:hint="eastAsia" w:ascii="仿宋_GB2312" w:eastAsia="仿宋_GB2312" w:hAnsiTheme="minorHAnsi" w:cstheme="minorBidi"/>
          <w:color w:val="auto"/>
          <w:sz w:val="28"/>
          <w:szCs w:val="28"/>
          <w:highlight w:val="none"/>
          <w:shd w:val="clear"/>
        </w:rPr>
        <w:t>上述</w:t>
      </w:r>
      <w:r>
        <w:rPr>
          <w:rFonts w:hint="eastAsia" w:ascii="仿宋_GB2312" w:eastAsia="仿宋_GB2312" w:hAnsiTheme="minorHAnsi" w:cstheme="minorBidi"/>
          <w:color w:val="auto"/>
          <w:sz w:val="28"/>
          <w:szCs w:val="28"/>
          <w:highlight w:val="none"/>
          <w:shd w:val="clear"/>
          <w:lang w:val="en-US" w:eastAsia="zh-CN"/>
        </w:rPr>
        <w:t>第1、2、3、4</w:t>
      </w:r>
      <w:r>
        <w:rPr>
          <w:rFonts w:hint="eastAsia" w:ascii="仿宋_GB2312" w:eastAsia="仿宋_GB2312" w:hAnsiTheme="minorHAnsi" w:cstheme="minorBidi"/>
          <w:color w:val="auto"/>
          <w:sz w:val="28"/>
          <w:szCs w:val="28"/>
          <w:highlight w:val="none"/>
          <w:shd w:val="clear"/>
        </w:rPr>
        <w:t>项以外临时来访</w:t>
      </w:r>
      <w:r>
        <w:rPr>
          <w:rFonts w:hint="eastAsia" w:ascii="仿宋_GB2312" w:eastAsia="仿宋_GB2312" w:hAnsiTheme="minorHAnsi" w:cstheme="minorBidi"/>
          <w:color w:val="auto"/>
          <w:sz w:val="28"/>
          <w:szCs w:val="28"/>
          <w:highlight w:val="none"/>
          <w:shd w:val="clear"/>
          <w:lang w:eastAsia="zh-CN"/>
        </w:rPr>
        <w:t>人员</w:t>
      </w:r>
      <w:r>
        <w:rPr>
          <w:rFonts w:hint="eastAsia" w:ascii="仿宋_GB2312" w:eastAsia="仿宋_GB2312" w:hAnsiTheme="minorHAnsi" w:cstheme="minorBidi"/>
          <w:color w:val="auto"/>
          <w:sz w:val="28"/>
          <w:szCs w:val="28"/>
          <w:highlight w:val="none"/>
          <w:shd w:val="clear"/>
        </w:rPr>
        <w:t>，应持有</w:t>
      </w:r>
      <w:r>
        <w:rPr>
          <w:rFonts w:hint="eastAsia" w:ascii="仿宋_GB2312" w:eastAsia="仿宋_GB2312" w:hAnsiTheme="minorHAnsi" w:cstheme="minorBidi"/>
          <w:color w:val="auto"/>
          <w:sz w:val="28"/>
          <w:szCs w:val="28"/>
          <w:highlight w:val="none"/>
          <w:u w:val="none"/>
          <w:shd w:val="clear"/>
        </w:rPr>
        <w:t>来访前</w:t>
      </w:r>
      <w:r>
        <w:rPr>
          <w:rFonts w:hint="eastAsia" w:ascii="仿宋_GB2312" w:eastAsia="仿宋_GB2312" w:hAnsiTheme="minorHAnsi" w:cstheme="minorBidi"/>
          <w:color w:val="auto"/>
          <w:sz w:val="28"/>
          <w:szCs w:val="28"/>
          <w:highlight w:val="none"/>
          <w:shd w:val="clear"/>
          <w:lang w:val="en-US" w:eastAsia="zh-CN"/>
        </w:rPr>
        <w:t>24</w:t>
      </w:r>
      <w:r>
        <w:rPr>
          <w:rFonts w:hint="eastAsia" w:ascii="仿宋_GB2312" w:eastAsia="仿宋_GB2312" w:hAnsiTheme="minorHAnsi" w:cstheme="minorBidi"/>
          <w:color w:val="auto"/>
          <w:sz w:val="28"/>
          <w:szCs w:val="28"/>
          <w:highlight w:val="none"/>
          <w:shd w:val="clear"/>
        </w:rPr>
        <w:t>小时内核酸检测</w:t>
      </w:r>
      <w:r>
        <w:rPr>
          <w:rFonts w:hint="eastAsia" w:ascii="仿宋_GB2312" w:eastAsia="仿宋_GB2312" w:hAnsiTheme="minorHAnsi" w:cstheme="minorBidi"/>
          <w:color w:val="auto"/>
          <w:sz w:val="28"/>
          <w:szCs w:val="28"/>
          <w:highlight w:val="none"/>
          <w:shd w:val="clear"/>
          <w:lang w:eastAsia="zh-CN"/>
        </w:rPr>
        <w:t>阴性</w:t>
      </w:r>
      <w:r>
        <w:rPr>
          <w:rFonts w:hint="eastAsia" w:ascii="仿宋_GB2312" w:eastAsia="仿宋_GB2312" w:hAnsiTheme="minorHAnsi" w:cstheme="minorBidi"/>
          <w:color w:val="auto"/>
          <w:sz w:val="28"/>
          <w:szCs w:val="28"/>
          <w:highlight w:val="none"/>
          <w:shd w:val="clear"/>
        </w:rPr>
        <w:t>证明。</w:t>
      </w:r>
    </w:p>
    <w:p>
      <w:pPr>
        <w:adjustRightInd w:val="0"/>
        <w:snapToGrid w:val="0"/>
        <w:spacing w:line="360" w:lineRule="auto"/>
        <w:ind w:firstLine="560" w:firstLineChars="200"/>
        <w:rPr>
          <w:rFonts w:hint="eastAsia" w:ascii="仿宋_GB2312" w:hAnsi="仿宋" w:eastAsia="仿宋_GB2312" w:cs="仿宋_GB2312"/>
          <w:color w:val="auto"/>
          <w:sz w:val="28"/>
          <w:szCs w:val="28"/>
          <w:highlight w:val="none"/>
          <w:lang w:val="zh-CN"/>
        </w:rPr>
      </w:pPr>
      <w:r>
        <w:rPr>
          <w:rFonts w:hint="eastAsia" w:ascii="仿宋_GB2312" w:eastAsia="仿宋_GB2312" w:hAnsiTheme="minorHAnsi" w:cstheme="minorBidi"/>
          <w:color w:val="auto"/>
          <w:sz w:val="28"/>
          <w:szCs w:val="28"/>
          <w:highlight w:val="none"/>
        </w:rPr>
        <w:t>临时来访人员进入厂区前除出示通行访客码、完成问卷调查等流程外，还需扫描通行大数据行程卡（详见附件）、各厂区穗康场所码，并出示给门岗工作人员查验，确认行程</w:t>
      </w:r>
      <w:r>
        <w:rPr>
          <w:rFonts w:hint="eastAsia" w:ascii="仿宋_GB2312" w:eastAsia="仿宋_GB2312" w:hAnsiTheme="minorHAnsi" w:cstheme="minorBidi"/>
          <w:color w:val="auto"/>
          <w:sz w:val="28"/>
          <w:szCs w:val="28"/>
          <w:highlight w:val="none"/>
          <w:lang w:val="en-US" w:eastAsia="zh-CN"/>
        </w:rPr>
        <w:t>和穗康</w:t>
      </w:r>
      <w:r>
        <w:rPr>
          <w:rFonts w:hint="eastAsia" w:ascii="仿宋_GB2312" w:eastAsia="仿宋_GB2312" w:hAnsiTheme="minorHAnsi" w:cstheme="minorBidi"/>
          <w:color w:val="auto"/>
          <w:sz w:val="28"/>
          <w:szCs w:val="28"/>
          <w:highlight w:val="none"/>
        </w:rPr>
        <w:t>数据符合公司临时来访人员要求的，</w:t>
      </w:r>
      <w:r>
        <w:rPr>
          <w:rFonts w:hint="eastAsia" w:ascii="仿宋_GB2312" w:eastAsia="仿宋_GB2312" w:hAnsiTheme="minorHAnsi" w:cstheme="minorBidi"/>
          <w:color w:val="auto"/>
          <w:sz w:val="28"/>
          <w:szCs w:val="28"/>
          <w:highlight w:val="none"/>
          <w:lang w:val="en-US" w:eastAsia="zh-CN"/>
        </w:rPr>
        <w:t>同时安保人员应与被访人员电话核实信息，确认无误后</w:t>
      </w:r>
      <w:r>
        <w:rPr>
          <w:rFonts w:hint="eastAsia" w:ascii="仿宋_GB2312" w:eastAsia="仿宋_GB2312" w:hAnsiTheme="minorHAnsi" w:cstheme="minorBidi"/>
          <w:color w:val="auto"/>
          <w:sz w:val="28"/>
          <w:szCs w:val="28"/>
          <w:highlight w:val="none"/>
        </w:rPr>
        <w:t>方可进入厂区。</w:t>
      </w:r>
    </w:p>
    <w:p>
      <w:pPr>
        <w:pStyle w:val="2"/>
        <w:adjustRightInd w:val="0"/>
        <w:snapToGrid w:val="0"/>
        <w:spacing w:line="360" w:lineRule="auto"/>
        <w:ind w:firstLine="0" w:firstLineChars="0"/>
        <w:rPr>
          <w:rFonts w:hint="eastAsia" w:ascii="仿宋_GB2312" w:eastAsia="仿宋_GB2312" w:hAnsiTheme="minorHAnsi" w:cstheme="minorBidi"/>
          <w:color w:val="auto"/>
          <w:kern w:val="2"/>
          <w:sz w:val="28"/>
          <w:szCs w:val="28"/>
          <w:highlight w:val="none"/>
          <w:lang w:val="en-US" w:eastAsia="zh-CN"/>
        </w:rPr>
      </w:pPr>
      <w:r>
        <w:rPr>
          <w:rFonts w:hint="eastAsia" w:ascii="仿宋_GB2312" w:eastAsia="仿宋_GB2312" w:hAnsiTheme="minorHAnsi" w:cstheme="minorBidi"/>
          <w:color w:val="auto"/>
          <w:kern w:val="2"/>
          <w:sz w:val="28"/>
          <w:szCs w:val="28"/>
          <w:highlight w:val="none"/>
          <w:lang w:val="en-US" w:eastAsia="zh-CN"/>
        </w:rPr>
        <w:t>踏勘现场联系人：林工</w:t>
      </w:r>
    </w:p>
    <w:p>
      <w:pPr>
        <w:pStyle w:val="2"/>
        <w:adjustRightInd w:val="0"/>
        <w:snapToGrid w:val="0"/>
        <w:spacing w:line="360" w:lineRule="auto"/>
        <w:ind w:firstLine="0" w:firstLineChars="0"/>
        <w:rPr>
          <w:rFonts w:hint="eastAsia" w:ascii="仿宋_GB2312" w:eastAsia="仿宋_GB2312" w:hAnsiTheme="minorHAnsi"/>
          <w:color w:val="auto"/>
          <w:sz w:val="28"/>
          <w:szCs w:val="28"/>
          <w:highlight w:val="none"/>
          <w:u w:val="none"/>
        </w:rPr>
      </w:pPr>
      <w:r>
        <w:rPr>
          <w:rFonts w:hint="eastAsia" w:ascii="仿宋_GB2312" w:eastAsia="仿宋_GB2312" w:hAnsiTheme="minorHAnsi" w:cstheme="minorBidi"/>
          <w:color w:val="auto"/>
          <w:kern w:val="2"/>
          <w:sz w:val="28"/>
          <w:szCs w:val="28"/>
          <w:highlight w:val="none"/>
          <w:lang w:val="en-US" w:eastAsia="zh-CN"/>
        </w:rPr>
        <w:t>踏勘现场联系人联系方式：13794355939</w:t>
      </w:r>
    </w:p>
    <w:p>
      <w:pPr>
        <w:adjustRightInd w:val="0"/>
        <w:snapToGrid w:val="0"/>
        <w:spacing w:line="360" w:lineRule="auto"/>
        <w:ind w:firstLine="0"/>
        <w:rPr>
          <w:rFonts w:hint="eastAsia" w:ascii="仿宋_GB2312" w:eastAsia="仿宋_GB2312" w:hAnsiTheme="minorHAnsi"/>
          <w:color w:val="auto"/>
          <w:sz w:val="28"/>
          <w:szCs w:val="28"/>
          <w:highlight w:val="none"/>
        </w:rPr>
      </w:pPr>
      <w:r>
        <w:rPr>
          <w:rFonts w:hint="eastAsia" w:ascii="仿宋_GB2312" w:eastAsia="仿宋_GB2312" w:hAnsiTheme="minorHAnsi"/>
          <w:color w:val="auto"/>
          <w:sz w:val="28"/>
          <w:szCs w:val="28"/>
          <w:highlight w:val="none"/>
        </w:rPr>
        <w:t>踏勘（答疑会）</w:t>
      </w:r>
      <w:r>
        <w:rPr>
          <w:rFonts w:hint="eastAsia" w:ascii="仿宋_GB2312" w:eastAsia="仿宋_GB2312"/>
          <w:color w:val="auto"/>
          <w:sz w:val="28"/>
          <w:szCs w:val="28"/>
          <w:highlight w:val="none"/>
          <w:lang w:val="en-US" w:eastAsia="zh-CN"/>
        </w:rPr>
        <w:t>集合</w:t>
      </w:r>
      <w:r>
        <w:rPr>
          <w:rFonts w:hint="eastAsia" w:ascii="仿宋_GB2312" w:eastAsia="仿宋_GB2312" w:hAnsiTheme="minorHAnsi"/>
          <w:color w:val="auto"/>
          <w:sz w:val="28"/>
          <w:szCs w:val="28"/>
          <w:highlight w:val="none"/>
        </w:rPr>
        <w:t>时间：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31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30</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val="en-US" w:eastAsia="zh-CN"/>
        </w:rPr>
        <w:t>-</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lang w:val="en-US" w:eastAsia="zh-CN"/>
        </w:rPr>
        <w:t>30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eastAsia="zh-CN"/>
        </w:rPr>
        <w:t>。</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仿宋_GB2312" w:eastAsia="仿宋_GB2312" w:hAnsiTheme="minorHAnsi"/>
          <w:color w:val="auto"/>
          <w:sz w:val="28"/>
          <w:szCs w:val="28"/>
          <w:highlight w:val="none"/>
        </w:rPr>
        <w:t>踏勘集中地点：</w:t>
      </w:r>
      <w:r>
        <w:rPr>
          <w:rFonts w:hint="eastAsia" w:ascii="仿宋_GB2312" w:eastAsia="仿宋_GB2312"/>
          <w:color w:val="auto"/>
          <w:sz w:val="28"/>
          <w:szCs w:val="28"/>
          <w:highlight w:val="none"/>
          <w:u w:val="single"/>
          <w:lang w:val="en-US" w:eastAsia="zh-CN"/>
        </w:rPr>
        <w:t>广州市白云区江高镇南贤路1号</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.1递交响应文件截止时间：</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00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w:t>
      </w:r>
      <w:r>
        <w:rPr>
          <w:rFonts w:hint="eastAsia" w:ascii="仿宋_GB2312" w:eastAsia="仿宋_GB2312"/>
          <w:color w:val="auto"/>
          <w:sz w:val="28"/>
          <w:szCs w:val="28"/>
          <w:highlight w:val="none"/>
          <w:lang w:val="en-US" w:eastAsia="zh-CN"/>
        </w:rPr>
        <w:t>前</w:t>
      </w:r>
      <w:r>
        <w:rPr>
          <w:rFonts w:hint="eastAsia" w:ascii="仿宋_GB2312" w:eastAsia="仿宋_GB2312"/>
          <w:color w:val="auto"/>
          <w:sz w:val="28"/>
          <w:szCs w:val="28"/>
          <w:highlight w:val="none"/>
        </w:rPr>
        <w:t>（北京时间）。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.2递交</w:t>
      </w:r>
      <w:r>
        <w:rPr>
          <w:rFonts w:hint="eastAsia" w:ascii="仿宋_GB2312" w:eastAsia="仿宋_GB2312"/>
          <w:color w:val="auto"/>
          <w:sz w:val="28"/>
          <w:szCs w:val="28"/>
          <w:highlight w:val="none"/>
          <w:lang w:val="en-US" w:eastAsia="zh-CN"/>
        </w:rPr>
        <w:t>及快递</w:t>
      </w:r>
      <w:r>
        <w:rPr>
          <w:rFonts w:hint="eastAsia" w:ascii="仿宋_GB2312" w:eastAsia="仿宋_GB2312"/>
          <w:color w:val="auto"/>
          <w:sz w:val="28"/>
          <w:szCs w:val="28"/>
          <w:highlight w:val="none"/>
        </w:rPr>
        <w:t>地址：</w:t>
      </w:r>
      <w:r>
        <w:rPr>
          <w:rFonts w:hint="eastAsia" w:ascii="仿宋_GB2312" w:eastAsia="仿宋_GB2312"/>
          <w:color w:val="auto"/>
          <w:sz w:val="28"/>
          <w:szCs w:val="28"/>
          <w:highlight w:val="none"/>
          <w:lang w:val="en-US" w:eastAsia="zh-CN"/>
        </w:rPr>
        <w:t>广州市天河区临江大道501号</w:t>
      </w:r>
      <w:r>
        <w:rPr>
          <w:rFonts w:hint="eastAsia" w:ascii="仿宋_GB2312" w:eastAsia="仿宋_GB2312"/>
          <w:color w:val="auto"/>
          <w:sz w:val="28"/>
          <w:szCs w:val="28"/>
          <w:highlight w:val="none"/>
          <w:u w:val="single"/>
          <w:lang w:val="en-US" w:eastAsia="zh-CN"/>
        </w:rPr>
        <w:t>广州市净水有限公司6楼招标部</w:t>
      </w:r>
      <w:r>
        <w:rPr>
          <w:rFonts w:hint="eastAsia" w:ascii="仿宋_GB2312" w:eastAsia="仿宋_GB2312"/>
          <w:color w:val="auto"/>
          <w:sz w:val="28"/>
          <w:szCs w:val="28"/>
          <w:highlight w:val="none"/>
        </w:rPr>
        <w:t>。</w:t>
      </w:r>
    </w:p>
    <w:p>
      <w:pPr>
        <w:pStyle w:val="29"/>
        <w:ind w:firstLine="560" w:firstLineChars="200"/>
        <w:rPr>
          <w:rFonts w:hint="eastAsia" w:ascii="仿宋_GB2312" w:hAnsi="宋体" w:cs="Times New Roman"/>
          <w:color w:val="auto"/>
          <w:sz w:val="28"/>
          <w:szCs w:val="28"/>
          <w:highlight w:val="none"/>
          <w:lang w:val="en-US" w:eastAsia="zh-CN"/>
        </w:rPr>
      </w:pPr>
      <w:r>
        <w:rPr>
          <w:rFonts w:hint="eastAsia" w:ascii="仿宋_GB2312" w:hAnsi="宋体" w:cs="Times New Roman"/>
          <w:color w:val="auto"/>
          <w:sz w:val="28"/>
          <w:szCs w:val="28"/>
          <w:highlight w:val="none"/>
          <w:lang w:val="en-US" w:eastAsia="zh-CN"/>
        </w:rPr>
        <w:t>基于目前疫情防控形势，我公司仅接受快递或自行送达形式递交响应文件，响应文件须于递交截止时间前送达，并放置于公司正门保安处。</w:t>
      </w:r>
    </w:p>
    <w:p>
      <w:pPr>
        <w:spacing w:line="540" w:lineRule="exact"/>
        <w:ind w:firstLine="560" w:firstLineChars="200"/>
        <w:rPr>
          <w:rFonts w:hint="eastAsia" w:ascii="仿宋_GB2312" w:eastAsia="仿宋_GB2312" w:hAnsiTheme="minorHAnsi" w:cstheme="minorBidi"/>
          <w:color w:val="auto"/>
          <w:sz w:val="28"/>
          <w:szCs w:val="28"/>
          <w:highlight w:val="none"/>
        </w:rPr>
      </w:pP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38890467</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 被书面限制参与采购活动的企业名单</w:t>
      </w:r>
    </w:p>
    <w:p>
      <w:pPr>
        <w:adjustRightInd w:val="0"/>
        <w:snapToGrid w:val="0"/>
        <w:spacing w:line="600" w:lineRule="exact"/>
        <w:ind w:firstLine="560" w:firstLineChars="2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本项目采购人（包括市水投集团及其属下子公司）书面限制参与采购活动的企业名单：</w:t>
      </w:r>
    </w:p>
    <w:tbl>
      <w:tblPr>
        <w:tblStyle w:val="24"/>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01"/>
        <w:gridCol w:w="3402"/>
        <w:gridCol w:w="455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3402"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单位名称</w:t>
            </w:r>
          </w:p>
        </w:tc>
        <w:tc>
          <w:tcPr>
            <w:tcW w:w="4557"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被书面限制参与采购活动的期限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1</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广州市水电建设工程有限公司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2</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广州市南粤工程建设监理有限公司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w:t>
            </w:r>
            <w:r>
              <w:rPr>
                <w:rFonts w:hint="eastAsia" w:ascii="宋体" w:hAnsi="宋体" w:cs="宋体"/>
                <w:color w:val="auto"/>
                <w:sz w:val="24"/>
                <w:highlight w:val="none"/>
                <w:lang w:val="en-US" w:eastAsia="zh-CN"/>
              </w:rPr>
              <w:t>23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cs="宋体"/>
                <w:color w:val="auto"/>
                <w:sz w:val="24"/>
                <w:highlight w:val="none"/>
                <w:lang w:val="en-US" w:eastAsia="zh-CN"/>
              </w:rPr>
              <w:t>3</w:t>
            </w:r>
          </w:p>
        </w:tc>
        <w:tc>
          <w:tcPr>
            <w:tcW w:w="3402" w:type="dxa"/>
            <w:vAlign w:val="center"/>
          </w:tcPr>
          <w:p>
            <w:pPr>
              <w:jc w:val="center"/>
              <w:rPr>
                <w:rFonts w:hint="eastAsia" w:ascii="宋体" w:hAnsi="宋体" w:eastAsia="宋体" w:cs="宋体"/>
                <w:color w:val="auto"/>
                <w:kern w:val="2"/>
                <w:sz w:val="24"/>
                <w:szCs w:val="22"/>
                <w:highlight w:val="none"/>
                <w:lang w:val="en-US" w:eastAsia="zh-CN" w:bidi="ar-SA"/>
              </w:rPr>
            </w:pPr>
            <w:r>
              <w:rPr>
                <w:rFonts w:ascii="宋体" w:hAnsi="宋体" w:eastAsia="宋体" w:cs="宋体"/>
                <w:color w:val="auto"/>
                <w:sz w:val="24"/>
                <w:szCs w:val="24"/>
                <w:highlight w:val="none"/>
              </w:rPr>
              <w:t>广州市自来水工程有限公司</w:t>
            </w:r>
          </w:p>
        </w:tc>
        <w:tc>
          <w:tcPr>
            <w:tcW w:w="4557"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lang w:val="en-US" w:eastAsia="zh-CN"/>
              </w:rPr>
              <w:t>年1月</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至2022年</w:t>
            </w:r>
            <w:r>
              <w:rPr>
                <w:rFonts w:hint="eastAsia" w:ascii="宋体" w:hAnsi="宋体" w:cs="宋体"/>
                <w:color w:val="auto"/>
                <w:sz w:val="24"/>
                <w:highlight w:val="none"/>
                <w:lang w:val="en-US" w:eastAsia="zh-CN"/>
              </w:rPr>
              <w:t>12</w:t>
            </w:r>
            <w:r>
              <w:rPr>
                <w:rFonts w:hint="eastAsia" w:ascii="宋体" w:hAnsi="宋体" w:eastAsia="宋体" w:cs="宋体"/>
                <w:color w:val="auto"/>
                <w:sz w:val="24"/>
                <w:highlight w:val="none"/>
              </w:rPr>
              <w:t>月</w:t>
            </w:r>
            <w:r>
              <w:rPr>
                <w:rFonts w:hint="eastAsia" w:ascii="宋体" w:hAnsi="宋体" w:cs="宋体"/>
                <w:color w:val="auto"/>
                <w:sz w:val="24"/>
                <w:highlight w:val="none"/>
                <w:lang w:val="en-US" w:eastAsia="zh-CN"/>
              </w:rPr>
              <w:t>31</w:t>
            </w:r>
            <w:r>
              <w:rPr>
                <w:rFonts w:hint="eastAsia" w:ascii="宋体" w:hAnsi="宋体" w:eastAsia="宋体" w:cs="宋体"/>
                <w:color w:val="auto"/>
                <w:sz w:val="24"/>
                <w:highlight w:val="none"/>
              </w:rPr>
              <w:t>日</w:t>
            </w:r>
          </w:p>
        </w:tc>
      </w:tr>
    </w:tbl>
    <w:p>
      <w:pPr>
        <w:adjustRightInd w:val="0"/>
        <w:snapToGrid w:val="0"/>
        <w:spacing w:beforeLines="50" w:afterLines="50" w:line="600" w:lineRule="exact"/>
        <w:jc w:val="left"/>
        <w:rPr>
          <w:rFonts w:hint="eastAsia" w:asciiTheme="minorEastAsia" w:hAnsiTheme="minorEastAsia"/>
          <w:b/>
          <w:color w:val="auto"/>
          <w:sz w:val="32"/>
          <w:szCs w:val="32"/>
          <w:highlight w:val="none"/>
          <w:lang w:val="en-US" w:eastAsia="zh-CN"/>
        </w:rPr>
      </w:pPr>
    </w:p>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10</w:t>
      </w:r>
      <w:r>
        <w:rPr>
          <w:rFonts w:hint="eastAsia" w:asciiTheme="minorEastAsia" w:hAnsiTheme="minorEastAsia"/>
          <w:b/>
          <w:color w:val="auto"/>
          <w:sz w:val="32"/>
          <w:szCs w:val="32"/>
          <w:highlight w:val="none"/>
        </w:rPr>
        <w:t>.联系方式</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张工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020-38890467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eastAsia" w:ascii="仿宋_GB2312" w:eastAsia="仿宋_GB2312"/>
                <w:color w:val="auto"/>
                <w:sz w:val="28"/>
                <w:szCs w:val="28"/>
                <w:highlight w:val="none"/>
              </w:rPr>
            </w:pP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26</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adjustRightInd w:val="0"/>
        <w:snapToGrid w:val="0"/>
        <w:spacing w:line="600" w:lineRule="exact"/>
        <w:jc w:val="left"/>
        <w:rPr>
          <w:rFonts w:hint="eastAsia" w:ascii="仿宋_GB2312" w:eastAsia="仿宋_GB2312" w:hAnsiTheme="majorEastAsia"/>
          <w:color w:val="auto"/>
          <w:sz w:val="28"/>
          <w:szCs w:val="28"/>
          <w:highlight w:val="none"/>
        </w:rPr>
      </w:pPr>
    </w:p>
    <w:p>
      <w:pPr>
        <w:pStyle w:val="2"/>
        <w:rPr>
          <w:rFonts w:hint="eastAsia" w:ascii="仿宋_GB2312" w:eastAsia="仿宋_GB2312" w:hAnsiTheme="majorEastAsia"/>
          <w:color w:val="auto"/>
          <w:sz w:val="28"/>
          <w:szCs w:val="28"/>
          <w:highlight w:val="none"/>
        </w:rPr>
      </w:pPr>
    </w:p>
    <w:p>
      <w:pPr>
        <w:pStyle w:val="2"/>
        <w:rPr>
          <w:rFonts w:hint="eastAsia" w:ascii="仿宋_GB2312" w:eastAsia="仿宋_GB2312" w:hAnsiTheme="majorEastAsia"/>
          <w:color w:val="auto"/>
          <w:sz w:val="28"/>
          <w:szCs w:val="28"/>
          <w:highlight w:val="none"/>
        </w:rPr>
      </w:pPr>
    </w:p>
    <w:p>
      <w:pPr>
        <w:pStyle w:val="2"/>
        <w:rPr>
          <w:rFonts w:hint="eastAsia" w:ascii="仿宋_GB2312" w:eastAsia="仿宋_GB2312" w:hAnsiTheme="majorEastAsia"/>
          <w:color w:val="auto"/>
          <w:sz w:val="28"/>
          <w:szCs w:val="28"/>
          <w:highlight w:val="none"/>
        </w:rPr>
      </w:pPr>
    </w:p>
    <w:p>
      <w:pPr>
        <w:pStyle w:val="2"/>
        <w:rPr>
          <w:rFonts w:hint="eastAsia" w:ascii="仿宋_GB2312" w:eastAsia="仿宋_GB2312" w:hAnsiTheme="majorEastAsia"/>
          <w:color w:val="auto"/>
          <w:sz w:val="28"/>
          <w:szCs w:val="28"/>
          <w:highlight w:val="none"/>
        </w:rPr>
      </w:pPr>
    </w:p>
    <w:p>
      <w:pPr>
        <w:pStyle w:val="2"/>
        <w:rPr>
          <w:rFonts w:hint="eastAsia" w:ascii="仿宋_GB2312" w:eastAsia="仿宋_GB2312" w:hAnsiTheme="majorEastAsia"/>
          <w:color w:val="auto"/>
          <w:sz w:val="28"/>
          <w:szCs w:val="28"/>
          <w:highlight w:val="none"/>
        </w:rPr>
      </w:pPr>
    </w:p>
    <w:p>
      <w:pPr>
        <w:pStyle w:val="2"/>
        <w:rPr>
          <w:rFonts w:hint="eastAsia" w:ascii="仿宋_GB2312" w:eastAsia="仿宋_GB2312" w:hAnsiTheme="majorEastAsia"/>
          <w:color w:val="auto"/>
          <w:sz w:val="28"/>
          <w:szCs w:val="28"/>
          <w:highlight w:val="none"/>
        </w:rPr>
      </w:pPr>
    </w:p>
    <w:p>
      <w:pPr>
        <w:pStyle w:val="2"/>
        <w:rPr>
          <w:rFonts w:hint="eastAsia" w:ascii="仿宋_GB2312" w:eastAsia="仿宋_GB2312" w:hAnsiTheme="majorEastAsia"/>
          <w:color w:val="auto"/>
          <w:sz w:val="28"/>
          <w:szCs w:val="28"/>
          <w:highlight w:val="none"/>
        </w:rPr>
      </w:pPr>
    </w:p>
    <w:p>
      <w:pPr>
        <w:pStyle w:val="2"/>
        <w:rPr>
          <w:rFonts w:hint="eastAsia" w:ascii="仿宋_GB2312" w:eastAsia="仿宋_GB2312" w:hAnsiTheme="majorEastAsia"/>
          <w:color w:val="auto"/>
          <w:sz w:val="28"/>
          <w:szCs w:val="28"/>
          <w:highlight w:val="none"/>
        </w:rPr>
      </w:pPr>
    </w:p>
    <w:p>
      <w:pPr>
        <w:pStyle w:val="2"/>
        <w:rPr>
          <w:rFonts w:hint="eastAsia" w:ascii="仿宋_GB2312" w:eastAsia="仿宋_GB2312" w:hAnsiTheme="majorEastAsia"/>
          <w:color w:val="auto"/>
          <w:sz w:val="28"/>
          <w:szCs w:val="28"/>
          <w:highlight w:val="none"/>
        </w:rPr>
      </w:pPr>
    </w:p>
    <w:p>
      <w:pPr>
        <w:pStyle w:val="2"/>
        <w:rPr>
          <w:rFonts w:hint="eastAsia" w:ascii="仿宋_GB2312" w:eastAsia="仿宋_GB2312" w:hAnsiTheme="majorEastAsia"/>
          <w:color w:val="auto"/>
          <w:sz w:val="28"/>
          <w:szCs w:val="28"/>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pStyle w:val="2"/>
        <w:rPr>
          <w:rFonts w:hint="eastAsia"/>
          <w:color w:val="auto"/>
          <w:highlight w:val="none"/>
        </w:rPr>
      </w:pPr>
    </w:p>
    <w:p>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4"/>
        <w:rPr>
          <w:rFonts w:hint="eastAsia"/>
          <w:color w:val="auto"/>
          <w:highlight w:val="none"/>
        </w:rPr>
      </w:pPr>
      <w:bookmarkStart w:id="13" w:name="_Toc10891"/>
    </w:p>
    <w:p>
      <w:pPr>
        <w:pStyle w:val="4"/>
        <w:rPr>
          <w:rFonts w:hint="eastAsia"/>
          <w:color w:val="auto"/>
          <w:highlight w:val="none"/>
        </w:rPr>
      </w:pPr>
      <w:bookmarkStart w:id="14" w:name="_Toc23749"/>
      <w:bookmarkStart w:id="15" w:name="_Toc7340"/>
      <w:bookmarkStart w:id="16" w:name="_Toc19295"/>
      <w:bookmarkStart w:id="17" w:name="_Toc16705"/>
      <w:bookmarkStart w:id="18" w:name="_Toc2324"/>
      <w:bookmarkStart w:id="19" w:name="_Toc25603"/>
      <w:bookmarkStart w:id="20" w:name="_Toc32588"/>
      <w:bookmarkStart w:id="21" w:name="_Toc2331"/>
      <w:bookmarkStart w:id="22" w:name="_Toc9448"/>
      <w:bookmarkStart w:id="23" w:name="_Toc16557"/>
    </w:p>
    <w:p>
      <w:pPr>
        <w:pStyle w:val="4"/>
        <w:rPr>
          <w:color w:val="auto"/>
          <w:highlight w:val="none"/>
        </w:rPr>
      </w:pPr>
      <w:r>
        <w:rPr>
          <w:color w:val="auto"/>
          <w:highlight w:val="none"/>
        </w:rPr>
        <w:pict>
          <v:shape id="_x0000_s2066" o:spid="_x0000_s2066" o:spt="32" type="#_x0000_t32" style="position:absolute;left:0pt;margin-left:184.3pt;margin-top:42.55pt;height:0pt;width:75.5pt;z-index:251673600;mso-width-relative:page;mso-height-relative:page;" o:connectortype="straight" filled="f" coordsize="21600,21600">
            <v:path arrowok="t"/>
            <v:fill on="f" focussize="0,0"/>
            <v:stroke/>
            <v:imagedata o:title=""/>
            <o:lock v:ext="edit"/>
          </v:shape>
        </w:pict>
      </w:r>
      <w:r>
        <w:rPr>
          <w:color w:val="auto"/>
          <w:highlight w:val="none"/>
        </w:rPr>
        <w:pict>
          <v:shape id="_x0000_s2067" o:spid="_x0000_s2067" o:spt="32" type="#_x0000_t32" style="position:absolute;left:0pt;margin-left:184.9pt;margin-top:8.5pt;height:0pt;width:75.5pt;z-index:251672576;mso-width-relative:page;mso-height-relative:page;" o:connectortype="straight" filled="f" coordsize="21600,21600">
            <v:path arrowok="t"/>
            <v:fill on="f" focussize="0,0"/>
            <v:stroke/>
            <v:imagedata o:title=""/>
            <o:lock v:ext="edit"/>
          </v:shape>
        </w:pic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5"/>
        <w:rPr>
          <w:rFonts w:hint="eastAsia"/>
          <w:color w:val="auto"/>
          <w:highlight w:val="none"/>
        </w:rPr>
      </w:pPr>
    </w:p>
    <w:p>
      <w:pPr>
        <w:pStyle w:val="5"/>
        <w:rPr>
          <w:color w:val="auto"/>
          <w:highlight w:val="none"/>
        </w:rPr>
      </w:pPr>
      <w:bookmarkStart w:id="24" w:name="_Toc3416"/>
      <w:bookmarkStart w:id="25" w:name="_Toc2339"/>
      <w:r>
        <w:rPr>
          <w:rFonts w:hint="eastAsia"/>
          <w:color w:val="auto"/>
          <w:highlight w:val="none"/>
        </w:rPr>
        <w:t>供应商须知</w:t>
      </w:r>
      <w:bookmarkEnd w:id="24"/>
      <w:bookmarkEnd w:id="25"/>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rPr>
          <w:rFonts w:hint="eastAsia" w:asciiTheme="minorEastAsia" w:hAnsiTheme="minorEastAsia"/>
          <w:b/>
          <w:color w:val="auto"/>
          <w:sz w:val="32"/>
          <w:szCs w:val="32"/>
          <w:highlight w:val="none"/>
        </w:rPr>
      </w:pPr>
    </w:p>
    <w:p>
      <w:pPr>
        <w:pStyle w:val="2"/>
        <w:ind w:firstLine="0"/>
        <w:rPr>
          <w:rFonts w:hint="eastAsia"/>
          <w:color w:val="auto"/>
          <w:highlight w:val="none"/>
        </w:rPr>
      </w:pPr>
    </w:p>
    <w:p>
      <w:pPr>
        <w:numPr>
          <w:ilvl w:val="0"/>
          <w:numId w:val="3"/>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4"/>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 供应商或其他利害关系人可以对</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rPr>
        <w:t>、采购文件、预成交结果提出异议。异议应在采购公告或文件规定的时间内、预成交结果公示期间通过规定的异议渠道提出，并递交异议函和必要的证明材料。异议函包括但不限于下列内容：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8"/>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4"/>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9"/>
        <w:rPr>
          <w:rFonts w:ascii="仿宋_GB2312" w:eastAsia="仿宋_GB2312" w:hAnsiTheme="majorEastAsia"/>
          <w:color w:val="auto"/>
          <w:sz w:val="28"/>
          <w:szCs w:val="28"/>
          <w:highlight w:val="none"/>
        </w:rPr>
      </w:pPr>
    </w:p>
    <w:p>
      <w:pPr>
        <w:pStyle w:val="29"/>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8"/>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8"/>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8"/>
        <w:rPr>
          <w:color w:val="auto"/>
          <w:highlight w:val="none"/>
        </w:rPr>
      </w:pPr>
    </w:p>
    <w:p>
      <w:pPr>
        <w:pStyle w:val="38"/>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5"/>
        <w:rPr>
          <w:rFonts w:hint="eastAsia" w:asciiTheme="minorHAnsi" w:hAnsiTheme="minorHAnsi" w:cstheme="minorBidi"/>
          <w:color w:val="auto"/>
          <w:kern w:val="44"/>
          <w:sz w:val="44"/>
          <w:szCs w:val="44"/>
          <w:highlight w:val="none"/>
        </w:rPr>
      </w:pPr>
      <w:bookmarkStart w:id="26" w:name="_Toc2867"/>
      <w:bookmarkStart w:id="27" w:name="_Toc21455"/>
      <w:r>
        <w:rPr>
          <w:rFonts w:hint="eastAsia" w:asciiTheme="minorHAnsi" w:hAnsiTheme="minorHAnsi" w:cstheme="minorBidi"/>
          <w:color w:val="auto"/>
          <w:kern w:val="44"/>
          <w:sz w:val="44"/>
          <w:szCs w:val="44"/>
          <w:highlight w:val="none"/>
        </w:rPr>
        <w:pict>
          <v:shape id="_x0000_s2053" o:spid="_x0000_s2053" o:spt="32" type="#_x0000_t32" style="position:absolute;left:0pt;margin-left:182.55pt;margin-top:46.25pt;height:0pt;width:75.5pt;z-index:251661312;mso-width-relative:page;mso-height-relative:page;" o:connectortype="straight" filled="f" coordsize="21600,21600">
            <v:path arrowok="t"/>
            <v:fill on="f" focussize="0,0"/>
            <v:stroke/>
            <v:imagedata o:title=""/>
            <o:lock v:ext="edit"/>
          </v:shape>
        </w:pict>
      </w:r>
      <w:r>
        <w:rPr>
          <w:rFonts w:hint="eastAsia" w:asciiTheme="minorHAnsi" w:hAnsiTheme="minorHAnsi" w:cstheme="minorBidi"/>
          <w:color w:val="auto"/>
          <w:kern w:val="44"/>
          <w:sz w:val="44"/>
          <w:szCs w:val="44"/>
          <w:highlight w:val="none"/>
        </w:rPr>
        <w:pict>
          <v:shape id="_x0000_s2051" o:spid="_x0000_s2051" o:spt="32" type="#_x0000_t32" style="position:absolute;left:0pt;margin-left:183.1pt;margin-top:10.85pt;height:0pt;width:75.5pt;z-index:251660288;mso-width-relative:page;mso-height-relative:page;" o:connectortype="straight" filled="f" coordsize="21600,21600">
            <v:path arrowok="t"/>
            <v:fill on="f" focussize="0,0"/>
            <v:stroke/>
            <v:imagedata o:title=""/>
            <o:lock v:ext="edit"/>
          </v:shape>
        </w:pic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8"/>
        <w:rPr>
          <w:color w:val="auto"/>
          <w:highlight w:val="none"/>
        </w:rPr>
      </w:pPr>
    </w:p>
    <w:p>
      <w:pPr>
        <w:pStyle w:val="5"/>
        <w:rPr>
          <w:color w:val="auto"/>
          <w:highlight w:val="none"/>
        </w:rPr>
      </w:pPr>
      <w:bookmarkStart w:id="28" w:name="_Toc7040"/>
      <w:bookmarkStart w:id="29" w:name="_Toc88209934"/>
      <w:bookmarkStart w:id="30" w:name="_Toc87616371"/>
      <w:bookmarkStart w:id="31" w:name="_Toc7303"/>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ind w:firstLine="0"/>
        <w:rPr>
          <w:rFonts w:ascii="方正小标宋简体" w:eastAsia="方正小标宋简体"/>
          <w:color w:val="auto"/>
          <w:sz w:val="44"/>
          <w:szCs w:val="44"/>
          <w:highlight w:val="none"/>
        </w:rPr>
      </w:pPr>
    </w:p>
    <w:p>
      <w:pPr>
        <w:pStyle w:val="2"/>
        <w:ind w:firstLine="0"/>
        <w:rPr>
          <w:rFonts w:ascii="方正小标宋简体" w:eastAsia="方正小标宋简体"/>
          <w:color w:val="auto"/>
          <w:sz w:val="44"/>
          <w:szCs w:val="44"/>
          <w:highlight w:val="none"/>
        </w:rPr>
      </w:pPr>
    </w:p>
    <w:p>
      <w:pPr>
        <w:pStyle w:val="2"/>
        <w:ind w:firstLine="0"/>
        <w:rPr>
          <w:rFonts w:ascii="方正小标宋简体" w:eastAsia="方正小标宋简体"/>
          <w:color w:val="auto"/>
          <w:sz w:val="44"/>
          <w:szCs w:val="44"/>
          <w:highlight w:val="none"/>
        </w:rPr>
      </w:pPr>
    </w:p>
    <w:p>
      <w:pPr>
        <w:pStyle w:val="5"/>
        <w:rPr>
          <w:color w:val="auto"/>
          <w:highlight w:val="none"/>
        </w:rPr>
      </w:pPr>
      <w:bookmarkStart w:id="32" w:name="_Toc24895"/>
      <w:bookmarkStart w:id="33" w:name="_Toc3789"/>
      <w:r>
        <w:rPr>
          <w:rFonts w:hint="eastAsia"/>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4"/>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color w:val="auto"/>
          <w:highlight w:val="none"/>
        </w:rPr>
      </w:pPr>
      <w:bookmarkStart w:id="34" w:name="_Toc20594"/>
      <w:bookmarkStart w:id="35" w:name="_Toc19759"/>
      <w:bookmarkStart w:id="36" w:name="_Toc14552"/>
      <w:bookmarkStart w:id="37" w:name="_Toc3156"/>
      <w:bookmarkStart w:id="38" w:name="_Toc23581"/>
      <w:bookmarkStart w:id="39" w:name="_Toc4952"/>
      <w:bookmarkStart w:id="40" w:name="_Toc7437"/>
      <w:bookmarkStart w:id="41" w:name="_Toc7118"/>
      <w:bookmarkStart w:id="42" w:name="_Toc14870"/>
      <w:bookmarkStart w:id="43" w:name="_Toc19050"/>
      <w:bookmarkStart w:id="44" w:name="_Toc10930"/>
      <w:r>
        <w:rPr>
          <w:color w:val="auto"/>
          <w:highlight w:val="none"/>
        </w:rPr>
        <w:pict>
          <v:shape id="_x0000_s2055" o:spid="_x0000_s2055" o:spt="32" type="#_x0000_t32" style="position:absolute;left:0pt;margin-left:181.6pt;margin-top:56.7pt;height:0pt;width:75.5pt;z-index:251663360;mso-width-relative:page;mso-height-relative:page;" o:connectortype="straight" filled="f" coordsize="21600,21600">
            <v:path arrowok="t"/>
            <v:fill on="f" focussize="0,0"/>
            <v:stroke/>
            <v:imagedata o:title=""/>
            <o:lock v:ext="edit"/>
          </v:shape>
        </w:pict>
      </w:r>
      <w:r>
        <w:rPr>
          <w:color w:val="auto"/>
          <w:highlight w:val="none"/>
        </w:rPr>
        <w:pict>
          <v:shape id="_x0000_s2054" o:spid="_x0000_s2054" o:spt="32" type="#_x0000_t32" style="position:absolute;left:0pt;margin-left:183.1pt;margin-top:21.3pt;height:0pt;width:75.5pt;z-index:251662336;mso-width-relative:page;mso-height-relative:page;" o:connectortype="straight" filled="f" coordsize="21600,21600">
            <v:path arrowok="t"/>
            <v:fill on="f" focussize="0,0"/>
            <v:stroke/>
            <v:imagedata o:title=""/>
            <o:lock v:ext="edit"/>
          </v:shape>
        </w:pic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8"/>
        <w:rPr>
          <w:color w:val="auto"/>
          <w:highlight w:val="none"/>
        </w:rPr>
      </w:pPr>
    </w:p>
    <w:p>
      <w:pPr>
        <w:pStyle w:val="4"/>
        <w:rPr>
          <w:color w:val="auto"/>
          <w:highlight w:val="none"/>
        </w:rPr>
      </w:pPr>
      <w:bookmarkStart w:id="45" w:name="_Toc12177"/>
      <w:bookmarkStart w:id="46" w:name="_Toc6308"/>
      <w:bookmarkStart w:id="47" w:name="_Toc87616378"/>
      <w:bookmarkStart w:id="48" w:name="_Toc22212"/>
      <w:bookmarkStart w:id="49" w:name="_Toc29345"/>
      <w:bookmarkStart w:id="50" w:name="_Toc32607"/>
      <w:bookmarkStart w:id="51" w:name="_Toc88209941"/>
      <w:bookmarkStart w:id="52" w:name="_Toc29484"/>
      <w:bookmarkStart w:id="53" w:name="_Toc7831"/>
      <w:bookmarkStart w:id="54" w:name="_Toc21079"/>
      <w:bookmarkStart w:id="55" w:name="_Toc30530"/>
      <w:bookmarkStart w:id="56" w:name="_Toc13898"/>
      <w:bookmarkStart w:id="57" w:name="_Toc21840"/>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ind w:firstLine="0"/>
        <w:rPr>
          <w:rFonts w:ascii="方正小标宋简体" w:eastAsia="方正小标宋简体"/>
          <w:color w:val="auto"/>
          <w:sz w:val="44"/>
          <w:szCs w:val="44"/>
          <w:highlight w:val="none"/>
        </w:rPr>
      </w:pPr>
    </w:p>
    <w:p>
      <w:pPr>
        <w:pStyle w:val="5"/>
        <w:rPr>
          <w:color w:val="auto"/>
          <w:highlight w:val="none"/>
        </w:rPr>
      </w:pPr>
      <w:bookmarkStart w:id="58" w:name="_Toc23033"/>
      <w:bookmarkStart w:id="59" w:name="_Toc26826"/>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4"/>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hint="eastAsia" w:ascii="仿宋_GB2312" w:eastAsia="仿宋_GB2312" w:hAnsiTheme="minorEastAsia"/>
          <w:color w:val="auto"/>
          <w:szCs w:val="21"/>
          <w:highlight w:val="none"/>
          <w:lang w:eastAsia="zh-CN"/>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
        <w:ind w:firstLine="0"/>
        <w:rPr>
          <w:rFonts w:ascii="仿宋_GB2312" w:eastAsia="仿宋_GB2312" w:hAnsiTheme="minorEastAsia"/>
          <w:color w:val="auto"/>
          <w:szCs w:val="21"/>
          <w:highlight w:val="none"/>
        </w:rPr>
      </w:pPr>
    </w:p>
    <w:p>
      <w:pPr>
        <w:pStyle w:val="4"/>
        <w:rPr>
          <w:color w:val="auto"/>
          <w:highlight w:val="none"/>
        </w:rPr>
      </w:pPr>
      <w:bookmarkStart w:id="60" w:name="_Toc88209947"/>
      <w:r>
        <w:rPr>
          <w:color w:val="auto"/>
          <w:highlight w:val="none"/>
        </w:rPr>
        <w:pict>
          <v:shape id="_x0000_s2072" o:spid="_x0000_s2072" o:spt="32" type="#_x0000_t32" style="position:absolute;left:0pt;margin-left:184.3pt;margin-top:58.7pt;height:0pt;width:75.5pt;z-index:251675648;mso-width-relative:page;mso-height-relative:page;" o:connectortype="straight" filled="f" coordsize="21600,21600">
            <v:path arrowok="t"/>
            <v:fill on="f" focussize="0,0"/>
            <v:stroke/>
            <v:imagedata o:title=""/>
            <o:lock v:ext="edit"/>
          </v:shape>
        </w:pict>
      </w:r>
      <w:r>
        <w:rPr>
          <w:color w:val="auto"/>
          <w:highlight w:val="none"/>
        </w:rPr>
        <w:pict>
          <v:shape id="_x0000_s2073" o:spid="_x0000_s2073" o:spt="32" type="#_x0000_t32" style="position:absolute;left:0pt;margin-left:184.9pt;margin-top:8.5pt;height:0pt;width:75.5pt;z-index:251674624;mso-width-relative:page;mso-height-relative:page;" o:connectortype="straight" filled="f" coordsize="21600,21600">
            <v:path arrowok="t"/>
            <v:fill on="f" focussize="0,0"/>
            <v:stroke/>
            <v:imagedata o:title=""/>
            <o:lock v:ext="edit"/>
          </v:shape>
        </w:pic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5"/>
        <w:rPr>
          <w:rFonts w:hint="eastAsia"/>
          <w:color w:val="auto"/>
          <w:highlight w:val="none"/>
        </w:rPr>
      </w:pPr>
    </w:p>
    <w:p>
      <w:pPr>
        <w:pStyle w:val="5"/>
        <w:rPr>
          <w:rFonts w:hint="eastAsia"/>
          <w:color w:val="auto"/>
          <w:szCs w:val="44"/>
          <w:highlight w:val="none"/>
        </w:rPr>
      </w:pPr>
      <w:r>
        <w:rPr>
          <w:rFonts w:hint="eastAsia"/>
          <w:color w:val="auto"/>
          <w:szCs w:val="44"/>
          <w:highlight w:val="none"/>
        </w:rPr>
        <w:t>采购需求</w:t>
      </w:r>
    </w:p>
    <w:p>
      <w:pPr>
        <w:rPr>
          <w:rFonts w:hint="eastAsia"/>
          <w:color w:val="auto"/>
          <w:sz w:val="36"/>
          <w:szCs w:val="44"/>
          <w:highlight w:val="none"/>
          <w:lang w:val="en-US" w:eastAsia="zh-CN"/>
        </w:rPr>
      </w:pPr>
      <w:r>
        <w:rPr>
          <w:rFonts w:hint="eastAsia"/>
          <w:color w:val="auto"/>
          <w:sz w:val="36"/>
          <w:szCs w:val="44"/>
          <w:highlight w:val="none"/>
          <w:lang w:val="en-US" w:eastAsia="zh-CN"/>
        </w:rPr>
        <w:br w:type="page"/>
      </w:r>
    </w:p>
    <w:p>
      <w:pPr>
        <w:pStyle w:val="12"/>
        <w:keepNext w:val="0"/>
        <w:keepLines w:val="0"/>
        <w:pageBreakBefore w:val="0"/>
        <w:numPr>
          <w:ilvl w:val="0"/>
          <w:numId w:val="4"/>
        </w:numPr>
        <w:kinsoku/>
        <w:wordWrap/>
        <w:overflowPunct/>
        <w:topLinePunct w:val="0"/>
        <w:bidi w:val="0"/>
        <w:adjustRightInd w:val="0"/>
        <w:snapToGrid w:val="0"/>
        <w:spacing w:line="560" w:lineRule="exact"/>
        <w:rPr>
          <w:rFonts w:hint="eastAsia" w:ascii="仿宋" w:hAnsi="仿宋" w:eastAsia="仿宋" w:cs="仿宋"/>
          <w:b/>
          <w:color w:val="auto"/>
          <w:sz w:val="28"/>
          <w:szCs w:val="28"/>
          <w:highlight w:val="none"/>
          <w:lang w:val="zh-CN"/>
        </w:rPr>
      </w:pPr>
      <w:r>
        <w:rPr>
          <w:rFonts w:hint="eastAsia" w:ascii="仿宋" w:hAnsi="仿宋" w:eastAsia="仿宋" w:cs="仿宋"/>
          <w:b/>
          <w:color w:val="auto"/>
          <w:sz w:val="28"/>
          <w:szCs w:val="28"/>
          <w:highlight w:val="none"/>
          <w:lang w:val="zh-CN"/>
        </w:rPr>
        <w:t>项目概况</w:t>
      </w:r>
    </w:p>
    <w:p>
      <w:pPr>
        <w:pStyle w:val="2"/>
        <w:ind w:firstLine="560" w:firstLineChars="200"/>
        <w:rPr>
          <w:rFonts w:hint="eastAsia" w:eastAsia="宋体" w:cs="宋体"/>
          <w:color w:val="auto"/>
          <w:kern w:val="0"/>
          <w:sz w:val="28"/>
          <w:szCs w:val="28"/>
          <w:highlight w:val="none"/>
          <w:lang w:val="en-US" w:eastAsia="zh-CN"/>
        </w:rPr>
      </w:pPr>
      <w:r>
        <w:rPr>
          <w:rFonts w:hint="eastAsia" w:eastAsia="宋体" w:cs="宋体"/>
          <w:color w:val="auto"/>
          <w:kern w:val="0"/>
          <w:sz w:val="28"/>
          <w:szCs w:val="28"/>
          <w:highlight w:val="none"/>
          <w:lang w:eastAsia="zh-CN"/>
        </w:rPr>
        <w:t>本项目统筹开展沥滘分公司、健康城分公司、江高分公司的固定式气体检测仪项目询价，根据</w:t>
      </w:r>
      <w:r>
        <w:rPr>
          <w:rFonts w:hint="eastAsia" w:eastAsia="宋体" w:cs="宋体"/>
          <w:color w:val="auto"/>
          <w:kern w:val="0"/>
          <w:sz w:val="28"/>
          <w:szCs w:val="28"/>
          <w:highlight w:val="none"/>
          <w:lang w:val="en-US" w:eastAsia="zh-CN"/>
        </w:rPr>
        <w:t>3个分公司需求，将项目分成标段一、标段二开展。询价后由3个分公司各自与合作单位签订合同。</w:t>
      </w:r>
    </w:p>
    <w:p>
      <w:pPr>
        <w:pStyle w:val="2"/>
        <w:ind w:firstLine="560" w:firstLineChars="200"/>
        <w:rPr>
          <w:rFonts w:hint="eastAsia" w:ascii="宋体" w:hAnsi="宋体" w:eastAsia="宋体" w:cs="宋体"/>
          <w:color w:val="auto"/>
          <w:sz w:val="28"/>
          <w:szCs w:val="28"/>
          <w:highlight w:val="none"/>
          <w:lang w:val="en-US" w:eastAsia="zh-CN"/>
        </w:rPr>
      </w:pPr>
      <w:r>
        <w:rPr>
          <w:rFonts w:hint="eastAsia" w:eastAsia="宋体" w:cs="宋体"/>
          <w:color w:val="auto"/>
          <w:kern w:val="0"/>
          <w:sz w:val="28"/>
          <w:szCs w:val="28"/>
          <w:highlight w:val="none"/>
          <w:lang w:val="en-US" w:eastAsia="zh-CN"/>
        </w:rPr>
        <w:t>标段一是设备购置，具体是</w:t>
      </w:r>
      <w:r>
        <w:rPr>
          <w:rFonts w:hint="eastAsia" w:ascii="宋体" w:hAnsi="宋体" w:eastAsia="宋体" w:cs="宋体"/>
          <w:color w:val="auto"/>
          <w:kern w:val="0"/>
          <w:sz w:val="28"/>
          <w:szCs w:val="28"/>
          <w:highlight w:val="none"/>
          <w:lang w:eastAsia="zh-CN"/>
        </w:rPr>
        <w:t>沥滘分公司拟购置</w:t>
      </w:r>
      <w:r>
        <w:rPr>
          <w:rFonts w:hint="eastAsia" w:ascii="宋体" w:hAnsi="宋体" w:eastAsia="宋体" w:cs="宋体"/>
          <w:color w:val="auto"/>
          <w:kern w:val="0"/>
          <w:sz w:val="28"/>
          <w:szCs w:val="28"/>
          <w:highlight w:val="none"/>
          <w:lang w:val="en-US" w:eastAsia="zh-CN"/>
        </w:rPr>
        <w:t>8</w:t>
      </w:r>
      <w:r>
        <w:rPr>
          <w:rFonts w:hint="eastAsia" w:eastAsia="宋体" w:cs="宋体"/>
          <w:color w:val="auto"/>
          <w:kern w:val="0"/>
          <w:sz w:val="28"/>
          <w:szCs w:val="28"/>
          <w:highlight w:val="none"/>
          <w:lang w:val="en-US" w:eastAsia="zh-CN"/>
        </w:rPr>
        <w:t>台</w:t>
      </w:r>
      <w:r>
        <w:rPr>
          <w:rFonts w:hint="eastAsia" w:ascii="宋体" w:hAnsi="宋体" w:eastAsia="宋体" w:cs="宋体"/>
          <w:color w:val="auto"/>
          <w:kern w:val="0"/>
          <w:sz w:val="28"/>
          <w:szCs w:val="28"/>
          <w:highlight w:val="none"/>
        </w:rPr>
        <w:t>固定式气体检测仪</w:t>
      </w:r>
      <w:r>
        <w:rPr>
          <w:rFonts w:hint="eastAsia" w:ascii="宋体" w:hAnsi="宋体" w:eastAsia="宋体" w:cs="宋体"/>
          <w:color w:val="auto"/>
          <w:kern w:val="0"/>
          <w:sz w:val="28"/>
          <w:szCs w:val="28"/>
          <w:highlight w:val="none"/>
          <w:lang w:eastAsia="zh-CN"/>
        </w:rPr>
        <w:t>及</w:t>
      </w:r>
      <w:r>
        <w:rPr>
          <w:rFonts w:hint="eastAsia" w:ascii="宋体" w:hAnsi="宋体" w:eastAsia="宋体" w:cs="宋体"/>
          <w:color w:val="auto"/>
          <w:kern w:val="0"/>
          <w:sz w:val="28"/>
          <w:szCs w:val="28"/>
          <w:highlight w:val="none"/>
        </w:rPr>
        <w:t>2套</w:t>
      </w:r>
      <w:r>
        <w:rPr>
          <w:rFonts w:hint="eastAsia" w:ascii="宋体" w:hAnsi="宋体" w:eastAsia="宋体" w:cs="宋体"/>
          <w:color w:val="auto"/>
          <w:kern w:val="0"/>
          <w:sz w:val="28"/>
          <w:szCs w:val="28"/>
          <w:highlight w:val="none"/>
          <w:lang w:eastAsia="zh-CN"/>
        </w:rPr>
        <w:t>多通道控制器；</w:t>
      </w:r>
      <w:r>
        <w:rPr>
          <w:rFonts w:hint="eastAsia" w:ascii="宋体" w:hAnsi="宋体" w:eastAsia="宋体" w:cs="宋体"/>
          <w:color w:val="auto"/>
          <w:sz w:val="28"/>
          <w:szCs w:val="28"/>
          <w:highlight w:val="none"/>
          <w:lang w:val="en-US" w:eastAsia="zh-CN"/>
        </w:rPr>
        <w:t>健康城分公司拟购置35套固定式气体检测仪。</w:t>
      </w:r>
    </w:p>
    <w:p>
      <w:pPr>
        <w:pStyle w:val="2"/>
        <w:ind w:firstLine="560" w:firstLineChars="200"/>
        <w:rPr>
          <w:rFonts w:hint="eastAsia" w:eastAsia="宋体" w:cs="宋体"/>
          <w:color w:val="auto"/>
          <w:sz w:val="28"/>
          <w:szCs w:val="28"/>
          <w:highlight w:val="none"/>
          <w:lang w:val="en-US" w:eastAsia="zh-CN"/>
        </w:rPr>
      </w:pPr>
      <w:r>
        <w:rPr>
          <w:rFonts w:hint="eastAsia" w:eastAsia="宋体" w:cs="宋体"/>
          <w:color w:val="auto"/>
          <w:sz w:val="28"/>
          <w:szCs w:val="28"/>
          <w:highlight w:val="none"/>
          <w:lang w:val="en-US" w:eastAsia="zh-CN"/>
        </w:rPr>
        <w:t>标段二是设备购置及安装，具体是江高分公司拟购置20台固定式气体检测仪及5套多通道控制器铺设安装至5个区域，并将检测及报警信号传输至指定PLC柜及中控统一管理。</w:t>
      </w:r>
    </w:p>
    <w:p>
      <w:pPr>
        <w:pStyle w:val="2"/>
        <w:ind w:firstLine="562" w:firstLineChars="200"/>
        <w:rPr>
          <w:rFonts w:hint="default" w:eastAsia="宋体" w:cs="宋体"/>
          <w:b/>
          <w:bCs/>
          <w:color w:val="auto"/>
          <w:sz w:val="28"/>
          <w:szCs w:val="28"/>
          <w:highlight w:val="none"/>
          <w:lang w:val="en-US" w:eastAsia="zh-CN"/>
        </w:rPr>
      </w:pPr>
      <w:r>
        <w:rPr>
          <w:rFonts w:hint="eastAsia" w:eastAsia="宋体" w:cs="宋体"/>
          <w:b/>
          <w:bCs/>
          <w:color w:val="auto"/>
          <w:sz w:val="28"/>
          <w:szCs w:val="28"/>
          <w:highlight w:val="none"/>
          <w:lang w:val="en-US" w:eastAsia="zh-CN"/>
        </w:rPr>
        <w:t>二、标段一</w:t>
      </w:r>
      <w:r>
        <w:rPr>
          <w:rFonts w:hint="eastAsia" w:ascii="仿宋_GB2312" w:hAnsi="仿宋_GB2312" w:eastAsia="仿宋_GB2312" w:cs="仿宋_GB2312"/>
          <w:b/>
          <w:bCs/>
          <w:color w:val="auto"/>
          <w:sz w:val="28"/>
          <w:szCs w:val="28"/>
          <w:highlight w:val="none"/>
          <w:lang w:val="en-US" w:eastAsia="zh-CN"/>
        </w:rPr>
        <w:t>技术要求</w:t>
      </w:r>
      <w:r>
        <w:rPr>
          <w:rFonts w:hint="eastAsia" w:eastAsia="宋体" w:cs="宋体"/>
          <w:b/>
          <w:bCs/>
          <w:color w:val="auto"/>
          <w:sz w:val="28"/>
          <w:szCs w:val="28"/>
          <w:highlight w:val="none"/>
          <w:lang w:val="en-US" w:eastAsia="zh-CN"/>
        </w:rPr>
        <w:t>:</w:t>
      </w:r>
    </w:p>
    <w:tbl>
      <w:tblPr>
        <w:tblStyle w:val="23"/>
        <w:tblpPr w:leftFromText="180" w:rightFromText="180" w:vertAnchor="text" w:horzAnchor="page" w:tblpX="1176" w:tblpY="432"/>
        <w:tblOverlap w:val="never"/>
        <w:tblW w:w="1009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2"/>
        <w:gridCol w:w="1619"/>
        <w:gridCol w:w="834"/>
        <w:gridCol w:w="5681"/>
        <w:gridCol w:w="12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5" w:hRule="atLeast"/>
        </w:trPr>
        <w:tc>
          <w:tcPr>
            <w:tcW w:w="6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需求单位</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设备名称</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采购</w:t>
            </w:r>
          </w:p>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数量</w:t>
            </w:r>
          </w:p>
        </w:tc>
        <w:tc>
          <w:tcPr>
            <w:tcW w:w="5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设备参数</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6" w:hRule="atLeast"/>
        </w:trPr>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沥滘分公司</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固定式气体检测仪-氧气</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2台</w:t>
            </w:r>
          </w:p>
        </w:tc>
        <w:tc>
          <w:tcPr>
            <w:tcW w:w="5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1.检测方式：扩散.</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2.检测精度：≤±3%FS</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3.响应速度：T90＜20s。</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4.重复性：≤±1%。</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5.传感器环境条件（温度/湿度）：-20至60°C；</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6.湿度：≤95%RH，无冷凝。</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7.防护等级：IP65，可燃气体检测仪须提供防爆合格证明材料。</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8.报警方式：二级声光报警，一二级有明显区别（二级报警光更亮、声更尖锐紧凑）。</w:t>
            </w:r>
          </w:p>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9.信号输出：RS-485或4-20mA模拟量输出，支持modbus通讯协议、开关报警信号输出，实时检测、定时检测,实时存储、定时存储可设置。</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仿宋"/>
                <w:b w:val="0"/>
                <w:bCs/>
                <w:i w:val="0"/>
                <w:color w:val="auto"/>
                <w:kern w:val="0"/>
                <w:sz w:val="22"/>
                <w:szCs w:val="22"/>
                <w:highlight w:val="none"/>
                <w:u w:val="none"/>
                <w:lang w:val="en-US" w:eastAsia="zh-CN" w:bidi="ar"/>
              </w:rPr>
            </w:pPr>
            <w:r>
              <w:rPr>
                <w:rFonts w:hint="eastAsia" w:ascii="仿宋" w:hAnsi="仿宋" w:eastAsia="仿宋" w:cs="仿宋"/>
                <w:b w:val="0"/>
                <w:bCs/>
                <w:i w:val="0"/>
                <w:color w:val="auto"/>
                <w:kern w:val="0"/>
                <w:sz w:val="22"/>
                <w:szCs w:val="22"/>
                <w:highlight w:val="none"/>
                <w:u w:val="none"/>
                <w:lang w:val="en-US" w:eastAsia="zh-CN" w:bidi="ar"/>
              </w:rPr>
              <w:t>测量范围：19-24%vol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固定式气体检测仪-可燃气体</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2台</w:t>
            </w:r>
          </w:p>
        </w:tc>
        <w:tc>
          <w:tcPr>
            <w:tcW w:w="5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2"/>
                <w:szCs w:val="22"/>
                <w:highlight w:val="none"/>
                <w:u w:val="none"/>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仿宋"/>
                <w:b w:val="0"/>
                <w:bCs/>
                <w:i w:val="0"/>
                <w:color w:val="auto"/>
                <w:kern w:val="0"/>
                <w:sz w:val="22"/>
                <w:szCs w:val="22"/>
                <w:highlight w:val="none"/>
                <w:u w:val="none"/>
                <w:lang w:val="en-US" w:eastAsia="zh-CN" w:bidi="ar"/>
              </w:rPr>
            </w:pPr>
            <w:r>
              <w:rPr>
                <w:rFonts w:hint="eastAsia" w:ascii="仿宋" w:hAnsi="仿宋" w:eastAsia="仿宋" w:cs="仿宋"/>
                <w:b w:val="0"/>
                <w:bCs/>
                <w:i w:val="0"/>
                <w:color w:val="auto"/>
                <w:kern w:val="0"/>
                <w:sz w:val="22"/>
                <w:szCs w:val="22"/>
                <w:highlight w:val="none"/>
                <w:u w:val="none"/>
                <w:lang w:val="en-US" w:eastAsia="zh-CN" w:bidi="ar"/>
              </w:rPr>
              <w:t>测量范围：0-100%lel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6"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固定式气体检测仪-硫化氢</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2台</w:t>
            </w:r>
          </w:p>
        </w:tc>
        <w:tc>
          <w:tcPr>
            <w:tcW w:w="5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2"/>
                <w:szCs w:val="22"/>
                <w:highlight w:val="none"/>
                <w:u w:val="none"/>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仿宋"/>
                <w:b w:val="0"/>
                <w:bCs/>
                <w:i w:val="0"/>
                <w:color w:val="auto"/>
                <w:kern w:val="0"/>
                <w:sz w:val="22"/>
                <w:szCs w:val="22"/>
                <w:highlight w:val="none"/>
                <w:u w:val="none"/>
                <w:lang w:val="en-US" w:eastAsia="zh-CN" w:bidi="ar"/>
              </w:rPr>
            </w:pPr>
            <w:r>
              <w:rPr>
                <w:rFonts w:hint="eastAsia" w:ascii="仿宋" w:hAnsi="仿宋" w:eastAsia="仿宋" w:cs="仿宋"/>
                <w:b w:val="0"/>
                <w:bCs/>
                <w:i w:val="0"/>
                <w:color w:val="auto"/>
                <w:kern w:val="0"/>
                <w:sz w:val="22"/>
                <w:szCs w:val="22"/>
                <w:highlight w:val="none"/>
                <w:u w:val="none"/>
                <w:lang w:val="en-US" w:eastAsia="zh-CN" w:bidi="ar"/>
              </w:rPr>
              <w:t>测量范围：0-10ppm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1"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固定式气体检测仪-氨气</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2台</w:t>
            </w:r>
          </w:p>
        </w:tc>
        <w:tc>
          <w:tcPr>
            <w:tcW w:w="5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2"/>
                <w:szCs w:val="22"/>
                <w:highlight w:val="none"/>
                <w:u w:val="none"/>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仿宋"/>
                <w:b w:val="0"/>
                <w:bCs/>
                <w:i w:val="0"/>
                <w:color w:val="auto"/>
                <w:kern w:val="0"/>
                <w:sz w:val="22"/>
                <w:szCs w:val="22"/>
                <w:highlight w:val="none"/>
                <w:u w:val="none"/>
                <w:lang w:val="en-US" w:eastAsia="zh-CN" w:bidi="ar"/>
              </w:rPr>
            </w:pPr>
            <w:r>
              <w:rPr>
                <w:rFonts w:hint="eastAsia" w:ascii="仿宋" w:hAnsi="仿宋" w:eastAsia="仿宋" w:cs="仿宋"/>
                <w:b w:val="0"/>
                <w:bCs/>
                <w:i w:val="0"/>
                <w:color w:val="auto"/>
                <w:kern w:val="0"/>
                <w:sz w:val="22"/>
                <w:szCs w:val="22"/>
                <w:highlight w:val="none"/>
                <w:u w:val="none"/>
                <w:lang w:val="en-US" w:eastAsia="zh-CN" w:bidi="ar"/>
              </w:rPr>
              <w:t>测量范围：0-30ppm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7"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多通道控制器</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2套</w:t>
            </w:r>
          </w:p>
        </w:tc>
        <w:tc>
          <w:tcPr>
            <w:tcW w:w="5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1.高清液晶显示、分辨率高、视觉效果佳。</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2.具备功能快捷键、数字键盘、触摸按键、操作方便简单。</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3.信号输入、输出：支持RS-485或4-20mA模拟量输出，支持modbus通讯协议、开关报警信号输出，实时检测、定时检测可设置，实时存储、定时存储可设置。</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4.具备强大数据统计分析，报警、故障总数累计。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5.大容量数据记录存储、查询，数据导出灵活。</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6.控制器可对探头进行零点、跨度校准及参数设置.。</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7.支持市电220V供电及蓄电池备用供电（可改动），无缝切换。</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8.可靠性强、多级防护措施，具有脉冲及静电保护。</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9.具有相对独立、互不影响的报警功能，并能区分和识别报警场所位号。</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7" w:hRule="atLeast"/>
        </w:trPr>
        <w:tc>
          <w:tcPr>
            <w:tcW w:w="6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健康城分公司</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四合一固定式气体检测仪（可检测氧气、一氧化碳、可燃气体、硫化氢）</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35套</w:t>
            </w:r>
          </w:p>
        </w:tc>
        <w:tc>
          <w:tcPr>
            <w:tcW w:w="56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r>
              <w:rPr>
                <w:rFonts w:hint="eastAsia" w:ascii="宋体" w:hAnsi="宋体" w:eastAsia="宋体" w:cs="宋体"/>
                <w:b/>
                <w:bCs/>
                <w:i w:val="0"/>
                <w:iCs w:val="0"/>
                <w:color w:val="auto"/>
                <w:kern w:val="0"/>
                <w:sz w:val="22"/>
                <w:szCs w:val="22"/>
                <w:highlight w:val="none"/>
                <w:u w:val="none"/>
                <w:lang w:val="en-US" w:eastAsia="zh-CN" w:bidi="ar"/>
              </w:rPr>
              <w:t>每套均设四种不同检测探头（可检测氧气、一氧化碳、可燃气体、硫化氢），可安装在不同检测高度；</w:t>
            </w:r>
          </w:p>
          <w:p>
            <w:pPr>
              <w:widowControl/>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2.检测方式：扩散。</w:t>
            </w:r>
          </w:p>
          <w:p>
            <w:pPr>
              <w:widowControl/>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3.检测精度：≤±3%FS。</w:t>
            </w:r>
          </w:p>
          <w:p>
            <w:pPr>
              <w:widowControl/>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4.响应速度：T90＜20s。</w:t>
            </w:r>
          </w:p>
          <w:p>
            <w:pPr>
              <w:widowControl/>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5.重复性：≤±1%。</w:t>
            </w:r>
          </w:p>
          <w:p>
            <w:pPr>
              <w:widowControl/>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6.传感器环境条件（温度/湿度）：-20至60°C，≤95%RH，无冷凝。</w:t>
            </w:r>
          </w:p>
          <w:p>
            <w:pPr>
              <w:widowControl/>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7.防护等级：IP65，可燃气体检测仪须提供防爆合格证明材料。</w:t>
            </w:r>
          </w:p>
          <w:p>
            <w:pPr>
              <w:widowControl/>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8.报警方式：二级声光报警，一二级有明显区别（二级报警光更亮、声更尖锐紧凑）。</w:t>
            </w:r>
          </w:p>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9.信号输出：RS-485或4-20mA模拟量输出，支持modbus通讯协议、开关报警信号输出，实时检测、定时检测,实时存储、定时存储可设置。</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氧气测量范围：19-24%vol</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一氧化碳测量范围：0-35ppm</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甲烷/可燃气体测量范围：0-100%lel</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硫化氢测量范围：0-10ppm</w:t>
            </w:r>
          </w:p>
        </w:tc>
      </w:tr>
      <w:bookmarkEnd w:id="60"/>
    </w:tbl>
    <w:p>
      <w:pPr>
        <w:keepNext w:val="0"/>
        <w:keepLines w:val="0"/>
        <w:pageBreakBefore w:val="0"/>
        <w:kinsoku/>
        <w:wordWrap/>
        <w:overflowPunct/>
        <w:topLinePunct w:val="0"/>
        <w:autoSpaceDE w:val="0"/>
        <w:autoSpaceDN w:val="0"/>
        <w:bidi w:val="0"/>
        <w:adjustRightInd w:val="0"/>
        <w:snapToGrid w:val="0"/>
        <w:spacing w:line="560" w:lineRule="exact"/>
        <w:ind w:firstLine="560" w:firstLineChars="200"/>
        <w:rPr>
          <w:rFonts w:hint="eastAsia" w:ascii="微软雅黑" w:hAnsi="微软雅黑" w:eastAsia="微软雅黑" w:cs="微软雅黑"/>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宋体" w:eastAsia="仿宋_GB2312" w:cs="宋体"/>
          <w:color w:val="auto"/>
          <w:kern w:val="0"/>
          <w:sz w:val="28"/>
          <w:szCs w:val="28"/>
          <w:highlight w:val="none"/>
        </w:rPr>
        <w:t>所</w:t>
      </w:r>
      <w:r>
        <w:rPr>
          <w:rFonts w:hint="eastAsia" w:ascii="仿宋_GB2312" w:hAnsi="仿宋_GB2312" w:eastAsia="仿宋_GB2312" w:cs="仿宋_GB2312"/>
          <w:color w:val="auto"/>
          <w:sz w:val="28"/>
          <w:szCs w:val="28"/>
          <w:highlight w:val="none"/>
        </w:rPr>
        <w:t>提供的货物及配件是</w:t>
      </w:r>
      <w:r>
        <w:rPr>
          <w:rFonts w:hint="eastAsia" w:ascii="仿宋_GB2312" w:hAnsi="仿宋_GB2312" w:eastAsia="仿宋_GB2312" w:cs="仿宋_GB2312"/>
          <w:color w:val="auto"/>
          <w:sz w:val="28"/>
          <w:szCs w:val="28"/>
          <w:highlight w:val="none"/>
          <w:lang w:val="zh-CN"/>
        </w:rPr>
        <w:t>全新合格产品，应响应询价人全部设备参数要求，</w:t>
      </w:r>
      <w:r>
        <w:rPr>
          <w:rFonts w:hint="eastAsia" w:ascii="仿宋_GB2312" w:hAnsi="仿宋_GB2312" w:eastAsia="仿宋_GB2312" w:cs="仿宋_GB2312"/>
          <w:color w:val="auto"/>
          <w:sz w:val="28"/>
          <w:szCs w:val="28"/>
          <w:highlight w:val="none"/>
        </w:rPr>
        <w:t>应</w:t>
      </w:r>
      <w:r>
        <w:rPr>
          <w:rFonts w:hint="eastAsia" w:ascii="仿宋_GB2312" w:hAnsi="宋体" w:eastAsia="仿宋_GB2312" w:cs="宋体"/>
          <w:color w:val="auto"/>
          <w:kern w:val="0"/>
          <w:sz w:val="28"/>
          <w:szCs w:val="28"/>
          <w:highlight w:val="none"/>
        </w:rPr>
        <w:t>符合国家标准及相关认证，</w:t>
      </w:r>
      <w:r>
        <w:rPr>
          <w:rFonts w:hint="eastAsia" w:ascii="仿宋_GB2312" w:hAnsi="宋体" w:eastAsia="仿宋_GB2312" w:cs="宋体"/>
          <w:color w:val="auto"/>
          <w:kern w:val="0"/>
          <w:sz w:val="28"/>
          <w:szCs w:val="28"/>
          <w:highlight w:val="none"/>
          <w:lang w:val="en-US" w:eastAsia="zh-CN"/>
        </w:rPr>
        <w:t>供货时须</w:t>
      </w:r>
      <w:r>
        <w:rPr>
          <w:rFonts w:hint="eastAsia" w:ascii="仿宋_GB2312" w:hAnsi="宋体" w:eastAsia="仿宋_GB2312" w:cs="宋体"/>
          <w:color w:val="auto"/>
          <w:kern w:val="0"/>
          <w:sz w:val="28"/>
          <w:szCs w:val="28"/>
          <w:highlight w:val="none"/>
        </w:rPr>
        <w:t>提供检测仪的国家防爆认证材料及产品符合国家相关标准的其它证明材料。</w:t>
      </w:r>
    </w:p>
    <w:p>
      <w:pPr>
        <w:pStyle w:val="12"/>
        <w:adjustRightInd w:val="0"/>
        <w:snapToGrid w:val="0"/>
        <w:spacing w:line="30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lang w:val="zh-CN"/>
        </w:rPr>
        <w:t>货物质量应符合沥滘分公司、健康城分公司现场的使用要求、符合有关机构发布的最新行业标准或国家标准。</w:t>
      </w:r>
    </w:p>
    <w:p>
      <w:pPr>
        <w:adjustRightInd w:val="0"/>
        <w:snapToGrid w:val="0"/>
        <w:spacing w:line="600" w:lineRule="exact"/>
        <w:ind w:firstLine="0" w:firstLineChars="0"/>
        <w:jc w:val="left"/>
        <w:rPr>
          <w:rFonts w:ascii="仿宋_GB2312" w:eastAsia="仿宋_GB2312"/>
          <w:color w:val="auto"/>
          <w:sz w:val="28"/>
          <w:szCs w:val="28"/>
          <w:highlight w:val="none"/>
        </w:rPr>
      </w:pPr>
    </w:p>
    <w:p>
      <w:pPr>
        <w:pStyle w:val="2"/>
        <w:ind w:firstLine="562" w:firstLineChars="200"/>
        <w:jc w:val="left"/>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三、标段二</w:t>
      </w:r>
      <w:r>
        <w:rPr>
          <w:rFonts w:hint="eastAsia" w:ascii="仿宋_GB2312" w:hAnsi="仿宋_GB2312" w:eastAsia="仿宋_GB2312" w:cs="仿宋_GB2312"/>
          <w:b/>
          <w:bCs/>
          <w:color w:val="auto"/>
          <w:sz w:val="28"/>
          <w:szCs w:val="28"/>
          <w:highlight w:val="none"/>
          <w:lang w:val="en-US" w:eastAsia="zh-CN"/>
        </w:rPr>
        <w:t>技术要求：</w:t>
      </w:r>
    </w:p>
    <w:p>
      <w:pPr>
        <w:pStyle w:val="29"/>
        <w:ind w:firstLine="560" w:firstLineChars="200"/>
        <w:rPr>
          <w:rFonts w:hint="default" w:ascii="仿宋_GB2312" w:hAnsi="仿宋_GB2312" w:cs="仿宋_GB2312"/>
          <w:color w:val="auto"/>
          <w:kern w:val="2"/>
          <w:sz w:val="28"/>
          <w:szCs w:val="28"/>
          <w:highlight w:val="none"/>
          <w:lang w:val="en-US" w:eastAsia="zh-CN" w:bidi="ar-SA"/>
        </w:rPr>
      </w:pPr>
      <w:r>
        <w:rPr>
          <w:rFonts w:hint="eastAsia" w:ascii="仿宋_GB2312" w:hAnsi="仿宋_GB2312" w:cs="仿宋_GB2312"/>
          <w:color w:val="auto"/>
          <w:kern w:val="2"/>
          <w:sz w:val="28"/>
          <w:szCs w:val="28"/>
          <w:highlight w:val="none"/>
          <w:lang w:val="en-US" w:eastAsia="zh-CN" w:bidi="ar-SA"/>
        </w:rPr>
        <w:t>1.安装要求</w:t>
      </w:r>
    </w:p>
    <w:p>
      <w:pPr>
        <w:pStyle w:val="29"/>
        <w:ind w:firstLine="560" w:firstLineChars="200"/>
        <w:rPr>
          <w:rFonts w:hint="eastAsia" w:ascii="仿宋_GB2312" w:hAnsi="仿宋_GB2312" w:cs="仿宋_GB2312"/>
          <w:color w:val="auto"/>
          <w:kern w:val="2"/>
          <w:sz w:val="28"/>
          <w:szCs w:val="28"/>
          <w:highlight w:val="none"/>
          <w:lang w:val="en-US" w:eastAsia="zh-CN" w:bidi="ar-SA"/>
        </w:rPr>
      </w:pPr>
      <w:r>
        <w:rPr>
          <w:rFonts w:hint="eastAsia" w:ascii="仿宋_GB2312" w:hAnsi="仿宋_GB2312" w:cs="仿宋_GB2312"/>
          <w:color w:val="auto"/>
          <w:kern w:val="2"/>
          <w:sz w:val="28"/>
          <w:szCs w:val="28"/>
          <w:highlight w:val="none"/>
          <w:lang w:val="en-US" w:eastAsia="zh-CN" w:bidi="ar-SA"/>
        </w:rPr>
        <w:t>（1）在江高分公司地下一层的5个区域</w:t>
      </w:r>
      <w:r>
        <w:rPr>
          <w:rFonts w:hint="eastAsia" w:ascii="仿宋_GB2312" w:hAnsi="仿宋_GB2312" w:eastAsia="仿宋_GB2312" w:cs="仿宋_GB2312"/>
          <w:color w:val="auto"/>
          <w:kern w:val="2"/>
          <w:sz w:val="28"/>
          <w:szCs w:val="28"/>
          <w:highlight w:val="none"/>
          <w:lang w:val="en-US" w:eastAsia="zh-CN" w:bidi="ar-SA"/>
        </w:rPr>
        <w:t>安装</w:t>
      </w:r>
      <w:r>
        <w:rPr>
          <w:rFonts w:hint="eastAsia" w:ascii="仿宋_GB2312" w:hAnsi="仿宋_GB2312" w:cs="仿宋_GB2312"/>
          <w:color w:val="auto"/>
          <w:kern w:val="2"/>
          <w:sz w:val="28"/>
          <w:szCs w:val="28"/>
          <w:highlight w:val="none"/>
          <w:lang w:val="en-US" w:eastAsia="zh-CN" w:bidi="ar-SA"/>
        </w:rPr>
        <w:t>20台</w:t>
      </w:r>
      <w:r>
        <w:rPr>
          <w:rFonts w:hint="eastAsia" w:ascii="仿宋_GB2312" w:hAnsi="仿宋_GB2312" w:eastAsia="仿宋_GB2312" w:cs="仿宋_GB2312"/>
          <w:color w:val="auto"/>
          <w:kern w:val="2"/>
          <w:sz w:val="28"/>
          <w:szCs w:val="28"/>
          <w:highlight w:val="none"/>
          <w:lang w:val="en-US" w:eastAsia="zh-CN" w:bidi="ar-SA"/>
        </w:rPr>
        <w:t>固定式气体检测仪</w:t>
      </w:r>
      <w:r>
        <w:rPr>
          <w:rFonts w:hint="eastAsia" w:ascii="仿宋_GB2312" w:hAnsi="仿宋_GB2312" w:cs="仿宋_GB2312"/>
          <w:color w:val="auto"/>
          <w:kern w:val="2"/>
          <w:sz w:val="28"/>
          <w:szCs w:val="28"/>
          <w:highlight w:val="none"/>
          <w:lang w:val="en-US" w:eastAsia="zh-CN" w:bidi="ar-SA"/>
        </w:rPr>
        <w:t>及5套多通道控制器。安装区域分别为：</w:t>
      </w:r>
      <w:r>
        <w:rPr>
          <w:rFonts w:hint="eastAsia" w:ascii="仿宋_GB2312" w:hAnsi="仿宋_GB2312" w:eastAsia="仿宋_GB2312" w:cs="仿宋_GB2312"/>
          <w:color w:val="auto"/>
          <w:kern w:val="2"/>
          <w:sz w:val="28"/>
          <w:szCs w:val="28"/>
          <w:highlight w:val="none"/>
          <w:lang w:val="en-US" w:eastAsia="zh-CN" w:bidi="ar-SA"/>
        </w:rPr>
        <w:t>进水仪表间、出水仪表间</w:t>
      </w:r>
      <w:r>
        <w:rPr>
          <w:rFonts w:hint="eastAsia" w:ascii="仿宋_GB2312" w:hAnsi="仿宋_GB2312" w:cs="仿宋_GB2312"/>
          <w:color w:val="auto"/>
          <w:kern w:val="2"/>
          <w:sz w:val="28"/>
          <w:szCs w:val="28"/>
          <w:highlight w:val="none"/>
          <w:lang w:val="en-US" w:eastAsia="zh-CN" w:bidi="ar-SA"/>
        </w:rPr>
        <w:t>、</w:t>
      </w:r>
      <w:r>
        <w:rPr>
          <w:rFonts w:hint="eastAsia" w:ascii="仿宋_GB2312" w:hAnsi="仿宋_GB2312" w:eastAsia="仿宋_GB2312" w:cs="仿宋_GB2312"/>
          <w:color w:val="auto"/>
          <w:kern w:val="2"/>
          <w:sz w:val="28"/>
          <w:szCs w:val="28"/>
          <w:highlight w:val="none"/>
          <w:lang w:val="en-US" w:eastAsia="zh-CN" w:bidi="ar-SA"/>
        </w:rPr>
        <w:t>膜格栅东侧</w:t>
      </w:r>
      <w:r>
        <w:rPr>
          <w:rFonts w:hint="eastAsia" w:ascii="仿宋_GB2312" w:hAnsi="仿宋_GB2312" w:cs="仿宋_GB2312"/>
          <w:color w:val="auto"/>
          <w:kern w:val="2"/>
          <w:sz w:val="28"/>
          <w:szCs w:val="28"/>
          <w:highlight w:val="none"/>
          <w:lang w:val="en-US" w:eastAsia="zh-CN" w:bidi="ar-SA"/>
        </w:rPr>
        <w:t>、生化反应池、提升泵房。</w:t>
      </w:r>
    </w:p>
    <w:p>
      <w:pPr>
        <w:pStyle w:val="29"/>
        <w:ind w:firstLine="560" w:firstLineChars="200"/>
        <w:rPr>
          <w:rFonts w:hint="default" w:ascii="仿宋_GB2312" w:hAnsi="仿宋_GB2312" w:cs="仿宋_GB2312"/>
          <w:color w:val="auto"/>
          <w:kern w:val="2"/>
          <w:sz w:val="28"/>
          <w:szCs w:val="28"/>
          <w:highlight w:val="none"/>
          <w:lang w:val="en-US" w:eastAsia="zh-CN" w:bidi="ar-SA"/>
        </w:rPr>
      </w:pPr>
      <w:r>
        <w:rPr>
          <w:rFonts w:hint="eastAsia" w:ascii="仿宋_GB2312" w:hAnsi="仿宋_GB2312" w:cs="仿宋_GB2312"/>
          <w:color w:val="auto"/>
          <w:kern w:val="2"/>
          <w:sz w:val="28"/>
          <w:szCs w:val="28"/>
          <w:highlight w:val="none"/>
          <w:lang w:val="en-US" w:eastAsia="zh-CN" w:bidi="ar-SA"/>
        </w:rPr>
        <w:t>（2）新安装的固定式气体检测仪及多通道控制器检测及报警信号须传输至江高分公司指定的PLC控制柜，并通过PLC控制柜将信号传输至中控室统一管理，实现检测与报警信号实时监控、检测数据收集等要求。</w:t>
      </w:r>
    </w:p>
    <w:p>
      <w:pPr>
        <w:pStyle w:val="29"/>
        <w:numPr>
          <w:ilvl w:val="-1"/>
          <w:numId w:val="0"/>
        </w:numPr>
        <w:ind w:firstLine="560" w:firstLineChars="200"/>
        <w:rPr>
          <w:rFonts w:hint="eastAsia" w:ascii="仿宋_GB2312" w:hAnsi="仿宋_GB2312" w:cs="仿宋_GB2312"/>
          <w:color w:val="auto"/>
          <w:kern w:val="2"/>
          <w:sz w:val="28"/>
          <w:szCs w:val="28"/>
          <w:highlight w:val="none"/>
          <w:lang w:val="en-US" w:eastAsia="zh-CN" w:bidi="ar-SA"/>
        </w:rPr>
      </w:pPr>
      <w:r>
        <w:rPr>
          <w:rFonts w:hint="eastAsia" w:ascii="仿宋_GB2312" w:hAnsi="仿宋_GB2312" w:cs="仿宋_GB2312"/>
          <w:color w:val="auto"/>
          <w:kern w:val="2"/>
          <w:sz w:val="28"/>
          <w:szCs w:val="28"/>
          <w:highlight w:val="none"/>
          <w:lang w:val="en-US" w:eastAsia="zh-CN" w:bidi="ar-SA"/>
        </w:rPr>
        <w:t>2.检测信号传输要求：</w:t>
      </w:r>
    </w:p>
    <w:p>
      <w:pPr>
        <w:pStyle w:val="29"/>
        <w:numPr>
          <w:ilvl w:val="0"/>
          <w:numId w:val="0"/>
        </w:numPr>
        <w:ind w:firstLine="560" w:firstLineChars="200"/>
        <w:rPr>
          <w:rFonts w:hint="eastAsia" w:ascii="仿宋_GB2312" w:hAnsi="仿宋_GB2312" w:cs="仿宋_GB2312"/>
          <w:color w:val="auto"/>
          <w:kern w:val="2"/>
          <w:sz w:val="28"/>
          <w:szCs w:val="28"/>
          <w:highlight w:val="none"/>
          <w:lang w:val="en-US" w:eastAsia="zh-CN" w:bidi="ar-SA"/>
        </w:rPr>
      </w:pPr>
      <w:r>
        <w:rPr>
          <w:rFonts w:hint="eastAsia" w:ascii="仿宋_GB2312" w:hAnsi="仿宋_GB2312" w:cs="仿宋_GB2312"/>
          <w:color w:val="auto"/>
          <w:kern w:val="2"/>
          <w:sz w:val="28"/>
          <w:szCs w:val="28"/>
          <w:highlight w:val="none"/>
          <w:lang w:val="en-US" w:eastAsia="zh-CN" w:bidi="ar-SA"/>
        </w:rPr>
        <w:t>（1）1号生化池末段和出水仪表间，新安装的固定式气体检测仪和多通道控制器的检测及报警信号连接到</w:t>
      </w:r>
      <w:r>
        <w:rPr>
          <w:rFonts w:hint="eastAsia" w:ascii="仿宋_GB2312" w:hAnsi="仿宋_GB2312" w:cs="仿宋_GB2312"/>
          <w:b/>
          <w:bCs/>
          <w:color w:val="auto"/>
          <w:kern w:val="2"/>
          <w:sz w:val="28"/>
          <w:szCs w:val="28"/>
          <w:highlight w:val="none"/>
          <w:lang w:val="en-US" w:eastAsia="zh-CN" w:bidi="ar-SA"/>
        </w:rPr>
        <w:t>出水仪表间的PLC控制柜</w:t>
      </w:r>
      <w:r>
        <w:rPr>
          <w:rFonts w:hint="eastAsia" w:ascii="仿宋_GB2312" w:hAnsi="仿宋_GB2312" w:cs="仿宋_GB2312"/>
          <w:color w:val="auto"/>
          <w:kern w:val="2"/>
          <w:sz w:val="28"/>
          <w:szCs w:val="28"/>
          <w:highlight w:val="none"/>
          <w:lang w:val="en-US" w:eastAsia="zh-CN" w:bidi="ar-SA"/>
        </w:rPr>
        <w:t>，并通过PLC控制柜将信号传输至中控室进行统一管理。</w:t>
      </w:r>
    </w:p>
    <w:p>
      <w:pPr>
        <w:pStyle w:val="29"/>
        <w:numPr>
          <w:ilvl w:val="0"/>
          <w:numId w:val="0"/>
        </w:numPr>
        <w:ind w:firstLine="560" w:firstLineChars="200"/>
        <w:rPr>
          <w:rFonts w:hint="default" w:ascii="仿宋_GB2312" w:hAnsi="仿宋_GB2312" w:cs="仿宋_GB2312"/>
          <w:color w:val="auto"/>
          <w:kern w:val="2"/>
          <w:sz w:val="28"/>
          <w:szCs w:val="28"/>
          <w:highlight w:val="none"/>
          <w:lang w:val="en-US" w:eastAsia="zh-CN" w:bidi="ar-SA"/>
        </w:rPr>
      </w:pPr>
      <w:r>
        <w:rPr>
          <w:rFonts w:hint="eastAsia" w:ascii="仿宋_GB2312" w:hAnsi="仿宋_GB2312" w:cs="仿宋_GB2312"/>
          <w:color w:val="auto"/>
          <w:kern w:val="2"/>
          <w:sz w:val="28"/>
          <w:szCs w:val="28"/>
          <w:highlight w:val="none"/>
          <w:lang w:val="en-US" w:eastAsia="zh-CN" w:bidi="ar-SA"/>
        </w:rPr>
        <w:t>（2）</w:t>
      </w:r>
      <w:r>
        <w:rPr>
          <w:rFonts w:hint="default" w:ascii="仿宋_GB2312" w:hAnsi="仿宋_GB2312" w:cs="仿宋_GB2312"/>
          <w:color w:val="auto"/>
          <w:kern w:val="2"/>
          <w:sz w:val="28"/>
          <w:szCs w:val="28"/>
          <w:highlight w:val="none"/>
          <w:lang w:val="en-US" w:eastAsia="zh-CN" w:bidi="ar-SA"/>
        </w:rPr>
        <w:t>膜格栅东侧</w:t>
      </w:r>
      <w:r>
        <w:rPr>
          <w:rFonts w:hint="eastAsia" w:ascii="仿宋_GB2312" w:hAnsi="仿宋_GB2312" w:cs="仿宋_GB2312"/>
          <w:color w:val="auto"/>
          <w:kern w:val="2"/>
          <w:sz w:val="28"/>
          <w:szCs w:val="28"/>
          <w:highlight w:val="none"/>
          <w:lang w:val="en-US" w:eastAsia="zh-CN" w:bidi="ar-SA"/>
        </w:rPr>
        <w:t>、进水仪表间、提升泵房西北角，新安装的固定式气体检测仪和多通道控制器的检测及报警信号连接到</w:t>
      </w:r>
      <w:r>
        <w:rPr>
          <w:rFonts w:hint="eastAsia" w:ascii="仿宋_GB2312" w:hAnsi="仿宋_GB2312" w:cs="仿宋_GB2312"/>
          <w:b/>
          <w:bCs/>
          <w:color w:val="auto"/>
          <w:kern w:val="2"/>
          <w:sz w:val="28"/>
          <w:szCs w:val="28"/>
          <w:highlight w:val="none"/>
          <w:lang w:val="en-US" w:eastAsia="zh-CN" w:bidi="ar-SA"/>
        </w:rPr>
        <w:t>进水仪表间的PLC控制柜</w:t>
      </w:r>
      <w:r>
        <w:rPr>
          <w:rFonts w:hint="eastAsia" w:ascii="仿宋_GB2312" w:hAnsi="仿宋_GB2312" w:cs="仿宋_GB2312"/>
          <w:color w:val="auto"/>
          <w:kern w:val="2"/>
          <w:sz w:val="28"/>
          <w:szCs w:val="28"/>
          <w:highlight w:val="none"/>
          <w:lang w:val="en-US" w:eastAsia="zh-CN" w:bidi="ar-SA"/>
        </w:rPr>
        <w:t>，并通过PLC控制柜将信号传输至中控室进行统一管理。</w:t>
      </w:r>
    </w:p>
    <w:p>
      <w:pPr>
        <w:pStyle w:val="29"/>
        <w:numPr>
          <w:ilvl w:val="0"/>
          <w:numId w:val="0"/>
        </w:numPr>
        <w:ind w:firstLine="560" w:firstLineChars="200"/>
        <w:rPr>
          <w:rFonts w:hint="eastAsia" w:ascii="仿宋_GB2312" w:hAnsi="仿宋_GB2312" w:cs="仿宋_GB2312"/>
          <w:color w:val="auto"/>
          <w:kern w:val="2"/>
          <w:sz w:val="28"/>
          <w:szCs w:val="28"/>
          <w:highlight w:val="none"/>
          <w:lang w:val="en-US" w:eastAsia="zh-CN" w:bidi="ar-SA"/>
        </w:rPr>
      </w:pPr>
      <w:r>
        <w:rPr>
          <w:rFonts w:hint="eastAsia" w:ascii="仿宋_GB2312" w:hAnsi="仿宋_GB2312" w:cs="仿宋_GB2312"/>
          <w:color w:val="auto"/>
          <w:kern w:val="2"/>
          <w:sz w:val="28"/>
          <w:szCs w:val="28"/>
          <w:highlight w:val="none"/>
          <w:lang w:val="en-US" w:eastAsia="zh-CN" w:bidi="ar-SA"/>
        </w:rPr>
        <w:t>（3）安装位置附图如下（其中提升泵房西北角未附图）:</w:t>
      </w:r>
    </w:p>
    <w:p>
      <w:pPr>
        <w:rPr>
          <w:color w:val="auto"/>
          <w:highlight w:val="none"/>
        </w:rPr>
      </w:pPr>
    </w:p>
    <w:p>
      <w:pPr>
        <w:pStyle w:val="29"/>
        <w:numPr>
          <w:ilvl w:val="0"/>
          <w:numId w:val="0"/>
        </w:numPr>
        <w:ind w:firstLine="480" w:firstLineChars="200"/>
        <w:jc w:val="center"/>
        <w:rPr>
          <w:color w:val="auto"/>
          <w:highlight w:val="none"/>
        </w:rPr>
      </w:pPr>
      <w:r>
        <w:rPr>
          <w:color w:val="auto"/>
          <w:highlight w:val="none"/>
        </w:rPr>
        <w:drawing>
          <wp:inline distT="0" distB="0" distL="114300" distR="114300">
            <wp:extent cx="3553460" cy="4133215"/>
            <wp:effectExtent l="0" t="0" r="8890" b="6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3553460" cy="4133215"/>
                    </a:xfrm>
                    <a:prstGeom prst="rect">
                      <a:avLst/>
                    </a:prstGeom>
                    <a:noFill/>
                    <a:ln>
                      <a:noFill/>
                    </a:ln>
                  </pic:spPr>
                </pic:pic>
              </a:graphicData>
            </a:graphic>
          </wp:inline>
        </w:drawing>
      </w:r>
    </w:p>
    <w:p>
      <w:pPr>
        <w:pStyle w:val="29"/>
        <w:numPr>
          <w:ilvl w:val="0"/>
          <w:numId w:val="0"/>
        </w:numPr>
        <w:jc w:val="center"/>
        <w:rPr>
          <w:rFonts w:hint="eastAsia" w:eastAsia="宋体"/>
          <w:color w:val="auto"/>
          <w:sz w:val="28"/>
          <w:szCs w:val="28"/>
          <w:highlight w:val="none"/>
          <w:lang w:eastAsia="zh-CN"/>
        </w:rPr>
      </w:pPr>
      <w:r>
        <w:rPr>
          <w:rFonts w:hint="eastAsia" w:ascii="仿宋_GB2312" w:hAnsi="仿宋_GB2312" w:cs="仿宋_GB2312"/>
          <w:color w:val="auto"/>
          <w:kern w:val="2"/>
          <w:sz w:val="28"/>
          <w:szCs w:val="28"/>
          <w:highlight w:val="none"/>
          <w:lang w:val="en-US" w:eastAsia="zh-CN" w:bidi="ar-SA"/>
        </w:rPr>
        <w:t>1号生化池末段</w:t>
      </w:r>
    </w:p>
    <w:p>
      <w:pPr>
        <w:pStyle w:val="29"/>
        <w:numPr>
          <w:ilvl w:val="0"/>
          <w:numId w:val="0"/>
        </w:numPr>
        <w:ind w:firstLine="560" w:firstLineChars="200"/>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drawing>
          <wp:inline distT="0" distB="0" distL="114300" distR="114300">
            <wp:extent cx="2425700" cy="3146425"/>
            <wp:effectExtent l="0" t="0" r="12700" b="15875"/>
            <wp:docPr id="3" name="图片 3" descr="e50b5e57cdb87cd619276654882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50b5e57cdb87cd6192766548821091"/>
                    <pic:cNvPicPr>
                      <a:picLocks noChangeAspect="1"/>
                    </pic:cNvPicPr>
                  </pic:nvPicPr>
                  <pic:blipFill>
                    <a:blip r:embed="rId11"/>
                    <a:stretch>
                      <a:fillRect/>
                    </a:stretch>
                  </pic:blipFill>
                  <pic:spPr>
                    <a:xfrm>
                      <a:off x="0" y="0"/>
                      <a:ext cx="2425700" cy="3146425"/>
                    </a:xfrm>
                    <a:prstGeom prst="rect">
                      <a:avLst/>
                    </a:prstGeom>
                  </pic:spPr>
                </pic:pic>
              </a:graphicData>
            </a:graphic>
          </wp:inline>
        </w:drawing>
      </w:r>
      <w:r>
        <w:rPr>
          <w:rFonts w:hint="eastAsia" w:ascii="仿宋_GB2312" w:hAnsi="仿宋_GB2312" w:eastAsia="仿宋_GB2312" w:cs="仿宋_GB2312"/>
          <w:color w:val="auto"/>
          <w:kern w:val="2"/>
          <w:sz w:val="28"/>
          <w:szCs w:val="28"/>
          <w:highlight w:val="none"/>
          <w:lang w:val="en-US" w:eastAsia="zh-CN" w:bidi="ar-SA"/>
        </w:rPr>
        <w:drawing>
          <wp:inline distT="0" distB="0" distL="114300" distR="114300">
            <wp:extent cx="2546350" cy="3150235"/>
            <wp:effectExtent l="0" t="0" r="6350" b="12065"/>
            <wp:docPr id="4" name="图片 4" descr="ad00f97b048dcc8b8aa923f2f3744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d00f97b048dcc8b8aa923f2f3744e8"/>
                    <pic:cNvPicPr>
                      <a:picLocks noChangeAspect="1"/>
                    </pic:cNvPicPr>
                  </pic:nvPicPr>
                  <pic:blipFill>
                    <a:blip r:embed="rId12"/>
                    <a:stretch>
                      <a:fillRect/>
                    </a:stretch>
                  </pic:blipFill>
                  <pic:spPr>
                    <a:xfrm>
                      <a:off x="0" y="0"/>
                      <a:ext cx="2546350" cy="3150235"/>
                    </a:xfrm>
                    <a:prstGeom prst="rect">
                      <a:avLst/>
                    </a:prstGeom>
                  </pic:spPr>
                </pic:pic>
              </a:graphicData>
            </a:graphic>
          </wp:inline>
        </w:drawing>
      </w:r>
    </w:p>
    <w:p>
      <w:pPr>
        <w:pStyle w:val="29"/>
        <w:numPr>
          <w:ilvl w:val="0"/>
          <w:numId w:val="0"/>
        </w:numPr>
        <w:ind w:firstLine="560" w:firstLineChars="200"/>
        <w:jc w:val="center"/>
        <w:rPr>
          <w:color w:val="auto"/>
          <w:highlight w:val="none"/>
        </w:rPr>
      </w:pPr>
      <w:r>
        <w:rPr>
          <w:rFonts w:hint="eastAsia" w:ascii="仿宋_GB2312" w:hAnsi="仿宋_GB2312" w:cs="仿宋_GB2312"/>
          <w:color w:val="auto"/>
          <w:kern w:val="2"/>
          <w:sz w:val="28"/>
          <w:szCs w:val="28"/>
          <w:highlight w:val="none"/>
          <w:lang w:val="en-US" w:eastAsia="zh-CN" w:bidi="ar-SA"/>
        </w:rPr>
        <w:t>出水仪表间</w:t>
      </w:r>
    </w:p>
    <w:p>
      <w:pPr>
        <w:pStyle w:val="29"/>
        <w:numPr>
          <w:ilvl w:val="0"/>
          <w:numId w:val="0"/>
        </w:numPr>
        <w:ind w:firstLine="560" w:firstLineChars="200"/>
        <w:rPr>
          <w:rFonts w:hint="eastAsia" w:ascii="仿宋_GB2312" w:hAnsi="仿宋_GB2312" w:cs="仿宋_GB2312"/>
          <w:color w:val="auto"/>
          <w:kern w:val="2"/>
          <w:sz w:val="28"/>
          <w:szCs w:val="28"/>
          <w:highlight w:val="none"/>
          <w:lang w:val="en-US" w:eastAsia="zh-CN" w:bidi="ar-SA"/>
        </w:rPr>
      </w:pPr>
      <w:r>
        <w:rPr>
          <w:rFonts w:hint="eastAsia" w:ascii="仿宋_GB2312" w:hAnsi="仿宋_GB2312" w:cs="仿宋_GB2312"/>
          <w:color w:val="auto"/>
          <w:kern w:val="2"/>
          <w:sz w:val="28"/>
          <w:szCs w:val="28"/>
          <w:highlight w:val="none"/>
          <w:lang w:val="en-US" w:eastAsia="zh-CN" w:bidi="ar-SA"/>
        </w:rPr>
        <w:drawing>
          <wp:inline distT="0" distB="0" distL="114300" distR="114300">
            <wp:extent cx="2319020" cy="3009265"/>
            <wp:effectExtent l="0" t="0" r="5080" b="635"/>
            <wp:docPr id="7" name="图片 7" descr="32758a7440aedb4830f5363db016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2758a7440aedb4830f5363db016676"/>
                    <pic:cNvPicPr>
                      <a:picLocks noChangeAspect="1"/>
                    </pic:cNvPicPr>
                  </pic:nvPicPr>
                  <pic:blipFill>
                    <a:blip r:embed="rId13"/>
                    <a:stretch>
                      <a:fillRect/>
                    </a:stretch>
                  </pic:blipFill>
                  <pic:spPr>
                    <a:xfrm>
                      <a:off x="0" y="0"/>
                      <a:ext cx="2319020" cy="3009265"/>
                    </a:xfrm>
                    <a:prstGeom prst="rect">
                      <a:avLst/>
                    </a:prstGeom>
                  </pic:spPr>
                </pic:pic>
              </a:graphicData>
            </a:graphic>
          </wp:inline>
        </w:drawing>
      </w:r>
      <w:r>
        <w:rPr>
          <w:rFonts w:hint="eastAsia" w:ascii="仿宋_GB2312" w:hAnsi="仿宋_GB2312" w:cs="仿宋_GB2312"/>
          <w:color w:val="auto"/>
          <w:kern w:val="2"/>
          <w:sz w:val="28"/>
          <w:szCs w:val="28"/>
          <w:highlight w:val="none"/>
          <w:lang w:val="en-US" w:eastAsia="zh-CN" w:bidi="ar-SA"/>
        </w:rPr>
        <w:drawing>
          <wp:inline distT="0" distB="0" distL="114300" distR="114300">
            <wp:extent cx="2562860" cy="3038475"/>
            <wp:effectExtent l="0" t="0" r="8890" b="9525"/>
            <wp:docPr id="10" name="图片 10" descr="25c3a38e1305d77a3a3896fd18315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5c3a38e1305d77a3a3896fd18315bf"/>
                    <pic:cNvPicPr>
                      <a:picLocks noChangeAspect="1"/>
                    </pic:cNvPicPr>
                  </pic:nvPicPr>
                  <pic:blipFill>
                    <a:blip r:embed="rId14"/>
                    <a:stretch>
                      <a:fillRect/>
                    </a:stretch>
                  </pic:blipFill>
                  <pic:spPr>
                    <a:xfrm>
                      <a:off x="0" y="0"/>
                      <a:ext cx="2562860" cy="3038475"/>
                    </a:xfrm>
                    <a:prstGeom prst="rect">
                      <a:avLst/>
                    </a:prstGeom>
                  </pic:spPr>
                </pic:pic>
              </a:graphicData>
            </a:graphic>
          </wp:inline>
        </w:drawing>
      </w:r>
    </w:p>
    <w:p>
      <w:pPr>
        <w:pStyle w:val="29"/>
        <w:numPr>
          <w:ilvl w:val="0"/>
          <w:numId w:val="0"/>
        </w:numPr>
        <w:ind w:firstLine="0" w:firstLineChars="0"/>
        <w:jc w:val="center"/>
        <w:rPr>
          <w:rFonts w:hint="eastAsia" w:ascii="仿宋_GB2312" w:hAnsi="仿宋_GB2312" w:cs="仿宋_GB2312"/>
          <w:color w:val="auto"/>
          <w:kern w:val="2"/>
          <w:sz w:val="28"/>
          <w:szCs w:val="28"/>
          <w:highlight w:val="none"/>
          <w:lang w:val="en-US" w:eastAsia="zh-CN" w:bidi="ar-SA"/>
        </w:rPr>
      </w:pPr>
      <w:r>
        <w:rPr>
          <w:rFonts w:hint="eastAsia" w:ascii="仿宋_GB2312" w:hAnsi="仿宋_GB2312" w:cs="仿宋_GB2312"/>
          <w:color w:val="auto"/>
          <w:kern w:val="2"/>
          <w:sz w:val="28"/>
          <w:szCs w:val="28"/>
          <w:highlight w:val="none"/>
          <w:lang w:val="en-US" w:eastAsia="zh-CN" w:bidi="ar-SA"/>
        </w:rPr>
        <w:t>膜格栅东侧</w:t>
      </w:r>
    </w:p>
    <w:p>
      <w:pPr>
        <w:pStyle w:val="29"/>
        <w:numPr>
          <w:ilvl w:val="0"/>
          <w:numId w:val="0"/>
        </w:numPr>
        <w:ind w:firstLine="560" w:firstLineChars="200"/>
        <w:rPr>
          <w:color w:val="auto"/>
          <w:highlight w:val="none"/>
        </w:rPr>
      </w:pPr>
      <w:r>
        <w:rPr>
          <w:rFonts w:hint="default" w:ascii="仿宋_GB2312" w:hAnsi="仿宋_GB2312" w:cs="仿宋_GB2312"/>
          <w:color w:val="auto"/>
          <w:kern w:val="2"/>
          <w:sz w:val="28"/>
          <w:szCs w:val="28"/>
          <w:highlight w:val="none"/>
          <w:lang w:val="en-US" w:eastAsia="zh-CN" w:bidi="ar-SA"/>
        </w:rPr>
        <w:drawing>
          <wp:inline distT="0" distB="0" distL="114300" distR="114300">
            <wp:extent cx="2325370" cy="4000500"/>
            <wp:effectExtent l="0" t="0" r="17780" b="0"/>
            <wp:docPr id="15" name="图片 15" descr="4ca2569cfe595ab7fe08734d3183c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ca2569cfe595ab7fe08734d3183c29"/>
                    <pic:cNvPicPr>
                      <a:picLocks noChangeAspect="1"/>
                    </pic:cNvPicPr>
                  </pic:nvPicPr>
                  <pic:blipFill>
                    <a:blip r:embed="rId15"/>
                    <a:stretch>
                      <a:fillRect/>
                    </a:stretch>
                  </pic:blipFill>
                  <pic:spPr>
                    <a:xfrm>
                      <a:off x="0" y="0"/>
                      <a:ext cx="2325370" cy="4000500"/>
                    </a:xfrm>
                    <a:prstGeom prst="rect">
                      <a:avLst/>
                    </a:prstGeom>
                  </pic:spPr>
                </pic:pic>
              </a:graphicData>
            </a:graphic>
          </wp:inline>
        </w:drawing>
      </w:r>
      <w:r>
        <w:rPr>
          <w:color w:val="auto"/>
          <w:highlight w:val="none"/>
        </w:rPr>
        <w:drawing>
          <wp:inline distT="0" distB="0" distL="114300" distR="114300">
            <wp:extent cx="2238375" cy="4002405"/>
            <wp:effectExtent l="0" t="0" r="9525" b="1714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6"/>
                    <a:stretch>
                      <a:fillRect/>
                    </a:stretch>
                  </pic:blipFill>
                  <pic:spPr>
                    <a:xfrm>
                      <a:off x="0" y="0"/>
                      <a:ext cx="2238375" cy="4002405"/>
                    </a:xfrm>
                    <a:prstGeom prst="rect">
                      <a:avLst/>
                    </a:prstGeom>
                    <a:noFill/>
                    <a:ln>
                      <a:noFill/>
                    </a:ln>
                  </pic:spPr>
                </pic:pic>
              </a:graphicData>
            </a:graphic>
          </wp:inline>
        </w:drawing>
      </w:r>
    </w:p>
    <w:p>
      <w:pPr>
        <w:pStyle w:val="29"/>
        <w:numPr>
          <w:ilvl w:val="0"/>
          <w:numId w:val="0"/>
        </w:numPr>
        <w:ind w:firstLine="560" w:firstLineChars="200"/>
        <w:jc w:val="center"/>
        <w:rPr>
          <w:rFonts w:hint="default" w:ascii="仿宋_GB2312" w:hAnsi="仿宋_GB2312" w:cs="仿宋_GB2312"/>
          <w:color w:val="auto"/>
          <w:kern w:val="2"/>
          <w:sz w:val="28"/>
          <w:szCs w:val="28"/>
          <w:highlight w:val="none"/>
          <w:lang w:val="en-US" w:eastAsia="zh-CN" w:bidi="ar-SA"/>
        </w:rPr>
      </w:pPr>
      <w:r>
        <w:rPr>
          <w:rFonts w:hint="eastAsia" w:ascii="仿宋_GB2312" w:hAnsi="仿宋_GB2312" w:cs="仿宋_GB2312"/>
          <w:color w:val="auto"/>
          <w:kern w:val="2"/>
          <w:sz w:val="28"/>
          <w:szCs w:val="28"/>
          <w:highlight w:val="none"/>
          <w:lang w:val="en-US" w:eastAsia="zh-CN" w:bidi="ar-SA"/>
        </w:rPr>
        <w:t>进水仪表间</w:t>
      </w:r>
    </w:p>
    <w:p>
      <w:pPr>
        <w:autoSpaceDE w:val="0"/>
        <w:autoSpaceDN w:val="0"/>
        <w:rPr>
          <w:rFonts w:hint="eastAsia" w:eastAsia="仿宋_GB2312"/>
          <w:color w:val="auto"/>
          <w:szCs w:val="44"/>
          <w:highlight w:val="none"/>
          <w:lang w:val="en-US" w:eastAsia="zh-CN"/>
        </w:rPr>
      </w:pPr>
    </w:p>
    <w:p>
      <w:pPr>
        <w:autoSpaceDE w:val="0"/>
        <w:autoSpaceDN w:val="0"/>
        <w:rPr>
          <w:rFonts w:hint="default" w:ascii="仿宋_GB2312" w:hAnsi="仿宋_GB2312" w:eastAsia="仿宋_GB2312" w:cs="仿宋_GB2312"/>
          <w:color w:val="auto"/>
          <w:sz w:val="28"/>
          <w:szCs w:val="28"/>
          <w:highlight w:val="none"/>
          <w:lang w:val="en-US" w:eastAsia="zh-CN"/>
        </w:rPr>
      </w:pPr>
      <w:r>
        <w:rPr>
          <w:rFonts w:hint="eastAsia" w:eastAsia="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lang w:val="en-US" w:eastAsia="zh-CN"/>
        </w:rPr>
        <w:t>设备采购清单及需求</w:t>
      </w:r>
    </w:p>
    <w:tbl>
      <w:tblPr>
        <w:tblStyle w:val="23"/>
        <w:tblW w:w="5779" w:type="pct"/>
        <w:tblInd w:w="-364" w:type="dxa"/>
        <w:tblLayout w:type="fixed"/>
        <w:tblCellMar>
          <w:top w:w="0" w:type="dxa"/>
          <w:left w:w="108" w:type="dxa"/>
          <w:bottom w:w="0" w:type="dxa"/>
          <w:right w:w="108" w:type="dxa"/>
        </w:tblCellMar>
      </w:tblPr>
      <w:tblGrid>
        <w:gridCol w:w="731"/>
        <w:gridCol w:w="2115"/>
        <w:gridCol w:w="876"/>
        <w:gridCol w:w="5107"/>
        <w:gridCol w:w="1644"/>
      </w:tblGrid>
      <w:tr>
        <w:tblPrEx>
          <w:tblCellMar>
            <w:top w:w="0" w:type="dxa"/>
            <w:left w:w="108" w:type="dxa"/>
            <w:bottom w:w="0" w:type="dxa"/>
            <w:right w:w="108" w:type="dxa"/>
          </w:tblCellMar>
        </w:tblPrEx>
        <w:trPr>
          <w:trHeight w:val="90" w:hRule="atLeast"/>
        </w:trPr>
        <w:tc>
          <w:tcPr>
            <w:tcW w:w="348"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4"/>
                <w:szCs w:val="24"/>
                <w:highlight w:val="none"/>
              </w:rPr>
              <w:t>序号</w:t>
            </w:r>
          </w:p>
        </w:tc>
        <w:tc>
          <w:tcPr>
            <w:tcW w:w="100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物资名称</w:t>
            </w:r>
          </w:p>
        </w:tc>
        <w:tc>
          <w:tcPr>
            <w:tcW w:w="418" w:type="pct"/>
            <w:tcBorders>
              <w:top w:val="single" w:color="auto" w:sz="4" w:space="0"/>
              <w:left w:val="nil"/>
              <w:bottom w:val="single" w:color="auto" w:sz="4" w:space="0"/>
              <w:right w:val="single" w:color="auto" w:sz="4" w:space="0"/>
            </w:tcBorders>
            <w:noWrap/>
            <w:vAlign w:val="center"/>
          </w:tcPr>
          <w:p>
            <w:pPr>
              <w:widowControl/>
              <w:spacing w:line="120" w:lineRule="auto"/>
              <w:jc w:val="center"/>
              <w:rPr>
                <w:rFonts w:hint="eastAsia"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计划</w:t>
            </w:r>
          </w:p>
          <w:p>
            <w:pPr>
              <w:widowControl/>
              <w:spacing w:line="120" w:lineRule="auto"/>
              <w:jc w:val="center"/>
              <w:rPr>
                <w:rFonts w:ascii="宋体" w:hAnsi="宋体" w:cs="宋体"/>
                <w:b/>
                <w:bCs/>
                <w:color w:val="auto"/>
                <w:kern w:val="0"/>
                <w:sz w:val="28"/>
                <w:szCs w:val="28"/>
                <w:highlight w:val="none"/>
              </w:rPr>
            </w:pPr>
            <w:r>
              <w:rPr>
                <w:rFonts w:hint="eastAsia" w:ascii="宋体" w:hAnsi="宋体" w:cs="宋体"/>
                <w:b/>
                <w:bCs/>
                <w:color w:val="auto"/>
                <w:kern w:val="0"/>
                <w:sz w:val="24"/>
                <w:szCs w:val="24"/>
                <w:highlight w:val="none"/>
              </w:rPr>
              <w:t>数量</w:t>
            </w:r>
          </w:p>
        </w:tc>
        <w:tc>
          <w:tcPr>
            <w:tcW w:w="2438"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主要的规格参数</w:t>
            </w:r>
          </w:p>
        </w:tc>
        <w:tc>
          <w:tcPr>
            <w:tcW w:w="784"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备注</w:t>
            </w:r>
          </w:p>
        </w:tc>
      </w:tr>
      <w:tr>
        <w:tblPrEx>
          <w:tblCellMar>
            <w:top w:w="0" w:type="dxa"/>
            <w:left w:w="108" w:type="dxa"/>
            <w:bottom w:w="0" w:type="dxa"/>
            <w:right w:w="108" w:type="dxa"/>
          </w:tblCellMar>
        </w:tblPrEx>
        <w:trPr>
          <w:trHeight w:val="935" w:hRule="atLeast"/>
        </w:trPr>
        <w:tc>
          <w:tcPr>
            <w:tcW w:w="348" w:type="pct"/>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1</w:t>
            </w:r>
          </w:p>
        </w:tc>
        <w:tc>
          <w:tcPr>
            <w:tcW w:w="1009"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固定式气体检测仪-硫化氢</w:t>
            </w:r>
          </w:p>
        </w:tc>
        <w:tc>
          <w:tcPr>
            <w:tcW w:w="418" w:type="pct"/>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5</w:t>
            </w:r>
          </w:p>
        </w:tc>
        <w:tc>
          <w:tcPr>
            <w:tcW w:w="2438" w:type="pct"/>
            <w:vMerge w:val="restart"/>
            <w:tcBorders>
              <w:top w:val="nil"/>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1.检测方式：泵吸式，内置微型抽气泵。</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2.检测精度：≤±3%FS。</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3.响应速度：T90＜20s。</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4.重复性：≤±1%。</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5.传感器环境条件：工作温度-20至60°C。</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6.工作湿度 ：≤95%RH，无冷凝。</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7.工作压力： -30Kpa ～ 100Kpa。</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8.工作电源： 4000mA可充电聚合物电池。</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9.防护等级：IP65，可燃气体检测仪须提供防爆合格证明材料。</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10.报警方式：二级声光报警，一二级有明显区别（二级报警光更亮、声更尖锐紧凑）。</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11.信号输入和输出：RS-485或4-20mA模拟量输出，支持modbus通讯协议、开关报警信号输出，可设置实时检测、定时检测,实时存储、定时存储。</w:t>
            </w:r>
          </w:p>
        </w:tc>
        <w:tc>
          <w:tcPr>
            <w:tcW w:w="78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测量范围：0-10ppm</w:t>
            </w:r>
          </w:p>
        </w:tc>
      </w:tr>
      <w:tr>
        <w:tblPrEx>
          <w:tblCellMar>
            <w:top w:w="0" w:type="dxa"/>
            <w:left w:w="108" w:type="dxa"/>
            <w:bottom w:w="0" w:type="dxa"/>
            <w:right w:w="108" w:type="dxa"/>
          </w:tblCellMar>
        </w:tblPrEx>
        <w:trPr>
          <w:trHeight w:val="1244" w:hRule="atLeast"/>
        </w:trPr>
        <w:tc>
          <w:tcPr>
            <w:tcW w:w="348" w:type="pct"/>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2</w:t>
            </w:r>
          </w:p>
        </w:tc>
        <w:tc>
          <w:tcPr>
            <w:tcW w:w="1009"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固定式气体检测仪-可燃</w:t>
            </w:r>
          </w:p>
        </w:tc>
        <w:tc>
          <w:tcPr>
            <w:tcW w:w="418" w:type="pct"/>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5</w:t>
            </w:r>
          </w:p>
        </w:tc>
        <w:tc>
          <w:tcPr>
            <w:tcW w:w="2438" w:type="pct"/>
            <w:vMerge w:val="continue"/>
            <w:tcBorders>
              <w:top w:val="nil"/>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b w:val="0"/>
                <w:bCs/>
                <w:i w:val="0"/>
                <w:color w:val="auto"/>
                <w:kern w:val="0"/>
                <w:sz w:val="22"/>
                <w:szCs w:val="22"/>
                <w:highlight w:val="none"/>
                <w:u w:val="none"/>
                <w:lang w:val="en-US" w:eastAsia="zh-CN" w:bidi="ar"/>
              </w:rPr>
            </w:pPr>
          </w:p>
        </w:tc>
        <w:tc>
          <w:tcPr>
            <w:tcW w:w="78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测量范围：0-100%lel</w:t>
            </w:r>
          </w:p>
        </w:tc>
      </w:tr>
      <w:tr>
        <w:tblPrEx>
          <w:tblCellMar>
            <w:top w:w="0" w:type="dxa"/>
            <w:left w:w="108" w:type="dxa"/>
            <w:bottom w:w="0" w:type="dxa"/>
            <w:right w:w="108" w:type="dxa"/>
          </w:tblCellMar>
        </w:tblPrEx>
        <w:trPr>
          <w:trHeight w:val="90" w:hRule="atLeast"/>
        </w:trPr>
        <w:tc>
          <w:tcPr>
            <w:tcW w:w="348" w:type="pct"/>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3</w:t>
            </w:r>
          </w:p>
        </w:tc>
        <w:tc>
          <w:tcPr>
            <w:tcW w:w="1009"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固定式气体检测仪-氨气</w:t>
            </w:r>
          </w:p>
        </w:tc>
        <w:tc>
          <w:tcPr>
            <w:tcW w:w="418" w:type="pct"/>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5</w:t>
            </w:r>
          </w:p>
        </w:tc>
        <w:tc>
          <w:tcPr>
            <w:tcW w:w="2438" w:type="pct"/>
            <w:vMerge w:val="continue"/>
            <w:tcBorders>
              <w:top w:val="nil"/>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b w:val="0"/>
                <w:bCs/>
                <w:i w:val="0"/>
                <w:color w:val="auto"/>
                <w:kern w:val="0"/>
                <w:sz w:val="22"/>
                <w:szCs w:val="22"/>
                <w:highlight w:val="none"/>
                <w:u w:val="none"/>
                <w:lang w:val="en-US" w:eastAsia="zh-CN" w:bidi="ar"/>
              </w:rPr>
            </w:pPr>
          </w:p>
        </w:tc>
        <w:tc>
          <w:tcPr>
            <w:tcW w:w="78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测量范围：0-30ppm</w:t>
            </w:r>
          </w:p>
        </w:tc>
      </w:tr>
      <w:tr>
        <w:tblPrEx>
          <w:tblCellMar>
            <w:top w:w="0" w:type="dxa"/>
            <w:left w:w="108" w:type="dxa"/>
            <w:bottom w:w="0" w:type="dxa"/>
            <w:right w:w="108" w:type="dxa"/>
          </w:tblCellMar>
        </w:tblPrEx>
        <w:trPr>
          <w:trHeight w:val="90" w:hRule="atLeast"/>
        </w:trPr>
        <w:tc>
          <w:tcPr>
            <w:tcW w:w="348" w:type="pct"/>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4</w:t>
            </w:r>
          </w:p>
        </w:tc>
        <w:tc>
          <w:tcPr>
            <w:tcW w:w="100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固定式气体检测仪-氧气</w:t>
            </w:r>
          </w:p>
        </w:tc>
        <w:tc>
          <w:tcPr>
            <w:tcW w:w="418" w:type="pct"/>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5</w:t>
            </w:r>
          </w:p>
        </w:tc>
        <w:tc>
          <w:tcPr>
            <w:tcW w:w="2438" w:type="pct"/>
            <w:vMerge w:val="continue"/>
            <w:tcBorders>
              <w:top w:val="nil"/>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b w:val="0"/>
                <w:bCs/>
                <w:i w:val="0"/>
                <w:color w:val="auto"/>
                <w:kern w:val="0"/>
                <w:sz w:val="22"/>
                <w:szCs w:val="22"/>
                <w:highlight w:val="none"/>
                <w:u w:val="none"/>
                <w:lang w:val="en-US" w:eastAsia="zh-CN" w:bidi="ar"/>
              </w:rPr>
            </w:pPr>
          </w:p>
        </w:tc>
        <w:tc>
          <w:tcPr>
            <w:tcW w:w="78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测量范围：19-24%vol</w:t>
            </w:r>
          </w:p>
        </w:tc>
      </w:tr>
      <w:tr>
        <w:tblPrEx>
          <w:tblCellMar>
            <w:top w:w="0" w:type="dxa"/>
            <w:left w:w="108" w:type="dxa"/>
            <w:bottom w:w="0" w:type="dxa"/>
            <w:right w:w="108" w:type="dxa"/>
          </w:tblCellMar>
        </w:tblPrEx>
        <w:trPr>
          <w:trHeight w:val="362" w:hRule="atLeast"/>
        </w:trPr>
        <w:tc>
          <w:tcPr>
            <w:tcW w:w="348" w:type="pct"/>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 xml:space="preserve">5 </w:t>
            </w:r>
          </w:p>
        </w:tc>
        <w:tc>
          <w:tcPr>
            <w:tcW w:w="100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多通道控制器</w:t>
            </w:r>
          </w:p>
        </w:tc>
        <w:tc>
          <w:tcPr>
            <w:tcW w:w="418" w:type="pct"/>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5</w:t>
            </w:r>
          </w:p>
        </w:tc>
        <w:tc>
          <w:tcPr>
            <w:tcW w:w="2438"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1.高清液晶显示、分辨率高、视觉效果佳。</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2.具备功能快捷键、数字键盘、触摸按键、操作方便简单。</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3.信号输入、输出：RS-485或4-20mA模拟量输出，支持modbus通讯协议、开关报警信号输出，实时检测、定时检测可设置，实时存储、定时存储可设置。</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4.具备强大数据统计分析，报警、故障总数累计。</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5.大容量数据记录存储、查询，数据导出灵活。</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6.控制器可对探头进行零点、跨度校准及参数设置；</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7.支持市电220V供电及蓄电池备用供电（可改动），无缝切换。</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8.可靠性强、多级防护措施，具有脉冲及静电保护。</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9.具有相对独立、互不影响的报警功能，并能区分和识别报警场所位号。</w:t>
            </w:r>
          </w:p>
        </w:tc>
        <w:tc>
          <w:tcPr>
            <w:tcW w:w="784" w:type="pct"/>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　</w:t>
            </w:r>
          </w:p>
        </w:tc>
      </w:tr>
    </w:tbl>
    <w:p>
      <w:pPr>
        <w:autoSpaceDE w:val="0"/>
        <w:autoSpaceDN w:val="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宋体" w:eastAsia="仿宋_GB2312" w:cs="宋体"/>
          <w:color w:val="auto"/>
          <w:kern w:val="0"/>
          <w:sz w:val="28"/>
          <w:szCs w:val="28"/>
          <w:highlight w:val="none"/>
        </w:rPr>
        <w:t>所</w:t>
      </w:r>
      <w:r>
        <w:rPr>
          <w:rFonts w:hint="eastAsia" w:ascii="仿宋_GB2312" w:hAnsi="仿宋_GB2312" w:eastAsia="仿宋_GB2312" w:cs="仿宋_GB2312"/>
          <w:color w:val="auto"/>
          <w:sz w:val="28"/>
          <w:szCs w:val="28"/>
          <w:highlight w:val="none"/>
        </w:rPr>
        <w:t>提供的货物及配件是</w:t>
      </w:r>
      <w:r>
        <w:rPr>
          <w:rFonts w:hint="eastAsia" w:ascii="仿宋_GB2312" w:hAnsi="仿宋_GB2312" w:eastAsia="仿宋_GB2312" w:cs="仿宋_GB2312"/>
          <w:color w:val="auto"/>
          <w:sz w:val="28"/>
          <w:szCs w:val="28"/>
          <w:highlight w:val="none"/>
          <w:lang w:val="zh-CN"/>
        </w:rPr>
        <w:t>全新合格产品，应响应询价人全部设备参数要求，</w:t>
      </w:r>
      <w:r>
        <w:rPr>
          <w:rFonts w:hint="eastAsia" w:ascii="仿宋_GB2312" w:hAnsi="仿宋_GB2312" w:eastAsia="仿宋_GB2312" w:cs="仿宋_GB2312"/>
          <w:color w:val="auto"/>
          <w:sz w:val="28"/>
          <w:szCs w:val="28"/>
          <w:highlight w:val="none"/>
        </w:rPr>
        <w:t>应</w:t>
      </w:r>
      <w:r>
        <w:rPr>
          <w:rFonts w:hint="eastAsia" w:ascii="仿宋_GB2312" w:hAnsi="宋体" w:eastAsia="仿宋_GB2312" w:cs="宋体"/>
          <w:color w:val="auto"/>
          <w:kern w:val="0"/>
          <w:sz w:val="28"/>
          <w:szCs w:val="28"/>
          <w:highlight w:val="none"/>
        </w:rPr>
        <w:t>符合国家标准及相关认证，</w:t>
      </w:r>
      <w:r>
        <w:rPr>
          <w:rFonts w:hint="eastAsia" w:ascii="仿宋_GB2312" w:hAnsi="宋体" w:eastAsia="仿宋_GB2312" w:cs="宋体"/>
          <w:color w:val="auto"/>
          <w:kern w:val="0"/>
          <w:sz w:val="28"/>
          <w:szCs w:val="28"/>
          <w:highlight w:val="none"/>
          <w:lang w:val="en-US" w:eastAsia="zh-CN"/>
        </w:rPr>
        <w:t>供货时须</w:t>
      </w:r>
      <w:r>
        <w:rPr>
          <w:rFonts w:hint="eastAsia" w:ascii="仿宋_GB2312" w:hAnsi="宋体" w:eastAsia="仿宋_GB2312" w:cs="宋体"/>
          <w:color w:val="auto"/>
          <w:kern w:val="0"/>
          <w:sz w:val="28"/>
          <w:szCs w:val="28"/>
          <w:highlight w:val="none"/>
        </w:rPr>
        <w:t>提供检测仪的国家防爆认证材料及产品符合国家相关标准的其它证明材料。</w:t>
      </w:r>
    </w:p>
    <w:p>
      <w:pPr>
        <w:pStyle w:val="12"/>
        <w:adjustRightInd w:val="0"/>
        <w:snapToGrid w:val="0"/>
        <w:spacing w:line="300" w:lineRule="auto"/>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lang w:val="zh-CN"/>
        </w:rPr>
        <w:t>）货物质量应符合江高分公司现场的使用要求、符合有关机构发布的最新行业标准或国家标准。</w:t>
      </w:r>
    </w:p>
    <w:p>
      <w:pPr>
        <w:pStyle w:val="12"/>
        <w:adjustRightInd w:val="0"/>
        <w:snapToGrid w:val="0"/>
        <w:spacing w:line="300" w:lineRule="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（3）报价单位必须现场勘探及按江高分公司要求负责完成安装，符合技术要求。</w:t>
      </w:r>
    </w:p>
    <w:p>
      <w:pPr>
        <w:rPr>
          <w:rFonts w:hint="default"/>
          <w:color w:val="auto"/>
          <w:highlight w:val="none"/>
          <w:lang w:val="en-US" w:eastAsia="zh-CN"/>
        </w:rPr>
      </w:pPr>
    </w:p>
    <w:p>
      <w:pPr>
        <w:pStyle w:val="12"/>
        <w:adjustRightInd w:val="0"/>
        <w:snapToGrid w:val="0"/>
        <w:spacing w:line="300" w:lineRule="auto"/>
        <w:rPr>
          <w:rFonts w:hint="eastAsia" w:ascii="仿宋_GB2312" w:hAnsi="仿宋_GB2312" w:eastAsia="仿宋_GB2312" w:cs="仿宋_GB2312"/>
          <w:b/>
          <w:color w:val="auto"/>
          <w:sz w:val="28"/>
          <w:szCs w:val="28"/>
          <w:highlight w:val="none"/>
          <w:lang w:val="zh-CN"/>
        </w:rPr>
      </w:pPr>
      <w:r>
        <w:rPr>
          <w:rFonts w:hint="eastAsia" w:ascii="仿宋_GB2312" w:hAnsi="仿宋_GB2312" w:eastAsia="仿宋_GB2312" w:cs="仿宋_GB2312"/>
          <w:b/>
          <w:color w:val="auto"/>
          <w:sz w:val="28"/>
          <w:szCs w:val="28"/>
          <w:highlight w:val="none"/>
          <w:lang w:val="zh-CN"/>
        </w:rPr>
        <w:t>四、项目商务要求</w:t>
      </w:r>
    </w:p>
    <w:p>
      <w:pPr>
        <w:autoSpaceDE w:val="0"/>
        <w:autoSpaceDN w:val="0"/>
        <w:ind w:left="56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1.包装、运输</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及保管、保险：</w:t>
      </w:r>
    </w:p>
    <w:p>
      <w:pPr>
        <w:autoSpaceDE w:val="0"/>
        <w:autoSpaceDN w:val="0"/>
        <w:ind w:left="56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（1）报价人所供货物应为制造商原装出厂包装</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包装须符合同等相关标准，因包装不良造成的损失由报价人负责。</w:t>
      </w:r>
    </w:p>
    <w:p>
      <w:pPr>
        <w:autoSpaceDE w:val="0"/>
        <w:autoSpaceDN w:val="0"/>
        <w:ind w:left="56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（2）报价人负责将</w:t>
      </w:r>
      <w:r>
        <w:rPr>
          <w:rFonts w:hint="eastAsia" w:ascii="仿宋_GB2312" w:hAnsi="仿宋_GB2312" w:eastAsia="仿宋_GB2312" w:cs="仿宋_GB2312"/>
          <w:color w:val="auto"/>
          <w:sz w:val="28"/>
          <w:szCs w:val="28"/>
          <w:highlight w:val="none"/>
          <w:lang w:val="en-US" w:eastAsia="zh-CN"/>
        </w:rPr>
        <w:t>产品</w:t>
      </w:r>
      <w:r>
        <w:rPr>
          <w:rFonts w:hint="eastAsia" w:ascii="仿宋_GB2312" w:hAnsi="仿宋_GB2312" w:eastAsia="仿宋_GB2312" w:cs="仿宋_GB2312"/>
          <w:color w:val="auto"/>
          <w:sz w:val="28"/>
          <w:szCs w:val="28"/>
          <w:highlight w:val="none"/>
        </w:rPr>
        <w:t>送到现场过程中的全部运输，包括装卸车、货物现场的搬运</w:t>
      </w:r>
      <w:r>
        <w:rPr>
          <w:rFonts w:hint="eastAsia" w:ascii="仿宋_GB2312" w:hAnsi="仿宋_GB2312" w:eastAsia="仿宋_GB2312" w:cs="仿宋_GB2312"/>
          <w:color w:val="auto"/>
          <w:sz w:val="28"/>
          <w:szCs w:val="28"/>
          <w:highlight w:val="none"/>
          <w:lang w:val="en-US" w:eastAsia="zh-CN"/>
        </w:rPr>
        <w:t>安装等</w:t>
      </w:r>
      <w:r>
        <w:rPr>
          <w:rFonts w:hint="eastAsia" w:ascii="仿宋_GB2312" w:hAnsi="仿宋_GB2312" w:eastAsia="仿宋_GB2312" w:cs="仿宋_GB2312"/>
          <w:color w:val="auto"/>
          <w:sz w:val="28"/>
          <w:szCs w:val="28"/>
          <w:highlight w:val="none"/>
        </w:rPr>
        <w:t>。</w:t>
      </w:r>
    </w:p>
    <w:p>
      <w:pPr>
        <w:pStyle w:val="12"/>
        <w:keepNext w:val="0"/>
        <w:keepLines w:val="0"/>
        <w:pageBreakBefore w:val="0"/>
        <w:kinsoku/>
        <w:wordWrap/>
        <w:overflowPunct/>
        <w:topLinePunct w:val="0"/>
        <w:bidi w:val="0"/>
        <w:adjustRightInd w:val="0"/>
        <w:snapToGrid w:val="0"/>
        <w:spacing w:line="560" w:lineRule="exact"/>
        <w:ind w:left="559" w:leftChars="266" w:firstLine="0" w:firstLineChars="0"/>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（3）服务期：标段一合同签订后30天内，标段二合同签订后60天内达到验收条件；</w:t>
      </w:r>
    </w:p>
    <w:p>
      <w:pPr>
        <w:keepNext w:val="0"/>
        <w:keepLines w:val="0"/>
        <w:pageBreakBefore w:val="0"/>
        <w:kinsoku/>
        <w:wordWrap/>
        <w:overflowPunct/>
        <w:topLinePunct w:val="0"/>
        <w:autoSpaceDE w:val="0"/>
        <w:autoSpaceDN w:val="0"/>
        <w:bidi w:val="0"/>
        <w:spacing w:line="560" w:lineRule="exact"/>
        <w:ind w:firstLine="560" w:firstLineChars="200"/>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（4）交货地点：标段一，沥滘分公司地址是广州市海珠区南洲路1375号，健康城分公司地址是广州市白云区钟落潭镇广陈路568号；标段二，</w:t>
      </w:r>
      <w:r>
        <w:rPr>
          <w:rFonts w:hint="eastAsia" w:ascii="仿宋_GB2312" w:hAnsi="仿宋_GB2312" w:eastAsia="仿宋_GB2312" w:cs="仿宋_GB2312"/>
          <w:color w:val="auto"/>
          <w:kern w:val="2"/>
          <w:sz w:val="28"/>
          <w:szCs w:val="28"/>
          <w:highlight w:val="none"/>
          <w:u w:val="single"/>
          <w:lang w:val="en-US" w:eastAsia="zh-CN" w:bidi="ar-SA"/>
        </w:rPr>
        <w:t>江高分公司</w:t>
      </w:r>
      <w:r>
        <w:rPr>
          <w:rFonts w:hint="eastAsia" w:ascii="仿宋_GB2312" w:hAnsi="仿宋_GB2312" w:eastAsia="仿宋_GB2312" w:cs="仿宋_GB2312"/>
          <w:color w:val="auto"/>
          <w:kern w:val="2"/>
          <w:sz w:val="28"/>
          <w:szCs w:val="28"/>
          <w:highlight w:val="none"/>
          <w:lang w:val="en-US" w:eastAsia="zh-CN" w:bidi="ar-SA"/>
        </w:rPr>
        <w:t>地址是</w:t>
      </w:r>
      <w:r>
        <w:rPr>
          <w:rFonts w:hint="eastAsia" w:ascii="仿宋_GB2312" w:eastAsia="仿宋_GB2312"/>
          <w:color w:val="auto"/>
          <w:sz w:val="28"/>
          <w:szCs w:val="28"/>
          <w:highlight w:val="none"/>
          <w:u w:val="single"/>
          <w:lang w:val="en-US" w:eastAsia="zh-CN"/>
        </w:rPr>
        <w:t>广州市白云区江高镇南贤路1号</w:t>
      </w:r>
      <w:r>
        <w:rPr>
          <w:rFonts w:hint="eastAsia" w:ascii="仿宋_GB2312" w:hAnsi="仿宋_GB2312" w:eastAsia="仿宋_GB2312" w:cs="仿宋_GB2312"/>
          <w:color w:val="auto"/>
          <w:kern w:val="2"/>
          <w:sz w:val="28"/>
          <w:szCs w:val="28"/>
          <w:highlight w:val="none"/>
          <w:lang w:val="en-US" w:eastAsia="zh-CN" w:bidi="ar-SA"/>
        </w:rPr>
        <w:t>。</w:t>
      </w:r>
    </w:p>
    <w:p>
      <w:pPr>
        <w:autoSpaceDE w:val="0"/>
        <w:autoSpaceDN w:val="0"/>
        <w:ind w:left="0" w:firstLine="560" w:firstLineChars="2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rPr>
        <w:t>.质量保证及售后服务：</w:t>
      </w:r>
    </w:p>
    <w:p>
      <w:pPr>
        <w:autoSpaceDE w:val="0"/>
        <w:autoSpaceDN w:val="0"/>
        <w:ind w:left="56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t>）确保</w:t>
      </w:r>
      <w:r>
        <w:rPr>
          <w:rFonts w:hint="eastAsia" w:ascii="仿宋_GB2312" w:hAnsi="仿宋_GB2312" w:eastAsia="仿宋_GB2312" w:cs="仿宋_GB2312"/>
          <w:color w:val="auto"/>
          <w:sz w:val="28"/>
          <w:szCs w:val="28"/>
          <w:highlight w:val="none"/>
          <w:lang w:val="en-US" w:eastAsia="zh-CN"/>
        </w:rPr>
        <w:t>货物为原装未拆封或未使用的产品</w:t>
      </w:r>
      <w:r>
        <w:rPr>
          <w:rFonts w:hint="eastAsia" w:ascii="仿宋_GB2312" w:hAnsi="仿宋_GB2312" w:eastAsia="仿宋_GB2312" w:cs="仿宋_GB2312"/>
          <w:color w:val="auto"/>
          <w:sz w:val="28"/>
          <w:szCs w:val="28"/>
          <w:highlight w:val="none"/>
          <w:lang w:eastAsia="zh-CN"/>
        </w:rPr>
        <w:t>；</w:t>
      </w:r>
    </w:p>
    <w:p>
      <w:pPr>
        <w:pStyle w:val="29"/>
        <w:ind w:firstLine="560" w:firstLineChars="200"/>
        <w:rPr>
          <w:rFonts w:hint="default"/>
          <w:color w:val="auto"/>
          <w:highlight w:val="none"/>
          <w:lang w:val="en-US" w:eastAsia="zh-CN"/>
        </w:rPr>
      </w:pPr>
      <w:r>
        <w:rPr>
          <w:rFonts w:hint="eastAsia" w:ascii="仿宋_GB2312" w:hAnsi="仿宋_GB2312" w:cs="仿宋_GB2312"/>
          <w:color w:val="auto"/>
          <w:sz w:val="28"/>
          <w:szCs w:val="28"/>
          <w:highlight w:val="none"/>
          <w:lang w:eastAsia="zh-CN"/>
        </w:rPr>
        <w:t>（</w:t>
      </w:r>
      <w:r>
        <w:rPr>
          <w:rFonts w:hint="eastAsia" w:ascii="仿宋_GB2312" w:hAnsi="仿宋_GB2312" w:cs="仿宋_GB2312"/>
          <w:color w:val="auto"/>
          <w:sz w:val="28"/>
          <w:szCs w:val="28"/>
          <w:highlight w:val="none"/>
          <w:lang w:val="en-US" w:eastAsia="zh-CN"/>
        </w:rPr>
        <w:t>2</w:t>
      </w:r>
      <w:r>
        <w:rPr>
          <w:rFonts w:hint="eastAsia" w:ascii="仿宋_GB2312" w:hAnsi="仿宋_GB2312" w:cs="仿宋_GB2312"/>
          <w:color w:val="auto"/>
          <w:sz w:val="28"/>
          <w:szCs w:val="28"/>
          <w:highlight w:val="none"/>
          <w:lang w:eastAsia="zh-CN"/>
        </w:rPr>
        <w:t>）</w:t>
      </w:r>
      <w:r>
        <w:rPr>
          <w:rFonts w:hint="eastAsia" w:ascii="仿宋_GB2312" w:hAnsi="仿宋_GB2312" w:cs="仿宋_GB2312"/>
          <w:color w:val="auto"/>
          <w:sz w:val="28"/>
          <w:szCs w:val="28"/>
          <w:highlight w:val="none"/>
          <w:lang w:val="en-US" w:eastAsia="zh-CN"/>
        </w:rPr>
        <w:t>货物签收之后，乙方负责安装调试并将信号统一连接到PLC指定PLC及中控管理，含一切主材及辅材所有费用。</w:t>
      </w:r>
    </w:p>
    <w:p>
      <w:pPr>
        <w:autoSpaceDE w:val="0"/>
        <w:autoSpaceDN w:val="0"/>
        <w:ind w:left="0"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rPr>
        <w:t>）货物在质保期</w:t>
      </w:r>
      <w:r>
        <w:rPr>
          <w:rFonts w:hint="eastAsia" w:ascii="仿宋_GB2312" w:hAnsi="仿宋_GB2312" w:eastAsia="仿宋_GB2312" w:cs="仿宋_GB2312"/>
          <w:color w:val="auto"/>
          <w:sz w:val="28"/>
          <w:szCs w:val="28"/>
          <w:highlight w:val="none"/>
          <w:lang w:val="en-US" w:eastAsia="zh-CN"/>
        </w:rPr>
        <w:t>(标段一</w:t>
      </w:r>
      <w:r>
        <w:rPr>
          <w:rFonts w:hint="eastAsia" w:ascii="仿宋_GB2312" w:hAnsi="仿宋_GB2312" w:eastAsia="仿宋_GB2312" w:cs="仿宋_GB2312"/>
          <w:color w:val="auto"/>
          <w:sz w:val="28"/>
          <w:szCs w:val="28"/>
          <w:highlight w:val="none"/>
        </w:rPr>
        <w:t>为自供货验收合格之日起</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lang w:eastAsia="zh-CN"/>
        </w:rPr>
        <w:t>，标段二为</w:t>
      </w:r>
      <w:r>
        <w:rPr>
          <w:rFonts w:hint="eastAsia" w:ascii="仿宋_GB2312" w:hAnsi="仿宋_GB2312" w:eastAsia="仿宋_GB2312" w:cs="仿宋_GB2312"/>
          <w:color w:val="auto"/>
          <w:sz w:val="28"/>
          <w:szCs w:val="28"/>
          <w:highlight w:val="none"/>
        </w:rPr>
        <w:t>验收合格之日起</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如有质量问题</w:t>
      </w:r>
      <w:r>
        <w:rPr>
          <w:rFonts w:hint="eastAsia" w:ascii="仿宋_GB2312" w:hAnsi="仿宋_GB2312" w:eastAsia="仿宋_GB2312" w:cs="仿宋_GB2312"/>
          <w:color w:val="auto"/>
          <w:sz w:val="28"/>
          <w:szCs w:val="28"/>
          <w:highlight w:val="none"/>
          <w:lang w:val="en-US" w:eastAsia="zh-CN"/>
        </w:rPr>
        <w:t>或未能适配原有设备</w:t>
      </w:r>
      <w:r>
        <w:rPr>
          <w:rFonts w:hint="eastAsia" w:ascii="仿宋_GB2312" w:hAnsi="仿宋_GB2312" w:eastAsia="仿宋_GB2312" w:cs="仿宋_GB2312"/>
          <w:color w:val="auto"/>
          <w:sz w:val="28"/>
          <w:szCs w:val="28"/>
          <w:highlight w:val="none"/>
        </w:rPr>
        <w:t>时，报价人必须</w:t>
      </w:r>
      <w:r>
        <w:rPr>
          <w:rFonts w:hint="eastAsia" w:ascii="仿宋_GB2312" w:hAnsi="仿宋_GB2312" w:eastAsia="仿宋_GB2312" w:cs="仿宋_GB2312"/>
          <w:color w:val="auto"/>
          <w:sz w:val="28"/>
          <w:szCs w:val="28"/>
          <w:highlight w:val="none"/>
          <w:lang w:val="en-US" w:eastAsia="zh-CN"/>
        </w:rPr>
        <w:t>24小时内派技术人员到现场免费进行维修</w:t>
      </w:r>
      <w:r>
        <w:rPr>
          <w:rFonts w:hint="eastAsia" w:ascii="仿宋_GB2312" w:hAnsi="仿宋_GB2312" w:eastAsia="仿宋_GB2312" w:cs="仿宋_GB2312"/>
          <w:color w:val="auto"/>
          <w:sz w:val="28"/>
          <w:szCs w:val="28"/>
          <w:highlight w:val="none"/>
        </w:rPr>
        <w:t>。</w:t>
      </w:r>
    </w:p>
    <w:p>
      <w:pPr>
        <w:autoSpaceDE w:val="0"/>
        <w:autoSpaceDN w:val="0"/>
        <w:ind w:left="56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rPr>
        <w:t>.总包及分包规定：</w:t>
      </w:r>
    </w:p>
    <w:p>
      <w:pPr>
        <w:autoSpaceDE w:val="0"/>
        <w:autoSpaceDN w:val="0"/>
        <w:ind w:left="0"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乙方不得转包</w:t>
      </w:r>
      <w:r>
        <w:rPr>
          <w:rFonts w:hint="eastAsia" w:ascii="仿宋_GB2312" w:hAnsi="仿宋_GB2312" w:eastAsia="仿宋_GB2312" w:cs="仿宋_GB2312"/>
          <w:color w:val="auto"/>
          <w:sz w:val="28"/>
          <w:szCs w:val="28"/>
          <w:highlight w:val="none"/>
          <w:lang w:eastAsia="zh-CN"/>
        </w:rPr>
        <w:t>、分包</w:t>
      </w:r>
      <w:r>
        <w:rPr>
          <w:rFonts w:hint="eastAsia" w:ascii="仿宋_GB2312" w:hAnsi="仿宋_GB2312" w:eastAsia="仿宋_GB2312" w:cs="仿宋_GB2312"/>
          <w:color w:val="auto"/>
          <w:sz w:val="28"/>
          <w:szCs w:val="28"/>
          <w:highlight w:val="none"/>
        </w:rPr>
        <w:t>。否则，甲方有权单方面终止合同，</w:t>
      </w:r>
      <w:r>
        <w:rPr>
          <w:rFonts w:hint="eastAsia" w:ascii="仿宋_GB2312" w:hAnsi="仿宋_GB2312" w:eastAsia="仿宋_GB2312" w:cs="仿宋_GB2312"/>
          <w:color w:val="auto"/>
          <w:sz w:val="28"/>
          <w:szCs w:val="28"/>
          <w:highlight w:val="none"/>
          <w:lang w:val="en-US" w:eastAsia="zh-CN"/>
        </w:rPr>
        <w:t>拒收其货物</w:t>
      </w:r>
      <w:r>
        <w:rPr>
          <w:rFonts w:hint="eastAsia" w:ascii="仿宋_GB2312" w:hAnsi="仿宋_GB2312" w:eastAsia="仿宋_GB2312" w:cs="仿宋_GB2312"/>
          <w:color w:val="auto"/>
          <w:sz w:val="28"/>
          <w:szCs w:val="28"/>
          <w:highlight w:val="none"/>
        </w:rPr>
        <w:t>，由此而造成的经济损失由乙方负责赔偿。</w:t>
      </w:r>
    </w:p>
    <w:p>
      <w:pPr>
        <w:autoSpaceDE w:val="0"/>
        <w:autoSpaceDN w:val="0"/>
        <w:ind w:left="0"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rPr>
        <w:t>.询价人将自承包商履行完合同义务之日起15个工作日内组织验收，审定报价人供货的货物合格情况，进行结算审核。</w:t>
      </w:r>
    </w:p>
    <w:p>
      <w:pPr>
        <w:autoSpaceDE w:val="0"/>
        <w:autoSpaceDN w:val="0"/>
        <w:ind w:left="560"/>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7</w:t>
      </w:r>
      <w:r>
        <w:rPr>
          <w:rFonts w:hint="eastAsia" w:ascii="仿宋_GB2312" w:hAnsi="仿宋_GB2312" w:eastAsia="仿宋_GB2312" w:cs="仿宋_GB2312"/>
          <w:color w:val="auto"/>
          <w:sz w:val="28"/>
          <w:szCs w:val="28"/>
          <w:highlight w:val="none"/>
        </w:rPr>
        <w:t>.承包方</w:t>
      </w:r>
      <w:r>
        <w:rPr>
          <w:rFonts w:hint="eastAsia" w:ascii="仿宋_GB2312" w:hAnsi="仿宋_GB2312" w:eastAsia="仿宋_GB2312" w:cs="仿宋_GB2312"/>
          <w:color w:val="auto"/>
          <w:sz w:val="28"/>
          <w:szCs w:val="28"/>
          <w:highlight w:val="none"/>
          <w:lang w:val="en-US" w:eastAsia="zh-CN"/>
        </w:rPr>
        <w:t>式：</w:t>
      </w:r>
      <w:r>
        <w:rPr>
          <w:rFonts w:hint="eastAsia" w:ascii="仿宋_GB2312" w:hAnsi="仿宋_GB2312" w:eastAsia="仿宋_GB2312" w:cs="仿宋_GB2312"/>
          <w:color w:val="auto"/>
          <w:sz w:val="28"/>
          <w:szCs w:val="28"/>
          <w:highlight w:val="none"/>
        </w:rPr>
        <w:t>单价包干</w:t>
      </w:r>
      <w:r>
        <w:rPr>
          <w:rFonts w:hint="eastAsia" w:ascii="仿宋_GB2312" w:hAnsi="仿宋_GB2312" w:eastAsia="仿宋_GB2312" w:cs="仿宋_GB2312"/>
          <w:color w:val="auto"/>
          <w:sz w:val="28"/>
          <w:szCs w:val="28"/>
          <w:highlight w:val="none"/>
          <w:lang w:eastAsia="zh-CN"/>
        </w:rPr>
        <w:t>。</w:t>
      </w:r>
    </w:p>
    <w:p>
      <w:pPr>
        <w:pStyle w:val="2"/>
        <w:rPr>
          <w:rFonts w:ascii="仿宋_GB2312" w:eastAsia="仿宋_GB2312"/>
          <w:color w:val="auto"/>
          <w:sz w:val="28"/>
          <w:szCs w:val="28"/>
          <w:highlight w:val="none"/>
        </w:rPr>
      </w:pPr>
    </w:p>
    <w:p>
      <w:pPr>
        <w:pStyle w:val="2"/>
        <w:rPr>
          <w:color w:val="auto"/>
          <w:highlight w:val="none"/>
        </w:rPr>
      </w:pPr>
    </w:p>
    <w:p>
      <w:pPr>
        <w:pStyle w:val="2"/>
        <w:rPr>
          <w:color w:val="auto"/>
          <w:highlight w:val="none"/>
        </w:rPr>
      </w:pPr>
    </w:p>
    <w:p>
      <w:pPr>
        <w:rPr>
          <w:color w:val="auto"/>
          <w:highlight w:val="none"/>
        </w:rPr>
      </w:pPr>
      <w:r>
        <w:rPr>
          <w:color w:val="auto"/>
          <w:highlight w:val="none"/>
        </w:rPr>
        <w:br w:type="page"/>
      </w:r>
    </w:p>
    <w:p>
      <w:pPr>
        <w:pStyle w:val="2"/>
        <w:rPr>
          <w:color w:val="auto"/>
          <w:highlight w:val="none"/>
        </w:rPr>
      </w:pPr>
    </w:p>
    <w:p>
      <w:pPr>
        <w:pStyle w:val="2"/>
        <w:rPr>
          <w:color w:val="auto"/>
          <w:highlight w:val="none"/>
        </w:rPr>
      </w:pPr>
    </w:p>
    <w:p>
      <w:pPr>
        <w:pStyle w:val="2"/>
        <w:rPr>
          <w:color w:val="auto"/>
          <w:highlight w:val="none"/>
        </w:rPr>
      </w:pPr>
    </w:p>
    <w:p>
      <w:pPr>
        <w:pStyle w:val="4"/>
        <w:rPr>
          <w:color w:val="auto"/>
          <w:highlight w:val="none"/>
        </w:rPr>
      </w:pPr>
      <w:bookmarkStart w:id="61" w:name="_Toc1284"/>
      <w:bookmarkStart w:id="62" w:name="_Toc1496"/>
      <w:bookmarkStart w:id="63" w:name="_Toc23330"/>
      <w:bookmarkStart w:id="64" w:name="_Toc537"/>
      <w:bookmarkStart w:id="65" w:name="_Toc18538"/>
      <w:bookmarkStart w:id="66" w:name="_Toc15570"/>
      <w:bookmarkStart w:id="67" w:name="_Toc23353"/>
      <w:bookmarkStart w:id="68" w:name="_Toc12135"/>
      <w:bookmarkStart w:id="69" w:name="_Toc4680"/>
      <w:bookmarkStart w:id="70" w:name="_Toc29835"/>
      <w:bookmarkStart w:id="71" w:name="_Toc25925"/>
      <w:r>
        <w:rPr>
          <w:color w:val="auto"/>
          <w:highlight w:val="none"/>
        </w:rPr>
        <w:pict>
          <v:shape id="_x0000_s2057" o:spid="_x0000_s2057" o:spt="32" type="#_x0000_t32" style="position:absolute;left:0pt;margin-left:181.6pt;margin-top:56.7pt;height:0pt;width:75.5pt;z-index:251665408;mso-width-relative:page;mso-height-relative:page;" o:connectortype="straight" filled="f" coordsize="21600,21600">
            <v:path arrowok="t"/>
            <v:fill on="f" focussize="0,0"/>
            <v:stroke/>
            <v:imagedata o:title=""/>
            <o:lock v:ext="edit"/>
          </v:shape>
        </w:pict>
      </w:r>
      <w:r>
        <w:rPr>
          <w:color w:val="auto"/>
          <w:highlight w:val="none"/>
        </w:rPr>
        <w:pict>
          <v:shape id="_x0000_s2056" o:spid="_x0000_s2056" o:spt="32" type="#_x0000_t32" style="position:absolute;left:0pt;margin-left:183.1pt;margin-top:21.3pt;height:0pt;width:75.5pt;z-index:251664384;mso-width-relative:page;mso-height-relative:page;" o:connectortype="straight" filled="f" coordsize="21600,21600">
            <v:path arrowok="t"/>
            <v:fill on="f" focussize="0,0"/>
            <v:stroke/>
            <v:imagedata o:title=""/>
            <o:lock v:ext="edit"/>
          </v:shape>
        </w:pict>
      </w:r>
      <w:r>
        <w:rPr>
          <w:rFonts w:hint="eastAsia"/>
          <w:color w:val="auto"/>
          <w:highlight w:val="none"/>
        </w:rPr>
        <w:t>第六章</w:t>
      </w:r>
      <w:bookmarkEnd w:id="61"/>
      <w:bookmarkEnd w:id="62"/>
      <w:bookmarkEnd w:id="63"/>
      <w:bookmarkEnd w:id="64"/>
      <w:bookmarkEnd w:id="65"/>
      <w:bookmarkEnd w:id="66"/>
      <w:bookmarkEnd w:id="67"/>
      <w:bookmarkEnd w:id="68"/>
      <w:bookmarkEnd w:id="69"/>
      <w:bookmarkEnd w:id="70"/>
      <w:bookmarkEnd w:id="71"/>
    </w:p>
    <w:p>
      <w:pPr>
        <w:pStyle w:val="38"/>
        <w:rPr>
          <w:color w:val="auto"/>
          <w:highlight w:val="none"/>
        </w:rPr>
      </w:pPr>
    </w:p>
    <w:p>
      <w:pPr>
        <w:pStyle w:val="4"/>
        <w:rPr>
          <w:color w:val="auto"/>
          <w:highlight w:val="none"/>
        </w:rPr>
      </w:pPr>
      <w:bookmarkStart w:id="72" w:name="_Toc87616386"/>
      <w:bookmarkStart w:id="73" w:name="_Toc8183"/>
      <w:bookmarkStart w:id="74" w:name="_Toc13309"/>
      <w:bookmarkStart w:id="75" w:name="_Toc12968"/>
      <w:bookmarkStart w:id="76" w:name="_Toc323"/>
      <w:bookmarkStart w:id="77" w:name="_Toc19686"/>
      <w:bookmarkStart w:id="78" w:name="_Toc1375"/>
      <w:bookmarkStart w:id="79" w:name="_Toc12980"/>
      <w:bookmarkStart w:id="80" w:name="_Toc12721"/>
      <w:bookmarkStart w:id="81" w:name="_Toc22501"/>
      <w:bookmarkStart w:id="82" w:name="_Toc88209949"/>
      <w:bookmarkStart w:id="83" w:name="_Toc19088"/>
      <w:bookmarkStart w:id="84" w:name="_Toc22797"/>
      <w:r>
        <w:rPr>
          <w:rFonts w:hint="eastAsia"/>
          <w:color w:val="auto"/>
          <w:highlight w:val="none"/>
        </w:rPr>
        <w:t>合同</w:t>
      </w:r>
      <w:bookmarkEnd w:id="72"/>
      <w:bookmarkEnd w:id="73"/>
      <w:bookmarkEnd w:id="74"/>
      <w:bookmarkEnd w:id="75"/>
      <w:bookmarkEnd w:id="76"/>
      <w:bookmarkEnd w:id="77"/>
      <w:bookmarkEnd w:id="78"/>
      <w:bookmarkEnd w:id="79"/>
      <w:bookmarkEnd w:id="80"/>
      <w:bookmarkEnd w:id="81"/>
      <w:bookmarkEnd w:id="82"/>
      <w:bookmarkEnd w:id="83"/>
      <w:bookmarkEnd w:id="84"/>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spacing w:line="400" w:lineRule="atLeast"/>
        <w:rPr>
          <w:rFonts w:eastAsia="仿宋_GB2312" w:cs="仿宋_GB2312" w:asciiTheme="majorHAnsi" w:hAnsiTheme="majorHAnsi"/>
          <w:color w:val="auto"/>
          <w:sz w:val="52"/>
          <w:szCs w:val="52"/>
          <w:highlight w:val="none"/>
        </w:rPr>
      </w:pPr>
      <w:r>
        <w:rPr>
          <w:rFonts w:hint="default" w:ascii="方正小标宋简体" w:eastAsia="方正小标宋简体"/>
          <w:color w:val="auto"/>
          <w:sz w:val="28"/>
          <w:szCs w:val="28"/>
          <w:highlight w:val="none"/>
          <w:lang w:val="en-US"/>
        </w:rPr>
        <w:br w:type="page"/>
      </w:r>
    </w:p>
    <w:p>
      <w:pPr>
        <w:spacing w:after="0" w:line="240" w:lineRule="auto"/>
        <w:jc w:val="right"/>
        <w:rPr>
          <w:rFonts w:hint="eastAsia" w:ascii="宋体" w:hAnsi="宋体" w:eastAsia="宋体" w:cs="Times New Roman"/>
          <w:b/>
          <w:color w:val="auto"/>
          <w:sz w:val="44"/>
          <w:highlight w:val="none"/>
          <w:lang w:val="en-US" w:eastAsia="zh-CN"/>
        </w:rPr>
      </w:pPr>
      <w:r>
        <w:rPr>
          <w:rFonts w:hint="eastAsia" w:ascii="宋体" w:hAnsi="宋体"/>
          <w:b/>
          <w:color w:val="auto"/>
          <w:sz w:val="28"/>
          <w:szCs w:val="28"/>
          <w:highlight w:val="none"/>
        </w:rPr>
        <w:t xml:space="preserve">  </w:t>
      </w:r>
      <w:r>
        <w:rPr>
          <w:rFonts w:hint="eastAsia" w:ascii="宋体" w:hAnsi="宋体"/>
          <w:b/>
          <w:color w:val="auto"/>
          <w:sz w:val="28"/>
          <w:szCs w:val="28"/>
          <w:highlight w:val="none"/>
          <w:lang w:val="en-US" w:eastAsia="zh-CN"/>
        </w:rPr>
        <w:t>2021</w:t>
      </w:r>
      <w:r>
        <w:rPr>
          <w:rFonts w:hint="eastAsia" w:ascii="宋体" w:hAnsi="宋体"/>
          <w:b/>
          <w:color w:val="auto"/>
          <w:szCs w:val="21"/>
          <w:highlight w:val="none"/>
        </w:rPr>
        <w:t>年</w:t>
      </w:r>
      <w:r>
        <w:rPr>
          <w:rFonts w:hint="eastAsia" w:ascii="宋体" w:hAnsi="宋体"/>
          <w:b/>
          <w:color w:val="auto"/>
          <w:szCs w:val="21"/>
          <w:highlight w:val="none"/>
          <w:lang w:val="en-US" w:eastAsia="zh-CN"/>
        </w:rPr>
        <w:t>7</w:t>
      </w:r>
      <w:r>
        <w:rPr>
          <w:rFonts w:hint="eastAsia" w:ascii="宋体" w:hAnsi="宋体"/>
          <w:b/>
          <w:color w:val="auto"/>
          <w:szCs w:val="21"/>
          <w:highlight w:val="none"/>
        </w:rPr>
        <w:t>月</w:t>
      </w:r>
      <w:r>
        <w:rPr>
          <w:rFonts w:hint="eastAsia" w:ascii="宋体" w:hAnsi="宋体"/>
          <w:b/>
          <w:color w:val="auto"/>
          <w:szCs w:val="21"/>
          <w:highlight w:val="none"/>
          <w:lang w:val="en-US" w:eastAsia="zh-CN"/>
        </w:rPr>
        <w:t>修订</w:t>
      </w:r>
    </w:p>
    <w:p>
      <w:pPr>
        <w:jc w:val="center"/>
        <w:rPr>
          <w:b/>
          <w:color w:val="auto"/>
          <w:sz w:val="52"/>
          <w:szCs w:val="84"/>
          <w:highlight w:val="none"/>
        </w:rPr>
      </w:pPr>
    </w:p>
    <w:p>
      <w:pPr>
        <w:jc w:val="center"/>
        <w:rPr>
          <w:b/>
          <w:color w:val="auto"/>
          <w:sz w:val="52"/>
          <w:szCs w:val="84"/>
          <w:highlight w:val="none"/>
        </w:rPr>
      </w:pPr>
    </w:p>
    <w:p>
      <w:pPr>
        <w:jc w:val="center"/>
        <w:rPr>
          <w:rFonts w:hint="eastAsia"/>
          <w:b/>
          <w:color w:val="auto"/>
          <w:sz w:val="48"/>
          <w:szCs w:val="48"/>
          <w:highlight w:val="none"/>
        </w:rPr>
      </w:pPr>
      <w:r>
        <w:rPr>
          <w:rFonts w:hint="eastAsia"/>
          <w:b/>
          <w:color w:val="auto"/>
          <w:sz w:val="48"/>
          <w:szCs w:val="48"/>
          <w:highlight w:val="none"/>
        </w:rPr>
        <w:t>广州市净水有限公司</w:t>
      </w:r>
    </w:p>
    <w:p>
      <w:pPr>
        <w:jc w:val="center"/>
        <w:rPr>
          <w:b/>
          <w:color w:val="auto"/>
          <w:sz w:val="48"/>
          <w:szCs w:val="48"/>
          <w:highlight w:val="none"/>
        </w:rPr>
      </w:pPr>
      <w:r>
        <w:rPr>
          <w:rFonts w:hint="eastAsia"/>
          <w:b/>
          <w:color w:val="auto"/>
          <w:sz w:val="48"/>
          <w:szCs w:val="48"/>
          <w:highlight w:val="none"/>
          <w:lang w:val="en-US" w:eastAsia="zh-CN"/>
        </w:rPr>
        <w:t>2022年</w:t>
      </w:r>
      <w:r>
        <w:rPr>
          <w:rFonts w:hint="eastAsia"/>
          <w:b/>
          <w:color w:val="auto"/>
          <w:sz w:val="48"/>
          <w:szCs w:val="48"/>
          <w:highlight w:val="none"/>
          <w:lang w:eastAsia="zh-CN"/>
        </w:rPr>
        <w:t>固定式气体检测仪采购项目</w:t>
      </w:r>
      <w:r>
        <w:rPr>
          <w:rFonts w:hint="eastAsia"/>
          <w:b/>
          <w:color w:val="auto"/>
          <w:sz w:val="48"/>
          <w:szCs w:val="48"/>
          <w:highlight w:val="none"/>
          <w:lang w:val="en-US" w:eastAsia="zh-CN"/>
        </w:rPr>
        <w:t xml:space="preserve"> </w:t>
      </w:r>
    </w:p>
    <w:p>
      <w:pPr>
        <w:jc w:val="center"/>
        <w:rPr>
          <w:b/>
          <w:color w:val="auto"/>
          <w:sz w:val="48"/>
          <w:szCs w:val="48"/>
          <w:highlight w:val="none"/>
        </w:rPr>
      </w:pPr>
      <w:r>
        <w:rPr>
          <w:rFonts w:hint="eastAsia"/>
          <w:b/>
          <w:color w:val="auto"/>
          <w:sz w:val="48"/>
          <w:szCs w:val="48"/>
          <w:highlight w:val="none"/>
        </w:rPr>
        <w:t>设备采购合同</w:t>
      </w:r>
    </w:p>
    <w:p>
      <w:pPr>
        <w:jc w:val="center"/>
        <w:rPr>
          <w:bCs/>
          <w:color w:val="auto"/>
          <w:sz w:val="28"/>
          <w:szCs w:val="28"/>
          <w:highlight w:val="none"/>
        </w:rPr>
      </w:pPr>
    </w:p>
    <w:p>
      <w:pPr>
        <w:jc w:val="center"/>
        <w:rPr>
          <w:color w:val="auto"/>
          <w:sz w:val="30"/>
          <w:highlight w:val="none"/>
        </w:rPr>
      </w:pPr>
    </w:p>
    <w:p>
      <w:pPr>
        <w:rPr>
          <w:rFonts w:hint="eastAsia" w:ascii="宋体" w:hAnsi="宋体" w:eastAsia="宋体" w:cs="宋体"/>
          <w:bCs/>
          <w:color w:val="auto"/>
          <w:sz w:val="32"/>
          <w:szCs w:val="32"/>
          <w:highlight w:val="none"/>
        </w:rPr>
      </w:pPr>
      <w:r>
        <w:rPr>
          <w:rFonts w:hint="eastAsia"/>
          <w:color w:val="auto"/>
          <w:sz w:val="30"/>
          <w:highlight w:val="none"/>
        </w:rPr>
        <w:t>项目名称：</w:t>
      </w:r>
      <w:r>
        <w:rPr>
          <w:rFonts w:hint="eastAsia"/>
          <w:color w:val="auto"/>
          <w:sz w:val="30"/>
          <w:highlight w:val="none"/>
          <w:lang w:val="en-US" w:eastAsia="zh-CN"/>
        </w:rPr>
        <w:t>广州市净水有限公司2022年固定式气体检测仪采购项目</w:t>
      </w:r>
    </w:p>
    <w:p>
      <w:pPr>
        <w:rPr>
          <w:rFonts w:hint="eastAsia"/>
          <w:color w:val="auto"/>
          <w:sz w:val="30"/>
          <w:highlight w:val="none"/>
          <w:lang w:val="en-US" w:eastAsia="zh-CN"/>
        </w:rPr>
      </w:pPr>
      <w:r>
        <w:rPr>
          <w:rFonts w:hint="eastAsia"/>
          <w:color w:val="auto"/>
          <w:sz w:val="30"/>
          <w:highlight w:val="none"/>
          <w:lang w:val="en-US" w:eastAsia="zh-CN"/>
        </w:rPr>
        <w:t>项目编号：</w:t>
      </w:r>
    </w:p>
    <w:p>
      <w:pPr>
        <w:rPr>
          <w:rFonts w:hint="eastAsia"/>
          <w:color w:val="auto"/>
          <w:sz w:val="30"/>
          <w:highlight w:val="none"/>
          <w:lang w:val="en-US" w:eastAsia="zh-CN"/>
        </w:rPr>
      </w:pPr>
    </w:p>
    <w:p>
      <w:pPr>
        <w:rPr>
          <w:color w:val="auto"/>
          <w:sz w:val="30"/>
          <w:szCs w:val="30"/>
          <w:highlight w:val="none"/>
        </w:rPr>
      </w:pPr>
      <w:r>
        <w:rPr>
          <w:rFonts w:hint="eastAsia"/>
          <w:color w:val="auto"/>
          <w:sz w:val="30"/>
          <w:highlight w:val="none"/>
        </w:rPr>
        <w:t>合同编号：</w:t>
      </w:r>
      <w:r>
        <w:rPr>
          <w:rFonts w:hint="eastAsia" w:ascii="宋体" w:hAnsi="宋体" w:cs="宋体"/>
          <w:b/>
          <w:bCs/>
          <w:color w:val="auto"/>
          <w:sz w:val="30"/>
          <w:szCs w:val="30"/>
          <w:highlight w:val="none"/>
        </w:rPr>
        <w:t>穗净水合</w:t>
      </w:r>
      <w:r>
        <w:rPr>
          <w:rFonts w:ascii="宋体" w:hAnsi="宋体" w:cs="宋体"/>
          <w:b/>
          <w:bCs/>
          <w:color w:val="auto"/>
          <w:sz w:val="30"/>
          <w:szCs w:val="30"/>
          <w:highlight w:val="none"/>
        </w:rPr>
        <w:t xml:space="preserve">[     ]    </w:t>
      </w:r>
      <w:r>
        <w:rPr>
          <w:rFonts w:hint="eastAsia" w:ascii="宋体" w:hAnsi="宋体" w:cs="宋体"/>
          <w:b/>
          <w:bCs/>
          <w:color w:val="auto"/>
          <w:sz w:val="30"/>
          <w:szCs w:val="30"/>
          <w:highlight w:val="none"/>
        </w:rPr>
        <w:t>号</w:t>
      </w:r>
    </w:p>
    <w:p>
      <w:pPr>
        <w:rPr>
          <w:color w:val="auto"/>
          <w:sz w:val="30"/>
          <w:szCs w:val="30"/>
          <w:highlight w:val="none"/>
        </w:rPr>
      </w:pPr>
    </w:p>
    <w:p>
      <w:pPr>
        <w:rPr>
          <w:color w:val="auto"/>
          <w:sz w:val="30"/>
          <w:highlight w:val="none"/>
          <w:u w:val="single"/>
        </w:rPr>
      </w:pPr>
      <w:r>
        <w:rPr>
          <w:rFonts w:hint="eastAsia"/>
          <w:color w:val="auto"/>
          <w:sz w:val="30"/>
          <w:highlight w:val="none"/>
        </w:rPr>
        <w:t>甲方（买方）：</w:t>
      </w:r>
      <w:r>
        <w:rPr>
          <w:rFonts w:hint="eastAsia"/>
          <w:color w:val="auto"/>
          <w:sz w:val="30"/>
          <w:highlight w:val="none"/>
          <w:u w:val="single"/>
        </w:rPr>
        <w:t>广州市净水有限公司</w:t>
      </w:r>
    </w:p>
    <w:p>
      <w:pPr>
        <w:rPr>
          <w:color w:val="auto"/>
          <w:sz w:val="30"/>
          <w:highlight w:val="none"/>
        </w:rPr>
      </w:pPr>
      <w:r>
        <w:rPr>
          <w:rFonts w:hint="eastAsia"/>
          <w:color w:val="auto"/>
          <w:sz w:val="30"/>
          <w:highlight w:val="none"/>
        </w:rPr>
        <w:t>乙方（卖方）：</w:t>
      </w:r>
      <w:r>
        <w:rPr>
          <w:color w:val="auto"/>
          <w:sz w:val="30"/>
          <w:highlight w:val="none"/>
          <w:u w:val="single"/>
        </w:rPr>
        <w:t xml:space="preserve">                                        </w:t>
      </w:r>
      <w:r>
        <w:rPr>
          <w:color w:val="auto"/>
          <w:sz w:val="30"/>
          <w:highlight w:val="none"/>
        </w:rPr>
        <w:t xml:space="preserve"> </w:t>
      </w:r>
    </w:p>
    <w:p>
      <w:pPr>
        <w:rPr>
          <w:color w:val="auto"/>
          <w:sz w:val="30"/>
          <w:highlight w:val="none"/>
        </w:rPr>
      </w:pPr>
      <w:r>
        <w:rPr>
          <w:rFonts w:hint="eastAsia"/>
          <w:color w:val="auto"/>
          <w:sz w:val="30"/>
          <w:highlight w:val="none"/>
        </w:rPr>
        <w:t>签订日期：</w:t>
      </w:r>
      <w:r>
        <w:rPr>
          <w:color w:val="auto"/>
          <w:sz w:val="30"/>
          <w:highlight w:val="none"/>
        </w:rPr>
        <w:t xml:space="preserve">           </w:t>
      </w:r>
      <w:r>
        <w:rPr>
          <w:rFonts w:hint="eastAsia"/>
          <w:color w:val="auto"/>
          <w:sz w:val="30"/>
          <w:highlight w:val="none"/>
        </w:rPr>
        <w:t>年</w:t>
      </w:r>
      <w:r>
        <w:rPr>
          <w:color w:val="auto"/>
          <w:sz w:val="30"/>
          <w:highlight w:val="none"/>
        </w:rPr>
        <w:t xml:space="preserve">       </w:t>
      </w:r>
      <w:r>
        <w:rPr>
          <w:rFonts w:hint="eastAsia"/>
          <w:color w:val="auto"/>
          <w:sz w:val="30"/>
          <w:highlight w:val="none"/>
        </w:rPr>
        <w:t>月</w:t>
      </w:r>
      <w:r>
        <w:rPr>
          <w:color w:val="auto"/>
          <w:sz w:val="30"/>
          <w:highlight w:val="none"/>
        </w:rPr>
        <w:t xml:space="preserve">     </w:t>
      </w:r>
      <w:r>
        <w:rPr>
          <w:rFonts w:hint="eastAsia"/>
          <w:color w:val="auto"/>
          <w:sz w:val="30"/>
          <w:highlight w:val="none"/>
        </w:rPr>
        <w:t>日</w:t>
      </w:r>
    </w:p>
    <w:p>
      <w:pPr>
        <w:rPr>
          <w:color w:val="auto"/>
          <w:sz w:val="30"/>
          <w:highlight w:val="none"/>
        </w:rPr>
      </w:pPr>
      <w:r>
        <w:rPr>
          <w:rFonts w:hint="eastAsia"/>
          <w:color w:val="auto"/>
          <w:sz w:val="30"/>
          <w:highlight w:val="none"/>
        </w:rPr>
        <w:t>签约地点：广州市</w:t>
      </w:r>
    </w:p>
    <w:p>
      <w:pPr>
        <w:pStyle w:val="48"/>
        <w:spacing w:line="500" w:lineRule="exact"/>
        <w:jc w:val="center"/>
        <w:rPr>
          <w:rFonts w:ascii="宋体" w:hAnsi="宋体" w:eastAsia="宋体" w:cs="宋体"/>
          <w:b/>
          <w:bCs/>
          <w:color w:val="auto"/>
          <w:sz w:val="36"/>
          <w:szCs w:val="36"/>
          <w:highlight w:val="none"/>
          <w:lang w:val="zh-CN" w:eastAsia="zh-CN"/>
        </w:rPr>
      </w:pPr>
    </w:p>
    <w:p>
      <w:pPr>
        <w:spacing w:line="360" w:lineRule="auto"/>
        <w:ind w:firstLine="720" w:firstLineChars="300"/>
        <w:rPr>
          <w:rFonts w:hint="eastAsia" w:ascii="宋体" w:hAnsi="宋体" w:cs="宋体"/>
          <w:color w:val="auto"/>
          <w:sz w:val="24"/>
          <w:szCs w:val="24"/>
          <w:highlight w:val="none"/>
        </w:rPr>
      </w:pPr>
    </w:p>
    <w:p>
      <w:pPr>
        <w:spacing w:line="360" w:lineRule="auto"/>
        <w:ind w:firstLine="0" w:firstLineChars="0"/>
        <w:rPr>
          <w:rFonts w:hint="eastAsia" w:ascii="宋体" w:hAnsi="宋体" w:cs="宋体"/>
          <w:color w:val="auto"/>
          <w:sz w:val="24"/>
          <w:szCs w:val="24"/>
          <w:highlight w:val="none"/>
        </w:rPr>
      </w:pPr>
    </w:p>
    <w:p>
      <w:pPr>
        <w:spacing w:line="360" w:lineRule="auto"/>
        <w:ind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rPr>
        <w:t>根据《中华人民共和国</w:t>
      </w:r>
      <w:r>
        <w:rPr>
          <w:rFonts w:hint="eastAsia" w:ascii="宋体" w:hAnsi="宋体" w:cs="宋体"/>
          <w:color w:val="auto"/>
          <w:sz w:val="24"/>
          <w:szCs w:val="24"/>
          <w:highlight w:val="none"/>
          <w:lang w:val="en-US" w:eastAsia="zh-CN"/>
        </w:rPr>
        <w:t>民法典</w:t>
      </w:r>
      <w:r>
        <w:rPr>
          <w:rFonts w:hint="eastAsia" w:ascii="宋体" w:hAnsi="宋体" w:cs="宋体"/>
          <w:color w:val="auto"/>
          <w:sz w:val="24"/>
          <w:szCs w:val="24"/>
          <w:highlight w:val="none"/>
        </w:rPr>
        <w:t>》及其他有关法律、行政法规，</w:t>
      </w:r>
      <w:r>
        <w:rPr>
          <w:rFonts w:hint="eastAsia" w:ascii="宋体" w:hAnsi="宋体" w:cs="宋体"/>
          <w:color w:val="auto"/>
          <w:sz w:val="24"/>
          <w:szCs w:val="24"/>
          <w:highlight w:val="none"/>
          <w:u w:val="single"/>
        </w:rPr>
        <w:t>广州市净水有限公司</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（以下简称“甲方”）与</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（以下简称“乙方”）就</w:t>
      </w:r>
      <w:r>
        <w:rPr>
          <w:rFonts w:ascii="宋体" w:hAnsi="宋体" w:cs="宋体"/>
          <w:color w:val="auto"/>
          <w:sz w:val="24"/>
          <w:szCs w:val="24"/>
          <w:highlight w:val="none"/>
        </w:rPr>
        <w:t xml:space="preserve"> </w:t>
      </w:r>
      <w:r>
        <w:rPr>
          <w:rFonts w:hint="eastAsia" w:ascii="宋体" w:hAnsi="宋体" w:cs="宋体"/>
          <w:color w:val="auto"/>
          <w:sz w:val="24"/>
          <w:szCs w:val="24"/>
          <w:highlight w:val="none"/>
          <w:u w:val="single"/>
          <w:lang w:val="en-US" w:eastAsia="zh-CN"/>
        </w:rPr>
        <w:t>广州市净水有限公司2022年固定式气体检测仪采购项目</w:t>
      </w:r>
      <w:r>
        <w:rPr>
          <w:rFonts w:hint="eastAsia" w:ascii="宋体" w:hAnsi="宋体" w:cs="宋体"/>
          <w:color w:val="auto"/>
          <w:sz w:val="24"/>
          <w:szCs w:val="24"/>
          <w:highlight w:val="none"/>
        </w:rPr>
        <w:t>采购和相应技术服务事宜，遵循平等、自愿、公平和诚实信用的原则，双方协商一致，订立本合同。</w:t>
      </w:r>
    </w:p>
    <w:p>
      <w:pPr>
        <w:spacing w:line="360" w:lineRule="auto"/>
        <w:ind w:firstLine="540"/>
        <w:rPr>
          <w:rFonts w:ascii="宋体" w:hAnsi="宋体" w:cs="宋体"/>
          <w:b/>
          <w:bCs/>
          <w:color w:val="auto"/>
          <w:sz w:val="24"/>
          <w:szCs w:val="24"/>
          <w:highlight w:val="none"/>
        </w:rPr>
      </w:pPr>
      <w:r>
        <w:rPr>
          <w:rFonts w:ascii="宋体" w:hAnsi="宋体" w:cs="宋体"/>
          <w:b/>
          <w:bCs/>
          <w:color w:val="auto"/>
          <w:sz w:val="24"/>
          <w:szCs w:val="24"/>
          <w:highlight w:val="none"/>
        </w:rPr>
        <w:t>第一条 组成合同的文件及优先顺序</w:t>
      </w:r>
    </w:p>
    <w:p>
      <w:pPr>
        <w:spacing w:line="360" w:lineRule="auto"/>
        <w:ind w:firstLine="480" w:firstLineChars="200"/>
        <w:rPr>
          <w:rFonts w:ascii="宋体" w:hAnsi="宋体" w:cs="宋体"/>
          <w:color w:val="auto"/>
          <w:sz w:val="24"/>
          <w:szCs w:val="24"/>
          <w:highlight w:val="none"/>
        </w:rPr>
      </w:pPr>
      <w:r>
        <w:rPr>
          <w:rFonts w:hint="eastAsia" w:hAnsi="宋体" w:cs="宋体"/>
          <w:bCs/>
          <w:color w:val="auto"/>
          <w:sz w:val="24"/>
          <w:highlight w:val="none"/>
        </w:rPr>
        <w:t>下列文件（如有）均为本合同的组成部分，可视为能相互说明和补充的，如果合同文件存在歧义或相矛盾的地方，则根据以下次序判断：</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⑴</w:t>
      </w:r>
      <w:r>
        <w:rPr>
          <w:rFonts w:ascii="宋体" w:hAnsi="宋体" w:cs="宋体"/>
          <w:bCs/>
          <w:color w:val="auto"/>
          <w:sz w:val="24"/>
          <w:highlight w:val="none"/>
        </w:rPr>
        <w:t xml:space="preserve"> </w:t>
      </w:r>
      <w:r>
        <w:rPr>
          <w:rFonts w:hint="eastAsia" w:ascii="宋体" w:hAnsi="宋体" w:cs="宋体"/>
          <w:color w:val="auto"/>
          <w:sz w:val="24"/>
          <w:highlight w:val="none"/>
        </w:rPr>
        <w:t>在本合同实施过程双方签署的补充与修正文件</w:t>
      </w:r>
      <w:r>
        <w:rPr>
          <w:rFonts w:hint="eastAsia" w:ascii="宋体" w:hAnsi="宋体" w:cs="宋体"/>
          <w:bCs/>
          <w:color w:val="auto"/>
          <w:sz w:val="24"/>
          <w:highlight w:val="none"/>
        </w:rPr>
        <w:t>；</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⑵</w:t>
      </w:r>
      <w:r>
        <w:rPr>
          <w:rFonts w:ascii="宋体" w:hAnsi="宋体" w:cs="宋体"/>
          <w:bCs/>
          <w:color w:val="auto"/>
          <w:sz w:val="24"/>
          <w:highlight w:val="none"/>
        </w:rPr>
        <w:t xml:space="preserve"> </w:t>
      </w:r>
      <w:r>
        <w:rPr>
          <w:rFonts w:hint="eastAsia" w:ascii="宋体" w:hAnsi="宋体" w:cs="宋体"/>
          <w:bCs/>
          <w:color w:val="auto"/>
          <w:sz w:val="24"/>
          <w:highlight w:val="none"/>
        </w:rPr>
        <w:t>本合同书；</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⑶</w:t>
      </w:r>
      <w:r>
        <w:rPr>
          <w:rFonts w:ascii="宋体" w:hAnsi="宋体" w:cs="宋体"/>
          <w:bCs/>
          <w:color w:val="auto"/>
          <w:sz w:val="24"/>
          <w:highlight w:val="none"/>
        </w:rPr>
        <w:t xml:space="preserve"> </w:t>
      </w:r>
      <w:r>
        <w:rPr>
          <w:rFonts w:hint="eastAsia" w:ascii="宋体" w:hAnsi="宋体" w:cs="宋体"/>
          <w:bCs/>
          <w:color w:val="auto"/>
          <w:sz w:val="24"/>
          <w:highlight w:val="none"/>
        </w:rPr>
        <w:t>中标通知书</w:t>
      </w:r>
      <w:r>
        <w:rPr>
          <w:rFonts w:ascii="宋体" w:hAnsi="宋体" w:cs="宋体"/>
          <w:bCs/>
          <w:color w:val="auto"/>
          <w:sz w:val="24"/>
          <w:highlight w:val="none"/>
        </w:rPr>
        <w:t>/</w:t>
      </w:r>
      <w:r>
        <w:rPr>
          <w:rFonts w:hint="eastAsia" w:ascii="宋体" w:hAnsi="宋体" w:cs="宋体"/>
          <w:bCs/>
          <w:color w:val="auto"/>
          <w:sz w:val="24"/>
          <w:highlight w:val="none"/>
        </w:rPr>
        <w:t>发包通知书</w:t>
      </w:r>
      <w:r>
        <w:rPr>
          <w:rFonts w:ascii="宋体" w:hAnsi="宋体" w:cs="宋体"/>
          <w:bCs/>
          <w:color w:val="auto"/>
          <w:sz w:val="24"/>
          <w:highlight w:val="none"/>
        </w:rPr>
        <w:t>/</w:t>
      </w:r>
      <w:r>
        <w:rPr>
          <w:rFonts w:hint="eastAsia" w:ascii="宋体" w:hAnsi="宋体" w:cs="宋体"/>
          <w:bCs/>
          <w:color w:val="auto"/>
          <w:sz w:val="24"/>
          <w:highlight w:val="none"/>
          <w:lang w:val="en-US" w:eastAsia="zh-CN"/>
        </w:rPr>
        <w:t>成交通知书/</w:t>
      </w:r>
      <w:r>
        <w:rPr>
          <w:rFonts w:hint="eastAsia" w:ascii="宋体" w:hAnsi="宋体" w:cs="宋体"/>
          <w:bCs/>
          <w:color w:val="auto"/>
          <w:sz w:val="24"/>
          <w:highlight w:val="none"/>
        </w:rPr>
        <w:t>委托函；</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⑷</w:t>
      </w:r>
      <w:r>
        <w:rPr>
          <w:rFonts w:ascii="宋体" w:hAnsi="宋体" w:cs="宋体"/>
          <w:bCs/>
          <w:color w:val="auto"/>
          <w:sz w:val="24"/>
          <w:highlight w:val="none"/>
        </w:rPr>
        <w:t xml:space="preserve"> </w:t>
      </w:r>
      <w:r>
        <w:rPr>
          <w:rFonts w:hint="eastAsia" w:ascii="宋体" w:hAnsi="宋体" w:cs="宋体"/>
          <w:bCs/>
          <w:color w:val="auto"/>
          <w:sz w:val="24"/>
          <w:highlight w:val="none"/>
        </w:rPr>
        <w:t>招标文件</w:t>
      </w:r>
      <w:r>
        <w:rPr>
          <w:rFonts w:ascii="宋体" w:hAnsi="宋体" w:cs="宋体"/>
          <w:bCs/>
          <w:color w:val="auto"/>
          <w:sz w:val="24"/>
          <w:highlight w:val="none"/>
        </w:rPr>
        <w:t>/</w:t>
      </w:r>
      <w:r>
        <w:rPr>
          <w:rFonts w:hint="eastAsia" w:ascii="宋体" w:hAnsi="宋体" w:cs="宋体"/>
          <w:bCs/>
          <w:color w:val="auto"/>
          <w:sz w:val="24"/>
          <w:highlight w:val="none"/>
        </w:rPr>
        <w:t>询价文件；</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⑸</w:t>
      </w:r>
      <w:r>
        <w:rPr>
          <w:rFonts w:ascii="宋体" w:hAnsi="宋体" w:cs="宋体"/>
          <w:bCs/>
          <w:color w:val="auto"/>
          <w:sz w:val="24"/>
          <w:highlight w:val="none"/>
        </w:rPr>
        <w:t xml:space="preserve"> </w:t>
      </w:r>
      <w:r>
        <w:rPr>
          <w:rFonts w:hint="eastAsia" w:ascii="宋体" w:hAnsi="宋体" w:cs="宋体"/>
          <w:bCs/>
          <w:color w:val="auto"/>
          <w:sz w:val="24"/>
          <w:highlight w:val="none"/>
        </w:rPr>
        <w:t>投标文件</w:t>
      </w:r>
      <w:r>
        <w:rPr>
          <w:rFonts w:ascii="宋体" w:hAnsi="宋体" w:cs="宋体"/>
          <w:bCs/>
          <w:color w:val="auto"/>
          <w:sz w:val="24"/>
          <w:highlight w:val="none"/>
        </w:rPr>
        <w:t>/</w:t>
      </w:r>
      <w:r>
        <w:rPr>
          <w:rFonts w:hint="eastAsia" w:ascii="宋体" w:hAnsi="宋体" w:cs="宋体"/>
          <w:bCs/>
          <w:color w:val="auto"/>
          <w:sz w:val="24"/>
          <w:highlight w:val="none"/>
        </w:rPr>
        <w:t>响应文件；</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⑹</w:t>
      </w:r>
      <w:r>
        <w:rPr>
          <w:rFonts w:ascii="宋体" w:hAnsi="宋体" w:cs="宋体"/>
          <w:bCs/>
          <w:color w:val="auto"/>
          <w:sz w:val="24"/>
          <w:highlight w:val="none"/>
        </w:rPr>
        <w:t xml:space="preserve"> </w:t>
      </w:r>
      <w:r>
        <w:rPr>
          <w:rFonts w:hint="eastAsia" w:ascii="宋体" w:hAnsi="宋体" w:cs="宋体"/>
          <w:bCs/>
          <w:color w:val="auto"/>
          <w:sz w:val="24"/>
          <w:highlight w:val="none"/>
        </w:rPr>
        <w:t>标准、规范及有关技术性文件；</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⑺</w:t>
      </w:r>
      <w:r>
        <w:rPr>
          <w:rFonts w:ascii="宋体" w:hAnsi="宋体" w:cs="宋体"/>
          <w:bCs/>
          <w:color w:val="auto"/>
          <w:sz w:val="24"/>
          <w:highlight w:val="none"/>
        </w:rPr>
        <w:t xml:space="preserve"> </w:t>
      </w:r>
      <w:r>
        <w:rPr>
          <w:rFonts w:hint="eastAsia" w:ascii="宋体" w:hAnsi="宋体" w:cs="宋体"/>
          <w:bCs/>
          <w:color w:val="auto"/>
          <w:sz w:val="24"/>
          <w:highlight w:val="none"/>
        </w:rPr>
        <w:t>图纸；</w:t>
      </w:r>
    </w:p>
    <w:p>
      <w:pPr>
        <w:spacing w:line="384" w:lineRule="auto"/>
        <w:ind w:firstLine="482"/>
        <w:rPr>
          <w:rFonts w:ascii="宋体" w:hAnsi="宋体" w:cs="宋体"/>
          <w:bCs/>
          <w:color w:val="auto"/>
          <w:sz w:val="24"/>
          <w:highlight w:val="none"/>
        </w:rPr>
      </w:pPr>
      <w:r>
        <w:rPr>
          <w:rFonts w:hint="eastAsia" w:ascii="宋体" w:hAnsi="宋体" w:cs="宋体"/>
          <w:bCs/>
          <w:color w:val="auto"/>
          <w:sz w:val="24"/>
          <w:highlight w:val="none"/>
        </w:rPr>
        <w:t>⑻</w:t>
      </w:r>
      <w:r>
        <w:rPr>
          <w:rFonts w:ascii="宋体" w:hAnsi="宋体" w:cs="宋体"/>
          <w:bCs/>
          <w:color w:val="auto"/>
          <w:sz w:val="24"/>
          <w:highlight w:val="none"/>
        </w:rPr>
        <w:t xml:space="preserve"> </w:t>
      </w:r>
      <w:r>
        <w:rPr>
          <w:rFonts w:hint="eastAsia" w:ascii="宋体" w:hAnsi="宋体" w:cs="宋体"/>
          <w:bCs/>
          <w:color w:val="auto"/>
          <w:sz w:val="24"/>
          <w:highlight w:val="none"/>
        </w:rPr>
        <w:t>工程量清单</w:t>
      </w:r>
      <w:r>
        <w:rPr>
          <w:rFonts w:ascii="宋体" w:hAnsi="宋体" w:cs="宋体"/>
          <w:bCs/>
          <w:color w:val="auto"/>
          <w:sz w:val="24"/>
          <w:highlight w:val="none"/>
        </w:rPr>
        <w:t>/</w:t>
      </w:r>
      <w:r>
        <w:rPr>
          <w:rFonts w:hint="eastAsia" w:ascii="宋体" w:hAnsi="宋体" w:cs="宋体"/>
          <w:color w:val="auto"/>
          <w:sz w:val="24"/>
          <w:highlight w:val="none"/>
        </w:rPr>
        <w:t>工程报价单或预算书；</w:t>
      </w:r>
    </w:p>
    <w:p>
      <w:pPr>
        <w:spacing w:line="360" w:lineRule="auto"/>
        <w:ind w:firstLine="480" w:firstLineChars="200"/>
        <w:rPr>
          <w:rFonts w:ascii="宋体" w:hAnsi="宋体" w:cs="宋体"/>
          <w:color w:val="auto"/>
          <w:sz w:val="24"/>
          <w:szCs w:val="24"/>
          <w:highlight w:val="none"/>
        </w:rPr>
      </w:pPr>
      <w:r>
        <w:rPr>
          <w:rFonts w:hint="eastAsia" w:ascii="宋体" w:hAnsi="宋体" w:cs="宋体"/>
          <w:bCs/>
          <w:color w:val="auto"/>
          <w:sz w:val="24"/>
          <w:highlight w:val="none"/>
        </w:rPr>
        <w:t>⑼</w:t>
      </w:r>
      <w:r>
        <w:rPr>
          <w:rFonts w:ascii="宋体" w:hAnsi="宋体" w:cs="宋体"/>
          <w:bCs/>
          <w:color w:val="auto"/>
          <w:sz w:val="24"/>
          <w:highlight w:val="none"/>
        </w:rPr>
        <w:t xml:space="preserve"> </w:t>
      </w:r>
      <w:r>
        <w:rPr>
          <w:rFonts w:hint="eastAsia" w:ascii="宋体" w:hAnsi="宋体" w:cs="宋体"/>
          <w:bCs/>
          <w:color w:val="auto"/>
          <w:sz w:val="24"/>
          <w:highlight w:val="none"/>
        </w:rPr>
        <w:t>本合同其他附件；</w:t>
      </w:r>
    </w:p>
    <w:p>
      <w:pPr>
        <w:spacing w:line="360" w:lineRule="auto"/>
        <w:rPr>
          <w:rFonts w:ascii="宋体" w:hAnsi="宋体" w:cs="宋体"/>
          <w:bCs/>
          <w:color w:val="auto"/>
          <w:sz w:val="24"/>
          <w:szCs w:val="24"/>
          <w:highlight w:val="none"/>
        </w:rPr>
      </w:pPr>
      <w:r>
        <w:rPr>
          <w:rFonts w:ascii="宋体" w:hAnsi="宋体" w:cs="宋体"/>
          <w:color w:val="auto"/>
          <w:sz w:val="24"/>
          <w:szCs w:val="24"/>
          <w:highlight w:val="none"/>
        </w:rPr>
        <w:t xml:space="preserve">   </w:t>
      </w:r>
      <w:r>
        <w:rPr>
          <w:rFonts w:ascii="宋体" w:hAnsi="宋体" w:cs="宋体"/>
          <w:b/>
          <w:bCs/>
          <w:color w:val="auto"/>
          <w:sz w:val="24"/>
          <w:szCs w:val="24"/>
          <w:highlight w:val="none"/>
        </w:rPr>
        <w:t xml:space="preserve"> </w:t>
      </w:r>
      <w:r>
        <w:rPr>
          <w:rFonts w:hint="eastAsia" w:ascii="宋体" w:hAnsi="宋体" w:cs="宋体"/>
          <w:b/>
          <w:bCs/>
          <w:color w:val="auto"/>
          <w:sz w:val="24"/>
          <w:szCs w:val="24"/>
          <w:highlight w:val="none"/>
        </w:rPr>
        <w:t>第二条</w:t>
      </w:r>
      <w:r>
        <w:rPr>
          <w:rFonts w:ascii="宋体" w:hAnsi="宋体" w:cs="宋体"/>
          <w:b/>
          <w:bCs/>
          <w:color w:val="auto"/>
          <w:sz w:val="24"/>
          <w:szCs w:val="24"/>
          <w:highlight w:val="none"/>
        </w:rPr>
        <w:t xml:space="preserve"> </w:t>
      </w:r>
      <w:r>
        <w:rPr>
          <w:rFonts w:hint="eastAsia" w:ascii="宋体" w:hAnsi="宋体" w:cs="宋体"/>
          <w:b/>
          <w:color w:val="auto"/>
          <w:sz w:val="24"/>
          <w:szCs w:val="24"/>
          <w:highlight w:val="none"/>
        </w:rPr>
        <w:t>合同标的</w:t>
      </w:r>
    </w:p>
    <w:p>
      <w:pPr>
        <w:autoSpaceDE w:val="0"/>
        <w:autoSpaceDN w:val="0"/>
        <w:adjustRightInd w:val="0"/>
        <w:spacing w:line="360" w:lineRule="auto"/>
        <w:ind w:firstLine="480" w:firstLineChars="2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本合同所指设备为全新的原装产品，</w:t>
      </w:r>
      <w:r>
        <w:rPr>
          <w:rFonts w:hint="eastAsia" w:ascii="宋体" w:hAnsi="宋体" w:cs="宋体"/>
          <w:color w:val="auto"/>
          <w:kern w:val="0"/>
          <w:sz w:val="24"/>
          <w:szCs w:val="24"/>
          <w:highlight w:val="none"/>
        </w:rPr>
        <w:t>其</w:t>
      </w:r>
      <w:r>
        <w:rPr>
          <w:rFonts w:hint="eastAsia" w:ascii="宋体" w:hAnsi="宋体" w:cs="宋体"/>
          <w:color w:val="auto"/>
          <w:kern w:val="0"/>
          <w:sz w:val="24"/>
          <w:szCs w:val="24"/>
          <w:highlight w:val="none"/>
          <w:lang w:val="zh-CN"/>
        </w:rPr>
        <w:t>名称、型号、规格、数量、金额详见下表：</w:t>
      </w:r>
    </w:p>
    <w:tbl>
      <w:tblPr>
        <w:tblStyle w:val="23"/>
        <w:tblW w:w="9736" w:type="dxa"/>
        <w:tblInd w:w="0" w:type="dxa"/>
        <w:tblLayout w:type="fixed"/>
        <w:tblCellMar>
          <w:top w:w="0" w:type="dxa"/>
          <w:left w:w="108" w:type="dxa"/>
          <w:bottom w:w="0" w:type="dxa"/>
          <w:right w:w="108" w:type="dxa"/>
        </w:tblCellMar>
      </w:tblPr>
      <w:tblGrid>
        <w:gridCol w:w="569"/>
        <w:gridCol w:w="1066"/>
        <w:gridCol w:w="1283"/>
        <w:gridCol w:w="764"/>
        <w:gridCol w:w="744"/>
        <w:gridCol w:w="986"/>
        <w:gridCol w:w="1149"/>
        <w:gridCol w:w="905"/>
        <w:gridCol w:w="1257"/>
        <w:gridCol w:w="1013"/>
      </w:tblGrid>
      <w:tr>
        <w:tblPrEx>
          <w:tblCellMar>
            <w:top w:w="0" w:type="dxa"/>
            <w:left w:w="108" w:type="dxa"/>
            <w:bottom w:w="0" w:type="dxa"/>
            <w:right w:w="108" w:type="dxa"/>
          </w:tblCellMar>
        </w:tblPrEx>
        <w:trPr>
          <w:trHeight w:val="671" w:hRule="atLeast"/>
        </w:trPr>
        <w:tc>
          <w:tcPr>
            <w:tcW w:w="569" w:type="dxa"/>
            <w:vMerge w:val="restart"/>
            <w:tcBorders>
              <w:top w:val="single" w:color="000000" w:sz="2" w:space="0"/>
              <w:left w:val="single" w:color="000000" w:sz="2" w:space="0"/>
              <w:right w:val="single" w:color="000000" w:sz="2" w:space="0"/>
            </w:tcBorders>
            <w:shd w:val="clear" w:color="000000" w:fill="FFFFFF"/>
          </w:tcPr>
          <w:p>
            <w:pPr>
              <w:autoSpaceDE w:val="0"/>
              <w:autoSpaceDN w:val="0"/>
              <w:adjustRightInd w:val="0"/>
              <w:spacing w:line="360" w:lineRule="auto"/>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序号</w:t>
            </w:r>
          </w:p>
        </w:tc>
        <w:tc>
          <w:tcPr>
            <w:tcW w:w="1066" w:type="dxa"/>
            <w:vMerge w:val="restart"/>
            <w:tcBorders>
              <w:top w:val="single" w:color="000000" w:sz="2" w:space="0"/>
              <w:left w:val="single" w:color="000000" w:sz="2" w:space="0"/>
              <w:right w:val="single" w:color="000000" w:sz="2" w:space="0"/>
            </w:tcBorders>
            <w:shd w:val="clear" w:color="000000" w:fill="FFFFFF"/>
          </w:tcPr>
          <w:p>
            <w:pPr>
              <w:autoSpaceDE w:val="0"/>
              <w:autoSpaceDN w:val="0"/>
              <w:adjustRightInd w:val="0"/>
              <w:spacing w:line="360" w:lineRule="auto"/>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名称</w:t>
            </w:r>
          </w:p>
        </w:tc>
        <w:tc>
          <w:tcPr>
            <w:tcW w:w="1283" w:type="dxa"/>
            <w:vMerge w:val="restart"/>
            <w:tcBorders>
              <w:top w:val="single" w:color="000000" w:sz="2" w:space="0"/>
              <w:left w:val="single" w:color="000000" w:sz="2" w:space="0"/>
              <w:right w:val="single" w:color="000000" w:sz="2" w:space="0"/>
            </w:tcBorders>
            <w:shd w:val="clear" w:color="000000" w:fill="FFFFFF"/>
          </w:tcPr>
          <w:p>
            <w:pPr>
              <w:autoSpaceDE w:val="0"/>
              <w:autoSpaceDN w:val="0"/>
              <w:adjustRightInd w:val="0"/>
              <w:spacing w:line="360" w:lineRule="auto"/>
              <w:jc w:val="center"/>
              <w:rPr>
                <w:rFonts w:hint="eastAsia" w:ascii="宋体" w:hAnsi="宋体" w:cs="宋体"/>
                <w:color w:val="auto"/>
                <w:kern w:val="0"/>
                <w:sz w:val="24"/>
                <w:szCs w:val="24"/>
                <w:highlight w:val="none"/>
                <w:lang w:val="zh-CN" w:eastAsia="zh-CN"/>
              </w:rPr>
            </w:pPr>
            <w:r>
              <w:rPr>
                <w:rFonts w:hint="eastAsia" w:ascii="宋体" w:hAnsi="宋体" w:cs="宋体"/>
                <w:color w:val="auto"/>
                <w:kern w:val="0"/>
                <w:sz w:val="24"/>
                <w:szCs w:val="24"/>
                <w:highlight w:val="none"/>
                <w:lang w:val="zh-CN"/>
              </w:rPr>
              <w:t>品牌</w:t>
            </w:r>
            <w:r>
              <w:rPr>
                <w:rFonts w:hint="eastAsia" w:ascii="宋体" w:hAnsi="宋体" w:cs="宋体"/>
                <w:color w:val="auto"/>
                <w:kern w:val="0"/>
                <w:sz w:val="24"/>
                <w:szCs w:val="24"/>
                <w:highlight w:val="none"/>
                <w:lang w:val="zh-CN" w:eastAsia="zh-CN"/>
              </w:rPr>
              <w:t>及</w:t>
            </w:r>
          </w:p>
          <w:p>
            <w:pPr>
              <w:autoSpaceDE w:val="0"/>
              <w:autoSpaceDN w:val="0"/>
              <w:adjustRightInd w:val="0"/>
              <w:spacing w:line="360" w:lineRule="auto"/>
              <w:jc w:val="center"/>
              <w:rPr>
                <w:rFonts w:hint="eastAsia" w:ascii="宋体" w:hAnsi="宋体" w:cs="宋体" w:eastAsiaTheme="minorEastAsia"/>
                <w:color w:val="auto"/>
                <w:kern w:val="0"/>
                <w:sz w:val="24"/>
                <w:szCs w:val="24"/>
                <w:highlight w:val="none"/>
                <w:lang w:val="en-US" w:eastAsia="zh-CN"/>
              </w:rPr>
            </w:pPr>
            <w:r>
              <w:rPr>
                <w:rFonts w:hint="eastAsia" w:ascii="宋体" w:hAnsi="宋体" w:cs="宋体"/>
                <w:color w:val="auto"/>
                <w:kern w:val="0"/>
                <w:sz w:val="24"/>
                <w:szCs w:val="24"/>
                <w:highlight w:val="none"/>
                <w:lang w:val="zh-CN" w:eastAsia="zh-CN"/>
              </w:rPr>
              <w:t>型号</w:t>
            </w:r>
          </w:p>
        </w:tc>
        <w:tc>
          <w:tcPr>
            <w:tcW w:w="764" w:type="dxa"/>
            <w:vMerge w:val="restart"/>
            <w:tcBorders>
              <w:top w:val="single" w:color="000000" w:sz="2" w:space="0"/>
              <w:left w:val="single" w:color="000000" w:sz="2" w:space="0"/>
              <w:right w:val="single" w:color="000000" w:sz="2" w:space="0"/>
            </w:tcBorders>
            <w:shd w:val="clear" w:color="000000" w:fill="FFFFFF"/>
          </w:tcPr>
          <w:p>
            <w:pPr>
              <w:autoSpaceDE w:val="0"/>
              <w:autoSpaceDN w:val="0"/>
              <w:adjustRightInd w:val="0"/>
              <w:spacing w:line="360" w:lineRule="auto"/>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单位</w:t>
            </w:r>
          </w:p>
        </w:tc>
        <w:tc>
          <w:tcPr>
            <w:tcW w:w="744" w:type="dxa"/>
            <w:vMerge w:val="restart"/>
            <w:tcBorders>
              <w:top w:val="single" w:color="000000" w:sz="2" w:space="0"/>
              <w:left w:val="single" w:color="000000" w:sz="2" w:space="0"/>
              <w:right w:val="single" w:color="000000" w:sz="2" w:space="0"/>
            </w:tcBorders>
            <w:shd w:val="clear" w:color="000000" w:fill="FFFFFF"/>
          </w:tcPr>
          <w:p>
            <w:pPr>
              <w:autoSpaceDE w:val="0"/>
              <w:autoSpaceDN w:val="0"/>
              <w:adjustRightInd w:val="0"/>
              <w:spacing w:line="360" w:lineRule="auto"/>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数量</w:t>
            </w:r>
          </w:p>
        </w:tc>
        <w:tc>
          <w:tcPr>
            <w:tcW w:w="2135" w:type="dxa"/>
            <w:gridSpan w:val="2"/>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单价（万元）</w:t>
            </w:r>
          </w:p>
        </w:tc>
        <w:tc>
          <w:tcPr>
            <w:tcW w:w="2162" w:type="dxa"/>
            <w:gridSpan w:val="2"/>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金额（万元）</w:t>
            </w:r>
          </w:p>
        </w:tc>
        <w:tc>
          <w:tcPr>
            <w:tcW w:w="1013" w:type="dxa"/>
            <w:vMerge w:val="restart"/>
            <w:tcBorders>
              <w:top w:val="single" w:color="000000" w:sz="2" w:space="0"/>
              <w:left w:val="single" w:color="000000" w:sz="2" w:space="0"/>
              <w:right w:val="single" w:color="000000" w:sz="2" w:space="0"/>
            </w:tcBorders>
            <w:shd w:val="clear" w:color="000000" w:fill="FFFFFF"/>
          </w:tcPr>
          <w:p>
            <w:pPr>
              <w:autoSpaceDE w:val="0"/>
              <w:autoSpaceDN w:val="0"/>
              <w:adjustRightInd w:val="0"/>
              <w:spacing w:line="360" w:lineRule="auto"/>
              <w:jc w:val="center"/>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备注</w:t>
            </w:r>
          </w:p>
        </w:tc>
      </w:tr>
      <w:tr>
        <w:tblPrEx>
          <w:tblCellMar>
            <w:top w:w="0" w:type="dxa"/>
            <w:left w:w="108" w:type="dxa"/>
            <w:bottom w:w="0" w:type="dxa"/>
            <w:right w:w="108" w:type="dxa"/>
          </w:tblCellMar>
        </w:tblPrEx>
        <w:trPr>
          <w:trHeight w:val="771" w:hRule="atLeast"/>
        </w:trPr>
        <w:tc>
          <w:tcPr>
            <w:tcW w:w="569" w:type="dxa"/>
            <w:vMerge w:val="continue"/>
            <w:tcBorders>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sz w:val="24"/>
                <w:szCs w:val="24"/>
                <w:highlight w:val="none"/>
              </w:rPr>
            </w:pPr>
          </w:p>
        </w:tc>
        <w:tc>
          <w:tcPr>
            <w:tcW w:w="1066" w:type="dxa"/>
            <w:vMerge w:val="continue"/>
            <w:tcBorders>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sz w:val="24"/>
                <w:szCs w:val="24"/>
                <w:highlight w:val="none"/>
              </w:rPr>
            </w:pPr>
          </w:p>
        </w:tc>
        <w:tc>
          <w:tcPr>
            <w:tcW w:w="1283" w:type="dxa"/>
            <w:vMerge w:val="continue"/>
            <w:tcBorders>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sz w:val="24"/>
                <w:szCs w:val="24"/>
                <w:highlight w:val="none"/>
              </w:rPr>
            </w:pPr>
          </w:p>
        </w:tc>
        <w:tc>
          <w:tcPr>
            <w:tcW w:w="764" w:type="dxa"/>
            <w:vMerge w:val="continue"/>
            <w:tcBorders>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sz w:val="24"/>
                <w:szCs w:val="24"/>
                <w:highlight w:val="none"/>
              </w:rPr>
            </w:pPr>
          </w:p>
        </w:tc>
        <w:tc>
          <w:tcPr>
            <w:tcW w:w="744" w:type="dxa"/>
            <w:vMerge w:val="continue"/>
            <w:tcBorders>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sz w:val="24"/>
                <w:szCs w:val="24"/>
                <w:highlight w:val="none"/>
              </w:rPr>
            </w:pPr>
          </w:p>
        </w:tc>
        <w:tc>
          <w:tcPr>
            <w:tcW w:w="986"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含税</w:t>
            </w:r>
          </w:p>
        </w:tc>
        <w:tc>
          <w:tcPr>
            <w:tcW w:w="1149"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不含税</w:t>
            </w:r>
          </w:p>
        </w:tc>
        <w:tc>
          <w:tcPr>
            <w:tcW w:w="905"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含税</w:t>
            </w:r>
          </w:p>
        </w:tc>
        <w:tc>
          <w:tcPr>
            <w:tcW w:w="1257"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不含税</w:t>
            </w:r>
          </w:p>
        </w:tc>
        <w:tc>
          <w:tcPr>
            <w:tcW w:w="1013" w:type="dxa"/>
            <w:vMerge w:val="continue"/>
            <w:tcBorders>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kern w:val="0"/>
                <w:sz w:val="24"/>
                <w:szCs w:val="24"/>
                <w:highlight w:val="none"/>
                <w:lang w:val="zh-CN"/>
              </w:rPr>
            </w:pPr>
          </w:p>
        </w:tc>
      </w:tr>
      <w:tr>
        <w:tblPrEx>
          <w:tblCellMar>
            <w:top w:w="0" w:type="dxa"/>
            <w:left w:w="108" w:type="dxa"/>
            <w:bottom w:w="0" w:type="dxa"/>
            <w:right w:w="108" w:type="dxa"/>
          </w:tblCellMar>
        </w:tblPrEx>
        <w:trPr>
          <w:trHeight w:val="617" w:hRule="atLeast"/>
        </w:trPr>
        <w:tc>
          <w:tcPr>
            <w:tcW w:w="569"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kern w:val="0"/>
                <w:sz w:val="24"/>
                <w:szCs w:val="24"/>
                <w:highlight w:val="none"/>
                <w:lang w:val="zh-CN"/>
              </w:rPr>
            </w:pPr>
            <w:r>
              <w:rPr>
                <w:rFonts w:ascii="宋体" w:hAnsi="宋体" w:cs="宋体"/>
                <w:color w:val="auto"/>
                <w:kern w:val="0"/>
                <w:sz w:val="24"/>
                <w:szCs w:val="24"/>
                <w:highlight w:val="none"/>
                <w:lang w:val="zh-CN"/>
              </w:rPr>
              <w:t>1</w:t>
            </w:r>
          </w:p>
        </w:tc>
        <w:tc>
          <w:tcPr>
            <w:tcW w:w="1066"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kern w:val="0"/>
                <w:sz w:val="24"/>
                <w:szCs w:val="24"/>
                <w:highlight w:val="none"/>
                <w:lang w:val="zh-CN"/>
              </w:rPr>
            </w:pPr>
          </w:p>
        </w:tc>
        <w:tc>
          <w:tcPr>
            <w:tcW w:w="1283"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kern w:val="0"/>
                <w:sz w:val="24"/>
                <w:szCs w:val="24"/>
                <w:highlight w:val="none"/>
                <w:lang w:val="zh-CN"/>
              </w:rPr>
            </w:pPr>
          </w:p>
        </w:tc>
        <w:tc>
          <w:tcPr>
            <w:tcW w:w="764"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kern w:val="0"/>
                <w:sz w:val="24"/>
                <w:szCs w:val="24"/>
                <w:highlight w:val="none"/>
                <w:lang w:val="zh-CN"/>
              </w:rPr>
            </w:pPr>
          </w:p>
        </w:tc>
        <w:tc>
          <w:tcPr>
            <w:tcW w:w="744" w:type="dxa"/>
            <w:tcBorders>
              <w:top w:val="single" w:color="000000" w:sz="2" w:space="0"/>
              <w:left w:val="single" w:color="000000" w:sz="2" w:space="0"/>
              <w:bottom w:val="single" w:color="000000" w:sz="2" w:space="0"/>
              <w:right w:val="single" w:color="000000" w:sz="2" w:space="0"/>
            </w:tcBorders>
            <w:shd w:val="clear" w:color="000000" w:fill="FFFFFF"/>
            <w:vAlign w:val="bottom"/>
          </w:tcPr>
          <w:p>
            <w:pPr>
              <w:autoSpaceDE w:val="0"/>
              <w:autoSpaceDN w:val="0"/>
              <w:adjustRightInd w:val="0"/>
              <w:spacing w:line="360" w:lineRule="auto"/>
              <w:jc w:val="right"/>
              <w:rPr>
                <w:rFonts w:ascii="宋体" w:hAnsi="宋体" w:cs="宋体"/>
                <w:color w:val="auto"/>
                <w:kern w:val="0"/>
                <w:sz w:val="24"/>
                <w:szCs w:val="24"/>
                <w:highlight w:val="none"/>
                <w:lang w:val="zh-CN"/>
              </w:rPr>
            </w:pPr>
          </w:p>
        </w:tc>
        <w:tc>
          <w:tcPr>
            <w:tcW w:w="986" w:type="dxa"/>
            <w:tcBorders>
              <w:top w:val="single" w:color="000000" w:sz="2" w:space="0"/>
              <w:left w:val="single" w:color="000000" w:sz="2" w:space="0"/>
              <w:bottom w:val="single" w:color="000000" w:sz="2" w:space="0"/>
              <w:right w:val="single" w:color="000000" w:sz="2" w:space="0"/>
            </w:tcBorders>
            <w:shd w:val="clear" w:color="000000" w:fill="FFFFFF"/>
            <w:vAlign w:val="bottom"/>
          </w:tcPr>
          <w:p>
            <w:pPr>
              <w:autoSpaceDE w:val="0"/>
              <w:autoSpaceDN w:val="0"/>
              <w:adjustRightInd w:val="0"/>
              <w:spacing w:line="360" w:lineRule="auto"/>
              <w:jc w:val="right"/>
              <w:rPr>
                <w:rFonts w:ascii="宋体" w:hAnsi="宋体" w:cs="宋体"/>
                <w:color w:val="auto"/>
                <w:kern w:val="0"/>
                <w:sz w:val="24"/>
                <w:szCs w:val="24"/>
                <w:highlight w:val="none"/>
                <w:lang w:val="zh-CN"/>
              </w:rPr>
            </w:pPr>
          </w:p>
        </w:tc>
        <w:tc>
          <w:tcPr>
            <w:tcW w:w="1149" w:type="dxa"/>
            <w:tcBorders>
              <w:top w:val="single" w:color="000000" w:sz="2" w:space="0"/>
              <w:left w:val="single" w:color="000000" w:sz="2" w:space="0"/>
              <w:bottom w:val="single" w:color="000000" w:sz="2" w:space="0"/>
              <w:right w:val="single" w:color="000000" w:sz="2" w:space="0"/>
            </w:tcBorders>
            <w:shd w:val="clear" w:color="000000" w:fill="FFFFFF"/>
            <w:vAlign w:val="bottom"/>
          </w:tcPr>
          <w:p>
            <w:pPr>
              <w:autoSpaceDE w:val="0"/>
              <w:autoSpaceDN w:val="0"/>
              <w:adjustRightInd w:val="0"/>
              <w:spacing w:line="360" w:lineRule="auto"/>
              <w:jc w:val="right"/>
              <w:rPr>
                <w:rFonts w:ascii="宋体" w:hAnsi="宋体" w:cs="宋体"/>
                <w:color w:val="auto"/>
                <w:kern w:val="0"/>
                <w:sz w:val="24"/>
                <w:szCs w:val="24"/>
                <w:highlight w:val="none"/>
                <w:lang w:val="zh-CN"/>
              </w:rPr>
            </w:pPr>
          </w:p>
        </w:tc>
        <w:tc>
          <w:tcPr>
            <w:tcW w:w="905" w:type="dxa"/>
            <w:tcBorders>
              <w:top w:val="single" w:color="000000" w:sz="2" w:space="0"/>
              <w:left w:val="single" w:color="000000" w:sz="2" w:space="0"/>
              <w:bottom w:val="single" w:color="000000" w:sz="2" w:space="0"/>
              <w:right w:val="single" w:color="000000" w:sz="2" w:space="0"/>
            </w:tcBorders>
            <w:shd w:val="clear" w:color="000000" w:fill="FFFFFF"/>
            <w:vAlign w:val="bottom"/>
          </w:tcPr>
          <w:p>
            <w:pPr>
              <w:autoSpaceDE w:val="0"/>
              <w:autoSpaceDN w:val="0"/>
              <w:adjustRightInd w:val="0"/>
              <w:spacing w:line="360" w:lineRule="auto"/>
              <w:jc w:val="right"/>
              <w:rPr>
                <w:rFonts w:ascii="宋体" w:hAnsi="宋体" w:cs="宋体"/>
                <w:color w:val="auto"/>
                <w:kern w:val="0"/>
                <w:sz w:val="24"/>
                <w:szCs w:val="24"/>
                <w:highlight w:val="none"/>
                <w:lang w:val="zh-CN"/>
              </w:rPr>
            </w:pPr>
          </w:p>
        </w:tc>
        <w:tc>
          <w:tcPr>
            <w:tcW w:w="1257" w:type="dxa"/>
            <w:tcBorders>
              <w:top w:val="single" w:color="000000" w:sz="2" w:space="0"/>
              <w:left w:val="single" w:color="000000" w:sz="2" w:space="0"/>
              <w:bottom w:val="single" w:color="000000" w:sz="2" w:space="0"/>
              <w:right w:val="single" w:color="000000" w:sz="2" w:space="0"/>
            </w:tcBorders>
            <w:shd w:val="clear" w:color="000000" w:fill="FFFFFF"/>
            <w:vAlign w:val="bottom"/>
          </w:tcPr>
          <w:p>
            <w:pPr>
              <w:autoSpaceDE w:val="0"/>
              <w:autoSpaceDN w:val="0"/>
              <w:adjustRightInd w:val="0"/>
              <w:spacing w:line="360" w:lineRule="auto"/>
              <w:jc w:val="right"/>
              <w:rPr>
                <w:rFonts w:ascii="宋体" w:hAnsi="宋体" w:cs="宋体"/>
                <w:color w:val="auto"/>
                <w:kern w:val="0"/>
                <w:sz w:val="24"/>
                <w:szCs w:val="24"/>
                <w:highlight w:val="none"/>
                <w:lang w:val="zh-CN"/>
              </w:rPr>
            </w:pPr>
          </w:p>
        </w:tc>
        <w:tc>
          <w:tcPr>
            <w:tcW w:w="1013"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kern w:val="0"/>
                <w:sz w:val="24"/>
                <w:szCs w:val="24"/>
                <w:highlight w:val="none"/>
                <w:lang w:val="zh-CN"/>
              </w:rPr>
            </w:pPr>
          </w:p>
        </w:tc>
      </w:tr>
      <w:tr>
        <w:tblPrEx>
          <w:tblCellMar>
            <w:top w:w="0" w:type="dxa"/>
            <w:left w:w="108" w:type="dxa"/>
            <w:bottom w:w="0" w:type="dxa"/>
            <w:right w:w="108" w:type="dxa"/>
          </w:tblCellMar>
        </w:tblPrEx>
        <w:trPr>
          <w:trHeight w:val="617" w:hRule="atLeast"/>
        </w:trPr>
        <w:tc>
          <w:tcPr>
            <w:tcW w:w="569"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kern w:val="0"/>
                <w:sz w:val="24"/>
                <w:szCs w:val="24"/>
                <w:highlight w:val="none"/>
                <w:lang w:val="zh-CN"/>
              </w:rPr>
            </w:pPr>
            <w:r>
              <w:rPr>
                <w:rFonts w:ascii="宋体" w:hAnsi="宋体" w:cs="宋体"/>
                <w:color w:val="auto"/>
                <w:kern w:val="0"/>
                <w:sz w:val="24"/>
                <w:szCs w:val="24"/>
                <w:highlight w:val="none"/>
                <w:lang w:val="zh-CN"/>
              </w:rPr>
              <w:t>2</w:t>
            </w:r>
          </w:p>
        </w:tc>
        <w:tc>
          <w:tcPr>
            <w:tcW w:w="1066"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kern w:val="0"/>
                <w:sz w:val="24"/>
                <w:szCs w:val="24"/>
                <w:highlight w:val="none"/>
                <w:lang w:val="zh-CN"/>
              </w:rPr>
            </w:pPr>
          </w:p>
        </w:tc>
        <w:tc>
          <w:tcPr>
            <w:tcW w:w="1283"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kern w:val="0"/>
                <w:sz w:val="24"/>
                <w:szCs w:val="24"/>
                <w:highlight w:val="none"/>
                <w:lang w:val="zh-CN"/>
              </w:rPr>
            </w:pPr>
          </w:p>
        </w:tc>
        <w:tc>
          <w:tcPr>
            <w:tcW w:w="764"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kern w:val="0"/>
                <w:sz w:val="24"/>
                <w:szCs w:val="24"/>
                <w:highlight w:val="none"/>
                <w:lang w:val="zh-CN"/>
              </w:rPr>
            </w:pPr>
          </w:p>
        </w:tc>
        <w:tc>
          <w:tcPr>
            <w:tcW w:w="744" w:type="dxa"/>
            <w:tcBorders>
              <w:top w:val="single" w:color="000000" w:sz="2" w:space="0"/>
              <w:left w:val="single" w:color="000000" w:sz="2" w:space="0"/>
              <w:bottom w:val="single" w:color="000000" w:sz="2" w:space="0"/>
              <w:right w:val="single" w:color="000000" w:sz="2" w:space="0"/>
            </w:tcBorders>
            <w:shd w:val="clear" w:color="000000" w:fill="FFFFFF"/>
            <w:vAlign w:val="bottom"/>
          </w:tcPr>
          <w:p>
            <w:pPr>
              <w:autoSpaceDE w:val="0"/>
              <w:autoSpaceDN w:val="0"/>
              <w:adjustRightInd w:val="0"/>
              <w:spacing w:line="360" w:lineRule="auto"/>
              <w:jc w:val="right"/>
              <w:rPr>
                <w:rFonts w:ascii="宋体" w:hAnsi="宋体" w:cs="宋体"/>
                <w:color w:val="auto"/>
                <w:kern w:val="0"/>
                <w:sz w:val="24"/>
                <w:szCs w:val="24"/>
                <w:highlight w:val="none"/>
                <w:lang w:val="zh-CN"/>
              </w:rPr>
            </w:pPr>
          </w:p>
        </w:tc>
        <w:tc>
          <w:tcPr>
            <w:tcW w:w="986" w:type="dxa"/>
            <w:tcBorders>
              <w:top w:val="single" w:color="000000" w:sz="2" w:space="0"/>
              <w:left w:val="single" w:color="000000" w:sz="2" w:space="0"/>
              <w:bottom w:val="single" w:color="000000" w:sz="2" w:space="0"/>
              <w:right w:val="single" w:color="000000" w:sz="2" w:space="0"/>
            </w:tcBorders>
            <w:shd w:val="clear" w:color="000000" w:fill="FFFFFF"/>
            <w:vAlign w:val="bottom"/>
          </w:tcPr>
          <w:p>
            <w:pPr>
              <w:autoSpaceDE w:val="0"/>
              <w:autoSpaceDN w:val="0"/>
              <w:adjustRightInd w:val="0"/>
              <w:spacing w:line="360" w:lineRule="auto"/>
              <w:jc w:val="right"/>
              <w:rPr>
                <w:rFonts w:ascii="宋体" w:hAnsi="宋体" w:cs="宋体"/>
                <w:color w:val="auto"/>
                <w:kern w:val="0"/>
                <w:sz w:val="24"/>
                <w:szCs w:val="24"/>
                <w:highlight w:val="none"/>
                <w:lang w:val="zh-CN"/>
              </w:rPr>
            </w:pPr>
          </w:p>
        </w:tc>
        <w:tc>
          <w:tcPr>
            <w:tcW w:w="1149" w:type="dxa"/>
            <w:tcBorders>
              <w:top w:val="single" w:color="000000" w:sz="2" w:space="0"/>
              <w:left w:val="single" w:color="000000" w:sz="2" w:space="0"/>
              <w:bottom w:val="single" w:color="000000" w:sz="2" w:space="0"/>
              <w:right w:val="single" w:color="000000" w:sz="2" w:space="0"/>
            </w:tcBorders>
            <w:shd w:val="clear" w:color="000000" w:fill="FFFFFF"/>
            <w:vAlign w:val="bottom"/>
          </w:tcPr>
          <w:p>
            <w:pPr>
              <w:autoSpaceDE w:val="0"/>
              <w:autoSpaceDN w:val="0"/>
              <w:adjustRightInd w:val="0"/>
              <w:spacing w:line="360" w:lineRule="auto"/>
              <w:jc w:val="right"/>
              <w:rPr>
                <w:rFonts w:ascii="宋体" w:hAnsi="宋体" w:cs="宋体"/>
                <w:color w:val="auto"/>
                <w:kern w:val="0"/>
                <w:sz w:val="24"/>
                <w:szCs w:val="24"/>
                <w:highlight w:val="none"/>
                <w:lang w:val="zh-CN"/>
              </w:rPr>
            </w:pPr>
          </w:p>
        </w:tc>
        <w:tc>
          <w:tcPr>
            <w:tcW w:w="905" w:type="dxa"/>
            <w:tcBorders>
              <w:top w:val="single" w:color="000000" w:sz="2" w:space="0"/>
              <w:left w:val="single" w:color="000000" w:sz="2" w:space="0"/>
              <w:bottom w:val="single" w:color="000000" w:sz="2" w:space="0"/>
              <w:right w:val="single" w:color="000000" w:sz="2" w:space="0"/>
            </w:tcBorders>
            <w:shd w:val="clear" w:color="000000" w:fill="FFFFFF"/>
            <w:vAlign w:val="bottom"/>
          </w:tcPr>
          <w:p>
            <w:pPr>
              <w:autoSpaceDE w:val="0"/>
              <w:autoSpaceDN w:val="0"/>
              <w:adjustRightInd w:val="0"/>
              <w:spacing w:line="360" w:lineRule="auto"/>
              <w:jc w:val="right"/>
              <w:rPr>
                <w:rFonts w:ascii="宋体" w:hAnsi="宋体" w:cs="宋体"/>
                <w:color w:val="auto"/>
                <w:kern w:val="0"/>
                <w:sz w:val="24"/>
                <w:szCs w:val="24"/>
                <w:highlight w:val="none"/>
                <w:lang w:val="zh-CN"/>
              </w:rPr>
            </w:pPr>
          </w:p>
        </w:tc>
        <w:tc>
          <w:tcPr>
            <w:tcW w:w="1257" w:type="dxa"/>
            <w:tcBorders>
              <w:top w:val="single" w:color="000000" w:sz="2" w:space="0"/>
              <w:left w:val="single" w:color="000000" w:sz="2" w:space="0"/>
              <w:bottom w:val="single" w:color="000000" w:sz="2" w:space="0"/>
              <w:right w:val="single" w:color="000000" w:sz="2" w:space="0"/>
            </w:tcBorders>
            <w:shd w:val="clear" w:color="000000" w:fill="FFFFFF"/>
            <w:vAlign w:val="bottom"/>
          </w:tcPr>
          <w:p>
            <w:pPr>
              <w:autoSpaceDE w:val="0"/>
              <w:autoSpaceDN w:val="0"/>
              <w:adjustRightInd w:val="0"/>
              <w:spacing w:line="360" w:lineRule="auto"/>
              <w:jc w:val="right"/>
              <w:rPr>
                <w:rFonts w:ascii="宋体" w:hAnsi="宋体" w:cs="宋体"/>
                <w:color w:val="auto"/>
                <w:kern w:val="0"/>
                <w:sz w:val="24"/>
                <w:szCs w:val="24"/>
                <w:highlight w:val="none"/>
                <w:lang w:val="zh-CN"/>
              </w:rPr>
            </w:pPr>
          </w:p>
        </w:tc>
        <w:tc>
          <w:tcPr>
            <w:tcW w:w="1013"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kern w:val="0"/>
                <w:sz w:val="24"/>
                <w:szCs w:val="24"/>
                <w:highlight w:val="none"/>
                <w:lang w:val="zh-CN"/>
              </w:rPr>
            </w:pPr>
          </w:p>
        </w:tc>
      </w:tr>
      <w:tr>
        <w:tblPrEx>
          <w:tblCellMar>
            <w:top w:w="0" w:type="dxa"/>
            <w:left w:w="108" w:type="dxa"/>
            <w:bottom w:w="0" w:type="dxa"/>
            <w:right w:w="108" w:type="dxa"/>
          </w:tblCellMar>
        </w:tblPrEx>
        <w:trPr>
          <w:trHeight w:val="617" w:hRule="atLeast"/>
        </w:trPr>
        <w:tc>
          <w:tcPr>
            <w:tcW w:w="569"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kern w:val="0"/>
                <w:sz w:val="24"/>
                <w:szCs w:val="24"/>
                <w:highlight w:val="none"/>
                <w:lang w:val="zh-CN"/>
              </w:rPr>
            </w:pPr>
            <w:r>
              <w:rPr>
                <w:rFonts w:ascii="宋体" w:hAnsi="宋体" w:cs="宋体"/>
                <w:color w:val="auto"/>
                <w:kern w:val="0"/>
                <w:sz w:val="24"/>
                <w:szCs w:val="24"/>
                <w:highlight w:val="none"/>
                <w:lang w:val="zh-CN"/>
              </w:rPr>
              <w:t>3</w:t>
            </w:r>
          </w:p>
        </w:tc>
        <w:tc>
          <w:tcPr>
            <w:tcW w:w="1066"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kern w:val="0"/>
                <w:sz w:val="24"/>
                <w:szCs w:val="24"/>
                <w:highlight w:val="none"/>
                <w:lang w:val="zh-CN"/>
              </w:rPr>
            </w:pPr>
          </w:p>
        </w:tc>
        <w:tc>
          <w:tcPr>
            <w:tcW w:w="1283"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kern w:val="0"/>
                <w:sz w:val="24"/>
                <w:szCs w:val="24"/>
                <w:highlight w:val="none"/>
                <w:lang w:val="zh-CN"/>
              </w:rPr>
            </w:pPr>
          </w:p>
        </w:tc>
        <w:tc>
          <w:tcPr>
            <w:tcW w:w="764"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kern w:val="0"/>
                <w:sz w:val="24"/>
                <w:szCs w:val="24"/>
                <w:highlight w:val="none"/>
                <w:lang w:val="zh-CN"/>
              </w:rPr>
            </w:pPr>
          </w:p>
        </w:tc>
        <w:tc>
          <w:tcPr>
            <w:tcW w:w="744" w:type="dxa"/>
            <w:tcBorders>
              <w:top w:val="single" w:color="000000" w:sz="2" w:space="0"/>
              <w:left w:val="single" w:color="000000" w:sz="2" w:space="0"/>
              <w:bottom w:val="single" w:color="000000" w:sz="2" w:space="0"/>
              <w:right w:val="single" w:color="000000" w:sz="2" w:space="0"/>
            </w:tcBorders>
            <w:shd w:val="clear" w:color="000000" w:fill="FFFFFF"/>
            <w:vAlign w:val="bottom"/>
          </w:tcPr>
          <w:p>
            <w:pPr>
              <w:autoSpaceDE w:val="0"/>
              <w:autoSpaceDN w:val="0"/>
              <w:adjustRightInd w:val="0"/>
              <w:spacing w:line="360" w:lineRule="auto"/>
              <w:jc w:val="right"/>
              <w:rPr>
                <w:rFonts w:ascii="宋体" w:hAnsi="宋体" w:cs="宋体"/>
                <w:color w:val="auto"/>
                <w:kern w:val="0"/>
                <w:sz w:val="24"/>
                <w:szCs w:val="24"/>
                <w:highlight w:val="none"/>
                <w:lang w:val="zh-CN"/>
              </w:rPr>
            </w:pPr>
          </w:p>
        </w:tc>
        <w:tc>
          <w:tcPr>
            <w:tcW w:w="986" w:type="dxa"/>
            <w:tcBorders>
              <w:top w:val="single" w:color="000000" w:sz="2" w:space="0"/>
              <w:left w:val="single" w:color="000000" w:sz="2" w:space="0"/>
              <w:bottom w:val="single" w:color="000000" w:sz="2" w:space="0"/>
              <w:right w:val="single" w:color="000000" w:sz="2" w:space="0"/>
            </w:tcBorders>
            <w:shd w:val="clear" w:color="000000" w:fill="FFFFFF"/>
            <w:vAlign w:val="bottom"/>
          </w:tcPr>
          <w:p>
            <w:pPr>
              <w:autoSpaceDE w:val="0"/>
              <w:autoSpaceDN w:val="0"/>
              <w:adjustRightInd w:val="0"/>
              <w:spacing w:line="360" w:lineRule="auto"/>
              <w:jc w:val="right"/>
              <w:rPr>
                <w:rFonts w:ascii="宋体" w:hAnsi="宋体" w:cs="宋体"/>
                <w:color w:val="auto"/>
                <w:kern w:val="0"/>
                <w:sz w:val="24"/>
                <w:szCs w:val="24"/>
                <w:highlight w:val="none"/>
                <w:lang w:val="zh-CN"/>
              </w:rPr>
            </w:pPr>
          </w:p>
        </w:tc>
        <w:tc>
          <w:tcPr>
            <w:tcW w:w="1149" w:type="dxa"/>
            <w:tcBorders>
              <w:top w:val="single" w:color="000000" w:sz="2" w:space="0"/>
              <w:left w:val="single" w:color="000000" w:sz="2" w:space="0"/>
              <w:bottom w:val="single" w:color="000000" w:sz="2" w:space="0"/>
              <w:right w:val="single" w:color="000000" w:sz="2" w:space="0"/>
            </w:tcBorders>
            <w:shd w:val="clear" w:color="000000" w:fill="FFFFFF"/>
            <w:vAlign w:val="bottom"/>
          </w:tcPr>
          <w:p>
            <w:pPr>
              <w:autoSpaceDE w:val="0"/>
              <w:autoSpaceDN w:val="0"/>
              <w:adjustRightInd w:val="0"/>
              <w:spacing w:line="360" w:lineRule="auto"/>
              <w:jc w:val="right"/>
              <w:rPr>
                <w:rFonts w:ascii="宋体" w:hAnsi="宋体" w:cs="宋体"/>
                <w:color w:val="auto"/>
                <w:kern w:val="0"/>
                <w:sz w:val="24"/>
                <w:szCs w:val="24"/>
                <w:highlight w:val="none"/>
                <w:lang w:val="zh-CN"/>
              </w:rPr>
            </w:pPr>
          </w:p>
        </w:tc>
        <w:tc>
          <w:tcPr>
            <w:tcW w:w="905" w:type="dxa"/>
            <w:tcBorders>
              <w:top w:val="single" w:color="000000" w:sz="2" w:space="0"/>
              <w:left w:val="single" w:color="000000" w:sz="2" w:space="0"/>
              <w:bottom w:val="single" w:color="000000" w:sz="2" w:space="0"/>
              <w:right w:val="single" w:color="000000" w:sz="2" w:space="0"/>
            </w:tcBorders>
            <w:shd w:val="clear" w:color="000000" w:fill="FFFFFF"/>
            <w:vAlign w:val="bottom"/>
          </w:tcPr>
          <w:p>
            <w:pPr>
              <w:autoSpaceDE w:val="0"/>
              <w:autoSpaceDN w:val="0"/>
              <w:adjustRightInd w:val="0"/>
              <w:spacing w:line="360" w:lineRule="auto"/>
              <w:jc w:val="right"/>
              <w:rPr>
                <w:rFonts w:ascii="宋体" w:hAnsi="宋体" w:cs="宋体"/>
                <w:color w:val="auto"/>
                <w:kern w:val="0"/>
                <w:sz w:val="24"/>
                <w:szCs w:val="24"/>
                <w:highlight w:val="none"/>
                <w:lang w:val="zh-CN"/>
              </w:rPr>
            </w:pPr>
          </w:p>
        </w:tc>
        <w:tc>
          <w:tcPr>
            <w:tcW w:w="1257" w:type="dxa"/>
            <w:tcBorders>
              <w:top w:val="single" w:color="000000" w:sz="2" w:space="0"/>
              <w:left w:val="single" w:color="000000" w:sz="2" w:space="0"/>
              <w:bottom w:val="single" w:color="000000" w:sz="2" w:space="0"/>
              <w:right w:val="single" w:color="000000" w:sz="2" w:space="0"/>
            </w:tcBorders>
            <w:shd w:val="clear" w:color="000000" w:fill="FFFFFF"/>
            <w:vAlign w:val="bottom"/>
          </w:tcPr>
          <w:p>
            <w:pPr>
              <w:autoSpaceDE w:val="0"/>
              <w:autoSpaceDN w:val="0"/>
              <w:adjustRightInd w:val="0"/>
              <w:spacing w:line="360" w:lineRule="auto"/>
              <w:jc w:val="right"/>
              <w:rPr>
                <w:rFonts w:ascii="宋体" w:hAnsi="宋体" w:cs="宋体"/>
                <w:color w:val="auto"/>
                <w:kern w:val="0"/>
                <w:sz w:val="24"/>
                <w:szCs w:val="24"/>
                <w:highlight w:val="none"/>
                <w:lang w:val="zh-CN"/>
              </w:rPr>
            </w:pPr>
          </w:p>
        </w:tc>
        <w:tc>
          <w:tcPr>
            <w:tcW w:w="1013"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kern w:val="0"/>
                <w:sz w:val="24"/>
                <w:szCs w:val="24"/>
                <w:highlight w:val="none"/>
                <w:lang w:val="zh-CN"/>
              </w:rPr>
            </w:pPr>
          </w:p>
        </w:tc>
      </w:tr>
      <w:tr>
        <w:tblPrEx>
          <w:tblCellMar>
            <w:top w:w="0" w:type="dxa"/>
            <w:left w:w="108" w:type="dxa"/>
            <w:bottom w:w="0" w:type="dxa"/>
            <w:right w:w="108" w:type="dxa"/>
          </w:tblCellMar>
        </w:tblPrEx>
        <w:trPr>
          <w:trHeight w:val="622" w:hRule="atLeast"/>
        </w:trPr>
        <w:tc>
          <w:tcPr>
            <w:tcW w:w="3682" w:type="dxa"/>
            <w:gridSpan w:val="4"/>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rPr>
              <w:t>合同暂定总价</w:t>
            </w:r>
          </w:p>
        </w:tc>
        <w:tc>
          <w:tcPr>
            <w:tcW w:w="744" w:type="dxa"/>
            <w:tcBorders>
              <w:top w:val="single" w:color="000000" w:sz="2" w:space="0"/>
              <w:left w:val="single" w:color="000000" w:sz="2" w:space="0"/>
              <w:bottom w:val="single" w:color="000000" w:sz="2" w:space="0"/>
              <w:right w:val="single" w:color="000000" w:sz="2" w:space="0"/>
            </w:tcBorders>
          </w:tcPr>
          <w:p>
            <w:pPr>
              <w:autoSpaceDE w:val="0"/>
              <w:autoSpaceDN w:val="0"/>
              <w:adjustRightInd w:val="0"/>
              <w:spacing w:line="360" w:lineRule="auto"/>
              <w:jc w:val="right"/>
              <w:rPr>
                <w:rFonts w:ascii="宋体" w:hAnsi="宋体" w:cs="宋体"/>
                <w:color w:val="auto"/>
                <w:kern w:val="0"/>
                <w:sz w:val="24"/>
                <w:szCs w:val="24"/>
                <w:highlight w:val="none"/>
                <w:lang w:val="zh-CN"/>
              </w:rPr>
            </w:pPr>
          </w:p>
        </w:tc>
        <w:tc>
          <w:tcPr>
            <w:tcW w:w="986" w:type="dxa"/>
            <w:tcBorders>
              <w:top w:val="single" w:color="000000" w:sz="2" w:space="0"/>
              <w:left w:val="single" w:color="000000" w:sz="2" w:space="0"/>
              <w:bottom w:val="single" w:color="000000" w:sz="2" w:space="0"/>
              <w:right w:val="single" w:color="000000" w:sz="2" w:space="0"/>
            </w:tcBorders>
            <w:shd w:val="clear" w:color="000000" w:fill="FFFFFF"/>
            <w:vAlign w:val="bottom"/>
          </w:tcPr>
          <w:p>
            <w:pPr>
              <w:autoSpaceDE w:val="0"/>
              <w:autoSpaceDN w:val="0"/>
              <w:adjustRightInd w:val="0"/>
              <w:spacing w:line="360" w:lineRule="auto"/>
              <w:jc w:val="right"/>
              <w:rPr>
                <w:rFonts w:ascii="宋体" w:hAnsi="宋体" w:cs="宋体"/>
                <w:color w:val="auto"/>
                <w:kern w:val="0"/>
                <w:sz w:val="24"/>
                <w:szCs w:val="24"/>
                <w:highlight w:val="none"/>
                <w:lang w:val="zh-CN"/>
              </w:rPr>
            </w:pPr>
          </w:p>
        </w:tc>
        <w:tc>
          <w:tcPr>
            <w:tcW w:w="1149" w:type="dxa"/>
            <w:tcBorders>
              <w:top w:val="single" w:color="000000" w:sz="2" w:space="0"/>
              <w:left w:val="single" w:color="000000" w:sz="2" w:space="0"/>
              <w:bottom w:val="single" w:color="000000" w:sz="2" w:space="0"/>
              <w:right w:val="single" w:color="000000" w:sz="2" w:space="0"/>
            </w:tcBorders>
            <w:shd w:val="clear" w:color="000000" w:fill="FFFFFF"/>
            <w:vAlign w:val="bottom"/>
          </w:tcPr>
          <w:p>
            <w:pPr>
              <w:autoSpaceDE w:val="0"/>
              <w:autoSpaceDN w:val="0"/>
              <w:adjustRightInd w:val="0"/>
              <w:spacing w:line="360" w:lineRule="auto"/>
              <w:jc w:val="right"/>
              <w:rPr>
                <w:rFonts w:ascii="宋体" w:hAnsi="宋体" w:cs="宋体"/>
                <w:color w:val="auto"/>
                <w:kern w:val="0"/>
                <w:sz w:val="24"/>
                <w:szCs w:val="24"/>
                <w:highlight w:val="none"/>
                <w:lang w:val="zh-CN"/>
              </w:rPr>
            </w:pPr>
          </w:p>
        </w:tc>
        <w:tc>
          <w:tcPr>
            <w:tcW w:w="905" w:type="dxa"/>
            <w:tcBorders>
              <w:top w:val="single" w:color="000000" w:sz="2" w:space="0"/>
              <w:left w:val="single" w:color="000000" w:sz="2" w:space="0"/>
              <w:bottom w:val="single" w:color="000000" w:sz="2" w:space="0"/>
              <w:right w:val="single" w:color="000000" w:sz="2" w:space="0"/>
            </w:tcBorders>
            <w:shd w:val="clear" w:color="000000" w:fill="FFFFFF"/>
            <w:vAlign w:val="bottom"/>
          </w:tcPr>
          <w:p>
            <w:pPr>
              <w:autoSpaceDE w:val="0"/>
              <w:autoSpaceDN w:val="0"/>
              <w:adjustRightInd w:val="0"/>
              <w:spacing w:line="360" w:lineRule="auto"/>
              <w:jc w:val="right"/>
              <w:rPr>
                <w:rFonts w:ascii="宋体" w:hAnsi="宋体" w:cs="宋体"/>
                <w:color w:val="auto"/>
                <w:kern w:val="0"/>
                <w:sz w:val="24"/>
                <w:szCs w:val="24"/>
                <w:highlight w:val="none"/>
                <w:lang w:val="zh-CN"/>
              </w:rPr>
            </w:pPr>
          </w:p>
        </w:tc>
        <w:tc>
          <w:tcPr>
            <w:tcW w:w="1257" w:type="dxa"/>
            <w:tcBorders>
              <w:top w:val="single" w:color="000000" w:sz="2" w:space="0"/>
              <w:left w:val="single" w:color="000000" w:sz="2" w:space="0"/>
              <w:bottom w:val="single" w:color="000000" w:sz="2" w:space="0"/>
              <w:right w:val="single" w:color="000000" w:sz="2" w:space="0"/>
            </w:tcBorders>
            <w:shd w:val="clear" w:color="000000" w:fill="FFFFFF"/>
            <w:vAlign w:val="bottom"/>
          </w:tcPr>
          <w:p>
            <w:pPr>
              <w:autoSpaceDE w:val="0"/>
              <w:autoSpaceDN w:val="0"/>
              <w:adjustRightInd w:val="0"/>
              <w:spacing w:line="360" w:lineRule="auto"/>
              <w:jc w:val="right"/>
              <w:rPr>
                <w:rFonts w:ascii="宋体" w:hAnsi="宋体" w:cs="宋体"/>
                <w:color w:val="auto"/>
                <w:kern w:val="0"/>
                <w:sz w:val="24"/>
                <w:szCs w:val="24"/>
                <w:highlight w:val="none"/>
                <w:lang w:val="zh-CN"/>
              </w:rPr>
            </w:pPr>
          </w:p>
        </w:tc>
        <w:tc>
          <w:tcPr>
            <w:tcW w:w="1013" w:type="dxa"/>
            <w:tcBorders>
              <w:top w:val="single" w:color="000000" w:sz="2" w:space="0"/>
              <w:left w:val="single" w:color="000000" w:sz="2" w:space="0"/>
              <w:bottom w:val="single" w:color="000000" w:sz="2" w:space="0"/>
              <w:right w:val="single" w:color="000000" w:sz="2" w:space="0"/>
            </w:tcBorders>
            <w:shd w:val="clear" w:color="000000" w:fill="FFFFFF"/>
          </w:tcPr>
          <w:p>
            <w:pPr>
              <w:autoSpaceDE w:val="0"/>
              <w:autoSpaceDN w:val="0"/>
              <w:adjustRightInd w:val="0"/>
              <w:spacing w:line="360" w:lineRule="auto"/>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w:t>
            </w:r>
          </w:p>
        </w:tc>
      </w:tr>
    </w:tbl>
    <w:p>
      <w:pPr>
        <w:spacing w:after="120" w:afterLines="50" w:line="360" w:lineRule="auto"/>
        <w:ind w:firstLine="480" w:firstLineChars="200"/>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其他技术需求见附件。</w:t>
      </w:r>
      <w:bookmarkStart w:id="85" w:name="_Toc26357"/>
      <w:bookmarkStart w:id="86" w:name="_Toc183666514"/>
      <w:bookmarkStart w:id="87" w:name="_Toc107447235"/>
      <w:bookmarkStart w:id="88" w:name="_Toc107446842"/>
    </w:p>
    <w:p>
      <w:pPr>
        <w:spacing w:after="120" w:afterLines="50" w:line="360" w:lineRule="auto"/>
        <w:ind w:firstLine="482" w:firstLineChars="200"/>
        <w:rPr>
          <w:rFonts w:ascii="宋体" w:hAnsi="宋体" w:cs="宋体"/>
          <w:color w:val="auto"/>
          <w:sz w:val="24"/>
          <w:szCs w:val="24"/>
          <w:highlight w:val="none"/>
        </w:rPr>
      </w:pPr>
      <w:r>
        <w:rPr>
          <w:rFonts w:hint="eastAsia" w:ascii="宋体" w:hAnsi="宋体" w:cs="宋体"/>
          <w:b/>
          <w:color w:val="auto"/>
          <w:sz w:val="24"/>
          <w:szCs w:val="24"/>
          <w:highlight w:val="none"/>
        </w:rPr>
        <w:t>第三条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交货日期及地点</w:t>
      </w:r>
    </w:p>
    <w:p>
      <w:pPr>
        <w:spacing w:after="120" w:afterLines="50"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3.1 </w:t>
      </w:r>
      <w:r>
        <w:rPr>
          <w:rFonts w:hint="eastAsia" w:ascii="宋体" w:hAnsi="宋体" w:cs="宋体"/>
          <w:color w:val="auto"/>
          <w:sz w:val="24"/>
          <w:szCs w:val="24"/>
          <w:highlight w:val="none"/>
          <w:u w:val="none"/>
          <w:lang w:eastAsia="zh-CN"/>
        </w:rPr>
        <w:t>标段一，交付日期为合同签订后</w:t>
      </w:r>
      <w:r>
        <w:rPr>
          <w:rFonts w:hint="eastAsia" w:ascii="宋体" w:hAnsi="宋体" w:cs="宋体"/>
          <w:color w:val="auto"/>
          <w:sz w:val="24"/>
          <w:szCs w:val="24"/>
          <w:highlight w:val="none"/>
          <w:u w:val="single"/>
          <w:lang w:eastAsia="zh-CN"/>
        </w:rPr>
        <w:t>30</w:t>
      </w:r>
      <w:r>
        <w:rPr>
          <w:rFonts w:hint="eastAsia" w:ascii="宋体" w:hAnsi="宋体" w:cs="宋体"/>
          <w:color w:val="auto"/>
          <w:sz w:val="24"/>
          <w:szCs w:val="24"/>
          <w:highlight w:val="none"/>
          <w:u w:val="none"/>
          <w:lang w:eastAsia="zh-CN"/>
        </w:rPr>
        <w:t>日内完成；标段二，交付日期为合同签订后</w:t>
      </w:r>
      <w:r>
        <w:rPr>
          <w:rFonts w:hint="eastAsia" w:ascii="宋体" w:hAnsi="宋体" w:cs="宋体"/>
          <w:color w:val="auto"/>
          <w:sz w:val="24"/>
          <w:szCs w:val="24"/>
          <w:highlight w:val="none"/>
          <w:u w:val="single"/>
          <w:lang w:eastAsia="zh-CN"/>
        </w:rPr>
        <w:t>60</w:t>
      </w:r>
      <w:r>
        <w:rPr>
          <w:rFonts w:hint="eastAsia" w:ascii="宋体" w:hAnsi="宋体" w:cs="宋体"/>
          <w:color w:val="auto"/>
          <w:sz w:val="24"/>
          <w:szCs w:val="24"/>
          <w:highlight w:val="none"/>
          <w:u w:val="none"/>
          <w:lang w:eastAsia="zh-CN"/>
        </w:rPr>
        <w:t>日内完成；具体交货时间以甲方通知为准。</w:t>
      </w:r>
    </w:p>
    <w:p>
      <w:pPr>
        <w:spacing w:after="0"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3.2</w:t>
      </w:r>
      <w:r>
        <w:rPr>
          <w:rFonts w:hint="eastAsia" w:ascii="宋体" w:hAnsi="宋体" w:cs="宋体"/>
          <w:bCs/>
          <w:color w:val="auto"/>
          <w:sz w:val="24"/>
          <w:szCs w:val="24"/>
          <w:highlight w:val="none"/>
        </w:rPr>
        <w:t>交货地点：</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eastAsia="zh-CN"/>
        </w:rPr>
        <w:t>广州净水公司</w:t>
      </w:r>
      <w:r>
        <w:rPr>
          <w:rFonts w:hint="eastAsia" w:ascii="宋体" w:hAnsi="宋体" w:cs="宋体"/>
          <w:bCs/>
          <w:color w:val="auto"/>
          <w:sz w:val="24"/>
          <w:szCs w:val="24"/>
          <w:highlight w:val="none"/>
          <w:u w:val="single"/>
          <w:lang w:val="en-US" w:eastAsia="zh-CN"/>
        </w:rPr>
        <w:t xml:space="preserve">      </w:t>
      </w:r>
      <w:r>
        <w:rPr>
          <w:rFonts w:hint="eastAsia" w:ascii="宋体" w:hAnsi="宋体" w:cs="宋体"/>
          <w:bCs/>
          <w:color w:val="auto"/>
          <w:sz w:val="24"/>
          <w:szCs w:val="24"/>
          <w:highlight w:val="none"/>
          <w:u w:val="single"/>
          <w:lang w:eastAsia="zh-CN"/>
        </w:rPr>
        <w:t>分公司</w:t>
      </w:r>
      <w:r>
        <w:rPr>
          <w:rFonts w:ascii="宋体" w:hAnsi="宋体" w:cs="宋体"/>
          <w:bCs/>
          <w:color w:val="auto"/>
          <w:sz w:val="24"/>
          <w:szCs w:val="24"/>
          <w:highlight w:val="none"/>
          <w:u w:val="single"/>
        </w:rPr>
        <w:t xml:space="preserve"> </w:t>
      </w:r>
      <w:r>
        <w:rPr>
          <w:rFonts w:ascii="宋体" w:hAnsi="宋体" w:cs="宋体"/>
          <w:bCs/>
          <w:color w:val="auto"/>
          <w:sz w:val="24"/>
          <w:szCs w:val="24"/>
          <w:highlight w:val="none"/>
        </w:rPr>
        <w:t>,</w:t>
      </w:r>
      <w:r>
        <w:rPr>
          <w:rFonts w:hint="eastAsia" w:ascii="宋体" w:hAnsi="宋体" w:cs="宋体"/>
          <w:bCs/>
          <w:color w:val="auto"/>
          <w:sz w:val="24"/>
          <w:szCs w:val="24"/>
          <w:highlight w:val="none"/>
        </w:rPr>
        <w:t>最终具体交货地点以甲方通知为准。</w:t>
      </w:r>
    </w:p>
    <w:p>
      <w:pPr>
        <w:spacing w:after="0"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 xml:space="preserve">3.3 </w:t>
      </w:r>
      <w:r>
        <w:rPr>
          <w:rFonts w:hint="eastAsia" w:ascii="宋体" w:hAnsi="宋体" w:cs="宋体"/>
          <w:bCs/>
          <w:color w:val="auto"/>
          <w:sz w:val="24"/>
          <w:szCs w:val="24"/>
          <w:highlight w:val="none"/>
        </w:rPr>
        <w:t>交货方式：乙方在设备运至交货地</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eastAsia="zh-CN"/>
        </w:rPr>
        <w:t>7</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个工作日前通知甲方。</w:t>
      </w:r>
    </w:p>
    <w:p>
      <w:pPr>
        <w:spacing w:after="0" w:line="360" w:lineRule="auto"/>
        <w:ind w:firstLine="480" w:firstLineChars="200"/>
        <w:rPr>
          <w:rFonts w:ascii="宋体" w:hAnsi="宋体" w:cs="宋体"/>
          <w:b/>
          <w:color w:val="auto"/>
          <w:sz w:val="24"/>
          <w:szCs w:val="24"/>
          <w:highlight w:val="none"/>
        </w:rPr>
      </w:pPr>
      <w:r>
        <w:rPr>
          <w:rFonts w:ascii="宋体" w:hAnsi="宋体" w:cs="宋体"/>
          <w:bCs/>
          <w:color w:val="auto"/>
          <w:sz w:val="24"/>
          <w:szCs w:val="24"/>
          <w:highlight w:val="none"/>
        </w:rPr>
        <w:t>3.4</w:t>
      </w:r>
      <w:r>
        <w:rPr>
          <w:rFonts w:hint="eastAsia" w:ascii="宋体" w:hAnsi="宋体" w:cs="宋体"/>
          <w:bCs/>
          <w:color w:val="auto"/>
          <w:sz w:val="24"/>
          <w:szCs w:val="24"/>
          <w:highlight w:val="none"/>
        </w:rPr>
        <w:t>其他：</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无</w:t>
      </w:r>
      <w:r>
        <w:rPr>
          <w:rFonts w:hint="eastAsia" w:ascii="宋体" w:hAnsi="宋体" w:cs="宋体"/>
          <w:color w:val="auto"/>
          <w:sz w:val="24"/>
          <w:szCs w:val="24"/>
          <w:highlight w:val="none"/>
          <w:u w:val="single"/>
        </w:rPr>
        <w:t>。</w:t>
      </w:r>
    </w:p>
    <w:p>
      <w:pPr>
        <w:spacing w:after="0" w:line="360" w:lineRule="auto"/>
        <w:ind w:firstLine="482" w:firstLineChars="200"/>
        <w:rPr>
          <w:rFonts w:ascii="宋体" w:hAnsi="宋体" w:cs="宋体"/>
          <w:color w:val="auto"/>
          <w:kern w:val="0"/>
          <w:sz w:val="24"/>
          <w:szCs w:val="24"/>
          <w:highlight w:val="none"/>
          <w:lang w:val="zh-CN"/>
        </w:rPr>
      </w:pPr>
      <w:r>
        <w:rPr>
          <w:rFonts w:hint="eastAsia" w:ascii="宋体" w:hAnsi="宋体" w:cs="宋体"/>
          <w:b/>
          <w:color w:val="auto"/>
          <w:sz w:val="24"/>
          <w:szCs w:val="24"/>
          <w:highlight w:val="none"/>
        </w:rPr>
        <w:t>第四条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合同价格</w:t>
      </w:r>
    </w:p>
    <w:p>
      <w:pPr>
        <w:autoSpaceDE w:val="0"/>
        <w:autoSpaceDN w:val="0"/>
        <w:adjustRightInd w:val="0"/>
        <w:spacing w:after="0" w:line="360" w:lineRule="auto"/>
        <w:ind w:firstLine="480" w:firstLineChars="200"/>
        <w:rPr>
          <w:rFonts w:hint="eastAsia" w:ascii="宋体" w:hAnsi="宋体" w:cs="宋体"/>
          <w:color w:val="auto"/>
          <w:kern w:val="0"/>
          <w:sz w:val="24"/>
          <w:szCs w:val="24"/>
          <w:highlight w:val="none"/>
          <w:u w:val="single"/>
          <w:lang w:val="zh-CN"/>
        </w:rPr>
      </w:pPr>
      <w:r>
        <w:rPr>
          <w:rFonts w:ascii="宋体" w:hAnsi="宋体" w:cs="宋体"/>
          <w:color w:val="auto"/>
          <w:sz w:val="24"/>
          <w:szCs w:val="24"/>
          <w:highlight w:val="none"/>
        </w:rPr>
        <w:t xml:space="preserve">4.1 </w:t>
      </w:r>
      <w:r>
        <w:rPr>
          <w:rFonts w:hint="eastAsia" w:ascii="宋体" w:hAnsi="宋体" w:cs="宋体"/>
          <w:color w:val="auto"/>
          <w:kern w:val="0"/>
          <w:sz w:val="24"/>
          <w:szCs w:val="24"/>
          <w:highlight w:val="none"/>
          <w:lang w:val="zh-CN"/>
        </w:rPr>
        <w:t>本合同</w:t>
      </w:r>
      <w:r>
        <w:rPr>
          <w:rFonts w:hint="eastAsia" w:ascii="宋体" w:hAnsi="宋体" w:cs="宋体"/>
          <w:color w:val="auto"/>
          <w:kern w:val="0"/>
          <w:sz w:val="24"/>
          <w:szCs w:val="24"/>
          <w:highlight w:val="none"/>
        </w:rPr>
        <w:t>暂定</w:t>
      </w:r>
      <w:r>
        <w:rPr>
          <w:rFonts w:hint="eastAsia" w:ascii="宋体" w:hAnsi="宋体" w:cs="宋体"/>
          <w:color w:val="auto"/>
          <w:kern w:val="0"/>
          <w:sz w:val="24"/>
          <w:szCs w:val="24"/>
          <w:highlight w:val="none"/>
          <w:lang w:val="zh-CN"/>
        </w:rPr>
        <w:t>总价为</w:t>
      </w:r>
      <w:r>
        <w:rPr>
          <w:rFonts w:hint="eastAsia" w:ascii="宋体" w:hAnsi="宋体" w:cs="宋体"/>
          <w:color w:val="auto"/>
          <w:kern w:val="0"/>
          <w:sz w:val="24"/>
          <w:szCs w:val="24"/>
          <w:highlight w:val="none"/>
          <w:lang w:val="en-US" w:eastAsia="zh-CN"/>
        </w:rPr>
        <w:t>XX</w:t>
      </w:r>
      <w:r>
        <w:rPr>
          <w:rFonts w:hint="eastAsia" w:ascii="宋体" w:hAnsi="宋体" w:cs="宋体"/>
          <w:color w:val="auto"/>
          <w:kern w:val="0"/>
          <w:sz w:val="24"/>
          <w:szCs w:val="24"/>
          <w:highlight w:val="none"/>
          <w:lang w:val="zh-CN"/>
        </w:rPr>
        <w:t>分公司</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u w:val="single"/>
          <w:lang w:val="zh-CN"/>
        </w:rPr>
        <w:t>…</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万元，（人民币）大写：</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u w:val="single"/>
          <w:lang w:val="zh-CN"/>
        </w:rPr>
        <w:t>…</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u w:val="single"/>
          <w:lang w:val="zh-CN"/>
        </w:rPr>
        <w:t>；</w:t>
      </w:r>
    </w:p>
    <w:p>
      <w:pPr>
        <w:autoSpaceDE w:val="0"/>
        <w:autoSpaceDN w:val="0"/>
        <w:adjustRightInd w:val="0"/>
        <w:spacing w:after="0" w:line="360" w:lineRule="auto"/>
        <w:ind w:firstLine="480" w:firstLineChars="200"/>
        <w:rPr>
          <w:rFonts w:hint="eastAsia" w:ascii="宋体" w:hAnsi="宋体" w:cs="宋体"/>
          <w:color w:val="auto"/>
          <w:kern w:val="0"/>
          <w:sz w:val="24"/>
          <w:szCs w:val="24"/>
          <w:highlight w:val="none"/>
          <w:lang w:val="zh-CN"/>
        </w:rPr>
      </w:pPr>
      <w:r>
        <w:rPr>
          <w:rFonts w:ascii="宋体" w:hAnsi="宋体" w:cs="宋体"/>
          <w:color w:val="auto"/>
          <w:kern w:val="0"/>
          <w:sz w:val="24"/>
          <w:szCs w:val="24"/>
          <w:highlight w:val="none"/>
        </w:rPr>
        <w:t>4</w:t>
      </w:r>
      <w:r>
        <w:rPr>
          <w:rFonts w:ascii="宋体" w:hAnsi="宋体" w:cs="宋体"/>
          <w:color w:val="auto"/>
          <w:kern w:val="0"/>
          <w:sz w:val="24"/>
          <w:szCs w:val="24"/>
          <w:highlight w:val="none"/>
          <w:lang w:val="zh-CN"/>
        </w:rPr>
        <w:t>.2</w:t>
      </w:r>
      <w:r>
        <w:rPr>
          <w:rFonts w:ascii="宋体" w:hAnsi="宋体" w:cs="宋体"/>
          <w:color w:val="auto"/>
          <w:kern w:val="0"/>
          <w:sz w:val="24"/>
          <w:szCs w:val="24"/>
          <w:highlight w:val="none"/>
        </w:rPr>
        <w:t xml:space="preserve"> </w:t>
      </w:r>
      <w:r>
        <w:rPr>
          <w:rFonts w:hint="eastAsia" w:ascii="宋体" w:hAnsi="宋体" w:cs="宋体"/>
          <w:color w:val="auto"/>
          <w:kern w:val="0"/>
          <w:sz w:val="24"/>
          <w:szCs w:val="24"/>
          <w:highlight w:val="none"/>
          <w:lang w:val="zh-CN"/>
        </w:rPr>
        <w:t>设备价格：</w:t>
      </w:r>
    </w:p>
    <w:p>
      <w:pPr>
        <w:autoSpaceDE w:val="0"/>
        <w:autoSpaceDN w:val="0"/>
        <w:adjustRightInd w:val="0"/>
        <w:spacing w:after="0" w:line="360" w:lineRule="auto"/>
        <w:ind w:firstLine="480" w:firstLineChars="200"/>
        <w:rPr>
          <w:rFonts w:hint="eastAsia" w:asciiTheme="minorEastAsia" w:hAnsiTheme="minorEastAsia" w:cstheme="minorEastAsia"/>
          <w:color w:val="auto"/>
          <w:kern w:val="0"/>
          <w:sz w:val="24"/>
          <w:szCs w:val="24"/>
          <w:highlight w:val="none"/>
          <w:u w:val="none"/>
          <w:lang w:val="zh-CN"/>
        </w:rPr>
      </w:pPr>
      <w:r>
        <w:rPr>
          <w:rFonts w:hint="eastAsia" w:asciiTheme="minorEastAsia" w:hAnsiTheme="minorEastAsia" w:cstheme="minorEastAsia"/>
          <w:color w:val="auto"/>
          <w:kern w:val="0"/>
          <w:sz w:val="24"/>
          <w:szCs w:val="24"/>
          <w:highlight w:val="none"/>
          <w:u w:val="none"/>
          <w:lang w:val="zh-CN"/>
        </w:rPr>
        <w:sym w:font="Wingdings 2" w:char="00A3"/>
      </w:r>
      <w:r>
        <w:rPr>
          <w:rFonts w:hint="eastAsia" w:asciiTheme="minorEastAsia" w:hAnsiTheme="minorEastAsia" w:cstheme="minorEastAsia"/>
          <w:color w:val="auto"/>
          <w:kern w:val="0"/>
          <w:sz w:val="24"/>
          <w:szCs w:val="24"/>
          <w:highlight w:val="none"/>
          <w:u w:val="none"/>
          <w:lang w:val="zh-CN"/>
        </w:rPr>
        <w:t>标段一包括</w:t>
      </w:r>
      <w:r>
        <w:rPr>
          <w:rFonts w:hint="eastAsia" w:asciiTheme="minorEastAsia" w:hAnsiTheme="minorEastAsia" w:eastAsiaTheme="minorEastAsia" w:cstheme="minorEastAsia"/>
          <w:color w:val="auto"/>
          <w:kern w:val="0"/>
          <w:sz w:val="24"/>
          <w:szCs w:val="24"/>
          <w:highlight w:val="none"/>
          <w:u w:val="none"/>
          <w:lang w:val="zh-CN"/>
        </w:rPr>
        <w:t>工艺设计、</w:t>
      </w:r>
      <w:r>
        <w:rPr>
          <w:rFonts w:hint="eastAsia" w:asciiTheme="minorEastAsia" w:hAnsiTheme="minorEastAsia" w:cstheme="minorEastAsia"/>
          <w:color w:val="auto"/>
          <w:kern w:val="0"/>
          <w:sz w:val="24"/>
          <w:szCs w:val="24"/>
          <w:highlight w:val="none"/>
          <w:u w:val="none"/>
          <w:lang w:val="zh-CN"/>
        </w:rPr>
        <w:t>设备及随机附件的制造、包装、运输（设备运输过程中所需的相关手续</w:t>
      </w:r>
      <w:r>
        <w:rPr>
          <w:rFonts w:hint="eastAsia" w:asciiTheme="minorEastAsia" w:hAnsiTheme="minorEastAsia" w:cstheme="minorEastAsia"/>
          <w:color w:val="auto"/>
          <w:kern w:val="0"/>
          <w:sz w:val="24"/>
          <w:szCs w:val="24"/>
          <w:highlight w:val="none"/>
          <w:u w:val="none"/>
        </w:rPr>
        <w:t>及费用</w:t>
      </w:r>
      <w:r>
        <w:rPr>
          <w:rFonts w:hint="eastAsia" w:asciiTheme="minorEastAsia" w:hAnsiTheme="minorEastAsia" w:cstheme="minorEastAsia"/>
          <w:color w:val="auto"/>
          <w:kern w:val="0"/>
          <w:sz w:val="24"/>
          <w:szCs w:val="24"/>
          <w:highlight w:val="none"/>
          <w:u w:val="none"/>
          <w:lang w:val="zh-CN"/>
        </w:rPr>
        <w:t>）、装卸、</w:t>
      </w:r>
      <w:r>
        <w:rPr>
          <w:rFonts w:hint="eastAsia" w:asciiTheme="minorEastAsia" w:hAnsiTheme="minorEastAsia" w:cstheme="minorEastAsia"/>
          <w:color w:val="auto"/>
          <w:kern w:val="0"/>
          <w:sz w:val="24"/>
          <w:szCs w:val="24"/>
          <w:highlight w:val="none"/>
          <w:u w:val="none"/>
          <w:lang w:val="en-US" w:eastAsia="zh-CN"/>
        </w:rPr>
        <w:t>指导安装调试</w:t>
      </w:r>
      <w:r>
        <w:rPr>
          <w:rFonts w:hint="eastAsia" w:asciiTheme="minorEastAsia" w:hAnsiTheme="minorEastAsia" w:cstheme="minorEastAsia"/>
          <w:color w:val="auto"/>
          <w:kern w:val="0"/>
          <w:sz w:val="24"/>
          <w:szCs w:val="24"/>
          <w:highlight w:val="none"/>
          <w:u w:val="none"/>
          <w:lang w:val="zh-CN"/>
        </w:rPr>
        <w:t>、验收、培训（如需）、</w:t>
      </w:r>
      <w:r>
        <w:rPr>
          <w:rFonts w:hint="eastAsia" w:asciiTheme="minorEastAsia" w:hAnsiTheme="minorEastAsia" w:eastAsiaTheme="minorEastAsia" w:cstheme="minorEastAsia"/>
          <w:color w:val="auto"/>
          <w:kern w:val="0"/>
          <w:sz w:val="24"/>
          <w:szCs w:val="24"/>
          <w:highlight w:val="none"/>
          <w:u w:val="none"/>
          <w:lang w:val="zh-CN"/>
        </w:rPr>
        <w:t>技术服务（包括技术资料、图纸的提供）</w:t>
      </w:r>
      <w:r>
        <w:rPr>
          <w:rFonts w:hint="eastAsia" w:asciiTheme="minorEastAsia" w:hAnsiTheme="minorEastAsia" w:cstheme="minorEastAsia"/>
          <w:color w:val="auto"/>
          <w:kern w:val="0"/>
          <w:sz w:val="24"/>
          <w:szCs w:val="24"/>
          <w:highlight w:val="none"/>
          <w:u w:val="none"/>
          <w:lang w:val="zh-CN"/>
        </w:rPr>
        <w:t>质保期保修、税费、保险费等全部费用。</w:t>
      </w:r>
    </w:p>
    <w:p>
      <w:pPr>
        <w:autoSpaceDE w:val="0"/>
        <w:autoSpaceDN w:val="0"/>
        <w:spacing w:line="360" w:lineRule="auto"/>
        <w:ind w:firstLine="480" w:firstLineChars="200"/>
        <w:rPr>
          <w:rFonts w:hint="eastAsia" w:asciiTheme="minorEastAsia" w:hAnsiTheme="minorEastAsia" w:eastAsiaTheme="minorEastAsia" w:cstheme="minorEastAsia"/>
          <w:color w:val="auto"/>
          <w:sz w:val="24"/>
          <w:szCs w:val="24"/>
          <w:highlight w:val="none"/>
          <w:u w:val="none"/>
          <w:lang w:val="zh-CN"/>
        </w:rPr>
      </w:pPr>
      <w:r>
        <w:rPr>
          <w:rFonts w:hint="eastAsia" w:asciiTheme="minorEastAsia" w:hAnsiTheme="minorEastAsia" w:eastAsiaTheme="minorEastAsia" w:cstheme="minorEastAsia"/>
          <w:color w:val="auto"/>
          <w:sz w:val="24"/>
          <w:szCs w:val="24"/>
          <w:highlight w:val="none"/>
          <w:u w:val="none"/>
          <w:lang w:val="zh-CN"/>
        </w:rPr>
        <w:sym w:font="Wingdings 2" w:char="00A3"/>
      </w:r>
      <w:r>
        <w:rPr>
          <w:rFonts w:hint="eastAsia" w:asciiTheme="minorEastAsia" w:hAnsiTheme="minorEastAsia" w:eastAsiaTheme="minorEastAsia" w:cstheme="minorEastAsia"/>
          <w:color w:val="auto"/>
          <w:sz w:val="24"/>
          <w:szCs w:val="24"/>
          <w:highlight w:val="none"/>
          <w:u w:val="none"/>
          <w:lang w:val="zh-CN"/>
        </w:rPr>
        <w:t>标段二包括</w:t>
      </w:r>
      <w:r>
        <w:rPr>
          <w:rFonts w:hint="eastAsia" w:asciiTheme="minorEastAsia" w:hAnsiTheme="minorEastAsia" w:eastAsiaTheme="minorEastAsia" w:cstheme="minorEastAsia"/>
          <w:color w:val="auto"/>
          <w:kern w:val="0"/>
          <w:sz w:val="24"/>
          <w:szCs w:val="24"/>
          <w:highlight w:val="none"/>
          <w:u w:val="none"/>
          <w:lang w:val="zh-CN"/>
        </w:rPr>
        <w:t>工艺设计、设备及随机附件的制造、包装、运输（设备运输过程中所需的相关手续</w:t>
      </w:r>
      <w:r>
        <w:rPr>
          <w:rFonts w:hint="eastAsia" w:asciiTheme="minorEastAsia" w:hAnsiTheme="minorEastAsia" w:eastAsiaTheme="minorEastAsia" w:cstheme="minorEastAsia"/>
          <w:color w:val="auto"/>
          <w:kern w:val="0"/>
          <w:sz w:val="24"/>
          <w:szCs w:val="24"/>
          <w:highlight w:val="none"/>
          <w:u w:val="none"/>
        </w:rPr>
        <w:t>及费用</w:t>
      </w:r>
      <w:r>
        <w:rPr>
          <w:rFonts w:hint="eastAsia" w:asciiTheme="minorEastAsia" w:hAnsiTheme="minorEastAsia" w:eastAsiaTheme="minorEastAsia" w:cstheme="minorEastAsia"/>
          <w:color w:val="auto"/>
          <w:kern w:val="0"/>
          <w:sz w:val="24"/>
          <w:szCs w:val="24"/>
          <w:highlight w:val="none"/>
          <w:u w:val="none"/>
          <w:lang w:val="zh-CN"/>
        </w:rPr>
        <w:t>）、装卸、</w:t>
      </w:r>
      <w:r>
        <w:rPr>
          <w:rFonts w:hint="eastAsia" w:asciiTheme="minorEastAsia" w:hAnsiTheme="minorEastAsia" w:eastAsiaTheme="minorEastAsia" w:cstheme="minorEastAsia"/>
          <w:color w:val="auto"/>
          <w:kern w:val="0"/>
          <w:sz w:val="24"/>
          <w:szCs w:val="24"/>
          <w:highlight w:val="none"/>
          <w:u w:val="single"/>
          <w:lang w:val="en-US" w:eastAsia="zh-CN"/>
        </w:rPr>
        <w:t>线路铺设及</w:t>
      </w:r>
      <w:r>
        <w:rPr>
          <w:rFonts w:hint="eastAsia" w:asciiTheme="minorEastAsia" w:hAnsiTheme="minorEastAsia" w:eastAsiaTheme="minorEastAsia" w:cstheme="minorEastAsia"/>
          <w:color w:val="auto"/>
          <w:kern w:val="0"/>
          <w:sz w:val="24"/>
          <w:szCs w:val="24"/>
          <w:highlight w:val="none"/>
          <w:u w:val="single"/>
          <w:lang w:val="zh-CN"/>
        </w:rPr>
        <w:t>安装调试</w:t>
      </w:r>
      <w:r>
        <w:rPr>
          <w:rFonts w:hint="eastAsia" w:asciiTheme="minorEastAsia" w:hAnsiTheme="minorEastAsia" w:eastAsiaTheme="minorEastAsia" w:cstheme="minorEastAsia"/>
          <w:color w:val="auto"/>
          <w:kern w:val="0"/>
          <w:sz w:val="24"/>
          <w:szCs w:val="24"/>
          <w:highlight w:val="none"/>
          <w:u w:val="single"/>
          <w:lang w:val="en-US" w:eastAsia="zh-CN"/>
        </w:rPr>
        <w:t>主材及辅材</w:t>
      </w:r>
      <w:r>
        <w:rPr>
          <w:rFonts w:hint="eastAsia" w:asciiTheme="minorEastAsia" w:hAnsiTheme="minorEastAsia" w:eastAsiaTheme="minorEastAsia" w:cstheme="minorEastAsia"/>
          <w:color w:val="auto"/>
          <w:kern w:val="0"/>
          <w:sz w:val="24"/>
          <w:szCs w:val="24"/>
          <w:highlight w:val="none"/>
          <w:u w:val="none"/>
          <w:lang w:val="zh-CN"/>
        </w:rPr>
        <w:t>、验收、培训（如需）、技术服务（包括技术资料、图纸的提供）、质保期保修、税费、保险费等全部费用。</w:t>
      </w:r>
    </w:p>
    <w:p>
      <w:pPr>
        <w:autoSpaceDE w:val="0"/>
        <w:autoSpaceDN w:val="0"/>
        <w:adjustRightInd w:val="0"/>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tabs>
          <w:tab w:val="left" w:pos="851"/>
        </w:tabs>
        <w:adjustRightInd w:val="0"/>
        <w:snapToGrid w:val="0"/>
        <w:spacing w:after="0" w:line="360" w:lineRule="auto"/>
        <w:ind w:firstLine="480" w:firstLineChars="200"/>
        <w:rPr>
          <w:rFonts w:hint="eastAsia" w:ascii="宋体" w:hAnsi="宋体" w:cs="宋体"/>
          <w:color w:val="auto"/>
          <w:kern w:val="0"/>
          <w:sz w:val="24"/>
          <w:szCs w:val="24"/>
          <w:highlight w:val="none"/>
        </w:rPr>
      </w:pPr>
      <w:r>
        <w:rPr>
          <w:rFonts w:ascii="宋体" w:hAnsi="宋体" w:cs="宋体"/>
          <w:color w:val="auto"/>
          <w:kern w:val="0"/>
          <w:sz w:val="24"/>
          <w:szCs w:val="24"/>
          <w:highlight w:val="none"/>
        </w:rPr>
        <w:t>4</w:t>
      </w:r>
      <w:r>
        <w:rPr>
          <w:rFonts w:ascii="宋体" w:hAnsi="宋体" w:cs="宋体"/>
          <w:color w:val="auto"/>
          <w:kern w:val="0"/>
          <w:sz w:val="24"/>
          <w:szCs w:val="24"/>
          <w:highlight w:val="none"/>
          <w:lang w:val="zh-CN"/>
        </w:rPr>
        <w:t>.3</w:t>
      </w:r>
      <w:r>
        <w:rPr>
          <w:rFonts w:ascii="宋体" w:hAnsi="宋体" w:cs="宋体"/>
          <w:color w:val="auto"/>
          <w:kern w:val="0"/>
          <w:sz w:val="24"/>
          <w:szCs w:val="24"/>
          <w:highlight w:val="none"/>
        </w:rPr>
        <w:t xml:space="preserve"> </w:t>
      </w:r>
      <w:r>
        <w:rPr>
          <w:rFonts w:hint="eastAsia" w:ascii="宋体" w:hAnsi="宋体" w:cs="宋体"/>
          <w:color w:val="auto"/>
          <w:kern w:val="0"/>
          <w:sz w:val="24"/>
          <w:szCs w:val="24"/>
          <w:highlight w:val="none"/>
        </w:rPr>
        <w:t>本合同约定的价格为含税价价格</w:t>
      </w:r>
      <w:r>
        <w:rPr>
          <w:rFonts w:hint="eastAsia" w:ascii="宋体" w:hAnsi="宋体" w:cs="宋体"/>
          <w:color w:val="auto"/>
          <w:sz w:val="24"/>
          <w:szCs w:val="24"/>
          <w:highlight w:val="none"/>
        </w:rPr>
        <w:t>（税率</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），合同履行期间国家税率调整或乙方开票的实际税率与前述税率不一致的，不含税价不变，价税合计按实际税率相应调整，以开具发票时间为准。</w:t>
      </w:r>
    </w:p>
    <w:p>
      <w:pPr>
        <w:autoSpaceDE w:val="0"/>
        <w:autoSpaceDN w:val="0"/>
        <w:adjustRightInd w:val="0"/>
        <w:spacing w:after="0" w:line="360" w:lineRule="auto"/>
        <w:ind w:firstLine="482" w:firstLineChars="200"/>
        <w:rPr>
          <w:rFonts w:ascii="宋体" w:hAnsi="宋体" w:cs="宋体"/>
          <w:b/>
          <w:color w:val="auto"/>
          <w:sz w:val="24"/>
          <w:szCs w:val="24"/>
          <w:highlight w:val="none"/>
        </w:rPr>
      </w:pPr>
      <w:bookmarkStart w:id="89" w:name="_Toc474245213"/>
      <w:bookmarkStart w:id="90" w:name="_Toc520190029"/>
      <w:bookmarkStart w:id="91" w:name="_Toc518992989"/>
      <w:bookmarkStart w:id="92" w:name="_Toc107447236"/>
      <w:bookmarkStart w:id="93" w:name="_Toc107446843"/>
      <w:r>
        <w:rPr>
          <w:rFonts w:hint="eastAsia" w:ascii="宋体" w:hAnsi="宋体" w:cs="宋体"/>
          <w:b/>
          <w:color w:val="auto"/>
          <w:sz w:val="24"/>
          <w:szCs w:val="24"/>
          <w:highlight w:val="none"/>
        </w:rPr>
        <w:t>第五条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支付方式</w:t>
      </w:r>
      <w:bookmarkEnd w:id="89"/>
      <w:bookmarkEnd w:id="90"/>
      <w:bookmarkEnd w:id="91"/>
    </w:p>
    <w:bookmarkEnd w:id="92"/>
    <w:bookmarkEnd w:id="93"/>
    <w:p>
      <w:pPr>
        <w:tabs>
          <w:tab w:val="left" w:pos="851"/>
        </w:tabs>
        <w:adjustRightInd w:val="0"/>
        <w:snapToGrid w:val="0"/>
        <w:spacing w:after="0"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5.1</w:t>
      </w:r>
      <w:r>
        <w:rPr>
          <w:rFonts w:hint="eastAsia" w:ascii="宋体" w:hAnsi="宋体" w:cs="宋体"/>
          <w:bCs/>
          <w:color w:val="auto"/>
          <w:sz w:val="24"/>
          <w:szCs w:val="24"/>
          <w:highlight w:val="none"/>
        </w:rPr>
        <w:t>预付款的支付：</w:t>
      </w:r>
      <w:r>
        <w:rPr>
          <w:rFonts w:hint="eastAsia" w:ascii="宋体" w:hAnsi="宋体" w:cs="宋体"/>
          <w:color w:val="auto"/>
          <w:szCs w:val="21"/>
          <w:highlight w:val="none"/>
        </w:rPr>
        <w:sym w:font="Wingdings 2" w:char="0052"/>
      </w:r>
      <w:r>
        <w:rPr>
          <w:rFonts w:hint="eastAsia" w:ascii="宋体" w:hAnsi="宋体" w:cs="宋体"/>
          <w:bCs/>
          <w:color w:val="auto"/>
          <w:sz w:val="24"/>
          <w:szCs w:val="24"/>
          <w:highlight w:val="none"/>
        </w:rPr>
        <w:t>无</w:t>
      </w:r>
      <w:r>
        <w:rPr>
          <w:rFonts w:hint="eastAsia" w:ascii="宋体" w:hAnsi="宋体" w:cs="宋体"/>
          <w:color w:val="auto"/>
          <w:sz w:val="24"/>
          <w:szCs w:val="24"/>
          <w:highlight w:val="none"/>
        </w:rPr>
        <w:t>。</w:t>
      </w:r>
    </w:p>
    <w:p>
      <w:pPr>
        <w:tabs>
          <w:tab w:val="left" w:pos="851"/>
        </w:tabs>
        <w:adjustRightInd w:val="0"/>
        <w:snapToGrid w:val="0"/>
        <w:spacing w:after="0" w:line="360" w:lineRule="auto"/>
        <w:ind w:firstLine="480" w:firstLineChars="200"/>
        <w:rPr>
          <w:rFonts w:ascii="宋体" w:hAnsi="宋体" w:cs="宋体"/>
          <w:bCs/>
          <w:color w:val="auto"/>
          <w:sz w:val="24"/>
          <w:szCs w:val="24"/>
          <w:highlight w:val="none"/>
        </w:rPr>
      </w:pPr>
      <w:r>
        <w:rPr>
          <w:rFonts w:ascii="宋体" w:hAnsi="宋体" w:cs="宋体"/>
          <w:color w:val="auto"/>
          <w:sz w:val="24"/>
          <w:szCs w:val="24"/>
          <w:highlight w:val="none"/>
        </w:rPr>
        <w:t xml:space="preserve">5.2 </w:t>
      </w:r>
      <w:r>
        <w:rPr>
          <w:rFonts w:hint="eastAsia" w:ascii="宋体" w:hAnsi="宋体" w:cs="宋体"/>
          <w:color w:val="auto"/>
          <w:sz w:val="24"/>
          <w:szCs w:val="24"/>
          <w:highlight w:val="none"/>
        </w:rPr>
        <w:t>支付方式：</w:t>
      </w:r>
    </w:p>
    <w:p>
      <w:pPr>
        <w:autoSpaceDE w:val="0"/>
        <w:autoSpaceDN w:val="0"/>
        <w:adjustRightInd w:val="0"/>
        <w:spacing w:after="0" w:line="360" w:lineRule="auto"/>
        <w:ind w:firstLine="480" w:firstLineChars="200"/>
        <w:rPr>
          <w:rFonts w:hint="eastAsia" w:ascii="宋体" w:hAnsi="宋体" w:cs="宋体"/>
          <w:color w:val="auto"/>
          <w:sz w:val="24"/>
          <w:szCs w:val="24"/>
          <w:highlight w:val="none"/>
        </w:rPr>
      </w:pPr>
      <w:r>
        <w:rPr>
          <w:rFonts w:ascii="宋体" w:hAnsi="宋体" w:cs="宋体"/>
          <w:color w:val="auto"/>
          <w:sz w:val="24"/>
          <w:szCs w:val="24"/>
          <w:highlight w:val="none"/>
        </w:rPr>
        <w:t>5.2.1</w:t>
      </w:r>
      <w:r>
        <w:rPr>
          <w:rFonts w:hint="eastAsia" w:ascii="宋体" w:hAnsi="宋体" w:cs="宋体"/>
          <w:color w:val="auto"/>
          <w:sz w:val="24"/>
          <w:szCs w:val="24"/>
          <w:highlight w:val="none"/>
        </w:rPr>
        <w:t>设备到达现场</w:t>
      </w:r>
      <w:r>
        <w:rPr>
          <w:rFonts w:hint="eastAsia" w:ascii="宋体" w:hAnsi="宋体" w:cs="宋体"/>
          <w:color w:val="auto"/>
          <w:sz w:val="24"/>
          <w:szCs w:val="24"/>
          <w:highlight w:val="none"/>
          <w:lang w:eastAsia="zh-CN"/>
        </w:rPr>
        <w:t>后达到验收条件的，由乙方</w:t>
      </w:r>
      <w:r>
        <w:rPr>
          <w:rFonts w:hint="eastAsia" w:ascii="宋体" w:hAnsi="宋体" w:cs="宋体"/>
          <w:color w:val="auto"/>
          <w:sz w:val="24"/>
          <w:szCs w:val="24"/>
          <w:highlight w:val="none"/>
        </w:rPr>
        <w:t>提交请款资料经甲方结算审核后</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3</w:t>
      </w:r>
      <w:r>
        <w:rPr>
          <w:rFonts w:hint="eastAsia" w:ascii="宋体" w:hAnsi="宋体" w:cs="宋体"/>
          <w:color w:val="auto"/>
          <w:sz w:val="24"/>
          <w:szCs w:val="24"/>
          <w:highlight w:val="none"/>
          <w:u w:val="single"/>
          <w:lang w:val="en-US" w:eastAsia="zh-CN"/>
        </w:rPr>
        <w:t>0</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个工作日内，</w:t>
      </w:r>
      <w:r>
        <w:rPr>
          <w:rFonts w:hint="eastAsia" w:ascii="宋体" w:hAnsi="宋体" w:eastAsia="宋体" w:cs="宋体"/>
          <w:color w:val="auto"/>
          <w:sz w:val="24"/>
          <w:szCs w:val="24"/>
          <w:highlight w:val="none"/>
          <w:lang w:eastAsia="zh-CN"/>
        </w:rPr>
        <w:t>由乙方</w:t>
      </w:r>
      <w:r>
        <w:rPr>
          <w:rFonts w:hint="eastAsia" w:ascii="宋体" w:hAnsi="宋体" w:eastAsia="宋体" w:cs="宋体"/>
          <w:color w:val="auto"/>
          <w:sz w:val="24"/>
          <w:szCs w:val="24"/>
          <w:highlight w:val="none"/>
        </w:rPr>
        <w:t>提交请款资料经甲方结算审核后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个工作日内，</w:t>
      </w:r>
      <w:r>
        <w:rPr>
          <w:rFonts w:hint="eastAsia" w:ascii="宋体" w:hAnsi="宋体" w:eastAsia="宋体" w:cs="宋体"/>
          <w:color w:val="auto"/>
          <w:sz w:val="24"/>
          <w:szCs w:val="24"/>
          <w:highlight w:val="none"/>
          <w:lang w:eastAsia="zh-CN"/>
        </w:rPr>
        <w:t>按审核价的</w:t>
      </w:r>
      <w:r>
        <w:rPr>
          <w:rFonts w:hint="eastAsia" w:ascii="宋体" w:hAnsi="宋体" w:eastAsia="宋体" w:cs="宋体"/>
          <w:color w:val="auto"/>
          <w:sz w:val="24"/>
          <w:szCs w:val="24"/>
          <w:highlight w:val="none"/>
        </w:rPr>
        <w:t>等额增值税专用发票</w:t>
      </w:r>
      <w:r>
        <w:rPr>
          <w:rFonts w:hint="eastAsia" w:ascii="宋体" w:hAnsi="宋体" w:cs="宋体"/>
          <w:color w:val="auto"/>
          <w:sz w:val="24"/>
          <w:szCs w:val="24"/>
          <w:highlight w:val="none"/>
        </w:rPr>
        <w:t>支付至合同结算价的</w:t>
      </w:r>
      <w:r>
        <w:rPr>
          <w:rFonts w:ascii="宋体" w:hAnsi="宋体" w:cs="宋体"/>
          <w:color w:val="auto"/>
          <w:sz w:val="24"/>
          <w:szCs w:val="24"/>
          <w:highlight w:val="none"/>
        </w:rPr>
        <w:t>95%</w:t>
      </w:r>
      <w:r>
        <w:rPr>
          <w:rFonts w:hint="eastAsia" w:ascii="宋体" w:hAnsi="宋体" w:cs="宋体"/>
          <w:color w:val="auto"/>
          <w:sz w:val="24"/>
          <w:szCs w:val="24"/>
          <w:highlight w:val="none"/>
        </w:rPr>
        <w:t>（含预付款）（若审核价低于合同暂定总价，则以审核价作为合同结算价，否则以合同暂定总价为合同结算价），合同结算价的</w:t>
      </w:r>
      <w:r>
        <w:rPr>
          <w:rFonts w:ascii="宋体" w:hAnsi="宋体" w:cs="宋体"/>
          <w:color w:val="auto"/>
          <w:sz w:val="24"/>
          <w:szCs w:val="24"/>
          <w:highlight w:val="none"/>
        </w:rPr>
        <w:t>5%</w:t>
      </w:r>
      <w:r>
        <w:rPr>
          <w:rFonts w:hint="eastAsia" w:ascii="宋体" w:hAnsi="宋体" w:cs="宋体"/>
          <w:color w:val="auto"/>
          <w:sz w:val="24"/>
          <w:szCs w:val="24"/>
          <w:highlight w:val="none"/>
        </w:rPr>
        <w:t>作为质保金留存。</w:t>
      </w:r>
    </w:p>
    <w:p>
      <w:pPr>
        <w:pStyle w:val="2"/>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验收条件：</w:t>
      </w:r>
      <w:r>
        <w:rPr>
          <w:rFonts w:hint="eastAsia" w:asciiTheme="minorEastAsia" w:hAnsiTheme="minorEastAsia" w:eastAsiaTheme="minorEastAsia" w:cstheme="minorEastAsia"/>
          <w:color w:val="auto"/>
          <w:sz w:val="24"/>
          <w:szCs w:val="24"/>
          <w:highlight w:val="none"/>
        </w:rPr>
        <w:sym w:font="Wingdings 2" w:char="00A3"/>
      </w:r>
      <w:r>
        <w:rPr>
          <w:rFonts w:hint="eastAsia" w:asciiTheme="minorEastAsia" w:hAnsiTheme="minorEastAsia" w:eastAsiaTheme="minorEastAsia" w:cstheme="minorEastAsia"/>
          <w:color w:val="auto"/>
          <w:sz w:val="24"/>
          <w:szCs w:val="24"/>
          <w:highlight w:val="none"/>
          <w:lang w:eastAsia="zh-CN"/>
        </w:rPr>
        <w:t>标段一，设备</w:t>
      </w:r>
      <w:r>
        <w:rPr>
          <w:rFonts w:hint="eastAsia" w:asciiTheme="minorEastAsia" w:hAnsiTheme="minorEastAsia" w:eastAsiaTheme="minorEastAsia" w:cstheme="minorEastAsia"/>
          <w:color w:val="auto"/>
          <w:sz w:val="24"/>
          <w:szCs w:val="24"/>
          <w:highlight w:val="none"/>
        </w:rPr>
        <w:t>经开箱验收合格并全部调试完毕</w:t>
      </w:r>
      <w:r>
        <w:rPr>
          <w:rFonts w:hint="eastAsia" w:asciiTheme="minorEastAsia" w:hAnsiTheme="minorEastAsia" w:eastAsiaTheme="minorEastAsia" w:cstheme="minorEastAsia"/>
          <w:color w:val="auto"/>
          <w:sz w:val="24"/>
          <w:szCs w:val="24"/>
          <w:highlight w:val="none"/>
          <w:lang w:eastAsia="zh-CN"/>
        </w:rPr>
        <w:t>；</w:t>
      </w:r>
    </w:p>
    <w:p>
      <w:pPr>
        <w:pStyle w:val="2"/>
        <w:ind w:firstLine="1680" w:firstLineChars="700"/>
        <w:rPr>
          <w:rFonts w:hint="eastAsia" w:asciiTheme="minorEastAsia" w:hAnsiTheme="minorEastAsia" w:eastAsiaTheme="minorEastAsia" w:cstheme="minorEastAsia"/>
          <w:bCs w:val="0"/>
          <w:color w:val="auto"/>
          <w:sz w:val="24"/>
          <w:szCs w:val="24"/>
          <w:highlight w:val="none"/>
        </w:rPr>
      </w:pPr>
      <w:r>
        <w:rPr>
          <w:rFonts w:hint="eastAsia" w:asciiTheme="minorEastAsia" w:hAnsiTheme="minorEastAsia" w:eastAsiaTheme="minorEastAsia" w:cstheme="minorEastAsia"/>
          <w:color w:val="auto"/>
          <w:sz w:val="24"/>
          <w:szCs w:val="24"/>
          <w:highlight w:val="none"/>
        </w:rPr>
        <w:sym w:font="Wingdings 2" w:char="00A3"/>
      </w:r>
      <w:r>
        <w:rPr>
          <w:rFonts w:hint="eastAsia" w:asciiTheme="minorEastAsia" w:hAnsiTheme="minorEastAsia" w:eastAsiaTheme="minorEastAsia" w:cstheme="minorEastAsia"/>
          <w:color w:val="auto"/>
          <w:sz w:val="24"/>
          <w:szCs w:val="24"/>
          <w:highlight w:val="none"/>
          <w:lang w:eastAsia="zh-CN"/>
        </w:rPr>
        <w:t>标段二，乙方完成设备安装调试完毕，甲方组织验收合格。</w:t>
      </w:r>
    </w:p>
    <w:p>
      <w:pPr>
        <w:pStyle w:val="12"/>
        <w:spacing w:line="360" w:lineRule="auto"/>
        <w:ind w:firstLine="600" w:firstLineChars="250"/>
        <w:outlineLvl w:val="1"/>
        <w:rPr>
          <w:rFonts w:hint="eastAsia"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5.2.2质保期按合同第九条规定执行，质保期满且乙方不存在违约情形，乙方提交请款资料及等额增值税专用发票，甲方审核无误后在</w:t>
      </w:r>
      <w:r>
        <w:rPr>
          <w:rFonts w:hint="eastAsia" w:asciiTheme="minorEastAsia" w:hAnsiTheme="minorEastAsia" w:cstheme="minorEastAsia"/>
          <w:color w:val="auto"/>
          <w:sz w:val="24"/>
          <w:szCs w:val="24"/>
          <w:highlight w:val="none"/>
          <w:u w:val="single"/>
        </w:rPr>
        <w:t xml:space="preserve"> </w:t>
      </w:r>
      <w:r>
        <w:rPr>
          <w:rFonts w:hint="eastAsia" w:asciiTheme="minorEastAsia" w:hAnsiTheme="minorEastAsia" w:cstheme="minorEastAsia"/>
          <w:color w:val="auto"/>
          <w:sz w:val="24"/>
          <w:szCs w:val="24"/>
          <w:highlight w:val="none"/>
          <w:u w:val="single"/>
          <w:lang w:eastAsia="zh-CN"/>
        </w:rPr>
        <w:t>3</w:t>
      </w:r>
      <w:r>
        <w:rPr>
          <w:rFonts w:hint="eastAsia" w:asciiTheme="minorEastAsia" w:hAnsiTheme="minorEastAsia" w:cstheme="minorEastAsia"/>
          <w:color w:val="auto"/>
          <w:sz w:val="24"/>
          <w:szCs w:val="24"/>
          <w:highlight w:val="none"/>
          <w:u w:val="single"/>
          <w:lang w:val="en-US" w:eastAsia="zh-CN"/>
        </w:rPr>
        <w:t>0</w:t>
      </w:r>
      <w:r>
        <w:rPr>
          <w:rFonts w:hint="eastAsia" w:asciiTheme="minorEastAsia" w:hAnsiTheme="minorEastAsia" w:cstheme="minorEastAsia"/>
          <w:color w:val="auto"/>
          <w:sz w:val="24"/>
          <w:szCs w:val="24"/>
          <w:highlight w:val="none"/>
          <w:u w:val="single"/>
        </w:rPr>
        <w:t xml:space="preserve"> </w:t>
      </w:r>
      <w:r>
        <w:rPr>
          <w:rFonts w:hint="eastAsia" w:asciiTheme="minorEastAsia" w:hAnsiTheme="minorEastAsia" w:cstheme="minorEastAsia"/>
          <w:color w:val="auto"/>
          <w:sz w:val="24"/>
          <w:szCs w:val="24"/>
          <w:highlight w:val="none"/>
        </w:rPr>
        <w:t>个工作日内支付合同结算价的5％（质保金）给乙方(无息)。</w:t>
      </w:r>
    </w:p>
    <w:p>
      <w:pPr>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5.2.3</w:t>
      </w:r>
      <w:r>
        <w:rPr>
          <w:rFonts w:hint="eastAsia" w:ascii="宋体" w:hAnsi="宋体" w:cs="宋体"/>
          <w:color w:val="auto"/>
          <w:sz w:val="24"/>
          <w:szCs w:val="24"/>
          <w:highlight w:val="none"/>
        </w:rPr>
        <w:t>乙方收款账户：</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firstLine="1200" w:firstLineChars="500"/>
        <w:rPr>
          <w:rFonts w:ascii="宋体" w:hAnsi="宋体" w:cs="宋体"/>
          <w:color w:val="auto"/>
          <w:sz w:val="24"/>
          <w:szCs w:val="24"/>
          <w:highlight w:val="none"/>
        </w:rPr>
      </w:pPr>
      <w:r>
        <w:rPr>
          <w:rFonts w:hint="eastAsia" w:ascii="宋体" w:hAnsi="宋体" w:cs="宋体"/>
          <w:color w:val="auto"/>
          <w:sz w:val="24"/>
          <w:szCs w:val="24"/>
          <w:highlight w:val="none"/>
        </w:rPr>
        <w:t>收款账号：</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firstLine="1200" w:firstLineChars="500"/>
        <w:rPr>
          <w:rFonts w:ascii="宋体" w:hAnsi="宋体" w:cs="宋体"/>
          <w:color w:val="auto"/>
          <w:sz w:val="24"/>
          <w:szCs w:val="24"/>
          <w:highlight w:val="none"/>
        </w:rPr>
      </w:pPr>
      <w:r>
        <w:rPr>
          <w:rFonts w:hint="eastAsia" w:ascii="宋体" w:hAnsi="宋体" w:cs="宋体"/>
          <w:color w:val="auto"/>
          <w:sz w:val="24"/>
          <w:szCs w:val="24"/>
          <w:highlight w:val="none"/>
        </w:rPr>
        <w:t>开户行：</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lang w:val="en-US" w:eastAsia="zh-CN"/>
        </w:rPr>
        <w:t xml:space="preserve">   </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5.2.4</w:t>
      </w:r>
      <w:r>
        <w:rPr>
          <w:rFonts w:hint="eastAsia" w:ascii="宋体" w:hAnsi="宋体" w:cs="宋体"/>
          <w:color w:val="auto"/>
          <w:sz w:val="24"/>
          <w:szCs w:val="24"/>
          <w:highlight w:val="none"/>
        </w:rPr>
        <w:t>乙方在收款前需向甲方提交等额增值税专用发票，增值税专用发票信息：</w:t>
      </w:r>
    </w:p>
    <w:p>
      <w:pPr>
        <w:spacing w:line="360" w:lineRule="auto"/>
        <w:ind w:firstLine="1200" w:firstLineChars="500"/>
        <w:rPr>
          <w:rFonts w:ascii="宋体" w:hAnsi="宋体" w:cs="宋体"/>
          <w:color w:val="auto"/>
          <w:sz w:val="24"/>
          <w:szCs w:val="24"/>
          <w:highlight w:val="none"/>
        </w:rPr>
      </w:pP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pStyle w:val="12"/>
        <w:spacing w:line="360" w:lineRule="auto"/>
        <w:ind w:firstLine="480" w:firstLineChars="200"/>
        <w:outlineLvl w:val="1"/>
        <w:rPr>
          <w:rFonts w:hAnsi="宋体" w:cs="宋体"/>
          <w:color w:val="auto"/>
          <w:szCs w:val="24"/>
          <w:highlight w:val="none"/>
        </w:rPr>
      </w:pPr>
      <w:r>
        <w:rPr>
          <w:rFonts w:ascii="宋体" w:hAnsi="宋体" w:cs="宋体"/>
          <w:color w:val="auto"/>
          <w:sz w:val="24"/>
          <w:szCs w:val="24"/>
          <w:highlight w:val="none"/>
        </w:rPr>
        <w:t>5.3</w:t>
      </w:r>
      <w:r>
        <w:rPr>
          <w:rFonts w:hint="eastAsia" w:ascii="宋体" w:hAnsi="宋体" w:cs="宋体"/>
          <w:color w:val="auto"/>
          <w:sz w:val="24"/>
          <w:szCs w:val="24"/>
          <w:highlight w:val="none"/>
        </w:rPr>
        <w:t>付款方式：</w:t>
      </w:r>
      <w:r>
        <w:rPr>
          <w:rFonts w:ascii="宋体" w:hAnsi="宋体" w:cs="宋体"/>
          <w:color w:val="auto"/>
          <w:sz w:val="24"/>
          <w:szCs w:val="24"/>
          <w:highlight w:val="none"/>
        </w:rPr>
        <w:t xml:space="preserve"> </w:t>
      </w:r>
      <w:r>
        <w:rPr>
          <w:rFonts w:ascii="宋体" w:hAnsi="宋体" w:cs="宋体"/>
          <w:color w:val="auto"/>
          <w:sz w:val="24"/>
          <w:szCs w:val="24"/>
          <w:highlight w:val="none"/>
        </w:rPr>
        <w:sym w:font="Wingdings" w:char="00FE"/>
      </w:r>
      <w:r>
        <w:rPr>
          <w:rFonts w:hint="eastAsia" w:ascii="宋体" w:hAnsi="宋体" w:cs="宋体"/>
          <w:color w:val="auto"/>
          <w:sz w:val="24"/>
          <w:szCs w:val="24"/>
          <w:highlight w:val="none"/>
        </w:rPr>
        <w:t>网银支付</w:t>
      </w:r>
      <w:r>
        <w:rPr>
          <w:rFonts w:hint="eastAsia" w:hAnsi="宋体" w:cs="宋体"/>
          <w:color w:val="auto"/>
          <w:szCs w:val="24"/>
          <w:highlight w:val="none"/>
        </w:rPr>
        <w:t>。</w:t>
      </w:r>
    </w:p>
    <w:p>
      <w:pPr>
        <w:autoSpaceDE w:val="0"/>
        <w:autoSpaceDN w:val="0"/>
        <w:adjustRightInd w:val="0"/>
        <w:spacing w:after="0" w:line="360" w:lineRule="auto"/>
        <w:ind w:firstLine="482" w:firstLineChars="200"/>
        <w:rPr>
          <w:rFonts w:ascii="宋体" w:hAnsi="宋体" w:cs="宋体"/>
          <w:bCs/>
          <w:color w:val="auto"/>
          <w:sz w:val="24"/>
          <w:szCs w:val="24"/>
          <w:highlight w:val="none"/>
        </w:rPr>
      </w:pPr>
      <w:r>
        <w:rPr>
          <w:rFonts w:hint="eastAsia" w:ascii="宋体" w:hAnsi="宋体" w:cs="宋体"/>
          <w:b/>
          <w:color w:val="auto"/>
          <w:sz w:val="24"/>
          <w:szCs w:val="24"/>
          <w:highlight w:val="none"/>
        </w:rPr>
        <w:t>第六条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履约担保</w:t>
      </w:r>
    </w:p>
    <w:p>
      <w:pPr>
        <w:spacing w:line="360" w:lineRule="auto"/>
        <w:ind w:firstLine="480" w:firstLineChars="200"/>
        <w:rPr>
          <w:rFonts w:hint="eastAsia" w:ascii="宋体" w:hAnsi="宋体" w:cs="宋体" w:eastAsiaTheme="minorEastAsia"/>
          <w:color w:val="auto"/>
          <w:sz w:val="24"/>
          <w:szCs w:val="24"/>
          <w:highlight w:val="none"/>
          <w:lang w:eastAsia="zh-CN"/>
        </w:rPr>
      </w:pPr>
      <w:r>
        <w:rPr>
          <w:rFonts w:ascii="宋体" w:hAnsi="宋体" w:cs="宋体"/>
          <w:color w:val="auto"/>
          <w:sz w:val="24"/>
          <w:szCs w:val="24"/>
          <w:highlight w:val="none"/>
        </w:rPr>
        <w:t>6.1</w:t>
      </w:r>
      <w:r>
        <w:rPr>
          <w:rFonts w:hint="eastAsia" w:ascii="宋体" w:hAnsi="宋体" w:cs="宋体"/>
          <w:color w:val="auto"/>
          <w:sz w:val="24"/>
          <w:szCs w:val="24"/>
          <w:highlight w:val="none"/>
        </w:rPr>
        <w:t>履约担保：</w:t>
      </w:r>
      <w:r>
        <w:rPr>
          <w:rFonts w:hint="eastAsia" w:ascii="宋体" w:hAnsi="宋体" w:cs="宋体"/>
          <w:color w:val="auto"/>
          <w:szCs w:val="21"/>
          <w:highlight w:val="none"/>
        </w:rPr>
        <w:sym w:font="Wingdings 2" w:char="0052"/>
      </w:r>
      <w:r>
        <w:rPr>
          <w:rFonts w:hint="eastAsia" w:ascii="宋体" w:hAnsi="宋体" w:cs="宋体"/>
          <w:bCs/>
          <w:color w:val="auto"/>
          <w:sz w:val="24"/>
          <w:szCs w:val="24"/>
          <w:highlight w:val="none"/>
        </w:rPr>
        <w:t>无</w:t>
      </w:r>
      <w:r>
        <w:rPr>
          <w:rFonts w:hint="eastAsia" w:ascii="宋体" w:hAnsi="宋体" w:cs="宋体"/>
          <w:bCs/>
          <w:color w:val="auto"/>
          <w:sz w:val="24"/>
          <w:szCs w:val="24"/>
          <w:highlight w:val="none"/>
          <w:lang w:eastAsia="zh-CN"/>
        </w:rPr>
        <w:t>。</w:t>
      </w:r>
    </w:p>
    <w:p>
      <w:pPr>
        <w:spacing w:after="0" w:line="360" w:lineRule="auto"/>
        <w:ind w:firstLine="482" w:firstLineChars="200"/>
        <w:rPr>
          <w:rFonts w:ascii="宋体" w:hAnsi="宋体" w:cs="宋体"/>
          <w:b/>
          <w:color w:val="auto"/>
          <w:sz w:val="24"/>
          <w:szCs w:val="24"/>
          <w:highlight w:val="none"/>
        </w:rPr>
      </w:pPr>
      <w:r>
        <w:rPr>
          <w:rFonts w:hint="eastAsia" w:ascii="宋体" w:hAnsi="宋体" w:cs="宋体"/>
          <w:b/>
          <w:bCs/>
          <w:color w:val="auto"/>
          <w:kern w:val="0"/>
          <w:sz w:val="24"/>
          <w:szCs w:val="24"/>
          <w:highlight w:val="none"/>
        </w:rPr>
        <w:t>第七条</w:t>
      </w:r>
      <w:r>
        <w:rPr>
          <w:rFonts w:ascii="宋体" w:hAnsi="宋体" w:cs="宋体"/>
          <w:b/>
          <w:bCs/>
          <w:color w:val="auto"/>
          <w:kern w:val="0"/>
          <w:sz w:val="24"/>
          <w:szCs w:val="24"/>
          <w:highlight w:val="none"/>
        </w:rPr>
        <w:t xml:space="preserve"> </w:t>
      </w:r>
      <w:r>
        <w:rPr>
          <w:rFonts w:hint="eastAsia" w:ascii="宋体" w:hAnsi="宋体" w:cs="宋体"/>
          <w:b/>
          <w:color w:val="auto"/>
          <w:sz w:val="24"/>
          <w:szCs w:val="24"/>
          <w:highlight w:val="none"/>
        </w:rPr>
        <w:t>交货及检验要求</w:t>
      </w:r>
    </w:p>
    <w:p>
      <w:pPr>
        <w:autoSpaceDE w:val="0"/>
        <w:autoSpaceDN w:val="0"/>
        <w:adjustRightInd w:val="0"/>
        <w:spacing w:after="0"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 xml:space="preserve">7.1 </w:t>
      </w:r>
      <w:r>
        <w:rPr>
          <w:rFonts w:hint="eastAsia" w:ascii="宋体" w:hAnsi="宋体" w:cs="宋体"/>
          <w:bCs/>
          <w:color w:val="auto"/>
          <w:sz w:val="24"/>
          <w:szCs w:val="24"/>
          <w:highlight w:val="none"/>
        </w:rPr>
        <w:t>交货要求：乙方应在交货时向甲方提供出厂合格证、产品质量证明文件、操作维修手册等（手册应包含设备情况、系统和主要部件常见故障、保养要求、紧急维修电话等内容）。</w:t>
      </w:r>
    </w:p>
    <w:p>
      <w:pPr>
        <w:spacing w:after="0"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7.2</w:t>
      </w:r>
      <w:r>
        <w:rPr>
          <w:rFonts w:hint="eastAsia" w:ascii="宋体" w:hAnsi="宋体" w:cs="宋体"/>
          <w:bCs/>
          <w:color w:val="auto"/>
          <w:sz w:val="24"/>
          <w:szCs w:val="24"/>
          <w:highlight w:val="none"/>
        </w:rPr>
        <w:t>外观验收：设备运抵交货地点后，甲乙双方根据合同约定对合同设备的包装、外观与件数进行清点检查，并共同签署合同设备外观检查记录。</w:t>
      </w:r>
    </w:p>
    <w:p>
      <w:pPr>
        <w:spacing w:after="0" w:line="360" w:lineRule="auto"/>
        <w:ind w:firstLine="480" w:firstLineChars="200"/>
        <w:rPr>
          <w:rFonts w:ascii="宋体" w:hAnsi="宋体" w:cs="宋体"/>
          <w:color w:val="auto"/>
          <w:sz w:val="24"/>
          <w:szCs w:val="24"/>
          <w:highlight w:val="none"/>
        </w:rPr>
      </w:pPr>
      <w:r>
        <w:rPr>
          <w:rFonts w:ascii="宋体" w:hAnsi="宋体" w:cs="宋体"/>
          <w:bCs/>
          <w:color w:val="auto"/>
          <w:sz w:val="24"/>
          <w:szCs w:val="24"/>
          <w:highlight w:val="none"/>
        </w:rPr>
        <w:t xml:space="preserve">7.3 </w:t>
      </w:r>
      <w:r>
        <w:rPr>
          <w:rFonts w:hint="eastAsia" w:ascii="宋体" w:hAnsi="宋体" w:cs="宋体"/>
          <w:bCs/>
          <w:color w:val="auto"/>
          <w:sz w:val="24"/>
          <w:szCs w:val="24"/>
          <w:highlight w:val="none"/>
        </w:rPr>
        <w:t>开箱验收：开箱检验在合同设备交付地点进行，</w:t>
      </w:r>
      <w:r>
        <w:rPr>
          <w:rFonts w:hint="eastAsia" w:ascii="宋体" w:hAnsi="宋体" w:cs="宋体"/>
          <w:color w:val="auto"/>
          <w:sz w:val="24"/>
          <w:szCs w:val="24"/>
          <w:highlight w:val="none"/>
        </w:rPr>
        <w:t>包括但不限于对合同设备数量、规格、外观完好性进行检验。经验收合格后，甲方签发开箱检验合格证明。开箱验收合格前，设备的损坏风险由乙方承担。</w:t>
      </w:r>
    </w:p>
    <w:p>
      <w:pPr>
        <w:adjustRightInd w:val="0"/>
        <w:snapToGrid w:val="0"/>
        <w:spacing w:after="0" w:line="360" w:lineRule="auto"/>
        <w:rPr>
          <w:rFonts w:ascii="宋体" w:hAnsi="宋体" w:cs="宋体"/>
          <w:color w:val="auto"/>
          <w:sz w:val="24"/>
          <w:szCs w:val="24"/>
          <w:highlight w:val="none"/>
        </w:rPr>
      </w:pPr>
      <w:r>
        <w:rPr>
          <w:rFonts w:ascii="宋体" w:hAnsi="宋体" w:cs="宋体"/>
          <w:color w:val="auto"/>
          <w:sz w:val="24"/>
          <w:szCs w:val="24"/>
          <w:highlight w:val="none"/>
        </w:rPr>
        <w:t xml:space="preserve">    7.4</w:t>
      </w:r>
      <w:r>
        <w:rPr>
          <w:rFonts w:hint="eastAsia" w:ascii="宋体" w:hAnsi="宋体" w:cs="宋体"/>
          <w:color w:val="auto"/>
          <w:sz w:val="24"/>
          <w:szCs w:val="24"/>
          <w:highlight w:val="none"/>
        </w:rPr>
        <w:t>如双方对合同设备开箱检验有争议，应到甲方指定的第三方检测机构进行检测，第三方检测机构的检测结果对双方均具有约束力。检测费用先由乙方支付，如果检验结果为不合格，则该费用由乙方承担，如果检验结果为合格，则该费用由甲方承担。</w:t>
      </w:r>
    </w:p>
    <w:p>
      <w:pPr>
        <w:spacing w:line="360" w:lineRule="auto"/>
        <w:rPr>
          <w:rFonts w:ascii="宋体" w:hAnsi="宋体" w:cs="宋体"/>
          <w:color w:val="auto"/>
          <w:sz w:val="24"/>
          <w:szCs w:val="24"/>
          <w:highlight w:val="none"/>
        </w:rPr>
      </w:pPr>
      <w:r>
        <w:rPr>
          <w:rFonts w:ascii="宋体" w:hAnsi="宋体" w:cs="宋体"/>
          <w:color w:val="auto"/>
          <w:sz w:val="24"/>
          <w:szCs w:val="24"/>
          <w:highlight w:val="none"/>
        </w:rPr>
        <w:t xml:space="preserve">    7.5</w:t>
      </w:r>
      <w:r>
        <w:rPr>
          <w:rFonts w:hint="eastAsia" w:ascii="宋体" w:hAnsi="宋体" w:cs="宋体"/>
          <w:color w:val="auto"/>
          <w:sz w:val="24"/>
          <w:szCs w:val="24"/>
          <w:highlight w:val="none"/>
        </w:rPr>
        <w:t>对设备外观检查与开箱检查发现的问题，如数量、规格、外表质量等与合同约定不符，设备或部件因包装、运输、装卸问题造成的任何损坏、丢失，装箱文件短缺等，乙方应在不影响甲方生产运营的前提下，在甲方规定期限内消除合同设备中存在的缺陷，用合格的新设备更换有缺陷的设备、退货或补发，并自行承担费用。甲方有权在设备缺陷消除或设备更换后，委托第三方检测机构进行检测，检测结果及费用承担按本合同第</w:t>
      </w:r>
      <w:r>
        <w:rPr>
          <w:rFonts w:ascii="宋体" w:hAnsi="宋体" w:cs="宋体"/>
          <w:color w:val="auto"/>
          <w:sz w:val="24"/>
          <w:szCs w:val="24"/>
          <w:highlight w:val="none"/>
        </w:rPr>
        <w:t>7.4</w:t>
      </w:r>
      <w:r>
        <w:rPr>
          <w:rFonts w:hint="eastAsia" w:ascii="宋体" w:hAnsi="宋体" w:cs="宋体"/>
          <w:color w:val="auto"/>
          <w:sz w:val="24"/>
          <w:szCs w:val="24"/>
          <w:highlight w:val="none"/>
        </w:rPr>
        <w:t>条执行，交货时间不顺延。</w:t>
      </w:r>
    </w:p>
    <w:p>
      <w:pPr>
        <w:spacing w:after="0" w:line="360" w:lineRule="auto"/>
        <w:rPr>
          <w:rFonts w:ascii="宋体" w:hAnsi="宋体" w:cs="宋体"/>
          <w:color w:val="auto"/>
          <w:sz w:val="24"/>
          <w:szCs w:val="24"/>
          <w:highlight w:val="none"/>
        </w:rPr>
      </w:pPr>
      <w:r>
        <w:rPr>
          <w:rFonts w:ascii="宋体" w:hAnsi="宋体" w:cs="宋体"/>
          <w:color w:val="auto"/>
          <w:sz w:val="24"/>
          <w:szCs w:val="24"/>
          <w:highlight w:val="none"/>
        </w:rPr>
        <w:t xml:space="preserve">    7.6 </w:t>
      </w:r>
      <w:r>
        <w:rPr>
          <w:rFonts w:hint="eastAsia" w:ascii="宋体" w:hAnsi="宋体" w:cs="宋体"/>
          <w:color w:val="auto"/>
          <w:sz w:val="24"/>
          <w:szCs w:val="24"/>
          <w:highlight w:val="none"/>
        </w:rPr>
        <w:t>甲方有权对合同设备进行原厂正品验证，若合同设备无法获原厂验证，甲方有权退回设备，要求乙方在</w:t>
      </w:r>
      <w:r>
        <w:rPr>
          <w:rFonts w:ascii="宋体" w:hAnsi="宋体" w:cs="宋体"/>
          <w:color w:val="auto"/>
          <w:sz w:val="24"/>
          <w:szCs w:val="24"/>
          <w:highlight w:val="none"/>
          <w:u w:val="single"/>
        </w:rPr>
        <w:t xml:space="preserve"> 5 </w:t>
      </w:r>
      <w:r>
        <w:rPr>
          <w:rFonts w:hint="eastAsia" w:ascii="宋体" w:hAnsi="宋体" w:cs="宋体"/>
          <w:color w:val="auto"/>
          <w:sz w:val="24"/>
          <w:szCs w:val="24"/>
          <w:highlight w:val="none"/>
        </w:rPr>
        <w:t>个工作日内退回已支付款项并按设备价格的</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10</w:t>
      </w:r>
      <w:r>
        <w:rPr>
          <w:rFonts w:ascii="宋体" w:hAnsi="宋体" w:cs="宋体"/>
          <w:color w:val="auto"/>
          <w:sz w:val="24"/>
          <w:szCs w:val="24"/>
          <w:highlight w:val="none"/>
          <w:u w:val="single"/>
        </w:rPr>
        <w:t xml:space="preserve">  </w:t>
      </w:r>
      <w:r>
        <w:rPr>
          <w:rFonts w:ascii="宋体" w:hAnsi="宋体" w:cs="宋体"/>
          <w:color w:val="auto"/>
          <w:sz w:val="24"/>
          <w:szCs w:val="24"/>
          <w:highlight w:val="none"/>
        </w:rPr>
        <w:t>%</w:t>
      </w:r>
      <w:r>
        <w:rPr>
          <w:rFonts w:hint="eastAsia" w:ascii="宋体" w:hAnsi="宋体" w:cs="宋体"/>
          <w:color w:val="auto"/>
          <w:sz w:val="24"/>
          <w:szCs w:val="24"/>
          <w:highlight w:val="none"/>
        </w:rPr>
        <w:t>支付违约金。</w:t>
      </w:r>
    </w:p>
    <w:bookmarkEnd w:id="85"/>
    <w:bookmarkEnd w:id="86"/>
    <w:bookmarkEnd w:id="87"/>
    <w:bookmarkEnd w:id="88"/>
    <w:p>
      <w:pPr>
        <w:spacing w:before="120" w:after="120" w:line="360" w:lineRule="auto"/>
        <w:ind w:firstLine="482" w:firstLineChars="200"/>
        <w:rPr>
          <w:rFonts w:ascii="宋体" w:hAnsi="宋体" w:cs="宋体"/>
          <w:b/>
          <w:color w:val="auto"/>
          <w:sz w:val="24"/>
          <w:szCs w:val="24"/>
          <w:highlight w:val="none"/>
        </w:rPr>
      </w:pPr>
      <w:bookmarkStart w:id="94" w:name="_Toc474245215"/>
      <w:bookmarkStart w:id="95" w:name="_Toc520190030"/>
      <w:bookmarkStart w:id="96" w:name="_Toc518992990"/>
      <w:bookmarkStart w:id="97" w:name="_Toc183666534"/>
      <w:bookmarkStart w:id="98" w:name="_Toc257"/>
      <w:r>
        <w:rPr>
          <w:rFonts w:hint="eastAsia" w:ascii="宋体" w:hAnsi="宋体" w:cs="宋体"/>
          <w:b/>
          <w:color w:val="auto"/>
          <w:sz w:val="24"/>
          <w:szCs w:val="24"/>
          <w:highlight w:val="none"/>
        </w:rPr>
        <w:t>第八条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包装</w:t>
      </w:r>
      <w:bookmarkEnd w:id="94"/>
      <w:bookmarkEnd w:id="95"/>
      <w:bookmarkEnd w:id="96"/>
      <w:r>
        <w:rPr>
          <w:rFonts w:hint="eastAsia" w:ascii="宋体" w:hAnsi="宋体" w:cs="宋体"/>
          <w:b/>
          <w:color w:val="auto"/>
          <w:sz w:val="24"/>
          <w:szCs w:val="24"/>
          <w:highlight w:val="none"/>
        </w:rPr>
        <w:t>、标示及运输要求</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8.1 </w:t>
      </w:r>
      <w:r>
        <w:rPr>
          <w:rFonts w:hint="eastAsia" w:ascii="宋体" w:hAnsi="宋体" w:cs="宋体"/>
          <w:bCs/>
          <w:color w:val="auto"/>
          <w:sz w:val="24"/>
          <w:szCs w:val="24"/>
          <w:highlight w:val="none"/>
        </w:rPr>
        <w:t>包装</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8.1.1</w:t>
      </w:r>
      <w:r>
        <w:rPr>
          <w:rFonts w:hint="eastAsia" w:ascii="宋体" w:hAnsi="宋体" w:cs="宋体"/>
          <w:bCs/>
          <w:color w:val="auto"/>
          <w:sz w:val="24"/>
          <w:szCs w:val="24"/>
          <w:highlight w:val="none"/>
        </w:rPr>
        <w:t>乙方根据设备的特点，按照有关国家、行业标准要求，对设备及其零配件进行适合长途运输、多次搬运与装卸、防震、防水、防潮、防霉、防锈、防腐蚀等的坚固可靠包装，确保设备能适应高温、雨淋、潮湿环境下的长途运输、多次装卸与现场存放。</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8.1.2</w:t>
      </w:r>
      <w:r>
        <w:rPr>
          <w:rFonts w:hint="eastAsia" w:ascii="宋体" w:hAnsi="宋体" w:cs="宋体"/>
          <w:bCs/>
          <w:color w:val="auto"/>
          <w:sz w:val="24"/>
          <w:szCs w:val="24"/>
          <w:highlight w:val="none"/>
        </w:rPr>
        <w:t>超限设备的包装要求：</w:t>
      </w:r>
      <w:r>
        <w:rPr>
          <w:rFonts w:ascii="宋体" w:hAnsi="宋体" w:cs="宋体"/>
          <w:bCs/>
          <w:color w:val="auto"/>
          <w:sz w:val="24"/>
          <w:szCs w:val="24"/>
          <w:highlight w:val="none"/>
          <w:u w:val="single"/>
        </w:rPr>
        <w:t xml:space="preserve">  /  </w:t>
      </w:r>
      <w:r>
        <w:rPr>
          <w:rFonts w:hint="eastAsia" w:ascii="宋体" w:hAnsi="宋体" w:cs="宋体"/>
          <w:bCs/>
          <w:color w:val="auto"/>
          <w:sz w:val="24"/>
          <w:szCs w:val="24"/>
          <w:highlight w:val="none"/>
        </w:rPr>
        <w:t>。</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8.2 </w:t>
      </w:r>
      <w:bookmarkStart w:id="99" w:name="_Toc107447244"/>
      <w:bookmarkStart w:id="100" w:name="_Toc107446851"/>
      <w:r>
        <w:rPr>
          <w:rFonts w:hint="eastAsia" w:ascii="宋体" w:hAnsi="宋体" w:cs="宋体"/>
          <w:bCs/>
          <w:color w:val="auto"/>
          <w:sz w:val="24"/>
          <w:szCs w:val="24"/>
          <w:highlight w:val="none"/>
        </w:rPr>
        <w:t>标志</w:t>
      </w:r>
    </w:p>
    <w:bookmarkEnd w:id="99"/>
    <w:bookmarkEnd w:id="100"/>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8.2.1</w:t>
      </w:r>
      <w:r>
        <w:rPr>
          <w:rFonts w:hint="eastAsia" w:ascii="宋体" w:hAnsi="宋体" w:cs="宋体"/>
          <w:bCs/>
          <w:color w:val="auto"/>
          <w:sz w:val="24"/>
          <w:szCs w:val="24"/>
          <w:highlight w:val="none"/>
        </w:rPr>
        <w:t>乙方应按照国家标准对设备的外包装进行标志。</w:t>
      </w:r>
    </w:p>
    <w:p>
      <w:pPr>
        <w:adjustRightInd w:val="0"/>
        <w:snapToGrid w:val="0"/>
        <w:spacing w:after="0" w:line="360" w:lineRule="auto"/>
        <w:ind w:firstLine="480" w:firstLineChars="200"/>
        <w:rPr>
          <w:rFonts w:ascii="宋体" w:hAnsi="宋体" w:cs="宋体"/>
          <w:bCs/>
          <w:color w:val="auto"/>
          <w:sz w:val="24"/>
          <w:szCs w:val="24"/>
          <w:highlight w:val="none"/>
        </w:rPr>
      </w:pPr>
      <w:r>
        <w:rPr>
          <w:rFonts w:ascii="宋体" w:hAnsi="宋体" w:cs="宋体"/>
          <w:color w:val="auto"/>
          <w:sz w:val="24"/>
          <w:szCs w:val="24"/>
          <w:highlight w:val="none"/>
        </w:rPr>
        <w:t>8.2.2</w:t>
      </w:r>
      <w:r>
        <w:rPr>
          <w:rFonts w:hint="eastAsia" w:ascii="宋体" w:hAnsi="宋体" w:cs="宋体"/>
          <w:color w:val="auto"/>
          <w:sz w:val="24"/>
          <w:szCs w:val="24"/>
          <w:highlight w:val="none"/>
        </w:rPr>
        <w:t>根据合同设备的特点和运输、保管的不同要求，乙方应在包装箱上清楚地标注“小心轻放”、“此端朝上，请勿倒置”、“保持干燥”等字样和其他适当标记。对于超大超重件，乙方应在包装箱两侧标注“重心”和“起吊点”以便装卸和搬运。如设备中含有易燃易爆物品、腐蚀物品、放射性物质等危险品，则应在包装箱上标明危险品标志。</w:t>
      </w:r>
    </w:p>
    <w:p>
      <w:pPr>
        <w:adjustRightInd w:val="0"/>
        <w:snapToGrid w:val="0"/>
        <w:spacing w:after="0"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 xml:space="preserve">8.2.3  </w:t>
      </w:r>
      <w:r>
        <w:rPr>
          <w:rFonts w:hint="eastAsia" w:ascii="宋体" w:hAnsi="宋体" w:cs="宋体"/>
          <w:bCs/>
          <w:color w:val="auto"/>
          <w:sz w:val="24"/>
          <w:szCs w:val="24"/>
          <w:highlight w:val="none"/>
        </w:rPr>
        <w:t>如由于包装不当或包装箱内部保护措施不符合要求而导致在装车或运输中发生设备或其任何部件的损坏或遗失，乙方应自费对缺损的设备、部件进行修理、更换或补供。</w:t>
      </w:r>
      <w:bookmarkStart w:id="101" w:name="_Toc518992992"/>
      <w:bookmarkStart w:id="102" w:name="_Toc520190032"/>
      <w:bookmarkStart w:id="103" w:name="_Toc474245218"/>
      <w:bookmarkStart w:id="104" w:name="_Toc306350457"/>
      <w:bookmarkStart w:id="105" w:name="_Toc9269"/>
      <w:bookmarkStart w:id="106" w:name="_Toc183666521"/>
    </w:p>
    <w:p>
      <w:pPr>
        <w:adjustRightInd w:val="0"/>
        <w:snapToGrid w:val="0"/>
        <w:spacing w:after="0"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8.3</w:t>
      </w:r>
      <w:r>
        <w:rPr>
          <w:rFonts w:hint="eastAsia" w:ascii="宋体" w:hAnsi="宋体" w:cs="宋体"/>
          <w:color w:val="auto"/>
          <w:sz w:val="24"/>
          <w:szCs w:val="24"/>
          <w:highlight w:val="none"/>
        </w:rPr>
        <w:t>运输</w:t>
      </w:r>
    </w:p>
    <w:p>
      <w:pPr>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8.3.1</w:t>
      </w:r>
      <w:r>
        <w:rPr>
          <w:rFonts w:hint="eastAsia" w:ascii="宋体" w:hAnsi="宋体" w:cs="宋体"/>
          <w:color w:val="auto"/>
          <w:sz w:val="24"/>
          <w:szCs w:val="24"/>
          <w:highlight w:val="none"/>
        </w:rPr>
        <w:t>乙方应自行选择适宜的运输工具及线路安排合同设备运输。</w:t>
      </w:r>
    </w:p>
    <w:p>
      <w:pPr>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8.3.2 </w:t>
      </w:r>
      <w:r>
        <w:rPr>
          <w:rFonts w:hint="eastAsia" w:ascii="宋体" w:hAnsi="宋体" w:cs="宋体"/>
          <w:color w:val="auto"/>
          <w:sz w:val="24"/>
          <w:szCs w:val="24"/>
          <w:highlight w:val="none"/>
        </w:rPr>
        <w:t>除合同条款另有约定外，每件设备的备品备件应整套装运。</w:t>
      </w:r>
    </w:p>
    <w:p>
      <w:pPr>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8.3.3 </w:t>
      </w:r>
      <w:r>
        <w:rPr>
          <w:rFonts w:hint="eastAsia" w:ascii="宋体" w:hAnsi="宋体" w:cs="宋体"/>
          <w:color w:val="auto"/>
          <w:sz w:val="24"/>
          <w:szCs w:val="24"/>
          <w:highlight w:val="none"/>
        </w:rPr>
        <w:t>除合同条款另有约定外，乙方应在合同设备预计启运</w:t>
      </w:r>
      <w:r>
        <w:rPr>
          <w:rFonts w:ascii="宋体" w:hAnsi="宋体" w:cs="宋体"/>
          <w:color w:val="auto"/>
          <w:sz w:val="24"/>
          <w:szCs w:val="24"/>
          <w:highlight w:val="none"/>
        </w:rPr>
        <w:t>7</w:t>
      </w:r>
      <w:r>
        <w:rPr>
          <w:rFonts w:hint="eastAsia" w:ascii="宋体" w:hAnsi="宋体" w:cs="宋体"/>
          <w:color w:val="auto"/>
          <w:sz w:val="24"/>
          <w:szCs w:val="24"/>
          <w:highlight w:val="none"/>
        </w:rPr>
        <w:t>日前，将合同设备名称、数量、箱数、总毛重、每箱尺寸、装运合同设备总金额、运输方式、预计交付日期和合同设备在运输、装卸、保管中的注意事项等预通知甲方（如涉及易燃易爆物品、腐蚀物品、放射性物质等危险品，应告知危险品的品名、性质、在运输、装卸、保管方面的特殊要求、注意事项和意外情况的处理方法），并在合同设备启运后</w:t>
      </w:r>
      <w:r>
        <w:rPr>
          <w:rFonts w:ascii="宋体" w:hAnsi="宋体" w:cs="宋体"/>
          <w:color w:val="auto"/>
          <w:sz w:val="24"/>
          <w:szCs w:val="24"/>
          <w:highlight w:val="none"/>
        </w:rPr>
        <w:t xml:space="preserve"> 24 </w:t>
      </w:r>
      <w:r>
        <w:rPr>
          <w:rFonts w:hint="eastAsia" w:ascii="宋体" w:hAnsi="宋体" w:cs="宋体"/>
          <w:color w:val="auto"/>
          <w:sz w:val="24"/>
          <w:szCs w:val="24"/>
          <w:highlight w:val="none"/>
        </w:rPr>
        <w:t>小时之内正式通知甲方。</w:t>
      </w:r>
    </w:p>
    <w:bookmarkEnd w:id="101"/>
    <w:bookmarkEnd w:id="102"/>
    <w:bookmarkEnd w:id="103"/>
    <w:bookmarkEnd w:id="104"/>
    <w:bookmarkEnd w:id="105"/>
    <w:bookmarkEnd w:id="106"/>
    <w:p>
      <w:pPr>
        <w:adjustRightInd w:val="0"/>
        <w:snapToGrid w:val="0"/>
        <w:spacing w:before="120" w:beforeLines="50" w:after="120" w:afterLines="50" w:line="360" w:lineRule="auto"/>
        <w:ind w:firstLine="482" w:firstLineChars="200"/>
        <w:rPr>
          <w:rFonts w:ascii="宋体" w:hAnsi="宋体" w:cs="宋体"/>
          <w:color w:val="auto"/>
          <w:sz w:val="24"/>
          <w:szCs w:val="24"/>
          <w:highlight w:val="none"/>
        </w:rPr>
      </w:pPr>
      <w:bookmarkStart w:id="107" w:name="_Toc306350458"/>
      <w:bookmarkStart w:id="108" w:name="_Toc18496"/>
      <w:bookmarkStart w:id="109" w:name="_Toc183666522"/>
      <w:r>
        <w:rPr>
          <w:rFonts w:hint="eastAsia" w:ascii="宋体" w:hAnsi="宋体" w:cs="宋体"/>
          <w:b/>
          <w:color w:val="auto"/>
          <w:sz w:val="24"/>
          <w:szCs w:val="24"/>
          <w:highlight w:val="none"/>
        </w:rPr>
        <w:t>第九条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技术服务</w:t>
      </w:r>
    </w:p>
    <w:p>
      <w:pPr>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9.1  </w:t>
      </w:r>
      <w:r>
        <w:rPr>
          <w:rFonts w:hint="eastAsia" w:ascii="宋体" w:hAnsi="宋体" w:cs="宋体"/>
          <w:color w:val="auto"/>
          <w:sz w:val="24"/>
          <w:szCs w:val="24"/>
          <w:highlight w:val="none"/>
        </w:rPr>
        <w:t>乙方应按甲方需求，派遣技术熟练、称职的技术人员到现场为甲方提供设备调试运行等技术服务。</w:t>
      </w:r>
    </w:p>
    <w:p>
      <w:pPr>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9.2  </w:t>
      </w:r>
      <w:r>
        <w:rPr>
          <w:rFonts w:hint="eastAsia" w:ascii="宋体" w:hAnsi="宋体" w:cs="宋体"/>
          <w:color w:val="auto"/>
          <w:sz w:val="24"/>
          <w:szCs w:val="24"/>
          <w:highlight w:val="none"/>
        </w:rPr>
        <w:t>甲方为乙方技术人员提供工作条件及便利，包括但不限于必要的办公场所、技术资料及出入许可等。除合同另有约定外，乙方技术人员的交通、食宿费用由乙方承担。</w:t>
      </w:r>
    </w:p>
    <w:p>
      <w:pPr>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9.3  </w:t>
      </w:r>
      <w:r>
        <w:rPr>
          <w:rFonts w:hint="eastAsia" w:ascii="宋体" w:hAnsi="宋体" w:cs="宋体"/>
          <w:color w:val="auto"/>
          <w:sz w:val="24"/>
          <w:szCs w:val="24"/>
          <w:highlight w:val="none"/>
        </w:rPr>
        <w:t>乙方技术人员应遵守甲方施工现场的各项规章制度和安全操作规程，并服从甲方的现场管理。</w:t>
      </w:r>
    </w:p>
    <w:p>
      <w:pPr>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9.4  </w:t>
      </w:r>
      <w:r>
        <w:rPr>
          <w:rFonts w:hint="eastAsia" w:ascii="宋体" w:hAnsi="宋体" w:cs="宋体"/>
          <w:color w:val="auto"/>
          <w:sz w:val="24"/>
          <w:szCs w:val="24"/>
          <w:highlight w:val="none"/>
        </w:rPr>
        <w:t>如果乙方技术人员提供的服务达不到合同和甲方要求的，甲方有权要求乙方撤换，因撤换而产生的费用应由乙方承担。在不影响技术服务并且征得甲方同意的条件下，乙方也可自负费用更换其技术人员。</w:t>
      </w:r>
    </w:p>
    <w:bookmarkEnd w:id="107"/>
    <w:bookmarkEnd w:id="108"/>
    <w:bookmarkEnd w:id="109"/>
    <w:p>
      <w:pPr>
        <w:autoSpaceDE w:val="0"/>
        <w:autoSpaceDN w:val="0"/>
        <w:adjustRightInd w:val="0"/>
        <w:spacing w:line="360" w:lineRule="auto"/>
        <w:ind w:firstLine="482" w:firstLineChars="200"/>
        <w:rPr>
          <w:rFonts w:ascii="宋体" w:hAnsi="宋体" w:cs="宋体"/>
          <w:b/>
          <w:color w:val="auto"/>
          <w:sz w:val="24"/>
          <w:szCs w:val="24"/>
          <w:highlight w:val="none"/>
        </w:rPr>
      </w:pPr>
      <w:bookmarkStart w:id="110" w:name="_Toc520190034"/>
      <w:bookmarkStart w:id="111" w:name="_Toc474245220"/>
      <w:bookmarkStart w:id="112" w:name="_Toc518992994"/>
      <w:bookmarkStart w:id="113" w:name="_Toc4682"/>
      <w:bookmarkStart w:id="114" w:name="_Toc183666523"/>
      <w:bookmarkStart w:id="115" w:name="_Toc306350459"/>
      <w:r>
        <w:rPr>
          <w:rFonts w:hint="eastAsia" w:ascii="宋体" w:hAnsi="宋体" w:cs="宋体"/>
          <w:b/>
          <w:color w:val="auto"/>
          <w:sz w:val="24"/>
          <w:szCs w:val="24"/>
          <w:highlight w:val="none"/>
        </w:rPr>
        <w:t>第十条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质量保</w:t>
      </w:r>
      <w:bookmarkEnd w:id="110"/>
      <w:bookmarkEnd w:id="111"/>
      <w:bookmarkEnd w:id="112"/>
      <w:r>
        <w:rPr>
          <w:rFonts w:hint="eastAsia" w:ascii="宋体" w:hAnsi="宋体" w:cs="宋体"/>
          <w:b/>
          <w:color w:val="auto"/>
          <w:sz w:val="24"/>
          <w:szCs w:val="24"/>
          <w:highlight w:val="none"/>
        </w:rPr>
        <w:t>修</w:t>
      </w:r>
    </w:p>
    <w:p>
      <w:pPr>
        <w:tabs>
          <w:tab w:val="left" w:pos="851"/>
        </w:tabs>
        <w:adjustRightInd w:val="0"/>
        <w:snapToGrid w:val="0"/>
        <w:spacing w:line="360" w:lineRule="auto"/>
        <w:ind w:firstLine="480" w:firstLineChars="200"/>
        <w:rPr>
          <w:rFonts w:hint="eastAsia" w:ascii="宋体" w:hAnsi="宋体" w:cs="宋体" w:eastAsiaTheme="minorEastAsia"/>
          <w:color w:val="auto"/>
          <w:sz w:val="24"/>
          <w:szCs w:val="24"/>
          <w:highlight w:val="none"/>
          <w:lang w:eastAsia="zh-CN"/>
        </w:rPr>
      </w:pPr>
      <w:r>
        <w:rPr>
          <w:rFonts w:ascii="宋体" w:hAnsi="宋体" w:cs="宋体"/>
          <w:color w:val="auto"/>
          <w:sz w:val="24"/>
          <w:szCs w:val="24"/>
          <w:highlight w:val="none"/>
        </w:rPr>
        <w:t>10.1</w:t>
      </w:r>
      <w:r>
        <w:rPr>
          <w:rFonts w:hint="eastAsia" w:ascii="宋体" w:hAnsi="宋体" w:cs="宋体"/>
          <w:color w:val="auto"/>
          <w:sz w:val="24"/>
          <w:szCs w:val="24"/>
          <w:highlight w:val="none"/>
        </w:rPr>
        <w:t>保修期内乙方应免费对设备进行日常维护保养及质量缺陷修复</w:t>
      </w:r>
      <w:r>
        <w:rPr>
          <w:rFonts w:hint="eastAsia" w:ascii="宋体" w:hAnsi="宋体" w:cs="宋体"/>
          <w:color w:val="auto"/>
          <w:sz w:val="24"/>
          <w:szCs w:val="24"/>
          <w:highlight w:val="none"/>
          <w:lang w:eastAsia="zh-CN"/>
        </w:rPr>
        <w:t>，保修期约定如下：</w:t>
      </w:r>
    </w:p>
    <w:p>
      <w:pPr>
        <w:tabs>
          <w:tab w:val="left" w:pos="851"/>
        </w:tabs>
        <w:adjustRightInd w:val="0"/>
        <w:snapToGrid w:val="0"/>
        <w:spacing w:line="360" w:lineRule="auto"/>
        <w:ind w:firstLine="480" w:firstLineChars="200"/>
        <w:rPr>
          <w:rFonts w:hint="eastAsia" w:ascii="宋体" w:hAnsi="宋体" w:cs="宋体" w:eastAsiaTheme="minorEastAsia"/>
          <w:color w:val="auto"/>
          <w:sz w:val="24"/>
          <w:szCs w:val="24"/>
          <w:highlight w:val="none"/>
          <w:u w:val="none"/>
          <w:lang w:eastAsia="zh-CN"/>
        </w:rPr>
      </w:pPr>
      <w:r>
        <w:rPr>
          <w:rFonts w:hint="eastAsia" w:ascii="宋体" w:hAnsi="宋体" w:cs="宋体"/>
          <w:color w:val="auto"/>
          <w:sz w:val="24"/>
          <w:szCs w:val="24"/>
          <w:highlight w:val="none"/>
        </w:rPr>
        <w:sym w:font="Wingdings 2" w:char="00A3"/>
      </w:r>
      <w:r>
        <w:rPr>
          <w:rFonts w:hint="eastAsia" w:ascii="宋体" w:hAnsi="宋体" w:cs="宋体"/>
          <w:color w:val="auto"/>
          <w:sz w:val="24"/>
          <w:szCs w:val="24"/>
          <w:highlight w:val="none"/>
          <w:lang w:eastAsia="zh-CN"/>
        </w:rPr>
        <w:t>标段一，</w:t>
      </w:r>
      <w:r>
        <w:rPr>
          <w:rFonts w:hint="eastAsia" w:ascii="宋体" w:hAnsi="宋体" w:cs="宋体"/>
          <w:color w:val="auto"/>
          <w:sz w:val="24"/>
          <w:szCs w:val="24"/>
          <w:highlight w:val="none"/>
        </w:rPr>
        <w:t>自</w:t>
      </w:r>
      <w:r>
        <w:rPr>
          <w:rFonts w:hint="eastAsia" w:ascii="宋体" w:hAnsi="宋体" w:cs="宋体"/>
          <w:color w:val="auto"/>
          <w:kern w:val="0"/>
          <w:sz w:val="24"/>
          <w:szCs w:val="24"/>
          <w:highlight w:val="none"/>
          <w:lang w:val="zh-CN"/>
        </w:rPr>
        <w:t>设备</w:t>
      </w:r>
      <w:r>
        <w:rPr>
          <w:rFonts w:hint="eastAsia" w:ascii="宋体" w:hAnsi="宋体" w:cs="宋体"/>
          <w:color w:val="auto"/>
          <w:kern w:val="0"/>
          <w:sz w:val="24"/>
          <w:szCs w:val="24"/>
          <w:highlight w:val="none"/>
        </w:rPr>
        <w:t>开箱</w:t>
      </w:r>
      <w:r>
        <w:rPr>
          <w:rFonts w:hint="eastAsia" w:ascii="宋体" w:hAnsi="宋体" w:cs="宋体"/>
          <w:color w:val="auto"/>
          <w:kern w:val="0"/>
          <w:sz w:val="24"/>
          <w:szCs w:val="24"/>
          <w:highlight w:val="none"/>
          <w:lang w:val="zh-CN"/>
        </w:rPr>
        <w:t>验收合格之日起</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2</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none"/>
        </w:rPr>
        <w:t>年</w:t>
      </w:r>
      <w:r>
        <w:rPr>
          <w:rFonts w:hint="eastAsia" w:ascii="宋体" w:hAnsi="宋体" w:cs="宋体"/>
          <w:color w:val="auto"/>
          <w:sz w:val="24"/>
          <w:szCs w:val="24"/>
          <w:highlight w:val="none"/>
          <w:u w:val="none"/>
          <w:lang w:eastAsia="zh-CN"/>
        </w:rPr>
        <w:t>，且不低于法定保修期。</w:t>
      </w:r>
    </w:p>
    <w:p>
      <w:pPr>
        <w:tabs>
          <w:tab w:val="left" w:pos="851"/>
        </w:tabs>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u w:val="none"/>
          <w:lang w:eastAsia="zh-CN"/>
        </w:rPr>
        <w:sym w:font="Wingdings 2" w:char="00A3"/>
      </w:r>
      <w:r>
        <w:rPr>
          <w:rFonts w:hint="eastAsia" w:ascii="宋体" w:hAnsi="宋体" w:cs="宋体"/>
          <w:color w:val="auto"/>
          <w:sz w:val="24"/>
          <w:szCs w:val="24"/>
          <w:highlight w:val="none"/>
          <w:u w:val="none"/>
          <w:lang w:eastAsia="zh-CN"/>
        </w:rPr>
        <w:t>标段二，自设备组织验收合格之日起</w:t>
      </w:r>
      <w:r>
        <w:rPr>
          <w:rFonts w:hint="eastAsia" w:ascii="宋体" w:hAnsi="宋体" w:cs="宋体"/>
          <w:color w:val="auto"/>
          <w:sz w:val="24"/>
          <w:szCs w:val="24"/>
          <w:highlight w:val="none"/>
          <w:u w:val="single"/>
          <w:lang w:val="en-US" w:eastAsia="zh-CN"/>
        </w:rPr>
        <w:t xml:space="preserve"> 2 </w:t>
      </w:r>
      <w:r>
        <w:rPr>
          <w:rFonts w:hint="eastAsia" w:ascii="宋体" w:hAnsi="宋体" w:cs="宋体"/>
          <w:color w:val="auto"/>
          <w:sz w:val="24"/>
          <w:szCs w:val="24"/>
          <w:highlight w:val="none"/>
          <w:u w:val="none"/>
          <w:lang w:val="en-US" w:eastAsia="zh-CN"/>
        </w:rPr>
        <w:t>年</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u w:val="none"/>
          <w:lang w:eastAsia="zh-CN"/>
        </w:rPr>
        <w:t>且不低于法定保修期</w:t>
      </w:r>
      <w:r>
        <w:rPr>
          <w:rFonts w:hint="eastAsia" w:ascii="宋体" w:hAnsi="宋体" w:cs="宋体"/>
          <w:color w:val="auto"/>
          <w:sz w:val="24"/>
          <w:szCs w:val="24"/>
          <w:highlight w:val="none"/>
          <w:lang w:eastAsia="zh-CN"/>
        </w:rPr>
        <w:t>。</w:t>
      </w:r>
      <w:r>
        <w:rPr>
          <w:rFonts w:ascii="宋体" w:hAnsi="宋体" w:cs="宋体"/>
          <w:color w:val="auto"/>
          <w:sz w:val="24"/>
          <w:szCs w:val="24"/>
          <w:highlight w:val="none"/>
        </w:rPr>
        <w:t xml:space="preserve">                                 </w:t>
      </w:r>
    </w:p>
    <w:p>
      <w:pPr>
        <w:tabs>
          <w:tab w:val="left" w:pos="851"/>
        </w:tabs>
        <w:adjustRightInd w:val="0"/>
        <w:snapToGrid w:val="0"/>
        <w:spacing w:line="360" w:lineRule="auto"/>
        <w:ind w:firstLine="480" w:firstLineChars="200"/>
        <w:rPr>
          <w:rFonts w:hint="eastAsia" w:ascii="宋体" w:hAnsi="宋体" w:cs="宋体"/>
          <w:color w:val="auto"/>
          <w:kern w:val="0"/>
          <w:sz w:val="24"/>
          <w:szCs w:val="24"/>
          <w:highlight w:val="none"/>
          <w:lang w:val="zh-CN"/>
        </w:rPr>
      </w:pPr>
      <w:r>
        <w:rPr>
          <w:rFonts w:ascii="宋体" w:hAnsi="宋体" w:cs="宋体"/>
          <w:color w:val="auto"/>
          <w:sz w:val="24"/>
          <w:szCs w:val="24"/>
          <w:highlight w:val="none"/>
        </w:rPr>
        <w:t>10.2</w:t>
      </w:r>
      <w:r>
        <w:rPr>
          <w:rFonts w:hint="eastAsia" w:ascii="宋体" w:hAnsi="宋体" w:cs="宋体"/>
          <w:color w:val="auto"/>
          <w:kern w:val="0"/>
          <w:sz w:val="24"/>
          <w:szCs w:val="24"/>
          <w:highlight w:val="none"/>
        </w:rPr>
        <w:t>保修</w:t>
      </w:r>
      <w:r>
        <w:rPr>
          <w:rFonts w:hint="eastAsia" w:ascii="宋体" w:hAnsi="宋体" w:cs="宋体"/>
          <w:color w:val="auto"/>
          <w:kern w:val="0"/>
          <w:sz w:val="24"/>
          <w:szCs w:val="24"/>
          <w:highlight w:val="none"/>
          <w:lang w:val="zh-CN"/>
        </w:rPr>
        <w:t>期内，乙方应对设备质量问题负责。</w:t>
      </w:r>
    </w:p>
    <w:p>
      <w:pPr>
        <w:tabs>
          <w:tab w:val="left" w:pos="851"/>
        </w:tabs>
        <w:adjustRightInd w:val="0"/>
        <w:snapToGrid w:val="0"/>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 xml:space="preserve">10.3 </w:t>
      </w:r>
      <w:r>
        <w:rPr>
          <w:rFonts w:hint="eastAsia" w:ascii="宋体" w:hAnsi="宋体" w:cs="宋体"/>
          <w:bCs/>
          <w:color w:val="auto"/>
          <w:sz w:val="24"/>
          <w:szCs w:val="24"/>
          <w:highlight w:val="none"/>
        </w:rPr>
        <w:t>保修期间由于设备本身原因产生的故障仍属质保范围，对更换或维修过的零部件从更换或维修完成并验收合格之日起，质量保修期重新计算。</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10.4 </w:t>
      </w:r>
      <w:r>
        <w:rPr>
          <w:rFonts w:hint="eastAsia" w:ascii="宋体" w:hAnsi="宋体" w:cs="宋体"/>
          <w:bCs/>
          <w:color w:val="auto"/>
          <w:sz w:val="24"/>
          <w:szCs w:val="24"/>
          <w:highlight w:val="none"/>
        </w:rPr>
        <w:t>质量保修期间，如合同设备出现故障，乙方应在接到甲方通知后</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2</w:t>
      </w:r>
      <w:r>
        <w:rPr>
          <w:rFonts w:ascii="宋体" w:hAnsi="宋体" w:cs="宋体"/>
          <w:bCs/>
          <w:color w:val="auto"/>
          <w:sz w:val="24"/>
          <w:szCs w:val="24"/>
          <w:highlight w:val="none"/>
          <w:u w:val="single"/>
        </w:rPr>
        <w:t xml:space="preserve"> </w:t>
      </w:r>
      <w:r>
        <w:rPr>
          <w:rFonts w:ascii="宋体" w:hAnsi="宋体" w:cs="宋体"/>
          <w:bCs/>
          <w:color w:val="auto"/>
          <w:sz w:val="24"/>
          <w:szCs w:val="24"/>
          <w:highlight w:val="none"/>
        </w:rPr>
        <w:t xml:space="preserve">  </w:t>
      </w:r>
      <w:r>
        <w:rPr>
          <w:rFonts w:hint="eastAsia" w:ascii="宋体" w:hAnsi="宋体" w:cs="宋体"/>
          <w:bCs/>
          <w:color w:val="auto"/>
          <w:sz w:val="24"/>
          <w:szCs w:val="24"/>
          <w:highlight w:val="none"/>
        </w:rPr>
        <w:t>小时内通过电话、网络等提供远程技术指导，如甲方需要乙方到场的，乙方应在收到甲方通知后</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48</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小时内派专业技术人员到场负责解决及维修故障。</w:t>
      </w:r>
      <w:bookmarkEnd w:id="113"/>
      <w:bookmarkEnd w:id="114"/>
      <w:bookmarkEnd w:id="115"/>
      <w:bookmarkStart w:id="116" w:name="_Toc474245223"/>
      <w:bookmarkStart w:id="117" w:name="_Toc306350464"/>
      <w:bookmarkStart w:id="118" w:name="_Toc183666528"/>
      <w:bookmarkStart w:id="119" w:name="_Toc520190037"/>
      <w:bookmarkStart w:id="120" w:name="_Toc107447250"/>
      <w:bookmarkStart w:id="121" w:name="_Toc518992997"/>
      <w:bookmarkStart w:id="122" w:name="_Toc107446857"/>
      <w:bookmarkStart w:id="123" w:name="_Toc27734"/>
      <w:r>
        <w:rPr>
          <w:rFonts w:hint="eastAsia" w:ascii="宋体" w:hAnsi="宋体" w:cs="宋体"/>
          <w:bCs/>
          <w:color w:val="auto"/>
          <w:sz w:val="24"/>
          <w:szCs w:val="24"/>
          <w:highlight w:val="none"/>
        </w:rPr>
        <w:t>如果乙方不按时到场维修或到场后不能修复的，甲方有权委托他人予以维修，乙方承担由此发生的费用并支付</w:t>
      </w:r>
      <w:r>
        <w:rPr>
          <w:rFonts w:hint="eastAsia" w:ascii="宋体" w:hAnsi="宋体" w:cs="宋体"/>
          <w:bCs/>
          <w:color w:val="auto"/>
          <w:sz w:val="24"/>
          <w:szCs w:val="24"/>
          <w:highlight w:val="none"/>
          <w:u w:val="single"/>
        </w:rPr>
        <w:t>合同暂定总价</w:t>
      </w:r>
      <w:r>
        <w:rPr>
          <w:rFonts w:ascii="宋体" w:hAnsi="宋体" w:cs="宋体"/>
          <w:bCs/>
          <w:color w:val="auto"/>
          <w:sz w:val="24"/>
          <w:szCs w:val="24"/>
          <w:highlight w:val="none"/>
          <w:u w:val="single"/>
        </w:rPr>
        <w:t>10%/次</w:t>
      </w:r>
      <w:r>
        <w:rPr>
          <w:rFonts w:hint="eastAsia" w:ascii="宋体" w:hAnsi="宋体" w:cs="宋体"/>
          <w:bCs/>
          <w:color w:val="auto"/>
          <w:sz w:val="24"/>
          <w:szCs w:val="24"/>
          <w:highlight w:val="none"/>
        </w:rPr>
        <w:t>作为违约金。</w:t>
      </w:r>
    </w:p>
    <w:p>
      <w:pPr>
        <w:spacing w:line="360" w:lineRule="auto"/>
        <w:ind w:firstLine="482"/>
        <w:rPr>
          <w:rFonts w:ascii="宋体" w:hAnsi="宋体" w:cs="宋体"/>
          <w:bCs/>
          <w:color w:val="auto"/>
          <w:sz w:val="24"/>
          <w:szCs w:val="24"/>
          <w:highlight w:val="none"/>
        </w:rPr>
      </w:pPr>
      <w:r>
        <w:rPr>
          <w:rFonts w:hint="eastAsia" w:ascii="宋体" w:hAnsi="宋体" w:cs="宋体"/>
          <w:b/>
          <w:color w:val="auto"/>
          <w:sz w:val="24"/>
          <w:szCs w:val="24"/>
          <w:highlight w:val="none"/>
        </w:rPr>
        <w:t>第十一条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违约责任</w:t>
      </w:r>
      <w:bookmarkEnd w:id="116"/>
      <w:bookmarkEnd w:id="117"/>
      <w:bookmarkEnd w:id="118"/>
      <w:bookmarkEnd w:id="119"/>
      <w:bookmarkEnd w:id="120"/>
      <w:bookmarkEnd w:id="121"/>
      <w:bookmarkEnd w:id="122"/>
      <w:bookmarkEnd w:id="123"/>
    </w:p>
    <w:p>
      <w:pPr>
        <w:spacing w:line="360" w:lineRule="auto"/>
        <w:ind w:firstLine="482"/>
        <w:rPr>
          <w:rFonts w:ascii="宋体" w:hAnsi="宋体" w:cs="宋体"/>
          <w:bCs/>
          <w:color w:val="auto"/>
          <w:sz w:val="24"/>
          <w:szCs w:val="24"/>
          <w:highlight w:val="none"/>
        </w:rPr>
      </w:pPr>
      <w:bookmarkStart w:id="124" w:name="_Toc306350465"/>
      <w:bookmarkStart w:id="125" w:name="_Toc5166"/>
      <w:bookmarkStart w:id="126" w:name="_Toc183666529"/>
      <w:r>
        <w:rPr>
          <w:rFonts w:ascii="宋体" w:hAnsi="宋体" w:cs="宋体"/>
          <w:bCs/>
          <w:color w:val="auto"/>
          <w:sz w:val="24"/>
          <w:szCs w:val="24"/>
          <w:highlight w:val="none"/>
        </w:rPr>
        <w:t xml:space="preserve">11.1 </w:t>
      </w:r>
      <w:r>
        <w:rPr>
          <w:rFonts w:hint="eastAsia" w:ascii="宋体" w:hAnsi="宋体" w:cs="宋体"/>
          <w:bCs/>
          <w:color w:val="auto"/>
          <w:sz w:val="24"/>
          <w:szCs w:val="24"/>
          <w:highlight w:val="none"/>
        </w:rPr>
        <w:t>延期交货的违约责任</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11.1.1 </w:t>
      </w:r>
      <w:r>
        <w:rPr>
          <w:rFonts w:hint="eastAsia" w:ascii="宋体" w:hAnsi="宋体" w:cs="宋体"/>
          <w:bCs/>
          <w:color w:val="auto"/>
          <w:sz w:val="24"/>
          <w:szCs w:val="24"/>
          <w:highlight w:val="none"/>
        </w:rPr>
        <w:t>乙方应按照本合同约定的时间交货。如乙方因客观情况导致无法按时交货，乙方应在交货期前</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5</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日，以书面形式将原因及预计拖延的时间通知甲方。经甲方同意后，交货期顺延。</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11.1.2</w:t>
      </w:r>
      <w:r>
        <w:rPr>
          <w:rFonts w:hint="eastAsia" w:ascii="宋体" w:hAnsi="宋体" w:cs="宋体"/>
          <w:bCs/>
          <w:color w:val="auto"/>
          <w:sz w:val="24"/>
          <w:szCs w:val="24"/>
          <w:highlight w:val="none"/>
        </w:rPr>
        <w:t>乙方未能在合同规定期限内交货并交付完整技术资料的，每逾期一天，甲方有权按迟</w:t>
      </w:r>
      <w:r>
        <w:rPr>
          <w:rFonts w:hint="eastAsia" w:ascii="宋体" w:hAnsi="宋体" w:cs="宋体"/>
          <w:bCs/>
          <w:color w:val="auto"/>
          <w:sz w:val="24"/>
          <w:szCs w:val="24"/>
          <w:highlight w:val="none"/>
          <w:u w:val="single"/>
        </w:rPr>
        <w:t>交货设备价格的</w:t>
      </w:r>
      <w:r>
        <w:rPr>
          <w:rFonts w:ascii="宋体" w:hAnsi="宋体" w:cs="宋体"/>
          <w:bCs/>
          <w:color w:val="auto"/>
          <w:sz w:val="24"/>
          <w:szCs w:val="24"/>
          <w:highlight w:val="none"/>
          <w:u w:val="single"/>
        </w:rPr>
        <w:t>1%/</w:t>
      </w:r>
      <w:r>
        <w:rPr>
          <w:rFonts w:hint="eastAsia" w:ascii="宋体" w:hAnsi="宋体" w:cs="宋体"/>
          <w:bCs/>
          <w:color w:val="auto"/>
          <w:sz w:val="24"/>
          <w:szCs w:val="24"/>
          <w:highlight w:val="none"/>
          <w:u w:val="single"/>
        </w:rPr>
        <w:t>天</w:t>
      </w:r>
      <w:r>
        <w:rPr>
          <w:rFonts w:hint="eastAsia" w:ascii="宋体" w:hAnsi="宋体" w:cs="宋体"/>
          <w:bCs/>
          <w:color w:val="auto"/>
          <w:sz w:val="24"/>
          <w:szCs w:val="24"/>
          <w:highlight w:val="none"/>
        </w:rPr>
        <w:t>要求乙方支付违约金。逾期超过</w:t>
      </w:r>
      <w:r>
        <w:rPr>
          <w:rFonts w:ascii="宋体" w:hAnsi="宋体" w:cs="宋体"/>
          <w:bCs/>
          <w:color w:val="auto"/>
          <w:sz w:val="24"/>
          <w:szCs w:val="24"/>
          <w:highlight w:val="none"/>
          <w:u w:val="single"/>
        </w:rPr>
        <w:t xml:space="preserve"> 15 </w:t>
      </w:r>
      <w:r>
        <w:rPr>
          <w:rFonts w:hint="eastAsia" w:ascii="宋体" w:hAnsi="宋体" w:cs="宋体"/>
          <w:bCs/>
          <w:color w:val="auto"/>
          <w:sz w:val="24"/>
          <w:szCs w:val="24"/>
          <w:highlight w:val="none"/>
        </w:rPr>
        <w:t>天，甲方有权解除合同，要求乙方支付迟延违约金并在</w:t>
      </w:r>
      <w:r>
        <w:rPr>
          <w:rFonts w:ascii="宋体" w:hAnsi="宋体" w:cs="宋体"/>
          <w:bCs/>
          <w:color w:val="auto"/>
          <w:sz w:val="24"/>
          <w:szCs w:val="24"/>
          <w:highlight w:val="none"/>
        </w:rPr>
        <w:t>3</w:t>
      </w:r>
      <w:r>
        <w:rPr>
          <w:rFonts w:hint="eastAsia" w:ascii="宋体" w:hAnsi="宋体" w:cs="宋体"/>
          <w:bCs/>
          <w:color w:val="auto"/>
          <w:sz w:val="24"/>
          <w:szCs w:val="24"/>
          <w:highlight w:val="none"/>
        </w:rPr>
        <w:t>天内退回预付款及利息（如有），且扣除乙方履约担保全部金额（如有）。如由于乙方逾期交货对甲方生产造成影响，甲方有权要求乙方赔偿损失。</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11.2 </w:t>
      </w:r>
      <w:r>
        <w:rPr>
          <w:rFonts w:hint="eastAsia" w:ascii="宋体" w:hAnsi="宋体" w:cs="宋体"/>
          <w:bCs/>
          <w:color w:val="auto"/>
          <w:sz w:val="24"/>
          <w:szCs w:val="24"/>
          <w:highlight w:val="none"/>
        </w:rPr>
        <w:t>质量问题的违约责任</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11.2.1 </w:t>
      </w:r>
      <w:r>
        <w:rPr>
          <w:rFonts w:hint="eastAsia" w:ascii="宋体" w:hAnsi="宋体" w:cs="宋体"/>
          <w:bCs/>
          <w:color w:val="auto"/>
          <w:sz w:val="24"/>
          <w:szCs w:val="24"/>
          <w:highlight w:val="none"/>
        </w:rPr>
        <w:t>自乙方交货后至质量保修期满的期间内，甲方经检查发现或合同设备经安装、调试、试车或运行显示，合同设备或其任何部件存在质量问题，达不到本合同技术要求。甲方有权要求乙方采取下列一种或多种方式予以解决：</w:t>
      </w:r>
    </w:p>
    <w:p>
      <w:pPr>
        <w:spacing w:line="360" w:lineRule="auto"/>
        <w:ind w:firstLine="482"/>
        <w:rPr>
          <w:rFonts w:ascii="宋体" w:hAnsi="宋体" w:cs="宋体"/>
          <w:bCs/>
          <w:color w:val="auto"/>
          <w:sz w:val="24"/>
          <w:szCs w:val="24"/>
          <w:highlight w:val="none"/>
        </w:rPr>
      </w:pPr>
      <w:r>
        <w:rPr>
          <w:rFonts w:hint="eastAsia" w:ascii="宋体" w:hAnsi="宋体" w:cs="宋体"/>
          <w:bCs/>
          <w:color w:val="auto"/>
          <w:sz w:val="24"/>
          <w:szCs w:val="24"/>
          <w:highlight w:val="none"/>
        </w:rPr>
        <w:t>（</w:t>
      </w:r>
      <w:r>
        <w:rPr>
          <w:rFonts w:ascii="宋体" w:hAnsi="宋体" w:cs="宋体"/>
          <w:bCs/>
          <w:color w:val="auto"/>
          <w:sz w:val="24"/>
          <w:szCs w:val="24"/>
          <w:highlight w:val="none"/>
        </w:rPr>
        <w:t>1</w:t>
      </w:r>
      <w:r>
        <w:rPr>
          <w:rFonts w:hint="eastAsia" w:ascii="宋体" w:hAnsi="宋体" w:cs="宋体"/>
          <w:bCs/>
          <w:color w:val="auto"/>
          <w:sz w:val="24"/>
          <w:szCs w:val="24"/>
          <w:highlight w:val="none"/>
        </w:rPr>
        <w:t>）乙方承担费用，用合格的新设备更换有缺陷的设备或修补缺陷部分；</w:t>
      </w:r>
    </w:p>
    <w:p>
      <w:pPr>
        <w:spacing w:line="360" w:lineRule="auto"/>
        <w:ind w:firstLine="482"/>
        <w:rPr>
          <w:rFonts w:ascii="宋体" w:hAnsi="宋体" w:cs="宋体"/>
          <w:bCs/>
          <w:color w:val="auto"/>
          <w:sz w:val="24"/>
          <w:szCs w:val="24"/>
          <w:highlight w:val="none"/>
        </w:rPr>
      </w:pPr>
      <w:r>
        <w:rPr>
          <w:rFonts w:hint="eastAsia" w:ascii="宋体" w:hAnsi="宋体" w:cs="宋体"/>
          <w:bCs/>
          <w:color w:val="auto"/>
          <w:sz w:val="24"/>
          <w:szCs w:val="24"/>
          <w:highlight w:val="none"/>
        </w:rPr>
        <w:t>（</w:t>
      </w:r>
      <w:r>
        <w:rPr>
          <w:rFonts w:ascii="宋体" w:hAnsi="宋体" w:cs="宋体"/>
          <w:bCs/>
          <w:color w:val="auto"/>
          <w:sz w:val="24"/>
          <w:szCs w:val="24"/>
          <w:highlight w:val="none"/>
        </w:rPr>
        <w:t>2</w:t>
      </w:r>
      <w:r>
        <w:rPr>
          <w:rFonts w:hint="eastAsia" w:ascii="宋体" w:hAnsi="宋体" w:cs="宋体"/>
          <w:bCs/>
          <w:color w:val="auto"/>
          <w:sz w:val="24"/>
          <w:szCs w:val="24"/>
          <w:highlight w:val="none"/>
        </w:rPr>
        <w:t>）退还设备，同时将甲方已经支付的合同价款全额退还甲方，并承担甲方因履行本合同而支出的一切费用，包括但不限于利息、银行手续费、仓储费、卸货费以及因退回设备所需的其他费用。</w:t>
      </w:r>
    </w:p>
    <w:p>
      <w:pPr>
        <w:spacing w:line="360" w:lineRule="auto"/>
        <w:ind w:firstLine="482"/>
        <w:rPr>
          <w:rFonts w:ascii="宋体" w:hAnsi="宋体" w:cs="宋体"/>
          <w:bCs/>
          <w:color w:val="auto"/>
          <w:sz w:val="24"/>
          <w:szCs w:val="24"/>
          <w:highlight w:val="none"/>
        </w:rPr>
      </w:pPr>
      <w:r>
        <w:rPr>
          <w:rFonts w:hint="eastAsia" w:ascii="宋体" w:hAnsi="宋体" w:cs="宋体"/>
          <w:bCs/>
          <w:color w:val="auto"/>
          <w:sz w:val="24"/>
          <w:szCs w:val="24"/>
          <w:highlight w:val="none"/>
        </w:rPr>
        <w:t>（</w:t>
      </w:r>
      <w:r>
        <w:rPr>
          <w:rFonts w:ascii="宋体" w:hAnsi="宋体" w:cs="宋体"/>
          <w:bCs/>
          <w:color w:val="auto"/>
          <w:sz w:val="24"/>
          <w:szCs w:val="24"/>
          <w:highlight w:val="none"/>
        </w:rPr>
        <w:t>3</w:t>
      </w:r>
      <w:r>
        <w:rPr>
          <w:rFonts w:hint="eastAsia" w:ascii="宋体" w:hAnsi="宋体" w:cs="宋体"/>
          <w:bCs/>
          <w:color w:val="auto"/>
          <w:sz w:val="24"/>
          <w:szCs w:val="24"/>
          <w:highlight w:val="none"/>
        </w:rPr>
        <w:t>）按不合格设备价格的</w:t>
      </w:r>
      <w:r>
        <w:rPr>
          <w:rFonts w:ascii="宋体" w:hAnsi="宋体" w:cs="宋体"/>
          <w:bCs/>
          <w:color w:val="auto"/>
          <w:sz w:val="24"/>
          <w:szCs w:val="24"/>
          <w:highlight w:val="none"/>
          <w:u w:val="single"/>
        </w:rPr>
        <w:t>50</w:t>
      </w:r>
      <w:r>
        <w:rPr>
          <w:rFonts w:ascii="宋体" w:hAnsi="宋体" w:cs="宋体"/>
          <w:bCs/>
          <w:color w:val="auto"/>
          <w:sz w:val="24"/>
          <w:szCs w:val="24"/>
          <w:highlight w:val="none"/>
        </w:rPr>
        <w:t>%</w:t>
      </w:r>
      <w:r>
        <w:rPr>
          <w:rFonts w:hint="eastAsia" w:ascii="宋体" w:hAnsi="宋体" w:cs="宋体"/>
          <w:bCs/>
          <w:color w:val="auto"/>
          <w:sz w:val="24"/>
          <w:szCs w:val="24"/>
          <w:highlight w:val="none"/>
        </w:rPr>
        <w:t>支付违约金。</w:t>
      </w:r>
    </w:p>
    <w:p>
      <w:pPr>
        <w:numPr>
          <w:ilvl w:val="255"/>
          <w:numId w:val="0"/>
        </w:num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w:t>
      </w:r>
      <w:r>
        <w:rPr>
          <w:rFonts w:ascii="宋体" w:hAnsi="宋体" w:cs="宋体"/>
          <w:bCs/>
          <w:color w:val="auto"/>
          <w:sz w:val="24"/>
          <w:szCs w:val="24"/>
          <w:highlight w:val="none"/>
        </w:rPr>
        <w:t>4</w:t>
      </w:r>
      <w:r>
        <w:rPr>
          <w:rFonts w:hint="eastAsia" w:ascii="宋体" w:hAnsi="宋体" w:cs="宋体"/>
          <w:bCs/>
          <w:color w:val="auto"/>
          <w:sz w:val="24"/>
          <w:szCs w:val="24"/>
          <w:highlight w:val="none"/>
        </w:rPr>
        <w:t>）赔偿甲方因设备质量问题导致的一切损失。</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11.2.2 </w:t>
      </w:r>
      <w:r>
        <w:rPr>
          <w:rFonts w:hint="eastAsia" w:ascii="宋体" w:hAnsi="宋体" w:cs="宋体"/>
          <w:bCs/>
          <w:color w:val="auto"/>
          <w:sz w:val="24"/>
          <w:szCs w:val="24"/>
          <w:highlight w:val="none"/>
        </w:rPr>
        <w:t>如果乙方提供的技术资料有错误，或者由于乙方技术人员原因造成设备安装、调试不成功和（或）造成合同设备损坏的情况，乙方应在</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eastAsia="zh-CN"/>
        </w:rPr>
        <w:t>4</w:t>
      </w:r>
      <w:r>
        <w:rPr>
          <w:rFonts w:hint="eastAsia" w:ascii="宋体" w:hAnsi="宋体" w:cs="宋体"/>
          <w:bCs/>
          <w:color w:val="auto"/>
          <w:sz w:val="24"/>
          <w:szCs w:val="24"/>
          <w:highlight w:val="none"/>
          <w:u w:val="single"/>
          <w:lang w:val="en-US" w:eastAsia="zh-CN"/>
        </w:rPr>
        <w:t>8</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小时内采取修理、更换、退货等补救措施并负担因此发生的费用，同时需向甲方支付</w:t>
      </w:r>
      <w:r>
        <w:rPr>
          <w:rFonts w:hint="eastAsia" w:ascii="宋体" w:hAnsi="宋体" w:cs="宋体"/>
          <w:bCs/>
          <w:color w:val="auto"/>
          <w:sz w:val="24"/>
          <w:szCs w:val="24"/>
          <w:highlight w:val="none"/>
          <w:u w:val="single"/>
        </w:rPr>
        <w:t>不合格设备价格的</w:t>
      </w:r>
      <w:r>
        <w:rPr>
          <w:rFonts w:ascii="宋体" w:hAnsi="宋体" w:cs="宋体"/>
          <w:bCs/>
          <w:color w:val="auto"/>
          <w:sz w:val="24"/>
          <w:szCs w:val="24"/>
          <w:highlight w:val="none"/>
          <w:u w:val="single"/>
        </w:rPr>
        <w:t xml:space="preserve"> 50 </w:t>
      </w:r>
      <w:r>
        <w:rPr>
          <w:rFonts w:ascii="宋体" w:hAnsi="宋体" w:cs="宋体"/>
          <w:bCs/>
          <w:color w:val="auto"/>
          <w:sz w:val="24"/>
          <w:szCs w:val="24"/>
          <w:highlight w:val="none"/>
        </w:rPr>
        <w:t>%</w:t>
      </w:r>
      <w:r>
        <w:rPr>
          <w:rFonts w:hint="eastAsia" w:ascii="宋体" w:hAnsi="宋体" w:cs="宋体"/>
          <w:bCs/>
          <w:color w:val="auto"/>
          <w:sz w:val="24"/>
          <w:szCs w:val="24"/>
          <w:highlight w:val="none"/>
        </w:rPr>
        <w:t>作为违约金。</w:t>
      </w:r>
    </w:p>
    <w:p>
      <w:pPr>
        <w:spacing w:line="360" w:lineRule="auto"/>
        <w:ind w:firstLine="482"/>
        <w:rPr>
          <w:rFonts w:ascii="宋体" w:hAnsi="宋体" w:cs="宋体"/>
          <w:color w:val="auto"/>
          <w:sz w:val="24"/>
          <w:szCs w:val="24"/>
          <w:highlight w:val="none"/>
        </w:rPr>
      </w:pPr>
      <w:r>
        <w:rPr>
          <w:rFonts w:ascii="宋体" w:hAnsi="宋体" w:cs="宋体"/>
          <w:bCs/>
          <w:color w:val="auto"/>
          <w:sz w:val="24"/>
          <w:szCs w:val="24"/>
          <w:highlight w:val="none"/>
        </w:rPr>
        <w:t xml:space="preserve">11.2.3 </w:t>
      </w:r>
      <w:r>
        <w:rPr>
          <w:rFonts w:hint="eastAsia" w:ascii="宋体" w:hAnsi="宋体" w:cs="宋体"/>
          <w:bCs/>
          <w:color w:val="auto"/>
          <w:sz w:val="24"/>
          <w:szCs w:val="24"/>
          <w:highlight w:val="none"/>
        </w:rPr>
        <w:t>在开箱检验、或使用过程中发现乙方提交的合同设备为贴牌、假冒、伪劣、翻新产品，或生产组成合同设备的原材料、配件是贴牌、假冒、伪劣货物时，乙方应在甲方通知之日自行收回设备，甲方不负保管责任，设备毁损灭失风险自甲方通知之时起由乙方承担，乙方将已支付款项（含预付款）退还甲方，并按</w:t>
      </w:r>
      <w:r>
        <w:rPr>
          <w:rFonts w:hint="eastAsia" w:ascii="宋体" w:hAnsi="宋体" w:cs="宋体"/>
          <w:bCs/>
          <w:color w:val="auto"/>
          <w:sz w:val="24"/>
          <w:szCs w:val="24"/>
          <w:highlight w:val="none"/>
          <w:u w:val="single"/>
        </w:rPr>
        <w:t>合同暂定总价的</w:t>
      </w:r>
      <w:r>
        <w:rPr>
          <w:rFonts w:ascii="宋体" w:hAnsi="宋体" w:cs="宋体"/>
          <w:bCs/>
          <w:color w:val="auto"/>
          <w:sz w:val="24"/>
          <w:szCs w:val="24"/>
          <w:highlight w:val="none"/>
          <w:u w:val="single"/>
        </w:rPr>
        <w:t xml:space="preserve"> 100 %</w:t>
      </w:r>
      <w:r>
        <w:rPr>
          <w:rFonts w:hint="eastAsia" w:ascii="宋体" w:hAnsi="宋体" w:cs="宋体"/>
          <w:bCs/>
          <w:color w:val="auto"/>
          <w:sz w:val="24"/>
          <w:szCs w:val="24"/>
          <w:highlight w:val="none"/>
        </w:rPr>
        <w:t>支付违约金。</w:t>
      </w:r>
    </w:p>
    <w:p>
      <w:pPr>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11.2.4 </w:t>
      </w:r>
      <w:r>
        <w:rPr>
          <w:rFonts w:hint="eastAsia" w:ascii="宋体" w:hAnsi="宋体" w:cs="宋体"/>
          <w:color w:val="auto"/>
          <w:sz w:val="24"/>
          <w:szCs w:val="24"/>
          <w:highlight w:val="none"/>
        </w:rPr>
        <w:t>在合同设备设计使用寿命期内，如果乙方发现合同设备由于设计、制造、标识等原因存在足以危及人身、财产安全的缺陷，应及时通知甲方并采取修正或者补充标识、修理、更换等措施消除缺陷，因设备缺陷造成的一切损害，乙方应承担全部赔偿责任。</w:t>
      </w:r>
    </w:p>
    <w:p>
      <w:pPr>
        <w:spacing w:line="360" w:lineRule="auto"/>
        <w:ind w:firstLine="482"/>
        <w:rPr>
          <w:rFonts w:ascii="宋体" w:hAnsi="宋体" w:cs="宋体"/>
          <w:color w:val="auto"/>
          <w:sz w:val="24"/>
          <w:szCs w:val="24"/>
          <w:highlight w:val="none"/>
        </w:rPr>
      </w:pPr>
      <w:r>
        <w:rPr>
          <w:rFonts w:ascii="宋体" w:hAnsi="宋体" w:cs="宋体"/>
          <w:bCs/>
          <w:color w:val="auto"/>
          <w:sz w:val="24"/>
          <w:szCs w:val="24"/>
          <w:highlight w:val="none"/>
        </w:rPr>
        <w:t>11.</w:t>
      </w:r>
      <w:r>
        <w:rPr>
          <w:rFonts w:hint="eastAsia" w:ascii="宋体" w:hAnsi="宋体" w:cs="宋体"/>
          <w:bCs/>
          <w:color w:val="auto"/>
          <w:sz w:val="24"/>
          <w:szCs w:val="24"/>
          <w:highlight w:val="none"/>
          <w:lang w:eastAsia="zh-CN"/>
        </w:rPr>
        <w:t>3</w:t>
      </w:r>
      <w:r>
        <w:rPr>
          <w:rFonts w:ascii="宋体" w:hAnsi="宋体" w:cs="宋体"/>
          <w:bCs/>
          <w:color w:val="auto"/>
          <w:sz w:val="24"/>
          <w:szCs w:val="24"/>
          <w:highlight w:val="none"/>
        </w:rPr>
        <w:t xml:space="preserve"> </w:t>
      </w:r>
      <w:r>
        <w:rPr>
          <w:rFonts w:hint="eastAsia" w:ascii="宋体" w:hAnsi="宋体" w:cs="宋体"/>
          <w:bCs/>
          <w:color w:val="auto"/>
          <w:sz w:val="24"/>
          <w:szCs w:val="24"/>
          <w:highlight w:val="none"/>
        </w:rPr>
        <w:t>如双方对质量责任认定有争议，</w:t>
      </w:r>
      <w:r>
        <w:rPr>
          <w:rFonts w:hint="eastAsia" w:ascii="宋体" w:hAnsi="宋体" w:cs="宋体"/>
          <w:color w:val="auto"/>
          <w:sz w:val="24"/>
          <w:szCs w:val="24"/>
          <w:highlight w:val="none"/>
        </w:rPr>
        <w:t>由甲方委托具备相关资质的第三方质检机构出具质检报告。因第三方质检机构产生的费用先由乙方支付，如果检验结果为不合格，则该费用由乙方承担，如果检验结果为合格，则该费用由甲方承担。</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11.</w:t>
      </w:r>
      <w:r>
        <w:rPr>
          <w:rFonts w:hint="eastAsia" w:ascii="宋体" w:hAnsi="宋体" w:cs="宋体"/>
          <w:bCs/>
          <w:color w:val="auto"/>
          <w:sz w:val="24"/>
          <w:szCs w:val="24"/>
          <w:highlight w:val="none"/>
          <w:lang w:eastAsia="zh-CN"/>
        </w:rPr>
        <w:t>4</w:t>
      </w:r>
      <w:r>
        <w:rPr>
          <w:rFonts w:ascii="宋体" w:hAnsi="宋体" w:cs="宋体"/>
          <w:bCs/>
          <w:color w:val="auto"/>
          <w:sz w:val="24"/>
          <w:szCs w:val="24"/>
          <w:highlight w:val="none"/>
        </w:rPr>
        <w:t>乙方不履行合同义务、或履行合同义务不符合合同约定、或违反国家、省、市行业标准的，甲方有权要求乙方限期整改。乙方逾期未完成整改的，每项每超过1日支付违约金人民币1万元，超过</w:t>
      </w:r>
      <w:r>
        <w:rPr>
          <w:rFonts w:ascii="宋体" w:hAnsi="宋体" w:cs="宋体"/>
          <w:bCs/>
          <w:color w:val="auto"/>
          <w:sz w:val="24"/>
          <w:szCs w:val="24"/>
          <w:highlight w:val="none"/>
          <w:u w:val="single"/>
        </w:rPr>
        <w:t>_</w:t>
      </w:r>
      <w:r>
        <w:rPr>
          <w:rFonts w:hint="eastAsia" w:ascii="宋体" w:hAnsi="宋体" w:cs="宋体"/>
          <w:bCs/>
          <w:color w:val="auto"/>
          <w:sz w:val="24"/>
          <w:szCs w:val="24"/>
          <w:highlight w:val="none"/>
          <w:u w:val="single"/>
          <w:lang w:eastAsia="zh-CN"/>
        </w:rPr>
        <w:t>1</w:t>
      </w:r>
      <w:r>
        <w:rPr>
          <w:rFonts w:hint="eastAsia" w:ascii="宋体" w:hAnsi="宋体" w:cs="宋体"/>
          <w:bCs/>
          <w:color w:val="auto"/>
          <w:sz w:val="24"/>
          <w:szCs w:val="24"/>
          <w:highlight w:val="none"/>
          <w:u w:val="single"/>
          <w:lang w:val="en-US" w:eastAsia="zh-CN"/>
        </w:rPr>
        <w:t>5</w:t>
      </w:r>
      <w:r>
        <w:rPr>
          <w:rFonts w:ascii="宋体" w:hAnsi="宋体" w:cs="宋体"/>
          <w:bCs/>
          <w:color w:val="auto"/>
          <w:sz w:val="24"/>
          <w:szCs w:val="24"/>
          <w:highlight w:val="none"/>
          <w:u w:val="single"/>
        </w:rPr>
        <w:t xml:space="preserve"> _</w:t>
      </w:r>
      <w:r>
        <w:rPr>
          <w:rFonts w:ascii="宋体" w:hAnsi="宋体" w:cs="宋体"/>
          <w:bCs/>
          <w:color w:val="auto"/>
          <w:sz w:val="24"/>
          <w:szCs w:val="24"/>
          <w:highlight w:val="none"/>
        </w:rPr>
        <w:t>日，甲方有权解除合同并要求乙方支付</w:t>
      </w:r>
      <w:r>
        <w:rPr>
          <w:rFonts w:hint="eastAsia" w:ascii="宋体" w:hAnsi="宋体" w:cs="宋体"/>
          <w:bCs/>
          <w:color w:val="auto"/>
          <w:sz w:val="24"/>
          <w:szCs w:val="24"/>
          <w:highlight w:val="none"/>
          <w:u w:val="single"/>
        </w:rPr>
        <w:t>合同暂定总价</w:t>
      </w:r>
      <w:r>
        <w:rPr>
          <w:rFonts w:ascii="宋体" w:hAnsi="宋体" w:cs="宋体"/>
          <w:bCs/>
          <w:color w:val="auto"/>
          <w:sz w:val="24"/>
          <w:szCs w:val="24"/>
          <w:highlight w:val="none"/>
          <w:u w:val="single"/>
        </w:rPr>
        <w:t>的20%</w:t>
      </w:r>
      <w:r>
        <w:rPr>
          <w:rFonts w:ascii="宋体" w:hAnsi="宋体" w:cs="宋体"/>
          <w:bCs/>
          <w:color w:val="auto"/>
          <w:sz w:val="24"/>
          <w:szCs w:val="24"/>
          <w:highlight w:val="none"/>
        </w:rPr>
        <w:t>作为违约金</w:t>
      </w:r>
      <w:r>
        <w:rPr>
          <w:rFonts w:hint="eastAsia" w:ascii="宋体" w:hAnsi="宋体" w:cs="宋体"/>
          <w:bCs/>
          <w:color w:val="auto"/>
          <w:sz w:val="24"/>
          <w:szCs w:val="24"/>
          <w:highlight w:val="none"/>
        </w:rPr>
        <w:t>（</w:t>
      </w:r>
      <w:r>
        <w:rPr>
          <w:rFonts w:hint="eastAsia" w:cs="宋体"/>
          <w:color w:val="auto"/>
          <w:sz w:val="24"/>
          <w:highlight w:val="none"/>
        </w:rPr>
        <w:t>如合同另行约定违约责任，从其约定</w:t>
      </w:r>
      <w:r>
        <w:rPr>
          <w:rFonts w:hint="eastAsia" w:ascii="宋体" w:hAnsi="宋体" w:cs="宋体"/>
          <w:bCs/>
          <w:color w:val="auto"/>
          <w:sz w:val="24"/>
          <w:szCs w:val="24"/>
          <w:highlight w:val="none"/>
        </w:rPr>
        <w:t>）</w:t>
      </w:r>
      <w:r>
        <w:rPr>
          <w:rFonts w:ascii="宋体" w:hAnsi="宋体" w:cs="宋体"/>
          <w:bCs/>
          <w:color w:val="auto"/>
          <w:sz w:val="24"/>
          <w:szCs w:val="24"/>
          <w:highlight w:val="none"/>
        </w:rPr>
        <w:t xml:space="preserve">。 </w:t>
      </w:r>
    </w:p>
    <w:p>
      <w:pPr>
        <w:spacing w:line="360" w:lineRule="auto"/>
        <w:ind w:firstLine="482"/>
        <w:rPr>
          <w:rFonts w:hint="eastAsia" w:ascii="宋体" w:hAnsi="宋体" w:eastAsia="宋体" w:cs="宋体"/>
          <w:color w:val="auto"/>
          <w:sz w:val="24"/>
          <w:szCs w:val="24"/>
          <w:highlight w:val="none"/>
        </w:rPr>
      </w:pPr>
      <w:r>
        <w:rPr>
          <w:rFonts w:hint="eastAsia" w:ascii="宋体" w:hAnsi="宋体" w:cs="宋体"/>
          <w:bCs/>
          <w:color w:val="auto"/>
          <w:sz w:val="24"/>
          <w:szCs w:val="24"/>
          <w:highlight w:val="none"/>
          <w:lang w:val="en-US" w:eastAsia="zh-CN"/>
        </w:rPr>
        <w:t>11.5在合同有效期内，若乙方发生不诚信行为情形的，乙方自愿接受甲方按《广州市净水有限公司经营建设项目参建企业不诚信行为管理办法》处理。</w:t>
      </w:r>
    </w:p>
    <w:p>
      <w:pPr>
        <w:spacing w:line="360" w:lineRule="auto"/>
        <w:ind w:firstLine="482" w:firstLineChars="200"/>
        <w:rPr>
          <w:rFonts w:ascii="宋体" w:hAnsi="宋体" w:cs="宋体"/>
          <w:b/>
          <w:color w:val="auto"/>
          <w:sz w:val="24"/>
          <w:szCs w:val="24"/>
          <w:highlight w:val="none"/>
        </w:rPr>
      </w:pPr>
      <w:bookmarkStart w:id="127" w:name="_Toc474245224"/>
      <w:bookmarkStart w:id="128" w:name="_Toc107447253"/>
      <w:bookmarkStart w:id="129" w:name="_Toc107446861"/>
      <w:bookmarkStart w:id="130" w:name="_Toc118086592"/>
      <w:bookmarkStart w:id="131" w:name="_Toc520190038"/>
      <w:bookmarkStart w:id="132" w:name="_Toc107446860"/>
      <w:bookmarkStart w:id="133" w:name="_Toc518992998"/>
      <w:bookmarkStart w:id="134" w:name="_Toc107447254"/>
      <w:r>
        <w:rPr>
          <w:rFonts w:hint="eastAsia" w:ascii="宋体" w:hAnsi="宋体" w:cs="宋体"/>
          <w:b/>
          <w:color w:val="auto"/>
          <w:sz w:val="24"/>
          <w:szCs w:val="24"/>
          <w:highlight w:val="none"/>
        </w:rPr>
        <w:t>第十二条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变更或解除</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12.1 </w:t>
      </w:r>
      <w:r>
        <w:rPr>
          <w:rFonts w:hint="eastAsia" w:ascii="宋体" w:hAnsi="宋体" w:cs="宋体"/>
          <w:bCs/>
          <w:color w:val="auto"/>
          <w:sz w:val="24"/>
          <w:szCs w:val="24"/>
          <w:highlight w:val="none"/>
        </w:rPr>
        <w:t>甲方解除合同</w:t>
      </w:r>
    </w:p>
    <w:p>
      <w:pPr>
        <w:spacing w:line="360" w:lineRule="auto"/>
        <w:ind w:firstLine="482"/>
        <w:rPr>
          <w:rFonts w:ascii="宋体" w:hAnsi="宋体" w:cs="宋体"/>
          <w:bCs/>
          <w:color w:val="auto"/>
          <w:sz w:val="24"/>
          <w:szCs w:val="24"/>
          <w:highlight w:val="none"/>
        </w:rPr>
      </w:pPr>
      <w:r>
        <w:rPr>
          <w:rFonts w:hint="eastAsia" w:ascii="宋体" w:hAnsi="宋体" w:cs="宋体"/>
          <w:bCs/>
          <w:color w:val="auto"/>
          <w:sz w:val="24"/>
          <w:szCs w:val="24"/>
          <w:highlight w:val="none"/>
        </w:rPr>
        <w:t>如乙方存在下述情况之一，甲方有权向乙方发出书面通知，全部或部分解除本合同：</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12.1.1 </w:t>
      </w:r>
      <w:r>
        <w:rPr>
          <w:rFonts w:hint="eastAsia" w:ascii="宋体" w:hAnsi="宋体" w:cs="宋体"/>
          <w:bCs/>
          <w:color w:val="auto"/>
          <w:sz w:val="24"/>
          <w:szCs w:val="24"/>
          <w:highlight w:val="none"/>
        </w:rPr>
        <w:t>乙方未能在本合同约定或甲方另行指定的期限内提供部分或全部设备或提供技术服务，并经甲方催告后仍未提供；</w:t>
      </w:r>
      <w:r>
        <w:rPr>
          <w:rFonts w:ascii="宋体" w:hAnsi="宋体" w:cs="宋体"/>
          <w:bCs/>
          <w:color w:val="auto"/>
          <w:sz w:val="24"/>
          <w:szCs w:val="24"/>
          <w:highlight w:val="none"/>
        </w:rPr>
        <w:t xml:space="preserve"> </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12.1.2</w:t>
      </w:r>
      <w:r>
        <w:rPr>
          <w:rFonts w:hint="eastAsia" w:ascii="宋体" w:hAnsi="宋体" w:cs="宋体"/>
          <w:bCs/>
          <w:color w:val="auto"/>
          <w:sz w:val="24"/>
          <w:szCs w:val="24"/>
          <w:highlight w:val="none"/>
        </w:rPr>
        <w:t>乙方交付的设备存在严重的质量问题，导致本合同目的不能实现；</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 xml:space="preserve">12.1.3 </w:t>
      </w:r>
      <w:r>
        <w:rPr>
          <w:rFonts w:hint="eastAsia" w:ascii="宋体" w:hAnsi="宋体" w:cs="宋体"/>
          <w:bCs/>
          <w:color w:val="auto"/>
          <w:sz w:val="24"/>
          <w:szCs w:val="24"/>
          <w:highlight w:val="none"/>
        </w:rPr>
        <w:t>乙方存在违反合同义务的其他情形，经甲方催告后仍未作出补救或完成整改；</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 xml:space="preserve">12.1.4 </w:t>
      </w:r>
      <w:r>
        <w:rPr>
          <w:rFonts w:hint="eastAsia" w:ascii="宋体" w:hAnsi="宋体" w:cs="宋体"/>
          <w:bCs/>
          <w:color w:val="auto"/>
          <w:sz w:val="24"/>
          <w:szCs w:val="24"/>
          <w:highlight w:val="none"/>
        </w:rPr>
        <w:t>乙方投标时提交的资料不真实，或任何时候发现乙方有违反投标时的承诺和（或）声明的情况；</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12.2 </w:t>
      </w:r>
      <w:r>
        <w:rPr>
          <w:rFonts w:hint="eastAsia" w:ascii="宋体" w:hAnsi="宋体" w:cs="宋体"/>
          <w:bCs/>
          <w:color w:val="auto"/>
          <w:sz w:val="24"/>
          <w:szCs w:val="24"/>
          <w:highlight w:val="none"/>
        </w:rPr>
        <w:t>乙方解除合同</w:t>
      </w:r>
    </w:p>
    <w:p>
      <w:pPr>
        <w:spacing w:line="360" w:lineRule="auto"/>
        <w:ind w:firstLine="482"/>
        <w:rPr>
          <w:rFonts w:hint="eastAsia" w:ascii="宋体" w:hAnsi="宋体" w:cs="宋体" w:eastAsiaTheme="minorEastAsia"/>
          <w:bCs/>
          <w:color w:val="auto"/>
          <w:sz w:val="24"/>
          <w:szCs w:val="24"/>
          <w:highlight w:val="none"/>
          <w:lang w:eastAsia="zh-CN"/>
        </w:rPr>
      </w:pPr>
      <w:r>
        <w:rPr>
          <w:rFonts w:hint="eastAsia" w:ascii="宋体" w:hAnsi="宋体" w:cs="宋体"/>
          <w:bCs/>
          <w:color w:val="auto"/>
          <w:sz w:val="24"/>
          <w:szCs w:val="24"/>
          <w:highlight w:val="none"/>
        </w:rPr>
        <w:t>如甲方无正当理由未能按本合同约定期限向乙方支付合同款，并经乙方催告后超过</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天仍未支付，乙方有权以书面通知解除本合同。</w:t>
      </w:r>
    </w:p>
    <w:p>
      <w:pPr>
        <w:spacing w:line="360" w:lineRule="auto"/>
        <w:ind w:firstLine="482"/>
        <w:rPr>
          <w:rFonts w:ascii="宋体" w:hAnsi="宋体" w:cs="宋体"/>
          <w:color w:val="auto"/>
          <w:sz w:val="24"/>
          <w:szCs w:val="24"/>
          <w:highlight w:val="none"/>
        </w:rPr>
      </w:pPr>
      <w:r>
        <w:rPr>
          <w:rFonts w:hint="eastAsia" w:ascii="宋体" w:hAnsi="宋体" w:cs="宋体"/>
          <w:color w:val="auto"/>
          <w:sz w:val="24"/>
          <w:szCs w:val="24"/>
          <w:highlight w:val="none"/>
        </w:rPr>
        <w:t> </w:t>
      </w:r>
      <w:r>
        <w:rPr>
          <w:rFonts w:ascii="宋体" w:hAnsi="宋体" w:cs="宋体"/>
          <w:color w:val="auto"/>
          <w:sz w:val="24"/>
          <w:szCs w:val="24"/>
          <w:highlight w:val="none"/>
        </w:rPr>
        <w:t xml:space="preserve">  12.3</w:t>
      </w:r>
      <w:r>
        <w:rPr>
          <w:rFonts w:hint="eastAsia" w:ascii="宋体" w:hAnsi="宋体" w:cs="宋体"/>
          <w:color w:val="auto"/>
          <w:sz w:val="24"/>
          <w:szCs w:val="24"/>
          <w:highlight w:val="none"/>
        </w:rPr>
        <w:t>甲乙双方经协商一致后解除合同。</w:t>
      </w:r>
    </w:p>
    <w:p>
      <w:pPr>
        <w:spacing w:line="480" w:lineRule="exact"/>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第十三条</w:t>
      </w:r>
      <w:r>
        <w:rPr>
          <w:rFonts w:ascii="宋体" w:hAnsi="宋体" w:cs="宋体"/>
          <w:b/>
          <w:bCs/>
          <w:color w:val="auto"/>
          <w:sz w:val="24"/>
          <w:szCs w:val="24"/>
          <w:highlight w:val="none"/>
        </w:rPr>
        <w:t xml:space="preserve"> </w:t>
      </w:r>
      <w:r>
        <w:rPr>
          <w:rFonts w:hint="eastAsia" w:ascii="宋体" w:hAnsi="宋体" w:cs="宋体"/>
          <w:b/>
          <w:bCs/>
          <w:color w:val="auto"/>
          <w:sz w:val="24"/>
          <w:szCs w:val="24"/>
          <w:highlight w:val="none"/>
        </w:rPr>
        <w:t>不可抗力</w:t>
      </w:r>
    </w:p>
    <w:p>
      <w:pPr>
        <w:widowControl w:val="0"/>
        <w:numPr>
          <w:ilvl w:val="255"/>
          <w:numId w:val="0"/>
        </w:numPr>
        <w:spacing w:line="480" w:lineRule="exact"/>
        <w:ind w:firstLine="480" w:firstLineChars="200"/>
        <w:rPr>
          <w:rFonts w:ascii="宋体" w:hAnsi="宋体" w:cs="宋体"/>
          <w:color w:val="auto"/>
          <w:sz w:val="24"/>
          <w:szCs w:val="24"/>
          <w:highlight w:val="none"/>
        </w:rPr>
      </w:pPr>
      <w:r>
        <w:rPr>
          <w:rFonts w:ascii="宋体" w:hAnsi="宋体" w:cs="宋体"/>
          <w:color w:val="auto"/>
          <w:sz w:val="24"/>
          <w:szCs w:val="24"/>
          <w:highlight w:val="none"/>
        </w:rPr>
        <w:t>13.1</w:t>
      </w:r>
      <w:r>
        <w:rPr>
          <w:rFonts w:hint="eastAsia" w:ascii="宋体" w:hAnsi="宋体" w:cs="宋体"/>
          <w:color w:val="auto"/>
          <w:sz w:val="24"/>
          <w:szCs w:val="24"/>
          <w:highlight w:val="none"/>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val="0"/>
        <w:spacing w:line="48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1）地震、火山爆发、滑坡、暴雨（橙色预警及以上）、台风（黄色预警及以上）、海啸、龙卷风、大面积流行病(如：非典型性肺炎等)或瘟疫；</w:t>
      </w:r>
    </w:p>
    <w:p>
      <w:pPr>
        <w:widowControl w:val="0"/>
        <w:spacing w:line="48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2）战争行为、入侵、武装冲突或外敌行为、封锁、暴乱、恐怖行为或军事演习；</w:t>
      </w:r>
    </w:p>
    <w:p>
      <w:pPr>
        <w:widowControl w:val="0"/>
        <w:spacing w:line="480" w:lineRule="exact"/>
        <w:ind w:firstLine="480" w:firstLineChars="200"/>
        <w:rPr>
          <w:rFonts w:ascii="宋体" w:hAnsi="宋体" w:cs="宋体"/>
          <w:color w:val="auto"/>
          <w:sz w:val="24"/>
          <w:szCs w:val="24"/>
          <w:highlight w:val="none"/>
        </w:rPr>
      </w:pPr>
      <w:r>
        <w:rPr>
          <w:rFonts w:ascii="宋体" w:hAnsi="宋体" w:cs="宋体"/>
          <w:color w:val="auto"/>
          <w:sz w:val="24"/>
          <w:szCs w:val="24"/>
          <w:highlight w:val="none"/>
        </w:rPr>
        <w:t>13.2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13.3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13.4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pacing w:line="360" w:lineRule="auto"/>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第十四条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争议解决方式：</w:t>
      </w:r>
    </w:p>
    <w:p>
      <w:pPr>
        <w:spacing w:line="360" w:lineRule="auto"/>
        <w:ind w:firstLine="600" w:firstLineChars="250"/>
        <w:rPr>
          <w:rFonts w:ascii="宋体" w:hAnsi="宋体" w:cs="宋体"/>
          <w:color w:val="auto"/>
          <w:sz w:val="24"/>
          <w:szCs w:val="24"/>
          <w:highlight w:val="none"/>
        </w:rPr>
      </w:pPr>
      <w:r>
        <w:rPr>
          <w:rFonts w:ascii="宋体" w:hAnsi="宋体" w:cs="宋体"/>
          <w:color w:val="auto"/>
          <w:sz w:val="24"/>
          <w:szCs w:val="24"/>
          <w:highlight w:val="none"/>
        </w:rPr>
        <w:t xml:space="preserve">14.1 </w:t>
      </w:r>
      <w:r>
        <w:rPr>
          <w:rFonts w:hint="eastAsia" w:ascii="宋体" w:hAnsi="宋体" w:cs="宋体"/>
          <w:color w:val="auto"/>
          <w:sz w:val="24"/>
          <w:szCs w:val="24"/>
          <w:highlight w:val="none"/>
        </w:rPr>
        <w:t>因本合同引起的或与本合同有关的任何争议，甲乙双方应友好协商解决，如协商不成，任何一方均可依法向</w:t>
      </w:r>
      <w:r>
        <w:rPr>
          <w:rFonts w:hint="eastAsia" w:ascii="宋体" w:hAnsi="宋体" w:cs="宋体"/>
          <w:color w:val="auto"/>
          <w:sz w:val="24"/>
          <w:szCs w:val="24"/>
          <w:highlight w:val="none"/>
          <w:u w:val="single"/>
        </w:rPr>
        <w:t>甲方所在地人民法院</w:t>
      </w:r>
      <w:r>
        <w:rPr>
          <w:rFonts w:hint="eastAsia" w:ascii="宋体" w:hAnsi="宋体" w:cs="宋体"/>
          <w:color w:val="auto"/>
          <w:sz w:val="24"/>
          <w:szCs w:val="24"/>
          <w:highlight w:val="none"/>
        </w:rPr>
        <w:t>提起诉讼。</w:t>
      </w:r>
    </w:p>
    <w:p>
      <w:pPr>
        <w:spacing w:line="360" w:lineRule="auto"/>
        <w:ind w:firstLine="600" w:firstLineChars="250"/>
        <w:rPr>
          <w:rFonts w:ascii="宋体" w:hAnsi="宋体" w:cs="宋体"/>
          <w:color w:val="auto"/>
          <w:sz w:val="24"/>
          <w:szCs w:val="24"/>
          <w:highlight w:val="none"/>
        </w:rPr>
      </w:pPr>
      <w:r>
        <w:rPr>
          <w:rFonts w:ascii="宋体" w:hAnsi="宋体" w:cs="宋体"/>
          <w:color w:val="auto"/>
          <w:sz w:val="24"/>
          <w:szCs w:val="24"/>
          <w:highlight w:val="none"/>
        </w:rPr>
        <w:t xml:space="preserve">14.2 </w:t>
      </w:r>
      <w:r>
        <w:rPr>
          <w:rFonts w:hint="eastAsia" w:ascii="宋体" w:hAnsi="宋体" w:cs="宋体"/>
          <w:color w:val="auto"/>
          <w:sz w:val="24"/>
          <w:szCs w:val="24"/>
          <w:highlight w:val="none"/>
        </w:rPr>
        <w:t>在甲方同意的情况下，除有争端之外的合同其它部分在争端解决前应继续执行。</w:t>
      </w:r>
    </w:p>
    <w:p>
      <w:pPr>
        <w:spacing w:line="360" w:lineRule="auto"/>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第十五条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其他：</w:t>
      </w:r>
    </w:p>
    <w:p>
      <w:pPr>
        <w:spacing w:line="360" w:lineRule="auto"/>
        <w:ind w:firstLine="595" w:firstLineChars="248"/>
        <w:rPr>
          <w:rFonts w:ascii="宋体" w:hAnsi="宋体" w:cs="宋体"/>
          <w:b/>
          <w:color w:val="auto"/>
          <w:sz w:val="24"/>
          <w:szCs w:val="24"/>
          <w:highlight w:val="none"/>
        </w:rPr>
      </w:pPr>
      <w:r>
        <w:rPr>
          <w:rFonts w:ascii="宋体" w:hAnsi="宋体" w:cs="宋体"/>
          <w:bCs/>
          <w:color w:val="auto"/>
          <w:sz w:val="24"/>
          <w:szCs w:val="24"/>
          <w:highlight w:val="none"/>
        </w:rPr>
        <w:t>15.1</w:t>
      </w:r>
      <w:r>
        <w:rPr>
          <w:rFonts w:hint="eastAsia" w:ascii="宋体" w:hAnsi="宋体" w:cs="宋体"/>
          <w:color w:val="auto"/>
          <w:sz w:val="24"/>
          <w:szCs w:val="24"/>
          <w:highlight w:val="none"/>
        </w:rPr>
        <w:t>本合同未尽事宜，可由甲乙双方另行签订补充协议。补充协议与本合同具有同等法律效力。</w:t>
      </w:r>
    </w:p>
    <w:p>
      <w:pPr>
        <w:spacing w:line="360" w:lineRule="auto"/>
        <w:ind w:firstLine="600" w:firstLineChars="250"/>
        <w:rPr>
          <w:rFonts w:ascii="宋体" w:hAnsi="宋体" w:cs="宋体"/>
          <w:color w:val="auto"/>
          <w:sz w:val="24"/>
          <w:szCs w:val="24"/>
          <w:highlight w:val="none"/>
        </w:rPr>
      </w:pPr>
      <w:r>
        <w:rPr>
          <w:rFonts w:ascii="宋体" w:hAnsi="宋体" w:cs="宋体"/>
          <w:color w:val="auto"/>
          <w:sz w:val="24"/>
          <w:szCs w:val="24"/>
          <w:highlight w:val="none"/>
        </w:rPr>
        <w:t>15.2</w:t>
      </w:r>
      <w:r>
        <w:rPr>
          <w:rFonts w:hint="eastAsia" w:ascii="宋体" w:hAnsi="宋体" w:cs="宋体"/>
          <w:color w:val="auto"/>
          <w:sz w:val="24"/>
          <w:szCs w:val="24"/>
          <w:highlight w:val="none"/>
        </w:rPr>
        <w:t>本合同自甲乙双方法定代表人或授权代理人签字并加盖公章之日起生效。</w:t>
      </w:r>
    </w:p>
    <w:p>
      <w:pPr>
        <w:spacing w:line="360" w:lineRule="auto"/>
        <w:ind w:firstLine="600" w:firstLineChars="250"/>
        <w:rPr>
          <w:rFonts w:ascii="宋体" w:hAnsi="宋体" w:cs="宋体"/>
          <w:color w:val="auto"/>
          <w:sz w:val="24"/>
          <w:szCs w:val="24"/>
          <w:highlight w:val="none"/>
        </w:rPr>
      </w:pPr>
      <w:r>
        <w:rPr>
          <w:rFonts w:ascii="宋体" w:hAnsi="宋体" w:cs="宋体"/>
          <w:color w:val="auto"/>
          <w:sz w:val="24"/>
          <w:szCs w:val="24"/>
          <w:highlight w:val="none"/>
        </w:rPr>
        <w:t>15.3</w:t>
      </w:r>
      <w:r>
        <w:rPr>
          <w:rFonts w:hint="eastAsia" w:ascii="宋体" w:hAnsi="宋体" w:cs="宋体"/>
          <w:color w:val="auto"/>
          <w:sz w:val="24"/>
          <w:szCs w:val="24"/>
          <w:highlight w:val="none"/>
        </w:rPr>
        <w:t>本合同一式</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份，甲方执</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叁</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份，乙方执</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份。均具有同等法律效力。</w:t>
      </w:r>
    </w:p>
    <w:p>
      <w:pPr>
        <w:spacing w:line="360" w:lineRule="auto"/>
        <w:ind w:firstLine="720" w:firstLineChars="300"/>
        <w:rPr>
          <w:rFonts w:ascii="宋体" w:hAnsi="宋体" w:cs="宋体"/>
          <w:color w:val="auto"/>
          <w:sz w:val="24"/>
          <w:szCs w:val="24"/>
          <w:highlight w:val="none"/>
        </w:rPr>
      </w:pPr>
      <w:r>
        <w:rPr>
          <w:rFonts w:ascii="宋体" w:hAnsi="宋体" w:cs="宋体"/>
          <w:color w:val="auto"/>
          <w:sz w:val="24"/>
          <w:szCs w:val="24"/>
          <w:highlight w:val="none"/>
        </w:rPr>
        <w:t>15.4</w:t>
      </w:r>
      <w:r>
        <w:rPr>
          <w:rFonts w:hint="eastAsia" w:ascii="宋体" w:hAnsi="宋体" w:cs="宋体"/>
          <w:color w:val="auto"/>
          <w:sz w:val="24"/>
          <w:szCs w:val="24"/>
          <w:highlight w:val="none"/>
        </w:rPr>
        <w:t>补充条款：</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rPr>
        <w:t>。</w:t>
      </w:r>
      <w:r>
        <w:rPr>
          <w:rFonts w:ascii="宋体" w:hAnsi="宋体" w:cs="宋体"/>
          <w:color w:val="auto"/>
          <w:sz w:val="24"/>
          <w:szCs w:val="24"/>
          <w:highlight w:val="none"/>
        </w:rPr>
        <w:t xml:space="preserve">     </w:t>
      </w:r>
    </w:p>
    <w:bookmarkEnd w:id="97"/>
    <w:bookmarkEnd w:id="98"/>
    <w:bookmarkEnd w:id="124"/>
    <w:bookmarkEnd w:id="125"/>
    <w:bookmarkEnd w:id="126"/>
    <w:bookmarkEnd w:id="127"/>
    <w:bookmarkEnd w:id="128"/>
    <w:bookmarkEnd w:id="129"/>
    <w:bookmarkEnd w:id="130"/>
    <w:bookmarkEnd w:id="131"/>
    <w:bookmarkEnd w:id="132"/>
    <w:bookmarkEnd w:id="133"/>
    <w:bookmarkEnd w:id="134"/>
    <w:p>
      <w:pPr>
        <w:spacing w:line="360" w:lineRule="auto"/>
        <w:ind w:firstLine="480"/>
        <w:rPr>
          <w:rFonts w:ascii="宋体" w:hAnsi="宋体" w:cs="宋体"/>
          <w:color w:val="auto"/>
          <w:sz w:val="24"/>
          <w:szCs w:val="24"/>
          <w:highlight w:val="none"/>
        </w:rPr>
      </w:pPr>
    </w:p>
    <w:p>
      <w:pPr>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附件：</w:t>
      </w:r>
      <w:r>
        <w:rPr>
          <w:rFonts w:ascii="宋体" w:hAnsi="宋体" w:cs="宋体"/>
          <w:color w:val="auto"/>
          <w:sz w:val="24"/>
          <w:szCs w:val="24"/>
          <w:highlight w:val="none"/>
        </w:rPr>
        <w:t>1</w:t>
      </w:r>
      <w:r>
        <w:rPr>
          <w:rFonts w:hint="eastAsia" w:ascii="宋体" w:hAnsi="宋体" w:cs="宋体"/>
          <w:color w:val="auto"/>
          <w:sz w:val="24"/>
          <w:szCs w:val="24"/>
          <w:highlight w:val="none"/>
        </w:rPr>
        <w:t>.中标通知书</w:t>
      </w:r>
      <w:r>
        <w:rPr>
          <w:rFonts w:ascii="宋体" w:hAnsi="宋体" w:cs="宋体"/>
          <w:color w:val="auto"/>
          <w:sz w:val="24"/>
          <w:szCs w:val="24"/>
          <w:highlight w:val="none"/>
        </w:rPr>
        <w:t>/</w:t>
      </w:r>
      <w:r>
        <w:rPr>
          <w:rFonts w:hint="eastAsia" w:ascii="宋体" w:hAnsi="宋体" w:cs="宋体"/>
          <w:color w:val="auto"/>
          <w:sz w:val="24"/>
          <w:szCs w:val="24"/>
          <w:highlight w:val="none"/>
        </w:rPr>
        <w:t>发包通知书</w:t>
      </w:r>
      <w:r>
        <w:rPr>
          <w:rFonts w:hint="eastAsia" w:ascii="宋体" w:hAnsi="宋体" w:cs="宋体"/>
          <w:color w:val="auto"/>
          <w:sz w:val="24"/>
          <w:szCs w:val="24"/>
          <w:highlight w:val="none"/>
          <w:lang w:val="en-US" w:eastAsia="zh-CN"/>
        </w:rPr>
        <w:t>/成交通知书</w:t>
      </w:r>
    </w:p>
    <w:p>
      <w:pPr>
        <w:spacing w:line="360" w:lineRule="auto"/>
        <w:rPr>
          <w:rFonts w:ascii="宋体" w:hAnsi="宋体" w:cs="宋体"/>
          <w:color w:val="auto"/>
          <w:sz w:val="24"/>
          <w:szCs w:val="24"/>
          <w:highlight w:val="none"/>
        </w:rPr>
      </w:pPr>
      <w:r>
        <w:rPr>
          <w:rFonts w:ascii="宋体" w:hAnsi="宋体" w:cs="宋体"/>
          <w:color w:val="auto"/>
          <w:sz w:val="24"/>
          <w:szCs w:val="24"/>
          <w:highlight w:val="none"/>
        </w:rPr>
        <w:t xml:space="preserve">          2</w:t>
      </w:r>
      <w:r>
        <w:rPr>
          <w:rFonts w:hint="eastAsia" w:ascii="宋体" w:hAnsi="宋体" w:cs="宋体"/>
          <w:color w:val="auto"/>
          <w:sz w:val="24"/>
          <w:szCs w:val="24"/>
          <w:highlight w:val="none"/>
        </w:rPr>
        <w:t>.廉洁协议</w:t>
      </w:r>
    </w:p>
    <w:p>
      <w:pPr>
        <w:spacing w:line="360" w:lineRule="auto"/>
        <w:ind w:firstLine="1200" w:firstLineChars="500"/>
        <w:rPr>
          <w:rFonts w:hint="eastAsia" w:ascii="宋体" w:hAnsi="宋体" w:cs="宋体"/>
          <w:color w:val="auto"/>
          <w:sz w:val="24"/>
          <w:szCs w:val="24"/>
          <w:highlight w:val="none"/>
        </w:rPr>
      </w:pPr>
      <w:r>
        <w:rPr>
          <w:rFonts w:ascii="宋体" w:hAnsi="宋体" w:cs="宋体"/>
          <w:color w:val="auto"/>
          <w:sz w:val="24"/>
          <w:szCs w:val="24"/>
          <w:highlight w:val="none"/>
        </w:rPr>
        <w:t>3</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物品采购</w:t>
      </w:r>
      <w:r>
        <w:rPr>
          <w:rFonts w:hint="eastAsia" w:ascii="宋体" w:hAnsi="宋体" w:cs="宋体"/>
          <w:color w:val="auto"/>
          <w:sz w:val="24"/>
          <w:szCs w:val="24"/>
          <w:highlight w:val="none"/>
        </w:rPr>
        <w:t>安全协议书</w:t>
      </w:r>
    </w:p>
    <w:p>
      <w:pPr>
        <w:spacing w:line="360" w:lineRule="auto"/>
        <w:ind w:firstLine="1200" w:firstLineChars="500"/>
        <w:rPr>
          <w:rFonts w:ascii="宋体" w:hAnsi="宋体" w:cs="宋体"/>
          <w:color w:val="auto"/>
          <w:kern w:val="0"/>
          <w:sz w:val="24"/>
          <w:szCs w:val="24"/>
          <w:highlight w:val="none"/>
          <w:lang w:val="zh-CN"/>
        </w:rPr>
      </w:pPr>
      <w:r>
        <w:rPr>
          <w:rFonts w:ascii="宋体" w:hAnsi="宋体" w:cs="宋体"/>
          <w:color w:val="auto"/>
          <w:kern w:val="0"/>
          <w:sz w:val="24"/>
          <w:szCs w:val="24"/>
          <w:highlight w:val="none"/>
          <w:lang w:val="zh-CN"/>
        </w:rPr>
        <w:t>4</w:t>
      </w:r>
      <w:r>
        <w:rPr>
          <w:rFonts w:hint="eastAsia" w:ascii="宋体" w:hAnsi="宋体" w:cs="宋体"/>
          <w:color w:val="auto"/>
          <w:kern w:val="0"/>
          <w:sz w:val="24"/>
          <w:szCs w:val="24"/>
          <w:highlight w:val="none"/>
          <w:lang w:val="zh-CN"/>
        </w:rPr>
        <w:t>.技术需求</w:t>
      </w:r>
    </w:p>
    <w:p>
      <w:pPr>
        <w:spacing w:line="360" w:lineRule="auto"/>
        <w:ind w:firstLine="1200" w:firstLineChars="5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r>
        <w:rPr>
          <w:rFonts w:hint="eastAsia" w:ascii="宋体" w:hAnsi="宋体" w:eastAsia="宋体" w:cs="宋体"/>
          <w:color w:val="auto"/>
          <w:kern w:val="0"/>
          <w:sz w:val="24"/>
          <w:szCs w:val="24"/>
          <w:highlight w:val="none"/>
          <w:lang w:eastAsia="zh-CN"/>
        </w:rPr>
        <w:t>广州市净水有限公司经营建设项目参建企业</w:t>
      </w:r>
      <w:r>
        <w:rPr>
          <w:rFonts w:hint="eastAsia" w:ascii="宋体" w:hAnsi="宋体" w:eastAsia="宋体" w:cs="宋体"/>
          <w:color w:val="auto"/>
          <w:sz w:val="24"/>
          <w:szCs w:val="24"/>
          <w:highlight w:val="none"/>
        </w:rPr>
        <w:t>不诚信行为的情形及相应被暂停参与投标活动的处理标准</w:t>
      </w:r>
    </w:p>
    <w:p>
      <w:pPr>
        <w:spacing w:line="360" w:lineRule="auto"/>
        <w:ind w:firstLine="1200" w:firstLineChars="500"/>
        <w:rPr>
          <w:rFonts w:hint="default" w:ascii="宋体" w:hAnsi="宋体" w:eastAsia="宋体" w:cs="宋体"/>
          <w:b w:val="0"/>
          <w:bCs w:val="0"/>
          <w:color w:val="auto"/>
          <w:kern w:val="0"/>
          <w:sz w:val="24"/>
          <w:szCs w:val="24"/>
          <w:highlight w:val="none"/>
          <w:lang w:val="en-US" w:eastAsia="zh-CN"/>
        </w:rPr>
      </w:pPr>
    </w:p>
    <w:tbl>
      <w:tblPr>
        <w:tblStyle w:val="23"/>
        <w:tblpPr w:leftFromText="180" w:rightFromText="180" w:vertAnchor="text" w:horzAnchor="margin" w:tblpXSpec="center" w:tblpY="1127"/>
        <w:tblOverlap w:val="never"/>
        <w:tblW w:w="9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2"/>
        <w:gridCol w:w="4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4812" w:type="dxa"/>
            <w:tcBorders>
              <w:top w:val="nil"/>
              <w:left w:val="nil"/>
              <w:bottom w:val="nil"/>
              <w:right w:val="nil"/>
            </w:tcBorders>
          </w:tcPr>
          <w:p>
            <w:pPr>
              <w:adjustRightInd w:val="0"/>
              <w:snapToGrid w:val="0"/>
              <w:spacing w:line="360" w:lineRule="auto"/>
              <w:rPr>
                <w:rFonts w:ascii="宋体" w:hAnsi="宋体" w:cs="宋体"/>
                <w:color w:val="auto"/>
                <w:sz w:val="24"/>
                <w:szCs w:val="24"/>
                <w:highlight w:val="none"/>
              </w:rPr>
            </w:pPr>
            <w:r>
              <w:rPr>
                <w:rFonts w:hint="eastAsia" w:ascii="宋体" w:hAnsi="宋体" w:cs="宋体"/>
                <w:b/>
                <w:color w:val="auto"/>
                <w:sz w:val="24"/>
                <w:szCs w:val="24"/>
                <w:highlight w:val="none"/>
              </w:rPr>
              <w:t>甲方</w:t>
            </w:r>
            <w:r>
              <w:rPr>
                <w:rFonts w:hint="eastAsia" w:ascii="宋体" w:hAnsi="宋体" w:cs="宋体"/>
                <w:color w:val="auto"/>
                <w:sz w:val="24"/>
                <w:szCs w:val="24"/>
                <w:highlight w:val="none"/>
              </w:rPr>
              <w:t>：（章）广州市净水有限公司</w:t>
            </w:r>
          </w:p>
        </w:tc>
        <w:tc>
          <w:tcPr>
            <w:tcW w:w="4696" w:type="dxa"/>
            <w:tcBorders>
              <w:top w:val="nil"/>
              <w:left w:val="nil"/>
              <w:bottom w:val="nil"/>
              <w:right w:val="nil"/>
            </w:tcBorders>
          </w:tcPr>
          <w:p>
            <w:pPr>
              <w:adjustRightInd w:val="0"/>
              <w:snapToGrid w:val="0"/>
              <w:spacing w:line="360" w:lineRule="auto"/>
              <w:rPr>
                <w:rFonts w:ascii="宋体" w:hAnsi="宋体" w:cs="宋体"/>
                <w:color w:val="auto"/>
                <w:sz w:val="24"/>
                <w:szCs w:val="24"/>
                <w:highlight w:val="none"/>
              </w:rPr>
            </w:pPr>
            <w:r>
              <w:rPr>
                <w:rFonts w:hint="eastAsia" w:ascii="宋体" w:hAnsi="宋体" w:cs="宋体"/>
                <w:b/>
                <w:color w:val="auto"/>
                <w:sz w:val="24"/>
                <w:szCs w:val="24"/>
                <w:highlight w:val="none"/>
              </w:rPr>
              <w:t>乙方</w:t>
            </w:r>
            <w:r>
              <w:rPr>
                <w:rFonts w:hint="eastAsia" w:ascii="宋体" w:hAnsi="宋体" w:cs="宋体"/>
                <w:color w:val="auto"/>
                <w:sz w:val="24"/>
                <w:szCs w:val="24"/>
                <w:highlight w:val="none"/>
              </w:rPr>
              <w:t>：</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法定代表人或授权代理人：</w:t>
            </w:r>
          </w:p>
        </w:tc>
        <w:tc>
          <w:tcPr>
            <w:tcW w:w="4696" w:type="dxa"/>
            <w:tcBorders>
              <w:top w:val="nil"/>
              <w:left w:val="nil"/>
              <w:bottom w:val="nil"/>
              <w:right w:val="nil"/>
            </w:tcBorders>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法定代表人或授权代理人：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经办人：</w:t>
            </w:r>
          </w:p>
        </w:tc>
        <w:tc>
          <w:tcPr>
            <w:tcW w:w="4696" w:type="dxa"/>
            <w:tcBorders>
              <w:top w:val="nil"/>
              <w:left w:val="nil"/>
              <w:bottom w:val="nil"/>
              <w:right w:val="nil"/>
            </w:tcBorders>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电话：</w:t>
            </w:r>
          </w:p>
        </w:tc>
        <w:tc>
          <w:tcPr>
            <w:tcW w:w="4696" w:type="dxa"/>
            <w:tcBorders>
              <w:top w:val="nil"/>
              <w:left w:val="nil"/>
              <w:bottom w:val="nil"/>
              <w:right w:val="nil"/>
            </w:tcBorders>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传真：</w:t>
            </w:r>
          </w:p>
        </w:tc>
        <w:tc>
          <w:tcPr>
            <w:tcW w:w="4696" w:type="dxa"/>
            <w:tcBorders>
              <w:top w:val="nil"/>
              <w:left w:val="nil"/>
              <w:bottom w:val="nil"/>
              <w:right w:val="nil"/>
            </w:tcBorders>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tcPr>
          <w:p>
            <w:pPr>
              <w:adjustRightInd w:val="0"/>
              <w:snapToGrid w:val="0"/>
              <w:spacing w:line="360" w:lineRule="auto"/>
              <w:ind w:left="240" w:hanging="240" w:hangingChars="100"/>
              <w:jc w:val="both"/>
              <w:rPr>
                <w:rFonts w:ascii="宋体" w:hAnsi="宋体" w:cs="宋体"/>
                <w:color w:val="auto"/>
                <w:sz w:val="24"/>
                <w:szCs w:val="24"/>
                <w:highlight w:val="none"/>
              </w:rPr>
            </w:pPr>
            <w:r>
              <w:rPr>
                <w:rFonts w:hint="eastAsia" w:ascii="宋体" w:hAnsi="宋体" w:cs="宋体"/>
                <w:color w:val="auto"/>
                <w:sz w:val="24"/>
                <w:szCs w:val="24"/>
                <w:highlight w:val="none"/>
              </w:rPr>
              <w:t>签订日期：</w:t>
            </w:r>
            <w:r>
              <w:rPr>
                <w:rFonts w:ascii="宋体" w:hAnsi="宋体" w:cs="宋体"/>
                <w:color w:val="auto"/>
                <w:sz w:val="24"/>
                <w:szCs w:val="24"/>
                <w:highlight w:val="none"/>
              </w:rPr>
              <w:t xml:space="preserve">                                                     </w:t>
            </w:r>
          </w:p>
        </w:tc>
        <w:tc>
          <w:tcPr>
            <w:tcW w:w="4696" w:type="dxa"/>
            <w:tcBorders>
              <w:top w:val="nil"/>
              <w:left w:val="nil"/>
              <w:bottom w:val="nil"/>
              <w:right w:val="nil"/>
            </w:tcBorders>
          </w:tcPr>
          <w:p>
            <w:pPr>
              <w:adjustRightInd w:val="0"/>
              <w:snapToGrid w:val="0"/>
              <w:spacing w:line="360" w:lineRule="auto"/>
              <w:ind w:left="4181" w:hanging="4180" w:hangingChars="1742"/>
              <w:rPr>
                <w:rFonts w:ascii="宋体" w:hAnsi="宋体" w:cs="宋体"/>
                <w:color w:val="auto"/>
                <w:sz w:val="24"/>
                <w:szCs w:val="24"/>
                <w:highlight w:val="none"/>
              </w:rPr>
            </w:pPr>
            <w:r>
              <w:rPr>
                <w:rFonts w:hint="eastAsia" w:ascii="宋体" w:hAnsi="宋体" w:cs="宋体"/>
                <w:color w:val="auto"/>
                <w:sz w:val="24"/>
                <w:szCs w:val="24"/>
                <w:highlight w:val="none"/>
              </w:rPr>
              <w:t>签订日期</w:t>
            </w:r>
            <w:r>
              <w:rPr>
                <w:rFonts w:ascii="宋体" w:hAnsi="宋体" w:cs="宋体"/>
                <w:color w:val="auto"/>
                <w:sz w:val="24"/>
                <w:szCs w:val="24"/>
                <w:highlight w:val="none"/>
              </w:rPr>
              <w:t>:</w:t>
            </w:r>
          </w:p>
        </w:tc>
      </w:tr>
    </w:tbl>
    <w:p>
      <w:pPr>
        <w:spacing w:line="360" w:lineRule="auto"/>
        <w:rPr>
          <w:rFonts w:ascii="宋体" w:hAnsi="宋体" w:cs="宋体"/>
          <w:color w:val="auto"/>
          <w:sz w:val="24"/>
          <w:szCs w:val="24"/>
          <w:highlight w:val="none"/>
        </w:rPr>
      </w:pPr>
    </w:p>
    <w:p>
      <w:pPr>
        <w:spacing w:line="360" w:lineRule="auto"/>
        <w:rPr>
          <w:rFonts w:ascii="宋体" w:hAnsi="宋体" w:cs="宋体"/>
          <w:color w:val="auto"/>
          <w:sz w:val="24"/>
          <w:szCs w:val="24"/>
          <w:highlight w:val="none"/>
        </w:rPr>
      </w:pPr>
    </w:p>
    <w:p>
      <w:pPr>
        <w:spacing w:line="360" w:lineRule="auto"/>
        <w:rPr>
          <w:rFonts w:ascii="宋体" w:hAnsi="宋体" w:cs="宋体"/>
          <w:color w:val="auto"/>
          <w:sz w:val="24"/>
          <w:szCs w:val="24"/>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rPr>
      </w:pPr>
    </w:p>
    <w:p>
      <w:pPr>
        <w:spacing w:line="360" w:lineRule="auto"/>
        <w:rPr>
          <w:rFonts w:hint="eastAsia" w:ascii="宋体" w:hAnsi="宋体" w:cs="宋体"/>
          <w:b/>
          <w:bCs/>
          <w:color w:val="auto"/>
          <w:szCs w:val="21"/>
          <w:highlight w:val="none"/>
          <w:lang w:eastAsia="zh-CN"/>
        </w:rPr>
      </w:pPr>
    </w:p>
    <w:p>
      <w:pPr>
        <w:spacing w:line="360" w:lineRule="auto"/>
        <w:rPr>
          <w:rFonts w:hint="eastAsia" w:ascii="宋体" w:hAnsi="宋体" w:cs="宋体"/>
          <w:b/>
          <w:bCs/>
          <w:color w:val="auto"/>
          <w:szCs w:val="21"/>
          <w:highlight w:val="none"/>
          <w:lang w:eastAsia="zh-CN"/>
        </w:rPr>
      </w:pPr>
    </w:p>
    <w:p>
      <w:pPr>
        <w:spacing w:line="360" w:lineRule="auto"/>
        <w:rPr>
          <w:rFonts w:hint="eastAsia" w:ascii="宋体" w:hAnsi="宋体" w:cs="宋体"/>
          <w:b/>
          <w:bCs/>
          <w:color w:val="auto"/>
          <w:szCs w:val="21"/>
          <w:highlight w:val="none"/>
          <w:lang w:eastAsia="zh-CN"/>
        </w:rPr>
      </w:pPr>
    </w:p>
    <w:p>
      <w:pPr>
        <w:spacing w:line="360" w:lineRule="auto"/>
        <w:rPr>
          <w:rFonts w:hint="eastAsia" w:ascii="宋体" w:hAnsi="宋体" w:cs="宋体"/>
          <w:b/>
          <w:bCs/>
          <w:color w:val="auto"/>
          <w:szCs w:val="21"/>
          <w:highlight w:val="none"/>
          <w:lang w:eastAsia="zh-CN"/>
        </w:rPr>
      </w:pPr>
    </w:p>
    <w:p>
      <w:pPr>
        <w:spacing w:line="360" w:lineRule="auto"/>
        <w:rPr>
          <w:rFonts w:hint="eastAsia" w:ascii="宋体" w:hAnsi="宋体" w:cs="宋体"/>
          <w:b/>
          <w:bCs/>
          <w:color w:val="auto"/>
          <w:szCs w:val="21"/>
          <w:highlight w:val="none"/>
          <w:lang w:eastAsia="zh-CN"/>
        </w:rPr>
      </w:pPr>
    </w:p>
    <w:p>
      <w:pPr>
        <w:spacing w:line="360" w:lineRule="auto"/>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eastAsia="zh-CN"/>
        </w:rPr>
        <w:t>附件</w:t>
      </w:r>
      <w:r>
        <w:rPr>
          <w:rFonts w:hint="eastAsia" w:ascii="宋体" w:hAnsi="宋体" w:cs="宋体"/>
          <w:b/>
          <w:bCs/>
          <w:color w:val="auto"/>
          <w:szCs w:val="21"/>
          <w:highlight w:val="none"/>
          <w:lang w:val="en-US" w:eastAsia="zh-CN"/>
        </w:rPr>
        <w:t>1</w:t>
      </w:r>
    </w:p>
    <w:p>
      <w:pPr>
        <w:spacing w:line="240" w:lineRule="auto"/>
        <w:jc w:val="center"/>
        <w:rPr>
          <w:rFonts w:hint="eastAsia" w:ascii="宋体" w:hAnsi="宋体" w:cs="宋体"/>
          <w:b/>
          <w:bCs/>
          <w:color w:val="auto"/>
          <w:szCs w:val="21"/>
          <w:highlight w:val="none"/>
        </w:rPr>
      </w:pPr>
      <w:r>
        <w:rPr>
          <w:rFonts w:hint="eastAsia" w:ascii="宋体" w:hAnsi="宋体" w:cs="宋体"/>
          <w:color w:val="auto"/>
          <w:sz w:val="32"/>
          <w:szCs w:val="32"/>
          <w:highlight w:val="none"/>
        </w:rPr>
        <w:t>中标通知书</w:t>
      </w:r>
      <w:r>
        <w:rPr>
          <w:rFonts w:ascii="宋体" w:hAnsi="宋体" w:cs="宋体"/>
          <w:color w:val="auto"/>
          <w:sz w:val="32"/>
          <w:szCs w:val="32"/>
          <w:highlight w:val="none"/>
        </w:rPr>
        <w:t>/</w:t>
      </w:r>
      <w:r>
        <w:rPr>
          <w:rFonts w:hint="eastAsia" w:ascii="宋体" w:hAnsi="宋体" w:cs="宋体"/>
          <w:color w:val="auto"/>
          <w:sz w:val="32"/>
          <w:szCs w:val="32"/>
          <w:highlight w:val="none"/>
        </w:rPr>
        <w:t>发包通知书</w:t>
      </w:r>
      <w:r>
        <w:rPr>
          <w:rFonts w:hint="eastAsia" w:ascii="宋体" w:hAnsi="宋体" w:cs="宋体"/>
          <w:color w:val="auto"/>
          <w:sz w:val="32"/>
          <w:szCs w:val="32"/>
          <w:highlight w:val="none"/>
          <w:lang w:val="en-US" w:eastAsia="zh-CN"/>
        </w:rPr>
        <w:t>/成交通知书</w:t>
      </w:r>
      <w:r>
        <w:rPr>
          <w:rFonts w:hint="eastAsia" w:ascii="宋体" w:hAnsi="宋体" w:cs="宋体"/>
          <w:b/>
          <w:bCs/>
          <w:color w:val="auto"/>
          <w:szCs w:val="21"/>
          <w:highlight w:val="none"/>
        </w:rPr>
        <w:br w:type="page"/>
      </w: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w:t>
      </w:r>
      <w:r>
        <w:rPr>
          <w:rFonts w:ascii="宋体" w:hAnsi="宋体" w:cs="宋体"/>
          <w:b/>
          <w:bCs/>
          <w:color w:val="auto"/>
          <w:szCs w:val="21"/>
          <w:highlight w:val="none"/>
        </w:rPr>
        <w:t>2</w:t>
      </w:r>
    </w:p>
    <w:p>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廉洁协议</w:t>
      </w:r>
    </w:p>
    <w:p>
      <w:pPr>
        <w:spacing w:line="360" w:lineRule="auto"/>
        <w:ind w:firstLine="540" w:firstLineChars="225"/>
        <w:rPr>
          <w:rFonts w:ascii="宋体" w:hAnsi="宋体"/>
          <w:color w:val="auto"/>
          <w:sz w:val="24"/>
          <w:highlight w:val="none"/>
        </w:rPr>
      </w:pPr>
      <w:r>
        <w:rPr>
          <w:rFonts w:hint="eastAsia" w:ascii="宋体" w:hAnsi="宋体"/>
          <w:color w:val="auto"/>
          <w:sz w:val="24"/>
          <w:highlight w:val="none"/>
        </w:rPr>
        <w:t>为促进双方诚信经营、廉洁从业，防范商业贿赂，保护国家、集体和当事人的合法权益，根据国家有关法律法规和广东省、广州市廉政建设的规定，</w:t>
      </w:r>
      <w:r>
        <w:rPr>
          <w:rFonts w:ascii="宋体" w:hAnsi="宋体"/>
          <w:color w:val="auto"/>
          <w:sz w:val="24"/>
          <w:highlight w:val="none"/>
          <w:u w:val="single"/>
        </w:rPr>
        <w:t>广州市净水有限公司</w:t>
      </w:r>
      <w:r>
        <w:rPr>
          <w:rFonts w:ascii="宋体" w:hAnsi="宋体"/>
          <w:color w:val="auto"/>
          <w:sz w:val="24"/>
          <w:highlight w:val="none"/>
        </w:rPr>
        <w:t>(以下称甲方)与</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(以下称乙方</w:t>
      </w:r>
      <w:r>
        <w:rPr>
          <w:rFonts w:ascii="宋体" w:hAnsi="宋体"/>
          <w:color w:val="auto"/>
          <w:sz w:val="24"/>
          <w:highlight w:val="none"/>
        </w:rPr>
        <w:t>)，特此订立本协议共同遵照执行。</w:t>
      </w:r>
    </w:p>
    <w:p>
      <w:pPr>
        <w:spacing w:line="360" w:lineRule="auto"/>
        <w:ind w:firstLine="482" w:firstLineChars="200"/>
        <w:rPr>
          <w:rFonts w:ascii="宋体" w:hAnsi="宋体"/>
          <w:color w:val="auto"/>
          <w:sz w:val="24"/>
          <w:highlight w:val="none"/>
        </w:rPr>
      </w:pPr>
      <w:r>
        <w:rPr>
          <w:rFonts w:hint="eastAsia" w:ascii="宋体" w:hAnsi="宋体"/>
          <w:b/>
          <w:bCs/>
          <w:color w:val="auto"/>
          <w:sz w:val="24"/>
          <w:highlight w:val="none"/>
        </w:rPr>
        <w:t>第一条甲乙双方的权利和义务</w:t>
      </w:r>
    </w:p>
    <w:p>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（一）甲乙双方严格遵守国家关于市场准入、项目招标投标、市场经营活动等有关法律、法规相关政策及廉政建设的各项规定。</w:t>
      </w:r>
    </w:p>
    <w:p>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（二）严格执行</w:t>
      </w:r>
      <w:r>
        <w:rPr>
          <w:rFonts w:hint="eastAsia" w:ascii="宋体" w:hAnsi="宋体"/>
          <w:color w:val="auto"/>
          <w:sz w:val="24"/>
          <w:highlight w:val="none"/>
          <w:u w:val="single"/>
        </w:rPr>
        <w:t xml:space="preserve"> </w:t>
      </w:r>
      <w:r>
        <w:rPr>
          <w:rFonts w:hint="eastAsia" w:ascii="宋体" w:hAnsi="宋体"/>
          <w:color w:val="auto"/>
          <w:sz w:val="24"/>
          <w:highlight w:val="none"/>
          <w:u w:val="single"/>
          <w:lang w:eastAsia="zh-CN"/>
        </w:rPr>
        <w:t>《</w:t>
      </w:r>
      <w:r>
        <w:rPr>
          <w:rFonts w:hint="eastAsia" w:ascii="宋体" w:hAnsi="宋体"/>
          <w:color w:val="auto"/>
          <w:sz w:val="24"/>
          <w:highlight w:val="none"/>
          <w:u w:val="single"/>
        </w:rPr>
        <w:t>2022年固定式气体检测仪</w:t>
      </w:r>
      <w:r>
        <w:rPr>
          <w:rFonts w:hint="eastAsia" w:ascii="宋体" w:hAnsi="宋体"/>
          <w:color w:val="auto"/>
          <w:sz w:val="24"/>
          <w:highlight w:val="none"/>
          <w:u w:val="single"/>
          <w:lang w:val="en-US" w:eastAsia="zh-CN"/>
        </w:rPr>
        <w:t>采购</w:t>
      </w:r>
      <w:r>
        <w:rPr>
          <w:rFonts w:hint="eastAsia" w:ascii="宋体" w:hAnsi="宋体"/>
          <w:color w:val="auto"/>
          <w:sz w:val="24"/>
          <w:highlight w:val="none"/>
          <w:u w:val="single"/>
        </w:rPr>
        <w:t>项目</w:t>
      </w:r>
      <w:r>
        <w:rPr>
          <w:rFonts w:hint="eastAsia" w:ascii="宋体" w:hAnsi="宋体"/>
          <w:color w:val="auto"/>
          <w:sz w:val="24"/>
          <w:highlight w:val="none"/>
          <w:u w:val="single"/>
          <w:lang w:eastAsia="zh-CN"/>
        </w:rPr>
        <w:t>》（穗净水合</w:t>
      </w:r>
      <w:r>
        <w:rPr>
          <w:rFonts w:hint="eastAsia" w:ascii="仿宋_GB2312" w:hAnsi="仿宋_GB2312" w:eastAsia="仿宋_GB2312" w:cs="仿宋_GB2312"/>
          <w:color w:val="auto"/>
          <w:sz w:val="24"/>
          <w:highlight w:val="none"/>
          <w:u w:val="single"/>
          <w:lang w:eastAsia="zh-CN"/>
        </w:rPr>
        <w:t>〔</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lang w:eastAsia="zh-CN"/>
        </w:rPr>
        <w:t>〕</w:t>
      </w:r>
      <w:r>
        <w:rPr>
          <w:rFonts w:hint="eastAsia" w:ascii="宋体" w:hAnsi="宋体"/>
          <w:color w:val="auto"/>
          <w:sz w:val="24"/>
          <w:highlight w:val="none"/>
          <w:u w:val="single"/>
          <w:lang w:val="en-US" w:eastAsia="zh-CN"/>
        </w:rPr>
        <w:t xml:space="preserve"> 号</w:t>
      </w:r>
      <w:r>
        <w:rPr>
          <w:rFonts w:hint="eastAsia" w:ascii="宋体" w:hAnsi="宋体"/>
          <w:color w:val="auto"/>
          <w:sz w:val="24"/>
          <w:highlight w:val="none"/>
          <w:u w:val="single"/>
          <w:lang w:eastAsia="zh-CN"/>
        </w:rPr>
        <w:t>）</w:t>
      </w:r>
      <w:r>
        <w:rPr>
          <w:rFonts w:ascii="宋体" w:hAnsi="宋体"/>
          <w:color w:val="auto"/>
          <w:sz w:val="24"/>
          <w:highlight w:val="none"/>
          <w:u w:val="single"/>
        </w:rPr>
        <w:t xml:space="preserve">      </w:t>
      </w:r>
      <w:r>
        <w:rPr>
          <w:rFonts w:hint="eastAsia" w:ascii="宋体" w:hAnsi="宋体"/>
          <w:color w:val="auto"/>
          <w:sz w:val="24"/>
          <w:highlight w:val="none"/>
        </w:rPr>
        <w:t>合同（以下简称：主合同），自觉履行合同约定的相关义务。</w:t>
      </w:r>
    </w:p>
    <w:p>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（三）在业务活动中坚持公开、公正、诚信、透明的原则，不得损害国家、集体利益。</w:t>
      </w:r>
    </w:p>
    <w:p>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（四）建立健全廉洁从业制度，开展廉洁教育，公布举报电话，监督并认真查处不廉洁及违法违纪行为。</w:t>
      </w:r>
    </w:p>
    <w:p>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（五）发现对方在业务活动中有不廉洁行为，应及时提醒对方纠正。情节严重的，应向其上级有关部门举报，建议给予处理，并有权要求告知处理结果。</w:t>
      </w:r>
    </w:p>
    <w:p>
      <w:pPr>
        <w:spacing w:line="360" w:lineRule="auto"/>
        <w:ind w:firstLine="482" w:firstLineChars="200"/>
        <w:rPr>
          <w:rFonts w:ascii="宋体" w:hAnsi="宋体"/>
          <w:color w:val="auto"/>
          <w:sz w:val="24"/>
          <w:highlight w:val="none"/>
        </w:rPr>
      </w:pPr>
      <w:r>
        <w:rPr>
          <w:rFonts w:hint="eastAsia" w:ascii="宋体" w:hAnsi="宋体"/>
          <w:b/>
          <w:bCs/>
          <w:color w:val="auto"/>
          <w:sz w:val="24"/>
          <w:highlight w:val="none"/>
        </w:rPr>
        <w:t>第二条甲方的义务</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（一）甲方及其工作人员不得索要或接受乙方的礼金、有价证券和贵重物品，不得在乙方报销任何应由甲方或个人支付的费用等。</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spacing w:line="360" w:lineRule="auto"/>
        <w:ind w:left="15" w:leftChars="7" w:firstLine="480" w:firstLineChars="200"/>
        <w:rPr>
          <w:rFonts w:ascii="宋体" w:hAnsi="宋体"/>
          <w:color w:val="auto"/>
          <w:sz w:val="24"/>
          <w:highlight w:val="none"/>
        </w:rPr>
      </w:pPr>
      <w:r>
        <w:rPr>
          <w:rFonts w:hint="eastAsia" w:ascii="宋体" w:hAnsi="宋体"/>
          <w:color w:val="auto"/>
          <w:sz w:val="24"/>
          <w:highlight w:val="none"/>
        </w:rPr>
        <w:t>（三）甲方及其工作人员不得要求或者接受乙方为其住房装修、婚丧嫁娶活动、配偶子女工作安排以及出国出境、旅游等提供方便等。</w:t>
      </w:r>
    </w:p>
    <w:p>
      <w:pPr>
        <w:spacing w:line="360" w:lineRule="auto"/>
        <w:ind w:left="15" w:leftChars="7" w:firstLine="480" w:firstLineChars="200"/>
        <w:rPr>
          <w:rFonts w:ascii="宋体" w:hAnsi="宋体"/>
          <w:color w:val="auto"/>
          <w:sz w:val="24"/>
          <w:highlight w:val="none"/>
        </w:rPr>
      </w:pPr>
      <w:r>
        <w:rPr>
          <w:rFonts w:hint="eastAsia" w:ascii="宋体" w:hAnsi="宋体"/>
          <w:color w:val="auto"/>
          <w:sz w:val="24"/>
          <w:highlight w:val="none"/>
        </w:rPr>
        <w:t>（四）甲方工作人员不得在乙方或与乙方有股权关联的企业兼职，不得向乙方介绍家属或者亲友从事与甲方业务有关的经济活动。</w:t>
      </w:r>
    </w:p>
    <w:p>
      <w:pPr>
        <w:spacing w:line="360" w:lineRule="auto"/>
        <w:ind w:left="15" w:leftChars="7" w:firstLine="480" w:firstLineChars="200"/>
        <w:rPr>
          <w:rFonts w:ascii="宋体" w:hAnsi="宋体"/>
          <w:color w:val="auto"/>
          <w:sz w:val="24"/>
          <w:highlight w:val="none"/>
        </w:rPr>
      </w:pPr>
      <w:r>
        <w:rPr>
          <w:rFonts w:hint="eastAsia" w:ascii="宋体" w:hAnsi="宋体"/>
          <w:color w:val="auto"/>
          <w:sz w:val="24"/>
          <w:highlight w:val="none"/>
        </w:rPr>
        <w:t>（五）甲方工作人员不得以明显低于市场的价格向乙方购买房屋、汽车等物品；不得</w:t>
      </w:r>
      <w:r>
        <w:rPr>
          <w:rFonts w:ascii="宋体" w:hAnsi="宋体"/>
          <w:color w:val="auto"/>
          <w:sz w:val="24"/>
          <w:highlight w:val="none"/>
        </w:rPr>
        <w:t>以明显高于市场的价格向</w:t>
      </w:r>
      <w:r>
        <w:rPr>
          <w:rFonts w:hint="eastAsia" w:ascii="宋体" w:hAnsi="宋体"/>
          <w:color w:val="auto"/>
          <w:sz w:val="24"/>
          <w:highlight w:val="none"/>
        </w:rPr>
        <w:t>乙方</w:t>
      </w:r>
      <w:r>
        <w:rPr>
          <w:rFonts w:ascii="宋体" w:hAnsi="宋体"/>
          <w:color w:val="auto"/>
          <w:sz w:val="24"/>
          <w:highlight w:val="none"/>
        </w:rPr>
        <w:t>出售房屋、汽车等物品；</w:t>
      </w:r>
      <w:r>
        <w:rPr>
          <w:rFonts w:hint="eastAsia" w:ascii="宋体" w:hAnsi="宋体"/>
          <w:color w:val="auto"/>
          <w:sz w:val="24"/>
          <w:highlight w:val="none"/>
        </w:rPr>
        <w:t>不得使用乙方提供的与工作无关的房屋、汽车等物品；不得以其他交易形式非法收受请托人财物。</w:t>
      </w:r>
    </w:p>
    <w:p>
      <w:pPr>
        <w:spacing w:line="360" w:lineRule="auto"/>
        <w:ind w:left="15" w:leftChars="7" w:firstLine="480" w:firstLineChars="200"/>
        <w:rPr>
          <w:rFonts w:ascii="宋体" w:hAnsi="宋体"/>
          <w:color w:val="auto"/>
          <w:sz w:val="24"/>
          <w:highlight w:val="none"/>
        </w:rPr>
      </w:pPr>
      <w:r>
        <w:rPr>
          <w:rFonts w:hint="eastAsia" w:ascii="宋体" w:hAnsi="宋体"/>
          <w:color w:val="auto"/>
          <w:sz w:val="24"/>
          <w:highlight w:val="none"/>
        </w:rPr>
        <w:t>（六）甲方工作人员不得利用职务之便收受乙方以回扣、手续费、加班费、咨询费、劳务费、协调费、辛苦费等各种名义给予或赠送的钱物。</w:t>
      </w:r>
    </w:p>
    <w:p>
      <w:pPr>
        <w:spacing w:line="360" w:lineRule="auto"/>
        <w:ind w:left="15" w:leftChars="7" w:firstLine="480" w:firstLineChars="200"/>
        <w:rPr>
          <w:rFonts w:ascii="宋体" w:hAnsi="宋体"/>
          <w:color w:val="auto"/>
          <w:sz w:val="24"/>
          <w:highlight w:val="none"/>
        </w:rPr>
      </w:pPr>
      <w:r>
        <w:rPr>
          <w:rFonts w:hint="eastAsia" w:ascii="宋体" w:hAnsi="宋体"/>
          <w:color w:val="auto"/>
          <w:sz w:val="24"/>
          <w:highlight w:val="none"/>
        </w:rPr>
        <w:t>（七）甲方工作人员不得接受乙方给予或赠送的干股或红利。</w:t>
      </w:r>
    </w:p>
    <w:p>
      <w:pPr>
        <w:spacing w:line="360" w:lineRule="auto"/>
        <w:ind w:firstLine="482" w:firstLineChars="200"/>
        <w:rPr>
          <w:rFonts w:ascii="宋体" w:hAnsi="宋体"/>
          <w:color w:val="auto"/>
          <w:sz w:val="24"/>
          <w:highlight w:val="none"/>
        </w:rPr>
      </w:pPr>
      <w:r>
        <w:rPr>
          <w:rFonts w:hint="eastAsia" w:ascii="宋体" w:hAnsi="宋体"/>
          <w:b/>
          <w:bCs/>
          <w:color w:val="auto"/>
          <w:sz w:val="24"/>
          <w:highlight w:val="none"/>
        </w:rPr>
        <w:t>第三条乙方的义务</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（一）乙方不得以任何理由向甲方及其工作人员行贿或馈赠礼金、有价证券、贵重礼品。</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（二</w:t>
      </w:r>
      <w:r>
        <w:rPr>
          <w:rFonts w:ascii="宋体" w:hAnsi="宋体"/>
          <w:color w:val="auto"/>
          <w:sz w:val="24"/>
          <w:highlight w:val="none"/>
        </w:rPr>
        <w:t>)乙方不得以任何名义为甲方及其工作人员报销应由甲方单位或个人支付的任何费用。</w:t>
      </w:r>
    </w:p>
    <w:p>
      <w:pPr>
        <w:spacing w:line="360" w:lineRule="auto"/>
        <w:ind w:left="25" w:leftChars="12" w:firstLine="480" w:firstLineChars="200"/>
        <w:rPr>
          <w:rFonts w:ascii="宋体" w:hAnsi="宋体"/>
          <w:color w:val="auto"/>
          <w:sz w:val="24"/>
          <w:highlight w:val="none"/>
        </w:rPr>
      </w:pPr>
      <w:r>
        <w:rPr>
          <w:rFonts w:hint="eastAsia" w:ascii="宋体" w:hAnsi="宋体"/>
          <w:color w:val="auto"/>
          <w:sz w:val="24"/>
          <w:highlight w:val="none"/>
        </w:rPr>
        <w:t>（三）乙方不得以任何理由安排甲方工作人员参加可能影响相关业务公开、公正、公平性的宴请及娱乐活动。</w:t>
      </w:r>
    </w:p>
    <w:p>
      <w:pPr>
        <w:pStyle w:val="15"/>
        <w:rPr>
          <w:color w:val="auto"/>
          <w:sz w:val="24"/>
          <w:highlight w:val="none"/>
        </w:rPr>
      </w:pPr>
      <w:r>
        <w:rPr>
          <w:rFonts w:hint="eastAsia"/>
          <w:color w:val="auto"/>
          <w:sz w:val="24"/>
          <w:highlight w:val="none"/>
        </w:rPr>
        <w:t>（四）乙方不得为甲方单位和个人购置或提供通讯工具和高档办公用品等物品，也不得为甲方提供与工作无关的房屋、汽车等。</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（五）乙方不得擅自与甲方工作人员就合同中的质量、数量、价格、工程量、验收等条款进行私下商谈或者达成默契。</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（六）乙方不得以回扣、手续费、加班费、咨询费、劳务费、协调费、辛苦费等各种名义向甲方工作人员给予或赠送钱物。</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（七）乙方不得向甲方工作人员提供干股或红利。</w:t>
      </w:r>
    </w:p>
    <w:p>
      <w:pPr>
        <w:spacing w:line="360" w:lineRule="auto"/>
        <w:ind w:firstLine="482" w:firstLineChars="200"/>
        <w:rPr>
          <w:rFonts w:ascii="宋体" w:hAnsi="宋体"/>
          <w:color w:val="auto"/>
          <w:sz w:val="24"/>
          <w:highlight w:val="none"/>
        </w:rPr>
      </w:pPr>
      <w:r>
        <w:rPr>
          <w:rFonts w:hint="eastAsia" w:ascii="宋体" w:hAnsi="宋体"/>
          <w:b/>
          <w:bCs/>
          <w:color w:val="auto"/>
          <w:sz w:val="24"/>
          <w:highlight w:val="none"/>
        </w:rPr>
        <w:t>第四条违约责任</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一）甲方及其工作人员违反本协议第一、二条。甲方按管理权限，对相关责任人依据有关规定给予党纪、政务处分或组织处理；涉嫌犯罪的，移交司法机关追究刑事责任；给乙方单位造成经济损失的，应予以赔偿。</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甲方举报投诉联系部门：广州市净水有限公司</w:t>
      </w:r>
      <w:r>
        <w:rPr>
          <w:rFonts w:ascii="宋体" w:hAnsi="宋体"/>
          <w:color w:val="auto"/>
          <w:sz w:val="24"/>
          <w:highlight w:val="none"/>
          <w:u w:val="single"/>
        </w:rPr>
        <w:t>纪检</w:t>
      </w:r>
      <w:r>
        <w:rPr>
          <w:rFonts w:hint="eastAsia" w:ascii="宋体" w:hAnsi="宋体"/>
          <w:color w:val="auto"/>
          <w:sz w:val="24"/>
          <w:highlight w:val="none"/>
          <w:u w:val="single"/>
        </w:rPr>
        <w:t>室</w:t>
      </w:r>
      <w:r>
        <w:rPr>
          <w:rFonts w:hint="eastAsia" w:ascii="宋体" w:hAnsi="宋体"/>
          <w:color w:val="auto"/>
          <w:sz w:val="24"/>
          <w:highlight w:val="none"/>
        </w:rPr>
        <w:t>，联系电话：</w:t>
      </w:r>
      <w:r>
        <w:rPr>
          <w:rFonts w:ascii="宋体" w:hAnsi="宋体"/>
          <w:color w:val="auto"/>
          <w:sz w:val="24"/>
          <w:highlight w:val="none"/>
          <w:u w:val="single"/>
        </w:rPr>
        <w:t xml:space="preserve"> 020-38890265 </w:t>
      </w:r>
      <w:r>
        <w:rPr>
          <w:rFonts w:hint="eastAsia" w:ascii="宋体" w:hAnsi="宋体"/>
          <w:color w:val="auto"/>
          <w:sz w:val="24"/>
          <w:highlight w:val="none"/>
        </w:rPr>
        <w:t>。</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（二）乙方及其工作人员违反本协议第一、三条。根据具体情节和造成的后果，甲方有权对乙方采取以下一种或多种处理办法：</w:t>
      </w:r>
    </w:p>
    <w:p>
      <w:pPr>
        <w:spacing w:line="360" w:lineRule="auto"/>
        <w:ind w:firstLine="480" w:firstLineChars="200"/>
        <w:rPr>
          <w:rFonts w:ascii="宋体" w:hAnsi="宋体"/>
          <w:color w:val="auto"/>
          <w:sz w:val="24"/>
          <w:highlight w:val="none"/>
        </w:rPr>
      </w:pPr>
      <w:r>
        <w:rPr>
          <w:rFonts w:ascii="宋体" w:hAnsi="宋体"/>
          <w:color w:val="auto"/>
          <w:sz w:val="24"/>
          <w:highlight w:val="none"/>
        </w:rPr>
        <w:t>1、扣除乙方</w:t>
      </w:r>
      <w:r>
        <w:rPr>
          <w:rFonts w:hint="eastAsia" w:ascii="宋体" w:hAnsi="宋体"/>
          <w:color w:val="auto"/>
          <w:sz w:val="24"/>
          <w:highlight w:val="none"/>
        </w:rPr>
        <w:t>全部</w:t>
      </w:r>
      <w:r>
        <w:rPr>
          <w:rFonts w:ascii="宋体" w:hAnsi="宋体"/>
          <w:color w:val="auto"/>
          <w:sz w:val="24"/>
          <w:highlight w:val="none"/>
        </w:rPr>
        <w:t>履约保证金；</w:t>
      </w:r>
    </w:p>
    <w:p>
      <w:pPr>
        <w:spacing w:line="360" w:lineRule="auto"/>
        <w:ind w:firstLine="480" w:firstLineChars="200"/>
        <w:rPr>
          <w:rFonts w:ascii="宋体" w:hAnsi="宋体"/>
          <w:color w:val="auto"/>
          <w:sz w:val="24"/>
          <w:highlight w:val="none"/>
        </w:rPr>
      </w:pPr>
      <w:r>
        <w:rPr>
          <w:rFonts w:ascii="宋体" w:hAnsi="宋体"/>
          <w:color w:val="auto"/>
          <w:sz w:val="24"/>
          <w:highlight w:val="none"/>
        </w:rPr>
        <w:t>2、</w:t>
      </w:r>
      <w:r>
        <w:rPr>
          <w:rFonts w:hint="eastAsia" w:ascii="宋体" w:hAnsi="宋体"/>
          <w:color w:val="auto"/>
          <w:sz w:val="24"/>
          <w:highlight w:val="none"/>
        </w:rPr>
        <w:t>解除主合同</w:t>
      </w:r>
      <w:r>
        <w:rPr>
          <w:rFonts w:ascii="宋体" w:hAnsi="宋体"/>
          <w:color w:val="auto"/>
          <w:sz w:val="24"/>
          <w:highlight w:val="none"/>
        </w:rPr>
        <w:t>；</w:t>
      </w:r>
    </w:p>
    <w:p>
      <w:pPr>
        <w:spacing w:line="360" w:lineRule="auto"/>
        <w:ind w:firstLine="480" w:firstLineChars="200"/>
        <w:rPr>
          <w:rFonts w:ascii="宋体" w:hAnsi="宋体"/>
          <w:color w:val="auto"/>
          <w:sz w:val="24"/>
          <w:highlight w:val="none"/>
        </w:rPr>
      </w:pPr>
      <w:r>
        <w:rPr>
          <w:rFonts w:ascii="宋体" w:hAnsi="宋体"/>
          <w:color w:val="auto"/>
          <w:sz w:val="24"/>
          <w:highlight w:val="none"/>
        </w:rPr>
        <w:t>3、追究乙方合同其他违约责任；</w:t>
      </w:r>
    </w:p>
    <w:p>
      <w:pPr>
        <w:spacing w:line="360" w:lineRule="auto"/>
        <w:ind w:firstLine="480" w:firstLineChars="200"/>
        <w:rPr>
          <w:rFonts w:ascii="宋体" w:hAnsi="宋体"/>
          <w:color w:val="auto"/>
          <w:sz w:val="24"/>
          <w:highlight w:val="none"/>
        </w:rPr>
      </w:pPr>
      <w:r>
        <w:rPr>
          <w:rFonts w:ascii="宋体" w:hAnsi="宋体"/>
          <w:color w:val="auto"/>
          <w:sz w:val="24"/>
          <w:highlight w:val="none"/>
        </w:rPr>
        <w:t>4、</w:t>
      </w:r>
      <w:r>
        <w:rPr>
          <w:rFonts w:hint="eastAsia" w:ascii="宋体" w:hAnsi="宋体"/>
          <w:color w:val="auto"/>
          <w:sz w:val="24"/>
          <w:highlight w:val="none"/>
        </w:rPr>
        <w:t>根据甲方及其上级单位、主管部门的有关规定，对乙方违反廉洁协议的行为限制其参与招投标活动的资格。</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乙方无条件接受甲方处理意见并承担给甲方造成的损失，全额返还用不正当手段获取的非法所得，并承担相应的法律责任。</w:t>
      </w:r>
    </w:p>
    <w:p>
      <w:pPr>
        <w:spacing w:after="0" w:line="240" w:lineRule="auto"/>
        <w:ind w:firstLine="482" w:firstLineChars="200"/>
        <w:rPr>
          <w:rFonts w:ascii="宋体" w:hAnsi="宋体" w:cs="宋体"/>
          <w:color w:val="auto"/>
          <w:kern w:val="0"/>
          <w:sz w:val="24"/>
          <w:szCs w:val="24"/>
          <w:highlight w:val="none"/>
        </w:rPr>
      </w:pPr>
      <w:r>
        <w:rPr>
          <w:rFonts w:hint="eastAsia" w:ascii="宋体" w:hAnsi="宋体"/>
          <w:b/>
          <w:bCs/>
          <w:color w:val="auto"/>
          <w:sz w:val="24"/>
          <w:highlight w:val="none"/>
        </w:rPr>
        <w:t xml:space="preserve">第五条 </w:t>
      </w:r>
      <w:r>
        <w:rPr>
          <w:rFonts w:ascii="宋体" w:hAnsi="宋体" w:cs="宋体"/>
          <w:color w:val="auto"/>
          <w:kern w:val="0"/>
          <w:sz w:val="24"/>
          <w:szCs w:val="24"/>
          <w:highlight w:val="none"/>
        </w:rPr>
        <w:t xml:space="preserve">本协议执行情况，接受有管辖权的纪检、监察部门的监督，双方应予以配合检查调查。 </w:t>
      </w:r>
    </w:p>
    <w:p>
      <w:pPr>
        <w:spacing w:line="360" w:lineRule="auto"/>
        <w:ind w:firstLine="482" w:firstLineChars="200"/>
        <w:rPr>
          <w:rFonts w:ascii="宋体" w:hAnsi="宋体"/>
          <w:color w:val="auto"/>
          <w:sz w:val="24"/>
          <w:highlight w:val="none"/>
        </w:rPr>
      </w:pPr>
      <w:r>
        <w:rPr>
          <w:rFonts w:hint="eastAsia" w:ascii="宋体" w:hAnsi="宋体"/>
          <w:b/>
          <w:color w:val="auto"/>
          <w:sz w:val="24"/>
          <w:highlight w:val="none"/>
        </w:rPr>
        <w:t>第六条</w:t>
      </w:r>
      <w:r>
        <w:rPr>
          <w:rFonts w:ascii="宋体" w:hAnsi="宋体"/>
          <w:color w:val="auto"/>
          <w:sz w:val="24"/>
          <w:highlight w:val="none"/>
        </w:rPr>
        <w:t>本协议作为</w:t>
      </w:r>
      <w:r>
        <w:rPr>
          <w:rFonts w:hint="eastAsia" w:ascii="宋体" w:hAnsi="宋体"/>
          <w:color w:val="auto"/>
          <w:sz w:val="24"/>
          <w:highlight w:val="none"/>
          <w:u w:val="single"/>
          <w:lang w:eastAsia="zh-CN"/>
        </w:rPr>
        <w:t>《</w:t>
      </w:r>
      <w:r>
        <w:rPr>
          <w:rFonts w:hint="eastAsia" w:ascii="宋体" w:hAnsi="宋体"/>
          <w:color w:val="auto"/>
          <w:sz w:val="24"/>
          <w:highlight w:val="none"/>
          <w:u w:val="single"/>
        </w:rPr>
        <w:t>2022年固定式气体检测仪</w:t>
      </w:r>
      <w:r>
        <w:rPr>
          <w:rFonts w:hint="eastAsia" w:ascii="宋体" w:hAnsi="宋体"/>
          <w:color w:val="auto"/>
          <w:sz w:val="24"/>
          <w:highlight w:val="none"/>
          <w:u w:val="single"/>
          <w:lang w:val="en-US" w:eastAsia="zh-CN"/>
        </w:rPr>
        <w:t>采购</w:t>
      </w:r>
      <w:r>
        <w:rPr>
          <w:rFonts w:hint="eastAsia" w:ascii="宋体" w:hAnsi="宋体"/>
          <w:color w:val="auto"/>
          <w:sz w:val="24"/>
          <w:highlight w:val="none"/>
          <w:u w:val="single"/>
        </w:rPr>
        <w:t>项目</w:t>
      </w:r>
      <w:r>
        <w:rPr>
          <w:rFonts w:hint="eastAsia" w:ascii="宋体" w:hAnsi="宋体"/>
          <w:color w:val="auto"/>
          <w:sz w:val="24"/>
          <w:highlight w:val="none"/>
          <w:u w:val="single"/>
          <w:lang w:eastAsia="zh-CN"/>
        </w:rPr>
        <w:t>》（穗净水合</w:t>
      </w:r>
      <w:r>
        <w:rPr>
          <w:rFonts w:hint="eastAsia" w:ascii="仿宋_GB2312" w:hAnsi="仿宋_GB2312" w:eastAsia="仿宋_GB2312" w:cs="仿宋_GB2312"/>
          <w:color w:val="auto"/>
          <w:sz w:val="24"/>
          <w:highlight w:val="none"/>
          <w:u w:val="single"/>
          <w:lang w:eastAsia="zh-CN"/>
        </w:rPr>
        <w:t>〔</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lang w:eastAsia="zh-CN"/>
        </w:rPr>
        <w:t>〕</w:t>
      </w:r>
      <w:r>
        <w:rPr>
          <w:rFonts w:hint="eastAsia" w:ascii="宋体" w:hAnsi="宋体"/>
          <w:color w:val="auto"/>
          <w:sz w:val="24"/>
          <w:highlight w:val="none"/>
          <w:u w:val="single"/>
          <w:lang w:val="en-US" w:eastAsia="zh-CN"/>
        </w:rPr>
        <w:t xml:space="preserve"> 号</w:t>
      </w:r>
      <w:r>
        <w:rPr>
          <w:rFonts w:hint="eastAsia" w:ascii="宋体" w:hAnsi="宋体"/>
          <w:color w:val="auto"/>
          <w:sz w:val="24"/>
          <w:highlight w:val="none"/>
          <w:u w:val="single"/>
          <w:lang w:eastAsia="zh-CN"/>
        </w:rPr>
        <w:t>）</w:t>
      </w:r>
      <w:r>
        <w:rPr>
          <w:rFonts w:hint="eastAsia" w:ascii="宋体" w:hAnsi="宋体"/>
          <w:color w:val="auto"/>
          <w:sz w:val="24"/>
          <w:highlight w:val="none"/>
        </w:rPr>
        <w:t>合同的附件，并具有同等的法律效力，本协议自双方签字盖章之日起生效，与主合同同时终止。</w:t>
      </w:r>
    </w:p>
    <w:p>
      <w:pPr>
        <w:spacing w:line="360" w:lineRule="auto"/>
        <w:ind w:firstLine="482" w:firstLineChars="200"/>
        <w:rPr>
          <w:rFonts w:ascii="宋体" w:hAnsi="宋体"/>
          <w:color w:val="auto"/>
          <w:sz w:val="24"/>
          <w:highlight w:val="none"/>
        </w:rPr>
      </w:pPr>
      <w:r>
        <w:rPr>
          <w:rFonts w:hint="eastAsia" w:ascii="宋体" w:hAnsi="宋体"/>
          <w:b/>
          <w:color w:val="auto"/>
          <w:sz w:val="24"/>
          <w:highlight w:val="none"/>
        </w:rPr>
        <w:t>第七条</w:t>
      </w:r>
      <w:r>
        <w:rPr>
          <w:rFonts w:hint="eastAsia" w:ascii="宋体" w:hAnsi="宋体"/>
          <w:b/>
          <w:color w:val="auto"/>
          <w:sz w:val="24"/>
          <w:highlight w:val="none"/>
          <w:lang w:val="en-US" w:eastAsia="zh-CN"/>
        </w:rPr>
        <w:t xml:space="preserve"> </w:t>
      </w:r>
      <w:r>
        <w:rPr>
          <w:rFonts w:hint="eastAsia" w:asciiTheme="minorEastAsia" w:hAnsiTheme="minorEastAsia" w:eastAsiaTheme="minorEastAsia"/>
          <w:color w:val="auto"/>
          <w:sz w:val="24"/>
          <w:highlight w:val="none"/>
        </w:rPr>
        <w:t>本协议甲方、乙方双方执持数量与主合同一致</w:t>
      </w:r>
      <w:r>
        <w:rPr>
          <w:rFonts w:hint="eastAsia" w:asciiTheme="minorEastAsia" w:hAnsiTheme="minorEastAsia" w:eastAsiaTheme="minorEastAsia"/>
          <w:color w:val="auto"/>
          <w:sz w:val="24"/>
          <w:highlight w:val="none"/>
          <w:lang w:val="en-US" w:eastAsia="zh-CN"/>
        </w:rPr>
        <w:t>.</w:t>
      </w:r>
      <w:r>
        <w:rPr>
          <w:rFonts w:ascii="宋体" w:hAnsi="宋体"/>
          <w:color w:val="auto"/>
          <w:sz w:val="24"/>
          <w:highlight w:val="none"/>
        </w:rPr>
        <w:t>。</w:t>
      </w:r>
    </w:p>
    <w:p>
      <w:pPr>
        <w:spacing w:line="360" w:lineRule="auto"/>
        <w:ind w:firstLine="480" w:firstLineChars="200"/>
        <w:rPr>
          <w:rFonts w:ascii="宋体" w:hAnsi="宋体"/>
          <w:color w:val="auto"/>
          <w:sz w:val="24"/>
          <w:highlight w:val="none"/>
        </w:rPr>
      </w:pPr>
    </w:p>
    <w:p>
      <w:pPr>
        <w:spacing w:line="360" w:lineRule="auto"/>
        <w:rPr>
          <w:rFonts w:hint="eastAsia" w:ascii="宋体" w:hAnsi="宋体" w:eastAsiaTheme="minorEastAsia"/>
          <w:color w:val="auto"/>
          <w:sz w:val="24"/>
          <w:highlight w:val="none"/>
          <w:lang w:eastAsia="zh-CN"/>
        </w:rPr>
      </w:pPr>
    </w:p>
    <w:p>
      <w:pPr>
        <w:spacing w:line="360" w:lineRule="auto"/>
        <w:rPr>
          <w:rFonts w:ascii="宋体" w:hAnsi="宋体"/>
          <w:color w:val="auto"/>
          <w:sz w:val="24"/>
          <w:highlight w:val="none"/>
        </w:rPr>
      </w:pPr>
      <w:r>
        <w:rPr>
          <w:rFonts w:hint="eastAsia" w:ascii="宋体" w:hAnsi="宋体"/>
          <w:color w:val="auto"/>
          <w:sz w:val="24"/>
          <w:highlight w:val="none"/>
        </w:rPr>
        <w:t>甲方（盖章）：                     乙方（盖章）：</w:t>
      </w:r>
    </w:p>
    <w:p>
      <w:pPr>
        <w:pStyle w:val="35"/>
        <w:tabs>
          <w:tab w:val="left" w:pos="5100"/>
        </w:tabs>
        <w:spacing w:line="360" w:lineRule="auto"/>
        <w:ind w:left="7200" w:firstLine="0" w:firstLineChars="0"/>
        <w:jc w:val="left"/>
        <w:rPr>
          <w:rFonts w:ascii="宋体" w:hAnsi="宋体"/>
          <w:color w:val="auto"/>
          <w:sz w:val="24"/>
          <w:highlight w:val="none"/>
        </w:rPr>
      </w:pPr>
    </w:p>
    <w:p>
      <w:pPr>
        <w:tabs>
          <w:tab w:val="left" w:pos="5100"/>
        </w:tabs>
        <w:spacing w:line="360" w:lineRule="auto"/>
        <w:ind w:left="7200" w:hanging="7200" w:hangingChars="3000"/>
        <w:rPr>
          <w:rFonts w:ascii="宋体" w:hAnsi="宋体"/>
          <w:color w:val="auto"/>
          <w:sz w:val="24"/>
          <w:highlight w:val="none"/>
        </w:rPr>
      </w:pPr>
      <w:r>
        <w:rPr>
          <w:rFonts w:hint="eastAsia" w:ascii="宋体" w:hAnsi="宋体"/>
          <w:color w:val="auto"/>
          <w:sz w:val="24"/>
          <w:highlight w:val="none"/>
        </w:rPr>
        <w:t>签约代表：                         签约代表：</w:t>
      </w:r>
    </w:p>
    <w:p>
      <w:pPr>
        <w:tabs>
          <w:tab w:val="left" w:pos="4170"/>
        </w:tabs>
        <w:spacing w:line="360" w:lineRule="auto"/>
        <w:rPr>
          <w:rFonts w:ascii="宋体" w:hAnsi="宋体"/>
          <w:color w:val="auto"/>
          <w:highlight w:val="none"/>
        </w:rPr>
      </w:pPr>
      <w:r>
        <w:rPr>
          <w:rFonts w:hint="eastAsia" w:ascii="宋体" w:hAnsi="宋体"/>
          <w:color w:val="auto"/>
          <w:sz w:val="24"/>
          <w:highlight w:val="none"/>
        </w:rPr>
        <w:t>日期</w:t>
      </w:r>
      <w:r>
        <w:rPr>
          <w:rFonts w:ascii="宋体" w:hAnsi="宋体"/>
          <w:color w:val="auto"/>
          <w:sz w:val="24"/>
          <w:highlight w:val="none"/>
        </w:rPr>
        <w:t>:    年</w:t>
      </w:r>
      <w:r>
        <w:rPr>
          <w:rFonts w:hint="eastAsia" w:ascii="宋体" w:hAnsi="宋体"/>
          <w:color w:val="auto"/>
          <w:sz w:val="24"/>
          <w:highlight w:val="none"/>
        </w:rPr>
        <w:t xml:space="preserve">  </w:t>
      </w:r>
      <w:r>
        <w:rPr>
          <w:rFonts w:ascii="宋体" w:hAnsi="宋体"/>
          <w:color w:val="auto"/>
          <w:sz w:val="24"/>
          <w:highlight w:val="none"/>
        </w:rPr>
        <w:t>月</w:t>
      </w:r>
      <w:r>
        <w:rPr>
          <w:rFonts w:hint="eastAsia" w:ascii="宋体" w:hAnsi="宋体"/>
          <w:color w:val="auto"/>
          <w:sz w:val="24"/>
          <w:highlight w:val="none"/>
        </w:rPr>
        <w:t xml:space="preserve"> </w:t>
      </w:r>
      <w:r>
        <w:rPr>
          <w:rFonts w:ascii="宋体" w:hAnsi="宋体"/>
          <w:color w:val="auto"/>
          <w:sz w:val="24"/>
          <w:highlight w:val="none"/>
        </w:rPr>
        <w:t xml:space="preserve"> 日</w:t>
      </w:r>
      <w:r>
        <w:rPr>
          <w:rFonts w:ascii="宋体" w:hAnsi="宋体"/>
          <w:color w:val="auto"/>
          <w:sz w:val="24"/>
          <w:highlight w:val="none"/>
        </w:rPr>
        <w:tab/>
      </w:r>
      <w:r>
        <w:rPr>
          <w:rFonts w:hint="eastAsia" w:ascii="宋体" w:hAnsi="宋体"/>
          <w:color w:val="auto"/>
          <w:sz w:val="24"/>
          <w:highlight w:val="none"/>
        </w:rPr>
        <w:t xml:space="preserve">日期： </w:t>
      </w:r>
      <w:r>
        <w:rPr>
          <w:rFonts w:ascii="宋体" w:hAnsi="宋体"/>
          <w:color w:val="auto"/>
          <w:sz w:val="24"/>
          <w:highlight w:val="none"/>
        </w:rPr>
        <w:t xml:space="preserve"> </w:t>
      </w:r>
      <w:r>
        <w:rPr>
          <w:rFonts w:hint="eastAsia" w:ascii="宋体" w:hAnsi="宋体"/>
          <w:color w:val="auto"/>
          <w:sz w:val="24"/>
          <w:highlight w:val="none"/>
        </w:rPr>
        <w:t xml:space="preserve">年 </w:t>
      </w:r>
      <w:r>
        <w:rPr>
          <w:rFonts w:ascii="宋体" w:hAnsi="宋体"/>
          <w:color w:val="auto"/>
          <w:sz w:val="24"/>
          <w:highlight w:val="none"/>
        </w:rPr>
        <w:t xml:space="preserve"> </w:t>
      </w:r>
      <w:r>
        <w:rPr>
          <w:rFonts w:hint="eastAsia" w:ascii="宋体" w:hAnsi="宋体"/>
          <w:color w:val="auto"/>
          <w:sz w:val="24"/>
          <w:highlight w:val="none"/>
        </w:rPr>
        <w:t xml:space="preserve">月 </w:t>
      </w:r>
      <w:r>
        <w:rPr>
          <w:rFonts w:ascii="宋体" w:hAnsi="宋体"/>
          <w:color w:val="auto"/>
          <w:sz w:val="24"/>
          <w:highlight w:val="none"/>
        </w:rPr>
        <w:t xml:space="preserve"> </w:t>
      </w:r>
      <w:r>
        <w:rPr>
          <w:rFonts w:hint="eastAsia" w:ascii="宋体" w:hAnsi="宋体"/>
          <w:color w:val="auto"/>
          <w:sz w:val="24"/>
          <w:highlight w:val="none"/>
        </w:rPr>
        <w:t>日</w:t>
      </w:r>
    </w:p>
    <w:p>
      <w:pPr>
        <w:spacing w:line="240" w:lineRule="auto"/>
        <w:rPr>
          <w:rFonts w:hint="eastAsia" w:ascii="宋体" w:hAnsi="宋体" w:cs="宋体"/>
          <w:b/>
          <w:color w:val="auto"/>
          <w:szCs w:val="21"/>
          <w:highlight w:val="none"/>
        </w:rPr>
      </w:pPr>
      <w:r>
        <w:rPr>
          <w:rFonts w:hint="eastAsia" w:ascii="宋体" w:hAnsi="宋体" w:cs="宋体"/>
          <w:b/>
          <w:color w:val="auto"/>
          <w:szCs w:val="21"/>
          <w:highlight w:val="none"/>
        </w:rPr>
        <w:br w:type="page"/>
      </w:r>
    </w:p>
    <w:p>
      <w:pPr>
        <w:spacing w:line="360" w:lineRule="auto"/>
        <w:rPr>
          <w:rFonts w:ascii="宋体" w:hAnsi="宋体" w:cs="宋体"/>
          <w:b/>
          <w:color w:val="auto"/>
          <w:szCs w:val="21"/>
          <w:highlight w:val="none"/>
        </w:rPr>
      </w:pPr>
      <w:r>
        <w:rPr>
          <w:rFonts w:hint="eastAsia" w:ascii="宋体" w:hAnsi="宋体" w:cs="宋体"/>
          <w:b/>
          <w:color w:val="auto"/>
          <w:szCs w:val="21"/>
          <w:highlight w:val="none"/>
        </w:rPr>
        <w:t>附件</w:t>
      </w:r>
      <w:r>
        <w:rPr>
          <w:rFonts w:ascii="宋体" w:hAnsi="宋体" w:cs="宋体"/>
          <w:b/>
          <w:color w:val="auto"/>
          <w:szCs w:val="21"/>
          <w:highlight w:val="none"/>
        </w:rPr>
        <w:t>3</w:t>
      </w:r>
      <w:r>
        <w:rPr>
          <w:rFonts w:hint="eastAsia" w:ascii="宋体" w:hAnsi="宋体" w:cs="宋体"/>
          <w:b/>
          <w:color w:val="auto"/>
          <w:szCs w:val="21"/>
          <w:highlight w:val="none"/>
        </w:rPr>
        <w:t>：安全管理协议书</w:t>
      </w:r>
    </w:p>
    <w:p>
      <w:pPr>
        <w:spacing w:line="560" w:lineRule="exact"/>
        <w:jc w:val="center"/>
        <w:rPr>
          <w:rFonts w:ascii="黑体" w:hAnsi="宋体" w:eastAsia="黑体" w:cs="宋体"/>
          <w:bCs/>
          <w:color w:val="auto"/>
          <w:kern w:val="0"/>
          <w:sz w:val="44"/>
          <w:szCs w:val="44"/>
          <w:highlight w:val="none"/>
        </w:rPr>
      </w:pPr>
      <w:r>
        <w:rPr>
          <w:rFonts w:hint="eastAsia" w:ascii="黑体" w:hAnsi="宋体" w:eastAsia="黑体" w:cs="宋体"/>
          <w:bCs/>
          <w:color w:val="auto"/>
          <w:kern w:val="0"/>
          <w:sz w:val="44"/>
          <w:szCs w:val="44"/>
          <w:highlight w:val="none"/>
        </w:rPr>
        <w:t>物品采购</w:t>
      </w:r>
      <w:r>
        <w:rPr>
          <w:rFonts w:hint="eastAsia" w:ascii="黑体" w:hAnsi="Batang" w:eastAsia="黑体" w:cs="Batang"/>
          <w:bCs/>
          <w:color w:val="auto"/>
          <w:kern w:val="0"/>
          <w:sz w:val="44"/>
          <w:szCs w:val="44"/>
          <w:highlight w:val="none"/>
        </w:rPr>
        <w:t>安全协议</w:t>
      </w:r>
      <w:r>
        <w:rPr>
          <w:rFonts w:hint="eastAsia" w:ascii="黑体" w:hAnsi="宋体" w:eastAsia="黑体" w:cs="宋体"/>
          <w:bCs/>
          <w:color w:val="auto"/>
          <w:kern w:val="0"/>
          <w:sz w:val="44"/>
          <w:szCs w:val="44"/>
          <w:highlight w:val="none"/>
        </w:rPr>
        <w:t>书</w:t>
      </w:r>
    </w:p>
    <w:p>
      <w:pPr>
        <w:spacing w:line="560" w:lineRule="exact"/>
        <w:rPr>
          <w:rFonts w:ascii="宋体" w:hAnsi="宋体" w:cs="Arial"/>
          <w:color w:val="auto"/>
          <w:kern w:val="0"/>
          <w:sz w:val="24"/>
          <w:highlight w:val="none"/>
        </w:rPr>
      </w:pP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甲方：</w:t>
      </w:r>
      <w:r>
        <w:rPr>
          <w:rFonts w:hint="eastAsia"/>
          <w:color w:val="auto"/>
          <w:sz w:val="24"/>
          <w:highlight w:val="none"/>
        </w:rPr>
        <w:t>广州市净水有限公司</w:t>
      </w: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 xml:space="preserve">乙方： </w:t>
      </w:r>
    </w:p>
    <w:p>
      <w:pPr>
        <w:spacing w:line="560" w:lineRule="exact"/>
        <w:rPr>
          <w:rFonts w:ascii="宋体" w:hAnsi="宋体" w:cs="Arial"/>
          <w:color w:val="auto"/>
          <w:kern w:val="0"/>
          <w:sz w:val="24"/>
          <w:highlight w:val="none"/>
        </w:rPr>
      </w:pP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为加强物品采购过程安全管理，根据《中华人民共和国安全生产法》、《生产安全事故报告和调查处理条例》等国家及地方有关安全生产法律法规</w:t>
      </w:r>
      <w:r>
        <w:rPr>
          <w:rFonts w:ascii="宋体" w:hAnsi="宋体" w:cs="Arial"/>
          <w:color w:val="auto"/>
          <w:kern w:val="0"/>
          <w:sz w:val="24"/>
          <w:highlight w:val="none"/>
        </w:rPr>
        <w:t>，甲乙双方就</w:t>
      </w:r>
      <w:r>
        <w:rPr>
          <w:rFonts w:hint="eastAsia" w:ascii="宋体" w:hAnsi="宋体" w:cs="Arial"/>
          <w:color w:val="auto"/>
          <w:kern w:val="0"/>
          <w:sz w:val="24"/>
          <w:highlight w:val="none"/>
        </w:rPr>
        <w:t>物品采购的安全</w:t>
      </w:r>
      <w:r>
        <w:rPr>
          <w:rFonts w:ascii="宋体" w:hAnsi="宋体" w:cs="Arial"/>
          <w:color w:val="auto"/>
          <w:kern w:val="0"/>
          <w:sz w:val="24"/>
          <w:highlight w:val="none"/>
        </w:rPr>
        <w:t>事宜，</w:t>
      </w:r>
      <w:r>
        <w:rPr>
          <w:rFonts w:ascii="宋体" w:hAnsi="宋体" w:cs="Arial"/>
          <w:color w:val="auto"/>
          <w:sz w:val="24"/>
          <w:highlight w:val="none"/>
        </w:rPr>
        <w:t>经双方友好协商，达成如下协议</w:t>
      </w:r>
      <w:r>
        <w:rPr>
          <w:rFonts w:ascii="宋体" w:hAnsi="宋体" w:cs="Arial"/>
          <w:color w:val="auto"/>
          <w:kern w:val="0"/>
          <w:sz w:val="24"/>
          <w:highlight w:val="none"/>
        </w:rPr>
        <w:t>。</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一、本协议与主合同的关系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本协议作为</w:t>
      </w:r>
      <w:r>
        <w:rPr>
          <w:rFonts w:hint="eastAsia" w:asciiTheme="minorEastAsia" w:hAnsiTheme="minorEastAsia" w:eastAsiaTheme="minorEastAsia"/>
          <w:color w:val="auto"/>
          <w:sz w:val="24"/>
          <w:highlight w:val="none"/>
          <w:u w:val="single"/>
        </w:rPr>
        <w:t xml:space="preserve">  </w:t>
      </w:r>
      <w:r>
        <w:rPr>
          <w:rFonts w:hint="eastAsia" w:ascii="宋体" w:hAnsi="宋体"/>
          <w:color w:val="auto"/>
          <w:sz w:val="24"/>
          <w:highlight w:val="none"/>
          <w:u w:val="single"/>
          <w:lang w:eastAsia="zh-CN"/>
        </w:rPr>
        <w:t>《</w:t>
      </w:r>
      <w:r>
        <w:rPr>
          <w:rFonts w:hint="eastAsia" w:ascii="宋体" w:hAnsi="宋体"/>
          <w:color w:val="auto"/>
          <w:sz w:val="24"/>
          <w:highlight w:val="none"/>
          <w:u w:val="single"/>
          <w:lang w:val="en-US" w:eastAsia="zh-CN"/>
        </w:rPr>
        <w:t>广州市净水有限公司2022年固定式气体检测仪采购项目</w:t>
      </w:r>
      <w:r>
        <w:rPr>
          <w:rFonts w:hint="eastAsia" w:ascii="宋体" w:hAnsi="宋体"/>
          <w:color w:val="auto"/>
          <w:sz w:val="24"/>
          <w:highlight w:val="none"/>
          <w:u w:val="single"/>
          <w:lang w:eastAsia="zh-CN"/>
        </w:rPr>
        <w:t>》（穗净水合</w:t>
      </w:r>
      <w:r>
        <w:rPr>
          <w:rFonts w:hint="eastAsia" w:ascii="仿宋_GB2312" w:hAnsi="仿宋_GB2312" w:eastAsia="仿宋_GB2312" w:cs="仿宋_GB2312"/>
          <w:color w:val="auto"/>
          <w:sz w:val="24"/>
          <w:highlight w:val="none"/>
          <w:u w:val="single"/>
          <w:lang w:eastAsia="zh-CN"/>
        </w:rPr>
        <w:t>〔</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lang w:eastAsia="zh-CN"/>
        </w:rPr>
        <w:t>〕</w:t>
      </w:r>
      <w:r>
        <w:rPr>
          <w:rFonts w:hint="eastAsia" w:ascii="宋体" w:hAnsi="宋体"/>
          <w:color w:val="auto"/>
          <w:sz w:val="24"/>
          <w:highlight w:val="none"/>
          <w:u w:val="single"/>
          <w:lang w:val="en-US" w:eastAsia="zh-CN"/>
        </w:rPr>
        <w:t xml:space="preserve"> 号</w:t>
      </w:r>
      <w:r>
        <w:rPr>
          <w:rFonts w:hint="eastAsia" w:ascii="宋体" w:hAnsi="宋体"/>
          <w:color w:val="auto"/>
          <w:sz w:val="24"/>
          <w:highlight w:val="none"/>
          <w:u w:val="single"/>
          <w:lang w:eastAsia="zh-CN"/>
        </w:rPr>
        <w:t>）</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的组成部分，与主合同具有同等法律效力。</w:t>
      </w:r>
    </w:p>
    <w:p>
      <w:pPr>
        <w:spacing w:line="560" w:lineRule="exact"/>
        <w:ind w:firstLine="482" w:firstLineChars="200"/>
        <w:rPr>
          <w:rFonts w:ascii="宋体" w:hAnsi="宋体" w:cs="Arial"/>
          <w:b/>
          <w:color w:val="auto"/>
          <w:kern w:val="0"/>
          <w:sz w:val="24"/>
          <w:highlight w:val="none"/>
        </w:rPr>
      </w:pPr>
      <w:r>
        <w:rPr>
          <w:rFonts w:hint="eastAsia" w:ascii="宋体" w:hAnsi="宋体" w:cs="Arial"/>
          <w:b/>
          <w:color w:val="auto"/>
          <w:kern w:val="0"/>
          <w:sz w:val="24"/>
          <w:highlight w:val="none"/>
        </w:rPr>
        <w:t>二、甲方权责</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（一）甲方进行物品采购时，应贯彻落实国家、地方有关安全管理的法律法规和规章制度。</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二）甲方应审查乙方物品有关的经营、运输的合法证照和资质条件，及相关运输车辆和人员的证件资料；有权对承运车辆驾驶员的健康状况，持有的相关证件是否与其所驾车型相匹配、是否达到所驾车型的驾驶年限进行检查。</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三）甲方应在其管辖区域对乙方的物品运输、装卸、安装和调试等过程的安全生产实行监督，及时纠正乙方人员违章指挥、违章驾驶、违反禁令等行为，并按照甲方的安全管理制度规定对乙方进行处理；发现安全隐患，甲方应开具隐患整改通知单，责令乙方限期整改，及时督促乙方消除事故隐患。</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（四）乙方对存在问题拒不整改的，视为违约，甲方有权对乙方按主合同相关条款进行违约金扣罚。如乙方拒不缴纳违约金的，甲方有权在履约保证金中扣除。</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（五）告知乙方在甲方应当遵守的安全管理要求。</w:t>
      </w:r>
    </w:p>
    <w:p>
      <w:pPr>
        <w:spacing w:line="560" w:lineRule="exact"/>
        <w:ind w:firstLine="482" w:firstLineChars="200"/>
        <w:rPr>
          <w:rFonts w:ascii="宋体" w:hAnsi="宋体" w:cs="Arial"/>
          <w:b/>
          <w:color w:val="auto"/>
          <w:kern w:val="0"/>
          <w:sz w:val="24"/>
          <w:highlight w:val="none"/>
        </w:rPr>
      </w:pPr>
      <w:r>
        <w:rPr>
          <w:rFonts w:hint="eastAsia" w:ascii="宋体" w:hAnsi="宋体" w:cs="Arial"/>
          <w:b/>
          <w:color w:val="auto"/>
          <w:kern w:val="0"/>
          <w:sz w:val="24"/>
          <w:highlight w:val="none"/>
        </w:rPr>
        <w:t>三、乙方权责</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（一）乙方应承诺具备所售物品的许可资质，并提供相关证明材料。若乙方非所售物品的直销厂家，应提供物品的完整供应链，物品的销售、运输、装卸全过程须严格遵守国家及地方的法律的有关规定。</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（二）</w:t>
      </w:r>
      <w:r>
        <w:rPr>
          <w:rFonts w:hint="eastAsia" w:ascii="宋体" w:hAnsi="宋体" w:cs="宋体"/>
          <w:color w:val="auto"/>
          <w:kern w:val="0"/>
          <w:sz w:val="24"/>
          <w:highlight w:val="none"/>
        </w:rPr>
        <w:t>乙方负责明确自身岗位安全职责，将安全责任落实到人；加强教育工作，督促员工遵守安全生产规章制度；鼓励员工积极参与安全生产工作，及时发现和消除隐患。运输物品时，应指定</w:t>
      </w:r>
      <w:r>
        <w:rPr>
          <w:rFonts w:hint="eastAsia" w:ascii="宋体" w:hAnsi="宋体" w:cs="Arial"/>
          <w:color w:val="auto"/>
          <w:kern w:val="0"/>
          <w:sz w:val="24"/>
          <w:highlight w:val="none"/>
        </w:rPr>
        <w:t>物品</w:t>
      </w:r>
      <w:r>
        <w:rPr>
          <w:rFonts w:hint="eastAsia" w:ascii="宋体" w:hAnsi="宋体" w:cs="宋体"/>
          <w:color w:val="auto"/>
          <w:kern w:val="0"/>
          <w:sz w:val="24"/>
          <w:highlight w:val="none"/>
        </w:rPr>
        <w:t>安全运输责任人，负责安全运输和装卸及安全教育工作，同时督促检查，确保</w:t>
      </w:r>
      <w:r>
        <w:rPr>
          <w:rFonts w:hint="eastAsia" w:ascii="宋体" w:hAnsi="宋体" w:cs="Arial"/>
          <w:color w:val="auto"/>
          <w:kern w:val="0"/>
          <w:sz w:val="24"/>
          <w:highlight w:val="none"/>
        </w:rPr>
        <w:t>物品</w:t>
      </w:r>
      <w:r>
        <w:rPr>
          <w:rFonts w:hint="eastAsia" w:ascii="宋体" w:hAnsi="宋体" w:cs="宋体"/>
          <w:color w:val="auto"/>
          <w:kern w:val="0"/>
          <w:sz w:val="24"/>
          <w:highlight w:val="none"/>
        </w:rPr>
        <w:t>的安全送运。</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（三）乙方应承诺所售</w:t>
      </w:r>
      <w:r>
        <w:rPr>
          <w:rFonts w:hint="eastAsia" w:ascii="宋体" w:hAnsi="宋体" w:cs="Arial"/>
          <w:color w:val="auto"/>
          <w:kern w:val="0"/>
          <w:sz w:val="24"/>
          <w:highlight w:val="none"/>
        </w:rPr>
        <w:t>物品</w:t>
      </w:r>
      <w:r>
        <w:rPr>
          <w:rFonts w:hint="eastAsia" w:ascii="宋体" w:hAnsi="宋体" w:cs="宋体"/>
          <w:color w:val="auto"/>
          <w:kern w:val="0"/>
          <w:sz w:val="24"/>
          <w:highlight w:val="none"/>
        </w:rPr>
        <w:t>质量符合现行国家规范要求，保证</w:t>
      </w:r>
      <w:r>
        <w:rPr>
          <w:rFonts w:hint="eastAsia" w:ascii="宋体" w:hAnsi="宋体" w:cs="Arial"/>
          <w:color w:val="auto"/>
          <w:kern w:val="0"/>
          <w:sz w:val="24"/>
          <w:highlight w:val="none"/>
        </w:rPr>
        <w:t>所售物品为正品。设备类物品应提供与设备型号一致的使用说明书（进口设备应有中文说明书），如物品有保质期要求的应在保质期范围内，</w:t>
      </w:r>
      <w:r>
        <w:rPr>
          <w:rFonts w:hint="eastAsia" w:ascii="宋体" w:hAnsi="宋体" w:cs="宋体"/>
          <w:color w:val="auto"/>
          <w:kern w:val="0"/>
          <w:sz w:val="24"/>
          <w:highlight w:val="none"/>
        </w:rPr>
        <w:t>特殊设备应在运输前做好定检工作，包装要完整完好。</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（四）乙方对</w:t>
      </w:r>
      <w:r>
        <w:rPr>
          <w:rFonts w:hint="eastAsia" w:ascii="宋体" w:hAnsi="宋体" w:cs="Arial"/>
          <w:color w:val="auto"/>
          <w:kern w:val="0"/>
          <w:sz w:val="24"/>
          <w:highlight w:val="none"/>
        </w:rPr>
        <w:t>物品</w:t>
      </w:r>
      <w:r>
        <w:rPr>
          <w:rFonts w:hint="eastAsia" w:ascii="宋体" w:hAnsi="宋体" w:cs="宋体"/>
          <w:color w:val="auto"/>
          <w:kern w:val="0"/>
          <w:sz w:val="24"/>
          <w:highlight w:val="none"/>
        </w:rPr>
        <w:t>的运输、装卸、设备的安装和调试过程的安全工作负责。对乙方内部的运输车队，乙方用于运输物品的车辆应取得合法证照资质。对乙方聘请的运输车队，乙方应严格审核其运输车队、驾驶员资质证照及车队运输相关的管理制度。</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（五）乙方须加强物品运输车辆的安全管理，用于运输</w:t>
      </w:r>
      <w:r>
        <w:rPr>
          <w:rFonts w:hint="eastAsia" w:ascii="宋体" w:hAnsi="宋体" w:cs="Arial"/>
          <w:color w:val="auto"/>
          <w:kern w:val="0"/>
          <w:sz w:val="24"/>
          <w:highlight w:val="none"/>
        </w:rPr>
        <w:t>物品</w:t>
      </w:r>
      <w:r>
        <w:rPr>
          <w:rFonts w:hint="eastAsia" w:ascii="宋体" w:hAnsi="宋体" w:cs="宋体"/>
          <w:color w:val="auto"/>
          <w:kern w:val="0"/>
          <w:sz w:val="24"/>
          <w:highlight w:val="none"/>
        </w:rPr>
        <w:t>的车辆必须车况良好、外观整洁、证照齐全，严格执行车辆安全检验制度，确保车辆性能符合安全技术标准。</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（六）人员管理</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乙方必须严格按照国家相关规定雇佣人员，加强承运车辆驾驶员的道路安全交通法、相关安全管理制度、操作技能等的培训教育，确保安全运输。禁止病车上路、超速行驶、超限超载行驶，严禁酒后驾车和疲劳驾车等。</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乙方聘请其他单位运输的，乙方应对运输单位的安全管理负责。</w:t>
      </w:r>
    </w:p>
    <w:p>
      <w:pPr>
        <w:widowControl/>
        <w:spacing w:line="56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乙方应采取措施，加强人员管理，对需进入甲方管辖区域的人员要做好三级安全教育工作、安全技术交底和培训，严防驾驶人员在运输过程中超速、超载、疲劳驾驶、违章操作等违法违章行为。一经发现应严格按制度规定落实教育处理并向甲方支付违约金</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50</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rPr>
        <w:t>元/次。</w:t>
      </w:r>
    </w:p>
    <w:p>
      <w:pPr>
        <w:widowControl/>
        <w:spacing w:line="56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乙方人员及车辆进入甲方管辖区内应自觉遵守甲方的规章制度和有关安全规定，按照现场人员指定线路行车，指定的区域停车、装卸。乙方人员不得擅自进入甲方其他生产作业区域。如有违反，将按甲方规定进行处理。</w:t>
      </w:r>
    </w:p>
    <w:p>
      <w:pPr>
        <w:widowControl/>
        <w:spacing w:line="56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4.如设备类物品需进行安装、调试，乙方应安排熟悉设备或有设备操作相关资质的专业人员与甲方进行设备验收及培训等工作，确保操作设备过程安全。</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（七）发生事故时，乙方须立即报警处理，乙方在力所能及范围内采取补救措施，并在30分钟内将情况报告甲方。</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八）乙方必须严格履行本协议，遵守甲方各项安全管理规定，服从管理。乙方对存在问题拒不整改的，视为违约，甲方有权对乙方按主合同相关条款进行违约金扣罚。如乙方拒不缴纳违约金的，甲方有权在履约保证金中扣除。</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九）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（十）乙方委托的第三方运输单位或个人，违反本协议的，全部责任均由乙方承担。</w:t>
      </w:r>
    </w:p>
    <w:p>
      <w:pPr>
        <w:pStyle w:val="38"/>
        <w:spacing w:line="560" w:lineRule="exact"/>
        <w:ind w:firstLine="482" w:firstLineChars="200"/>
        <w:rPr>
          <w:rFonts w:asciiTheme="minorEastAsia" w:hAnsiTheme="minorEastAsia" w:eastAsiaTheme="minorEastAsia"/>
          <w:color w:val="auto"/>
          <w:sz w:val="24"/>
          <w:highlight w:val="none"/>
        </w:rPr>
      </w:pPr>
      <w:r>
        <w:rPr>
          <w:rFonts w:hint="eastAsia" w:asciiTheme="minorEastAsia" w:hAnsiTheme="minorEastAsia" w:eastAsiaTheme="minorEastAsia"/>
          <w:b/>
          <w:color w:val="auto"/>
          <w:sz w:val="24"/>
          <w:highlight w:val="none"/>
        </w:rPr>
        <w:t>四、补充条款：</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五、附则</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（二）本协议与主合同同时签订、同时终止、同时生效，具有相同的法律效力，自甲方、乙方双方签字、盖章生效，甲方、乙方双方执持数量与主合同一致。</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widowControl w:val="0"/>
              <w:adjustRightInd w:val="0"/>
              <w:snapToGrid w:val="0"/>
              <w:spacing w:line="560" w:lineRule="exact"/>
              <w:jc w:val="both"/>
              <w:textAlignment w:val="baseline"/>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甲方：</w:t>
            </w:r>
          </w:p>
          <w:p>
            <w:pPr>
              <w:widowControl w:val="0"/>
              <w:adjustRightInd w:val="0"/>
              <w:snapToGrid w:val="0"/>
              <w:spacing w:line="560" w:lineRule="exact"/>
              <w:jc w:val="both"/>
              <w:textAlignment w:val="baseline"/>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签约代表：</w:t>
            </w:r>
          </w:p>
          <w:p>
            <w:pPr>
              <w:widowControl w:val="0"/>
              <w:adjustRightInd w:val="0"/>
              <w:snapToGrid w:val="0"/>
              <w:spacing w:line="560" w:lineRule="exact"/>
              <w:jc w:val="both"/>
              <w:textAlignment w:val="baseline"/>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联系电话：</w:t>
            </w:r>
          </w:p>
          <w:p>
            <w:pPr>
              <w:widowControl w:val="0"/>
              <w:adjustRightInd w:val="0"/>
              <w:snapToGrid w:val="0"/>
              <w:spacing w:line="560" w:lineRule="exact"/>
              <w:ind w:firstLine="240" w:firstLineChars="100"/>
              <w:jc w:val="right"/>
              <w:textAlignment w:val="baseline"/>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月</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日</w:t>
            </w:r>
          </w:p>
        </w:tc>
        <w:tc>
          <w:tcPr>
            <w:tcW w:w="4474" w:type="dxa"/>
          </w:tcPr>
          <w:p>
            <w:pPr>
              <w:widowControl w:val="0"/>
              <w:adjustRightInd w:val="0"/>
              <w:snapToGrid w:val="0"/>
              <w:spacing w:line="560" w:lineRule="exact"/>
              <w:jc w:val="both"/>
              <w:textAlignment w:val="baseline"/>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乙方：</w:t>
            </w:r>
          </w:p>
          <w:p>
            <w:pPr>
              <w:widowControl w:val="0"/>
              <w:adjustRightInd w:val="0"/>
              <w:snapToGrid w:val="0"/>
              <w:spacing w:line="560" w:lineRule="exact"/>
              <w:jc w:val="both"/>
              <w:textAlignment w:val="baseline"/>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签约代表：</w:t>
            </w:r>
          </w:p>
          <w:p>
            <w:pPr>
              <w:widowControl w:val="0"/>
              <w:adjustRightInd w:val="0"/>
              <w:snapToGrid w:val="0"/>
              <w:spacing w:line="560" w:lineRule="exact"/>
              <w:jc w:val="both"/>
              <w:textAlignment w:val="baseline"/>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联系电话：</w:t>
            </w:r>
          </w:p>
          <w:p>
            <w:pPr>
              <w:widowControl w:val="0"/>
              <w:adjustRightInd w:val="0"/>
              <w:snapToGrid w:val="0"/>
              <w:spacing w:line="560" w:lineRule="exact"/>
              <w:jc w:val="right"/>
              <w:textAlignment w:val="baseline"/>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月</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日</w:t>
            </w:r>
          </w:p>
        </w:tc>
      </w:tr>
    </w:tbl>
    <w:p>
      <w:pPr>
        <w:spacing w:line="360" w:lineRule="auto"/>
        <w:rPr>
          <w:rFonts w:ascii="宋体" w:hAnsi="宋体" w:cs="宋体"/>
          <w:color w:val="auto"/>
          <w:sz w:val="24"/>
          <w:szCs w:val="24"/>
          <w:highlight w:val="none"/>
        </w:rPr>
      </w:pP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br w:type="page"/>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eastAsia="zh-CN"/>
        </w:rPr>
        <w:t>附件</w:t>
      </w:r>
      <w:r>
        <w:rPr>
          <w:rFonts w:hint="eastAsia" w:ascii="宋体" w:hAnsi="宋体" w:cs="宋体"/>
          <w:b/>
          <w:bCs/>
          <w:color w:val="auto"/>
          <w:szCs w:val="21"/>
          <w:highlight w:val="none"/>
          <w:lang w:val="en-US" w:eastAsia="zh-CN"/>
        </w:rPr>
        <w:t>4技术需求</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cs="宋体"/>
          <w:b w:val="0"/>
          <w:bCs w:val="0"/>
          <w:color w:val="auto"/>
          <w:sz w:val="32"/>
          <w:szCs w:val="32"/>
          <w:highlight w:val="none"/>
          <w:lang w:val="en-US" w:eastAsia="zh-CN"/>
        </w:rPr>
      </w:pPr>
      <w:r>
        <w:rPr>
          <w:rFonts w:hint="eastAsia" w:ascii="宋体" w:hAnsi="宋体" w:cs="宋体"/>
          <w:b w:val="0"/>
          <w:bCs w:val="0"/>
          <w:color w:val="auto"/>
          <w:sz w:val="32"/>
          <w:szCs w:val="32"/>
          <w:highlight w:val="none"/>
          <w:lang w:val="en-US" w:eastAsia="zh-CN"/>
        </w:rPr>
        <w:t>标段一技术需求</w:t>
      </w:r>
    </w:p>
    <w:tbl>
      <w:tblPr>
        <w:tblStyle w:val="23"/>
        <w:tblpPr w:leftFromText="180" w:rightFromText="180" w:vertAnchor="text" w:horzAnchor="page" w:tblpX="1176" w:tblpY="432"/>
        <w:tblOverlap w:val="never"/>
        <w:tblW w:w="1009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2"/>
        <w:gridCol w:w="1619"/>
        <w:gridCol w:w="834"/>
        <w:gridCol w:w="5681"/>
        <w:gridCol w:w="12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5" w:hRule="atLeast"/>
        </w:trPr>
        <w:tc>
          <w:tcPr>
            <w:tcW w:w="6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需求单位</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设备名称</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采购</w:t>
            </w:r>
          </w:p>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数量</w:t>
            </w:r>
          </w:p>
        </w:tc>
        <w:tc>
          <w:tcPr>
            <w:tcW w:w="5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设备参数</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6" w:hRule="atLeast"/>
        </w:trPr>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沥滘分公司</w:t>
            </w: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固定式气体检测仪-氧气</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2台</w:t>
            </w:r>
          </w:p>
        </w:tc>
        <w:tc>
          <w:tcPr>
            <w:tcW w:w="56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1.检测方式：扩散.</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2.检测精度：≤±3%FS</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3.响应速度：T90＜20s。</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4.重复性：≤±1%。</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5.传感器环境条件（温度/湿度）：-20至60°C；</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6.湿度：≤95%RH，无冷凝。</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7.防护等级：IP65，可燃气体检测仪须提供防爆合格证明材料。</w:t>
            </w:r>
          </w:p>
          <w:p>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8.报警方式：二级声光报警，一二级有明显区别（二级报警光更亮、声更尖锐紧凑）。</w:t>
            </w:r>
          </w:p>
          <w:p>
            <w:pPr>
              <w:keepNext w:val="0"/>
              <w:keepLines w:val="0"/>
              <w:widowControl/>
              <w:suppressLineNumbers w:val="0"/>
              <w:jc w:val="left"/>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9.信号输出：RS-485</w:t>
            </w:r>
            <w:r>
              <w:rPr>
                <w:rFonts w:hint="eastAsia" w:ascii="宋体" w:hAnsi="宋体" w:eastAsia="宋体" w:cs="宋体"/>
                <w:i w:val="0"/>
                <w:iCs w:val="0"/>
                <w:color w:val="auto"/>
                <w:kern w:val="0"/>
                <w:sz w:val="22"/>
                <w:szCs w:val="22"/>
                <w:highlight w:val="none"/>
                <w:u w:val="none"/>
                <w:lang w:val="en-US" w:eastAsia="zh-CN" w:bidi="ar"/>
              </w:rPr>
              <w:t>或4-20mA模拟量输出,支持modbus通讯协议、开关报警信号输出</w:t>
            </w:r>
            <w:r>
              <w:rPr>
                <w:rFonts w:hint="eastAsia" w:ascii="宋体" w:hAnsi="宋体" w:eastAsia="宋体" w:cs="宋体"/>
                <w:i w:val="0"/>
                <w:iCs w:val="0"/>
                <w:color w:val="auto"/>
                <w:kern w:val="0"/>
                <w:sz w:val="21"/>
                <w:szCs w:val="21"/>
                <w:highlight w:val="none"/>
                <w:u w:val="none"/>
                <w:lang w:val="en-US" w:eastAsia="zh-CN" w:bidi="ar"/>
              </w:rPr>
              <w:t>，实时检测、定时检测,实时存储、定时存储可设置。</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仿宋"/>
                <w:b w:val="0"/>
                <w:bCs/>
                <w:i w:val="0"/>
                <w:color w:val="auto"/>
                <w:kern w:val="0"/>
                <w:sz w:val="22"/>
                <w:szCs w:val="22"/>
                <w:highlight w:val="none"/>
                <w:u w:val="none"/>
                <w:lang w:val="en-US" w:eastAsia="zh-CN" w:bidi="ar"/>
              </w:rPr>
            </w:pPr>
            <w:r>
              <w:rPr>
                <w:rFonts w:hint="eastAsia" w:ascii="仿宋" w:hAnsi="仿宋" w:eastAsia="仿宋" w:cs="仿宋"/>
                <w:b w:val="0"/>
                <w:bCs/>
                <w:i w:val="0"/>
                <w:color w:val="auto"/>
                <w:kern w:val="0"/>
                <w:sz w:val="22"/>
                <w:szCs w:val="22"/>
                <w:highlight w:val="none"/>
                <w:u w:val="none"/>
                <w:lang w:val="en-US" w:eastAsia="zh-CN" w:bidi="ar"/>
              </w:rPr>
              <w:t>测量范围：19-24%vol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固定式气体检测仪-可燃气体</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2台</w:t>
            </w:r>
          </w:p>
        </w:tc>
        <w:tc>
          <w:tcPr>
            <w:tcW w:w="5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2"/>
                <w:szCs w:val="22"/>
                <w:highlight w:val="none"/>
                <w:u w:val="none"/>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仿宋"/>
                <w:b w:val="0"/>
                <w:bCs/>
                <w:i w:val="0"/>
                <w:color w:val="auto"/>
                <w:kern w:val="0"/>
                <w:sz w:val="22"/>
                <w:szCs w:val="22"/>
                <w:highlight w:val="none"/>
                <w:u w:val="none"/>
                <w:lang w:val="en-US" w:eastAsia="zh-CN" w:bidi="ar"/>
              </w:rPr>
            </w:pPr>
            <w:r>
              <w:rPr>
                <w:rFonts w:hint="eastAsia" w:ascii="仿宋" w:hAnsi="仿宋" w:eastAsia="仿宋" w:cs="仿宋"/>
                <w:b w:val="0"/>
                <w:bCs/>
                <w:i w:val="0"/>
                <w:color w:val="auto"/>
                <w:kern w:val="0"/>
                <w:sz w:val="22"/>
                <w:szCs w:val="22"/>
                <w:highlight w:val="none"/>
                <w:u w:val="none"/>
                <w:lang w:val="en-US" w:eastAsia="zh-CN" w:bidi="ar"/>
              </w:rPr>
              <w:t>测量范围：0-100%lel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固定式气体检测仪-硫化氢</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2台</w:t>
            </w:r>
          </w:p>
        </w:tc>
        <w:tc>
          <w:tcPr>
            <w:tcW w:w="5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2"/>
                <w:szCs w:val="22"/>
                <w:highlight w:val="none"/>
                <w:u w:val="none"/>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仿宋"/>
                <w:b w:val="0"/>
                <w:bCs/>
                <w:i w:val="0"/>
                <w:color w:val="auto"/>
                <w:kern w:val="0"/>
                <w:sz w:val="22"/>
                <w:szCs w:val="22"/>
                <w:highlight w:val="none"/>
                <w:u w:val="none"/>
                <w:lang w:val="en-US" w:eastAsia="zh-CN" w:bidi="ar"/>
              </w:rPr>
            </w:pPr>
            <w:r>
              <w:rPr>
                <w:rFonts w:hint="eastAsia" w:ascii="仿宋" w:hAnsi="仿宋" w:eastAsia="仿宋" w:cs="仿宋"/>
                <w:b w:val="0"/>
                <w:bCs/>
                <w:i w:val="0"/>
                <w:color w:val="auto"/>
                <w:kern w:val="0"/>
                <w:sz w:val="22"/>
                <w:szCs w:val="22"/>
                <w:highlight w:val="none"/>
                <w:u w:val="none"/>
                <w:lang w:val="en-US" w:eastAsia="zh-CN" w:bidi="ar"/>
              </w:rPr>
              <w:t>测量范围：0-10ppm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9"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固定式气体检测仪-氨气</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2台</w:t>
            </w:r>
          </w:p>
        </w:tc>
        <w:tc>
          <w:tcPr>
            <w:tcW w:w="56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auto"/>
                <w:sz w:val="22"/>
                <w:szCs w:val="22"/>
                <w:highlight w:val="none"/>
                <w:u w:val="none"/>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仿宋"/>
                <w:b w:val="0"/>
                <w:bCs/>
                <w:i w:val="0"/>
                <w:color w:val="auto"/>
                <w:kern w:val="0"/>
                <w:sz w:val="22"/>
                <w:szCs w:val="22"/>
                <w:highlight w:val="none"/>
                <w:u w:val="none"/>
                <w:lang w:val="en-US" w:eastAsia="zh-CN" w:bidi="ar"/>
              </w:rPr>
            </w:pPr>
            <w:r>
              <w:rPr>
                <w:rFonts w:hint="eastAsia" w:ascii="仿宋" w:hAnsi="仿宋" w:eastAsia="仿宋" w:cs="仿宋"/>
                <w:b w:val="0"/>
                <w:bCs/>
                <w:i w:val="0"/>
                <w:color w:val="auto"/>
                <w:kern w:val="0"/>
                <w:sz w:val="22"/>
                <w:szCs w:val="22"/>
                <w:highlight w:val="none"/>
                <w:u w:val="none"/>
                <w:lang w:val="en-US" w:eastAsia="zh-CN" w:bidi="ar"/>
              </w:rPr>
              <w:t>测量范围：0-30ppm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7"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16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多通道控制器</w:t>
            </w: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2套</w:t>
            </w:r>
          </w:p>
        </w:tc>
        <w:tc>
          <w:tcPr>
            <w:tcW w:w="56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1.高清液晶显示、分辨率高、视觉效果佳。</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2.具备功能快捷键、数字键盘、触摸按键、操作方便简单。</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3.信号输入、输出：支持RS-485或4-20mA模拟量输出，支持modbus通讯协议、开关报警信号输出，实时检测、定时检测可设置，实时存储、定时存储可设置。</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4.具备强大数据统计分析，报警、故障总数累计。</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5.大容量数据记录存储、查询，数据导出灵活。</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6.控制器可对探头进行零点、跨度校准及参数设置.。</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7.支持市电220V供电及蓄电池备用供电（可改动），无缝切换。</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8.可靠性强、多级防护措施，具有脉冲及静电保护。</w:t>
            </w:r>
          </w:p>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9.具有相对独立、互不影响的报警功能，并能区分和识别报警场所位号。</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7" w:hRule="atLeast"/>
        </w:trPr>
        <w:tc>
          <w:tcPr>
            <w:tcW w:w="6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健康城分公司</w:t>
            </w:r>
          </w:p>
        </w:tc>
        <w:tc>
          <w:tcPr>
            <w:tcW w:w="16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四合一固定式气体检测仪（可检测氧气、一氧化碳、可燃气体、硫化氢）</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35套</w:t>
            </w:r>
          </w:p>
        </w:tc>
        <w:tc>
          <w:tcPr>
            <w:tcW w:w="568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r>
              <w:rPr>
                <w:rFonts w:hint="eastAsia" w:ascii="宋体" w:hAnsi="宋体" w:eastAsia="宋体" w:cs="宋体"/>
                <w:b/>
                <w:bCs/>
                <w:i w:val="0"/>
                <w:iCs w:val="0"/>
                <w:color w:val="auto"/>
                <w:kern w:val="0"/>
                <w:sz w:val="22"/>
                <w:szCs w:val="22"/>
                <w:highlight w:val="none"/>
                <w:u w:val="none"/>
                <w:lang w:val="en-US" w:eastAsia="zh-CN" w:bidi="ar"/>
              </w:rPr>
              <w:t>每套均设四种不同检测探头（可检测氧气、一氧化碳、可燃气体、硫化氢），可安装在不同检测高度；</w:t>
            </w:r>
          </w:p>
          <w:p>
            <w:pPr>
              <w:widowControl/>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2.检测方式：扩散。</w:t>
            </w:r>
          </w:p>
          <w:p>
            <w:pPr>
              <w:widowControl/>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3.检测精度：≤±3%FS。</w:t>
            </w:r>
          </w:p>
          <w:p>
            <w:pPr>
              <w:widowControl/>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4.响应速度：T90＜20s。</w:t>
            </w:r>
          </w:p>
          <w:p>
            <w:pPr>
              <w:widowControl/>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5.重复性：≤±1%。</w:t>
            </w:r>
          </w:p>
          <w:p>
            <w:pPr>
              <w:widowControl/>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6.传感器环境条件（温度/湿度）：-20至60°C，≤95%RH，无冷凝。</w:t>
            </w:r>
          </w:p>
          <w:p>
            <w:pPr>
              <w:widowControl/>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7.防护等级：IP65，可燃气体检测仪须提供防爆合格证明材料。</w:t>
            </w:r>
          </w:p>
          <w:p>
            <w:pPr>
              <w:widowControl/>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8.报警方式：二级声光报警，一二级有明显区别（二级报警光更亮、声更尖锐紧凑）。</w:t>
            </w:r>
          </w:p>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9.信号输出：RS-485或4-20mA模拟量输出，支持modbus通讯协议、开关报警信号输出，实时检测、定时检测,实时存储、定时存储可设置。</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氧气测量范围：19-24%vol</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一氧化碳测量范围：0-35ppm</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甲烷/可燃气体测量范围：0-100%lel</w:t>
            </w:r>
          </w:p>
          <w:p>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硫化氢测量范围：0-10ppm</w:t>
            </w:r>
          </w:p>
        </w:tc>
      </w:tr>
    </w:tbl>
    <w:p>
      <w:pPr>
        <w:keepNext w:val="0"/>
        <w:keepLines w:val="0"/>
        <w:pageBreakBefore w:val="0"/>
        <w:kinsoku/>
        <w:wordWrap/>
        <w:overflowPunct/>
        <w:topLinePunct w:val="0"/>
        <w:autoSpaceDE w:val="0"/>
        <w:autoSpaceDN w:val="0"/>
        <w:bidi w:val="0"/>
        <w:adjustRightInd w:val="0"/>
        <w:snapToGrid w:val="0"/>
        <w:spacing w:line="560" w:lineRule="exact"/>
        <w:ind w:firstLine="560" w:firstLineChars="200"/>
        <w:rPr>
          <w:rFonts w:hint="eastAsia" w:ascii="微软雅黑" w:hAnsi="微软雅黑" w:eastAsia="微软雅黑" w:cs="微软雅黑"/>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宋体" w:eastAsia="仿宋_GB2312" w:cs="宋体"/>
          <w:color w:val="auto"/>
          <w:kern w:val="0"/>
          <w:sz w:val="28"/>
          <w:szCs w:val="28"/>
          <w:highlight w:val="none"/>
        </w:rPr>
        <w:t>所</w:t>
      </w:r>
      <w:r>
        <w:rPr>
          <w:rFonts w:hint="eastAsia" w:ascii="仿宋_GB2312" w:hAnsi="仿宋_GB2312" w:eastAsia="仿宋_GB2312" w:cs="仿宋_GB2312"/>
          <w:color w:val="auto"/>
          <w:sz w:val="28"/>
          <w:szCs w:val="28"/>
          <w:highlight w:val="none"/>
        </w:rPr>
        <w:t>提供的货物及配件是</w:t>
      </w:r>
      <w:r>
        <w:rPr>
          <w:rFonts w:hint="eastAsia" w:ascii="仿宋_GB2312" w:hAnsi="仿宋_GB2312" w:eastAsia="仿宋_GB2312" w:cs="仿宋_GB2312"/>
          <w:color w:val="auto"/>
          <w:sz w:val="28"/>
          <w:szCs w:val="28"/>
          <w:highlight w:val="none"/>
          <w:lang w:val="zh-CN"/>
        </w:rPr>
        <w:t>全新合格产品，应响应询价人全部设备参数要求，</w:t>
      </w:r>
      <w:r>
        <w:rPr>
          <w:rFonts w:hint="eastAsia" w:ascii="仿宋_GB2312" w:hAnsi="仿宋_GB2312" w:eastAsia="仿宋_GB2312" w:cs="仿宋_GB2312"/>
          <w:color w:val="auto"/>
          <w:sz w:val="28"/>
          <w:szCs w:val="28"/>
          <w:highlight w:val="none"/>
        </w:rPr>
        <w:t>应</w:t>
      </w:r>
      <w:r>
        <w:rPr>
          <w:rFonts w:hint="eastAsia" w:ascii="仿宋_GB2312" w:hAnsi="宋体" w:eastAsia="仿宋_GB2312" w:cs="宋体"/>
          <w:color w:val="auto"/>
          <w:kern w:val="0"/>
          <w:sz w:val="28"/>
          <w:szCs w:val="28"/>
          <w:highlight w:val="none"/>
        </w:rPr>
        <w:t>符合国家标准及相关认证，</w:t>
      </w:r>
      <w:r>
        <w:rPr>
          <w:rFonts w:hint="eastAsia" w:ascii="仿宋_GB2312" w:hAnsi="宋体" w:eastAsia="仿宋_GB2312" w:cs="宋体"/>
          <w:color w:val="auto"/>
          <w:kern w:val="0"/>
          <w:sz w:val="28"/>
          <w:szCs w:val="28"/>
          <w:highlight w:val="none"/>
          <w:lang w:val="en-US" w:eastAsia="zh-CN"/>
        </w:rPr>
        <w:t>供货时须</w:t>
      </w:r>
      <w:r>
        <w:rPr>
          <w:rFonts w:hint="eastAsia" w:ascii="仿宋_GB2312" w:hAnsi="宋体" w:eastAsia="仿宋_GB2312" w:cs="宋体"/>
          <w:color w:val="auto"/>
          <w:kern w:val="0"/>
          <w:sz w:val="28"/>
          <w:szCs w:val="28"/>
          <w:highlight w:val="none"/>
        </w:rPr>
        <w:t>提供检测仪的国家防爆认证材料及产品符合国家相关标准的其它证明材料。</w:t>
      </w:r>
    </w:p>
    <w:p>
      <w:pPr>
        <w:pStyle w:val="12"/>
        <w:adjustRightInd w:val="0"/>
        <w:snapToGrid w:val="0"/>
        <w:spacing w:line="30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lang w:val="zh-CN"/>
        </w:rPr>
        <w:t>货物质量应符合沥滘分公司、健康城分公司现场的使用要求、符合有关机构发布的最新行业标准或国家标准。</w:t>
      </w:r>
    </w:p>
    <w:p>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br w:type="page"/>
      </w:r>
    </w:p>
    <w:p>
      <w:pPr>
        <w:pStyle w:val="2"/>
        <w:ind w:firstLine="0"/>
        <w:jc w:val="center"/>
        <w:rPr>
          <w:rFonts w:ascii="仿宋_GB2312" w:eastAsia="仿宋_GB2312"/>
          <w:color w:val="auto"/>
          <w:sz w:val="40"/>
          <w:szCs w:val="40"/>
          <w:highlight w:val="none"/>
        </w:rPr>
      </w:pPr>
      <w:r>
        <w:rPr>
          <w:rFonts w:hint="eastAsia" w:cs="宋体"/>
          <w:color w:val="auto"/>
          <w:kern w:val="0"/>
          <w:sz w:val="36"/>
          <w:szCs w:val="36"/>
          <w:highlight w:val="none"/>
          <w:lang w:val="zh-CN"/>
        </w:rPr>
        <w:t>标段二</w:t>
      </w:r>
      <w:r>
        <w:rPr>
          <w:rFonts w:hint="eastAsia" w:ascii="宋体" w:hAnsi="宋体" w:cs="宋体"/>
          <w:color w:val="auto"/>
          <w:kern w:val="0"/>
          <w:sz w:val="36"/>
          <w:szCs w:val="36"/>
          <w:highlight w:val="none"/>
          <w:lang w:val="zh-CN"/>
        </w:rPr>
        <w:t>技术需求</w:t>
      </w:r>
    </w:p>
    <w:tbl>
      <w:tblPr>
        <w:tblStyle w:val="23"/>
        <w:tblW w:w="5495" w:type="pct"/>
        <w:tblInd w:w="0" w:type="dxa"/>
        <w:tblLayout w:type="fixed"/>
        <w:tblCellMar>
          <w:top w:w="0" w:type="dxa"/>
          <w:left w:w="108" w:type="dxa"/>
          <w:bottom w:w="0" w:type="dxa"/>
          <w:right w:w="108" w:type="dxa"/>
        </w:tblCellMar>
      </w:tblPr>
      <w:tblGrid>
        <w:gridCol w:w="898"/>
        <w:gridCol w:w="1631"/>
        <w:gridCol w:w="1157"/>
        <w:gridCol w:w="4958"/>
        <w:gridCol w:w="1313"/>
      </w:tblGrid>
      <w:tr>
        <w:tblPrEx>
          <w:tblCellMar>
            <w:top w:w="0" w:type="dxa"/>
            <w:left w:w="108" w:type="dxa"/>
            <w:bottom w:w="0" w:type="dxa"/>
            <w:right w:w="108" w:type="dxa"/>
          </w:tblCellMar>
        </w:tblPrEx>
        <w:trPr>
          <w:trHeight w:val="1253" w:hRule="atLeast"/>
        </w:trPr>
        <w:tc>
          <w:tcPr>
            <w:tcW w:w="45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序号</w:t>
            </w:r>
          </w:p>
        </w:tc>
        <w:tc>
          <w:tcPr>
            <w:tcW w:w="81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物资名称</w:t>
            </w:r>
          </w:p>
        </w:tc>
        <w:tc>
          <w:tcPr>
            <w:tcW w:w="580"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计划</w:t>
            </w:r>
          </w:p>
          <w:p>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数量</w:t>
            </w:r>
          </w:p>
        </w:tc>
        <w:tc>
          <w:tcPr>
            <w:tcW w:w="248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主要的规格参数</w:t>
            </w:r>
          </w:p>
        </w:tc>
        <w:tc>
          <w:tcPr>
            <w:tcW w:w="659"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备注</w:t>
            </w:r>
          </w:p>
        </w:tc>
      </w:tr>
      <w:tr>
        <w:tblPrEx>
          <w:tblCellMar>
            <w:top w:w="0" w:type="dxa"/>
            <w:left w:w="108" w:type="dxa"/>
            <w:bottom w:w="0" w:type="dxa"/>
            <w:right w:w="108" w:type="dxa"/>
          </w:tblCellMar>
        </w:tblPrEx>
        <w:trPr>
          <w:trHeight w:val="980" w:hRule="atLeast"/>
        </w:trPr>
        <w:tc>
          <w:tcPr>
            <w:tcW w:w="4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1</w:t>
            </w:r>
          </w:p>
        </w:tc>
        <w:tc>
          <w:tcPr>
            <w:tcW w:w="1631"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eastAsia="宋体" w:cs="宋体"/>
                <w:b w:val="0"/>
                <w:bCs/>
                <w:i w:val="0"/>
                <w:color w:val="auto"/>
                <w:kern w:val="0"/>
                <w:sz w:val="22"/>
                <w:szCs w:val="22"/>
                <w:highlight w:val="none"/>
                <w:u w:val="none"/>
                <w:lang w:val="en-US" w:eastAsia="zh-CN" w:bidi="ar"/>
              </w:rPr>
              <w:t>固定式气体检测仪-硫化氢</w:t>
            </w:r>
          </w:p>
        </w:tc>
        <w:tc>
          <w:tcPr>
            <w:tcW w:w="580" w:type="pct"/>
            <w:tcBorders>
              <w:top w:val="nil"/>
              <w:left w:val="nil"/>
              <w:bottom w:val="single" w:color="auto" w:sz="4" w:space="0"/>
              <w:right w:val="single" w:color="auto" w:sz="4" w:space="0"/>
            </w:tcBorders>
            <w:noWrap/>
            <w:vAlign w:val="center"/>
          </w:tcPr>
          <w:p>
            <w:pPr>
              <w:widowControl/>
              <w:jc w:val="center"/>
              <w:rPr>
                <w:rFonts w:hint="default" w:ascii="宋体" w:hAnsi="宋体" w:eastAsia="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5台</w:t>
            </w:r>
          </w:p>
        </w:tc>
        <w:tc>
          <w:tcPr>
            <w:tcW w:w="2489" w:type="pct"/>
            <w:vMerge w:val="restart"/>
            <w:tcBorders>
              <w:top w:val="nil"/>
              <w:left w:val="single" w:color="auto" w:sz="4" w:space="0"/>
              <w:bottom w:val="single" w:color="000000" w:sz="4" w:space="0"/>
              <w:right w:val="single" w:color="auto" w:sz="4" w:space="0"/>
            </w:tcBorders>
            <w:vAlign w:val="center"/>
          </w:tcPr>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1.检测方式：泵吸式，内置微型抽气泵。</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2.检测精度：≤±3%FS。</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3.响应速度：T90＜20s。</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4.重复性：≤±1%。</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5.传感器环境条件：工作温度-20至60°C。</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6.工作湿度： ≤95%RH，无冷凝。</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7.工作压力： -30Kpa ～ 100Kpa。</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8.工作电源： 4000mA可充电聚合物电池。</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9.防护等级：IP65，可燃气体检测仪须提供防爆合格证明材料。</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10.报警方式：二级声光报警，一二级有明显区别（二级报警光更亮、声更尖锐紧凑）。</w:t>
            </w:r>
          </w:p>
          <w:p>
            <w:pPr>
              <w:widowControl/>
              <w:jc w:val="left"/>
              <w:rPr>
                <w:rFonts w:ascii="宋体" w:hAnsi="宋体" w:cs="宋体"/>
                <w:color w:val="auto"/>
                <w:kern w:val="0"/>
                <w:sz w:val="22"/>
                <w:szCs w:val="22"/>
                <w:highlight w:val="none"/>
              </w:rPr>
            </w:pPr>
            <w:r>
              <w:rPr>
                <w:rFonts w:hint="eastAsia" w:ascii="宋体" w:hAnsi="宋体" w:eastAsia="宋体" w:cs="宋体"/>
                <w:b w:val="0"/>
                <w:bCs/>
                <w:i w:val="0"/>
                <w:color w:val="auto"/>
                <w:kern w:val="0"/>
                <w:sz w:val="22"/>
                <w:szCs w:val="22"/>
                <w:highlight w:val="none"/>
                <w:u w:val="none"/>
                <w:lang w:val="en-US" w:eastAsia="zh-CN" w:bidi="ar"/>
              </w:rPr>
              <w:t>11.信号输入和输出：RS-485或4-20mA模拟量输出，支持modbus通讯协议、开关报警信号输出，可设置实时检测、定时检测,实时存储、定时存储。</w:t>
            </w:r>
          </w:p>
        </w:tc>
        <w:tc>
          <w:tcPr>
            <w:tcW w:w="65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b w:val="0"/>
                <w:bCs/>
                <w:i w:val="0"/>
                <w:color w:val="auto"/>
                <w:kern w:val="0"/>
                <w:sz w:val="22"/>
                <w:szCs w:val="22"/>
                <w:highlight w:val="none"/>
                <w:u w:val="none"/>
                <w:lang w:val="en-US" w:eastAsia="zh-CN" w:bidi="ar"/>
              </w:rPr>
              <w:t>测量范围：0-10ppm</w:t>
            </w:r>
          </w:p>
        </w:tc>
      </w:tr>
      <w:tr>
        <w:tblPrEx>
          <w:tblCellMar>
            <w:top w:w="0" w:type="dxa"/>
            <w:left w:w="108" w:type="dxa"/>
            <w:bottom w:w="0" w:type="dxa"/>
            <w:right w:w="108" w:type="dxa"/>
          </w:tblCellMar>
        </w:tblPrEx>
        <w:trPr>
          <w:trHeight w:val="1407" w:hRule="atLeast"/>
        </w:trPr>
        <w:tc>
          <w:tcPr>
            <w:tcW w:w="4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2</w:t>
            </w:r>
          </w:p>
        </w:tc>
        <w:tc>
          <w:tcPr>
            <w:tcW w:w="1631"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eastAsia="宋体" w:cs="宋体"/>
                <w:b w:val="0"/>
                <w:bCs/>
                <w:i w:val="0"/>
                <w:color w:val="auto"/>
                <w:kern w:val="0"/>
                <w:sz w:val="22"/>
                <w:szCs w:val="22"/>
                <w:highlight w:val="none"/>
                <w:u w:val="none"/>
                <w:lang w:val="en-US" w:eastAsia="zh-CN" w:bidi="ar"/>
              </w:rPr>
              <w:t>固定式气体检测仪-可燃</w:t>
            </w:r>
          </w:p>
        </w:tc>
        <w:tc>
          <w:tcPr>
            <w:tcW w:w="580" w:type="pct"/>
            <w:tcBorders>
              <w:top w:val="nil"/>
              <w:left w:val="nil"/>
              <w:bottom w:val="single" w:color="auto" w:sz="4" w:space="0"/>
              <w:right w:val="single" w:color="auto" w:sz="4" w:space="0"/>
            </w:tcBorders>
            <w:noWrap/>
            <w:vAlign w:val="center"/>
          </w:tcPr>
          <w:p>
            <w:pPr>
              <w:widowControl/>
              <w:jc w:val="center"/>
              <w:rPr>
                <w:rFonts w:hint="default" w:ascii="宋体" w:hAnsi="宋体" w:eastAsia="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5台</w:t>
            </w:r>
          </w:p>
        </w:tc>
        <w:tc>
          <w:tcPr>
            <w:tcW w:w="2489" w:type="pct"/>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auto"/>
                <w:kern w:val="0"/>
                <w:sz w:val="22"/>
                <w:szCs w:val="22"/>
                <w:highlight w:val="none"/>
              </w:rPr>
            </w:pPr>
          </w:p>
        </w:tc>
        <w:tc>
          <w:tcPr>
            <w:tcW w:w="65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b w:val="0"/>
                <w:bCs/>
                <w:i w:val="0"/>
                <w:color w:val="auto"/>
                <w:kern w:val="0"/>
                <w:sz w:val="22"/>
                <w:szCs w:val="22"/>
                <w:highlight w:val="none"/>
                <w:u w:val="none"/>
                <w:lang w:val="en-US" w:eastAsia="zh-CN" w:bidi="ar"/>
              </w:rPr>
              <w:t>测量范围：0-100%lel</w:t>
            </w:r>
          </w:p>
        </w:tc>
      </w:tr>
      <w:tr>
        <w:tblPrEx>
          <w:tblCellMar>
            <w:top w:w="0" w:type="dxa"/>
            <w:left w:w="108" w:type="dxa"/>
            <w:bottom w:w="0" w:type="dxa"/>
            <w:right w:w="108" w:type="dxa"/>
          </w:tblCellMar>
        </w:tblPrEx>
        <w:trPr>
          <w:trHeight w:val="1151" w:hRule="atLeast"/>
        </w:trPr>
        <w:tc>
          <w:tcPr>
            <w:tcW w:w="450"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3</w:t>
            </w:r>
          </w:p>
        </w:tc>
        <w:tc>
          <w:tcPr>
            <w:tcW w:w="1631" w:type="dxa"/>
            <w:tcBorders>
              <w:top w:val="nil"/>
              <w:left w:val="nil"/>
              <w:bottom w:val="single" w:color="auto" w:sz="4" w:space="0"/>
              <w:right w:val="single" w:color="auto" w:sz="4" w:space="0"/>
            </w:tcBorders>
            <w:vAlign w:val="center"/>
          </w:tcPr>
          <w:p>
            <w:pPr>
              <w:widowControl/>
              <w:jc w:val="left"/>
              <w:rPr>
                <w:rFonts w:ascii="宋体" w:hAnsi="宋体" w:cs="宋体"/>
                <w:color w:val="auto"/>
                <w:kern w:val="0"/>
                <w:sz w:val="22"/>
                <w:szCs w:val="22"/>
                <w:highlight w:val="none"/>
              </w:rPr>
            </w:pPr>
            <w:r>
              <w:rPr>
                <w:rFonts w:hint="eastAsia" w:ascii="宋体" w:hAnsi="宋体" w:eastAsia="宋体" w:cs="宋体"/>
                <w:b w:val="0"/>
                <w:bCs/>
                <w:i w:val="0"/>
                <w:color w:val="auto"/>
                <w:kern w:val="0"/>
                <w:sz w:val="22"/>
                <w:szCs w:val="22"/>
                <w:highlight w:val="none"/>
                <w:u w:val="none"/>
                <w:lang w:val="en-US" w:eastAsia="zh-CN" w:bidi="ar"/>
              </w:rPr>
              <w:t>固定式气体检测仪-氨气</w:t>
            </w:r>
          </w:p>
        </w:tc>
        <w:tc>
          <w:tcPr>
            <w:tcW w:w="580" w:type="pct"/>
            <w:tcBorders>
              <w:top w:val="nil"/>
              <w:left w:val="nil"/>
              <w:bottom w:val="single" w:color="auto" w:sz="4" w:space="0"/>
              <w:right w:val="single" w:color="auto" w:sz="4" w:space="0"/>
            </w:tcBorders>
            <w:noWrap/>
            <w:vAlign w:val="center"/>
          </w:tcPr>
          <w:p>
            <w:pPr>
              <w:widowControl/>
              <w:jc w:val="center"/>
              <w:rPr>
                <w:rFonts w:hint="default" w:ascii="宋体" w:hAnsi="宋体" w:eastAsia="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5台</w:t>
            </w:r>
          </w:p>
        </w:tc>
        <w:tc>
          <w:tcPr>
            <w:tcW w:w="2489" w:type="pct"/>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auto"/>
                <w:kern w:val="0"/>
                <w:sz w:val="22"/>
                <w:szCs w:val="22"/>
                <w:highlight w:val="none"/>
              </w:rPr>
            </w:pPr>
          </w:p>
        </w:tc>
        <w:tc>
          <w:tcPr>
            <w:tcW w:w="65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b w:val="0"/>
                <w:bCs/>
                <w:i w:val="0"/>
                <w:color w:val="auto"/>
                <w:kern w:val="0"/>
                <w:sz w:val="22"/>
                <w:szCs w:val="22"/>
                <w:highlight w:val="none"/>
                <w:u w:val="none"/>
                <w:lang w:val="en-US" w:eastAsia="zh-CN" w:bidi="ar"/>
              </w:rPr>
              <w:t>测量范围：0-30ppm</w:t>
            </w:r>
          </w:p>
        </w:tc>
      </w:tr>
      <w:tr>
        <w:tblPrEx>
          <w:tblCellMar>
            <w:top w:w="0" w:type="dxa"/>
            <w:left w:w="108" w:type="dxa"/>
            <w:bottom w:w="0" w:type="dxa"/>
            <w:right w:w="108" w:type="dxa"/>
          </w:tblCellMar>
        </w:tblPrEx>
        <w:trPr>
          <w:trHeight w:val="893" w:hRule="atLeast"/>
        </w:trPr>
        <w:tc>
          <w:tcPr>
            <w:tcW w:w="450" w:type="pct"/>
            <w:tcBorders>
              <w:top w:val="nil"/>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szCs w:val="22"/>
                <w:highlight w:val="none"/>
                <w:lang w:eastAsia="zh-CN"/>
              </w:rPr>
            </w:pPr>
            <w:r>
              <w:rPr>
                <w:rFonts w:hint="eastAsia" w:ascii="宋体" w:hAnsi="宋体" w:cs="宋体"/>
                <w:color w:val="auto"/>
                <w:kern w:val="0"/>
                <w:sz w:val="22"/>
                <w:szCs w:val="22"/>
                <w:highlight w:val="none"/>
                <w:lang w:val="en-US" w:eastAsia="zh-CN"/>
              </w:rPr>
              <w:t>4</w:t>
            </w:r>
          </w:p>
        </w:tc>
        <w:tc>
          <w:tcPr>
            <w:tcW w:w="163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2"/>
                <w:szCs w:val="22"/>
                <w:highlight w:val="none"/>
              </w:rPr>
            </w:pPr>
            <w:r>
              <w:rPr>
                <w:rFonts w:hint="eastAsia" w:ascii="宋体" w:hAnsi="宋体" w:eastAsia="宋体" w:cs="宋体"/>
                <w:b w:val="0"/>
                <w:bCs/>
                <w:i w:val="0"/>
                <w:color w:val="auto"/>
                <w:kern w:val="0"/>
                <w:sz w:val="22"/>
                <w:szCs w:val="22"/>
                <w:highlight w:val="none"/>
                <w:u w:val="none"/>
                <w:lang w:val="en-US" w:eastAsia="zh-CN" w:bidi="ar"/>
              </w:rPr>
              <w:t>固定式气体检测仪-氧气</w:t>
            </w:r>
          </w:p>
        </w:tc>
        <w:tc>
          <w:tcPr>
            <w:tcW w:w="580" w:type="pct"/>
            <w:tcBorders>
              <w:top w:val="nil"/>
              <w:left w:val="nil"/>
              <w:bottom w:val="single" w:color="auto" w:sz="4" w:space="0"/>
              <w:right w:val="single" w:color="auto" w:sz="4" w:space="0"/>
            </w:tcBorders>
            <w:noWrap/>
            <w:vAlign w:val="center"/>
          </w:tcPr>
          <w:p>
            <w:pPr>
              <w:widowControl/>
              <w:jc w:val="center"/>
              <w:rPr>
                <w:rFonts w:hint="default" w:ascii="宋体" w:hAnsi="宋体" w:eastAsia="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5台</w:t>
            </w:r>
          </w:p>
        </w:tc>
        <w:tc>
          <w:tcPr>
            <w:tcW w:w="2489" w:type="pct"/>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auto"/>
                <w:kern w:val="0"/>
                <w:sz w:val="22"/>
                <w:szCs w:val="22"/>
                <w:highlight w:val="none"/>
              </w:rPr>
            </w:pPr>
          </w:p>
        </w:tc>
        <w:tc>
          <w:tcPr>
            <w:tcW w:w="65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color w:val="auto"/>
                <w:kern w:val="0"/>
                <w:sz w:val="21"/>
                <w:szCs w:val="21"/>
                <w:highlight w:val="none"/>
              </w:rPr>
            </w:pPr>
            <w:r>
              <w:rPr>
                <w:rFonts w:hint="eastAsia" w:ascii="宋体" w:hAnsi="宋体" w:eastAsia="宋体" w:cs="宋体"/>
                <w:b w:val="0"/>
                <w:bCs/>
                <w:i w:val="0"/>
                <w:color w:val="auto"/>
                <w:kern w:val="0"/>
                <w:sz w:val="22"/>
                <w:szCs w:val="22"/>
                <w:highlight w:val="none"/>
                <w:u w:val="none"/>
                <w:lang w:val="en-US" w:eastAsia="zh-CN" w:bidi="ar"/>
              </w:rPr>
              <w:t>测量范围：19-24%vol</w:t>
            </w:r>
          </w:p>
        </w:tc>
      </w:tr>
      <w:tr>
        <w:tblPrEx>
          <w:tblCellMar>
            <w:top w:w="0" w:type="dxa"/>
            <w:left w:w="108" w:type="dxa"/>
            <w:bottom w:w="0" w:type="dxa"/>
            <w:right w:w="108" w:type="dxa"/>
          </w:tblCellMar>
        </w:tblPrEx>
        <w:trPr>
          <w:trHeight w:val="5272" w:hRule="atLeast"/>
        </w:trPr>
        <w:tc>
          <w:tcPr>
            <w:tcW w:w="450" w:type="pct"/>
            <w:tcBorders>
              <w:top w:val="nil"/>
              <w:left w:val="single" w:color="auto" w:sz="4" w:space="0"/>
              <w:bottom w:val="single" w:color="auto" w:sz="4" w:space="0"/>
              <w:right w:val="single" w:color="auto" w:sz="4" w:space="0"/>
            </w:tcBorders>
            <w:noWrap/>
            <w:vAlign w:val="center"/>
          </w:tcPr>
          <w:p>
            <w:pPr>
              <w:widowControl/>
              <w:jc w:val="center"/>
              <w:rPr>
                <w:rFonts w:hint="default" w:ascii="宋体" w:hAnsi="宋体" w:eastAsia="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 xml:space="preserve">5 </w:t>
            </w:r>
          </w:p>
        </w:tc>
        <w:tc>
          <w:tcPr>
            <w:tcW w:w="1631" w:type="dxa"/>
            <w:tcBorders>
              <w:top w:val="nil"/>
              <w:left w:val="nil"/>
              <w:bottom w:val="single" w:color="auto" w:sz="4" w:space="0"/>
              <w:right w:val="single" w:color="auto" w:sz="4" w:space="0"/>
            </w:tcBorders>
            <w:vAlign w:val="center"/>
          </w:tcPr>
          <w:p>
            <w:pPr>
              <w:widowControl/>
              <w:jc w:val="center"/>
              <w:rPr>
                <w:rFonts w:ascii="宋体" w:hAnsi="宋体" w:cs="宋体"/>
                <w:color w:val="auto"/>
                <w:kern w:val="0"/>
                <w:sz w:val="22"/>
                <w:szCs w:val="22"/>
                <w:highlight w:val="none"/>
              </w:rPr>
            </w:pPr>
            <w:r>
              <w:rPr>
                <w:rFonts w:hint="eastAsia" w:ascii="宋体" w:hAnsi="宋体" w:eastAsia="宋体" w:cs="宋体"/>
                <w:b w:val="0"/>
                <w:bCs/>
                <w:i w:val="0"/>
                <w:color w:val="auto"/>
                <w:kern w:val="0"/>
                <w:sz w:val="22"/>
                <w:szCs w:val="22"/>
                <w:highlight w:val="none"/>
                <w:u w:val="none"/>
                <w:lang w:val="en-US" w:eastAsia="zh-CN" w:bidi="ar"/>
              </w:rPr>
              <w:t>多通道控制器</w:t>
            </w:r>
          </w:p>
        </w:tc>
        <w:tc>
          <w:tcPr>
            <w:tcW w:w="580" w:type="pct"/>
            <w:tcBorders>
              <w:top w:val="nil"/>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 w:val="22"/>
                <w:szCs w:val="22"/>
                <w:highlight w:val="none"/>
                <w:lang w:eastAsia="zh-CN"/>
              </w:rPr>
            </w:pPr>
            <w:r>
              <w:rPr>
                <w:rFonts w:hint="eastAsia" w:ascii="宋体" w:hAnsi="宋体" w:cs="宋体"/>
                <w:color w:val="auto"/>
                <w:kern w:val="0"/>
                <w:sz w:val="22"/>
                <w:szCs w:val="22"/>
                <w:highlight w:val="none"/>
                <w:lang w:val="en-US" w:eastAsia="zh-CN"/>
              </w:rPr>
              <w:t>5套</w:t>
            </w:r>
          </w:p>
        </w:tc>
        <w:tc>
          <w:tcPr>
            <w:tcW w:w="2489"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1.高清液晶显示、分辨率高、视觉效果佳。</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2.具备功能快捷键、数字键盘、触摸按键、操作方便简单。</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3.信号输入、输出：RS-485或4-20mA模拟量输出，支持modbus通讯协议、开关报警信号输出，实时检测、定时检测可设置，实时存储、定时存储可设置。</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4.具备强大数据统计分析，报警、故障总数累计。</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5.大容量数据记录存储、查询，数据导出灵活。</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6.控制器可对探头进行零点、跨度校准及参数设置；</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7.支持市电220V供电及蓄电池备用供电（可改动），无缝切换。</w:t>
            </w:r>
          </w:p>
          <w:p>
            <w:pPr>
              <w:widowControl/>
              <w:jc w:val="left"/>
              <w:rPr>
                <w:rFonts w:hint="eastAsia" w:ascii="宋体" w:hAnsi="宋体" w:eastAsia="宋体" w:cs="宋体"/>
                <w:b w:val="0"/>
                <w:bCs/>
                <w:i w:val="0"/>
                <w:color w:val="auto"/>
                <w:kern w:val="0"/>
                <w:sz w:val="22"/>
                <w:szCs w:val="22"/>
                <w:highlight w:val="none"/>
                <w:u w:val="none"/>
                <w:lang w:val="en-US" w:eastAsia="zh-CN" w:bidi="ar"/>
              </w:rPr>
            </w:pPr>
            <w:r>
              <w:rPr>
                <w:rFonts w:hint="eastAsia" w:ascii="宋体" w:hAnsi="宋体" w:eastAsia="宋体" w:cs="宋体"/>
                <w:b w:val="0"/>
                <w:bCs/>
                <w:i w:val="0"/>
                <w:color w:val="auto"/>
                <w:kern w:val="0"/>
                <w:sz w:val="22"/>
                <w:szCs w:val="22"/>
                <w:highlight w:val="none"/>
                <w:u w:val="none"/>
                <w:lang w:val="en-US" w:eastAsia="zh-CN" w:bidi="ar"/>
              </w:rPr>
              <w:t>8.可靠性强、多级防护措施，具有脉冲及静电保护。</w:t>
            </w:r>
          </w:p>
          <w:p>
            <w:pPr>
              <w:widowControl/>
              <w:jc w:val="left"/>
              <w:rPr>
                <w:rFonts w:ascii="宋体" w:hAnsi="宋体" w:cs="宋体"/>
                <w:color w:val="auto"/>
                <w:kern w:val="0"/>
                <w:sz w:val="22"/>
                <w:szCs w:val="22"/>
                <w:highlight w:val="none"/>
              </w:rPr>
            </w:pPr>
            <w:r>
              <w:rPr>
                <w:rFonts w:hint="eastAsia" w:ascii="宋体" w:hAnsi="宋体" w:eastAsia="宋体" w:cs="宋体"/>
                <w:b w:val="0"/>
                <w:bCs/>
                <w:i w:val="0"/>
                <w:color w:val="auto"/>
                <w:kern w:val="0"/>
                <w:sz w:val="22"/>
                <w:szCs w:val="22"/>
                <w:highlight w:val="none"/>
                <w:u w:val="none"/>
                <w:lang w:val="en-US" w:eastAsia="zh-CN" w:bidi="ar"/>
              </w:rPr>
              <w:t>9.具有相对独立、互不影响的报警功能，并能区分和识别报警场所位号。</w:t>
            </w:r>
          </w:p>
        </w:tc>
        <w:tc>
          <w:tcPr>
            <w:tcW w:w="659" w:type="pct"/>
            <w:tcBorders>
              <w:top w:val="nil"/>
              <w:left w:val="nil"/>
              <w:bottom w:val="single" w:color="auto" w:sz="4" w:space="0"/>
              <w:right w:val="single" w:color="auto" w:sz="4" w:space="0"/>
            </w:tcBorders>
            <w:noWrap/>
            <w:vAlign w:val="center"/>
          </w:tcPr>
          <w:p>
            <w:pPr>
              <w:widowControl/>
              <w:jc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p>
        </w:tc>
      </w:tr>
    </w:tbl>
    <w:p>
      <w:pPr>
        <w:pStyle w:val="29"/>
        <w:ind w:firstLine="560" w:firstLineChars="200"/>
        <w:rPr>
          <w:rFonts w:hint="eastAsia" w:ascii="仿宋_GB2312" w:hAnsi="仿宋_GB2312" w:cs="仿宋_GB2312"/>
          <w:color w:val="auto"/>
          <w:kern w:val="2"/>
          <w:sz w:val="28"/>
          <w:szCs w:val="28"/>
          <w:highlight w:val="none"/>
          <w:lang w:val="en-US" w:eastAsia="zh-CN" w:bidi="ar-SA"/>
        </w:rPr>
      </w:pPr>
      <w:r>
        <w:rPr>
          <w:rFonts w:hint="eastAsia" w:ascii="仿宋_GB2312" w:hAnsi="仿宋_GB2312" w:cs="仿宋_GB2312"/>
          <w:color w:val="auto"/>
          <w:kern w:val="2"/>
          <w:sz w:val="28"/>
          <w:szCs w:val="28"/>
          <w:highlight w:val="none"/>
          <w:lang w:val="en-US" w:eastAsia="zh-CN" w:bidi="ar-SA"/>
        </w:rPr>
        <w:t>1.在江高分公司地下一层的5个区域</w:t>
      </w:r>
      <w:r>
        <w:rPr>
          <w:rFonts w:hint="eastAsia" w:ascii="仿宋_GB2312" w:hAnsi="仿宋_GB2312" w:eastAsia="仿宋_GB2312" w:cs="仿宋_GB2312"/>
          <w:color w:val="auto"/>
          <w:kern w:val="2"/>
          <w:sz w:val="28"/>
          <w:szCs w:val="28"/>
          <w:highlight w:val="none"/>
          <w:lang w:val="en-US" w:eastAsia="zh-CN" w:bidi="ar-SA"/>
        </w:rPr>
        <w:t>安装</w:t>
      </w:r>
      <w:r>
        <w:rPr>
          <w:rFonts w:hint="eastAsia" w:ascii="仿宋_GB2312" w:hAnsi="仿宋_GB2312" w:cs="仿宋_GB2312"/>
          <w:color w:val="auto"/>
          <w:kern w:val="2"/>
          <w:sz w:val="28"/>
          <w:szCs w:val="28"/>
          <w:highlight w:val="none"/>
          <w:lang w:val="en-US" w:eastAsia="zh-CN" w:bidi="ar-SA"/>
        </w:rPr>
        <w:t>20台</w:t>
      </w:r>
      <w:r>
        <w:rPr>
          <w:rFonts w:hint="eastAsia" w:ascii="仿宋_GB2312" w:hAnsi="仿宋_GB2312" w:eastAsia="仿宋_GB2312" w:cs="仿宋_GB2312"/>
          <w:color w:val="auto"/>
          <w:kern w:val="2"/>
          <w:sz w:val="28"/>
          <w:szCs w:val="28"/>
          <w:highlight w:val="none"/>
          <w:lang w:val="en-US" w:eastAsia="zh-CN" w:bidi="ar-SA"/>
        </w:rPr>
        <w:t>固定式气体检测仪</w:t>
      </w:r>
      <w:r>
        <w:rPr>
          <w:rFonts w:hint="eastAsia" w:ascii="仿宋_GB2312" w:hAnsi="仿宋_GB2312" w:cs="仿宋_GB2312"/>
          <w:color w:val="auto"/>
          <w:kern w:val="2"/>
          <w:sz w:val="28"/>
          <w:szCs w:val="28"/>
          <w:highlight w:val="none"/>
          <w:lang w:val="en-US" w:eastAsia="zh-CN" w:bidi="ar-SA"/>
        </w:rPr>
        <w:t>及5套多通道控制器。安装区域分别为：</w:t>
      </w:r>
      <w:r>
        <w:rPr>
          <w:rFonts w:hint="eastAsia" w:ascii="仿宋_GB2312" w:hAnsi="仿宋_GB2312" w:eastAsia="仿宋_GB2312" w:cs="仿宋_GB2312"/>
          <w:color w:val="auto"/>
          <w:kern w:val="2"/>
          <w:sz w:val="28"/>
          <w:szCs w:val="28"/>
          <w:highlight w:val="none"/>
          <w:lang w:val="en-US" w:eastAsia="zh-CN" w:bidi="ar-SA"/>
        </w:rPr>
        <w:t>进水仪表间、出水仪表间</w:t>
      </w:r>
      <w:r>
        <w:rPr>
          <w:rFonts w:hint="eastAsia" w:ascii="仿宋_GB2312" w:hAnsi="仿宋_GB2312" w:cs="仿宋_GB2312"/>
          <w:color w:val="auto"/>
          <w:kern w:val="2"/>
          <w:sz w:val="28"/>
          <w:szCs w:val="28"/>
          <w:highlight w:val="none"/>
          <w:lang w:val="en-US" w:eastAsia="zh-CN" w:bidi="ar-SA"/>
        </w:rPr>
        <w:t>、</w:t>
      </w:r>
      <w:r>
        <w:rPr>
          <w:rFonts w:hint="eastAsia" w:ascii="仿宋_GB2312" w:hAnsi="仿宋_GB2312" w:eastAsia="仿宋_GB2312" w:cs="仿宋_GB2312"/>
          <w:color w:val="auto"/>
          <w:kern w:val="2"/>
          <w:sz w:val="28"/>
          <w:szCs w:val="28"/>
          <w:highlight w:val="none"/>
          <w:lang w:val="en-US" w:eastAsia="zh-CN" w:bidi="ar-SA"/>
        </w:rPr>
        <w:t>膜格栅东侧</w:t>
      </w:r>
      <w:r>
        <w:rPr>
          <w:rFonts w:hint="eastAsia" w:ascii="仿宋_GB2312" w:hAnsi="仿宋_GB2312" w:cs="仿宋_GB2312"/>
          <w:color w:val="auto"/>
          <w:kern w:val="2"/>
          <w:sz w:val="28"/>
          <w:szCs w:val="28"/>
          <w:highlight w:val="none"/>
          <w:lang w:val="en-US" w:eastAsia="zh-CN" w:bidi="ar-SA"/>
        </w:rPr>
        <w:t>、生化反应池、提升泵房。</w:t>
      </w:r>
    </w:p>
    <w:p>
      <w:pPr>
        <w:pStyle w:val="29"/>
        <w:ind w:firstLine="560" w:firstLineChars="200"/>
        <w:rPr>
          <w:rFonts w:hint="default" w:ascii="仿宋_GB2312" w:hAnsi="仿宋_GB2312" w:cs="仿宋_GB2312"/>
          <w:color w:val="auto"/>
          <w:kern w:val="2"/>
          <w:sz w:val="28"/>
          <w:szCs w:val="28"/>
          <w:highlight w:val="none"/>
          <w:lang w:val="en-US" w:eastAsia="zh-CN" w:bidi="ar-SA"/>
        </w:rPr>
      </w:pPr>
      <w:r>
        <w:rPr>
          <w:rFonts w:hint="eastAsia" w:ascii="仿宋_GB2312" w:hAnsi="仿宋_GB2312" w:cs="仿宋_GB2312"/>
          <w:color w:val="auto"/>
          <w:kern w:val="2"/>
          <w:sz w:val="28"/>
          <w:szCs w:val="28"/>
          <w:highlight w:val="none"/>
          <w:lang w:val="en-US" w:eastAsia="zh-CN" w:bidi="ar-SA"/>
        </w:rPr>
        <w:t>2.新安装的固定式气体检测仪及多通道控制器检测及报警信号须传输至江高分公司指定的PLC控制柜，并通过PLC控制柜将信号传输至中控室统一管理，实现检测与报警信号实时监控、检测数据收集等要求。</w:t>
      </w:r>
    </w:p>
    <w:p>
      <w:pPr>
        <w:pStyle w:val="29"/>
        <w:numPr>
          <w:ilvl w:val="-1"/>
          <w:numId w:val="0"/>
        </w:numPr>
        <w:ind w:firstLine="560" w:firstLineChars="200"/>
        <w:rPr>
          <w:rFonts w:hint="eastAsia" w:ascii="仿宋_GB2312" w:hAnsi="仿宋_GB2312" w:cs="仿宋_GB2312"/>
          <w:color w:val="auto"/>
          <w:kern w:val="2"/>
          <w:sz w:val="28"/>
          <w:szCs w:val="28"/>
          <w:highlight w:val="none"/>
          <w:lang w:val="en-US" w:eastAsia="zh-CN" w:bidi="ar-SA"/>
        </w:rPr>
      </w:pPr>
      <w:r>
        <w:rPr>
          <w:rFonts w:hint="eastAsia" w:ascii="仿宋_GB2312" w:hAnsi="仿宋_GB2312" w:cs="仿宋_GB2312"/>
          <w:color w:val="auto"/>
          <w:kern w:val="2"/>
          <w:sz w:val="28"/>
          <w:szCs w:val="28"/>
          <w:highlight w:val="none"/>
          <w:lang w:val="en-US" w:eastAsia="zh-CN" w:bidi="ar-SA"/>
        </w:rPr>
        <w:t>3.安装要求：</w:t>
      </w:r>
    </w:p>
    <w:p>
      <w:pPr>
        <w:pStyle w:val="29"/>
        <w:numPr>
          <w:ilvl w:val="0"/>
          <w:numId w:val="0"/>
        </w:numPr>
        <w:ind w:firstLine="560" w:firstLineChars="200"/>
        <w:rPr>
          <w:rFonts w:hint="eastAsia" w:ascii="仿宋_GB2312" w:hAnsi="仿宋_GB2312" w:cs="仿宋_GB2312"/>
          <w:color w:val="auto"/>
          <w:kern w:val="2"/>
          <w:sz w:val="28"/>
          <w:szCs w:val="28"/>
          <w:highlight w:val="none"/>
          <w:lang w:val="en-US" w:eastAsia="zh-CN" w:bidi="ar-SA"/>
        </w:rPr>
      </w:pPr>
      <w:r>
        <w:rPr>
          <w:rFonts w:hint="eastAsia" w:ascii="仿宋_GB2312" w:hAnsi="仿宋_GB2312" w:cs="仿宋_GB2312"/>
          <w:color w:val="auto"/>
          <w:kern w:val="2"/>
          <w:sz w:val="28"/>
          <w:szCs w:val="28"/>
          <w:highlight w:val="none"/>
          <w:lang w:val="en-US" w:eastAsia="zh-CN" w:bidi="ar-SA"/>
        </w:rPr>
        <w:t>（1）1号生化池末段和出水仪表间，新安装的固定式气体检测仪和多通道控制器的检测及报警信号连接到</w:t>
      </w:r>
      <w:r>
        <w:rPr>
          <w:rFonts w:hint="eastAsia" w:ascii="仿宋_GB2312" w:hAnsi="仿宋_GB2312" w:cs="仿宋_GB2312"/>
          <w:b/>
          <w:bCs/>
          <w:color w:val="auto"/>
          <w:kern w:val="2"/>
          <w:sz w:val="28"/>
          <w:szCs w:val="28"/>
          <w:highlight w:val="none"/>
          <w:lang w:val="en-US" w:eastAsia="zh-CN" w:bidi="ar-SA"/>
        </w:rPr>
        <w:t>出水仪表间的PLC控制柜</w:t>
      </w:r>
      <w:r>
        <w:rPr>
          <w:rFonts w:hint="eastAsia" w:ascii="仿宋_GB2312" w:hAnsi="仿宋_GB2312" w:cs="仿宋_GB2312"/>
          <w:color w:val="auto"/>
          <w:kern w:val="2"/>
          <w:sz w:val="28"/>
          <w:szCs w:val="28"/>
          <w:highlight w:val="none"/>
          <w:lang w:val="en-US" w:eastAsia="zh-CN" w:bidi="ar-SA"/>
        </w:rPr>
        <w:t>，并通过PLC控制柜将信号传输至中控室进行统一管理。</w:t>
      </w:r>
    </w:p>
    <w:p>
      <w:pPr>
        <w:pStyle w:val="29"/>
        <w:numPr>
          <w:ilvl w:val="0"/>
          <w:numId w:val="0"/>
        </w:numPr>
        <w:ind w:firstLine="560" w:firstLineChars="200"/>
        <w:rPr>
          <w:rFonts w:hint="default" w:ascii="仿宋_GB2312" w:hAnsi="仿宋_GB2312" w:cs="仿宋_GB2312"/>
          <w:color w:val="auto"/>
          <w:kern w:val="2"/>
          <w:sz w:val="28"/>
          <w:szCs w:val="28"/>
          <w:highlight w:val="none"/>
          <w:lang w:val="en-US" w:eastAsia="zh-CN" w:bidi="ar-SA"/>
        </w:rPr>
      </w:pPr>
      <w:r>
        <w:rPr>
          <w:rFonts w:hint="eastAsia" w:ascii="仿宋_GB2312" w:hAnsi="仿宋_GB2312" w:cs="仿宋_GB2312"/>
          <w:color w:val="auto"/>
          <w:kern w:val="2"/>
          <w:sz w:val="28"/>
          <w:szCs w:val="28"/>
          <w:highlight w:val="none"/>
          <w:lang w:val="en-US" w:eastAsia="zh-CN" w:bidi="ar-SA"/>
        </w:rPr>
        <w:t>（2）</w:t>
      </w:r>
      <w:r>
        <w:rPr>
          <w:rFonts w:hint="default" w:ascii="仿宋_GB2312" w:hAnsi="仿宋_GB2312" w:cs="仿宋_GB2312"/>
          <w:color w:val="auto"/>
          <w:kern w:val="2"/>
          <w:sz w:val="28"/>
          <w:szCs w:val="28"/>
          <w:highlight w:val="none"/>
          <w:lang w:val="en-US" w:eastAsia="zh-CN" w:bidi="ar-SA"/>
        </w:rPr>
        <w:t>膜格栅东侧</w:t>
      </w:r>
      <w:r>
        <w:rPr>
          <w:rFonts w:hint="eastAsia" w:ascii="仿宋_GB2312" w:hAnsi="仿宋_GB2312" w:cs="仿宋_GB2312"/>
          <w:color w:val="auto"/>
          <w:kern w:val="2"/>
          <w:sz w:val="28"/>
          <w:szCs w:val="28"/>
          <w:highlight w:val="none"/>
          <w:lang w:val="en-US" w:eastAsia="zh-CN" w:bidi="ar-SA"/>
        </w:rPr>
        <w:t>、进水仪表间、提升泵房西北角，新安装的固定式气体检测仪和多通道控制器的检测及报警信号连接到</w:t>
      </w:r>
      <w:r>
        <w:rPr>
          <w:rFonts w:hint="eastAsia" w:ascii="仿宋_GB2312" w:hAnsi="仿宋_GB2312" w:cs="仿宋_GB2312"/>
          <w:b/>
          <w:bCs/>
          <w:color w:val="auto"/>
          <w:kern w:val="2"/>
          <w:sz w:val="28"/>
          <w:szCs w:val="28"/>
          <w:highlight w:val="none"/>
          <w:lang w:val="en-US" w:eastAsia="zh-CN" w:bidi="ar-SA"/>
        </w:rPr>
        <w:t>进水仪表间的PLC控制柜</w:t>
      </w:r>
      <w:r>
        <w:rPr>
          <w:rFonts w:hint="eastAsia" w:ascii="仿宋_GB2312" w:hAnsi="仿宋_GB2312" w:cs="仿宋_GB2312"/>
          <w:color w:val="auto"/>
          <w:kern w:val="2"/>
          <w:sz w:val="28"/>
          <w:szCs w:val="28"/>
          <w:highlight w:val="none"/>
          <w:lang w:val="en-US" w:eastAsia="zh-CN" w:bidi="ar-SA"/>
        </w:rPr>
        <w:t>，并通过PLC控制柜将信号传输至中控室进行统一管理。</w:t>
      </w: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spacing w:line="360" w:lineRule="auto"/>
        <w:ind w:firstLine="480" w:firstLineChars="200"/>
        <w:rPr>
          <w:rFonts w:hint="eastAsia" w:ascii="宋体" w:hAnsi="宋体" w:cs="宋体" w:eastAsiaTheme="minorEastAsia"/>
          <w:color w:val="auto"/>
          <w:sz w:val="24"/>
          <w:highlight w:val="none"/>
          <w:lang w:eastAsia="zh-CN"/>
        </w:rPr>
      </w:pPr>
      <w:bookmarkStart w:id="135" w:name="_Toc183666516"/>
      <w:bookmarkStart w:id="136" w:name="_Toc14703"/>
    </w:p>
    <w:bookmarkEnd w:id="135"/>
    <w:bookmarkEnd w:id="136"/>
    <w:p>
      <w:pPr>
        <w:pStyle w:val="29"/>
        <w:rPr>
          <w:color w:val="auto"/>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9"/>
        <w:rPr>
          <w:rFonts w:hint="eastAsia" w:hAnsi="宋体" w:cs="宋体"/>
          <w:color w:val="auto"/>
          <w:szCs w:val="21"/>
          <w:highlight w:val="none"/>
          <w:lang w:eastAsia="zh-CN"/>
        </w:rPr>
      </w:pPr>
    </w:p>
    <w:p>
      <w:pPr>
        <w:pStyle w:val="29"/>
        <w:rPr>
          <w:rFonts w:hint="eastAsia" w:hAnsi="宋体" w:cs="宋体"/>
          <w:color w:val="auto"/>
          <w:szCs w:val="21"/>
          <w:highlight w:val="none"/>
          <w:lang w:eastAsia="zh-CN"/>
        </w:rPr>
      </w:pPr>
    </w:p>
    <w:p>
      <w:pPr>
        <w:rPr>
          <w:rFonts w:hint="eastAsia" w:hAnsi="宋体" w:cs="宋体"/>
          <w:color w:val="auto"/>
          <w:szCs w:val="21"/>
          <w:highlight w:val="none"/>
          <w:lang w:eastAsia="zh-CN"/>
        </w:rPr>
      </w:pPr>
      <w:r>
        <w:rPr>
          <w:rFonts w:hint="eastAsia" w:hAnsi="宋体" w:cs="宋体"/>
          <w:color w:val="auto"/>
          <w:szCs w:val="21"/>
          <w:highlight w:val="none"/>
          <w:lang w:eastAsia="zh-CN"/>
        </w:rPr>
        <w:br w:type="page"/>
      </w:r>
    </w:p>
    <w:p>
      <w:pPr>
        <w:pStyle w:val="29"/>
        <w:rPr>
          <w:rFonts w:hint="eastAsia" w:ascii="宋体" w:hAnsi="宋体" w:cs="宋体"/>
          <w:color w:val="auto"/>
          <w:szCs w:val="21"/>
          <w:highlight w:val="none"/>
        </w:rPr>
      </w:pPr>
      <w:r>
        <w:rPr>
          <w:rFonts w:hint="eastAsia" w:hAnsi="宋体" w:cs="宋体"/>
          <w:color w:val="auto"/>
          <w:szCs w:val="21"/>
          <w:highlight w:val="none"/>
          <w:lang w:eastAsia="zh-CN"/>
        </w:rPr>
        <w:t>附</w:t>
      </w:r>
      <w:r>
        <w:rPr>
          <w:rFonts w:hint="eastAsia" w:ascii="宋体" w:hAnsi="宋体" w:cs="宋体"/>
          <w:color w:val="auto"/>
          <w:szCs w:val="21"/>
          <w:highlight w:val="none"/>
        </w:rPr>
        <w:t>件</w:t>
      </w:r>
      <w:r>
        <w:rPr>
          <w:rFonts w:hint="eastAsia" w:hAnsi="宋体" w:cs="宋体"/>
          <w:color w:val="auto"/>
          <w:szCs w:val="21"/>
          <w:highlight w:val="none"/>
          <w:lang w:val="en-US" w:eastAsia="zh-CN"/>
        </w:rPr>
        <w:t>5</w:t>
      </w:r>
      <w:r>
        <w:rPr>
          <w:rFonts w:hint="eastAsia" w:ascii="宋体" w:hAnsi="宋体" w:cs="宋体"/>
          <w:color w:val="auto"/>
          <w:szCs w:val="21"/>
          <w:highlight w:val="none"/>
        </w:rPr>
        <w:t>：</w:t>
      </w:r>
    </w:p>
    <w:p>
      <w:pPr>
        <w:pStyle w:val="29"/>
        <w:rPr>
          <w:rFonts w:hint="eastAsia" w:ascii="宋体" w:hAnsi="宋体" w:cs="宋体"/>
          <w:color w:val="auto"/>
          <w:szCs w:val="21"/>
          <w:highlight w:val="none"/>
        </w:rPr>
      </w:pPr>
    </w:p>
    <w:p>
      <w:pPr>
        <w:adjustRightInd w:val="0"/>
        <w:snapToGrid w:val="0"/>
        <w:jc w:val="center"/>
        <w:rPr>
          <w:rFonts w:hint="eastAsia"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不诚信行为的情形及相应被暂停参与投标活动的处理标准</w:t>
      </w:r>
    </w:p>
    <w:tbl>
      <w:tblPr>
        <w:tblStyle w:val="23"/>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5245"/>
        <w:gridCol w:w="850"/>
        <w:gridCol w:w="1985"/>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序号</w:t>
            </w:r>
          </w:p>
        </w:tc>
        <w:tc>
          <w:tcPr>
            <w:tcW w:w="5671"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不诚信行为的情形</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处理</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期限</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情节严重或拒不改正的延长处理期限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安全不诚信行为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（一）建设生产现场发生人员</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死亡1～2人的，暂停投标1年至2年（含）。</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死亡3～9人的，暂停投标2年以上至4年。</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 w:val="21"/>
                <w:szCs w:val="24"/>
                <w:highlight w:val="none"/>
                <w:lang w:val="en-US" w:eastAsia="zh-CN"/>
              </w:rPr>
              <w:t>重伤10人以上（含）、或</w:t>
            </w:r>
            <w:r>
              <w:rPr>
                <w:rFonts w:hint="eastAsia" w:ascii="仿宋_GB2312" w:hAnsi="仿宋_GB2312" w:eastAsia="仿宋_GB2312" w:cs="仿宋_GB2312"/>
                <w:color w:val="auto"/>
                <w:szCs w:val="24"/>
                <w:highlight w:val="none"/>
              </w:rPr>
              <w:t>重大及以上事故的，暂停投标4年或以上</w:t>
            </w:r>
            <w:r>
              <w:rPr>
                <w:rFonts w:hint="eastAsia" w:ascii="仿宋_GB2312" w:hAnsi="仿宋_GB2312" w:eastAsia="仿宋_GB2312" w:cs="仿宋_GB2312"/>
                <w:color w:val="auto"/>
                <w:szCs w:val="24"/>
                <w:highlight w:val="none"/>
                <w:lang w:eastAsia="zh-CN"/>
              </w:rPr>
              <w:t>。</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政府认定责任事故增加6个月。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二）发生基坑坍塌、高支模坍塌、结构坍塌、周边建筑物沉降、管线损坏、火灾、爆炸等，虽无人员伤亡但造成重大社会负面影响的事件。重大社会负面影响包括但不限于交通中断、大面积停水停电停气、大范围通信中断、人员紧急疏散、中断行车2小时以上，</w:t>
            </w:r>
            <w:r>
              <w:rPr>
                <w:rFonts w:hint="eastAsia" w:ascii="仿宋_GB2312" w:hAnsi="仿宋_GB2312" w:eastAsia="仿宋_GB2312" w:cs="仿宋_GB2312"/>
                <w:color w:val="auto"/>
                <w:szCs w:val="24"/>
                <w:highlight w:val="none"/>
                <w:lang w:eastAsia="zh-CN"/>
              </w:rPr>
              <w:t>大面积运营晚点，</w:t>
            </w:r>
            <w:r>
              <w:rPr>
                <w:rFonts w:hint="eastAsia" w:ascii="仿宋_GB2312" w:hAnsi="仿宋_GB2312" w:eastAsia="仿宋_GB2312" w:cs="仿宋_GB2312"/>
                <w:color w:val="auto"/>
                <w:szCs w:val="24"/>
                <w:highlight w:val="none"/>
              </w:rPr>
              <w:t>或群体性事件等。</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视情况暂停投标1至2年。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w:t>
            </w:r>
            <w:r>
              <w:rPr>
                <w:rFonts w:hint="eastAsia" w:ascii="仿宋_GB2312" w:hAnsi="仿宋_GB2312" w:eastAsia="仿宋_GB2312" w:cs="仿宋_GB2312"/>
                <w:color w:val="auto"/>
                <w:sz w:val="21"/>
                <w:szCs w:val="24"/>
                <w:highlight w:val="none"/>
                <w:lang w:val="en-US" w:eastAsia="zh-CN"/>
              </w:rPr>
              <w:t>根据《广州市净水有限公司工程项目承包单位考评细则》安全管理未达标且符合限制投标处罚标准的。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暂停投标1年。若至下一个自然年度项目尚未完结，仍出现该款情形的，继续暂停投标1年；同理执行至工程建设项目完工验收完成。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质量不诚信行为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（一）由于质量问题对建设项目的使用功能造成影响且无法挽回的。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color w:val="auto"/>
                <w:szCs w:val="24"/>
                <w:highlight w:val="none"/>
                <w:lang w:eastAsia="zh-CN"/>
              </w:rPr>
              <w:t>二</w:t>
            </w: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color w:val="auto"/>
                <w:sz w:val="21"/>
                <w:szCs w:val="24"/>
                <w:highlight w:val="none"/>
                <w:lang w:val="en-US" w:eastAsia="zh-CN"/>
              </w:rPr>
              <w:t>根据《广州市净水有限公司工程项目承包单位考评细则》质量管理未达标且符合限制投标处罚标准的。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lang w:eastAsia="zh-CN"/>
              </w:rPr>
              <w:t>年</w:t>
            </w:r>
            <w:r>
              <w:rPr>
                <w:rFonts w:hint="eastAsia" w:ascii="仿宋_GB2312" w:hAnsi="仿宋_GB2312" w:eastAsia="仿宋_GB2312" w:cs="仿宋_GB2312"/>
                <w:color w:val="auto"/>
                <w:szCs w:val="24"/>
                <w:highlight w:val="none"/>
              </w:rPr>
              <w:t>。若至下一个自然年度项目尚未完结，仍出现该款情形的，继续暂停投标</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lang w:eastAsia="zh-CN"/>
              </w:rPr>
              <w:t>年</w:t>
            </w:r>
            <w:r>
              <w:rPr>
                <w:rFonts w:hint="eastAsia" w:ascii="仿宋_GB2312" w:hAnsi="仿宋_GB2312" w:eastAsia="仿宋_GB2312" w:cs="仿宋_GB2312"/>
                <w:color w:val="auto"/>
                <w:szCs w:val="24"/>
                <w:highlight w:val="none"/>
              </w:rPr>
              <w:t>；同理执行至工程建设项目完工验收完成。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（三）发生其他由质量问题而引起的重大社会负面影响事件的。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7</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其他不诚信</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w:t>
            </w:r>
            <w:r>
              <w:rPr>
                <w:rFonts w:hint="eastAsia" w:ascii="仿宋_GB2312" w:hAnsi="仿宋_GB2312" w:eastAsia="仿宋_GB2312" w:cs="仿宋_GB2312"/>
                <w:color w:val="auto"/>
                <w:sz w:val="21"/>
                <w:szCs w:val="24"/>
                <w:highlight w:val="none"/>
                <w:lang w:val="en-US" w:eastAsia="zh-CN"/>
              </w:rPr>
              <w:t>投标、询价过程弄虚作假、串通报价投标、任意弃标</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（二）发生质量事故或安全事故造成社会负面影响需要面对媒体和进行危机公关，参建企业法定代表人在规定的时间内未到现场面对媒体进行危机公关的。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（三）因参建企业原因造成信访、维稳事件，造成较大社会影响。</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（四）中标后转包工程、非法分包工程、非法转让业务的。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（五）因人员、机械投入及配套服务投入不足，主要管理人员未按照投标文件响应到位，导致严重影响工期，被市水投集团相关部门及发包人督办、警告和约谈3次的。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（六）未经批准擅自更换项目经理的。</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（七）严重违反合同约定的，具体包括但不限于以下行为：</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14</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1.提供或使用假冒伪劣或以次充好产品、不符合国家规范规定材料的。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2.工程竣工验收后，不出具质量保修书的，或质量保修的内容、期限违反规定的。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3.不履行保修义务或者拖延履行保修义务的。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17</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4.其他经认定为严重违反合同规定的。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（八）违反廉洁协议约定的。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（九）拖欠农民工工资，造成不良后果的。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（十）为谋取非法利益，给市水投集团或发包人造成损失的。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（十一）因参建企业原因造成第三者财产重大损失的。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numPr>
                <w:ilvl w:val="0"/>
                <w:numId w:val="0"/>
              </w:numPr>
              <w:adjustRightInd w:val="0"/>
              <w:snapToGrid w:val="0"/>
              <w:jc w:val="lef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（十二）</w:t>
            </w:r>
            <w:r>
              <w:rPr>
                <w:rFonts w:hint="eastAsia" w:ascii="仿宋_GB2312" w:hAnsi="仿宋_GB2312" w:eastAsia="仿宋_GB2312" w:cs="仿宋_GB2312"/>
                <w:color w:val="auto"/>
                <w:sz w:val="21"/>
                <w:szCs w:val="24"/>
                <w:highlight w:val="none"/>
                <w:lang w:val="en-US" w:eastAsia="zh-CN"/>
              </w:rPr>
              <w:t>经发包人认定的其他不诚信行为</w:t>
            </w:r>
            <w:r>
              <w:rPr>
                <w:rFonts w:hint="eastAsia" w:ascii="仿宋_GB2312" w:hAnsi="仿宋_GB2312" w:eastAsia="仿宋_GB2312" w:cs="仿宋_GB2312"/>
                <w:color w:val="auto"/>
                <w:szCs w:val="24"/>
                <w:highlight w:val="none"/>
              </w:rPr>
              <w:t>。</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bl>
    <w:p>
      <w:pPr>
        <w:numPr>
          <w:ilvl w:val="0"/>
          <w:numId w:val="0"/>
        </w:numPr>
        <w:ind w:firstLine="0" w:firstLineChars="0"/>
        <w:contextualSpacing/>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备注：本处理标准出自</w:t>
      </w:r>
      <w:r>
        <w:rPr>
          <w:rFonts w:hint="eastAsia" w:ascii="仿宋_GB2312" w:hAnsi="仿宋_GB2312" w:eastAsia="仿宋_GB2312" w:cs="仿宋_GB2312"/>
          <w:color w:val="auto"/>
          <w:sz w:val="24"/>
          <w:szCs w:val="24"/>
          <w:highlight w:val="none"/>
        </w:rPr>
        <w:t>《广州市净水有限公司经营建设项目参建企业不诚信行为管理办法》</w:t>
      </w:r>
      <w:r>
        <w:rPr>
          <w:rFonts w:hint="eastAsia" w:ascii="仿宋_GB2312" w:hAnsi="仿宋_GB2312" w:eastAsia="仿宋_GB2312" w:cs="仿宋_GB2312"/>
          <w:color w:val="auto"/>
          <w:sz w:val="24"/>
          <w:szCs w:val="24"/>
          <w:highlight w:val="none"/>
          <w:lang w:eastAsia="zh-CN"/>
        </w:rPr>
        <w:t>。</w:t>
      </w:r>
    </w:p>
    <w:p>
      <w:pPr>
        <w:adjustRightInd w:val="0"/>
        <w:snapToGrid w:val="0"/>
        <w:spacing w:line="600" w:lineRule="exact"/>
        <w:ind w:firstLine="560" w:firstLineChars="200"/>
        <w:jc w:val="left"/>
        <w:rPr>
          <w:rFonts w:ascii="仿宋_GB2312" w:eastAsia="仿宋_GB2312"/>
          <w:color w:val="auto"/>
          <w:sz w:val="28"/>
          <w:szCs w:val="28"/>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pStyle w:val="4"/>
        <w:rPr>
          <w:color w:val="auto"/>
          <w:highlight w:val="none"/>
        </w:rPr>
      </w:pPr>
      <w:bookmarkStart w:id="137" w:name="_Toc6230"/>
      <w:bookmarkStart w:id="138" w:name="_Toc30824"/>
      <w:bookmarkStart w:id="139" w:name="_Toc12169"/>
      <w:bookmarkStart w:id="140" w:name="_Toc5129"/>
      <w:bookmarkStart w:id="141" w:name="_Toc8147"/>
      <w:bookmarkStart w:id="142" w:name="_Toc3723"/>
      <w:bookmarkStart w:id="143" w:name="_Toc21847"/>
      <w:bookmarkStart w:id="144" w:name="_Toc1563"/>
      <w:bookmarkStart w:id="145" w:name="_Toc23515"/>
      <w:bookmarkStart w:id="146" w:name="_Toc28358"/>
      <w:bookmarkStart w:id="147" w:name="_Toc16552"/>
      <w:r>
        <w:rPr>
          <w:color w:val="auto"/>
          <w:highlight w:val="none"/>
        </w:rPr>
        <w:pict>
          <v:shape id="_x0000_s2059" o:spid="_x0000_s2059" o:spt="32" type="#_x0000_t32" style="position:absolute;left:0pt;margin-left:185.6pt;margin-top:40.55pt;height:0pt;width:75.5pt;z-index:251667456;mso-width-relative:page;mso-height-relative:page;" o:connectortype="straight" filled="f" coordsize="21600,21600">
            <v:path arrowok="t"/>
            <v:fill on="f" focussize="0,0"/>
            <v:stroke/>
            <v:imagedata o:title=""/>
            <o:lock v:ext="edit"/>
          </v:shape>
        </w:pict>
      </w:r>
      <w:r>
        <w:rPr>
          <w:color w:val="auto"/>
          <w:highlight w:val="none"/>
        </w:rPr>
        <w:pict>
          <v:shape id="_x0000_s2058" o:spid="_x0000_s2058" o:spt="32" type="#_x0000_t32" style="position:absolute;left:0pt;margin-left:182.5pt;margin-top:6.9pt;height:0pt;width:75.5pt;z-index:251666432;mso-width-relative:page;mso-height-relative:page;" o:connectortype="straight" filled="f" coordsize="21600,21600">
            <v:path arrowok="t"/>
            <v:fill on="f" focussize="0,0"/>
            <v:stroke/>
            <v:imagedata o:title=""/>
            <o:lock v:ext="edit"/>
          </v:shape>
        </w:pict>
      </w:r>
      <w:r>
        <w:rPr>
          <w:rFonts w:hint="eastAsia"/>
          <w:color w:val="auto"/>
          <w:highlight w:val="none"/>
        </w:rPr>
        <w:t>第七章</w:t>
      </w:r>
      <w:bookmarkEnd w:id="137"/>
      <w:bookmarkEnd w:id="138"/>
      <w:bookmarkEnd w:id="139"/>
      <w:bookmarkEnd w:id="140"/>
      <w:bookmarkEnd w:id="141"/>
      <w:bookmarkEnd w:id="142"/>
      <w:bookmarkEnd w:id="143"/>
      <w:bookmarkEnd w:id="144"/>
      <w:bookmarkEnd w:id="145"/>
      <w:bookmarkEnd w:id="146"/>
      <w:bookmarkEnd w:id="147"/>
    </w:p>
    <w:p>
      <w:pPr>
        <w:pStyle w:val="38"/>
        <w:rPr>
          <w:color w:val="auto"/>
          <w:highlight w:val="none"/>
        </w:rPr>
      </w:pPr>
    </w:p>
    <w:p>
      <w:pPr>
        <w:pStyle w:val="4"/>
        <w:rPr>
          <w:color w:val="auto"/>
          <w:highlight w:val="none"/>
        </w:rPr>
      </w:pPr>
      <w:bookmarkStart w:id="148" w:name="_Toc31564"/>
      <w:bookmarkStart w:id="149" w:name="_Toc12610"/>
      <w:bookmarkStart w:id="150" w:name="_Toc10840"/>
      <w:bookmarkStart w:id="151" w:name="_Toc17119"/>
      <w:bookmarkStart w:id="152" w:name="_Toc30157"/>
      <w:bookmarkStart w:id="153" w:name="_Toc12769"/>
      <w:bookmarkStart w:id="154" w:name="_Toc5342"/>
      <w:bookmarkStart w:id="155" w:name="_Toc21675"/>
      <w:bookmarkStart w:id="156" w:name="_Toc24490"/>
      <w:bookmarkStart w:id="157" w:name="_Toc87616388"/>
      <w:bookmarkStart w:id="158" w:name="_Toc88209951"/>
      <w:bookmarkStart w:id="159" w:name="_Toc24815"/>
      <w:bookmarkStart w:id="160" w:name="_Toc22764"/>
      <w:r>
        <w:rPr>
          <w:rFonts w:hint="eastAsia"/>
          <w:color w:val="auto"/>
          <w:highlight w:val="none"/>
        </w:rPr>
        <w:t>响应文件</w:t>
      </w:r>
      <w:r>
        <w:rPr>
          <w:rFonts w:hint="eastAsia"/>
          <w:color w:val="auto"/>
          <w:highlight w:val="none"/>
          <w:lang w:val="en-US" w:eastAsia="zh-CN"/>
        </w:rPr>
        <w:t>格式要求</w:t>
      </w:r>
      <w:bookmarkEnd w:id="148"/>
      <w:bookmarkEnd w:id="149"/>
      <w:bookmarkEnd w:id="150"/>
      <w:bookmarkEnd w:id="151"/>
      <w:bookmarkEnd w:id="152"/>
      <w:bookmarkEnd w:id="153"/>
      <w:bookmarkEnd w:id="154"/>
      <w:bookmarkEnd w:id="155"/>
      <w:bookmarkEnd w:id="156"/>
      <w:bookmarkEnd w:id="157"/>
      <w:bookmarkEnd w:id="158"/>
      <w:bookmarkEnd w:id="159"/>
      <w:bookmarkEnd w:id="160"/>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（2022年固定式气体检测</w:t>
      </w:r>
      <w:r>
        <w:rPr>
          <w:rFonts w:hint="eastAsia" w:ascii="方正小标宋简体" w:eastAsia="方正小标宋简体"/>
          <w:color w:val="auto"/>
          <w:sz w:val="44"/>
          <w:szCs w:val="44"/>
          <w:highlight w:val="none"/>
          <w:u w:val="single"/>
          <w:lang w:val="en-US" w:eastAsia="zh-CN"/>
        </w:rPr>
        <w:t>采购</w:t>
      </w:r>
      <w:r>
        <w:rPr>
          <w:rFonts w:hint="eastAsia" w:ascii="方正小标宋简体" w:eastAsia="方正小标宋简体"/>
          <w:color w:val="auto"/>
          <w:sz w:val="44"/>
          <w:szCs w:val="44"/>
          <w:highlight w:val="none"/>
          <w:u w:val="single"/>
        </w:rPr>
        <w:t>仪项目）</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61" w:name="_Toc88209952"/>
      <w:bookmarkStart w:id="162" w:name="_Toc87616389"/>
      <w:r>
        <w:rPr>
          <w:rFonts w:hint="eastAsia" w:ascii="仿宋_GB2312" w:eastAsia="仿宋_GB2312"/>
          <w:color w:val="auto"/>
          <w:sz w:val="28"/>
          <w:szCs w:val="28"/>
          <w:highlight w:val="none"/>
        </w:rPr>
        <w:t>1.响应函</w:t>
      </w:r>
      <w:bookmarkEnd w:id="161"/>
      <w:bookmarkEnd w:id="162"/>
    </w:p>
    <w:p>
      <w:pPr>
        <w:spacing w:line="600" w:lineRule="exact"/>
        <w:rPr>
          <w:rFonts w:hint="eastAsia" w:ascii="仿宋_GB2312" w:eastAsia="仿宋_GB2312"/>
          <w:color w:val="auto"/>
          <w:sz w:val="28"/>
          <w:szCs w:val="28"/>
          <w:highlight w:val="none"/>
        </w:rPr>
      </w:pPr>
      <w:bookmarkStart w:id="163" w:name="_Toc88209953"/>
      <w:bookmarkStart w:id="164" w:name="_Toc87616390"/>
      <w:r>
        <w:rPr>
          <w:rFonts w:hint="eastAsia" w:ascii="仿宋_GB2312" w:eastAsia="仿宋_GB2312"/>
          <w:color w:val="auto"/>
          <w:sz w:val="28"/>
          <w:szCs w:val="28"/>
          <w:highlight w:val="none"/>
        </w:rPr>
        <w:t>2.法定代表人证明或授权委托书</w:t>
      </w:r>
      <w:bookmarkEnd w:id="163"/>
      <w:bookmarkEnd w:id="164"/>
      <w:bookmarkStart w:id="165" w:name="_Toc87616393"/>
      <w:bookmarkStart w:id="166" w:name="_Toc88209956"/>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65"/>
      <w:bookmarkEnd w:id="166"/>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color w:val="auto"/>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adjustRightInd w:val="0"/>
        <w:snapToGrid w:val="0"/>
        <w:spacing w:beforeLines="50" w:afterLines="50" w:line="600" w:lineRule="exact"/>
        <w:jc w:val="both"/>
        <w:rPr>
          <w:rFonts w:ascii="方正小标宋简体" w:eastAsia="方正小标宋简体"/>
          <w:color w:val="auto"/>
          <w:sz w:val="44"/>
          <w:szCs w:val="44"/>
          <w:highlight w:val="none"/>
        </w:rPr>
      </w:pPr>
    </w:p>
    <w:p>
      <w:pPr>
        <w:rPr>
          <w:rFonts w:hint="eastAsia" w:asciiTheme="minorEastAsia" w:hAnsiTheme="minorEastAsia" w:eastAsiaTheme="minorEastAsia"/>
          <w:color w:val="auto"/>
          <w:sz w:val="28"/>
          <w:szCs w:val="28"/>
          <w:highlight w:val="none"/>
        </w:rPr>
      </w:pPr>
      <w:bookmarkStart w:id="167" w:name="_Toc87616394"/>
      <w:bookmarkStart w:id="168" w:name="_Toc28619645"/>
      <w:bookmarkStart w:id="169" w:name="_Toc12665"/>
      <w:bookmarkStart w:id="170" w:name="_Toc88209957"/>
      <w:bookmarkStart w:id="171" w:name="_Toc6313"/>
      <w:r>
        <w:rPr>
          <w:rFonts w:hint="eastAsia" w:asciiTheme="minorEastAsia" w:hAnsiTheme="minorEastAsia" w:eastAsiaTheme="minorEastAsia"/>
          <w:color w:val="auto"/>
          <w:sz w:val="28"/>
          <w:szCs w:val="28"/>
          <w:highlight w:val="none"/>
        </w:rPr>
        <w:br w:type="page"/>
      </w:r>
    </w:p>
    <w:p>
      <w:pPr>
        <w:pStyle w:val="6"/>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1.响应函</w:t>
      </w:r>
      <w:bookmarkEnd w:id="167"/>
      <w:bookmarkEnd w:id="168"/>
      <w:bookmarkEnd w:id="169"/>
      <w:bookmarkEnd w:id="170"/>
      <w:bookmarkEnd w:id="171"/>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w:t>
      </w:r>
      <w:r>
        <w:rPr>
          <w:rFonts w:hint="eastAsia" w:ascii="仿宋_GB2312" w:hAnsi="黑体" w:eastAsia="仿宋_GB2312"/>
          <w:color w:val="auto"/>
          <w:sz w:val="28"/>
          <w:szCs w:val="28"/>
          <w:highlight w:val="none"/>
          <w:u w:val="single"/>
        </w:rPr>
        <w:t xml:space="preserve">（项目名称、项目编号、标段/标包号）   </w:t>
      </w:r>
      <w:r>
        <w:rPr>
          <w:rFonts w:hint="eastAsia" w:ascii="仿宋_GB2312" w:hAnsi="黑体" w:eastAsia="仿宋_GB2312"/>
          <w:color w:val="auto"/>
          <w:sz w:val="28"/>
          <w:szCs w:val="28"/>
          <w:highlight w:val="none"/>
        </w:rPr>
        <w:t>采购文件的全部内容，愿意以含税价人民币（大写）</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w:t>
      </w:r>
      <w:r>
        <w:rPr>
          <w:rFonts w:hint="eastAsia" w:ascii="宋体" w:hAnsi="宋体" w:eastAsia="仿宋_GB2312"/>
          <w:color w:val="auto"/>
          <w:sz w:val="28"/>
          <w:szCs w:val="28"/>
          <w:highlight w:val="none"/>
        </w:rPr>
        <w:t>¥</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rPr>
        <w:t>）的报价（其中，不含税价为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；增值税为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）完成/提供本项目</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 xml:space="preserve">工程 </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货物</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adjustRightInd w:val="0"/>
        <w:snapToGrid w:val="0"/>
        <w:spacing w:line="600" w:lineRule="exact"/>
        <w:ind w:left="1" w:firstLine="551" w:firstLineChars="197"/>
        <w:jc w:val="right"/>
        <w:rPr>
          <w:rFonts w:hint="eastAsia" w:asciiTheme="minorEastAsia" w:hAnsiTheme="minorEastAsia" w:eastAsiaTheme="minorEastAsia"/>
          <w:color w:val="auto"/>
          <w:sz w:val="28"/>
          <w:szCs w:val="28"/>
          <w:highlight w:val="none"/>
        </w:rPr>
      </w:pPr>
      <w:bookmarkStart w:id="172" w:name="_Toc87616395"/>
      <w:bookmarkStart w:id="173" w:name="_Toc88209958"/>
      <w:bookmarkStart w:id="174" w:name="_Toc29833"/>
      <w:bookmarkStart w:id="175" w:name="_Toc22527"/>
    </w:p>
    <w:p>
      <w:pPr>
        <w:pStyle w:val="6"/>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72"/>
      <w:bookmarkEnd w:id="173"/>
      <w:bookmarkEnd w:id="174"/>
      <w:bookmarkEnd w:id="175"/>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40"/>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3"/>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39"/>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3"/>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3"/>
        <w:snapToGrid w:val="0"/>
        <w:spacing w:line="600" w:lineRule="exact"/>
        <w:ind w:firstLine="3907" w:firstLineChars="1221"/>
        <w:rPr>
          <w:rFonts w:ascii="仿宋_GB2312" w:hAnsi="宋体" w:eastAsia="仿宋_GB2312" w:cs="Times New Roman"/>
          <w:color w:val="auto"/>
          <w:sz w:val="32"/>
          <w:szCs w:val="32"/>
          <w:highlight w:val="none"/>
        </w:rPr>
      </w:pPr>
    </w:p>
    <w:p>
      <w:pPr>
        <w:pStyle w:val="13"/>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w:pict>
          <v:shape id="文本框 2" o:spid="_x0000_s2060" o:spt="202" type="#_x0000_t202" style="position:absolute;left:0pt;margin-left:32pt;margin-top:14.8pt;height:101.4pt;width:297pt;mso-wrap-distance-bottom:0pt;mso-wrap-distance-left:9pt;mso-wrap-distance-right:9pt;mso-wrap-distance-top:0pt;z-index:251668480;mso-width-relative:page;mso-height-relative:page;" coordsize="21600,21600" o:gfxdata="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ZN1XdcAAAAJAQAADwAAAAAAAAABACAAAAAiAAAAZHJzL2Rvd25yZXYueG1sUEsBAhQA&#10;FAAAAAgAh07iQLb6D/osAgAASAQAAA4AAAAAAAAAAQAgAAAAJgEAAGRycy9lMm9Eb2MueG1sUEsF&#10;BgAAAAAGAAYAWQEAAMQFAAAAAA==&#10;">
            <v:path/>
            <v:fill focussize="0,0"/>
            <v:stroke joinstyle="miter"/>
            <v:imagedata o:title=""/>
            <o:lock v:ext="edit"/>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8"/>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3"/>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3"/>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3"/>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
        <w:rPr>
          <w:rFonts w:hint="eastAsia" w:ascii="仿宋_GB2312" w:hAnsi="宋体" w:eastAsia="仿宋_GB2312"/>
          <w:color w:val="auto"/>
          <w:sz w:val="30"/>
          <w:szCs w:val="30"/>
          <w:highlight w:val="none"/>
        </w:rPr>
      </w:pPr>
    </w:p>
    <w:p>
      <w:pPr>
        <w:pStyle w:val="2"/>
        <w:rPr>
          <w:rFonts w:hint="eastAsia" w:ascii="仿宋_GB2312" w:hAnsi="宋体" w:eastAsia="仿宋_GB2312"/>
          <w:color w:val="auto"/>
          <w:sz w:val="30"/>
          <w:szCs w:val="30"/>
          <w:highlight w:val="none"/>
        </w:rPr>
      </w:pPr>
    </w:p>
    <w:p>
      <w:pPr>
        <w:pStyle w:val="2"/>
        <w:rPr>
          <w:rFonts w:hint="eastAsia" w:ascii="仿宋_GB2312" w:hAnsi="宋体" w:eastAsia="仿宋_GB2312"/>
          <w:color w:val="auto"/>
          <w:sz w:val="30"/>
          <w:szCs w:val="30"/>
          <w:highlight w:val="none"/>
        </w:rPr>
      </w:pPr>
    </w:p>
    <w:p>
      <w:pPr>
        <w:pStyle w:val="2"/>
        <w:rPr>
          <w:rFonts w:hint="eastAsia" w:ascii="仿宋_GB2312" w:hAnsi="宋体" w:eastAsia="仿宋_GB2312"/>
          <w:color w:val="auto"/>
          <w:sz w:val="30"/>
          <w:szCs w:val="30"/>
          <w:highlight w:val="none"/>
        </w:rPr>
      </w:pPr>
    </w:p>
    <w:p>
      <w:pPr>
        <w:pStyle w:val="7"/>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w:pict>
          <v:shape id="_x0000_s2061" o:spid="_x0000_s2061" o:spt="202" type="#_x0000_t202" style="position:absolute;left:0pt;margin-left:48.5pt;margin-top:15.75pt;height:101.4pt;width:297pt;mso-wrap-distance-bottom:0pt;mso-wrap-distance-left:9pt;mso-wrap-distance-right:9pt;mso-wrap-distance-top:0pt;z-index:251669504;mso-width-relative:page;mso-height-relative:page;" coordsize="21600,21600" o:gfxdata="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cZN1XdcAAAAJAQAADwAAAAAAAAABACAAAAAiAAAAZHJzL2Rvd25yZXYueG1sUEsBAhQA&#10;FAAAAAgAh07iQLb6D/osAgAASAQAAA4AAAAAAAAAAQAgAAAAJgEAAGRycy9lMm9Eb2MueG1sUEsF&#10;BgAAAAAGAAYAWQEAAMQFAAAAAA==&#10;">
            <v:path/>
            <v:fill focussize="0,0"/>
            <v:stroke joinstyle="miter"/>
            <v:imagedata o:title=""/>
            <o:lock v:ext="edit"/>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w:r>
    </w:p>
    <w:p>
      <w:pPr>
        <w:pStyle w:val="7"/>
        <w:spacing w:after="0" w:line="600" w:lineRule="exact"/>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pStyle w:val="7"/>
        <w:spacing w:after="0" w:line="600" w:lineRule="exact"/>
        <w:ind w:firstLine="0"/>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6"/>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76" w:name="_Toc88209963"/>
      <w:bookmarkStart w:id="177" w:name="_Toc87616400"/>
      <w:bookmarkStart w:id="178" w:name="_Toc8086"/>
      <w:bookmarkStart w:id="179" w:name="_Toc19830"/>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76"/>
      <w:bookmarkEnd w:id="177"/>
      <w:bookmarkEnd w:id="178"/>
      <w:bookmarkEnd w:id="179"/>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4"/>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right"/>
        <w:outlineLvl w:val="9"/>
        <w:rPr>
          <w:rFonts w:hint="eastAsia" w:cs="Times New Roman" w:asciiTheme="minorEastAsia" w:hAnsiTheme="minorEastAsia" w:eastAsiaTheme="minorEastAsia"/>
          <w:b/>
          <w:bCs/>
          <w:color w:val="auto"/>
          <w:sz w:val="28"/>
          <w:szCs w:val="28"/>
          <w:highlight w:val="none"/>
          <w:lang w:val="en-US" w:eastAsia="zh-CN"/>
        </w:rPr>
      </w:pPr>
      <w:bookmarkStart w:id="180" w:name="_Hlk59025866"/>
      <w:r>
        <w:rPr>
          <w:rFonts w:hint="eastAsia" w:ascii="宋体" w:hAnsi="宋体" w:eastAsia="宋体" w:cs="宋体"/>
          <w:color w:val="auto"/>
          <w:kern w:val="2"/>
          <w:sz w:val="24"/>
          <w:szCs w:val="24"/>
          <w:highlight w:val="none"/>
          <w:lang w:val="en-GB"/>
        </w:rPr>
        <w:t>供应商名称（加盖公章）：</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80"/>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rPr>
          <w:rFonts w:hint="eastAsia" w:ascii="宋体" w:hAnsi="宋体" w:cs="宋体" w:eastAsiaTheme="minorEastAsia"/>
          <w:bCs w:val="0"/>
          <w:color w:val="auto"/>
          <w:sz w:val="24"/>
          <w:szCs w:val="24"/>
          <w:highlight w:val="none"/>
          <w:lang w:val="en-GB"/>
        </w:rPr>
      </w:pPr>
      <w:r>
        <w:rPr>
          <w:rFonts w:hint="eastAsia" w:ascii="宋体" w:hAnsi="宋体" w:eastAsia="宋体" w:cs="宋体"/>
          <w:color w:val="auto"/>
          <w:kern w:val="2"/>
          <w:sz w:val="24"/>
          <w:szCs w:val="24"/>
          <w:highlight w:val="none"/>
          <w:lang w:val="en-GB"/>
        </w:rPr>
        <w:t>我方郑重承诺，在参与</w:t>
      </w:r>
      <w:r>
        <w:rPr>
          <w:rFonts w:hint="eastAsia" w:ascii="宋体" w:hAnsi="宋体" w:cs="宋体"/>
          <w:color w:val="auto"/>
          <w:kern w:val="2"/>
          <w:sz w:val="24"/>
          <w:szCs w:val="24"/>
          <w:highlight w:val="none"/>
          <w:lang w:val="en-GB" w:eastAsia="zh-CN"/>
        </w:rPr>
        <w:t>广州市净水有限公司</w:t>
      </w:r>
      <w:r>
        <w:rPr>
          <w:rFonts w:hint="eastAsia" w:ascii="宋体" w:hAnsi="宋体" w:cs="宋体" w:eastAsiaTheme="minorEastAsia"/>
          <w:b w:val="0"/>
          <w:bCs w:val="0"/>
          <w:color w:val="auto"/>
          <w:sz w:val="24"/>
          <w:szCs w:val="24"/>
          <w:highlight w:val="none"/>
          <w:lang w:val="en-GB" w:eastAsia="zh-CN"/>
        </w:rPr>
        <w:t>2022年固定式气体检测仪采购项目</w:t>
      </w:r>
    </w:p>
    <w:p>
      <w:pPr>
        <w:adjustRightInd w:val="0"/>
        <w:snapToGrid w:val="0"/>
        <w:spacing w:line="360" w:lineRule="auto"/>
        <w:ind w:firstLine="0" w:firstLineChars="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（3）与本项目其他供应商存在管理关系。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（4）被本项目所在地省级以上行业主管部门依法暂停、取消投标或禁止参加采购活动且处于有效期内的。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（5）处于被责令停产停业、暂扣或者吊销执照、暂扣或者吊销许可证、吊销资质证书状态。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（6）进入清算程序，或被宣告破产，或其他丧失履约能力情形的。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（7）近三年内因发生质量或安全生产事故等受到行政处罚且在处罚期内的。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（8）被最高人民法院在“信用中国”网站（www.creditchina.gov.cn）或各级信用信息共享平台中列入失信被执行人名单。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（9）被“信用广州”网站纳入失信被执行人名单（失信黑名单）。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（10）被纳入本项目采购人（包括市水投集团及相关所属企业）书面限制参与采购活动且处于有效期内的。</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（11）其他违法违纪行为，经审查认为不宜被邀请参加采购活动的。</w:t>
      </w: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ind w:firstLine="0"/>
        <w:jc w:val="right"/>
        <w:rPr>
          <w:rFonts w:hint="eastAsia"/>
          <w:color w:val="auto"/>
          <w:highlight w:val="none"/>
          <w:lang w:eastAsia="zh-CN"/>
        </w:rPr>
      </w:pPr>
      <w:r>
        <w:rPr>
          <w:rFonts w:hint="eastAsia" w:ascii="宋体" w:hAnsi="宋体" w:eastAsia="宋体" w:cs="宋体"/>
          <w:color w:val="auto"/>
          <w:kern w:val="2"/>
          <w:sz w:val="24"/>
          <w:szCs w:val="24"/>
          <w:highlight w:val="none"/>
          <w:lang w:val="en-GB"/>
        </w:rPr>
        <w:t>年  月  日</w:t>
      </w: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3"/>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
        <w:rPr>
          <w:rFonts w:hint="default" w:ascii="仿宋_GB2312" w:eastAsia="仿宋_GB2312" w:hAnsiTheme="minorEastAsia"/>
          <w:color w:val="auto"/>
          <w:sz w:val="28"/>
          <w:szCs w:val="28"/>
          <w:highlight w:val="none"/>
          <w:lang w:val="en-US" w:eastAsia="zh-CN"/>
        </w:rPr>
      </w:pPr>
    </w:p>
    <w:p>
      <w:pPr>
        <w:pStyle w:val="2"/>
        <w:rPr>
          <w:rFonts w:hint="default" w:ascii="仿宋_GB2312" w:eastAsia="仿宋_GB2312" w:hAnsiTheme="minorEastAsia"/>
          <w:color w:val="auto"/>
          <w:sz w:val="28"/>
          <w:szCs w:val="28"/>
          <w:highlight w:val="none"/>
          <w:lang w:val="en-US" w:eastAsia="zh-CN"/>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
        <w:rPr>
          <w:rFonts w:hint="default" w:ascii="仿宋_GB2312" w:eastAsia="仿宋_GB2312" w:hAnsiTheme="minorEastAsia"/>
          <w:color w:val="auto"/>
          <w:sz w:val="28"/>
          <w:szCs w:val="28"/>
          <w:highlight w:val="none"/>
          <w:lang w:val="en-US" w:eastAsia="zh-CN"/>
        </w:rPr>
      </w:pPr>
    </w:p>
    <w:p>
      <w:pPr>
        <w:pStyle w:val="2"/>
        <w:rPr>
          <w:rFonts w:hint="default" w:ascii="仿宋_GB2312" w:eastAsia="仿宋_GB2312" w:hAnsiTheme="minorEastAsia"/>
          <w:color w:val="auto"/>
          <w:sz w:val="28"/>
          <w:szCs w:val="28"/>
          <w:highlight w:val="none"/>
          <w:lang w:val="en-US" w:eastAsia="zh-CN"/>
        </w:rPr>
      </w:pPr>
    </w:p>
    <w:p>
      <w:pPr>
        <w:pStyle w:val="6"/>
        <w:numPr>
          <w:ilvl w:val="0"/>
          <w:numId w:val="5"/>
        </w:numPr>
        <w:rPr>
          <w:rFonts w:hint="eastAsia" w:asciiTheme="minorEastAsia" w:hAnsiTheme="minorEastAsia" w:eastAsiaTheme="minorEastAsia"/>
          <w:color w:val="auto"/>
          <w:sz w:val="28"/>
          <w:szCs w:val="28"/>
          <w:highlight w:val="none"/>
        </w:rPr>
      </w:pPr>
      <w:bookmarkStart w:id="181" w:name="_Toc32430"/>
      <w:bookmarkStart w:id="182" w:name="_Toc19423"/>
      <w:r>
        <w:rPr>
          <w:rFonts w:hint="eastAsia" w:asciiTheme="minorEastAsia" w:hAnsiTheme="minorEastAsia" w:eastAsiaTheme="minorEastAsia"/>
          <w:color w:val="auto"/>
          <w:sz w:val="28"/>
          <w:szCs w:val="28"/>
          <w:highlight w:val="none"/>
        </w:rPr>
        <w:t>报价表</w:t>
      </w:r>
      <w:bookmarkEnd w:id="181"/>
      <w:bookmarkEnd w:id="182"/>
    </w:p>
    <w:p>
      <w:pPr>
        <w:rPr>
          <w:rFonts w:hint="eastAsia" w:eastAsiaTheme="minorEastAsia"/>
          <w:color w:val="auto"/>
          <w:highlight w:val="none"/>
          <w:lang w:eastAsia="zh-CN"/>
        </w:rPr>
      </w:pPr>
      <w:r>
        <w:rPr>
          <w:rFonts w:hint="eastAsia" w:asciiTheme="minorEastAsia" w:hAnsiTheme="minorEastAsia"/>
          <w:color w:val="auto"/>
          <w:sz w:val="28"/>
          <w:szCs w:val="28"/>
          <w:highlight w:val="none"/>
          <w:lang w:eastAsia="zh-CN"/>
        </w:rPr>
        <w:t>标段一</w:t>
      </w:r>
    </w:p>
    <w:tbl>
      <w:tblPr>
        <w:tblStyle w:val="23"/>
        <w:tblW w:w="1009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48"/>
        <w:gridCol w:w="807"/>
        <w:gridCol w:w="1793"/>
        <w:gridCol w:w="807"/>
        <w:gridCol w:w="807"/>
        <w:gridCol w:w="807"/>
        <w:gridCol w:w="807"/>
        <w:gridCol w:w="807"/>
        <w:gridCol w:w="807"/>
        <w:gridCol w:w="1019"/>
        <w:gridCol w:w="10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54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序号</w:t>
            </w:r>
          </w:p>
        </w:tc>
        <w:tc>
          <w:tcPr>
            <w:tcW w:w="80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所属单位</w:t>
            </w:r>
          </w:p>
        </w:tc>
        <w:tc>
          <w:tcPr>
            <w:tcW w:w="179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名称</w:t>
            </w:r>
          </w:p>
        </w:tc>
        <w:tc>
          <w:tcPr>
            <w:tcW w:w="807" w:type="dxa"/>
            <w:vMerge w:val="restart"/>
            <w:tcBorders>
              <w:top w:val="single" w:color="000000" w:sz="4" w:space="0"/>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品牌</w:t>
            </w:r>
          </w:p>
        </w:tc>
        <w:tc>
          <w:tcPr>
            <w:tcW w:w="80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规格型号</w:t>
            </w:r>
          </w:p>
        </w:tc>
        <w:tc>
          <w:tcPr>
            <w:tcW w:w="80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单位</w:t>
            </w:r>
          </w:p>
        </w:tc>
        <w:tc>
          <w:tcPr>
            <w:tcW w:w="80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数量</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单价</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小计</w:t>
            </w:r>
          </w:p>
        </w:tc>
        <w:tc>
          <w:tcPr>
            <w:tcW w:w="10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合计</w:t>
            </w:r>
          </w:p>
        </w:tc>
        <w:tc>
          <w:tcPr>
            <w:tcW w:w="108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1" w:hRule="atLeast"/>
        </w:trPr>
        <w:tc>
          <w:tcPr>
            <w:tcW w:w="54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80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179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807" w:type="dxa"/>
            <w:vMerge w:val="continue"/>
            <w:tcBorders>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80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80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80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（万元）</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（万元）</w:t>
            </w:r>
          </w:p>
        </w:tc>
        <w:tc>
          <w:tcPr>
            <w:tcW w:w="10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（万元）</w:t>
            </w:r>
          </w:p>
        </w:tc>
        <w:tc>
          <w:tcPr>
            <w:tcW w:w="108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3" w:hRule="atLeast"/>
        </w:trPr>
        <w:tc>
          <w:tcPr>
            <w:tcW w:w="5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0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沥滘分公司</w:t>
            </w:r>
          </w:p>
        </w:tc>
        <w:tc>
          <w:tcPr>
            <w:tcW w:w="17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固定式气体检测仪</w:t>
            </w:r>
            <w:r>
              <w:rPr>
                <w:rFonts w:ascii="Calibri" w:hAnsi="Calibri" w:eastAsia="宋体" w:cs="Calibri"/>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氧气</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both"/>
              <w:rPr>
                <w:rFonts w:hint="eastAsia" w:ascii="宋体" w:hAnsi="宋体" w:eastAsia="宋体" w:cs="宋体"/>
                <w:i w:val="0"/>
                <w:iCs w:val="0"/>
                <w:color w:val="auto"/>
                <w:sz w:val="24"/>
                <w:szCs w:val="24"/>
                <w:highlight w:val="none"/>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both"/>
              <w:rPr>
                <w:rFonts w:hint="eastAsia" w:ascii="宋体" w:hAnsi="宋体" w:eastAsia="宋体" w:cs="宋体"/>
                <w:i w:val="0"/>
                <w:iCs w:val="0"/>
                <w:color w:val="auto"/>
                <w:sz w:val="24"/>
                <w:szCs w:val="24"/>
                <w:highlight w:val="none"/>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101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6" w:hRule="atLeast"/>
        </w:trPr>
        <w:tc>
          <w:tcPr>
            <w:tcW w:w="5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0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17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固定式气体检测仪</w:t>
            </w:r>
            <w:r>
              <w:rPr>
                <w:rFonts w:ascii="Calibri" w:hAnsi="Calibri" w:eastAsia="宋体" w:cs="Calibri"/>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可燃气体</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both"/>
              <w:rPr>
                <w:rFonts w:hint="eastAsia" w:ascii="宋体" w:hAnsi="宋体" w:eastAsia="宋体" w:cs="宋体"/>
                <w:i w:val="0"/>
                <w:iCs w:val="0"/>
                <w:color w:val="auto"/>
                <w:sz w:val="24"/>
                <w:szCs w:val="24"/>
                <w:highlight w:val="none"/>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both"/>
              <w:rPr>
                <w:rFonts w:hint="eastAsia" w:ascii="宋体" w:hAnsi="宋体" w:eastAsia="宋体" w:cs="宋体"/>
                <w:i w:val="0"/>
                <w:iCs w:val="0"/>
                <w:color w:val="auto"/>
                <w:sz w:val="24"/>
                <w:szCs w:val="24"/>
                <w:highlight w:val="none"/>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6" w:hRule="atLeast"/>
        </w:trPr>
        <w:tc>
          <w:tcPr>
            <w:tcW w:w="5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80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17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固定式气体检测仪</w:t>
            </w:r>
            <w:r>
              <w:rPr>
                <w:rFonts w:ascii="Calibri" w:hAnsi="Calibri" w:eastAsia="宋体" w:cs="Calibri"/>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硫化氢</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both"/>
              <w:rPr>
                <w:rFonts w:hint="eastAsia" w:ascii="宋体" w:hAnsi="宋体" w:eastAsia="宋体" w:cs="宋体"/>
                <w:i w:val="0"/>
                <w:iCs w:val="0"/>
                <w:color w:val="auto"/>
                <w:sz w:val="24"/>
                <w:szCs w:val="24"/>
                <w:highlight w:val="none"/>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both"/>
              <w:rPr>
                <w:rFonts w:hint="eastAsia" w:ascii="宋体" w:hAnsi="宋体" w:eastAsia="宋体" w:cs="宋体"/>
                <w:i w:val="0"/>
                <w:iCs w:val="0"/>
                <w:color w:val="auto"/>
                <w:sz w:val="24"/>
                <w:szCs w:val="24"/>
                <w:highlight w:val="none"/>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6" w:hRule="atLeast"/>
        </w:trPr>
        <w:tc>
          <w:tcPr>
            <w:tcW w:w="5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80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17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固定式气体检测仪</w:t>
            </w:r>
            <w:r>
              <w:rPr>
                <w:rFonts w:ascii="Calibri" w:hAnsi="Calibri" w:eastAsia="宋体" w:cs="Calibri"/>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氨气</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both"/>
              <w:rPr>
                <w:rFonts w:hint="eastAsia" w:ascii="宋体" w:hAnsi="宋体" w:eastAsia="宋体" w:cs="宋体"/>
                <w:i w:val="0"/>
                <w:iCs w:val="0"/>
                <w:color w:val="auto"/>
                <w:sz w:val="24"/>
                <w:szCs w:val="24"/>
                <w:highlight w:val="none"/>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both"/>
              <w:rPr>
                <w:rFonts w:hint="eastAsia" w:ascii="宋体" w:hAnsi="宋体" w:eastAsia="宋体" w:cs="宋体"/>
                <w:i w:val="0"/>
                <w:iCs w:val="0"/>
                <w:color w:val="auto"/>
                <w:sz w:val="24"/>
                <w:szCs w:val="24"/>
                <w:highlight w:val="none"/>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1" w:hRule="atLeast"/>
        </w:trPr>
        <w:tc>
          <w:tcPr>
            <w:tcW w:w="5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80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17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多通道控制器</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both"/>
              <w:rPr>
                <w:rFonts w:hint="default" w:ascii="Calibri" w:hAnsi="Calibri" w:eastAsia="宋体" w:cs="Calibri"/>
                <w:i w:val="0"/>
                <w:iCs w:val="0"/>
                <w:color w:val="auto"/>
                <w:sz w:val="21"/>
                <w:szCs w:val="21"/>
                <w:highlight w:val="none"/>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both"/>
              <w:rPr>
                <w:rFonts w:hint="default" w:ascii="Calibri" w:hAnsi="Calibri" w:eastAsia="宋体" w:cs="Calibri"/>
                <w:i w:val="0"/>
                <w:iCs w:val="0"/>
                <w:color w:val="auto"/>
                <w:sz w:val="21"/>
                <w:szCs w:val="21"/>
                <w:highlight w:val="none"/>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8" w:hRule="atLeast"/>
        </w:trPr>
        <w:tc>
          <w:tcPr>
            <w:tcW w:w="5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健康城分公司</w:t>
            </w:r>
          </w:p>
        </w:tc>
        <w:tc>
          <w:tcPr>
            <w:tcW w:w="17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四合一固定式气体检测仪（氧气、一氧化碳、可燃气体、硫化氢）</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260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总计</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10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价格含税</w:t>
            </w:r>
          </w:p>
        </w:tc>
      </w:tr>
    </w:tbl>
    <w:p>
      <w:pPr>
        <w:numPr>
          <w:ilvl w:val="-1"/>
          <w:numId w:val="0"/>
        </w:numPr>
        <w:rPr>
          <w:color w:val="auto"/>
          <w:highlight w:val="none"/>
        </w:rPr>
      </w:pPr>
    </w:p>
    <w:p>
      <w:pPr>
        <w:adjustRightInd w:val="0"/>
        <w:snapToGrid w:val="0"/>
        <w:spacing w:line="600" w:lineRule="exact"/>
        <w:ind w:firstLine="570"/>
        <w:rPr>
          <w:rFonts w:ascii="仿宋_GB2312" w:eastAsia="仿宋_GB2312" w:hAnsiTheme="minorEastAsia"/>
          <w:color w:val="auto"/>
          <w:sz w:val="28"/>
          <w:szCs w:val="28"/>
          <w:highlight w:val="none"/>
        </w:rPr>
      </w:pPr>
    </w:p>
    <w:p>
      <w:pPr>
        <w:adjustRightInd w:val="0"/>
        <w:snapToGrid w:val="0"/>
        <w:spacing w:line="600" w:lineRule="exact"/>
        <w:ind w:firstLine="570"/>
        <w:rPr>
          <w:rFonts w:hint="eastAsia" w:ascii="仿宋_GB2312" w:eastAsia="仿宋_GB2312" w:hAnsiTheme="minorEastAsia"/>
          <w:color w:val="auto"/>
          <w:sz w:val="28"/>
          <w:szCs w:val="28"/>
          <w:highlight w:val="none"/>
          <w:lang w:eastAsia="zh-CN"/>
        </w:rPr>
      </w:pPr>
    </w:p>
    <w:p>
      <w:pPr>
        <w:adjustRightInd w:val="0"/>
        <w:snapToGrid w:val="0"/>
        <w:spacing w:line="600" w:lineRule="exact"/>
        <w:ind w:firstLine="570"/>
        <w:rPr>
          <w:rFonts w:hint="eastAsia" w:ascii="仿宋_GB2312" w:eastAsia="仿宋_GB2312" w:hAnsiTheme="minorEastAsia"/>
          <w:color w:val="auto"/>
          <w:sz w:val="28"/>
          <w:szCs w:val="28"/>
          <w:highlight w:val="none"/>
          <w:lang w:eastAsia="zh-CN"/>
        </w:rPr>
      </w:pPr>
    </w:p>
    <w:p>
      <w:pPr>
        <w:adjustRightInd w:val="0"/>
        <w:snapToGrid w:val="0"/>
        <w:spacing w:line="600" w:lineRule="exact"/>
        <w:ind w:firstLine="570"/>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lang w:eastAsia="zh-CN"/>
        </w:rPr>
        <w:t>标段二</w:t>
      </w:r>
    </w:p>
    <w:tbl>
      <w:tblPr>
        <w:tblStyle w:val="23"/>
        <w:tblW w:w="999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58"/>
        <w:gridCol w:w="820"/>
        <w:gridCol w:w="1823"/>
        <w:gridCol w:w="820"/>
        <w:gridCol w:w="820"/>
        <w:gridCol w:w="820"/>
        <w:gridCol w:w="820"/>
        <w:gridCol w:w="820"/>
        <w:gridCol w:w="820"/>
        <w:gridCol w:w="1036"/>
        <w:gridCol w:w="8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5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序号</w:t>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所属单位</w:t>
            </w:r>
          </w:p>
        </w:tc>
        <w:tc>
          <w:tcPr>
            <w:tcW w:w="182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名称</w:t>
            </w:r>
          </w:p>
        </w:tc>
        <w:tc>
          <w:tcPr>
            <w:tcW w:w="820" w:type="dxa"/>
            <w:vMerge w:val="restart"/>
            <w:tcBorders>
              <w:top w:val="single" w:color="000000" w:sz="4" w:space="0"/>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品牌</w:t>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规格型号</w:t>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单位</w:t>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数量</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单价</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小计</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合计</w:t>
            </w:r>
          </w:p>
        </w:tc>
        <w:tc>
          <w:tcPr>
            <w:tcW w:w="83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5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182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820" w:type="dxa"/>
            <w:vMerge w:val="continue"/>
            <w:tcBorders>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（万元）</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（万元）</w:t>
            </w:r>
          </w:p>
        </w:tc>
        <w:tc>
          <w:tcPr>
            <w:tcW w:w="10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（万元）</w:t>
            </w:r>
          </w:p>
        </w:tc>
        <w:tc>
          <w:tcPr>
            <w:tcW w:w="83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江高分公司</w:t>
            </w:r>
          </w:p>
        </w:tc>
        <w:tc>
          <w:tcPr>
            <w:tcW w:w="1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固定式气体检测仪</w:t>
            </w:r>
            <w:r>
              <w:rPr>
                <w:rFonts w:ascii="Calibri" w:hAnsi="Calibri" w:eastAsia="宋体" w:cs="Calibri"/>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硫化氢</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both"/>
              <w:rPr>
                <w:rFonts w:hint="eastAsia" w:ascii="宋体" w:hAnsi="宋体" w:eastAsia="宋体" w:cs="宋体"/>
                <w:i w:val="0"/>
                <w:iCs w:val="0"/>
                <w:color w:val="auto"/>
                <w:sz w:val="24"/>
                <w:szCs w:val="24"/>
                <w:highlight w:val="none"/>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both"/>
              <w:rPr>
                <w:rFonts w:hint="eastAsia" w:ascii="宋体" w:hAnsi="宋体" w:eastAsia="宋体" w:cs="宋体"/>
                <w:i w:val="0"/>
                <w:iCs w:val="0"/>
                <w:color w:val="auto"/>
                <w:sz w:val="24"/>
                <w:szCs w:val="24"/>
                <w:highlight w:val="none"/>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103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1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固定式气体检测仪</w:t>
            </w:r>
            <w:r>
              <w:rPr>
                <w:rFonts w:ascii="Calibri" w:hAnsi="Calibri" w:eastAsia="宋体" w:cs="Calibri"/>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可燃气体</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both"/>
              <w:rPr>
                <w:rFonts w:hint="eastAsia" w:ascii="宋体" w:hAnsi="宋体" w:eastAsia="宋体" w:cs="宋体"/>
                <w:i w:val="0"/>
                <w:iCs w:val="0"/>
                <w:color w:val="auto"/>
                <w:sz w:val="24"/>
                <w:szCs w:val="24"/>
                <w:highlight w:val="none"/>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both"/>
              <w:rPr>
                <w:rFonts w:hint="eastAsia" w:ascii="宋体" w:hAnsi="宋体" w:eastAsia="宋体" w:cs="宋体"/>
                <w:i w:val="0"/>
                <w:iCs w:val="0"/>
                <w:color w:val="auto"/>
                <w:sz w:val="24"/>
                <w:szCs w:val="24"/>
                <w:highlight w:val="none"/>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1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固定式气体检测仪</w:t>
            </w:r>
            <w:r>
              <w:rPr>
                <w:rFonts w:ascii="Calibri" w:hAnsi="Calibri" w:eastAsia="宋体" w:cs="Calibri"/>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氨气</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both"/>
              <w:rPr>
                <w:rFonts w:hint="eastAsia" w:ascii="宋体" w:hAnsi="宋体" w:eastAsia="宋体" w:cs="宋体"/>
                <w:i w:val="0"/>
                <w:iCs w:val="0"/>
                <w:color w:val="auto"/>
                <w:sz w:val="24"/>
                <w:szCs w:val="24"/>
                <w:highlight w:val="none"/>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both"/>
              <w:rPr>
                <w:rFonts w:hint="eastAsia" w:ascii="宋体" w:hAnsi="宋体" w:eastAsia="宋体" w:cs="宋体"/>
                <w:i w:val="0"/>
                <w:iCs w:val="0"/>
                <w:color w:val="auto"/>
                <w:sz w:val="24"/>
                <w:szCs w:val="24"/>
                <w:highlight w:val="none"/>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5" w:hRule="atLeast"/>
        </w:trPr>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1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固定式气体检测仪</w:t>
            </w:r>
            <w:r>
              <w:rPr>
                <w:rFonts w:ascii="Calibri" w:hAnsi="Calibri" w:eastAsia="宋体" w:cs="Calibri"/>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氧气</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both"/>
              <w:rPr>
                <w:rFonts w:hint="eastAsia" w:ascii="宋体" w:hAnsi="宋体" w:eastAsia="宋体" w:cs="宋体"/>
                <w:i w:val="0"/>
                <w:iCs w:val="0"/>
                <w:color w:val="auto"/>
                <w:sz w:val="24"/>
                <w:szCs w:val="24"/>
                <w:highlight w:val="none"/>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both"/>
              <w:rPr>
                <w:rFonts w:hint="eastAsia" w:ascii="宋体" w:hAnsi="宋体" w:eastAsia="宋体" w:cs="宋体"/>
                <w:i w:val="0"/>
                <w:iCs w:val="0"/>
                <w:color w:val="auto"/>
                <w:sz w:val="24"/>
                <w:szCs w:val="24"/>
                <w:highlight w:val="none"/>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182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多通道控制器</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both"/>
              <w:rPr>
                <w:rFonts w:hint="default" w:ascii="Calibri" w:hAnsi="Calibri" w:eastAsia="宋体" w:cs="Calibri"/>
                <w:i w:val="0"/>
                <w:iCs w:val="0"/>
                <w:color w:val="auto"/>
                <w:sz w:val="21"/>
                <w:szCs w:val="21"/>
                <w:highlight w:val="none"/>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both"/>
              <w:rPr>
                <w:rFonts w:hint="default" w:ascii="Calibri" w:hAnsi="Calibri" w:eastAsia="宋体" w:cs="Calibri"/>
                <w:i w:val="0"/>
                <w:iCs w:val="0"/>
                <w:color w:val="auto"/>
                <w:sz w:val="21"/>
                <w:szCs w:val="21"/>
                <w:highlight w:val="none"/>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103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4"/>
                <w:szCs w:val="24"/>
                <w:highlight w:val="none"/>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1" w:hRule="atLeast"/>
        </w:trPr>
        <w:tc>
          <w:tcPr>
            <w:tcW w:w="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264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总计</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c>
          <w:tcPr>
            <w:tcW w:w="10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2"/>
                <w:szCs w:val="22"/>
                <w:highlight w:val="none"/>
                <w:u w:val="none"/>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价格含税</w:t>
            </w:r>
          </w:p>
        </w:tc>
      </w:tr>
    </w:tbl>
    <w:p>
      <w:pPr>
        <w:adjustRightInd w:val="0"/>
        <w:snapToGrid w:val="0"/>
        <w:spacing w:line="600" w:lineRule="exact"/>
        <w:ind w:firstLine="570"/>
        <w:rPr>
          <w:rFonts w:ascii="仿宋_GB2312" w:eastAsia="仿宋_GB2312" w:hAnsiTheme="minorEastAsia"/>
          <w:color w:val="auto"/>
          <w:sz w:val="28"/>
          <w:szCs w:val="28"/>
          <w:highlight w:val="none"/>
        </w:rPr>
      </w:pPr>
    </w:p>
    <w:p>
      <w:pPr>
        <w:pStyle w:val="2"/>
        <w:ind w:firstLine="0"/>
        <w:rPr>
          <w:rFonts w:hint="default"/>
          <w:color w:val="auto"/>
          <w:highlight w:val="none"/>
          <w:lang w:val="en-US"/>
        </w:rPr>
      </w:pPr>
    </w:p>
    <w:p>
      <w:pPr>
        <w:pStyle w:val="6"/>
        <w:rPr>
          <w:rFonts w:asciiTheme="majorEastAsia" w:hAnsiTheme="majorEastAsia" w:eastAsiaTheme="majorEastAsia"/>
          <w:color w:val="auto"/>
          <w:sz w:val="28"/>
          <w:szCs w:val="28"/>
          <w:highlight w:val="none"/>
        </w:rPr>
      </w:pPr>
      <w:bookmarkStart w:id="183" w:name="_Toc6058"/>
      <w:bookmarkStart w:id="184" w:name="_Toc88209965"/>
      <w:bookmarkStart w:id="185" w:name="_Toc87616402"/>
      <w:bookmarkStart w:id="186" w:name="_Toc16386"/>
      <w:r>
        <w:rPr>
          <w:rFonts w:hint="eastAsia" w:eastAsiaTheme="majorEastAsia"/>
          <w:color w:val="auto"/>
          <w:highlight w:val="none"/>
          <w:lang w:val="en-US" w:eastAsia="zh-CN"/>
        </w:rPr>
        <w:t>6</w:t>
      </w:r>
      <w:r>
        <w:rPr>
          <w:rFonts w:hint="eastAsia" w:asciiTheme="majorEastAsia" w:hAnsiTheme="majorEastAsia" w:eastAsiaTheme="majorEastAsia"/>
          <w:color w:val="auto"/>
          <w:sz w:val="28"/>
          <w:szCs w:val="28"/>
          <w:highlight w:val="none"/>
        </w:rPr>
        <w:t>.其他资料</w:t>
      </w:r>
      <w:bookmarkEnd w:id="183"/>
      <w:bookmarkEnd w:id="184"/>
      <w:bookmarkEnd w:id="185"/>
      <w:bookmarkEnd w:id="186"/>
    </w:p>
    <w:p>
      <w:pPr>
        <w:adjustRightInd w:val="0"/>
        <w:snapToGrid w:val="0"/>
        <w:spacing w:line="600" w:lineRule="exact"/>
        <w:ind w:firstLine="570"/>
        <w:rPr>
          <w:color w:val="auto"/>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sectPr>
      <w:footerReference r:id="rId8" w:type="first"/>
      <w:footerReference r:id="rId7" w:type="default"/>
      <w:pgSz w:w="11906" w:h="16838"/>
      <w:pgMar w:top="2098" w:right="1474" w:bottom="1985"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Batang">
    <w:altName w:val="Malgun Gothic"/>
    <w:panose1 w:val="02030600000101010101"/>
    <w:charset w:val="81"/>
    <w:family w:val="auto"/>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w:pict>
        <v:shape id="_x0000_s3076" o:spid="_x0000_s3076"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7"/>
                </w:pPr>
              </w:p>
              <w:p/>
            </w:txbxContent>
          </v:textbox>
        </v:shape>
      </w:pict>
    </w: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7"/>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w:pict>
        <v:shape id="_x0000_s3077" o:spid="_x0000_s3077"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r>
      <w:rPr>
        <w:sz w:val="18"/>
      </w:rPr>
      <w:pict>
        <v:shape id="_x0000_s3078" o:spid="_x0000_s3078"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17"/>
                </w:pPr>
              </w:p>
              <w:p/>
            </w:txbxContent>
          </v:textbox>
        </v:shape>
      </w:pict>
    </w:r>
  </w:p>
  <w:p>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w:pict>
        <v:shape id="_x0000_s3079" o:spid="_x0000_s3079"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pPr>
                  <w:pStyle w:val="1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9CF724"/>
    <w:multiLevelType w:val="singleLevel"/>
    <w:tmpl w:val="CC9CF724"/>
    <w:lvl w:ilvl="0" w:tentative="0">
      <w:start w:val="1"/>
      <w:numFmt w:val="chineseCounting"/>
      <w:suff w:val="space"/>
      <w:lvlText w:val="第%1章"/>
      <w:lvlJc w:val="left"/>
      <w:rPr>
        <w:rFonts w:hint="eastAsia"/>
      </w:rPr>
    </w:lvl>
  </w:abstractNum>
  <w:abstractNum w:abstractNumId="1">
    <w:nsid w:val="0232931D"/>
    <w:multiLevelType w:val="singleLevel"/>
    <w:tmpl w:val="0232931D"/>
    <w:lvl w:ilvl="0" w:tentative="0">
      <w:start w:val="5"/>
      <w:numFmt w:val="decimal"/>
      <w:lvlText w:val="%1."/>
      <w:lvlJc w:val="left"/>
      <w:pPr>
        <w:tabs>
          <w:tab w:val="left" w:pos="312"/>
        </w:tabs>
      </w:pPr>
    </w:lvl>
  </w:abstractNum>
  <w:abstractNum w:abstractNumId="2">
    <w:nsid w:val="4734DCE6"/>
    <w:multiLevelType w:val="singleLevel"/>
    <w:tmpl w:val="4734DCE6"/>
    <w:lvl w:ilvl="0" w:tentative="0">
      <w:start w:val="1"/>
      <w:numFmt w:val="decimal"/>
      <w:lvlText w:val="%1."/>
      <w:lvlJc w:val="left"/>
      <w:pPr>
        <w:tabs>
          <w:tab w:val="left" w:pos="312"/>
        </w:tabs>
      </w:pPr>
    </w:lvl>
  </w:abstractNum>
  <w:abstractNum w:abstractNumId="3">
    <w:nsid w:val="5BB90352"/>
    <w:multiLevelType w:val="multilevel"/>
    <w:tmpl w:val="5BB90352"/>
    <w:lvl w:ilvl="0" w:tentative="0">
      <w:start w:val="1"/>
      <w:numFmt w:val="japaneseCounting"/>
      <w:lvlText w:val="%1、"/>
      <w:lvlJc w:val="left"/>
      <w:pPr>
        <w:ind w:left="600" w:hanging="6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05D32C3"/>
    <w:multiLevelType w:val="singleLevel"/>
    <w:tmpl w:val="705D32C3"/>
    <w:lvl w:ilvl="0" w:tentative="0">
      <w:start w:val="5"/>
      <w:numFmt w:val="decimal"/>
      <w:lvlText w:val="%1."/>
      <w:lvlJc w:val="left"/>
      <w:pPr>
        <w:tabs>
          <w:tab w:val="left" w:pos="312"/>
        </w:tabs>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TUxOWI5ZjY1NzIwMzQ1MWE0MjhiNDMxMDc2MWY2NDkifQ=="/>
  </w:docVars>
  <w:rsids>
    <w:rsidRoot w:val="005D618A"/>
    <w:rsid w:val="003D60BA"/>
    <w:rsid w:val="00411689"/>
    <w:rsid w:val="005D618A"/>
    <w:rsid w:val="00911ECD"/>
    <w:rsid w:val="00A042E0"/>
    <w:rsid w:val="00B26BB1"/>
    <w:rsid w:val="00B26E21"/>
    <w:rsid w:val="00B62185"/>
    <w:rsid w:val="00F83B64"/>
    <w:rsid w:val="013E3461"/>
    <w:rsid w:val="01BB0F13"/>
    <w:rsid w:val="02090C75"/>
    <w:rsid w:val="02A23A3C"/>
    <w:rsid w:val="02C40A94"/>
    <w:rsid w:val="035D130A"/>
    <w:rsid w:val="039110A9"/>
    <w:rsid w:val="03AC246A"/>
    <w:rsid w:val="03AE6061"/>
    <w:rsid w:val="03B23056"/>
    <w:rsid w:val="03CB1545"/>
    <w:rsid w:val="03DA023E"/>
    <w:rsid w:val="03DC3EBA"/>
    <w:rsid w:val="03F9794D"/>
    <w:rsid w:val="046A2461"/>
    <w:rsid w:val="051C2970"/>
    <w:rsid w:val="060C3611"/>
    <w:rsid w:val="06156967"/>
    <w:rsid w:val="06C64829"/>
    <w:rsid w:val="070E7B6E"/>
    <w:rsid w:val="071D62B7"/>
    <w:rsid w:val="077D16D2"/>
    <w:rsid w:val="082A69F3"/>
    <w:rsid w:val="08675FC8"/>
    <w:rsid w:val="09021E4E"/>
    <w:rsid w:val="09B713FD"/>
    <w:rsid w:val="09EF6ACC"/>
    <w:rsid w:val="0A315056"/>
    <w:rsid w:val="0AA213B4"/>
    <w:rsid w:val="0AF61C7E"/>
    <w:rsid w:val="0AFB45AD"/>
    <w:rsid w:val="0B351E9B"/>
    <w:rsid w:val="0B4C50D3"/>
    <w:rsid w:val="0B4E5A0B"/>
    <w:rsid w:val="0B806B92"/>
    <w:rsid w:val="0B827E94"/>
    <w:rsid w:val="0B842F76"/>
    <w:rsid w:val="0BD070E1"/>
    <w:rsid w:val="0BD65B6B"/>
    <w:rsid w:val="0C2361E7"/>
    <w:rsid w:val="0C247926"/>
    <w:rsid w:val="0CC9134C"/>
    <w:rsid w:val="0D794204"/>
    <w:rsid w:val="0DDA5CFB"/>
    <w:rsid w:val="0DF734B6"/>
    <w:rsid w:val="0E2125D1"/>
    <w:rsid w:val="0E214211"/>
    <w:rsid w:val="0E5F2769"/>
    <w:rsid w:val="0F334EAC"/>
    <w:rsid w:val="0F4D75A3"/>
    <w:rsid w:val="0F5B2DCA"/>
    <w:rsid w:val="0FD348E1"/>
    <w:rsid w:val="0FED051E"/>
    <w:rsid w:val="0FEE4C29"/>
    <w:rsid w:val="10031608"/>
    <w:rsid w:val="10046082"/>
    <w:rsid w:val="1035061E"/>
    <w:rsid w:val="104974DD"/>
    <w:rsid w:val="10704463"/>
    <w:rsid w:val="10F94BC9"/>
    <w:rsid w:val="111703D2"/>
    <w:rsid w:val="112B101A"/>
    <w:rsid w:val="119B53FC"/>
    <w:rsid w:val="1215733B"/>
    <w:rsid w:val="12424CDC"/>
    <w:rsid w:val="129A2738"/>
    <w:rsid w:val="12B56BF1"/>
    <w:rsid w:val="12CB1A89"/>
    <w:rsid w:val="131840FB"/>
    <w:rsid w:val="13467417"/>
    <w:rsid w:val="136E76CF"/>
    <w:rsid w:val="13837436"/>
    <w:rsid w:val="145F08C6"/>
    <w:rsid w:val="14E43F59"/>
    <w:rsid w:val="15776308"/>
    <w:rsid w:val="15BC6B3C"/>
    <w:rsid w:val="16360A7B"/>
    <w:rsid w:val="164D40B0"/>
    <w:rsid w:val="1694429A"/>
    <w:rsid w:val="17007C97"/>
    <w:rsid w:val="17631873"/>
    <w:rsid w:val="17635326"/>
    <w:rsid w:val="17B803EA"/>
    <w:rsid w:val="1815096B"/>
    <w:rsid w:val="18236EFD"/>
    <w:rsid w:val="189D5B1F"/>
    <w:rsid w:val="18A34CD0"/>
    <w:rsid w:val="19A53EA8"/>
    <w:rsid w:val="19B64DBC"/>
    <w:rsid w:val="19EC6A4A"/>
    <w:rsid w:val="1A1D38CC"/>
    <w:rsid w:val="1A373ACF"/>
    <w:rsid w:val="1A7B10BA"/>
    <w:rsid w:val="1A895341"/>
    <w:rsid w:val="1AD80FFE"/>
    <w:rsid w:val="1B0D071F"/>
    <w:rsid w:val="1B4568CE"/>
    <w:rsid w:val="1B5306EE"/>
    <w:rsid w:val="1B9015B7"/>
    <w:rsid w:val="1B950DA6"/>
    <w:rsid w:val="1BF54245"/>
    <w:rsid w:val="1C706815"/>
    <w:rsid w:val="1D0E6976"/>
    <w:rsid w:val="1D5A79EE"/>
    <w:rsid w:val="1E0E2CD0"/>
    <w:rsid w:val="1E831280"/>
    <w:rsid w:val="1EBC4704"/>
    <w:rsid w:val="1F172EB5"/>
    <w:rsid w:val="1F94592D"/>
    <w:rsid w:val="1FB860DE"/>
    <w:rsid w:val="203C5A02"/>
    <w:rsid w:val="209D4C94"/>
    <w:rsid w:val="20B44FCD"/>
    <w:rsid w:val="20E84705"/>
    <w:rsid w:val="218400BA"/>
    <w:rsid w:val="21AB1E2F"/>
    <w:rsid w:val="21D40498"/>
    <w:rsid w:val="22493963"/>
    <w:rsid w:val="22767047"/>
    <w:rsid w:val="23923478"/>
    <w:rsid w:val="23A05588"/>
    <w:rsid w:val="240476A1"/>
    <w:rsid w:val="24677E01"/>
    <w:rsid w:val="24BF03CC"/>
    <w:rsid w:val="25431AEB"/>
    <w:rsid w:val="25836BCB"/>
    <w:rsid w:val="25BE3BFB"/>
    <w:rsid w:val="25BF43FD"/>
    <w:rsid w:val="25F86BCD"/>
    <w:rsid w:val="2605748B"/>
    <w:rsid w:val="26396D26"/>
    <w:rsid w:val="264544A6"/>
    <w:rsid w:val="267702FB"/>
    <w:rsid w:val="269E416A"/>
    <w:rsid w:val="26C11C6B"/>
    <w:rsid w:val="26F4445C"/>
    <w:rsid w:val="272100D3"/>
    <w:rsid w:val="272C72FC"/>
    <w:rsid w:val="275131CB"/>
    <w:rsid w:val="27824496"/>
    <w:rsid w:val="278F6521"/>
    <w:rsid w:val="27EB149D"/>
    <w:rsid w:val="27FD3E52"/>
    <w:rsid w:val="28E11370"/>
    <w:rsid w:val="294A756A"/>
    <w:rsid w:val="29781BF8"/>
    <w:rsid w:val="299321AA"/>
    <w:rsid w:val="29C33ED0"/>
    <w:rsid w:val="29D5322D"/>
    <w:rsid w:val="2A025DD9"/>
    <w:rsid w:val="2A2619CB"/>
    <w:rsid w:val="2A7C2231"/>
    <w:rsid w:val="2A920E4F"/>
    <w:rsid w:val="2ABB753D"/>
    <w:rsid w:val="2AFE6EC4"/>
    <w:rsid w:val="2B7A49FA"/>
    <w:rsid w:val="2BA834B0"/>
    <w:rsid w:val="2C615D26"/>
    <w:rsid w:val="2CB679ED"/>
    <w:rsid w:val="2D173C07"/>
    <w:rsid w:val="2D424A86"/>
    <w:rsid w:val="2DDA66B7"/>
    <w:rsid w:val="2E424CB4"/>
    <w:rsid w:val="2E6F2D11"/>
    <w:rsid w:val="2E7B52DB"/>
    <w:rsid w:val="2EA43279"/>
    <w:rsid w:val="2ED30726"/>
    <w:rsid w:val="2ED60115"/>
    <w:rsid w:val="2F324CFE"/>
    <w:rsid w:val="2FAF68ED"/>
    <w:rsid w:val="2FBA09F1"/>
    <w:rsid w:val="2FEF2ACF"/>
    <w:rsid w:val="2FF93D20"/>
    <w:rsid w:val="30540211"/>
    <w:rsid w:val="30E45100"/>
    <w:rsid w:val="31112A0D"/>
    <w:rsid w:val="311F4B20"/>
    <w:rsid w:val="312D7741"/>
    <w:rsid w:val="316F137F"/>
    <w:rsid w:val="31DF525F"/>
    <w:rsid w:val="31EC162B"/>
    <w:rsid w:val="32324C2E"/>
    <w:rsid w:val="323A5D09"/>
    <w:rsid w:val="327171DF"/>
    <w:rsid w:val="32B92BB8"/>
    <w:rsid w:val="3391569E"/>
    <w:rsid w:val="341E3434"/>
    <w:rsid w:val="342146DE"/>
    <w:rsid w:val="34BB4442"/>
    <w:rsid w:val="3584136B"/>
    <w:rsid w:val="35FF5AA4"/>
    <w:rsid w:val="360B7EBA"/>
    <w:rsid w:val="362B7671"/>
    <w:rsid w:val="36365995"/>
    <w:rsid w:val="36416867"/>
    <w:rsid w:val="367D5DD4"/>
    <w:rsid w:val="3699743B"/>
    <w:rsid w:val="369C32FD"/>
    <w:rsid w:val="37666E72"/>
    <w:rsid w:val="37705A34"/>
    <w:rsid w:val="38081EA3"/>
    <w:rsid w:val="38167A04"/>
    <w:rsid w:val="381C3783"/>
    <w:rsid w:val="385D21C7"/>
    <w:rsid w:val="394B167A"/>
    <w:rsid w:val="39DA2868"/>
    <w:rsid w:val="3A055F4B"/>
    <w:rsid w:val="3A4E4336"/>
    <w:rsid w:val="3A6007FE"/>
    <w:rsid w:val="3A802587"/>
    <w:rsid w:val="3A852164"/>
    <w:rsid w:val="3AF93D6C"/>
    <w:rsid w:val="3AFD06C8"/>
    <w:rsid w:val="3B07350D"/>
    <w:rsid w:val="3B7C2CE4"/>
    <w:rsid w:val="3BAF716B"/>
    <w:rsid w:val="3C0B5355"/>
    <w:rsid w:val="3CD4176B"/>
    <w:rsid w:val="3D1F44D9"/>
    <w:rsid w:val="3D5C38CD"/>
    <w:rsid w:val="3E3A72B1"/>
    <w:rsid w:val="3E5070F1"/>
    <w:rsid w:val="3EC370CB"/>
    <w:rsid w:val="3F5524FD"/>
    <w:rsid w:val="3F6C3589"/>
    <w:rsid w:val="3F850180"/>
    <w:rsid w:val="3F9004D6"/>
    <w:rsid w:val="3FEE7CFA"/>
    <w:rsid w:val="400E4D5E"/>
    <w:rsid w:val="401F2A81"/>
    <w:rsid w:val="40E1138C"/>
    <w:rsid w:val="40EF317A"/>
    <w:rsid w:val="413814BA"/>
    <w:rsid w:val="41872511"/>
    <w:rsid w:val="41911515"/>
    <w:rsid w:val="41DF1251"/>
    <w:rsid w:val="424236D9"/>
    <w:rsid w:val="42466655"/>
    <w:rsid w:val="42C82F57"/>
    <w:rsid w:val="435707E5"/>
    <w:rsid w:val="43AA54D8"/>
    <w:rsid w:val="43C76AF7"/>
    <w:rsid w:val="43E97E4A"/>
    <w:rsid w:val="446828F0"/>
    <w:rsid w:val="44911E35"/>
    <w:rsid w:val="45093E85"/>
    <w:rsid w:val="4528165C"/>
    <w:rsid w:val="45C13B4D"/>
    <w:rsid w:val="46054BCA"/>
    <w:rsid w:val="464C6AFC"/>
    <w:rsid w:val="468B0091"/>
    <w:rsid w:val="46A107C3"/>
    <w:rsid w:val="46B15CE2"/>
    <w:rsid w:val="46BE113D"/>
    <w:rsid w:val="46E44B13"/>
    <w:rsid w:val="4703508A"/>
    <w:rsid w:val="475023F8"/>
    <w:rsid w:val="479D361E"/>
    <w:rsid w:val="47B74789"/>
    <w:rsid w:val="48032A55"/>
    <w:rsid w:val="480F2B9D"/>
    <w:rsid w:val="48102176"/>
    <w:rsid w:val="48282920"/>
    <w:rsid w:val="483E1347"/>
    <w:rsid w:val="485321E0"/>
    <w:rsid w:val="48546AD3"/>
    <w:rsid w:val="48CA4868"/>
    <w:rsid w:val="48F005D3"/>
    <w:rsid w:val="49547ADD"/>
    <w:rsid w:val="49732351"/>
    <w:rsid w:val="498F4AF1"/>
    <w:rsid w:val="49C05787"/>
    <w:rsid w:val="49CF518D"/>
    <w:rsid w:val="4A7F3979"/>
    <w:rsid w:val="4ADA1F63"/>
    <w:rsid w:val="4AE23D89"/>
    <w:rsid w:val="4B2038D0"/>
    <w:rsid w:val="4B296E7D"/>
    <w:rsid w:val="4B79394E"/>
    <w:rsid w:val="4B877F28"/>
    <w:rsid w:val="4D916BA6"/>
    <w:rsid w:val="4DC44169"/>
    <w:rsid w:val="4DC54C09"/>
    <w:rsid w:val="4DE24E21"/>
    <w:rsid w:val="4E1B19A3"/>
    <w:rsid w:val="4E48787F"/>
    <w:rsid w:val="4EF0709E"/>
    <w:rsid w:val="4F0469A4"/>
    <w:rsid w:val="4F7C5E20"/>
    <w:rsid w:val="500E56F4"/>
    <w:rsid w:val="50540C73"/>
    <w:rsid w:val="50752AF8"/>
    <w:rsid w:val="513C6A7B"/>
    <w:rsid w:val="52EC6EC2"/>
    <w:rsid w:val="532D486F"/>
    <w:rsid w:val="5333545B"/>
    <w:rsid w:val="538D0E89"/>
    <w:rsid w:val="5450213C"/>
    <w:rsid w:val="546711F3"/>
    <w:rsid w:val="54D24048"/>
    <w:rsid w:val="54D64CD5"/>
    <w:rsid w:val="5532287C"/>
    <w:rsid w:val="55887D69"/>
    <w:rsid w:val="55D61B13"/>
    <w:rsid w:val="561A0928"/>
    <w:rsid w:val="5626522E"/>
    <w:rsid w:val="56423872"/>
    <w:rsid w:val="569E06BC"/>
    <w:rsid w:val="56B279F0"/>
    <w:rsid w:val="56F20F86"/>
    <w:rsid w:val="579D710E"/>
    <w:rsid w:val="581F22F6"/>
    <w:rsid w:val="5853129B"/>
    <w:rsid w:val="586E1E17"/>
    <w:rsid w:val="58862C35"/>
    <w:rsid w:val="58C14957"/>
    <w:rsid w:val="58CC23D2"/>
    <w:rsid w:val="58E66050"/>
    <w:rsid w:val="59FC7994"/>
    <w:rsid w:val="5AD2113E"/>
    <w:rsid w:val="5AE83A50"/>
    <w:rsid w:val="5B2719DE"/>
    <w:rsid w:val="5B2E3743"/>
    <w:rsid w:val="5B353193"/>
    <w:rsid w:val="5BAB2917"/>
    <w:rsid w:val="5BFC33FA"/>
    <w:rsid w:val="5C3107A4"/>
    <w:rsid w:val="5C3B1B93"/>
    <w:rsid w:val="5C9220DF"/>
    <w:rsid w:val="5D4A15F3"/>
    <w:rsid w:val="5D69542A"/>
    <w:rsid w:val="5D783B72"/>
    <w:rsid w:val="5E0930EF"/>
    <w:rsid w:val="5E3D4D53"/>
    <w:rsid w:val="5E4717E6"/>
    <w:rsid w:val="5E55774C"/>
    <w:rsid w:val="5E8A70FF"/>
    <w:rsid w:val="5F0A09B9"/>
    <w:rsid w:val="60045F96"/>
    <w:rsid w:val="60104DDC"/>
    <w:rsid w:val="605C0804"/>
    <w:rsid w:val="60913E6F"/>
    <w:rsid w:val="61733C3E"/>
    <w:rsid w:val="6189617B"/>
    <w:rsid w:val="61B52BB6"/>
    <w:rsid w:val="61B749C2"/>
    <w:rsid w:val="62280D20"/>
    <w:rsid w:val="62B4786E"/>
    <w:rsid w:val="62CA2457"/>
    <w:rsid w:val="638240A1"/>
    <w:rsid w:val="63833423"/>
    <w:rsid w:val="63A5257B"/>
    <w:rsid w:val="63BD3DCC"/>
    <w:rsid w:val="63C61741"/>
    <w:rsid w:val="64560967"/>
    <w:rsid w:val="656B1D10"/>
    <w:rsid w:val="65B841F9"/>
    <w:rsid w:val="65C4171A"/>
    <w:rsid w:val="66022B28"/>
    <w:rsid w:val="66472839"/>
    <w:rsid w:val="664A38E2"/>
    <w:rsid w:val="664D3C1B"/>
    <w:rsid w:val="66581E87"/>
    <w:rsid w:val="66A033FA"/>
    <w:rsid w:val="66FA11D5"/>
    <w:rsid w:val="67356B15"/>
    <w:rsid w:val="674302C7"/>
    <w:rsid w:val="67CB09D8"/>
    <w:rsid w:val="67EE3B0F"/>
    <w:rsid w:val="680A5986"/>
    <w:rsid w:val="680D5F4B"/>
    <w:rsid w:val="68113F51"/>
    <w:rsid w:val="68E94770"/>
    <w:rsid w:val="68F949C9"/>
    <w:rsid w:val="695A4290"/>
    <w:rsid w:val="6A334932"/>
    <w:rsid w:val="6A3353FF"/>
    <w:rsid w:val="6A5D63E6"/>
    <w:rsid w:val="6A5F24D1"/>
    <w:rsid w:val="6A8E060D"/>
    <w:rsid w:val="6ACA70C4"/>
    <w:rsid w:val="6AE347EB"/>
    <w:rsid w:val="6B1116BB"/>
    <w:rsid w:val="6B330365"/>
    <w:rsid w:val="6B434AF0"/>
    <w:rsid w:val="6B57675A"/>
    <w:rsid w:val="6B5773C8"/>
    <w:rsid w:val="6B87098A"/>
    <w:rsid w:val="6BDD7B4D"/>
    <w:rsid w:val="6DFF665A"/>
    <w:rsid w:val="6EBC0B3A"/>
    <w:rsid w:val="6EF51C7D"/>
    <w:rsid w:val="6F8363E5"/>
    <w:rsid w:val="6F841DCF"/>
    <w:rsid w:val="6FA80CCD"/>
    <w:rsid w:val="6FAC3CC5"/>
    <w:rsid w:val="6FC746F5"/>
    <w:rsid w:val="70317AC6"/>
    <w:rsid w:val="704B26F7"/>
    <w:rsid w:val="70697B21"/>
    <w:rsid w:val="707E17C0"/>
    <w:rsid w:val="70863262"/>
    <w:rsid w:val="70A76ED3"/>
    <w:rsid w:val="71395842"/>
    <w:rsid w:val="71860B17"/>
    <w:rsid w:val="723B27CC"/>
    <w:rsid w:val="72687227"/>
    <w:rsid w:val="72A03FD9"/>
    <w:rsid w:val="73406CFF"/>
    <w:rsid w:val="7383028C"/>
    <w:rsid w:val="73A25E44"/>
    <w:rsid w:val="741F68CF"/>
    <w:rsid w:val="75252DF3"/>
    <w:rsid w:val="75621536"/>
    <w:rsid w:val="75BF3154"/>
    <w:rsid w:val="764A07CF"/>
    <w:rsid w:val="764F6B3D"/>
    <w:rsid w:val="76CD2B7B"/>
    <w:rsid w:val="76D80645"/>
    <w:rsid w:val="76E03371"/>
    <w:rsid w:val="76E95F65"/>
    <w:rsid w:val="771211AA"/>
    <w:rsid w:val="780E5898"/>
    <w:rsid w:val="782642CC"/>
    <w:rsid w:val="7894095E"/>
    <w:rsid w:val="78964555"/>
    <w:rsid w:val="78CF4963"/>
    <w:rsid w:val="79000679"/>
    <w:rsid w:val="791C0FE5"/>
    <w:rsid w:val="79671C3E"/>
    <w:rsid w:val="79841C06"/>
    <w:rsid w:val="79A416F0"/>
    <w:rsid w:val="79B03EB6"/>
    <w:rsid w:val="79B61437"/>
    <w:rsid w:val="7AE15A5C"/>
    <w:rsid w:val="7AF37579"/>
    <w:rsid w:val="7AF87F64"/>
    <w:rsid w:val="7B1C0C84"/>
    <w:rsid w:val="7B5A62DF"/>
    <w:rsid w:val="7B7A04A8"/>
    <w:rsid w:val="7C0C3F6D"/>
    <w:rsid w:val="7C22163C"/>
    <w:rsid w:val="7C457B4B"/>
    <w:rsid w:val="7C5725B6"/>
    <w:rsid w:val="7C595075"/>
    <w:rsid w:val="7C6B07B2"/>
    <w:rsid w:val="7C8821B8"/>
    <w:rsid w:val="7D133243"/>
    <w:rsid w:val="7D945420"/>
    <w:rsid w:val="7DDE203A"/>
    <w:rsid w:val="7E394207"/>
    <w:rsid w:val="7E4007A2"/>
    <w:rsid w:val="7E791CAD"/>
    <w:rsid w:val="7EA50DFB"/>
    <w:rsid w:val="7EC86878"/>
    <w:rsid w:val="7EEF5221"/>
    <w:rsid w:val="7F16390D"/>
    <w:rsid w:val="7F752917"/>
    <w:rsid w:val="7FAD6A64"/>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_x0000_s2051"/>
        <o:r id="V:Rule2" type="connector" idref="#_x0000_s2053"/>
        <o:r id="V:Rule3" type="connector" idref="#_x0000_s2054"/>
        <o:r id="V:Rule4" type="connector" idref="#_x0000_s2055"/>
        <o:r id="V:Rule5" type="connector" idref="#_x0000_s2056"/>
        <o:r id="V:Rule6" type="connector" idref="#_x0000_s2057"/>
        <o:r id="V:Rule7" type="connector" idref="#_x0000_s2058"/>
        <o:r id="V:Rule8" type="connector" idref="#_x0000_s2059"/>
        <o:r id="V:Rule9" type="connector" idref="#_x0000_s2064"/>
        <o:r id="V:Rule10" type="connector" idref="#_x0000_s2065"/>
        <o:r id="V:Rule11" type="connector" idref="#_x0000_s2066"/>
        <o:r id="V:Rule12" type="connector" idref="#_x0000_s2067"/>
        <o:r id="V:Rule13" type="connector" idref="#_x0000_s2072"/>
        <o:r id="V:Rule14" type="connector" idref="#_x0000_s207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nhideWhenUsed="0" w:uiPriority="0" w:semiHidden="0" w:name="Body Text Indent 2"/>
    <w:lsdException w:qFormat="1"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2"/>
    <w:qFormat/>
    <w:uiPriority w:val="9"/>
    <w:pPr>
      <w:keepNext/>
      <w:keepLines/>
      <w:spacing w:before="340" w:after="330" w:line="578" w:lineRule="auto"/>
      <w:jc w:val="center"/>
      <w:outlineLvl w:val="0"/>
    </w:pPr>
    <w:rPr>
      <w:rFonts w:eastAsia="方正小标宋简体"/>
      <w:bCs/>
      <w:kern w:val="44"/>
      <w:sz w:val="44"/>
      <w:szCs w:val="44"/>
    </w:rPr>
  </w:style>
  <w:style w:type="paragraph" w:styleId="5">
    <w:name w:val="heading 2"/>
    <w:basedOn w:val="1"/>
    <w:next w:val="1"/>
    <w:link w:val="33"/>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6">
    <w:name w:val="heading 3"/>
    <w:basedOn w:val="1"/>
    <w:next w:val="1"/>
    <w:link w:val="34"/>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5">
    <w:name w:val="Default Paragraph Font"/>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adjustRightInd w:val="0"/>
      <w:spacing w:line="360" w:lineRule="auto"/>
      <w:ind w:left="0" w:leftChars="0" w:firstLine="420"/>
      <w:textAlignment w:val="baseline"/>
    </w:pPr>
    <w:rPr>
      <w:rFonts w:eastAsia="等线" w:cs="Times New Roman"/>
      <w:color w:val="000000"/>
      <w:szCs w:val="24"/>
    </w:rPr>
  </w:style>
  <w:style w:type="paragraph" w:styleId="3">
    <w:name w:val="Body Text Indent"/>
    <w:basedOn w:val="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7">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8">
    <w:name w:val="Body Text 3"/>
    <w:basedOn w:val="1"/>
    <w:link w:val="42"/>
    <w:unhideWhenUsed/>
    <w:qFormat/>
    <w:uiPriority w:val="99"/>
    <w:pPr>
      <w:spacing w:after="120"/>
    </w:pPr>
    <w:rPr>
      <w:sz w:val="16"/>
      <w:szCs w:val="16"/>
    </w:rPr>
  </w:style>
  <w:style w:type="paragraph" w:styleId="9">
    <w:name w:val="Body Text"/>
    <w:basedOn w:val="1"/>
    <w:next w:val="10"/>
    <w:qFormat/>
    <w:uiPriority w:val="99"/>
    <w:pPr>
      <w:spacing w:after="120"/>
    </w:pPr>
  </w:style>
  <w:style w:type="paragraph" w:styleId="10">
    <w:name w:val="Body Text 2"/>
    <w:basedOn w:val="1"/>
    <w:qFormat/>
    <w:uiPriority w:val="0"/>
    <w:pPr>
      <w:spacing w:after="120" w:line="480" w:lineRule="auto"/>
    </w:pPr>
  </w:style>
  <w:style w:type="paragraph" w:styleId="11">
    <w:name w:val="toc 3"/>
    <w:basedOn w:val="1"/>
    <w:next w:val="1"/>
    <w:unhideWhenUsed/>
    <w:qFormat/>
    <w:uiPriority w:val="39"/>
    <w:pPr>
      <w:widowControl/>
      <w:spacing w:after="100" w:line="276" w:lineRule="auto"/>
      <w:ind w:left="440"/>
      <w:jc w:val="left"/>
    </w:pPr>
    <w:rPr>
      <w:kern w:val="0"/>
      <w:sz w:val="22"/>
    </w:rPr>
  </w:style>
  <w:style w:type="paragraph" w:styleId="12">
    <w:name w:val="Plain Text"/>
    <w:basedOn w:val="1"/>
    <w:next w:val="13"/>
    <w:qFormat/>
    <w:uiPriority w:val="0"/>
    <w:rPr>
      <w:rFonts w:ascii="宋体" w:hAnsi="Courier New"/>
      <w:szCs w:val="21"/>
    </w:rPr>
  </w:style>
  <w:style w:type="paragraph" w:customStyle="1" w:styleId="13">
    <w:name w:val="Default"/>
    <w:next w:val="14"/>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4">
    <w:name w:val="List"/>
    <w:basedOn w:val="1"/>
    <w:next w:val="1"/>
    <w:qFormat/>
    <w:uiPriority w:val="0"/>
    <w:pPr>
      <w:snapToGrid w:val="0"/>
    </w:pPr>
    <w:rPr>
      <w:szCs w:val="24"/>
    </w:rPr>
  </w:style>
  <w:style w:type="paragraph" w:styleId="15">
    <w:name w:val="Body Text Indent 2"/>
    <w:basedOn w:val="1"/>
    <w:qFormat/>
    <w:uiPriority w:val="0"/>
    <w:pPr>
      <w:spacing w:after="120" w:line="480" w:lineRule="auto"/>
      <w:ind w:left="420" w:leftChars="200"/>
    </w:pPr>
  </w:style>
  <w:style w:type="paragraph" w:styleId="16">
    <w:name w:val="Balloon Text"/>
    <w:basedOn w:val="1"/>
    <w:link w:val="37"/>
    <w:semiHidden/>
    <w:unhideWhenUsed/>
    <w:qFormat/>
    <w:uiPriority w:val="99"/>
    <w:rPr>
      <w:sz w:val="18"/>
      <w:szCs w:val="18"/>
    </w:rPr>
  </w:style>
  <w:style w:type="paragraph" w:styleId="17">
    <w:name w:val="footer"/>
    <w:basedOn w:val="1"/>
    <w:link w:val="31"/>
    <w:unhideWhenUsed/>
    <w:qFormat/>
    <w:uiPriority w:val="99"/>
    <w:pPr>
      <w:tabs>
        <w:tab w:val="center" w:pos="4153"/>
        <w:tab w:val="right" w:pos="8306"/>
      </w:tabs>
      <w:snapToGrid w:val="0"/>
      <w:jc w:val="left"/>
    </w:pPr>
    <w:rPr>
      <w:sz w:val="18"/>
      <w:szCs w:val="18"/>
    </w:rPr>
  </w:style>
  <w:style w:type="paragraph" w:styleId="18">
    <w:name w:val="header"/>
    <w:basedOn w:val="1"/>
    <w:link w:val="3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widowControl/>
      <w:spacing w:after="100" w:line="276" w:lineRule="auto"/>
      <w:jc w:val="left"/>
    </w:pPr>
    <w:rPr>
      <w:kern w:val="0"/>
      <w:sz w:val="22"/>
    </w:rPr>
  </w:style>
  <w:style w:type="paragraph" w:styleId="20">
    <w:name w:val="Body Text Indent 3"/>
    <w:basedOn w:val="1"/>
    <w:semiHidden/>
    <w:unhideWhenUsed/>
    <w:qFormat/>
    <w:uiPriority w:val="99"/>
    <w:pPr>
      <w:spacing w:after="120"/>
      <w:ind w:left="420" w:leftChars="200"/>
    </w:pPr>
    <w:rPr>
      <w:sz w:val="16"/>
      <w:szCs w:val="16"/>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Normal (Web)"/>
    <w:basedOn w:val="1"/>
    <w:qFormat/>
    <w:uiPriority w:val="99"/>
    <w:pPr>
      <w:widowControl/>
      <w:spacing w:before="100" w:beforeAutospacing="1" w:after="100" w:afterAutospacing="1"/>
      <w:jc w:val="left"/>
    </w:pPr>
    <w:rPr>
      <w:rFonts w:ascii="宋体" w:hAnsi="宋体"/>
      <w:color w:val="000000"/>
      <w:kern w:val="0"/>
      <w:sz w:val="24"/>
    </w:rPr>
  </w:style>
  <w:style w:type="table" w:styleId="24">
    <w:name w:val="Table Grid"/>
    <w:basedOn w:val="23"/>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6">
    <w:name w:val="Strong"/>
    <w:basedOn w:val="25"/>
    <w:qFormat/>
    <w:uiPriority w:val="22"/>
    <w:rPr>
      <w:rFonts w:eastAsia="宋体"/>
      <w:b/>
      <w:bCs/>
      <w:kern w:val="2"/>
      <w:sz w:val="24"/>
      <w:szCs w:val="24"/>
      <w:lang w:val="en-US" w:eastAsia="zh-CN" w:bidi="ar-SA"/>
    </w:rPr>
  </w:style>
  <w:style w:type="character" w:styleId="27">
    <w:name w:val="page number"/>
    <w:basedOn w:val="25"/>
    <w:qFormat/>
    <w:uiPriority w:val="0"/>
  </w:style>
  <w:style w:type="character" w:styleId="28">
    <w:name w:val="Hyperlink"/>
    <w:basedOn w:val="25"/>
    <w:unhideWhenUsed/>
    <w:qFormat/>
    <w:uiPriority w:val="99"/>
    <w:rPr>
      <w:color w:val="0000FF" w:themeColor="hyperlink"/>
      <w:u w:val="single"/>
    </w:rPr>
  </w:style>
  <w:style w:type="paragraph" w:customStyle="1" w:styleId="29">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character" w:customStyle="1" w:styleId="30">
    <w:name w:val="页眉 Char"/>
    <w:basedOn w:val="25"/>
    <w:link w:val="18"/>
    <w:semiHidden/>
    <w:qFormat/>
    <w:uiPriority w:val="99"/>
    <w:rPr>
      <w:sz w:val="18"/>
      <w:szCs w:val="18"/>
    </w:rPr>
  </w:style>
  <w:style w:type="character" w:customStyle="1" w:styleId="31">
    <w:name w:val="页脚 Char"/>
    <w:basedOn w:val="25"/>
    <w:link w:val="17"/>
    <w:qFormat/>
    <w:uiPriority w:val="99"/>
    <w:rPr>
      <w:sz w:val="18"/>
      <w:szCs w:val="18"/>
    </w:rPr>
  </w:style>
  <w:style w:type="character" w:customStyle="1" w:styleId="32">
    <w:name w:val="标题 1 Char"/>
    <w:basedOn w:val="25"/>
    <w:link w:val="4"/>
    <w:qFormat/>
    <w:uiPriority w:val="9"/>
    <w:rPr>
      <w:rFonts w:eastAsia="方正小标宋简体"/>
      <w:bCs/>
      <w:kern w:val="44"/>
      <w:sz w:val="44"/>
      <w:szCs w:val="44"/>
    </w:rPr>
  </w:style>
  <w:style w:type="character" w:customStyle="1" w:styleId="33">
    <w:name w:val="标题 2 Char"/>
    <w:basedOn w:val="25"/>
    <w:link w:val="5"/>
    <w:qFormat/>
    <w:uiPriority w:val="9"/>
    <w:rPr>
      <w:rFonts w:eastAsia="方正小标宋简体" w:asciiTheme="majorHAnsi" w:hAnsiTheme="majorHAnsi" w:cstheme="majorBidi"/>
      <w:bCs/>
      <w:sz w:val="36"/>
      <w:szCs w:val="32"/>
    </w:rPr>
  </w:style>
  <w:style w:type="character" w:customStyle="1" w:styleId="34">
    <w:name w:val="标题 3 Char"/>
    <w:basedOn w:val="25"/>
    <w:link w:val="6"/>
    <w:qFormat/>
    <w:uiPriority w:val="9"/>
    <w:rPr>
      <w:rFonts w:ascii="Calibri" w:hAnsi="Calibri" w:eastAsia="宋体" w:cs="Times New Roman"/>
      <w:b/>
      <w:bCs/>
      <w:sz w:val="32"/>
      <w:szCs w:val="32"/>
    </w:rPr>
  </w:style>
  <w:style w:type="paragraph" w:styleId="35">
    <w:name w:val="List Paragraph"/>
    <w:basedOn w:val="1"/>
    <w:link w:val="43"/>
    <w:qFormat/>
    <w:uiPriority w:val="34"/>
    <w:pPr>
      <w:ind w:firstLine="420" w:firstLineChars="200"/>
    </w:pPr>
  </w:style>
  <w:style w:type="paragraph" w:customStyle="1" w:styleId="36">
    <w:name w:val="TOC Heading"/>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7">
    <w:name w:val="批注框文本 Char"/>
    <w:basedOn w:val="25"/>
    <w:link w:val="16"/>
    <w:semiHidden/>
    <w:qFormat/>
    <w:uiPriority w:val="99"/>
    <w:rPr>
      <w:sz w:val="18"/>
      <w:szCs w:val="18"/>
    </w:rPr>
  </w:style>
  <w:style w:type="paragraph" w:styleId="38">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
    <w:name w:val="CM97"/>
    <w:basedOn w:val="13"/>
    <w:next w:val="13"/>
    <w:qFormat/>
    <w:uiPriority w:val="0"/>
    <w:pPr>
      <w:spacing w:after="373"/>
    </w:pPr>
    <w:rPr>
      <w:color w:val="auto"/>
    </w:rPr>
  </w:style>
  <w:style w:type="paragraph" w:customStyle="1" w:styleId="40">
    <w:name w:val="CM91"/>
    <w:basedOn w:val="13"/>
    <w:next w:val="13"/>
    <w:qFormat/>
    <w:uiPriority w:val="0"/>
    <w:pPr>
      <w:spacing w:after="160"/>
    </w:pPr>
    <w:rPr>
      <w:color w:val="auto"/>
    </w:rPr>
  </w:style>
  <w:style w:type="character" w:customStyle="1" w:styleId="41">
    <w:name w:val="正文文本 3 Char"/>
    <w:link w:val="8"/>
    <w:qFormat/>
    <w:uiPriority w:val="99"/>
    <w:rPr>
      <w:sz w:val="16"/>
      <w:szCs w:val="16"/>
    </w:rPr>
  </w:style>
  <w:style w:type="character" w:customStyle="1" w:styleId="42">
    <w:name w:val="正文文本 3 Char1"/>
    <w:basedOn w:val="25"/>
    <w:link w:val="8"/>
    <w:semiHidden/>
    <w:qFormat/>
    <w:uiPriority w:val="99"/>
    <w:rPr>
      <w:sz w:val="16"/>
      <w:szCs w:val="16"/>
    </w:rPr>
  </w:style>
  <w:style w:type="character" w:customStyle="1" w:styleId="43">
    <w:name w:val="列出段落 Char"/>
    <w:link w:val="35"/>
    <w:qFormat/>
    <w:uiPriority w:val="34"/>
  </w:style>
  <w:style w:type="paragraph" w:customStyle="1" w:styleId="44">
    <w:name w:val="1"/>
    <w:basedOn w:val="1"/>
    <w:next w:val="12"/>
    <w:qFormat/>
    <w:uiPriority w:val="99"/>
    <w:pPr>
      <w:widowControl w:val="0"/>
      <w:jc w:val="both"/>
    </w:pPr>
    <w:rPr>
      <w:rFonts w:ascii="宋体" w:hAnsi="Courier New"/>
      <w:kern w:val="2"/>
    </w:rPr>
  </w:style>
  <w:style w:type="paragraph" w:customStyle="1" w:styleId="45">
    <w:name w:val="WPSOffice手动目录 1"/>
    <w:qFormat/>
    <w:uiPriority w:val="0"/>
    <w:pPr>
      <w:ind w:leftChars="0"/>
    </w:pPr>
    <w:rPr>
      <w:rFonts w:asciiTheme="minorHAnsi" w:hAnsiTheme="minorHAnsi" w:eastAsiaTheme="minorEastAsia" w:cstheme="minorBidi"/>
      <w:sz w:val="20"/>
      <w:szCs w:val="20"/>
    </w:rPr>
  </w:style>
  <w:style w:type="paragraph" w:customStyle="1" w:styleId="46">
    <w:name w:val="WPSOffice手动目录 2"/>
    <w:qFormat/>
    <w:uiPriority w:val="0"/>
    <w:pPr>
      <w:ind w:leftChars="200"/>
    </w:pPr>
    <w:rPr>
      <w:rFonts w:asciiTheme="minorHAnsi" w:hAnsiTheme="minorHAnsi" w:eastAsiaTheme="minorEastAsia" w:cstheme="minorBidi"/>
      <w:sz w:val="20"/>
      <w:szCs w:val="20"/>
    </w:rPr>
  </w:style>
  <w:style w:type="paragraph" w:customStyle="1" w:styleId="47">
    <w:name w:val="WPSOffice手动目录 3"/>
    <w:qFormat/>
    <w:uiPriority w:val="0"/>
    <w:pPr>
      <w:ind w:leftChars="400"/>
    </w:pPr>
    <w:rPr>
      <w:rFonts w:asciiTheme="minorHAnsi" w:hAnsiTheme="minorHAnsi" w:eastAsiaTheme="minorEastAsia" w:cstheme="minorBidi"/>
      <w:sz w:val="20"/>
      <w:szCs w:val="20"/>
    </w:rPr>
  </w:style>
  <w:style w:type="paragraph" w:customStyle="1" w:styleId="48">
    <w:name w:val="_Style 4"/>
    <w:basedOn w:val="4"/>
    <w:next w:val="1"/>
    <w:qFormat/>
    <w:uiPriority w:val="0"/>
    <w:pPr>
      <w:keepNext w:val="0"/>
      <w:keepLines w:val="0"/>
      <w:spacing w:before="0" w:after="0" w:line="576" w:lineRule="auto"/>
      <w:jc w:val="left"/>
      <w:outlineLvl w:val="9"/>
    </w:pPr>
    <w:rPr>
      <w:rFonts w:ascii="Calibri" w:hAnsi="Calibri" w:eastAsia="黑体"/>
      <w:bCs w:val="0"/>
      <w:kern w:val="0"/>
      <w:lang w:eastAsia="en-US"/>
    </w:rPr>
  </w:style>
  <w:style w:type="character" w:customStyle="1" w:styleId="49">
    <w:name w:val="font31"/>
    <w:basedOn w:val="25"/>
    <w:qFormat/>
    <w:uiPriority w:val="0"/>
    <w:rPr>
      <w:rFonts w:hint="eastAsia" w:ascii="宋体" w:hAnsi="宋体" w:eastAsia="宋体" w:cs="宋体"/>
      <w:color w:val="000000"/>
      <w:sz w:val="20"/>
      <w:szCs w:val="20"/>
      <w:u w:val="none"/>
    </w:rPr>
  </w:style>
  <w:style w:type="character" w:customStyle="1" w:styleId="50">
    <w:name w:val="font61"/>
    <w:basedOn w:val="25"/>
    <w:qFormat/>
    <w:uiPriority w:val="0"/>
    <w:rPr>
      <w:rFonts w:ascii="Calibri" w:hAnsi="Calibri" w:cs="Calibri"/>
      <w:color w:val="000000"/>
      <w:sz w:val="22"/>
      <w:szCs w:val="22"/>
      <w:u w:val="none"/>
    </w:rPr>
  </w:style>
  <w:style w:type="character" w:customStyle="1" w:styleId="51">
    <w:name w:val="font81"/>
    <w:basedOn w:val="25"/>
    <w:qFormat/>
    <w:uiPriority w:val="0"/>
    <w:rPr>
      <w:rFonts w:hint="eastAsia" w:ascii="宋体" w:hAnsi="宋体" w:eastAsia="宋体" w:cs="宋体"/>
      <w:color w:val="000000"/>
      <w:sz w:val="16"/>
      <w:szCs w:val="16"/>
      <w:u w:val="none"/>
    </w:rPr>
  </w:style>
  <w:style w:type="character" w:customStyle="1" w:styleId="52">
    <w:name w:val="font91"/>
    <w:basedOn w:val="25"/>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6" textRotate="1"/>
    <customShpInfo spid="_x0000_s3077" textRotate="1"/>
    <customShpInfo spid="_x0000_s3078" textRotate="1"/>
    <customShpInfo spid="_x0000_s3079" textRotate="1"/>
    <customShpInfo spid="_x0000_s2065"/>
    <customShpInfo spid="_x0000_s2064"/>
    <customShpInfo spid="_x0000_s2066"/>
    <customShpInfo spid="_x0000_s2067"/>
    <customShpInfo spid="_x0000_s2053"/>
    <customShpInfo spid="_x0000_s2051"/>
    <customShpInfo spid="_x0000_s2055"/>
    <customShpInfo spid="_x0000_s2054"/>
    <customShpInfo spid="_x0000_s2072"/>
    <customShpInfo spid="_x0000_s2073"/>
    <customShpInfo spid="_x0000_s2057"/>
    <customShpInfo spid="_x0000_s2056"/>
    <customShpInfo spid="_x0000_s2059"/>
    <customShpInfo spid="_x0000_s2058"/>
    <customShpInfo spid="_x0000_s2060"/>
    <customShpInfo spid="_x0000_s2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72</Pages>
  <Words>24528</Words>
  <Characters>25875</Characters>
  <Lines>300</Lines>
  <Paragraphs>84</Paragraphs>
  <TotalTime>2</TotalTime>
  <ScaleCrop>false</ScaleCrop>
  <LinksUpToDate>false</LinksUpToDate>
  <CharactersWithSpaces>27923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刘琳</cp:lastModifiedBy>
  <cp:lastPrinted>2022-10-12T03:57:00Z</cp:lastPrinted>
  <dcterms:modified xsi:type="dcterms:W3CDTF">2022-10-26T02:52:54Z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42F2AAE92F634E11ACE2B1F4866A09D3</vt:lpwstr>
  </property>
</Properties>
</file>