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47" w:name="_GoBack"/>
      <w:bookmarkEnd w:id="147"/>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广州市净水有限公司2022年双菱电气类备品备件采购项目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1"/>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1322"/>
      <w:bookmarkStart w:id="5" w:name="_Toc7519"/>
      <w:bookmarkStart w:id="6" w:name="_Toc4275"/>
      <w:bookmarkStart w:id="7" w:name="_Toc17801"/>
      <w:bookmarkStart w:id="8" w:name="_Toc31938"/>
      <w:bookmarkStart w:id="9" w:name="_Toc19609"/>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2356485</wp:posOffset>
                </wp:positionH>
                <wp:positionV relativeFrom="paragraph">
                  <wp:posOffset>531495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55pt;margin-top:41.85pt;height:0pt;width:75.5pt;z-index:251671552;mso-width-relative:page;mso-height-relative:page;" filled="f" stroked="t" coordsize="21600,21600" o:gfxdata="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NSig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rPr>
      </w:pPr>
    </w:p>
    <w:p>
      <w:pPr>
        <w:pStyle w:val="4"/>
        <w:rPr>
          <w:color w:val="auto"/>
          <w:highlight w:val="none"/>
        </w:rPr>
      </w:pPr>
      <w:bookmarkStart w:id="11" w:name="_Toc26363"/>
      <w:bookmarkStart w:id="12" w:name="_Toc5230"/>
      <w:bookmarkStart w:id="13" w:name="_Toc28995"/>
      <w:bookmarkStart w:id="14" w:name="_Toc2659"/>
      <w:bookmarkStart w:id="15" w:name="_Toc10122"/>
      <w:bookmarkStart w:id="16" w:name="_Toc14238"/>
      <w:bookmarkStart w:id="17" w:name="_Toc88209924"/>
      <w:bookmarkStart w:id="18" w:name="_Toc999"/>
      <w:bookmarkStart w:id="19" w:name="_Toc8201"/>
      <w:bookmarkStart w:id="20" w:name="_Toc15709"/>
      <w:bookmarkStart w:id="21" w:name="_Toc30131"/>
      <w:bookmarkStart w:id="22" w:name="_Toc3098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rFonts w:hint="eastAsia"/>
          <w:color w:val="auto"/>
          <w:highlight w:val="none"/>
          <w:u w:val="single"/>
          <w:lang w:val="en-US" w:eastAsia="zh-CN"/>
        </w:rPr>
      </w:pPr>
      <w:bookmarkStart w:id="23" w:name="_Toc21373"/>
      <w:bookmarkStart w:id="24" w:name="_Toc9680"/>
      <w:r>
        <w:rPr>
          <w:rFonts w:hint="eastAsia"/>
          <w:color w:val="auto"/>
          <w:highlight w:val="none"/>
          <w:u w:val="single"/>
          <w:lang w:val="en-US" w:eastAsia="zh-CN"/>
        </w:rPr>
        <w:t>广州市净水有限公司2022年双菱电气类</w:t>
      </w:r>
    </w:p>
    <w:p>
      <w:pPr>
        <w:pStyle w:val="5"/>
        <w:spacing w:line="600" w:lineRule="exact"/>
        <w:rPr>
          <w:rFonts w:hint="eastAsia"/>
          <w:color w:val="auto"/>
          <w:highlight w:val="none"/>
          <w:u w:val="single"/>
          <w:lang w:val="en-US" w:eastAsia="zh-CN"/>
        </w:rPr>
      </w:pPr>
      <w:r>
        <w:rPr>
          <w:rFonts w:hint="eastAsia"/>
          <w:color w:val="auto"/>
          <w:highlight w:val="none"/>
          <w:u w:val="single"/>
          <w:lang w:val="en-US" w:eastAsia="zh-CN"/>
        </w:rPr>
        <w:t>备品备件采购项目</w:t>
      </w:r>
    </w:p>
    <w:p>
      <w:pPr>
        <w:pStyle w:val="5"/>
        <w:spacing w:line="600" w:lineRule="exact"/>
        <w:rPr>
          <w:color w:val="auto"/>
          <w:highlight w:val="none"/>
        </w:rPr>
      </w:pP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广州市净水有限公司2022年双菱电气类备品备件采购项目</w:t>
      </w:r>
      <w:r>
        <w:rPr>
          <w:rFonts w:hint="eastAsia" w:ascii="仿宋_GB2312" w:eastAsia="仿宋_GB2312"/>
          <w:color w:val="auto"/>
          <w:sz w:val="28"/>
          <w:szCs w:val="28"/>
          <w:highlight w:val="none"/>
        </w:rPr>
        <w:t xml:space="preserve">已具备采购条件，现对该□施工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广州市净水有限公司2022年双菱电气类备品备件采购项目</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XJ-20221021-2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454725</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项目拟定采购一批双菱品牌匹配原厂型号的电气类备品备件。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收到下单通知之日起30日内到货</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广州市净水有限公司猎德分公司</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所提供报价货物/设备均为制造商全新</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原装产品。</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2019年1月1日至今，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一项清单型号之一的备件供货</w:t>
      </w:r>
      <w:r>
        <w:rPr>
          <w:rFonts w:hint="eastAsia" w:ascii="仿宋_GB2312" w:eastAsia="仿宋_GB2312"/>
          <w:color w:val="auto"/>
          <w:sz w:val="28"/>
          <w:szCs w:val="28"/>
          <w:highlight w:val="none"/>
          <w:u w:val="none"/>
        </w:rPr>
        <w:t>项目的</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提交响应文件时</w:t>
      </w:r>
      <w:r>
        <w:rPr>
          <w:rFonts w:hint="eastAsia" w:ascii="仿宋_GB2312" w:eastAsia="仿宋_GB2312"/>
          <w:color w:val="auto"/>
          <w:sz w:val="28"/>
          <w:szCs w:val="28"/>
          <w:highlight w:val="none"/>
          <w:u w:val="none"/>
        </w:rPr>
        <w:t>供应商需出具承诺函，承诺中选后所提供的货物均为制造商全新原装产品，所提供的产品必须与现有设备的所有参数相匹配</w:t>
      </w:r>
      <w:r>
        <w:rPr>
          <w:rFonts w:hint="eastAsia" w:ascii="仿宋_GB2312" w:eastAsia="仿宋_GB2312"/>
          <w:color w:val="auto"/>
          <w:sz w:val="28"/>
          <w:szCs w:val="28"/>
          <w:highlight w:val="none"/>
          <w:u w:val="none"/>
          <w:lang w:val="en-US" w:eastAsia="zh-CN"/>
        </w:rPr>
        <w:t>且完全兼容</w:t>
      </w:r>
      <w:r>
        <w:rPr>
          <w:rFonts w:hint="eastAsia" w:ascii="仿宋_GB2312" w:eastAsia="仿宋_GB2312"/>
          <w:color w:val="auto"/>
          <w:sz w:val="28"/>
          <w:szCs w:val="28"/>
          <w:highlight w:val="none"/>
          <w:u w:val="none"/>
        </w:rPr>
        <w:t>（加盖单位公章）。中选后合同签订前须提供双菱的制造商（厂商）授权书或正品证明文件。交货时，供应商需提供须出具厂家出厂合格证明及其他应提供的文件资料（其他特殊需求详见技术需求）。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ind w:firstLine="0" w:firstLineChars="0"/>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4"/>
        <w:rPr>
          <w:rFonts w:hint="eastAsia"/>
          <w:color w:val="auto"/>
          <w:highlight w:val="none"/>
        </w:rPr>
      </w:pPr>
      <w:bookmarkStart w:id="25" w:name="_Toc10891"/>
    </w:p>
    <w:p>
      <w:pPr>
        <w:pStyle w:val="4"/>
        <w:rPr>
          <w:color w:val="auto"/>
          <w:highlight w:val="none"/>
        </w:rPr>
      </w:pPr>
      <w:bookmarkStart w:id="26" w:name="_Toc2324"/>
      <w:bookmarkStart w:id="27" w:name="_Toc23749"/>
      <w:bookmarkStart w:id="28" w:name="_Toc2331"/>
      <w:bookmarkStart w:id="29" w:name="_Toc25603"/>
      <w:bookmarkStart w:id="30" w:name="_Toc19295"/>
      <w:bookmarkStart w:id="31" w:name="_Toc7340"/>
      <w:bookmarkStart w:id="32" w:name="_Toc16705"/>
      <w:bookmarkStart w:id="33" w:name="_Toc9448"/>
      <w:bookmarkStart w:id="34" w:name="_Toc32588"/>
      <w:bookmarkStart w:id="35" w:name="_Toc1655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554990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3.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highlight w:val="none"/>
        </w:rPr>
      </w:pPr>
    </w:p>
    <w:p>
      <w:pPr>
        <w:pStyle w:val="5"/>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color w:val="auto"/>
          <w:highlight w:val="none"/>
        </w:rPr>
      </w:pPr>
    </w:p>
    <w:p>
      <w:pPr>
        <w:pStyle w:val="2"/>
        <w:rPr>
          <w:rFonts w:hint="eastAsia"/>
          <w:color w:val="auto"/>
          <w:highlight w:val="none"/>
        </w:rPr>
      </w:pP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beforeLines="50" w:afterLines="50" w:line="560" w:lineRule="exact"/>
        <w:ind w:left="643" w:hanging="643" w:hangingChars="20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643" w:hanging="643" w:hangingChars="20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643" w:hanging="643" w:hangingChars="20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0" w:firstLine="0" w:firstLineChars="0"/>
        <w:jc w:val="left"/>
        <w:rPr>
          <w:rFonts w:hint="eastAsia" w:asciiTheme="minorEastAsia" w:hAnsiTheme="minorEastAsia"/>
          <w:b/>
          <w:color w:val="auto"/>
          <w:sz w:val="32"/>
          <w:szCs w:val="32"/>
          <w:highlight w:val="none"/>
          <w:lang w:val="en-US" w:eastAsia="zh-CN"/>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3"/>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8" w:name="_Toc21455"/>
      <w:bookmarkStart w:id="39"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2326640</wp:posOffset>
                </wp:positionH>
                <wp:positionV relativeFrom="paragraph">
                  <wp:posOffset>635000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2pt;margin-top:50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3"/>
        <w:rPr>
          <w:color w:val="auto"/>
          <w:highlight w:val="none"/>
        </w:rPr>
      </w:pPr>
    </w:p>
    <w:p>
      <w:pPr>
        <w:pStyle w:val="5"/>
        <w:rPr>
          <w:color w:val="auto"/>
          <w:highlight w:val="none"/>
        </w:rPr>
      </w:pPr>
      <w:bookmarkStart w:id="40" w:name="_Toc88209934"/>
      <w:bookmarkStart w:id="41" w:name="_Toc7040"/>
      <w:bookmarkStart w:id="42" w:name="_Toc7303"/>
      <w:bookmarkStart w:id="43" w:name="_Toc87616371"/>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leftChars="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leftChars="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leftChars="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leftChars="0" w:firstLine="2"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leftChars="0" w:firstLine="2"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6" w:name="_Toc20594"/>
      <w:bookmarkStart w:id="47" w:name="_Toc3156"/>
      <w:bookmarkStart w:id="48" w:name="_Toc14552"/>
      <w:bookmarkStart w:id="49" w:name="_Toc7437"/>
      <w:bookmarkStart w:id="50" w:name="_Toc23581"/>
      <w:bookmarkStart w:id="51" w:name="_Toc19759"/>
      <w:bookmarkStart w:id="52" w:name="_Toc10930"/>
      <w:bookmarkStart w:id="53" w:name="_Toc4952"/>
      <w:bookmarkStart w:id="54" w:name="_Toc14870"/>
      <w:bookmarkStart w:id="55" w:name="_Toc19050"/>
      <w:bookmarkStart w:id="56" w:name="_Toc7118"/>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3"/>
        <w:rPr>
          <w:color w:val="auto"/>
          <w:highlight w:val="none"/>
        </w:rPr>
      </w:pPr>
    </w:p>
    <w:p>
      <w:pPr>
        <w:pStyle w:val="4"/>
        <w:rPr>
          <w:color w:val="auto"/>
          <w:highlight w:val="none"/>
        </w:rPr>
      </w:pPr>
      <w:bookmarkStart w:id="57" w:name="_Toc22212"/>
      <w:bookmarkStart w:id="58" w:name="_Toc21079"/>
      <w:bookmarkStart w:id="59" w:name="_Toc87616378"/>
      <w:bookmarkStart w:id="60" w:name="_Toc32607"/>
      <w:bookmarkStart w:id="61" w:name="_Toc6308"/>
      <w:bookmarkStart w:id="62" w:name="_Toc7831"/>
      <w:bookmarkStart w:id="63" w:name="_Toc13898"/>
      <w:bookmarkStart w:id="64" w:name="_Toc29345"/>
      <w:bookmarkStart w:id="65" w:name="_Toc21840"/>
      <w:bookmarkStart w:id="66" w:name="_Toc30530"/>
      <w:bookmarkStart w:id="67" w:name="_Toc12177"/>
      <w:bookmarkStart w:id="68" w:name="_Toc29484"/>
      <w:bookmarkStart w:id="69" w:name="_Toc88209941"/>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0" w:name="_Toc26826"/>
      <w:bookmarkStart w:id="71" w:name="_Toc23033"/>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4"/>
        <w:rPr>
          <w:color w:val="auto"/>
          <w:highlight w:val="none"/>
        </w:rPr>
      </w:pPr>
      <w:bookmarkStart w:id="72"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72"/>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项目拟定采购一批双菱品牌，匹配原厂型号的电气类备品备件。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二、项目技术要求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供应商需按采购清单的型号、数量要求进行供货，货物必须符合国家法律法规规定的标准、行业标准；所有货物必须有产品合格证并于送货之日移交广州市净水有限公司猎德分公司。所供货物必须为原厂全新产品，供应商禁止向采购人提供二手产品、拆机件、翻新件。若需求的产品出现停产情况，可以使用更新迭代的产品替换（需出具厂家/制造商说明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（二）设备到货后，须出具厂家出厂合格证明，供应商应和采购人一起对供货设备进行现场检查验收，如发现质量问题（包括结构及外观检查）应由供应商处理解决。开箱检验应有记录及双方签字生效。</w:t>
      </w:r>
    </w:p>
    <w:p>
      <w:pPr>
        <w:pStyle w:val="2"/>
        <w:rPr>
          <w:rFonts w:hint="default"/>
          <w:color w:val="auto"/>
          <w:highlight w:val="none"/>
          <w:lang w:val="en-US" w:eastAsia="zh-CN"/>
        </w:rPr>
      </w:pPr>
    </w:p>
    <w:tbl>
      <w:tblPr>
        <w:tblStyle w:val="21"/>
        <w:tblW w:w="8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7"/>
        <w:gridCol w:w="2266"/>
        <w:gridCol w:w="4116"/>
        <w:gridCol w:w="752"/>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双菱</w:t>
            </w:r>
            <w:r>
              <w:rPr>
                <w:rFonts w:hint="eastAsia" w:ascii="宋体" w:hAnsi="宋体" w:eastAsia="宋体" w:cs="宋体"/>
                <w:i w:val="0"/>
                <w:iCs w:val="0"/>
                <w:color w:val="auto"/>
                <w:kern w:val="0"/>
                <w:sz w:val="21"/>
                <w:szCs w:val="21"/>
                <w:highlight w:val="none"/>
                <w:u w:val="none"/>
                <w:lang w:val="en-US" w:eastAsia="zh-CN" w:bidi="ar"/>
              </w:rPr>
              <w:t>电气类备品备件需求明细表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需求数量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YJV22-5*10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2</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YJV22-5*16</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YJV22-3*25+2*16</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4</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RVV-3*35+2*16</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5</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YJV22-3*70+2*35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6</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YJV22-3*120+2*70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RVVP-12*2.5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8</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RVVP-12*1.0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w:t>
            </w:r>
          </w:p>
        </w:tc>
      </w:tr>
    </w:tbl>
    <w:p>
      <w:pPr>
        <w:pStyle w:val="2"/>
        <w:rPr>
          <w:rFonts w:hint="default"/>
          <w:color w:val="auto"/>
          <w:highlight w:val="none"/>
          <w:lang w:val="en-US" w:eastAsia="zh-CN"/>
        </w:rPr>
      </w:pPr>
    </w:p>
    <w:p>
      <w:pPr>
        <w:pStyle w:val="2"/>
        <w:rPr>
          <w:rFonts w:hint="default"/>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三、商务要求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（一）货期：自收到采购人书面通知之日起30天内到货，交货地点：广州市净水有限公司猎德分公司。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 二 ) 包装、运输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1.供应商所供货物应为制造商原装出厂包装箱号与货物出厂批号一致，包装须符合同等相关标准，因包装不良造成的损失由供应商负责。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2.供应商负责将产品送到现场过程中的全部运输，包括装卸车、货物现场的搬运等。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（三）质量要求和售后服务：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1.确保货物为原装未拆封或未使用的合格产品，交货时须出具厂家出厂合格证明。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2.货物在质保期（自货物安装调试验收合格之日起1年。）内如有质量问题或未能适配原有设备时，供应商必须24小时内立即响应。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（四）付款方式：采用网银支付。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（五）自供应商履行完合同义务之日起15个工作日内组织验收，审定供应商供货的货物合格情况，进行结算审核。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黑体" w:hAnsi="黑体" w:eastAsia="黑体" w:cs="黑体"/>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（六）承包方式：单价包干。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供应商不得转包、分包。否则，采购人有权单方面终止合同，拒收其货物，由此而造成的经济损失由供应商负责赔偿。</w:t>
      </w:r>
    </w:p>
    <w:p>
      <w:pPr>
        <w:pStyle w:val="2"/>
        <w:rPr>
          <w:rFonts w:hint="default"/>
          <w:color w:val="auto"/>
          <w:highlight w:val="none"/>
          <w:lang w:val="en-US" w:eastAsia="zh-CN"/>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73" w:name="_Toc23353"/>
      <w:bookmarkStart w:id="74" w:name="_Toc18538"/>
      <w:bookmarkStart w:id="75" w:name="_Toc1284"/>
      <w:bookmarkStart w:id="76" w:name="_Toc1496"/>
      <w:bookmarkStart w:id="77" w:name="_Toc29835"/>
      <w:bookmarkStart w:id="78" w:name="_Toc25925"/>
      <w:bookmarkStart w:id="79" w:name="_Toc15570"/>
      <w:bookmarkStart w:id="80" w:name="_Toc23330"/>
      <w:bookmarkStart w:id="81" w:name="_Toc537"/>
      <w:bookmarkStart w:id="82" w:name="_Toc4680"/>
      <w:bookmarkStart w:id="83" w:name="_Toc1213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3"/>
        <w:rPr>
          <w:color w:val="auto"/>
          <w:highlight w:val="none"/>
        </w:rPr>
      </w:pPr>
    </w:p>
    <w:p>
      <w:pPr>
        <w:pStyle w:val="4"/>
        <w:rPr>
          <w:color w:val="auto"/>
          <w:highlight w:val="none"/>
        </w:rPr>
      </w:pPr>
      <w:bookmarkStart w:id="84" w:name="_Toc22797"/>
      <w:bookmarkStart w:id="85" w:name="_Toc8183"/>
      <w:bookmarkStart w:id="86" w:name="_Toc323"/>
      <w:bookmarkStart w:id="87" w:name="_Toc22501"/>
      <w:bookmarkStart w:id="88" w:name="_Toc19088"/>
      <w:bookmarkStart w:id="89" w:name="_Toc88209949"/>
      <w:bookmarkStart w:id="90" w:name="_Toc12721"/>
      <w:bookmarkStart w:id="91" w:name="_Toc12968"/>
      <w:bookmarkStart w:id="92" w:name="_Toc87616386"/>
      <w:bookmarkStart w:id="93" w:name="_Toc1375"/>
      <w:bookmarkStart w:id="94" w:name="_Toc19686"/>
      <w:bookmarkStart w:id="95" w:name="_Toc12980"/>
      <w:bookmarkStart w:id="96" w:name="_Toc13309"/>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jc w:val="center"/>
        <w:rPr>
          <w:b/>
          <w:bCs w:val="0"/>
          <w:color w:val="auto"/>
          <w:sz w:val="48"/>
          <w:szCs w:val="48"/>
          <w:highlight w:val="none"/>
        </w:rPr>
      </w:pPr>
      <w:r>
        <w:rPr>
          <w:rFonts w:hint="eastAsia"/>
          <w:b/>
          <w:bCs w:val="0"/>
          <w:color w:val="auto"/>
          <w:sz w:val="48"/>
          <w:szCs w:val="48"/>
          <w:highlight w:val="none"/>
        </w:rPr>
        <w:t>广州市净水有限公司</w:t>
      </w:r>
    </w:p>
    <w:p>
      <w:pPr>
        <w:jc w:val="center"/>
        <w:rPr>
          <w:b/>
          <w:bCs w:val="0"/>
          <w:color w:val="auto"/>
          <w:sz w:val="48"/>
          <w:szCs w:val="48"/>
          <w:highlight w:val="none"/>
        </w:rPr>
      </w:pPr>
      <w:r>
        <w:rPr>
          <w:rFonts w:hint="eastAsia"/>
          <w:b/>
          <w:bCs w:val="0"/>
          <w:color w:val="auto"/>
          <w:sz w:val="48"/>
          <w:szCs w:val="48"/>
          <w:highlight w:val="none"/>
          <w:u w:val="none"/>
          <w:lang w:val="en-US" w:eastAsia="zh-CN"/>
        </w:rPr>
        <w:t>厂区设备</w:t>
      </w:r>
      <w:r>
        <w:rPr>
          <w:rFonts w:hint="eastAsia"/>
          <w:b/>
          <w:bCs w:val="0"/>
          <w:color w:val="auto"/>
          <w:sz w:val="48"/>
          <w:szCs w:val="48"/>
          <w:highlight w:val="none"/>
          <w:u w:val="none"/>
          <w:lang w:eastAsia="zh-CN"/>
        </w:rPr>
        <w:t>备件</w:t>
      </w:r>
      <w:r>
        <w:rPr>
          <w:rFonts w:hint="eastAsia"/>
          <w:b/>
          <w:bCs w:val="0"/>
          <w:color w:val="auto"/>
          <w:sz w:val="48"/>
          <w:szCs w:val="48"/>
          <w:highlight w:val="none"/>
        </w:rPr>
        <w:t>采购合同</w:t>
      </w:r>
    </w:p>
    <w:p>
      <w:pPr>
        <w:jc w:val="center"/>
        <w:rPr>
          <w:b/>
          <w:bCs w:val="0"/>
          <w:color w:val="auto"/>
          <w:sz w:val="28"/>
          <w:szCs w:val="28"/>
          <w:highlight w:val="none"/>
        </w:rPr>
      </w:pPr>
    </w:p>
    <w:p>
      <w:pPr>
        <w:pStyle w:val="2"/>
        <w:rPr>
          <w:color w:val="auto"/>
          <w:highlight w:val="none"/>
        </w:rPr>
      </w:pPr>
    </w:p>
    <w:p>
      <w:pPr>
        <w:jc w:val="center"/>
        <w:rPr>
          <w:b/>
          <w:bCs w:val="0"/>
          <w:color w:val="auto"/>
          <w:sz w:val="30"/>
          <w:highlight w:val="none"/>
        </w:rPr>
      </w:pPr>
    </w:p>
    <w:p>
      <w:pPr>
        <w:rPr>
          <w:rFonts w:hint="eastAsia"/>
          <w:b/>
          <w:bCs w:val="0"/>
          <w:color w:val="auto"/>
          <w:sz w:val="30"/>
          <w:highlight w:val="none"/>
          <w:lang w:val="en-US" w:eastAsia="zh-CN"/>
        </w:rPr>
      </w:pPr>
      <w:r>
        <w:rPr>
          <w:rFonts w:hint="eastAsia"/>
          <w:b/>
          <w:bCs w:val="0"/>
          <w:color w:val="auto"/>
          <w:sz w:val="30"/>
          <w:highlight w:val="none"/>
        </w:rPr>
        <w:t>项目名称：</w:t>
      </w:r>
      <w:r>
        <w:rPr>
          <w:rFonts w:hint="eastAsia"/>
          <w:b/>
          <w:bCs w:val="0"/>
          <w:color w:val="auto"/>
          <w:sz w:val="30"/>
          <w:highlight w:val="none"/>
          <w:lang w:val="en-US" w:eastAsia="zh-CN"/>
        </w:rPr>
        <w:t>广州市净水有限公司2022年双菱电气类备品备件采购项目</w:t>
      </w:r>
    </w:p>
    <w:p>
      <w:pPr>
        <w:rPr>
          <w:rFonts w:hint="eastAsia"/>
          <w:b/>
          <w:bCs w:val="0"/>
          <w:color w:val="auto"/>
          <w:sz w:val="30"/>
          <w:highlight w:val="none"/>
          <w:lang w:val="en-US" w:eastAsia="zh-CN"/>
        </w:rPr>
      </w:pPr>
      <w:r>
        <w:rPr>
          <w:rFonts w:hint="eastAsia"/>
          <w:b/>
          <w:bCs w:val="0"/>
          <w:color w:val="auto"/>
          <w:sz w:val="30"/>
          <w:highlight w:val="none"/>
          <w:lang w:val="en-US" w:eastAsia="zh-CN"/>
        </w:rPr>
        <w:t>项目编号：</w:t>
      </w:r>
    </w:p>
    <w:p>
      <w:pPr>
        <w:rPr>
          <w:rFonts w:hint="eastAsia"/>
          <w:b/>
          <w:bCs w:val="0"/>
          <w:color w:val="auto"/>
          <w:sz w:val="30"/>
          <w:highlight w:val="none"/>
          <w:lang w:val="en-US" w:eastAsia="zh-CN"/>
        </w:rPr>
      </w:pPr>
    </w:p>
    <w:p>
      <w:pPr>
        <w:rPr>
          <w:b/>
          <w:bCs w:val="0"/>
          <w:color w:val="auto"/>
          <w:sz w:val="30"/>
          <w:szCs w:val="30"/>
          <w:highlight w:val="none"/>
        </w:rPr>
      </w:pPr>
      <w:r>
        <w:rPr>
          <w:rFonts w:hint="eastAsia"/>
          <w:b/>
          <w:bCs w:val="0"/>
          <w:color w:val="auto"/>
          <w:sz w:val="30"/>
          <w:highlight w:val="none"/>
        </w:rPr>
        <w:t>合同编号：</w:t>
      </w:r>
      <w:r>
        <w:rPr>
          <w:rFonts w:hint="eastAsia" w:ascii="宋体" w:hAnsi="宋体" w:cs="宋体"/>
          <w:b/>
          <w:bCs w:val="0"/>
          <w:color w:val="auto"/>
          <w:sz w:val="30"/>
          <w:szCs w:val="30"/>
          <w:highlight w:val="none"/>
        </w:rPr>
        <w:t>穗净水合</w:t>
      </w:r>
      <w:r>
        <w:rPr>
          <w:rFonts w:ascii="宋体" w:hAnsi="宋体" w:cs="宋体"/>
          <w:b/>
          <w:bCs w:val="0"/>
          <w:color w:val="auto"/>
          <w:sz w:val="30"/>
          <w:szCs w:val="30"/>
          <w:highlight w:val="none"/>
        </w:rPr>
        <w:t>[</w:t>
      </w:r>
      <w:r>
        <w:rPr>
          <w:rFonts w:hint="eastAsia" w:ascii="宋体" w:hAnsi="宋体" w:cs="宋体"/>
          <w:b/>
          <w:bCs w:val="0"/>
          <w:color w:val="auto"/>
          <w:sz w:val="30"/>
          <w:szCs w:val="30"/>
          <w:highlight w:val="none"/>
          <w:lang w:val="en-US" w:eastAsia="zh-CN"/>
        </w:rPr>
        <w:t>2022</w:t>
      </w:r>
      <w:r>
        <w:rPr>
          <w:rFonts w:ascii="宋体" w:hAnsi="宋体" w:cs="宋体"/>
          <w:b/>
          <w:bCs w:val="0"/>
          <w:color w:val="auto"/>
          <w:sz w:val="30"/>
          <w:szCs w:val="30"/>
          <w:highlight w:val="none"/>
        </w:rPr>
        <w:t xml:space="preserve">]    </w:t>
      </w:r>
      <w:r>
        <w:rPr>
          <w:rFonts w:hint="eastAsia" w:ascii="宋体" w:hAnsi="宋体" w:cs="宋体"/>
          <w:b/>
          <w:bCs w:val="0"/>
          <w:color w:val="auto"/>
          <w:sz w:val="30"/>
          <w:szCs w:val="30"/>
          <w:highlight w:val="none"/>
        </w:rPr>
        <w:t>号</w:t>
      </w:r>
    </w:p>
    <w:p>
      <w:pPr>
        <w:rPr>
          <w:b/>
          <w:bCs w:val="0"/>
          <w:color w:val="auto"/>
          <w:sz w:val="30"/>
          <w:szCs w:val="30"/>
          <w:highlight w:val="none"/>
        </w:rPr>
      </w:pPr>
    </w:p>
    <w:p>
      <w:pPr>
        <w:rPr>
          <w:b/>
          <w:bCs w:val="0"/>
          <w:color w:val="auto"/>
          <w:sz w:val="30"/>
          <w:highlight w:val="none"/>
          <w:u w:val="single"/>
        </w:rPr>
      </w:pPr>
      <w:r>
        <w:rPr>
          <w:rFonts w:hint="eastAsia"/>
          <w:b/>
          <w:bCs w:val="0"/>
          <w:color w:val="auto"/>
          <w:sz w:val="30"/>
          <w:highlight w:val="none"/>
        </w:rPr>
        <w:t>甲方（买方）：</w:t>
      </w:r>
      <w:r>
        <w:rPr>
          <w:rFonts w:hint="eastAsia"/>
          <w:b/>
          <w:bCs w:val="0"/>
          <w:color w:val="auto"/>
          <w:sz w:val="30"/>
          <w:highlight w:val="none"/>
          <w:u w:val="none"/>
        </w:rPr>
        <w:t>广州市净水有限公司</w:t>
      </w:r>
    </w:p>
    <w:p>
      <w:pPr>
        <w:rPr>
          <w:rFonts w:hint="eastAsia"/>
          <w:b/>
          <w:bCs w:val="0"/>
          <w:color w:val="auto"/>
          <w:sz w:val="30"/>
          <w:highlight w:val="none"/>
        </w:rPr>
      </w:pPr>
    </w:p>
    <w:p>
      <w:pPr>
        <w:rPr>
          <w:b/>
          <w:bCs w:val="0"/>
          <w:color w:val="auto"/>
          <w:sz w:val="30"/>
          <w:highlight w:val="none"/>
          <w:u w:val="single"/>
        </w:rPr>
      </w:pPr>
      <w:r>
        <w:rPr>
          <w:rFonts w:hint="eastAsia"/>
          <w:b/>
          <w:bCs w:val="0"/>
          <w:color w:val="auto"/>
          <w:sz w:val="30"/>
          <w:highlight w:val="none"/>
        </w:rPr>
        <w:t>乙方（卖方）：</w:t>
      </w:r>
      <w:r>
        <w:rPr>
          <w:b/>
          <w:bCs w:val="0"/>
          <w:color w:val="auto"/>
          <w:sz w:val="30"/>
          <w:highlight w:val="none"/>
          <w:u w:val="none"/>
        </w:rPr>
        <w:t xml:space="preserve">                  </w:t>
      </w:r>
    </w:p>
    <w:p>
      <w:pPr>
        <w:pStyle w:val="2"/>
        <w:rPr>
          <w:rFonts w:hint="eastAsia"/>
          <w:b/>
          <w:bCs w:val="0"/>
          <w:color w:val="auto"/>
          <w:highlight w:val="none"/>
        </w:rPr>
      </w:pPr>
    </w:p>
    <w:p>
      <w:pPr>
        <w:spacing w:line="500" w:lineRule="exact"/>
        <w:jc w:val="both"/>
        <w:rPr>
          <w:rFonts w:hint="eastAsia"/>
          <w:b/>
          <w:bCs w:val="0"/>
          <w:color w:val="auto"/>
          <w:sz w:val="30"/>
          <w:highlight w:val="none"/>
        </w:rPr>
      </w:pPr>
      <w:r>
        <w:rPr>
          <w:rFonts w:hint="eastAsia" w:ascii="宋体" w:hAnsi="宋体" w:cs="宋体"/>
          <w:b/>
          <w:color w:val="auto"/>
          <w:sz w:val="30"/>
          <w:szCs w:val="30"/>
          <w:highlight w:val="none"/>
        </w:rPr>
        <w:t xml:space="preserve">签订日期：       年   月   日   </w:t>
      </w:r>
    </w:p>
    <w:p>
      <w:pPr>
        <w:spacing w:line="500" w:lineRule="exact"/>
        <w:jc w:val="left"/>
        <w:rPr>
          <w:rFonts w:hint="eastAsia"/>
          <w:b/>
          <w:bCs w:val="0"/>
          <w:color w:val="auto"/>
          <w:sz w:val="30"/>
          <w:highlight w:val="none"/>
        </w:rPr>
      </w:pPr>
    </w:p>
    <w:p>
      <w:pPr>
        <w:spacing w:line="500" w:lineRule="exact"/>
        <w:jc w:val="left"/>
        <w:rPr>
          <w:rFonts w:ascii="宋体" w:hAnsi="宋体" w:eastAsia="宋体" w:cs="宋体"/>
          <w:b/>
          <w:bCs w:val="0"/>
          <w:color w:val="auto"/>
          <w:sz w:val="36"/>
          <w:szCs w:val="36"/>
          <w:highlight w:val="none"/>
          <w:lang w:val="zh-CN" w:eastAsia="zh-CN"/>
        </w:rPr>
      </w:pPr>
      <w:r>
        <w:rPr>
          <w:rFonts w:hint="eastAsia"/>
          <w:b/>
          <w:bCs w:val="0"/>
          <w:color w:val="auto"/>
          <w:sz w:val="30"/>
          <w:highlight w:val="none"/>
        </w:rPr>
        <w:t>签约地点：广州市</w:t>
      </w:r>
    </w:p>
    <w:p>
      <w:pPr>
        <w:spacing w:line="360" w:lineRule="auto"/>
        <w:ind w:firstLine="0" w:firstLineChars="0"/>
        <w:rPr>
          <w:rFonts w:hint="eastAsia"/>
          <w:b/>
          <w:bCs w:val="0"/>
          <w:color w:val="auto"/>
          <w:highlight w:val="none"/>
          <w:lang w:val="en-US" w:eastAsia="zh-CN"/>
        </w:rPr>
      </w:pPr>
      <w:r>
        <w:rPr>
          <w:rFonts w:hint="eastAsia"/>
          <w:b/>
          <w:bCs w:val="0"/>
          <w:color w:val="auto"/>
          <w:highlight w:val="none"/>
          <w:lang w:val="en-US" w:eastAsia="zh-CN"/>
        </w:rPr>
        <w:t xml:space="preserve">    </w:t>
      </w:r>
    </w:p>
    <w:p>
      <w:pPr>
        <w:spacing w:line="360" w:lineRule="auto"/>
        <w:ind w:firstLine="482" w:firstLineChars="200"/>
        <w:rPr>
          <w:rFonts w:hint="eastAsia" w:ascii="宋体" w:hAnsi="宋体" w:cs="宋体"/>
          <w:b/>
          <w:bCs w:val="0"/>
          <w:color w:val="auto"/>
          <w:sz w:val="24"/>
          <w:szCs w:val="24"/>
          <w:highlight w:val="none"/>
        </w:rPr>
      </w:pP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w:t>
      </w:r>
      <w:r>
        <w:rPr>
          <w:rFonts w:hint="eastAsia" w:ascii="宋体" w:hAnsi="宋体" w:eastAsia="宋体" w:cs="宋体"/>
          <w:color w:val="auto"/>
          <w:sz w:val="28"/>
          <w:szCs w:val="28"/>
          <w:highlight w:val="none"/>
          <w:lang w:val="en-US" w:eastAsia="zh-CN"/>
        </w:rPr>
        <w:t>民法典</w:t>
      </w:r>
      <w:r>
        <w:rPr>
          <w:rFonts w:hint="eastAsia" w:ascii="宋体" w:hAnsi="宋体" w:eastAsia="宋体" w:cs="宋体"/>
          <w:color w:val="auto"/>
          <w:sz w:val="28"/>
          <w:szCs w:val="28"/>
          <w:highlight w:val="none"/>
        </w:rPr>
        <w:t>》及其他有关法律、行政法规，</w:t>
      </w:r>
      <w:r>
        <w:rPr>
          <w:rFonts w:hint="eastAsia" w:ascii="宋体" w:hAnsi="宋体" w:eastAsia="宋体" w:cs="宋体"/>
          <w:color w:val="auto"/>
          <w:sz w:val="28"/>
          <w:szCs w:val="28"/>
          <w:highlight w:val="none"/>
          <w:u w:val="single"/>
        </w:rPr>
        <w:t>广州市净水有限公司</w:t>
      </w:r>
      <w:r>
        <w:rPr>
          <w:rFonts w:hint="eastAsia" w:ascii="宋体" w:hAnsi="宋体" w:eastAsia="宋体" w:cs="宋体"/>
          <w:color w:val="auto"/>
          <w:sz w:val="28"/>
          <w:szCs w:val="28"/>
          <w:highlight w:val="none"/>
        </w:rPr>
        <w:t xml:space="preserve"> （以下简称“甲方”）与</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（以下简称“乙方”）就</w:t>
      </w:r>
      <w:r>
        <w:rPr>
          <w:rFonts w:hint="eastAsia" w:ascii="宋体" w:hAnsi="宋体" w:eastAsia="宋体" w:cs="宋体"/>
          <w:color w:val="auto"/>
          <w:sz w:val="28"/>
          <w:szCs w:val="28"/>
          <w:highlight w:val="none"/>
          <w:u w:val="single"/>
          <w:lang w:eastAsia="zh-CN"/>
        </w:rPr>
        <w:t>广州市净水有限公司2022年双菱电气类备品备件采购项目</w:t>
      </w:r>
      <w:r>
        <w:rPr>
          <w:rFonts w:hint="eastAsia" w:ascii="宋体" w:hAnsi="宋体" w:eastAsia="宋体" w:cs="宋体"/>
          <w:color w:val="auto"/>
          <w:sz w:val="28"/>
          <w:szCs w:val="28"/>
          <w:highlight w:val="none"/>
          <w:u w:val="none"/>
        </w:rPr>
        <w:t>采购</w:t>
      </w:r>
      <w:r>
        <w:rPr>
          <w:rFonts w:hint="eastAsia" w:ascii="宋体" w:hAnsi="宋体" w:eastAsia="宋体" w:cs="宋体"/>
          <w:color w:val="auto"/>
          <w:sz w:val="28"/>
          <w:szCs w:val="28"/>
          <w:highlight w:val="none"/>
        </w:rPr>
        <w:t>和相应技术服务事宜，遵循平等、自愿、公平和诚实信用的原则，双方协商一致，订立本合同。</w:t>
      </w:r>
    </w:p>
    <w:p>
      <w:pPr>
        <w:keepNext w:val="0"/>
        <w:keepLines w:val="0"/>
        <w:pageBreakBefore w:val="0"/>
        <w:kinsoku/>
        <w:wordWrap/>
        <w:overflowPunct/>
        <w:topLinePunct w:val="0"/>
        <w:bidi w:val="0"/>
        <w:snapToGrid/>
        <w:spacing w:line="240" w:lineRule="auto"/>
        <w:ind w:firstLine="54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第一条 组成合同的文件及优先顺序</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⑴ </w:t>
      </w:r>
      <w:r>
        <w:rPr>
          <w:rFonts w:hint="eastAsia" w:ascii="宋体" w:hAnsi="宋体" w:eastAsia="宋体" w:cs="宋体"/>
          <w:color w:val="auto"/>
          <w:sz w:val="28"/>
          <w:szCs w:val="28"/>
          <w:highlight w:val="none"/>
        </w:rPr>
        <w:t>在本合同实施过程双方签署的补充与修正文件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⑵ 本合同书</w:t>
      </w:r>
      <w:r>
        <w:rPr>
          <w:rFonts w:hint="eastAsia" w:ascii="宋体" w:hAnsi="宋体" w:cs="宋体"/>
          <w:bCs/>
          <w:color w:val="auto"/>
          <w:sz w:val="28"/>
          <w:szCs w:val="28"/>
          <w:highlight w:val="none"/>
          <w:lang w:val="en-US" w:eastAsia="zh-CN"/>
        </w:rPr>
        <w:t>及附件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⑶ </w:t>
      </w:r>
      <w:r>
        <w:rPr>
          <w:rFonts w:hint="eastAsia" w:ascii="宋体" w:hAnsi="宋体" w:eastAsia="宋体" w:cs="宋体"/>
          <w:bCs/>
          <w:color w:val="auto"/>
          <w:sz w:val="28"/>
          <w:szCs w:val="28"/>
          <w:highlight w:val="none"/>
          <w:lang w:val="en-US" w:eastAsia="zh-CN"/>
        </w:rPr>
        <w:t>成交通知书</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⑷ 询价文件；</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⑸ 响应文件；</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⑹ 标准、规范及有关技术性文件；</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⑺ 图纸；</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⑻ </w:t>
      </w:r>
      <w:r>
        <w:rPr>
          <w:rFonts w:hint="eastAsia" w:ascii="宋体" w:hAnsi="宋体" w:eastAsia="宋体" w:cs="宋体"/>
          <w:color w:val="auto"/>
          <w:sz w:val="28"/>
          <w:szCs w:val="28"/>
          <w:highlight w:val="none"/>
        </w:rPr>
        <w:t>工程报价单或预算书；</w:t>
      </w:r>
    </w:p>
    <w:p>
      <w:pPr>
        <w:keepNext w:val="0"/>
        <w:keepLines w:val="0"/>
        <w:pageBreakBefore w:val="0"/>
        <w:kinsoku/>
        <w:wordWrap/>
        <w:overflowPunct/>
        <w:topLinePunct w:val="0"/>
        <w:bidi w:val="0"/>
        <w:snapToGrid/>
        <w:spacing w:line="240" w:lineRule="auto"/>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 xml:space="preserve"> 第二条 </w:t>
      </w:r>
      <w:r>
        <w:rPr>
          <w:rFonts w:hint="eastAsia" w:ascii="宋体" w:hAnsi="宋体" w:eastAsia="宋体" w:cs="宋体"/>
          <w:b/>
          <w:color w:val="auto"/>
          <w:sz w:val="28"/>
          <w:szCs w:val="28"/>
          <w:highlight w:val="none"/>
        </w:rPr>
        <w:t>合同标的</w:t>
      </w:r>
    </w:p>
    <w:p>
      <w:pPr>
        <w:keepNext w:val="0"/>
        <w:keepLines w:val="0"/>
        <w:pageBreakBefore w:val="0"/>
        <w:kinsoku/>
        <w:wordWrap/>
        <w:overflowPunct/>
        <w:topLinePunct w:val="0"/>
        <w:autoSpaceDE w:val="0"/>
        <w:autoSpaceDN w:val="0"/>
        <w:bidi w:val="0"/>
        <w:adjustRightInd w:val="0"/>
        <w:snapToGrid/>
        <w:spacing w:line="24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zh-CN"/>
        </w:rPr>
        <w:t>本合同所指</w:t>
      </w:r>
      <w:r>
        <w:rPr>
          <w:rFonts w:hint="eastAsia" w:ascii="宋体" w:hAnsi="宋体" w:eastAsia="宋体" w:cs="宋体"/>
          <w:color w:val="auto"/>
          <w:kern w:val="0"/>
          <w:sz w:val="28"/>
          <w:szCs w:val="28"/>
          <w:highlight w:val="none"/>
          <w:lang w:val="en-US" w:eastAsia="zh-CN"/>
        </w:rPr>
        <w:t>货物</w:t>
      </w:r>
      <w:r>
        <w:rPr>
          <w:rFonts w:hint="eastAsia" w:ascii="宋体" w:hAnsi="宋体" w:eastAsia="宋体" w:cs="宋体"/>
          <w:color w:val="auto"/>
          <w:kern w:val="0"/>
          <w:sz w:val="28"/>
          <w:szCs w:val="28"/>
          <w:highlight w:val="none"/>
          <w:lang w:val="zh-CN"/>
        </w:rPr>
        <w:t>为</w:t>
      </w:r>
      <w:r>
        <w:rPr>
          <w:rFonts w:hint="eastAsia" w:ascii="宋体" w:hAnsi="宋体" w:cs="宋体"/>
          <w:color w:val="auto"/>
          <w:kern w:val="0"/>
          <w:sz w:val="28"/>
          <w:szCs w:val="28"/>
          <w:highlight w:val="none"/>
          <w:u w:val="single"/>
          <w:lang w:val="en-US" w:eastAsia="zh-CN"/>
        </w:rPr>
        <w:t>双菱电气类</w:t>
      </w:r>
      <w:r>
        <w:rPr>
          <w:rFonts w:hint="eastAsia" w:ascii="宋体" w:hAnsi="宋体" w:eastAsia="宋体" w:cs="宋体"/>
          <w:color w:val="auto"/>
          <w:kern w:val="0"/>
          <w:sz w:val="28"/>
          <w:szCs w:val="28"/>
          <w:highlight w:val="none"/>
          <w:u w:val="single"/>
          <w:lang w:val="en-US" w:eastAsia="zh-CN"/>
        </w:rPr>
        <w:t>备品备件</w:t>
      </w:r>
      <w:r>
        <w:rPr>
          <w:rFonts w:hint="eastAsia" w:ascii="宋体" w:hAnsi="宋体" w:eastAsia="宋体" w:cs="宋体"/>
          <w:color w:val="auto"/>
          <w:kern w:val="0"/>
          <w:sz w:val="28"/>
          <w:szCs w:val="28"/>
          <w:highlight w:val="none"/>
          <w:lang w:val="zh-CN"/>
        </w:rPr>
        <w:t>全新的原装产品，</w:t>
      </w:r>
      <w:r>
        <w:rPr>
          <w:rFonts w:hint="eastAsia" w:ascii="宋体" w:hAnsi="宋体" w:eastAsia="宋体" w:cs="宋体"/>
          <w:color w:val="auto"/>
          <w:kern w:val="0"/>
          <w:sz w:val="28"/>
          <w:szCs w:val="28"/>
          <w:highlight w:val="none"/>
        </w:rPr>
        <w:t>其</w:t>
      </w:r>
      <w:r>
        <w:rPr>
          <w:rFonts w:hint="eastAsia" w:ascii="宋体" w:hAnsi="宋体" w:eastAsia="宋体" w:cs="宋体"/>
          <w:color w:val="auto"/>
          <w:kern w:val="0"/>
          <w:sz w:val="28"/>
          <w:szCs w:val="28"/>
          <w:highlight w:val="none"/>
          <w:lang w:val="zh-CN"/>
        </w:rPr>
        <w:t>名称、型号、规格、数量、</w:t>
      </w:r>
      <w:r>
        <w:rPr>
          <w:rFonts w:hint="eastAsia" w:ascii="宋体" w:hAnsi="宋体" w:eastAsia="宋体" w:cs="宋体"/>
          <w:color w:val="auto"/>
          <w:kern w:val="0"/>
          <w:sz w:val="28"/>
          <w:szCs w:val="28"/>
          <w:highlight w:val="none"/>
          <w:lang w:val="en-US" w:eastAsia="zh-CN"/>
        </w:rPr>
        <w:t>品牌</w:t>
      </w:r>
      <w:r>
        <w:rPr>
          <w:rFonts w:hint="eastAsia" w:ascii="宋体" w:hAnsi="宋体" w:eastAsia="宋体" w:cs="宋体"/>
          <w:color w:val="auto"/>
          <w:kern w:val="0"/>
          <w:sz w:val="28"/>
          <w:szCs w:val="28"/>
          <w:highlight w:val="none"/>
          <w:lang w:val="zh-CN"/>
        </w:rPr>
        <w:t>详见</w:t>
      </w:r>
      <w:r>
        <w:rPr>
          <w:rFonts w:hint="eastAsia" w:ascii="宋体" w:hAnsi="宋体" w:eastAsia="宋体" w:cs="宋体"/>
          <w:color w:val="auto"/>
          <w:kern w:val="0"/>
          <w:sz w:val="28"/>
          <w:szCs w:val="28"/>
          <w:highlight w:val="none"/>
          <w:lang w:val="en-US" w:eastAsia="zh-CN"/>
        </w:rPr>
        <w:t>附件报价清单。</w:t>
      </w:r>
    </w:p>
    <w:p>
      <w:pPr>
        <w:keepNext w:val="0"/>
        <w:keepLines w:val="0"/>
        <w:pageBreakBefore w:val="0"/>
        <w:kinsoku/>
        <w:wordWrap/>
        <w:overflowPunct/>
        <w:topLinePunct w:val="0"/>
        <w:bidi w:val="0"/>
        <w:snapToGrid/>
        <w:spacing w:after="120" w:afterLines="50" w:line="24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第三条 交货日期及地点</w:t>
      </w:r>
    </w:p>
    <w:p>
      <w:pPr>
        <w:keepNext w:val="0"/>
        <w:keepLines w:val="0"/>
        <w:pageBreakBefore w:val="0"/>
        <w:kinsoku/>
        <w:wordWrap/>
        <w:overflowPunct/>
        <w:topLinePunct w:val="0"/>
        <w:bidi w:val="0"/>
        <w:snapToGrid/>
        <w:spacing w:after="120" w:afterLines="50" w:line="240" w:lineRule="auto"/>
        <w:ind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lang w:val="en-US" w:eastAsia="zh-CN"/>
        </w:rPr>
        <w:t>交货日期：</w:t>
      </w:r>
      <w:r>
        <w:rPr>
          <w:rFonts w:hint="eastAsia" w:ascii="宋体" w:hAnsi="宋体" w:eastAsia="宋体" w:cs="宋体"/>
          <w:color w:val="auto"/>
          <w:sz w:val="28"/>
          <w:szCs w:val="28"/>
          <w:highlight w:val="none"/>
          <w:u w:val="single"/>
          <w:lang w:eastAsia="zh-CN"/>
        </w:rPr>
        <w:t>合同生效后，收到甲方下单通知之日起30日内到货，并开箱验收合格。</w:t>
      </w:r>
    </w:p>
    <w:p>
      <w:pPr>
        <w:keepNext w:val="0"/>
        <w:keepLines w:val="0"/>
        <w:pageBreakBefore w:val="0"/>
        <w:kinsoku/>
        <w:wordWrap/>
        <w:overflowPunct/>
        <w:topLinePunct w:val="0"/>
        <w:bidi w:val="0"/>
        <w:snapToGrid/>
        <w:spacing w:after="0"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3.2交货地点：</w:t>
      </w:r>
      <w:r>
        <w:rPr>
          <w:rFonts w:hint="eastAsia" w:ascii="宋体" w:hAnsi="宋体" w:cs="宋体"/>
          <w:bCs/>
          <w:color w:val="auto"/>
          <w:sz w:val="28"/>
          <w:szCs w:val="28"/>
          <w:highlight w:val="none"/>
          <w:u w:val="single"/>
          <w:lang w:eastAsia="zh-CN"/>
        </w:rPr>
        <w:t>广州市净水有限公司猎德分公司</w:t>
      </w:r>
      <w:r>
        <w:rPr>
          <w:rFonts w:hint="eastAsia" w:ascii="宋体" w:hAnsi="宋体" w:eastAsia="宋体" w:cs="宋体"/>
          <w:bCs/>
          <w:color w:val="auto"/>
          <w:sz w:val="28"/>
          <w:szCs w:val="28"/>
          <w:highlight w:val="none"/>
          <w:u w:val="none"/>
          <w:lang w:val="en-US" w:eastAsia="zh-CN"/>
        </w:rPr>
        <w:t>，</w:t>
      </w:r>
      <w:r>
        <w:rPr>
          <w:rFonts w:hint="eastAsia" w:ascii="宋体" w:hAnsi="宋体" w:eastAsia="宋体" w:cs="宋体"/>
          <w:bCs/>
          <w:color w:val="auto"/>
          <w:sz w:val="28"/>
          <w:szCs w:val="28"/>
          <w:highlight w:val="none"/>
        </w:rPr>
        <w:t>最终具体交货地点以甲方通知为准。</w:t>
      </w:r>
    </w:p>
    <w:p>
      <w:pPr>
        <w:keepNext w:val="0"/>
        <w:keepLines w:val="0"/>
        <w:pageBreakBefore w:val="0"/>
        <w:kinsoku/>
        <w:wordWrap/>
        <w:overflowPunct/>
        <w:topLinePunct w:val="0"/>
        <w:bidi w:val="0"/>
        <w:snapToGrid/>
        <w:spacing w:after="120" w:afterLines="50" w:line="240" w:lineRule="auto"/>
        <w:ind w:firstLine="560"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Cs/>
          <w:color w:val="auto"/>
          <w:sz w:val="28"/>
          <w:szCs w:val="28"/>
          <w:highlight w:val="none"/>
        </w:rPr>
        <w:t>3.3 其他：</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after="0" w:line="240" w:lineRule="auto"/>
        <w:ind w:firstLine="562"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b/>
          <w:color w:val="auto"/>
          <w:sz w:val="28"/>
          <w:szCs w:val="28"/>
          <w:highlight w:val="none"/>
        </w:rPr>
        <w:t>第四条 合同价格</w:t>
      </w:r>
    </w:p>
    <w:p>
      <w:pPr>
        <w:keepNext w:val="0"/>
        <w:keepLines w:val="0"/>
        <w:pageBreakBefore w:val="0"/>
        <w:kinsoku/>
        <w:wordWrap/>
        <w:overflowPunct/>
        <w:topLinePunct w:val="0"/>
        <w:autoSpaceDE w:val="0"/>
        <w:autoSpaceDN w:val="0"/>
        <w:bidi w:val="0"/>
        <w:adjustRightInd w:val="0"/>
        <w:snapToGrid/>
        <w:spacing w:after="0" w:line="240" w:lineRule="auto"/>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 xml:space="preserve">4.1 </w:t>
      </w:r>
      <w:r>
        <w:rPr>
          <w:rFonts w:hint="eastAsia" w:ascii="宋体" w:hAnsi="宋体" w:eastAsia="宋体" w:cs="宋体"/>
          <w:color w:val="auto"/>
          <w:kern w:val="0"/>
          <w:sz w:val="28"/>
          <w:szCs w:val="28"/>
          <w:highlight w:val="none"/>
          <w:lang w:val="zh-CN"/>
        </w:rPr>
        <w:t>本合同</w:t>
      </w:r>
      <w:r>
        <w:rPr>
          <w:rFonts w:hint="eastAsia" w:ascii="宋体" w:hAnsi="宋体" w:eastAsia="宋体" w:cs="宋体"/>
          <w:color w:val="auto"/>
          <w:kern w:val="0"/>
          <w:sz w:val="28"/>
          <w:szCs w:val="28"/>
          <w:highlight w:val="none"/>
        </w:rPr>
        <w:t>暂定</w:t>
      </w:r>
      <w:r>
        <w:rPr>
          <w:rFonts w:hint="eastAsia" w:ascii="宋体" w:hAnsi="宋体" w:eastAsia="宋体" w:cs="宋体"/>
          <w:color w:val="auto"/>
          <w:kern w:val="0"/>
          <w:sz w:val="28"/>
          <w:szCs w:val="28"/>
          <w:highlight w:val="none"/>
          <w:lang w:val="zh-CN"/>
        </w:rPr>
        <w:t>总价为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zh-CN"/>
        </w:rPr>
        <w:t>万元，（人民币）大写：</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zh-CN"/>
        </w:rPr>
        <w:t xml:space="preserve">。 </w:t>
      </w:r>
    </w:p>
    <w:p>
      <w:pPr>
        <w:keepNext w:val="0"/>
        <w:keepLines w:val="0"/>
        <w:pageBreakBefore w:val="0"/>
        <w:kinsoku/>
        <w:wordWrap/>
        <w:overflowPunct/>
        <w:topLinePunct w:val="0"/>
        <w:autoSpaceDE w:val="0"/>
        <w:autoSpaceDN w:val="0"/>
        <w:bidi w:val="0"/>
        <w:adjustRightInd w:val="0"/>
        <w:snapToGrid/>
        <w:spacing w:after="0" w:line="240" w:lineRule="auto"/>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.2</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zh-CN"/>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auto"/>
          <w:kern w:val="0"/>
          <w:sz w:val="28"/>
          <w:szCs w:val="28"/>
          <w:highlight w:val="none"/>
          <w:u w:val="single"/>
          <w:lang w:val="zh-CN"/>
        </w:rPr>
        <w:t>指导安装调试运行</w:t>
      </w:r>
      <w:r>
        <w:rPr>
          <w:rFonts w:hint="eastAsia" w:ascii="宋体" w:hAnsi="宋体" w:eastAsia="宋体" w:cs="宋体"/>
          <w:color w:val="auto"/>
          <w:kern w:val="0"/>
          <w:sz w:val="28"/>
          <w:szCs w:val="28"/>
          <w:highlight w:val="none"/>
          <w:u w:val="none"/>
          <w:lang w:val="zh-CN"/>
        </w:rPr>
        <w:t>（</w:t>
      </w:r>
      <w:r>
        <w:rPr>
          <w:rFonts w:hint="eastAsia" w:ascii="宋体" w:hAnsi="宋体" w:eastAsia="宋体" w:cs="宋体"/>
          <w:color w:val="auto"/>
          <w:kern w:val="0"/>
          <w:sz w:val="28"/>
          <w:szCs w:val="28"/>
          <w:highlight w:val="none"/>
          <w:lang w:val="zh-CN"/>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24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.3</w:t>
      </w:r>
      <w:r>
        <w:rPr>
          <w:rFonts w:hint="eastAsia" w:ascii="宋体" w:hAnsi="宋体" w:eastAsia="宋体" w:cs="宋体"/>
          <w:color w:val="auto"/>
          <w:kern w:val="0"/>
          <w:sz w:val="28"/>
          <w:szCs w:val="28"/>
          <w:highlight w:val="none"/>
        </w:rPr>
        <w:t xml:space="preserve"> 本合同约定的价格为含税价价格</w:t>
      </w:r>
      <w:r>
        <w:rPr>
          <w:rFonts w:hint="eastAsia" w:ascii="宋体" w:hAnsi="宋体" w:eastAsia="宋体" w:cs="宋体"/>
          <w:color w:val="auto"/>
          <w:sz w:val="28"/>
          <w:szCs w:val="28"/>
          <w:highlight w:val="none"/>
        </w:rPr>
        <w:t>（税率</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24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第五条 支付方式</w:t>
      </w:r>
    </w:p>
    <w:p>
      <w:pPr>
        <w:keepNext w:val="0"/>
        <w:keepLines w:val="0"/>
        <w:pageBreakBefore w:val="0"/>
        <w:tabs>
          <w:tab w:val="left" w:pos="851"/>
        </w:tabs>
        <w:kinsoku/>
        <w:wordWrap/>
        <w:overflowPunct/>
        <w:topLinePunct w:val="0"/>
        <w:bidi w:val="0"/>
        <w:adjustRightInd w:val="0"/>
        <w:snapToGrid/>
        <w:spacing w:after="0"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w:t>
      </w:r>
      <w:r>
        <w:rPr>
          <w:rFonts w:hint="eastAsia" w:ascii="宋体" w:hAnsi="宋体" w:eastAsia="宋体" w:cs="宋体"/>
          <w:bCs/>
          <w:color w:val="auto"/>
          <w:sz w:val="28"/>
          <w:szCs w:val="28"/>
          <w:highlight w:val="none"/>
        </w:rPr>
        <w:t>预付款的支付：</w:t>
      </w:r>
      <w:r>
        <w:rPr>
          <w:rFonts w:hint="eastAsia" w:ascii="宋体" w:hAnsi="宋体" w:eastAsia="宋体" w:cs="宋体"/>
          <w:color w:val="auto"/>
          <w:sz w:val="28"/>
          <w:szCs w:val="28"/>
          <w:highlight w:val="none"/>
        </w:rPr>
        <w:sym w:font="Wingdings 2" w:char="00A3"/>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sym w:font="Wingdings 2" w:char="0052"/>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lang w:val="en-US" w:eastAsia="zh-CN"/>
        </w:rPr>
        <w:t>，</w:t>
      </w:r>
      <w:r>
        <w:rPr>
          <w:rFonts w:hint="eastAsia" w:ascii="宋体" w:hAnsi="宋体" w:eastAsia="宋体" w:cs="宋体"/>
          <w:bCs/>
          <w:color w:val="auto"/>
          <w:sz w:val="28"/>
          <w:szCs w:val="28"/>
          <w:highlight w:val="none"/>
        </w:rPr>
        <w:t>合同签订后，乙方开具等额的增值税专用发票</w:t>
      </w:r>
      <w:r>
        <w:rPr>
          <w:rFonts w:hint="eastAsia" w:ascii="宋体" w:hAnsi="宋体" w:eastAsia="宋体" w:cs="宋体"/>
          <w:bCs/>
          <w:color w:val="auto"/>
          <w:sz w:val="28"/>
          <w:szCs w:val="28"/>
          <w:highlight w:val="none"/>
          <w:u w:val="single"/>
        </w:rPr>
        <w:t>及</w:t>
      </w:r>
      <w:r>
        <w:rPr>
          <w:rFonts w:hint="eastAsia" w:ascii="宋体" w:hAnsi="宋体" w:eastAsia="宋体" w:cs="宋体"/>
          <w:bCs/>
          <w:color w:val="auto"/>
          <w:sz w:val="28"/>
          <w:szCs w:val="28"/>
          <w:highlight w:val="none"/>
          <w:u w:val="single"/>
          <w:lang w:eastAsia="zh-CN"/>
        </w:rPr>
        <w:t>提交预付款担保</w:t>
      </w:r>
      <w:r>
        <w:rPr>
          <w:rFonts w:hint="eastAsia" w:ascii="宋体" w:hAnsi="宋体" w:eastAsia="宋体" w:cs="宋体"/>
          <w:bCs/>
          <w:color w:val="auto"/>
          <w:sz w:val="28"/>
          <w:szCs w:val="28"/>
          <w:highlight w:val="none"/>
          <w:u w:val="single"/>
          <w:lang w:val="en-US" w:eastAsia="zh-CN"/>
        </w:rPr>
        <w:t>/履约担保（如需）</w:t>
      </w:r>
      <w:r>
        <w:rPr>
          <w:rFonts w:hint="eastAsia" w:ascii="宋体" w:hAnsi="宋体" w:eastAsia="宋体" w:cs="宋体"/>
          <w:bCs/>
          <w:color w:val="auto"/>
          <w:sz w:val="28"/>
          <w:szCs w:val="28"/>
          <w:highlight w:val="none"/>
        </w:rPr>
        <w:t>后</w:t>
      </w:r>
      <w:r>
        <w:rPr>
          <w:rFonts w:hint="eastAsia" w:ascii="宋体" w:hAnsi="宋体" w:eastAsia="宋体" w:cs="宋体"/>
          <w:bCs/>
          <w:color w:val="auto"/>
          <w:sz w:val="28"/>
          <w:szCs w:val="28"/>
          <w:highlight w:val="none"/>
          <w:u w:val="single"/>
        </w:rPr>
        <w:t>10</w:t>
      </w:r>
      <w:r>
        <w:rPr>
          <w:rFonts w:hint="eastAsia" w:ascii="宋体" w:hAnsi="宋体" w:eastAsia="宋体" w:cs="宋体"/>
          <w:bCs/>
          <w:color w:val="auto"/>
          <w:sz w:val="28"/>
          <w:szCs w:val="28"/>
          <w:highlight w:val="none"/>
        </w:rPr>
        <w:t>个工作日内，</w:t>
      </w:r>
      <w:r>
        <w:rPr>
          <w:rFonts w:hint="eastAsia" w:ascii="宋体" w:hAnsi="宋体" w:cs="宋体"/>
          <w:i w:val="0"/>
          <w:iCs w:val="0"/>
          <w:color w:val="auto"/>
          <w:sz w:val="28"/>
          <w:szCs w:val="28"/>
          <w:highlight w:val="none"/>
          <w:u w:val="single"/>
          <w:lang w:eastAsia="zh-CN"/>
        </w:rPr>
        <w:t>甲方属下猎德分公司</w:t>
      </w:r>
      <w:r>
        <w:rPr>
          <w:rFonts w:hint="eastAsia" w:ascii="宋体" w:hAnsi="宋体" w:eastAsia="宋体" w:cs="宋体"/>
          <w:bCs/>
          <w:color w:val="auto"/>
          <w:sz w:val="28"/>
          <w:szCs w:val="28"/>
          <w:highlight w:val="none"/>
        </w:rPr>
        <w:t xml:space="preserve">支付合同暂定总价的 </w:t>
      </w:r>
      <w:r>
        <w:rPr>
          <w:rFonts w:hint="eastAsia" w:ascii="宋体" w:hAnsi="宋体" w:cs="宋体"/>
          <w:bCs/>
          <w:color w:val="auto"/>
          <w:sz w:val="28"/>
          <w:szCs w:val="28"/>
          <w:highlight w:val="none"/>
          <w:u w:val="single"/>
          <w:lang w:val="en-US" w:eastAsia="zh-CN"/>
        </w:rPr>
        <w:t>10</w:t>
      </w:r>
      <w:r>
        <w:rPr>
          <w:rFonts w:hint="eastAsia" w:ascii="宋体" w:hAnsi="宋体" w:eastAsia="宋体" w:cs="宋体"/>
          <w:bCs/>
          <w:color w:val="auto"/>
          <w:sz w:val="28"/>
          <w:szCs w:val="28"/>
          <w:highlight w:val="none"/>
          <w:u w:val="single"/>
          <w:lang w:val="en-US" w:eastAsia="zh-CN"/>
        </w:rPr>
        <w:t>%</w:t>
      </w:r>
      <w:r>
        <w:rPr>
          <w:rFonts w:hint="eastAsia" w:ascii="宋体" w:hAnsi="宋体" w:eastAsia="宋体" w:cs="宋体"/>
          <w:color w:val="auto"/>
          <w:sz w:val="28"/>
          <w:szCs w:val="28"/>
          <w:highlight w:val="none"/>
        </w:rPr>
        <w:t>即</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元，（大写：</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bCs/>
          <w:color w:val="auto"/>
          <w:sz w:val="28"/>
          <w:szCs w:val="28"/>
          <w:highlight w:val="none"/>
        </w:rPr>
        <w:t>作为预付款</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若合同解除或终止，乙方在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个工作日内返还预付款（无息）。</w:t>
      </w:r>
      <w:r>
        <w:rPr>
          <w:rFonts w:hint="eastAsia" w:ascii="宋体" w:hAnsi="宋体" w:eastAsia="宋体" w:cs="宋体"/>
          <w:bCs/>
          <w:color w:val="auto"/>
          <w:kern w:val="0"/>
          <w:sz w:val="28"/>
          <w:szCs w:val="28"/>
          <w:highlight w:val="none"/>
        </w:rPr>
        <w:t>逾期未返还，每逾期一天，乙方应按合同暂定总价的</w:t>
      </w:r>
      <w:r>
        <w:rPr>
          <w:rFonts w:hint="eastAsia" w:ascii="宋体" w:hAnsi="宋体" w:eastAsia="宋体" w:cs="宋体"/>
          <w:bCs/>
          <w:color w:val="auto"/>
          <w:kern w:val="0"/>
          <w:sz w:val="28"/>
          <w:szCs w:val="28"/>
          <w:highlight w:val="none"/>
          <w:u w:val="single"/>
        </w:rPr>
        <w:t>万分之五/天</w:t>
      </w:r>
      <w:r>
        <w:rPr>
          <w:rFonts w:hint="eastAsia" w:ascii="宋体" w:hAnsi="宋体" w:eastAsia="宋体" w:cs="宋体"/>
          <w:bCs/>
          <w:color w:val="auto"/>
          <w:kern w:val="0"/>
          <w:sz w:val="28"/>
          <w:szCs w:val="28"/>
          <w:highlight w:val="none"/>
        </w:rPr>
        <w:t>支付违约金</w:t>
      </w:r>
      <w:r>
        <w:rPr>
          <w:rFonts w:hint="eastAsia" w:ascii="宋体" w:hAnsi="宋体" w:eastAsia="宋体" w:cs="宋体"/>
          <w:color w:val="auto"/>
          <w:sz w:val="28"/>
          <w:szCs w:val="28"/>
          <w:highlight w:val="none"/>
        </w:rPr>
        <w:t>。</w:t>
      </w:r>
    </w:p>
    <w:p>
      <w:pPr>
        <w:keepNext w:val="0"/>
        <w:keepLines w:val="0"/>
        <w:pageBreakBefore w:val="0"/>
        <w:tabs>
          <w:tab w:val="left" w:pos="851"/>
        </w:tabs>
        <w:kinsoku/>
        <w:wordWrap/>
        <w:overflowPunct/>
        <w:topLinePunct w:val="0"/>
        <w:bidi w:val="0"/>
        <w:adjustRightInd w:val="0"/>
        <w:snapToGrid/>
        <w:spacing w:after="0" w:line="240" w:lineRule="auto"/>
        <w:ind w:left="479" w:leftChars="228" w:firstLine="0" w:firstLine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5.2 支付方式</w:t>
      </w:r>
    </w:p>
    <w:p>
      <w:pPr>
        <w:keepNext w:val="0"/>
        <w:keepLines w:val="0"/>
        <w:pageBreakBefore w:val="0"/>
        <w:tabs>
          <w:tab w:val="left" w:pos="851"/>
        </w:tabs>
        <w:kinsoku/>
        <w:wordWrap/>
        <w:overflowPunct/>
        <w:topLinePunct w:val="0"/>
        <w:bidi w:val="0"/>
        <w:adjustRightInd w:val="0"/>
        <w:snapToGrid/>
        <w:spacing w:after="0"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5.2.1乙方按时交付合同货物后，</w:t>
      </w:r>
      <w:r>
        <w:rPr>
          <w:rFonts w:hint="eastAsia" w:ascii="宋体" w:hAnsi="宋体" w:cs="宋体"/>
          <w:i w:val="0"/>
          <w:iCs w:val="0"/>
          <w:color w:val="auto"/>
          <w:sz w:val="28"/>
          <w:szCs w:val="28"/>
          <w:highlight w:val="none"/>
          <w:u w:val="single"/>
          <w:lang w:eastAsia="zh-CN"/>
        </w:rPr>
        <w:t>甲方属下猎德分公司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。当预付款不足抵扣时，</w:t>
      </w:r>
      <w:r>
        <w:rPr>
          <w:rFonts w:hint="eastAsia" w:ascii="宋体" w:hAnsi="宋体" w:cs="宋体"/>
          <w:i w:val="0"/>
          <w:iCs w:val="0"/>
          <w:color w:val="auto"/>
          <w:sz w:val="28"/>
          <w:szCs w:val="28"/>
          <w:highlight w:val="none"/>
          <w:u w:val="single"/>
          <w:lang w:eastAsia="zh-CN"/>
        </w:rPr>
        <w:t>甲方属下猎德分公司</w:t>
      </w:r>
      <w:r>
        <w:rPr>
          <w:rFonts w:hint="eastAsia" w:ascii="宋体" w:hAnsi="宋体" w:eastAsia="宋体" w:cs="宋体"/>
          <w:color w:val="auto"/>
          <w:sz w:val="28"/>
          <w:szCs w:val="28"/>
          <w:highlight w:val="none"/>
        </w:rPr>
        <w:t>在该部分设备经检验合格及收到等额的增值税专用发票后</w:t>
      </w:r>
      <w:r>
        <w:rPr>
          <w:rFonts w:hint="eastAsia" w:ascii="宋体" w:hAnsi="宋体" w:eastAsia="宋体" w:cs="宋体"/>
          <w:color w:val="auto"/>
          <w:sz w:val="28"/>
          <w:szCs w:val="28"/>
          <w:highlight w:val="none"/>
          <w:u w:val="single"/>
        </w:rPr>
        <w:t>28</w:t>
      </w:r>
      <w:r>
        <w:rPr>
          <w:rFonts w:hint="eastAsia" w:ascii="宋体" w:hAnsi="宋体" w:eastAsia="宋体" w:cs="宋体"/>
          <w:color w:val="auto"/>
          <w:sz w:val="28"/>
          <w:szCs w:val="28"/>
          <w:highlight w:val="none"/>
        </w:rPr>
        <w:t>日内向乙方支付至该批次设备合同价格的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5.2.2乙方按合同约定交付全部合同设备后，经甲方结算审核后，</w:t>
      </w:r>
      <w:r>
        <w:rPr>
          <w:rFonts w:hint="eastAsia" w:ascii="宋体" w:hAnsi="宋体" w:cs="宋体"/>
          <w:i w:val="0"/>
          <w:iCs w:val="0"/>
          <w:color w:val="auto"/>
          <w:sz w:val="28"/>
          <w:szCs w:val="28"/>
          <w:highlight w:val="none"/>
          <w:u w:val="single"/>
          <w:lang w:eastAsia="zh-CN"/>
        </w:rPr>
        <w:t>甲方属下猎德分公司</w:t>
      </w:r>
      <w:r>
        <w:rPr>
          <w:rFonts w:hint="eastAsia" w:ascii="宋体" w:hAnsi="宋体" w:eastAsia="宋体" w:cs="宋体"/>
          <w:color w:val="auto"/>
          <w:sz w:val="28"/>
          <w:szCs w:val="28"/>
          <w:highlight w:val="none"/>
        </w:rPr>
        <w:t>收到等额的增值税专用发票后</w:t>
      </w:r>
      <w:r>
        <w:rPr>
          <w:rFonts w:hint="eastAsia" w:ascii="宋体" w:hAnsi="宋体" w:eastAsia="宋体" w:cs="宋体"/>
          <w:color w:val="auto"/>
          <w:sz w:val="28"/>
          <w:szCs w:val="28"/>
          <w:highlight w:val="none"/>
          <w:u w:val="single"/>
        </w:rPr>
        <w:t>15</w:t>
      </w:r>
      <w:r>
        <w:rPr>
          <w:rFonts w:hint="eastAsia" w:ascii="宋体" w:hAnsi="宋体" w:eastAsia="宋体" w:cs="宋体"/>
          <w:color w:val="auto"/>
          <w:sz w:val="28"/>
          <w:szCs w:val="28"/>
          <w:highlight w:val="none"/>
        </w:rPr>
        <w:t>个工作日内，支付至合同结算</w:t>
      </w:r>
      <w:r>
        <w:rPr>
          <w:rFonts w:hint="eastAsia" w:ascii="宋体" w:hAnsi="宋体" w:cs="宋体"/>
          <w:color w:val="auto"/>
          <w:sz w:val="28"/>
          <w:szCs w:val="28"/>
          <w:highlight w:val="none"/>
          <w:lang w:val="en-US" w:eastAsia="zh-CN"/>
        </w:rPr>
        <w:t>审定</w:t>
      </w:r>
      <w:r>
        <w:rPr>
          <w:rFonts w:hint="eastAsia" w:ascii="宋体" w:hAnsi="宋体" w:eastAsia="宋体" w:cs="宋体"/>
          <w:color w:val="auto"/>
          <w:sz w:val="28"/>
          <w:szCs w:val="28"/>
          <w:highlight w:val="none"/>
        </w:rPr>
        <w:t>价的95%（含预付款）（若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审核价低于合同暂定总价，则以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审核价作为合同结算价，否则以合同暂定总价为合同结算价），合同结算价的5%作为质保金留存。</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5.2.3质保期按合同规定执行，质保期满且乙方不存在违约情形，乙方提交请款资料及等额增值税专用发票，甲方审核无误后在</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个工作日内支付合同结算价的5％（质保金）给乙方(无息)。</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乙方收款账户：</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240" w:lineRule="auto"/>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收款账号：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240" w:lineRule="auto"/>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乙方在收款前需向甲方提交等额增值税专用发票，增值税专用发票信息：</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名称：广州市净水有限公司</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税号：</w:t>
      </w:r>
      <w:r>
        <w:rPr>
          <w:rFonts w:hint="eastAsia" w:ascii="宋体" w:hAnsi="宋体" w:eastAsia="宋体" w:cs="宋体"/>
          <w:color w:val="auto"/>
          <w:sz w:val="28"/>
          <w:szCs w:val="28"/>
          <w:highlight w:val="none"/>
          <w:u w:val="single"/>
        </w:rPr>
        <w:t>91440101755584729Q</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地址及电话：</w:t>
      </w:r>
      <w:r>
        <w:rPr>
          <w:rFonts w:hint="eastAsia" w:ascii="宋体" w:hAnsi="宋体" w:eastAsia="宋体" w:cs="宋体"/>
          <w:color w:val="auto"/>
          <w:sz w:val="28"/>
          <w:szCs w:val="28"/>
          <w:highlight w:val="none"/>
          <w:u w:val="single"/>
        </w:rPr>
        <w:t>广州市天河区临江大道501号 020-38890283</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开户行/账号：</w:t>
      </w:r>
      <w:r>
        <w:rPr>
          <w:rFonts w:hint="eastAsia" w:ascii="宋体" w:hAnsi="宋体" w:eastAsia="宋体" w:cs="宋体"/>
          <w:color w:val="auto"/>
          <w:sz w:val="28"/>
          <w:szCs w:val="28"/>
          <w:highlight w:val="none"/>
          <w:u w:val="single"/>
        </w:rPr>
        <w:t>民生银行广州分行0301014140006932</w:t>
      </w:r>
      <w:r>
        <w:rPr>
          <w:rFonts w:hint="eastAsia" w:ascii="宋体" w:hAnsi="宋体" w:eastAsia="宋体" w:cs="宋体"/>
          <w:color w:val="auto"/>
          <w:sz w:val="28"/>
          <w:szCs w:val="28"/>
          <w:highlight w:val="none"/>
        </w:rPr>
        <w:t>。</w:t>
      </w:r>
    </w:p>
    <w:p>
      <w:pPr>
        <w:keepNext w:val="0"/>
        <w:keepLines w:val="0"/>
        <w:pageBreakBefore w:val="0"/>
        <w:tabs>
          <w:tab w:val="left" w:pos="851"/>
        </w:tabs>
        <w:kinsoku/>
        <w:wordWrap/>
        <w:overflowPunct/>
        <w:topLinePunct w:val="0"/>
        <w:bidi w:val="0"/>
        <w:adjustRightInd w:val="0"/>
        <w:snapToGrid/>
        <w:spacing w:line="240" w:lineRule="auto"/>
        <w:ind w:firstLine="560" w:firstLineChars="200"/>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5.3付款方式： </w:t>
      </w:r>
      <w:r>
        <w:rPr>
          <w:rFonts w:hint="eastAsia" w:ascii="宋体" w:hAnsi="宋体" w:eastAsia="宋体" w:cs="宋体"/>
          <w:color w:val="auto"/>
          <w:sz w:val="28"/>
          <w:szCs w:val="28"/>
          <w:highlight w:val="none"/>
        </w:rPr>
        <w:sym w:font="Wingdings" w:char="00FE"/>
      </w:r>
      <w:r>
        <w:rPr>
          <w:rFonts w:hint="eastAsia" w:ascii="宋体" w:hAnsi="宋体" w:eastAsia="宋体" w:cs="宋体"/>
          <w:color w:val="auto"/>
          <w:sz w:val="28"/>
          <w:szCs w:val="28"/>
          <w:highlight w:val="none"/>
        </w:rPr>
        <w:t xml:space="preserve">网银支付；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支票；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其他：       </w:t>
      </w:r>
    </w:p>
    <w:p>
      <w:pPr>
        <w:keepNext w:val="0"/>
        <w:keepLines w:val="0"/>
        <w:pageBreakBefore w:val="0"/>
        <w:numPr>
          <w:ilvl w:val="0"/>
          <w:numId w:val="3"/>
        </w:numPr>
        <w:kinsoku/>
        <w:wordWrap/>
        <w:overflowPunct/>
        <w:topLinePunct w:val="0"/>
        <w:autoSpaceDE w:val="0"/>
        <w:autoSpaceDN w:val="0"/>
        <w:bidi w:val="0"/>
        <w:adjustRightInd w:val="0"/>
        <w:snapToGrid/>
        <w:spacing w:after="0" w:line="24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履约担保</w:t>
      </w:r>
      <w:r>
        <w:rPr>
          <w:rFonts w:hint="eastAsia" w:ascii="宋体" w:hAnsi="宋体" w:cs="宋体"/>
          <w:b/>
          <w:color w:val="auto"/>
          <w:sz w:val="28"/>
          <w:szCs w:val="28"/>
          <w:highlight w:val="none"/>
          <w:lang w:val="en-US" w:eastAsia="zh-CN"/>
        </w:rPr>
        <w:t>及预付款保函</w:t>
      </w:r>
    </w:p>
    <w:p>
      <w:pPr>
        <w:keepNext w:val="0"/>
        <w:keepLines w:val="0"/>
        <w:pageBreakBefore w:val="0"/>
        <w:kinsoku/>
        <w:wordWrap/>
        <w:overflowPunct/>
        <w:topLinePunct w:val="0"/>
        <w:bidi w:val="0"/>
        <w:snapToGrid/>
        <w:spacing w:after="0" w:line="240" w:lineRule="auto"/>
        <w:ind w:firstLine="560" w:firstLineChars="200"/>
        <w:textAlignment w:val="auto"/>
        <w:outlineLvl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履约担保：</w:t>
      </w:r>
      <w:r>
        <w:rPr>
          <w:rFonts w:hint="eastAsia" w:ascii="宋体" w:hAnsi="宋体" w:eastAsia="宋体" w:cs="宋体"/>
          <w:color w:val="auto"/>
          <w:sz w:val="28"/>
          <w:szCs w:val="28"/>
          <w:highlight w:val="none"/>
        </w:rPr>
        <w:sym w:font="Wingdings" w:char="00A8"/>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sym w:font="Wingdings" w:char="00FE"/>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rPr>
        <w:t>本合同签订后10日内</w:t>
      </w:r>
      <w:r>
        <w:rPr>
          <w:rFonts w:hint="eastAsia" w:ascii="宋体" w:hAnsi="宋体" w:eastAsia="宋体" w:cs="宋体"/>
          <w:color w:val="auto"/>
          <w:sz w:val="28"/>
          <w:szCs w:val="28"/>
          <w:highlight w:val="none"/>
          <w:u w:val="single"/>
        </w:rPr>
        <w:t>以合同暂定总价的10%作为履约保证金，</w:t>
      </w:r>
      <w:r>
        <w:rPr>
          <w:rFonts w:hint="eastAsia" w:ascii="宋体" w:hAnsi="宋体" w:eastAsia="宋体" w:cs="宋体"/>
          <w:color w:val="auto"/>
          <w:sz w:val="28"/>
          <w:szCs w:val="28"/>
          <w:highlight w:val="none"/>
        </w:rPr>
        <w:t>金额为：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（大写人民币：</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w:t>
      </w:r>
    </w:p>
    <w:p>
      <w:pPr>
        <w:pStyle w:val="20"/>
        <w:keepNext w:val="0"/>
        <w:keepLines w:val="0"/>
        <w:pageBreakBefore w:val="0"/>
        <w:kinsoku/>
        <w:wordWrap/>
        <w:overflowPunct/>
        <w:topLinePunct w:val="0"/>
        <w:bidi w:val="0"/>
        <w:snapToGrid/>
        <w:spacing w:before="0" w:beforeAutospacing="0" w:after="0" w:afterAutospacing="0" w:line="240" w:lineRule="auto"/>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6.2履约担保按以下任一种形式提供：</w:t>
      </w:r>
    </w:p>
    <w:p>
      <w:pPr>
        <w:pStyle w:val="20"/>
        <w:keepNext w:val="0"/>
        <w:keepLines w:val="0"/>
        <w:pageBreakBefore w:val="0"/>
        <w:kinsoku/>
        <w:wordWrap/>
        <w:overflowPunct/>
        <w:topLinePunct w:val="0"/>
        <w:bidi w:val="0"/>
        <w:snapToGrid/>
        <w:spacing w:before="0" w:beforeAutospacing="0" w:after="0" w:afterAutospacing="0" w:line="240" w:lineRule="auto"/>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1、符合甲方要求（详见附件保函格式）的银行独立保函，</w:t>
      </w:r>
    </w:p>
    <w:p>
      <w:pPr>
        <w:pStyle w:val="20"/>
        <w:keepNext w:val="0"/>
        <w:keepLines w:val="0"/>
        <w:pageBreakBefore w:val="0"/>
        <w:kinsoku/>
        <w:wordWrap/>
        <w:overflowPunct/>
        <w:topLinePunct w:val="0"/>
        <w:bidi w:val="0"/>
        <w:snapToGrid/>
        <w:spacing w:before="0" w:beforeAutospacing="0" w:after="0" w:afterAutospacing="0" w:line="240" w:lineRule="auto"/>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2、现金转账至甲方以下指定账户：</w:t>
      </w:r>
    </w:p>
    <w:p>
      <w:pPr>
        <w:keepNext w:val="0"/>
        <w:keepLines w:val="0"/>
        <w:pageBreakBefore w:val="0"/>
        <w:tabs>
          <w:tab w:val="left" w:pos="1995"/>
        </w:tabs>
        <w:kinsoku/>
        <w:wordWrap/>
        <w:overflowPunct/>
        <w:topLinePunct w:val="0"/>
        <w:bidi w:val="0"/>
        <w:snapToGrid/>
        <w:spacing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户名：广州市净水有限公司</w:t>
      </w:r>
    </w:p>
    <w:p>
      <w:pPr>
        <w:keepNext w:val="0"/>
        <w:keepLines w:val="0"/>
        <w:pageBreakBefore w:val="0"/>
        <w:tabs>
          <w:tab w:val="left" w:pos="1995"/>
        </w:tabs>
        <w:kinsoku/>
        <w:wordWrap/>
        <w:overflowPunct/>
        <w:topLinePunct w:val="0"/>
        <w:bidi w:val="0"/>
        <w:snapToGrid/>
        <w:spacing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账号：82010154900000342</w:t>
      </w:r>
    </w:p>
    <w:p>
      <w:pPr>
        <w:keepNext w:val="0"/>
        <w:keepLines w:val="0"/>
        <w:pageBreakBefore w:val="0"/>
        <w:tabs>
          <w:tab w:val="left" w:pos="1995"/>
        </w:tabs>
        <w:kinsoku/>
        <w:wordWrap/>
        <w:overflowPunct/>
        <w:topLinePunct w:val="0"/>
        <w:bidi w:val="0"/>
        <w:snapToGrid/>
        <w:spacing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开户行：浦发银行广州分行</w:t>
      </w:r>
    </w:p>
    <w:p>
      <w:pPr>
        <w:keepNext w:val="0"/>
        <w:keepLines w:val="0"/>
        <w:pageBreakBefore w:val="0"/>
        <w:kinsoku/>
        <w:wordWrap/>
        <w:overflowPunct/>
        <w:topLinePunct w:val="0"/>
        <w:bidi w:val="0"/>
        <w:snapToGrid/>
        <w:spacing w:line="240" w:lineRule="auto"/>
        <w:ind w:firstLine="48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履约担保的担保期限和返还</w:t>
      </w:r>
    </w:p>
    <w:p>
      <w:pPr>
        <w:keepNext w:val="0"/>
        <w:keepLines w:val="0"/>
        <w:pageBreakBefore w:val="0"/>
        <w:kinsoku/>
        <w:wordWrap/>
        <w:overflowPunct/>
        <w:topLinePunct w:val="0"/>
        <w:bidi w:val="0"/>
        <w:snapToGrid/>
        <w:spacing w:line="240" w:lineRule="auto"/>
        <w:ind w:firstLine="48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240" w:lineRule="auto"/>
        <w:ind w:firstLine="560" w:firstLineChars="20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6.6</w:t>
      </w:r>
      <w:r>
        <w:rPr>
          <w:rFonts w:hint="eastAsia" w:ascii="宋体" w:hAnsi="宋体" w:eastAsia="宋体" w:cs="宋体"/>
          <w:color w:val="auto"/>
          <w:sz w:val="28"/>
          <w:szCs w:val="28"/>
          <w:highlight w:val="none"/>
        </w:rPr>
        <w:t>延长担保期限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履约银行保函形式提交履约保证金的，在银行保函到期前，乙方应提前</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天向甲方提交新的保函以替换即将到期的保函。如乙方未及时提交的，甲方有权直接要求担保银行支付其担保的全部金额并解除合同。</w:t>
      </w:r>
    </w:p>
    <w:p>
      <w:pPr>
        <w:pStyle w:val="20"/>
        <w:keepNext w:val="0"/>
        <w:keepLines w:val="0"/>
        <w:pageBreakBefore w:val="0"/>
        <w:kinsoku/>
        <w:wordWrap/>
        <w:overflowPunct/>
        <w:topLinePunct w:val="0"/>
        <w:bidi w:val="0"/>
        <w:snapToGrid/>
        <w:spacing w:before="0" w:beforeAutospacing="0" w:after="0" w:afterAutospacing="0" w:line="240" w:lineRule="auto"/>
        <w:ind w:firstLine="52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6.7</w:t>
      </w:r>
      <w:r>
        <w:rPr>
          <w:rFonts w:hint="eastAsia" w:ascii="宋体" w:hAnsi="宋体" w:eastAsia="宋体" w:cs="宋体"/>
          <w:color w:val="auto"/>
          <w:sz w:val="28"/>
          <w:szCs w:val="28"/>
          <w:highlight w:val="none"/>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6.8</w:t>
      </w:r>
      <w:r>
        <w:rPr>
          <w:rFonts w:hint="eastAsia" w:ascii="宋体" w:hAnsi="宋体" w:eastAsia="宋体" w:cs="宋体"/>
          <w:color w:val="auto"/>
          <w:sz w:val="28"/>
          <w:szCs w:val="28"/>
          <w:highlight w:val="none"/>
        </w:rPr>
        <w:t>甲方按合同约定提取履约担保金额后，乙方应在收到甲方通知后</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天内补足数额，逾期未补足，则甲方有权提取履约担保的全部余额并解除合同。</w:t>
      </w:r>
    </w:p>
    <w:p>
      <w:pPr>
        <w:spacing w:line="240" w:lineRule="auto"/>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6.9预付款保函</w:t>
      </w:r>
    </w:p>
    <w:p>
      <w:pPr>
        <w:spacing w:line="240" w:lineRule="auto"/>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6.9.1预付款保函的担保金额应与预付款金额相同。预付款保函的担保金额可根据完成的工作量的金额相应递减。</w:t>
      </w:r>
    </w:p>
    <w:p>
      <w:pPr>
        <w:pStyle w:val="7"/>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6.9.2预付款保函应与甲方确认相应完成的工作量后</w:t>
      </w:r>
      <w:r>
        <w:rPr>
          <w:rFonts w:hint="eastAsia" w:ascii="宋体" w:hAnsi="宋体" w:eastAsia="宋体" w:cs="宋体"/>
          <w:color w:val="auto"/>
          <w:sz w:val="28"/>
          <w:szCs w:val="28"/>
          <w:highlight w:val="none"/>
          <w:u w:val="single"/>
          <w:lang w:val="en-US" w:eastAsia="zh-CN"/>
        </w:rPr>
        <w:t>14天</w:t>
      </w:r>
      <w:r>
        <w:rPr>
          <w:rFonts w:hint="eastAsia" w:ascii="宋体" w:hAnsi="宋体" w:eastAsia="宋体" w:cs="宋体"/>
          <w:color w:val="auto"/>
          <w:sz w:val="28"/>
          <w:szCs w:val="28"/>
          <w:highlight w:val="none"/>
          <w:lang w:val="en-US" w:eastAsia="zh-CN"/>
        </w:rPr>
        <w:t>内退还给乙方。甲方不承当乙方与预付款保函有关的任何利息或其他类似的费用或收益。</w:t>
      </w:r>
    </w:p>
    <w:p>
      <w:pPr>
        <w:keepNext w:val="0"/>
        <w:keepLines w:val="0"/>
        <w:pageBreakBefore w:val="0"/>
        <w:kinsoku/>
        <w:wordWrap/>
        <w:overflowPunct/>
        <w:topLinePunct w:val="0"/>
        <w:bidi w:val="0"/>
        <w:snapToGrid/>
        <w:spacing w:after="0" w:line="24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8"/>
          <w:szCs w:val="28"/>
          <w:highlight w:val="none"/>
        </w:rPr>
        <w:t xml:space="preserve">第七条 </w:t>
      </w:r>
      <w:r>
        <w:rPr>
          <w:rFonts w:hint="eastAsia" w:ascii="宋体" w:hAnsi="宋体" w:eastAsia="宋体" w:cs="宋体"/>
          <w:b/>
          <w:color w:val="auto"/>
          <w:sz w:val="28"/>
          <w:szCs w:val="28"/>
          <w:highlight w:val="none"/>
        </w:rPr>
        <w:t>交货及检验要求</w:t>
      </w:r>
    </w:p>
    <w:p>
      <w:pPr>
        <w:keepNext w:val="0"/>
        <w:keepLines w:val="0"/>
        <w:pageBreakBefore w:val="0"/>
        <w:kinsoku/>
        <w:wordWrap/>
        <w:overflowPunct/>
        <w:topLinePunct w:val="0"/>
        <w:autoSpaceDE w:val="0"/>
        <w:autoSpaceDN w:val="0"/>
        <w:bidi w:val="0"/>
        <w:adjustRightInd w:val="0"/>
        <w:snapToGrid/>
        <w:spacing w:after="0"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7.1 交货要求：乙方应在交货时向甲方提供出厂合格证、</w:t>
      </w:r>
      <w:r>
        <w:rPr>
          <w:rFonts w:hint="eastAsia" w:ascii="宋体" w:hAnsi="宋体" w:eastAsia="宋体" w:cs="宋体"/>
          <w:bCs/>
          <w:color w:val="auto"/>
          <w:sz w:val="28"/>
          <w:szCs w:val="28"/>
          <w:highlight w:val="none"/>
          <w:u w:val="single"/>
          <w:lang w:val="en-US" w:eastAsia="zh-CN"/>
        </w:rPr>
        <w:t>厂家品牌授权（如需）</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产品质量证明文件、操作维修手册等（手册应包含</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情况、系统和主要部件常见故障、保养要求、紧急维修电话等内容）。</w:t>
      </w:r>
    </w:p>
    <w:p>
      <w:pPr>
        <w:keepNext w:val="0"/>
        <w:keepLines w:val="0"/>
        <w:pageBreakBefore w:val="0"/>
        <w:kinsoku/>
        <w:wordWrap/>
        <w:overflowPunct/>
        <w:topLinePunct w:val="0"/>
        <w:bidi w:val="0"/>
        <w:snapToGrid/>
        <w:spacing w:after="0"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7.2外观验收：</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运抵交货地点后，甲乙双方根据合同约定对合同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的包装、外观与件数进行清点检查，并共同签署合同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外观检查记录。</w:t>
      </w:r>
    </w:p>
    <w:p>
      <w:pPr>
        <w:keepNext w:val="0"/>
        <w:keepLines w:val="0"/>
        <w:pageBreakBefore w:val="0"/>
        <w:kinsoku/>
        <w:wordWrap/>
        <w:overflowPunct/>
        <w:topLinePunct w:val="0"/>
        <w:bidi w:val="0"/>
        <w:snapToGrid/>
        <w:spacing w:after="0"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7.3 开箱验收：开箱检验在合同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交付地点进行，</w:t>
      </w:r>
      <w:r>
        <w:rPr>
          <w:rFonts w:hint="eastAsia" w:ascii="宋体" w:hAnsi="宋体" w:eastAsia="宋体" w:cs="宋体"/>
          <w:color w:val="auto"/>
          <w:sz w:val="28"/>
          <w:szCs w:val="28"/>
          <w:highlight w:val="none"/>
        </w:rPr>
        <w:t>包括但不限于对合同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数量、规格、外观完好性进行检验。经验收合格后，甲方签发开箱检验合格证明。开箱验收合格前，</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的损坏风险由乙方承担。</w:t>
      </w:r>
    </w:p>
    <w:p>
      <w:pPr>
        <w:keepNext w:val="0"/>
        <w:keepLines w:val="0"/>
        <w:pageBreakBefore w:val="0"/>
        <w:kinsoku/>
        <w:wordWrap/>
        <w:overflowPunct/>
        <w:topLinePunct w:val="0"/>
        <w:bidi w:val="0"/>
        <w:adjustRightInd w:val="0"/>
        <w:snapToGrid/>
        <w:spacing w:after="0"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7.4如双方对合同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7.5对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外观检查与开箱检查发现的问题，如数量、规格、外表质量等与合同约定不符，</w:t>
      </w:r>
      <w:r>
        <w:rPr>
          <w:rFonts w:hint="eastAsia" w:ascii="宋体" w:hAnsi="宋体" w:eastAsia="宋体" w:cs="宋体"/>
          <w:color w:val="auto"/>
          <w:sz w:val="28"/>
          <w:szCs w:val="28"/>
          <w:highlight w:val="none"/>
          <w:lang w:eastAsia="zh-CN"/>
        </w:rPr>
        <w:t>货物或部件</w:t>
      </w:r>
      <w:r>
        <w:rPr>
          <w:rFonts w:hint="eastAsia" w:ascii="宋体" w:hAnsi="宋体" w:eastAsia="宋体" w:cs="宋体"/>
          <w:color w:val="auto"/>
          <w:sz w:val="28"/>
          <w:szCs w:val="28"/>
          <w:highlight w:val="none"/>
        </w:rPr>
        <w:t>因包装、运输、装卸问题造成的任何损坏、丢失，装箱文件短缺等，乙方应在不影响甲方生产运营的前提下，在甲方规定期限内消除合同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中存在的缺陷，用合格的新</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更换有缺陷的</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、退货或补发，并自行承担费用。甲方有权在</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缺陷消除或</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7.6 甲方有权对合同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进行原厂正品验证，若合同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无法获原厂验证，甲方有权退回</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，要求乙方在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个工作日内退回已支付款项并按</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价格的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支付违约金。</w:t>
      </w:r>
    </w:p>
    <w:p>
      <w:pPr>
        <w:keepNext w:val="0"/>
        <w:keepLines w:val="0"/>
        <w:pageBreakBefore w:val="0"/>
        <w:kinsoku/>
        <w:wordWrap/>
        <w:overflowPunct/>
        <w:topLinePunct w:val="0"/>
        <w:bidi w:val="0"/>
        <w:snapToGrid/>
        <w:spacing w:before="120" w:after="120" w:line="24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第八条 包装、标示及运输要求</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 包装</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8.1.1乙方根据</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的特点，按照有关国家、行业标准要求，对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及其零配件进行适合长途运输、多次搬运与装卸、防震、防水、防潮、防霉、防锈、防腐蚀等的坚固可靠包装，确保</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能适应高温、雨淋、潮湿环境下的长途运输、多次装卸与现场存放。</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8.1.2超限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的包装要求：</w:t>
      </w:r>
      <w:r>
        <w:rPr>
          <w:rFonts w:hint="eastAsia" w:ascii="宋体" w:hAnsi="宋体" w:eastAsia="宋体" w:cs="宋体"/>
          <w:bCs/>
          <w:color w:val="auto"/>
          <w:sz w:val="28"/>
          <w:szCs w:val="28"/>
          <w:highlight w:val="none"/>
          <w:u w:val="single"/>
        </w:rPr>
        <w:t xml:space="preserve">  /  </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 标志</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8.2.1乙方应按照国家标准对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的外包装进行标志。</w:t>
      </w:r>
    </w:p>
    <w:p>
      <w:pPr>
        <w:keepNext w:val="0"/>
        <w:keepLines w:val="0"/>
        <w:pageBreakBefore w:val="0"/>
        <w:kinsoku/>
        <w:wordWrap/>
        <w:overflowPunct/>
        <w:topLinePunct w:val="0"/>
        <w:bidi w:val="0"/>
        <w:adjustRightInd w:val="0"/>
        <w:snapToGrid/>
        <w:spacing w:after="0"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8.2.2根据合同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8.2.3  如由于包装不当或包装箱内部保护措施不符合要求而导致在装车或运输中发生</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或其任何部件的损坏或遗失，乙方应自费对缺损的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、部件进行修理、更换或补供。</w:t>
      </w:r>
    </w:p>
    <w:p>
      <w:pPr>
        <w:keepNext w:val="0"/>
        <w:keepLines w:val="0"/>
        <w:pageBreakBefore w:val="0"/>
        <w:kinsoku/>
        <w:wordWrap/>
        <w:overflowPunct/>
        <w:topLinePunct w:val="0"/>
        <w:bidi w:val="0"/>
        <w:adjustRightInd w:val="0"/>
        <w:snapToGrid/>
        <w:spacing w:after="0"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8.3运输</w:t>
      </w:r>
    </w:p>
    <w:p>
      <w:pPr>
        <w:keepNext w:val="0"/>
        <w:keepLines w:val="0"/>
        <w:pageBreakBefore w:val="0"/>
        <w:kinsoku/>
        <w:wordWrap/>
        <w:overflowPunct/>
        <w:topLinePunct w:val="0"/>
        <w:bidi w:val="0"/>
        <w:adjustRightInd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8.3.1乙方应自行选择适宜的运输工具及线路安排合同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运输。</w:t>
      </w:r>
    </w:p>
    <w:p>
      <w:pPr>
        <w:keepNext w:val="0"/>
        <w:keepLines w:val="0"/>
        <w:pageBreakBefore w:val="0"/>
        <w:kinsoku/>
        <w:wordWrap/>
        <w:overflowPunct/>
        <w:topLinePunct w:val="0"/>
        <w:bidi w:val="0"/>
        <w:adjustRightInd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8.3.2 除合同条款另有约定外，每件</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的备品备件应整套装运。</w:t>
      </w:r>
    </w:p>
    <w:p>
      <w:pPr>
        <w:keepNext w:val="0"/>
        <w:keepLines w:val="0"/>
        <w:pageBreakBefore w:val="0"/>
        <w:kinsoku/>
        <w:wordWrap/>
        <w:overflowPunct/>
        <w:topLinePunct w:val="0"/>
        <w:bidi w:val="0"/>
        <w:adjustRightInd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8.3.3 除合同条款另有约定外，乙方应在合同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预计启运7日前，将合同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名称、数量、箱数、总毛重、每箱尺寸、装运合同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总金额、运输方式、预计交付日期和合同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启运后 24 小时之内正式通知甲方。</w:t>
      </w:r>
    </w:p>
    <w:p>
      <w:pPr>
        <w:keepNext w:val="0"/>
        <w:keepLines w:val="0"/>
        <w:pageBreakBefore w:val="0"/>
        <w:kinsoku/>
        <w:wordWrap/>
        <w:overflowPunct/>
        <w:topLinePunct w:val="0"/>
        <w:bidi w:val="0"/>
        <w:adjustRightInd w:val="0"/>
        <w:snapToGrid/>
        <w:spacing w:before="120" w:beforeLines="50" w:after="120" w:afterLines="50" w:line="24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第九条 技术服务</w:t>
      </w:r>
    </w:p>
    <w:p>
      <w:pPr>
        <w:keepNext w:val="0"/>
        <w:keepLines w:val="0"/>
        <w:pageBreakBefore w:val="0"/>
        <w:kinsoku/>
        <w:wordWrap/>
        <w:overflowPunct/>
        <w:topLinePunct w:val="0"/>
        <w:bidi w:val="0"/>
        <w:adjustRightInd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  乙方应按甲方需求，派遣技术熟练、称职的技术人员到现场为甲方提供</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调试运行等技术服务。</w:t>
      </w:r>
    </w:p>
    <w:p>
      <w:pPr>
        <w:keepNext w:val="0"/>
        <w:keepLines w:val="0"/>
        <w:pageBreakBefore w:val="0"/>
        <w:kinsoku/>
        <w:wordWrap/>
        <w:overflowPunct/>
        <w:topLinePunct w:val="0"/>
        <w:bidi w:val="0"/>
        <w:adjustRightInd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p>
      <w:pPr>
        <w:keepNext w:val="0"/>
        <w:keepLines w:val="0"/>
        <w:pageBreakBefore w:val="0"/>
        <w:kinsoku/>
        <w:wordWrap/>
        <w:overflowPunct/>
        <w:topLinePunct w:val="0"/>
        <w:autoSpaceDE w:val="0"/>
        <w:autoSpaceDN w:val="0"/>
        <w:bidi w:val="0"/>
        <w:adjustRightInd w:val="0"/>
        <w:snapToGrid/>
        <w:spacing w:line="24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第十条 质量保修</w:t>
      </w:r>
    </w:p>
    <w:p>
      <w:pPr>
        <w:keepNext w:val="0"/>
        <w:keepLines w:val="0"/>
        <w:pageBreakBefore w:val="0"/>
        <w:tabs>
          <w:tab w:val="left" w:pos="851"/>
        </w:tabs>
        <w:kinsoku/>
        <w:wordWrap/>
        <w:overflowPunct/>
        <w:topLinePunct w:val="0"/>
        <w:bidi w:val="0"/>
        <w:adjustRightInd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10.1保修期：自</w:t>
      </w:r>
      <w:r>
        <w:rPr>
          <w:rFonts w:hint="eastAsia" w:ascii="宋体" w:hAnsi="宋体" w:eastAsia="宋体" w:cs="宋体"/>
          <w:color w:val="auto"/>
          <w:kern w:val="0"/>
          <w:sz w:val="28"/>
          <w:szCs w:val="28"/>
          <w:highlight w:val="none"/>
          <w:lang w:val="zh-CN"/>
        </w:rPr>
        <w:t>货物</w:t>
      </w:r>
      <w:r>
        <w:rPr>
          <w:rFonts w:hint="eastAsia" w:ascii="宋体" w:hAnsi="宋体" w:eastAsia="宋体" w:cs="宋体"/>
          <w:color w:val="auto"/>
          <w:kern w:val="0"/>
          <w:sz w:val="28"/>
          <w:szCs w:val="28"/>
          <w:highlight w:val="none"/>
          <w:lang w:val="en-US" w:eastAsia="zh-CN"/>
        </w:rPr>
        <w:t>安装调试</w:t>
      </w:r>
      <w:r>
        <w:rPr>
          <w:rFonts w:hint="eastAsia" w:ascii="宋体" w:hAnsi="宋体" w:eastAsia="宋体" w:cs="宋体"/>
          <w:color w:val="auto"/>
          <w:kern w:val="0"/>
          <w:sz w:val="28"/>
          <w:szCs w:val="28"/>
          <w:highlight w:val="none"/>
          <w:lang w:val="zh-CN"/>
        </w:rPr>
        <w:t>验收合格之日起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eastAsia="zh-CN"/>
        </w:rPr>
        <w:t>且不得低于法定规定保修时间</w:t>
      </w:r>
      <w:r>
        <w:rPr>
          <w:rFonts w:hint="eastAsia" w:ascii="宋体" w:hAnsi="宋体" w:eastAsia="宋体" w:cs="宋体"/>
          <w:color w:val="auto"/>
          <w:sz w:val="28"/>
          <w:szCs w:val="28"/>
          <w:highlight w:val="none"/>
        </w:rPr>
        <w:t>。保修期内乙方应免费对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240" w:lineRule="auto"/>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10.2</w:t>
      </w:r>
      <w:r>
        <w:rPr>
          <w:rFonts w:hint="eastAsia" w:ascii="宋体" w:hAnsi="宋体" w:eastAsia="宋体" w:cs="宋体"/>
          <w:color w:val="auto"/>
          <w:kern w:val="0"/>
          <w:sz w:val="28"/>
          <w:szCs w:val="28"/>
          <w:highlight w:val="none"/>
        </w:rPr>
        <w:t>保修</w:t>
      </w:r>
      <w:r>
        <w:rPr>
          <w:rFonts w:hint="eastAsia" w:ascii="宋体" w:hAnsi="宋体" w:eastAsia="宋体" w:cs="宋体"/>
          <w:color w:val="auto"/>
          <w:kern w:val="0"/>
          <w:sz w:val="28"/>
          <w:szCs w:val="28"/>
          <w:highlight w:val="none"/>
          <w:lang w:val="zh-CN"/>
        </w:rPr>
        <w:t>期内，乙方应对货物质量问题负责。如货物质量问题导致处理水量、出水水质达不到合同要求的，乙方需无条件免费更换货物并支付合</w:t>
      </w:r>
      <w:r>
        <w:rPr>
          <w:rFonts w:hint="eastAsia" w:ascii="宋体" w:hAnsi="宋体" w:eastAsia="宋体" w:cs="宋体"/>
          <w:color w:val="auto"/>
          <w:kern w:val="0"/>
          <w:sz w:val="28"/>
          <w:szCs w:val="28"/>
          <w:highlight w:val="none"/>
          <w:u w:val="single"/>
          <w:lang w:val="zh-CN"/>
        </w:rPr>
        <w:t>同暂定总价的10%作为</w:t>
      </w:r>
      <w:r>
        <w:rPr>
          <w:rFonts w:hint="eastAsia" w:ascii="宋体" w:hAnsi="宋体" w:eastAsia="宋体" w:cs="宋体"/>
          <w:color w:val="auto"/>
          <w:kern w:val="0"/>
          <w:sz w:val="28"/>
          <w:szCs w:val="28"/>
          <w:highlight w:val="none"/>
          <w:lang w:val="zh-CN"/>
        </w:rPr>
        <w:t>违约金，</w:t>
      </w:r>
      <w:r>
        <w:rPr>
          <w:rFonts w:hint="eastAsia" w:ascii="宋体" w:hAnsi="宋体" w:eastAsia="宋体" w:cs="宋体"/>
          <w:color w:val="auto"/>
          <w:kern w:val="0"/>
          <w:sz w:val="28"/>
          <w:szCs w:val="28"/>
          <w:highlight w:val="none"/>
        </w:rPr>
        <w:t>由此产生的</w:t>
      </w:r>
      <w:r>
        <w:rPr>
          <w:rFonts w:hint="eastAsia" w:ascii="宋体" w:hAnsi="宋体" w:eastAsia="宋体" w:cs="宋体"/>
          <w:color w:val="auto"/>
          <w:kern w:val="0"/>
          <w:sz w:val="28"/>
          <w:szCs w:val="28"/>
          <w:highlight w:val="none"/>
          <w:lang w:val="zh-CN"/>
        </w:rPr>
        <w:t>费用由乙方承担。</w:t>
      </w:r>
    </w:p>
    <w:p>
      <w:pPr>
        <w:keepNext w:val="0"/>
        <w:keepLines w:val="0"/>
        <w:pageBreakBefore w:val="0"/>
        <w:tabs>
          <w:tab w:val="left" w:pos="851"/>
        </w:tabs>
        <w:kinsoku/>
        <w:wordWrap/>
        <w:overflowPunct/>
        <w:topLinePunct w:val="0"/>
        <w:bidi w:val="0"/>
        <w:adjustRightInd w:val="0"/>
        <w:snapToGrid/>
        <w:spacing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10.3 保修期间由于</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10.4 质量保修期间，如合同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出现故障，乙方应在接到甲方通知后</w:t>
      </w:r>
      <w:r>
        <w:rPr>
          <w:rFonts w:hint="eastAsia" w:ascii="宋体" w:hAnsi="宋体" w:eastAsia="宋体" w:cs="宋体"/>
          <w:bCs/>
          <w:color w:val="auto"/>
          <w:sz w:val="28"/>
          <w:szCs w:val="28"/>
          <w:highlight w:val="none"/>
          <w:u w:val="single"/>
          <w:lang w:val="en-US" w:eastAsia="zh-CN"/>
        </w:rPr>
        <w:t>12</w:t>
      </w:r>
      <w:r>
        <w:rPr>
          <w:rFonts w:hint="eastAsia" w:ascii="宋体" w:hAnsi="宋体" w:eastAsia="宋体" w:cs="宋体"/>
          <w:bCs/>
          <w:color w:val="auto"/>
          <w:sz w:val="28"/>
          <w:szCs w:val="28"/>
          <w:highlight w:val="none"/>
        </w:rPr>
        <w:t xml:space="preserve"> 小时内通过电话、网络等提供远程技术指导，如甲方需要乙方到场的，乙方应在收到甲方通知后</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eastAsia="宋体" w:cs="宋体"/>
          <w:bCs/>
          <w:color w:val="auto"/>
          <w:sz w:val="28"/>
          <w:szCs w:val="28"/>
          <w:highlight w:val="none"/>
          <w:u w:val="single"/>
        </w:rPr>
        <w:t>合同暂定总价10%/次</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第十一条 违约责任</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 延期交货的违约责任</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11.1.1 乙方应按照本合同约定的时间交货。如乙方因客观情况导致无法按时交货，乙方应在交货期前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日，以书面形式将原因及预计拖延的时间通知甲方。经甲方同意后，交货期顺延。</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11.1.2乙方未能在合同规定期限内交货并交付完整技术资料的，每逾期一天，甲方有权按迟</w:t>
      </w:r>
      <w:r>
        <w:rPr>
          <w:rFonts w:hint="eastAsia" w:ascii="宋体" w:hAnsi="宋体" w:eastAsia="宋体" w:cs="宋体"/>
          <w:bCs/>
          <w:color w:val="auto"/>
          <w:sz w:val="28"/>
          <w:szCs w:val="28"/>
          <w:highlight w:val="none"/>
          <w:u w:val="single"/>
        </w:rPr>
        <w:t>交货</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价格的1%/天</w:t>
      </w:r>
      <w:r>
        <w:rPr>
          <w:rFonts w:hint="eastAsia" w:ascii="宋体" w:hAnsi="宋体" w:eastAsia="宋体" w:cs="宋体"/>
          <w:bCs/>
          <w:color w:val="auto"/>
          <w:sz w:val="28"/>
          <w:szCs w:val="28"/>
          <w:highlight w:val="none"/>
        </w:rPr>
        <w:t>要求乙方支付违约金。逾期超过</w:t>
      </w:r>
      <w:r>
        <w:rPr>
          <w:rFonts w:hint="eastAsia" w:ascii="宋体" w:hAnsi="宋体" w:eastAsia="宋体" w:cs="宋体"/>
          <w:bCs/>
          <w:color w:val="auto"/>
          <w:sz w:val="28"/>
          <w:szCs w:val="28"/>
          <w:highlight w:val="none"/>
          <w:u w:val="single"/>
        </w:rPr>
        <w:t xml:space="preserve"> 15 </w:t>
      </w:r>
      <w:r>
        <w:rPr>
          <w:rFonts w:hint="eastAsia" w:ascii="宋体" w:hAnsi="宋体" w:eastAsia="宋体" w:cs="宋体"/>
          <w:bCs/>
          <w:color w:val="auto"/>
          <w:sz w:val="28"/>
          <w:szCs w:val="28"/>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 质量问题的违约责任</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11.2.1 自乙方交货后至质量保修期满的期间内，甲方经检查发现或合同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经安装、调试、试车或运行显示，合同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（1）乙方承担费用，用合格的新</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更换有缺陷的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或修补缺陷部分；</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（2）退还</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所需的其他费用。</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（3）按不合格</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价格的</w:t>
      </w:r>
      <w:r>
        <w:rPr>
          <w:rFonts w:hint="eastAsia" w:ascii="宋体" w:hAnsi="宋体" w:eastAsia="宋体" w:cs="宋体"/>
          <w:bCs/>
          <w:color w:val="auto"/>
          <w:sz w:val="28"/>
          <w:szCs w:val="28"/>
          <w:highlight w:val="none"/>
          <w:u w:val="single"/>
        </w:rPr>
        <w:t>50</w:t>
      </w:r>
      <w:r>
        <w:rPr>
          <w:rFonts w:hint="eastAsia" w:ascii="宋体" w:hAnsi="宋体" w:eastAsia="宋体" w:cs="宋体"/>
          <w:bCs/>
          <w:color w:val="auto"/>
          <w:sz w:val="28"/>
          <w:szCs w:val="28"/>
          <w:highlight w:val="none"/>
        </w:rPr>
        <w:t>%支付违约金。</w:t>
      </w:r>
    </w:p>
    <w:p>
      <w:pPr>
        <w:keepNext w:val="0"/>
        <w:keepLines w:val="0"/>
        <w:pageBreakBefore w:val="0"/>
        <w:numPr>
          <w:ilvl w:val="255"/>
          <w:numId w:val="0"/>
        </w:numPr>
        <w:kinsoku/>
        <w:wordWrap/>
        <w:overflowPunct/>
        <w:topLinePunct w:val="0"/>
        <w:bidi w:val="0"/>
        <w:snapToGrid/>
        <w:spacing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（4）赔偿甲方因</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质量问题导致的一切损失。</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11.2.2 如果乙方提供的技术资料有错误，或者由于乙方技术人员原因造成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安装、调试不成功和（或）造成合同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损坏的情况，乙方应在</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rPr>
        <w:t>小时内采取修理、更换、退货等补救措施并负担因此发生的费用，同时需向甲方支付</w:t>
      </w:r>
      <w:r>
        <w:rPr>
          <w:rFonts w:hint="eastAsia" w:ascii="宋体" w:hAnsi="宋体" w:eastAsia="宋体" w:cs="宋体"/>
          <w:bCs/>
          <w:color w:val="auto"/>
          <w:sz w:val="28"/>
          <w:szCs w:val="28"/>
          <w:highlight w:val="none"/>
          <w:u w:val="single"/>
        </w:rPr>
        <w:t>不合格</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 xml:space="preserve">价格的 50 </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11.2.3 在开箱检验、或使用过程中发现乙方提交的合同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为贴牌、假冒、伪劣、翻新产品，或生产组成合同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的原材料、配件是贴牌、假冒、伪劣货物时，乙方应在甲方通知之日自行收回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，甲方不负保管责任，</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毁损灭失风险自甲方通知之时起由乙方承担，乙方将已支付款项（含预付款）退还甲方，并按</w:t>
      </w:r>
      <w:r>
        <w:rPr>
          <w:rFonts w:hint="eastAsia" w:ascii="宋体" w:hAnsi="宋体" w:eastAsia="宋体" w:cs="宋体"/>
          <w:bCs/>
          <w:color w:val="auto"/>
          <w:sz w:val="28"/>
          <w:szCs w:val="28"/>
          <w:highlight w:val="none"/>
          <w:u w:val="single"/>
        </w:rPr>
        <w:t>合同暂定总价的 100 %</w:t>
      </w:r>
      <w:r>
        <w:rPr>
          <w:rFonts w:hint="eastAsia" w:ascii="宋体" w:hAnsi="宋体" w:eastAsia="宋体" w:cs="宋体"/>
          <w:bCs/>
          <w:color w:val="auto"/>
          <w:sz w:val="28"/>
          <w:szCs w:val="28"/>
          <w:highlight w:val="none"/>
        </w:rPr>
        <w:t>支付违约金。</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11.2.4 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设计使用寿命期内，如果乙方发现合同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由于设计、制造、标识等原因存在足以危及人身、财产安全的缺陷，应及时通知甲方并采取修正或者补充标识、修理、更换等措施消除缺陷，因</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缺陷造成的一切损害，乙方应承担全部赔偿责任。</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11.3 如乙方未按合同六条约定递交履约保证金，甲方有权解除合同并要求乙方支付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 xml:space="preserve">作为违约金。 </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11.4 如双方对质量责任认定有争议，</w:t>
      </w:r>
      <w:r>
        <w:rPr>
          <w:rFonts w:hint="eastAsia" w:ascii="宋体" w:hAnsi="宋体" w:eastAsia="宋体" w:cs="宋体"/>
          <w:color w:val="auto"/>
          <w:sz w:val="28"/>
          <w:szCs w:val="28"/>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rPr>
        <w:t>日，甲方有权解除合同并要求乙方支付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作为违约金（</w:t>
      </w:r>
      <w:r>
        <w:rPr>
          <w:rFonts w:hint="eastAsia" w:ascii="宋体" w:hAnsi="宋体" w:eastAsia="宋体" w:cs="宋体"/>
          <w:color w:val="auto"/>
          <w:sz w:val="28"/>
          <w:szCs w:val="28"/>
          <w:highlight w:val="none"/>
        </w:rPr>
        <w:t>如合同另行约定违约责任，从其约定</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auto"/>
          <w:sz w:val="28"/>
          <w:szCs w:val="28"/>
          <w:highlight w:val="none"/>
          <w:lang w:val="en-US" w:eastAsia="zh-CN"/>
        </w:rPr>
        <w:t>11.6在合同有效期内，若乙方发生不诚信行为情形的，乙方自愿接受甲方按《广州市净水有限公司经营建设项目参建企业不诚信行为管理办法》处理，具体处理标准详见附件。</w:t>
      </w:r>
    </w:p>
    <w:p>
      <w:pPr>
        <w:keepNext w:val="0"/>
        <w:keepLines w:val="0"/>
        <w:pageBreakBefore w:val="0"/>
        <w:kinsoku/>
        <w:wordWrap/>
        <w:overflowPunct/>
        <w:topLinePunct w:val="0"/>
        <w:bidi w:val="0"/>
        <w:snapToGrid/>
        <w:spacing w:line="24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第十二条 变更或解除</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 甲方解除合同</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如乙方存在下述情况之一，甲方有权向乙方发出书面通知，全部或部分解除本合同：</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12.1.1 乙方未能在本合同约定或甲方另行指定的期限内提供部分或全部</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 xml:space="preserve">或提供技术服务，并经甲方催告后仍未提供； </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12.1.2乙方交付的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存在严重的质量问题，导致本合同目的不能实现；</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12.1.3 乙方存在违反合同义务的其他情形，经甲方催告后仍未作出补救或完成整改；</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12.2 乙方解除合同</w:t>
      </w:r>
    </w:p>
    <w:p>
      <w:pPr>
        <w:keepNext w:val="0"/>
        <w:keepLines w:val="0"/>
        <w:pageBreakBefore w:val="0"/>
        <w:kinsoku/>
        <w:wordWrap/>
        <w:overflowPunct/>
        <w:topLinePunct w:val="0"/>
        <w:bidi w:val="0"/>
        <w:snapToGrid/>
        <w:spacing w:line="240" w:lineRule="auto"/>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如甲方无正当理由未能按本合同约定期限向乙方支付合同款，并经乙方催告后超过</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天仍未支付，乙方有权以书面通知解除本合同。</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12.3甲乙双方经协商一致后解除合同。</w:t>
      </w:r>
    </w:p>
    <w:p>
      <w:pPr>
        <w:keepNext w:val="0"/>
        <w:keepLines w:val="0"/>
        <w:pageBreakBefore w:val="0"/>
        <w:kinsoku/>
        <w:wordWrap/>
        <w:overflowPunct/>
        <w:topLinePunct w:val="0"/>
        <w:bidi w:val="0"/>
        <w:snapToGrid/>
        <w:spacing w:line="24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第十三条 不可抗力</w:t>
      </w:r>
    </w:p>
    <w:p>
      <w:pPr>
        <w:keepNext w:val="0"/>
        <w:keepLines w:val="0"/>
        <w:pageBreakBefore w:val="0"/>
        <w:widowControl w:val="0"/>
        <w:numPr>
          <w:ilvl w:val="255"/>
          <w:numId w:val="0"/>
        </w:numPr>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24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第十四条 争议解决方式：</w:t>
      </w:r>
    </w:p>
    <w:p>
      <w:pPr>
        <w:keepNext w:val="0"/>
        <w:keepLines w:val="0"/>
        <w:pageBreakBefore w:val="0"/>
        <w:kinsoku/>
        <w:wordWrap/>
        <w:overflowPunct/>
        <w:topLinePunct w:val="0"/>
        <w:bidi w:val="0"/>
        <w:snapToGrid/>
        <w:spacing w:line="240" w:lineRule="auto"/>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因本合同引起的或与本合同有关的任何争议，甲乙双方应友好协商解决，如协商不成，任何一方均可依法向</w:t>
      </w:r>
      <w:r>
        <w:rPr>
          <w:rFonts w:hint="eastAsia" w:ascii="宋体" w:hAnsi="宋体" w:eastAsia="宋体" w:cs="宋体"/>
          <w:color w:val="auto"/>
          <w:sz w:val="28"/>
          <w:szCs w:val="28"/>
          <w:highlight w:val="none"/>
          <w:u w:val="single"/>
        </w:rPr>
        <w:t>甲方所在地人民法院</w:t>
      </w:r>
      <w:r>
        <w:rPr>
          <w:rFonts w:hint="eastAsia" w:ascii="宋体" w:hAnsi="宋体" w:eastAsia="宋体" w:cs="宋体"/>
          <w:color w:val="auto"/>
          <w:sz w:val="28"/>
          <w:szCs w:val="28"/>
          <w:highlight w:val="none"/>
        </w:rPr>
        <w:t>提起诉讼。</w:t>
      </w:r>
    </w:p>
    <w:p>
      <w:pPr>
        <w:keepNext w:val="0"/>
        <w:keepLines w:val="0"/>
        <w:pageBreakBefore w:val="0"/>
        <w:kinsoku/>
        <w:wordWrap/>
        <w:overflowPunct/>
        <w:topLinePunct w:val="0"/>
        <w:bidi w:val="0"/>
        <w:snapToGrid/>
        <w:spacing w:line="240" w:lineRule="auto"/>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在甲方同意的情况下，除有争端之外的合同其它部分在争端解决前应继续执行。</w:t>
      </w:r>
    </w:p>
    <w:p>
      <w:pPr>
        <w:keepNext w:val="0"/>
        <w:keepLines w:val="0"/>
        <w:pageBreakBefore w:val="0"/>
        <w:kinsoku/>
        <w:wordWrap/>
        <w:overflowPunct/>
        <w:topLinePunct w:val="0"/>
        <w:bidi w:val="0"/>
        <w:snapToGrid/>
        <w:spacing w:line="24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第十五条 其他：</w:t>
      </w:r>
    </w:p>
    <w:p>
      <w:pPr>
        <w:keepNext w:val="0"/>
        <w:keepLines w:val="0"/>
        <w:pageBreakBefore w:val="0"/>
        <w:kinsoku/>
        <w:wordWrap/>
        <w:overflowPunct/>
        <w:topLinePunct w:val="0"/>
        <w:bidi w:val="0"/>
        <w:snapToGrid/>
        <w:spacing w:line="240" w:lineRule="auto"/>
        <w:ind w:firstLine="694" w:firstLineChars="248"/>
        <w:textAlignment w:val="auto"/>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15.1</w:t>
      </w:r>
      <w:r>
        <w:rPr>
          <w:rFonts w:hint="eastAsia" w:ascii="宋体" w:hAnsi="宋体" w:eastAsia="宋体" w:cs="宋体"/>
          <w:color w:val="auto"/>
          <w:sz w:val="28"/>
          <w:szCs w:val="28"/>
          <w:highlight w:val="none"/>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240" w:lineRule="auto"/>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15.2本合同自甲乙双方法定代表人或授权代理人签字并盖章之日起生效。</w:t>
      </w:r>
    </w:p>
    <w:p>
      <w:pPr>
        <w:keepNext w:val="0"/>
        <w:keepLines w:val="0"/>
        <w:pageBreakBefore w:val="0"/>
        <w:kinsoku/>
        <w:wordWrap/>
        <w:overflowPunct/>
        <w:topLinePunct w:val="0"/>
        <w:bidi w:val="0"/>
        <w:snapToGrid/>
        <w:spacing w:line="240" w:lineRule="auto"/>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15.3本合同一式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份，甲方执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份，乙方执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份。均具有同等法律效力。</w:t>
      </w:r>
    </w:p>
    <w:p>
      <w:pPr>
        <w:keepNext w:val="0"/>
        <w:keepLines w:val="0"/>
        <w:pageBreakBefore w:val="0"/>
        <w:kinsoku/>
        <w:wordWrap/>
        <w:overflowPunct/>
        <w:topLinePunct w:val="0"/>
        <w:bidi w:val="0"/>
        <w:snapToGrid/>
        <w:spacing w:line="240" w:lineRule="auto"/>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15.4补充条款：</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rPr>
        <w:t xml:space="preserve">     </w:t>
      </w:r>
    </w:p>
    <w:p>
      <w:pPr>
        <w:keepNext w:val="0"/>
        <w:keepLines w:val="0"/>
        <w:pageBreakBefore w:val="0"/>
        <w:kinsoku/>
        <w:wordWrap/>
        <w:overflowPunct/>
        <w:topLinePunct w:val="0"/>
        <w:bidi w:val="0"/>
        <w:snapToGrid/>
        <w:spacing w:line="240" w:lineRule="auto"/>
        <w:ind w:firstLine="48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成交通知书</w:t>
      </w:r>
    </w:p>
    <w:p>
      <w:pPr>
        <w:keepNext w:val="0"/>
        <w:keepLines w:val="0"/>
        <w:pageBreakBefore w:val="0"/>
        <w:numPr>
          <w:ilvl w:val="0"/>
          <w:numId w:val="0"/>
        </w:numPr>
        <w:kinsoku/>
        <w:wordWrap/>
        <w:overflowPunct/>
        <w:topLinePunct w:val="0"/>
        <w:bidi w:val="0"/>
        <w:snapToGrid/>
        <w:spacing w:line="240" w:lineRule="auto"/>
        <w:ind w:left="1200" w:leftChars="0" w:firstLine="280"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廉洁协议</w:t>
      </w:r>
    </w:p>
    <w:p>
      <w:pPr>
        <w:keepNext w:val="0"/>
        <w:keepLines w:val="0"/>
        <w:pageBreakBefore w:val="0"/>
        <w:numPr>
          <w:ilvl w:val="0"/>
          <w:numId w:val="0"/>
        </w:numPr>
        <w:kinsoku/>
        <w:wordWrap/>
        <w:overflowPunct/>
        <w:topLinePunct w:val="0"/>
        <w:bidi w:val="0"/>
        <w:snapToGrid/>
        <w:spacing w:line="240" w:lineRule="auto"/>
        <w:ind w:left="1200" w:leftChars="0" w:firstLine="280"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不诚信行为的情形及相应被暂停参与投标活动的处理标准</w:t>
      </w:r>
    </w:p>
    <w:p>
      <w:pPr>
        <w:keepNext w:val="0"/>
        <w:keepLines w:val="0"/>
        <w:pageBreakBefore w:val="0"/>
        <w:numPr>
          <w:ilvl w:val="0"/>
          <w:numId w:val="0"/>
        </w:numPr>
        <w:kinsoku/>
        <w:wordWrap/>
        <w:overflowPunct/>
        <w:topLinePunct w:val="0"/>
        <w:bidi w:val="0"/>
        <w:snapToGrid/>
        <w:spacing w:line="240" w:lineRule="auto"/>
        <w:ind w:left="1200" w:leftChars="0" w:firstLine="280"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物品采购</w:t>
      </w:r>
      <w:r>
        <w:rPr>
          <w:rFonts w:hint="eastAsia" w:ascii="宋体" w:hAnsi="宋体" w:eastAsia="宋体" w:cs="宋体"/>
          <w:color w:val="auto"/>
          <w:sz w:val="28"/>
          <w:szCs w:val="28"/>
          <w:highlight w:val="none"/>
        </w:rPr>
        <w:t>安全协议书</w:t>
      </w:r>
    </w:p>
    <w:p>
      <w:pPr>
        <w:keepNext w:val="0"/>
        <w:keepLines w:val="0"/>
        <w:pageBreakBefore w:val="0"/>
        <w:numPr>
          <w:ilvl w:val="0"/>
          <w:numId w:val="0"/>
        </w:numPr>
        <w:kinsoku/>
        <w:wordWrap/>
        <w:overflowPunct/>
        <w:topLinePunct w:val="0"/>
        <w:bidi w:val="0"/>
        <w:snapToGrid/>
        <w:spacing w:line="240" w:lineRule="auto"/>
        <w:ind w:left="1200" w:leftChars="0"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color w:val="auto"/>
          <w:kern w:val="0"/>
          <w:sz w:val="28"/>
          <w:szCs w:val="28"/>
          <w:highlight w:val="none"/>
          <w:lang w:val="en-US" w:eastAsia="zh-CN"/>
        </w:rPr>
        <w:t>报价清单</w:t>
      </w:r>
    </w:p>
    <w:p>
      <w:pPr>
        <w:keepNext w:val="0"/>
        <w:keepLines w:val="0"/>
        <w:pageBreakBefore w:val="0"/>
        <w:numPr>
          <w:ilvl w:val="0"/>
          <w:numId w:val="0"/>
        </w:numPr>
        <w:kinsoku/>
        <w:wordWrap/>
        <w:overflowPunct/>
        <w:topLinePunct w:val="0"/>
        <w:bidi w:val="0"/>
        <w:snapToGrid/>
        <w:spacing w:line="240" w:lineRule="auto"/>
        <w:ind w:left="1200" w:leftChars="0" w:firstLine="280" w:firstLineChars="100"/>
        <w:textAlignment w:val="auto"/>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rPr>
        <w:t>.履约保函（模板）</w:t>
      </w:r>
    </w:p>
    <w:p>
      <w:pPr>
        <w:keepNext w:val="0"/>
        <w:keepLines w:val="0"/>
        <w:pageBreakBefore w:val="0"/>
        <w:numPr>
          <w:ilvl w:val="0"/>
          <w:numId w:val="0"/>
        </w:numPr>
        <w:kinsoku/>
        <w:wordWrap/>
        <w:overflowPunct/>
        <w:topLinePunct w:val="0"/>
        <w:bidi w:val="0"/>
        <w:snapToGrid/>
        <w:spacing w:line="240" w:lineRule="auto"/>
        <w:ind w:left="1200" w:leftChars="0"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7.预付款保函（模板）</w:t>
      </w:r>
    </w:p>
    <w:p>
      <w:pPr>
        <w:keepNext w:val="0"/>
        <w:keepLines w:val="0"/>
        <w:pageBreakBefore w:val="0"/>
        <w:numPr>
          <w:ilvl w:val="0"/>
          <w:numId w:val="0"/>
        </w:numPr>
        <w:kinsoku/>
        <w:wordWrap/>
        <w:overflowPunct/>
        <w:topLinePunct w:val="0"/>
        <w:bidi w:val="0"/>
        <w:snapToGrid/>
        <w:spacing w:line="240" w:lineRule="auto"/>
        <w:ind w:left="1200" w:leftChars="0" w:firstLine="280"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rPr>
        <w:t>8.授权委托证明</w:t>
      </w:r>
    </w:p>
    <w:tbl>
      <w:tblPr>
        <w:tblStyle w:val="21"/>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甲方</w:t>
            </w:r>
            <w:r>
              <w:rPr>
                <w:rFonts w:hint="eastAsia" w:ascii="宋体" w:hAnsi="宋体" w:eastAsia="宋体" w:cs="宋体"/>
                <w:color w:val="auto"/>
                <w:sz w:val="28"/>
                <w:szCs w:val="28"/>
                <w:highlight w:val="none"/>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乙方</w:t>
            </w:r>
            <w:r>
              <w:rPr>
                <w:rFonts w:hint="eastAsia" w:ascii="宋体" w:hAnsi="宋体" w:eastAsia="宋体" w:cs="宋体"/>
                <w:color w:val="auto"/>
                <w:sz w:val="28"/>
                <w:szCs w:val="28"/>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签订日期:</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中标通知书</w:t>
      </w:r>
    </w:p>
    <w:p>
      <w:pPr>
        <w:keepNext w:val="0"/>
        <w:keepLines w:val="0"/>
        <w:pageBreakBefore w:val="0"/>
        <w:kinsoku/>
        <w:wordWrap/>
        <w:overflowPunct/>
        <w:topLinePunct w:val="0"/>
        <w:autoSpaceDE/>
        <w:autoSpaceDN/>
        <w:bidi w:val="0"/>
        <w:snapToGrid/>
        <w:spacing w:line="360" w:lineRule="auto"/>
        <w:jc w:val="left"/>
        <w:rPr>
          <w:rFonts w:hint="eastAsia" w:ascii="宋体" w:hAnsi="宋体" w:cs="宋体"/>
          <w:b/>
          <w:bCs/>
          <w:color w:val="auto"/>
          <w:szCs w:val="21"/>
          <w:highlight w:val="none"/>
          <w:lang w:val="en-US" w:eastAsia="zh-CN"/>
        </w:rPr>
      </w:pPr>
    </w:p>
    <w:p>
      <w:pPr>
        <w:keepNext w:val="0"/>
        <w:keepLines w:val="0"/>
        <w:pageBreakBefore w:val="0"/>
        <w:kinsoku/>
        <w:wordWrap/>
        <w:overflowPunct/>
        <w:topLinePunct w:val="0"/>
        <w:autoSpaceDE/>
        <w:autoSpaceDN/>
        <w:bidi w:val="0"/>
        <w:snapToGrid/>
        <w:spacing w:line="360" w:lineRule="auto"/>
        <w:jc w:val="left"/>
        <w:rPr>
          <w:rFonts w:hint="eastAsia" w:ascii="宋体" w:hAnsi="宋体" w:cs="宋体"/>
          <w:b/>
          <w:bCs/>
          <w:color w:val="auto"/>
          <w:szCs w:val="21"/>
          <w:highlight w:val="none"/>
          <w:lang w:val="en-US" w:eastAsia="zh-CN"/>
        </w:rPr>
      </w:pPr>
    </w:p>
    <w:p>
      <w:pPr>
        <w:keepNext w:val="0"/>
        <w:keepLines w:val="0"/>
        <w:pageBreakBefore w:val="0"/>
        <w:kinsoku/>
        <w:wordWrap/>
        <w:overflowPunct/>
        <w:topLinePunct w:val="0"/>
        <w:autoSpaceDE/>
        <w:autoSpaceDN/>
        <w:bidi w:val="0"/>
        <w:snapToGrid/>
        <w:spacing w:line="360" w:lineRule="auto"/>
        <w:jc w:val="left"/>
        <w:rPr>
          <w:rFonts w:hint="eastAsia" w:ascii="仿宋_GB2312" w:hAnsi="仿宋_GB2312" w:eastAsia="仿宋_GB2312" w:cs="仿宋_GB2312"/>
          <w:b w:val="0"/>
          <w:bCs/>
          <w:color w:val="auto"/>
          <w:sz w:val="28"/>
          <w:szCs w:val="28"/>
          <w:highlight w:val="none"/>
          <w:lang w:val="en-US" w:eastAsia="zh-CN"/>
        </w:rPr>
      </w:pPr>
      <w:r>
        <w:rPr>
          <w:rFonts w:hint="eastAsia" w:ascii="宋体" w:hAnsi="宋体" w:cs="宋体"/>
          <w:b/>
          <w:bCs/>
          <w:color w:val="auto"/>
          <w:szCs w:val="21"/>
          <w:highlight w:val="none"/>
          <w:lang w:val="en-US" w:eastAsia="zh-CN"/>
        </w:rPr>
        <w:t xml:space="preserve">附件2  </w:t>
      </w:r>
      <w:r>
        <w:rPr>
          <w:rFonts w:hint="eastAsia" w:ascii="宋体" w:hAnsi="宋体" w:cs="宋体"/>
          <w:b/>
          <w:bCs/>
          <w:color w:val="auto"/>
          <w:szCs w:val="21"/>
          <w:highlight w:val="none"/>
        </w:rPr>
        <w:t>廉洁协议</w:t>
      </w:r>
      <w:r>
        <w:rPr>
          <w:rFonts w:hint="eastAsia" w:ascii="宋体" w:hAnsi="宋体" w:cs="宋体"/>
          <w:b/>
          <w:bCs/>
          <w:color w:val="auto"/>
          <w:szCs w:val="21"/>
          <w:highlight w:val="non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240" w:lineRule="auto"/>
        <w:ind w:firstLine="630" w:firstLineChars="225"/>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8"/>
          <w:szCs w:val="28"/>
          <w:highlight w:val="none"/>
          <w:u w:val="single"/>
        </w:rPr>
        <w:t>广州市净水有限公司</w:t>
      </w:r>
      <w:r>
        <w:rPr>
          <w:rFonts w:hint="eastAsia" w:ascii="宋体" w:hAnsi="宋体" w:eastAsia="宋体" w:cs="宋体"/>
          <w:b w:val="0"/>
          <w:bCs/>
          <w:color w:val="auto"/>
          <w:sz w:val="28"/>
          <w:szCs w:val="28"/>
          <w:highlight w:val="none"/>
        </w:rPr>
        <w:t>(以下称甲方)与</w:t>
      </w:r>
      <w:r>
        <w:rPr>
          <w:rFonts w:hint="eastAsia" w:ascii="宋体" w:hAnsi="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240" w:lineRule="auto"/>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240" w:lineRule="auto"/>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（二）严格执行</w:t>
      </w:r>
      <w:r>
        <w:rPr>
          <w:rFonts w:hint="eastAsia" w:ascii="宋体" w:hAnsi="宋体" w:eastAsia="宋体" w:cs="宋体"/>
          <w:b w:val="0"/>
          <w:bCs/>
          <w:color w:val="auto"/>
          <w:sz w:val="28"/>
          <w:szCs w:val="28"/>
          <w:highlight w:val="none"/>
          <w:u w:val="single"/>
        </w:rPr>
        <w:t>广州市净水有限公司2022年</w:t>
      </w:r>
      <w:r>
        <w:rPr>
          <w:rFonts w:hint="eastAsia" w:ascii="宋体" w:hAnsi="宋体" w:cs="宋体"/>
          <w:b w:val="0"/>
          <w:bCs/>
          <w:color w:val="auto"/>
          <w:sz w:val="28"/>
          <w:szCs w:val="28"/>
          <w:highlight w:val="none"/>
          <w:u w:val="single"/>
          <w:lang w:eastAsia="zh-CN"/>
        </w:rPr>
        <w:t>双菱电气类</w:t>
      </w:r>
      <w:r>
        <w:rPr>
          <w:rFonts w:hint="eastAsia" w:ascii="宋体" w:hAnsi="宋体" w:eastAsia="宋体" w:cs="宋体"/>
          <w:b w:val="0"/>
          <w:bCs/>
          <w:color w:val="auto"/>
          <w:sz w:val="28"/>
          <w:szCs w:val="28"/>
          <w:highlight w:val="none"/>
          <w:u w:val="single"/>
        </w:rPr>
        <w:t>备品备件采购</w:t>
      </w:r>
      <w:r>
        <w:rPr>
          <w:rFonts w:hint="eastAsia" w:ascii="宋体" w:hAnsi="宋体" w:eastAsia="宋体" w:cs="宋体"/>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240" w:lineRule="auto"/>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240" w:lineRule="auto"/>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240" w:lineRule="auto"/>
        <w:ind w:firstLine="420" w:firstLineChars="15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（五）发现对方在业务活动中有不廉洁行为，应及时提醒对方纠正。情节严重的，应向其有关监督部门</w:t>
      </w:r>
      <w:r>
        <w:rPr>
          <w:rFonts w:hint="eastAsia" w:ascii="宋体" w:hAnsi="宋体" w:eastAsia="宋体" w:cs="宋体"/>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240" w:lineRule="auto"/>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240" w:lineRule="auto"/>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240" w:lineRule="auto"/>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240" w:lineRule="auto"/>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240" w:lineRule="auto"/>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w:t>
      </w:r>
      <w:r>
        <w:rPr>
          <w:rFonts w:hint="eastAsia" w:ascii="宋体" w:hAnsi="宋体" w:cs="宋体"/>
          <w:b w:val="0"/>
          <w:bCs/>
          <w:color w:val="auto"/>
          <w:sz w:val="28"/>
          <w:szCs w:val="28"/>
          <w:highlight w:val="none"/>
          <w:lang w:val="en-US" w:eastAsia="zh-CN"/>
        </w:rPr>
        <w:t>七</w:t>
      </w:r>
      <w:r>
        <w:rPr>
          <w:rFonts w:hint="eastAsia" w:ascii="宋体" w:hAnsi="宋体" w:eastAsia="宋体" w:cs="宋体"/>
          <w:b w:val="0"/>
          <w:bCs/>
          <w:color w:val="auto"/>
          <w:sz w:val="28"/>
          <w:szCs w:val="28"/>
          <w:highlight w:val="none"/>
        </w:rPr>
        <w:t>）甲方工作人员不得接受乙方给予或赠送的干股或红利。</w:t>
      </w:r>
    </w:p>
    <w:p>
      <w:pPr>
        <w:keepNext w:val="0"/>
        <w:keepLines w:val="0"/>
        <w:pageBreakBefore w:val="0"/>
        <w:kinsoku/>
        <w:wordWrap/>
        <w:overflowPunct/>
        <w:topLinePunct w:val="0"/>
        <w:autoSpaceDE/>
        <w:autoSpaceDN/>
        <w:bidi w:val="0"/>
        <w:adjustRightInd/>
        <w:snapToGrid/>
        <w:spacing w:line="240" w:lineRule="auto"/>
        <w:ind w:left="15" w:leftChars="7"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w:t>
      </w:r>
      <w:r>
        <w:rPr>
          <w:rFonts w:hint="eastAsia" w:ascii="宋体" w:hAnsi="宋体" w:cs="宋体"/>
          <w:b w:val="0"/>
          <w:bCs/>
          <w:color w:val="auto"/>
          <w:sz w:val="28"/>
          <w:szCs w:val="28"/>
          <w:highlight w:val="none"/>
          <w:lang w:val="en-US" w:eastAsia="zh-CN"/>
        </w:rPr>
        <w:t>八</w:t>
      </w: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240" w:lineRule="auto"/>
        <w:ind w:left="25" w:leftChars="12"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（三）乙方不得以任何理由安排甲方工作人员参加可能影响相关业务公开、公正、公平性的宴请及娱乐活动。</w:t>
      </w:r>
    </w:p>
    <w:p>
      <w:pPr>
        <w:keepNext w:val="0"/>
        <w:keepLines w:val="0"/>
        <w:pageBreakBefore w:val="0"/>
        <w:kinsoku/>
        <w:wordWrap/>
        <w:overflowPunct/>
        <w:topLinePunct w:val="0"/>
        <w:autoSpaceDE/>
        <w:autoSpaceDN/>
        <w:bidi w:val="0"/>
        <w:adjustRightInd/>
        <w:snapToGrid/>
        <w:spacing w:line="240" w:lineRule="auto"/>
        <w:ind w:left="25" w:leftChars="12"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（五）乙方不得擅自与甲方工作人员就</w:t>
      </w:r>
      <w:r>
        <w:rPr>
          <w:rFonts w:hint="eastAsia" w:ascii="宋体" w:hAnsi="宋体" w:eastAsia="宋体" w:cs="宋体"/>
          <w:b w:val="0"/>
          <w:bCs/>
          <w:color w:val="auto"/>
          <w:sz w:val="28"/>
          <w:szCs w:val="28"/>
          <w:highlight w:val="none"/>
          <w:lang w:val="en-US" w:eastAsia="zh-CN"/>
        </w:rPr>
        <w:t>主</w:t>
      </w:r>
      <w:r>
        <w:rPr>
          <w:rFonts w:hint="eastAsia" w:ascii="宋体" w:hAnsi="宋体" w:eastAsia="宋体" w:cs="宋体"/>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w:t>
      </w:r>
      <w:r>
        <w:rPr>
          <w:rFonts w:hint="eastAsia" w:ascii="宋体" w:hAnsi="宋体" w:cs="宋体"/>
          <w:b w:val="0"/>
          <w:bCs/>
          <w:color w:val="auto"/>
          <w:sz w:val="28"/>
          <w:szCs w:val="28"/>
          <w:highlight w:val="none"/>
          <w:lang w:val="en-US" w:eastAsia="zh-CN"/>
        </w:rPr>
        <w:t>八</w:t>
      </w: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甲方举报投诉联系部门：广州市净水有限公司</w:t>
      </w:r>
      <w:r>
        <w:rPr>
          <w:rFonts w:hint="eastAsia" w:ascii="宋体" w:hAnsi="宋体" w:eastAsia="宋体" w:cs="宋体"/>
          <w:b w:val="0"/>
          <w:bCs/>
          <w:color w:val="auto"/>
          <w:sz w:val="28"/>
          <w:szCs w:val="28"/>
          <w:highlight w:val="none"/>
          <w:u w:val="single"/>
        </w:rPr>
        <w:t>纪检室</w:t>
      </w:r>
      <w:r>
        <w:rPr>
          <w:rFonts w:hint="eastAsia" w:ascii="宋体" w:hAnsi="宋体" w:eastAsia="宋体" w:cs="宋体"/>
          <w:b w:val="0"/>
          <w:bCs/>
          <w:color w:val="auto"/>
          <w:sz w:val="28"/>
          <w:szCs w:val="28"/>
          <w:highlight w:val="none"/>
        </w:rPr>
        <w:t>，联系电话：</w:t>
      </w:r>
      <w:r>
        <w:rPr>
          <w:rFonts w:hint="eastAsia" w:ascii="宋体" w:hAnsi="宋体" w:eastAsia="宋体" w:cs="宋体"/>
          <w:b w:val="0"/>
          <w:bCs/>
          <w:color w:val="auto"/>
          <w:sz w:val="28"/>
          <w:szCs w:val="28"/>
          <w:highlight w:val="none"/>
          <w:u w:val="single"/>
        </w:rPr>
        <w:t xml:space="preserve"> 020-38890265 </w:t>
      </w:r>
      <w:r>
        <w:rPr>
          <w:rFonts w:hint="eastAsia" w:ascii="宋体" w:hAnsi="宋体" w:eastAsia="宋体" w:cs="宋体"/>
          <w:b w:val="0"/>
          <w:bCs/>
          <w:color w:val="auto"/>
          <w:sz w:val="28"/>
          <w:szCs w:val="28"/>
          <w:highlight w:val="none"/>
        </w:rPr>
        <w:t>。</w:t>
      </w:r>
    </w:p>
    <w:p>
      <w:pPr>
        <w:keepNext w:val="0"/>
        <w:keepLines w:val="0"/>
        <w:pageBreakBefore w:val="0"/>
        <w:numPr>
          <w:ilvl w:val="0"/>
          <w:numId w:val="4"/>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乙方及其工作人员</w:t>
      </w:r>
      <w:r>
        <w:rPr>
          <w:rFonts w:hint="eastAsia" w:ascii="宋体" w:hAnsi="宋体" w:eastAsia="宋体" w:cs="宋体"/>
          <w:b w:val="0"/>
          <w:bCs/>
          <w:i w:val="0"/>
          <w:iCs w:val="0"/>
          <w:caps w:val="0"/>
          <w:color w:val="auto"/>
          <w:spacing w:val="0"/>
          <w:sz w:val="28"/>
          <w:szCs w:val="28"/>
          <w:highlight w:val="none"/>
          <w:lang w:val="en-US" w:eastAsia="zh-CN"/>
        </w:rPr>
        <w:t>存在</w:t>
      </w:r>
      <w:r>
        <w:rPr>
          <w:rFonts w:hint="eastAsia" w:ascii="宋体" w:hAnsi="宋体" w:eastAsia="宋体" w:cs="宋体"/>
          <w:b w:val="0"/>
          <w:bCs/>
          <w:i w:val="0"/>
          <w:iCs w:val="0"/>
          <w:caps w:val="0"/>
          <w:color w:val="auto"/>
          <w:spacing w:val="0"/>
          <w:sz w:val="28"/>
          <w:szCs w:val="28"/>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8"/>
          <w:szCs w:val="28"/>
          <w:highlight w:val="none"/>
          <w:lang w:val="en-US" w:eastAsia="zh-CN"/>
        </w:rPr>
        <w:t>的行为</w:t>
      </w:r>
      <w:r>
        <w:rPr>
          <w:rFonts w:hint="eastAsia" w:ascii="宋体" w:hAnsi="宋体" w:eastAsia="宋体" w:cs="宋体"/>
          <w:b w:val="0"/>
          <w:bCs/>
          <w:i w:val="0"/>
          <w:iCs w:val="0"/>
          <w:caps w:val="0"/>
          <w:color w:val="auto"/>
          <w:spacing w:val="0"/>
          <w:sz w:val="28"/>
          <w:szCs w:val="28"/>
          <w:highlight w:val="none"/>
        </w:rPr>
        <w:t>，</w:t>
      </w:r>
      <w:r>
        <w:rPr>
          <w:rFonts w:hint="eastAsia" w:ascii="宋体" w:hAnsi="宋体" w:eastAsia="宋体" w:cs="宋体"/>
          <w:b w:val="0"/>
          <w:bCs/>
          <w:i w:val="0"/>
          <w:iCs w:val="0"/>
          <w:caps w:val="0"/>
          <w:color w:val="auto"/>
          <w:spacing w:val="0"/>
          <w:sz w:val="28"/>
          <w:szCs w:val="28"/>
          <w:highlight w:val="none"/>
          <w:lang w:val="en-US" w:eastAsia="zh-CN"/>
        </w:rPr>
        <w:t>无论该行为是否与主合同有关，</w:t>
      </w:r>
      <w:r>
        <w:rPr>
          <w:rFonts w:hint="eastAsia" w:ascii="宋体" w:hAnsi="宋体" w:eastAsia="宋体" w:cs="宋体"/>
          <w:b w:val="0"/>
          <w:bCs/>
          <w:i w:val="0"/>
          <w:iCs w:val="0"/>
          <w:caps w:val="0"/>
          <w:color w:val="auto"/>
          <w:spacing w:val="0"/>
          <w:sz w:val="28"/>
          <w:szCs w:val="28"/>
          <w:highlight w:val="none"/>
        </w:rPr>
        <w:t>甲方</w:t>
      </w:r>
      <w:r>
        <w:rPr>
          <w:rFonts w:hint="eastAsia" w:ascii="宋体" w:hAnsi="宋体" w:eastAsia="宋体" w:cs="宋体"/>
          <w:b w:val="0"/>
          <w:bCs/>
          <w:i w:val="0"/>
          <w:iCs w:val="0"/>
          <w:caps w:val="0"/>
          <w:color w:val="auto"/>
          <w:spacing w:val="0"/>
          <w:sz w:val="28"/>
          <w:szCs w:val="28"/>
          <w:highlight w:val="none"/>
          <w:lang w:val="en-US" w:eastAsia="zh-CN"/>
        </w:rPr>
        <w:t>均</w:t>
      </w:r>
      <w:r>
        <w:rPr>
          <w:rFonts w:hint="eastAsia" w:ascii="宋体" w:hAnsi="宋体" w:eastAsia="宋体" w:cs="宋体"/>
          <w:b w:val="0"/>
          <w:bCs/>
          <w:i w:val="0"/>
          <w:iCs w:val="0"/>
          <w:caps w:val="0"/>
          <w:color w:val="auto"/>
          <w:spacing w:val="0"/>
          <w:sz w:val="28"/>
          <w:szCs w:val="28"/>
          <w:highlight w:val="none"/>
        </w:rPr>
        <w:t>有权根据具体情节和造成的后果，对乙方采取以下处理</w:t>
      </w:r>
      <w:r>
        <w:rPr>
          <w:rFonts w:hint="eastAsia" w:ascii="宋体" w:hAnsi="宋体" w:eastAsia="宋体" w:cs="宋体"/>
          <w:b w:val="0"/>
          <w:bCs/>
          <w:i w:val="0"/>
          <w:iCs w:val="0"/>
          <w:caps w:val="0"/>
          <w:color w:val="auto"/>
          <w:spacing w:val="0"/>
          <w:sz w:val="28"/>
          <w:szCs w:val="28"/>
          <w:highlight w:val="none"/>
          <w:lang w:val="en-US" w:eastAsia="zh-CN"/>
        </w:rPr>
        <w:t>方式</w:t>
      </w:r>
      <w:r>
        <w:rPr>
          <w:rFonts w:hint="eastAsia" w:ascii="宋体" w:hAnsi="宋体" w:eastAsia="宋体" w:cs="宋体"/>
          <w:b w:val="0"/>
          <w:bCs/>
          <w:i w:val="0"/>
          <w:iCs w:val="0"/>
          <w:caps w:val="0"/>
          <w:color w:val="auto"/>
          <w:spacing w:val="0"/>
          <w:sz w:val="28"/>
          <w:szCs w:val="28"/>
          <w:highlight w:val="none"/>
        </w:rPr>
        <w:t>：</w:t>
      </w:r>
    </w:p>
    <w:p>
      <w:pPr>
        <w:keepNext w:val="0"/>
        <w:keepLines w:val="0"/>
        <w:pageBreakBefore w:val="0"/>
        <w:numPr>
          <w:ilvl w:val="0"/>
          <w:numId w:val="5"/>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扣除主合同的全部履约保证金；</w:t>
      </w:r>
    </w:p>
    <w:p>
      <w:pPr>
        <w:keepNext w:val="0"/>
        <w:keepLines w:val="0"/>
        <w:pageBreakBefore w:val="0"/>
        <w:numPr>
          <w:ilvl w:val="0"/>
          <w:numId w:val="5"/>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解除</w:t>
      </w:r>
      <w:r>
        <w:rPr>
          <w:rFonts w:hint="eastAsia" w:ascii="宋体" w:hAnsi="宋体" w:eastAsia="宋体" w:cs="宋体"/>
          <w:b w:val="0"/>
          <w:bCs/>
          <w:i w:val="0"/>
          <w:iCs w:val="0"/>
          <w:caps w:val="0"/>
          <w:color w:val="auto"/>
          <w:spacing w:val="0"/>
          <w:sz w:val="28"/>
          <w:szCs w:val="28"/>
          <w:highlight w:val="none"/>
          <w:lang w:val="en-US" w:eastAsia="zh-CN"/>
        </w:rPr>
        <w:t>主合同</w:t>
      </w:r>
      <w:r>
        <w:rPr>
          <w:rFonts w:hint="eastAsia" w:ascii="宋体" w:hAnsi="宋体" w:eastAsia="宋体" w:cs="宋体"/>
          <w:b w:val="0"/>
          <w:bCs/>
          <w:i w:val="0"/>
          <w:iCs w:val="0"/>
          <w:caps w:val="0"/>
          <w:color w:val="auto"/>
          <w:spacing w:val="0"/>
          <w:sz w:val="28"/>
          <w:szCs w:val="28"/>
          <w:highlight w:val="none"/>
        </w:rPr>
        <w:t>；</w:t>
      </w:r>
    </w:p>
    <w:p>
      <w:pPr>
        <w:keepNext w:val="0"/>
        <w:keepLines w:val="0"/>
        <w:pageBreakBefore w:val="0"/>
        <w:numPr>
          <w:ilvl w:val="0"/>
          <w:numId w:val="5"/>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追究乙方其他违约责任；</w:t>
      </w:r>
    </w:p>
    <w:p>
      <w:pPr>
        <w:keepNext w:val="0"/>
        <w:keepLines w:val="0"/>
        <w:pageBreakBefore w:val="0"/>
        <w:numPr>
          <w:ilvl w:val="0"/>
          <w:numId w:val="5"/>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根据甲方的有关规章制度，在一定时间内暂停乙方参与甲方及下属单位所有项目的交易资格；</w:t>
      </w:r>
    </w:p>
    <w:p>
      <w:pPr>
        <w:keepNext w:val="0"/>
        <w:keepLines w:val="0"/>
        <w:pageBreakBefore w:val="0"/>
        <w:numPr>
          <w:ilvl w:val="0"/>
          <w:numId w:val="5"/>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根据甲方的有关规章制度，将乙方清退出甲方相关企业库；</w:t>
      </w:r>
    </w:p>
    <w:p>
      <w:pPr>
        <w:keepNext w:val="0"/>
        <w:keepLines w:val="0"/>
        <w:pageBreakBefore w:val="0"/>
        <w:numPr>
          <w:ilvl w:val="0"/>
          <w:numId w:val="5"/>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根据甲方上级单位、行政主管部门的意见、决定执行；</w:t>
      </w:r>
    </w:p>
    <w:p>
      <w:pPr>
        <w:keepNext w:val="0"/>
        <w:keepLines w:val="0"/>
        <w:pageBreakBefore w:val="0"/>
        <w:numPr>
          <w:ilvl w:val="0"/>
          <w:numId w:val="5"/>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240" w:lineRule="auto"/>
        <w:ind w:firstLine="560" w:firstLineChars="200"/>
        <w:textAlignment w:val="auto"/>
        <w:rPr>
          <w:rFonts w:hint="eastAsia" w:ascii="宋体" w:hAnsi="宋体" w:eastAsia="宋体" w:cs="宋体"/>
          <w:b w:val="0"/>
          <w:bCs/>
          <w:color w:val="auto"/>
          <w:kern w:val="0"/>
          <w:sz w:val="28"/>
          <w:szCs w:val="28"/>
          <w:highlight w:val="none"/>
        </w:rPr>
      </w:pPr>
      <w:r>
        <w:rPr>
          <w:rFonts w:hint="eastAsia" w:ascii="宋体" w:hAnsi="宋体" w:eastAsia="宋体" w:cs="宋体"/>
          <w:b w:val="0"/>
          <w:bCs/>
          <w:color w:val="auto"/>
          <w:sz w:val="28"/>
          <w:szCs w:val="28"/>
          <w:highlight w:val="none"/>
        </w:rPr>
        <w:t xml:space="preserve">第五条 </w:t>
      </w:r>
      <w:r>
        <w:rPr>
          <w:rFonts w:hint="eastAsia" w:ascii="宋体" w:hAnsi="宋体" w:eastAsia="宋体" w:cs="宋体"/>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第六条本协议作为</w:t>
      </w:r>
      <w:r>
        <w:rPr>
          <w:rFonts w:hint="eastAsia" w:ascii="宋体" w:hAnsi="宋体" w:eastAsia="宋体" w:cs="宋体"/>
          <w:b w:val="0"/>
          <w:bCs/>
          <w:color w:val="auto"/>
          <w:sz w:val="28"/>
          <w:szCs w:val="28"/>
          <w:highlight w:val="none"/>
          <w:u w:val="single"/>
        </w:rPr>
        <w:t>广州市净水有限公司2022年</w:t>
      </w:r>
      <w:r>
        <w:rPr>
          <w:rFonts w:hint="eastAsia" w:ascii="宋体" w:hAnsi="宋体" w:cs="宋体"/>
          <w:b w:val="0"/>
          <w:bCs/>
          <w:color w:val="auto"/>
          <w:sz w:val="28"/>
          <w:szCs w:val="28"/>
          <w:highlight w:val="none"/>
          <w:u w:val="single"/>
          <w:lang w:eastAsia="zh-CN"/>
        </w:rPr>
        <w:t>双菱电气类</w:t>
      </w:r>
      <w:r>
        <w:rPr>
          <w:rFonts w:hint="eastAsia" w:ascii="宋体" w:hAnsi="宋体" w:eastAsia="宋体" w:cs="宋体"/>
          <w:b w:val="0"/>
          <w:bCs/>
          <w:color w:val="auto"/>
          <w:sz w:val="28"/>
          <w:szCs w:val="28"/>
          <w:highlight w:val="none"/>
          <w:u w:val="single"/>
        </w:rPr>
        <w:t>备品备件采购</w:t>
      </w:r>
      <w:r>
        <w:rPr>
          <w:rFonts w:hint="eastAsia" w:ascii="宋体" w:hAnsi="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single"/>
        </w:rPr>
        <w:t>穗净水合[2022]    号</w:t>
      </w:r>
      <w:r>
        <w:rPr>
          <w:rFonts w:hint="eastAsia" w:ascii="宋体" w:hAnsi="宋体" w:eastAsia="宋体" w:cs="宋体"/>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第七条本协议一式</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份，甲方</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份，乙方</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甲方（盖章）：                     乙方（盖章）：</w:t>
      </w:r>
    </w:p>
    <w:p>
      <w:pPr>
        <w:pStyle w:val="30"/>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日期:    年  月  日</w:t>
      </w:r>
      <w:r>
        <w:rPr>
          <w:rFonts w:hint="eastAsia" w:ascii="宋体" w:hAnsi="宋体" w:eastAsia="宋体" w:cs="宋体"/>
          <w:b w:val="0"/>
          <w:bCs/>
          <w:color w:val="auto"/>
          <w:sz w:val="28"/>
          <w:szCs w:val="28"/>
          <w:highlight w:val="none"/>
        </w:rPr>
        <w:tab/>
      </w:r>
      <w:r>
        <w:rPr>
          <w:rFonts w:hint="eastAsia" w:ascii="宋体" w:hAnsi="宋体" w:cs="宋体"/>
          <w:b w:val="0"/>
          <w:bCs/>
          <w:color w:val="auto"/>
          <w:sz w:val="28"/>
          <w:szCs w:val="28"/>
          <w:highlight w:val="none"/>
          <w:lang w:val="en-US" w:eastAsia="zh-CN"/>
        </w:rPr>
        <w:t xml:space="preserve">     </w:t>
      </w:r>
      <w:r>
        <w:rPr>
          <w:rFonts w:hint="eastAsia" w:ascii="宋体" w:hAnsi="宋体" w:eastAsia="宋体" w:cs="宋体"/>
          <w:b w:val="0"/>
          <w:bCs/>
          <w:color w:val="auto"/>
          <w:sz w:val="28"/>
          <w:szCs w:val="28"/>
          <w:highlight w:val="none"/>
        </w:rPr>
        <w:t>日期：  年  月  日</w:t>
      </w:r>
    </w:p>
    <w:p>
      <w:pPr>
        <w:pStyle w:val="2"/>
        <w:ind w:firstLine="0"/>
        <w:rPr>
          <w:rFonts w:hint="eastAsia" w:ascii="宋体" w:hAnsi="宋体" w:eastAsia="宋体" w:cs="宋体"/>
          <w:b/>
          <w:bCs/>
          <w:color w:val="auto"/>
          <w:sz w:val="21"/>
          <w:szCs w:val="21"/>
          <w:highlight w:val="none"/>
          <w:lang w:val="en-US" w:eastAsia="zh-CN"/>
        </w:rPr>
      </w:pPr>
    </w:p>
    <w:p>
      <w:pPr>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附件3  不诚信行为的情形及相应被暂停参与投标活动的处理标准</w:t>
      </w:r>
    </w:p>
    <w:p>
      <w:pPr>
        <w:pStyle w:val="2"/>
        <w:rPr>
          <w:rFonts w:hint="eastAsia"/>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
        <w:gridCol w:w="472"/>
        <w:gridCol w:w="5037"/>
        <w:gridCol w:w="591"/>
        <w:gridCol w:w="1943"/>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序号</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不诚信行为的情形</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处理</w:t>
            </w:r>
          </w:p>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情节严重或拒不改正的延长处理期限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安全不诚信行为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（一）建设生产现场发生人员</w:t>
            </w:r>
            <w:r>
              <w:rPr>
                <w:rFonts w:hint="eastAsia" w:ascii="宋体" w:hAnsi="宋体" w:eastAsia="宋体" w:cs="宋体"/>
                <w:color w:val="auto"/>
                <w:sz w:val="15"/>
                <w:szCs w:val="15"/>
                <w:highlight w:val="none"/>
                <w:lang w:eastAsia="zh-CN"/>
              </w:rPr>
              <w:t>重伤或</w:t>
            </w:r>
            <w:r>
              <w:rPr>
                <w:rFonts w:hint="eastAsia" w:ascii="宋体" w:hAnsi="宋体" w:eastAsia="宋体" w:cs="宋体"/>
                <w:color w:val="auto"/>
                <w:sz w:val="15"/>
                <w:szCs w:val="15"/>
                <w:highlight w:val="none"/>
              </w:rPr>
              <w:t>死亡的。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发生</w:t>
            </w:r>
            <w:r>
              <w:rPr>
                <w:rFonts w:hint="eastAsia" w:ascii="宋体" w:hAnsi="宋体" w:eastAsia="宋体" w:cs="宋体"/>
                <w:color w:val="auto"/>
                <w:sz w:val="15"/>
                <w:szCs w:val="15"/>
                <w:highlight w:val="none"/>
                <w:lang w:eastAsia="zh-CN"/>
              </w:rPr>
              <w:t>重伤或</w:t>
            </w:r>
            <w:r>
              <w:rPr>
                <w:rFonts w:hint="eastAsia" w:ascii="宋体" w:hAnsi="宋体" w:eastAsia="宋体" w:cs="宋体"/>
                <w:color w:val="auto"/>
                <w:sz w:val="15"/>
                <w:szCs w:val="15"/>
                <w:highlight w:val="none"/>
              </w:rPr>
              <w:t>死亡1～2人的，暂停投标1年至2年（含）。</w:t>
            </w:r>
          </w:p>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发生</w:t>
            </w:r>
            <w:r>
              <w:rPr>
                <w:rFonts w:hint="eastAsia" w:ascii="宋体" w:hAnsi="宋体" w:eastAsia="宋体" w:cs="宋体"/>
                <w:color w:val="auto"/>
                <w:sz w:val="15"/>
                <w:szCs w:val="15"/>
                <w:highlight w:val="none"/>
                <w:lang w:eastAsia="zh-CN"/>
              </w:rPr>
              <w:t>重伤或</w:t>
            </w:r>
            <w:r>
              <w:rPr>
                <w:rFonts w:hint="eastAsia" w:ascii="宋体" w:hAnsi="宋体" w:eastAsia="宋体" w:cs="宋体"/>
                <w:color w:val="auto"/>
                <w:sz w:val="15"/>
                <w:szCs w:val="15"/>
                <w:highlight w:val="none"/>
              </w:rPr>
              <w:t>死亡3～9人的，暂停投标2年以上至4年。</w:t>
            </w:r>
          </w:p>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发生</w:t>
            </w:r>
            <w:r>
              <w:rPr>
                <w:rFonts w:hint="eastAsia" w:ascii="宋体" w:hAnsi="宋体" w:eastAsia="宋体" w:cs="宋体"/>
                <w:color w:val="auto"/>
                <w:sz w:val="15"/>
                <w:szCs w:val="15"/>
                <w:highlight w:val="none"/>
                <w:lang w:val="en-US" w:eastAsia="zh-CN"/>
              </w:rPr>
              <w:t>重伤10人以上（含）、或</w:t>
            </w:r>
            <w:r>
              <w:rPr>
                <w:rFonts w:hint="eastAsia" w:ascii="宋体" w:hAnsi="宋体" w:eastAsia="宋体" w:cs="宋体"/>
                <w:color w:val="auto"/>
                <w:sz w:val="15"/>
                <w:szCs w:val="15"/>
                <w:highlight w:val="none"/>
              </w:rPr>
              <w:t>重大及以上事故的，暂停投标4年或以上</w:t>
            </w:r>
            <w:r>
              <w:rPr>
                <w:rFonts w:hint="eastAsia" w:ascii="宋体" w:hAnsi="宋体" w:eastAsia="宋体" w:cs="宋体"/>
                <w:color w:val="auto"/>
                <w:sz w:val="15"/>
                <w:szCs w:val="15"/>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15"/>
                <w:szCs w:val="15"/>
                <w:highlight w:val="none"/>
                <w:lang w:eastAsia="zh-CN"/>
              </w:rPr>
              <w:t>大面积运营晚点，</w:t>
            </w:r>
            <w:r>
              <w:rPr>
                <w:rFonts w:hint="eastAsia" w:ascii="宋体" w:hAnsi="宋体" w:eastAsia="宋体" w:cs="宋体"/>
                <w:color w:val="auto"/>
                <w:sz w:val="15"/>
                <w:szCs w:val="15"/>
                <w:highlight w:val="none"/>
              </w:rPr>
              <w:t>或群体性事件等。</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视情况暂停投标1至2年。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（三）</w:t>
            </w:r>
            <w:r>
              <w:rPr>
                <w:rFonts w:hint="eastAsia" w:ascii="宋体" w:hAnsi="宋体" w:eastAsia="宋体" w:cs="宋体"/>
                <w:color w:val="auto"/>
                <w:sz w:val="15"/>
                <w:szCs w:val="15"/>
                <w:highlight w:val="none"/>
                <w:lang w:val="en-US" w:eastAsia="zh-CN"/>
              </w:rPr>
              <w:t>根据《广州市净水有限公司工程项目承包单位考评细则》安全管理未达标且符合限制投标处罚标准的。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暂停投标1年。若至下一个自然年度项目尚未完结，仍出现该款情形的，继续暂停投标1年；同理执行至工程建设项目完工验收完成。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质量不诚信行为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（一）由于质量问题对建设项目的使用功能造成影响且无法挽回的。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暂停投标1年。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二</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根据《广州市净水有限公司工程项目承包单位考评细则》质量管理未达标且符合限制投标处罚标准的。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暂停投标</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年</w:t>
            </w:r>
            <w:r>
              <w:rPr>
                <w:rFonts w:hint="eastAsia" w:ascii="宋体" w:hAnsi="宋体" w:eastAsia="宋体" w:cs="宋体"/>
                <w:color w:val="auto"/>
                <w:sz w:val="15"/>
                <w:szCs w:val="15"/>
                <w:highlight w:val="none"/>
              </w:rPr>
              <w:t>。若至下一个自然年度项目尚未完结，仍出现该款情形的，继续暂停投标</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年</w:t>
            </w:r>
            <w:r>
              <w:rPr>
                <w:rFonts w:hint="eastAsia" w:ascii="宋体" w:hAnsi="宋体" w:eastAsia="宋体" w:cs="宋体"/>
                <w:color w:val="auto"/>
                <w:sz w:val="15"/>
                <w:szCs w:val="15"/>
                <w:highlight w:val="none"/>
              </w:rPr>
              <w:t>；同理执行至工程建设项目完工验收完成。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（三）发生其他由质量问题而引起的重大社会负面影响事件的。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7</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其他不诚信</w:t>
            </w:r>
          </w:p>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（一）</w:t>
            </w:r>
            <w:r>
              <w:rPr>
                <w:rFonts w:hint="eastAsia" w:ascii="宋体" w:hAnsi="宋体" w:eastAsia="宋体" w:cs="宋体"/>
                <w:color w:val="auto"/>
                <w:sz w:val="15"/>
                <w:szCs w:val="15"/>
                <w:highlight w:val="none"/>
                <w:lang w:val="en-US" w:eastAsia="zh-CN"/>
              </w:rPr>
              <w:t>投标、询价过程弄虚作假、串通报价投标、任意弃标</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（二）发生质量事故或安全事故造成社会负面影响需要面对媒体和进行危机公关，参建企业法定代表人在规定的时间内未到现场面对媒体进行危机公关的。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（三）因参建企业原因造成信访、维稳事件，造成较大社会影响。</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（四）中标后转包工程、非法分包工程、非法转让业务的。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（五）因人员、机械投入及配套服务投入不足，主要管理人员未按照投标文件响应到位，导致严重影响工期，被市水投集团相关部门及发包人督办、警告和约谈3次的。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（六）未经批准擅自更换项目经理的。</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（七）严重违反合同约定的，具体包括但不限于以下行为：</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1.提供或使用假冒伪劣或以次充好产品、不符合国家规范规定材料的。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2.工程竣工验收后，不出具质量保修书的，或质量保修的内容、期限违反规定的。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3.不履行保修义务或者拖延履行保修义务的。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4.其他经认定为严重违反合同规定的。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（八）违反廉洁协议约定的。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（九）拖欠农民工工资，造成不良后果的。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（十）为谋取非法利益，给市水投集团或发包人造成损失的。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（十一）因参建企业原因造成第三者财产重大损失的。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spacing w:line="200" w:lineRule="exact"/>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（十二）</w:t>
            </w:r>
            <w:r>
              <w:rPr>
                <w:rFonts w:hint="eastAsia" w:ascii="宋体" w:hAnsi="宋体" w:eastAsia="宋体" w:cs="宋体"/>
                <w:color w:val="auto"/>
                <w:sz w:val="15"/>
                <w:szCs w:val="15"/>
                <w:highlight w:val="none"/>
                <w:lang w:val="en-US" w:eastAsia="zh-CN"/>
              </w:rPr>
              <w:t>经发包人认定的其他不诚信行为</w:t>
            </w:r>
            <w:r>
              <w:rPr>
                <w:rFonts w:hint="eastAsia" w:ascii="宋体" w:hAnsi="宋体" w:eastAsia="宋体" w:cs="宋体"/>
                <w:color w:val="auto"/>
                <w:sz w:val="15"/>
                <w:szCs w:val="15"/>
                <w:highlight w:val="none"/>
              </w:rPr>
              <w:t>。</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bl>
    <w:p>
      <w:pPr>
        <w:numPr>
          <w:ilvl w:val="0"/>
          <w:numId w:val="0"/>
        </w:numPr>
        <w:spacing w:line="200" w:lineRule="exact"/>
        <w:ind w:firstLine="0" w:firstLineChars="0"/>
        <w:contextualSpacing/>
        <w:jc w:val="lef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备注：本处理标准出自</w:t>
      </w:r>
      <w:r>
        <w:rPr>
          <w:rFonts w:hint="eastAsia" w:ascii="宋体" w:hAnsi="宋体" w:eastAsia="宋体" w:cs="宋体"/>
          <w:color w:val="auto"/>
          <w:sz w:val="15"/>
          <w:szCs w:val="15"/>
          <w:highlight w:val="none"/>
        </w:rPr>
        <w:t>《广州市净水有限公司经营建设项目参建企业不诚信行为管理办法》</w:t>
      </w:r>
      <w:r>
        <w:rPr>
          <w:rFonts w:hint="eastAsia" w:ascii="宋体" w:hAnsi="宋体" w:eastAsia="宋体" w:cs="宋体"/>
          <w:color w:val="auto"/>
          <w:sz w:val="15"/>
          <w:szCs w:val="15"/>
          <w:highlight w:val="none"/>
          <w:lang w:eastAsia="zh-CN"/>
        </w:rPr>
        <w:t>。</w:t>
      </w:r>
    </w:p>
    <w:p>
      <w:pPr>
        <w:spacing w:line="520" w:lineRule="exact"/>
        <w:rPr>
          <w:rFonts w:hint="eastAsia" w:ascii="宋体" w:hAnsi="宋体" w:eastAsia="宋体" w:cs="宋体"/>
          <w:b/>
          <w:color w:val="auto"/>
          <w:sz w:val="24"/>
          <w:highlight w:val="none"/>
        </w:rPr>
      </w:pPr>
    </w:p>
    <w:p>
      <w:pPr>
        <w:spacing w:line="360" w:lineRule="auto"/>
        <w:rPr>
          <w:rFonts w:hint="eastAsia" w:ascii="宋体" w:hAnsi="宋体" w:cs="宋体"/>
          <w:b/>
          <w:bCs/>
          <w:color w:val="auto"/>
          <w:szCs w:val="21"/>
          <w:highlight w:val="none"/>
          <w:lang w:val="en-US" w:eastAsia="zh-CN"/>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附件4  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auto"/>
          <w:kern w:val="0"/>
          <w:sz w:val="2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keepNext w:val="0"/>
        <w:keepLines w:val="0"/>
        <w:pageBreakBefore w:val="0"/>
        <w:kinsoku/>
        <w:wordWrap/>
        <w:overflowPunct/>
        <w:topLinePunct w:val="0"/>
        <w:autoSpaceDE/>
        <w:autoSpaceDN/>
        <w:bidi w:val="0"/>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广州市净水有限公司2022年</w:t>
      </w:r>
      <w:r>
        <w:rPr>
          <w:rFonts w:hint="eastAsia" w:asciiTheme="minorEastAsia" w:hAnsiTheme="minorEastAsia" w:eastAsiaTheme="minorEastAsia"/>
          <w:color w:val="auto"/>
          <w:sz w:val="24"/>
          <w:highlight w:val="none"/>
          <w:u w:val="single"/>
          <w:lang w:eastAsia="zh-CN"/>
        </w:rPr>
        <w:t>双菱电气类</w:t>
      </w:r>
      <w:r>
        <w:rPr>
          <w:rFonts w:hint="eastAsia" w:asciiTheme="minorEastAsia" w:hAnsiTheme="minorEastAsia" w:eastAsiaTheme="minorEastAsia"/>
          <w:color w:val="auto"/>
          <w:sz w:val="24"/>
          <w:highlight w:val="none"/>
          <w:u w:val="single"/>
        </w:rPr>
        <w:t>备品备件采购</w:t>
      </w:r>
      <w:r>
        <w:rPr>
          <w:rFonts w:hint="eastAsia" w:asciiTheme="minorEastAsia" w:hAnsiTheme="minorEastAsia" w:eastAsiaTheme="minorEastAsia"/>
          <w:color w:val="auto"/>
          <w:sz w:val="24"/>
          <w:highlight w:val="none"/>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类物品应提供与</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型号一致的使用说明书（进口</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应有中文说明书），如物品有保质期要求的应在保质期范围内，</w:t>
      </w:r>
      <w:r>
        <w:rPr>
          <w:rFonts w:hint="eastAsia" w:ascii="宋体" w:hAnsi="宋体" w:cs="宋体"/>
          <w:color w:val="auto"/>
          <w:kern w:val="0"/>
          <w:sz w:val="24"/>
          <w:highlight w:val="none"/>
        </w:rPr>
        <w:t>特殊</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6"/>
        </w:numPr>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类物品需进行安装、调试，乙方应安排熟悉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或有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操作相关资质的专业人员与甲方进行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验收及培训等工作，确保操作</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3"/>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2"/>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附件5 报价清单</w:t>
      </w:r>
    </w:p>
    <w:p>
      <w:pPr>
        <w:pStyle w:val="2"/>
        <w:ind w:left="0" w:leftChars="0" w:firstLine="0" w:firstLineChars="0"/>
        <w:jc w:val="center"/>
        <w:rPr>
          <w:rFonts w:hint="eastAsia"/>
          <w:color w:val="auto"/>
          <w:highlight w:val="none"/>
          <w:lang w:val="en-US" w:eastAsia="zh-CN"/>
        </w:rPr>
      </w:pPr>
      <w:r>
        <w:rPr>
          <w:rFonts w:hint="eastAsia" w:ascii="宋体" w:hAnsi="宋体" w:eastAsia="宋体" w:cs="宋体"/>
          <w:b/>
          <w:bCs/>
          <w:color w:val="auto"/>
          <w:kern w:val="2"/>
          <w:sz w:val="21"/>
          <w:szCs w:val="21"/>
          <w:highlight w:val="none"/>
          <w:lang w:val="en-US" w:eastAsia="zh-CN" w:bidi="ar-SA"/>
        </w:rPr>
        <w:t>详见第七章</w:t>
      </w:r>
      <w:r>
        <w:rPr>
          <w:rFonts w:hint="default" w:ascii="宋体" w:hAnsi="宋体" w:eastAsia="宋体" w:cs="宋体"/>
          <w:b/>
          <w:bCs/>
          <w:color w:val="auto"/>
          <w:kern w:val="2"/>
          <w:sz w:val="21"/>
          <w:szCs w:val="21"/>
          <w:highlight w:val="none"/>
          <w:lang w:val="en-US" w:eastAsia="zh-CN" w:bidi="ar-SA"/>
        </w:rPr>
        <w:t>响应文件格式要求</w:t>
      </w:r>
      <w:r>
        <w:rPr>
          <w:rFonts w:hint="eastAsia" w:eastAsia="宋体" w:cs="宋体"/>
          <w:b/>
          <w:bCs/>
          <w:color w:val="auto"/>
          <w:kern w:val="2"/>
          <w:sz w:val="21"/>
          <w:szCs w:val="21"/>
          <w:highlight w:val="none"/>
          <w:lang w:val="en-US" w:eastAsia="zh-CN" w:bidi="ar-SA"/>
        </w:rPr>
        <w:t>第5点</w:t>
      </w:r>
      <w:r>
        <w:rPr>
          <w:rFonts w:hint="eastAsia" w:ascii="宋体" w:hAnsi="宋体" w:eastAsia="宋体" w:cs="宋体"/>
          <w:b/>
          <w:bCs/>
          <w:color w:val="auto"/>
          <w:kern w:val="2"/>
          <w:sz w:val="21"/>
          <w:szCs w:val="21"/>
          <w:highlight w:val="none"/>
          <w:lang w:val="en-US" w:eastAsia="zh-CN" w:bidi="ar-SA"/>
        </w:rPr>
        <w:t>报价表</w:t>
      </w:r>
    </w:p>
    <w:p>
      <w:pPr>
        <w:pStyle w:val="2"/>
        <w:rPr>
          <w:rFonts w:hint="default"/>
          <w:color w:val="auto"/>
          <w:highlight w:val="none"/>
          <w:lang w:val="en-US" w:eastAsia="zh-CN"/>
        </w:rPr>
      </w:pPr>
    </w:p>
    <w:p>
      <w:pPr>
        <w:pStyle w:val="2"/>
        <w:ind w:left="0" w:leftChars="0" w:firstLine="0" w:firstLineChars="0"/>
        <w:rPr>
          <w:rFonts w:hint="default"/>
          <w:color w:val="auto"/>
          <w:highlight w:val="none"/>
          <w:lang w:val="en-US" w:eastAsia="zh-CN"/>
        </w:rPr>
      </w:pPr>
    </w:p>
    <w:p>
      <w:pPr>
        <w:spacing w:line="560" w:lineRule="exact"/>
        <w:rPr>
          <w:rFonts w:hint="eastAsia" w:ascii="宋体" w:hAnsi="宋体" w:eastAsia="宋体" w:cs="宋体"/>
          <w:color w:val="auto"/>
          <w:kern w:val="0"/>
          <w:sz w:val="24"/>
          <w:highlight w:val="none"/>
          <w:lang w:val="en-US" w:eastAsia="zh-CN"/>
        </w:rPr>
      </w:pPr>
      <w:r>
        <w:rPr>
          <w:rFonts w:hint="eastAsia" w:ascii="宋体" w:hAnsi="宋体" w:cs="宋体"/>
          <w:b/>
          <w:bCs/>
          <w:color w:val="auto"/>
          <w:szCs w:val="21"/>
          <w:highlight w:val="none"/>
          <w:lang w:val="en-US" w:eastAsia="zh-CN"/>
        </w:rPr>
        <w:t>附件6  履约保函模板</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color w:val="auto"/>
          <w:kern w:val="0"/>
          <w:sz w:val="24"/>
          <w:highlight w:val="none"/>
          <w:lang w:val="en-US" w:eastAsia="zh-CN"/>
        </w:rPr>
        <w:t xml:space="preserve">                    </w:t>
      </w:r>
    </w:p>
    <w:p>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履约保函模板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               （受益人）</w:t>
      </w:r>
      <w:r>
        <w:rPr>
          <w:rFonts w:hint="eastAsia" w:ascii="宋体" w:hAnsi="宋体" w:eastAsia="宋体" w:cs="宋体"/>
          <w:color w:val="auto"/>
          <w:kern w:val="0"/>
          <w:sz w:val="24"/>
          <w:szCs w:val="24"/>
          <w:highlight w:val="none"/>
        </w:rPr>
        <w:br w:type="textWrapping"/>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二、贵单位的索赔申请应符合下述条件：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（一）贵单位法定代表人或其授权代表签字并加盖单位公章；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（二）在保函有效期内送达我行；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（三）明确的索赔金额（不得超过本保函第一条所列之限额）。</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三、本保函自签发之日起生效，有效期至  年  月  日。本保函于下述任一事项发生之时立即失效，我行在本保函项下的保证义务即刻解除：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（一）本保函有效期限届满；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（二）我行保证的义务履行完毕。</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落款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保函说明：</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保函不得有下列或类似含义的表述：</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1.银行承担的为连带责任保证、一般保证。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3.合同撤销或无效的，保函失效。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4.申请人对受益人的抗辩，银行有权向受益人主张。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5.受益人请求付款的请款单据包含法院裁判文书、仲裁裁决、第三方单位出具的鉴定书等申请人违约的证明材料。</w:t>
      </w:r>
    </w:p>
    <w:p>
      <w:pPr>
        <w:pStyle w:val="46"/>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6"/>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pStyle w:val="46"/>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1"/>
          <w:szCs w:val="21"/>
          <w:highlight w:val="none"/>
          <w:lang w:val="en-US" w:eastAsia="zh-CN" w:bidi="ar-SA"/>
        </w:rPr>
        <w:t>附件7  预付款保函模板</w:t>
      </w:r>
      <w:r>
        <w:rPr>
          <w:rFonts w:hint="eastAsia" w:ascii="宋体" w:hAnsi="宋体" w:eastAsia="宋体" w:cs="宋体"/>
          <w:b/>
          <w:bCs/>
          <w:color w:val="auto"/>
          <w:sz w:val="24"/>
          <w:szCs w:val="24"/>
          <w:highlight w:val="none"/>
          <w:lang w:val="en-US" w:eastAsia="zh-CN"/>
        </w:rPr>
        <w:t xml:space="preserve">    </w:t>
      </w:r>
    </w:p>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预付款保函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模板</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（以下简称“委托人”）与你方于</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签订了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（以下简称“合同”），你方将按上述基础交易合同约定向委托人支付预付款人民币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）。我行接受委托人的申请，特此开立以你方为受益人的最高金额为人民币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五、本保函自签发之日起生效，有效期至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止。在上述期限内若累计赔偿额达到前述保函金额，本保函提前失效。本保函到期后，无论保函原件是否退回我行，皆告失效。</w:t>
      </w:r>
    </w:p>
    <w:p>
      <w:pPr>
        <w:keepNext w:val="0"/>
        <w:keepLines w:val="0"/>
        <w:pageBreakBefore w:val="0"/>
        <w:widowControl w:val="0"/>
        <w:kinsoku/>
        <w:wordWrap/>
        <w:overflowPunct/>
        <w:topLinePunct w:val="0"/>
        <w:bidi w:val="0"/>
        <w:snapToGrid/>
        <w:spacing w:line="4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本预付款担保格式可采用经</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认可的其他格式，但相关内容不得违背合同文件约定的实质性内容。</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 xml:space="preserve"> 授权委托证明</w:t>
      </w:r>
    </w:p>
    <w:p>
      <w:pPr>
        <w:pStyle w:val="2"/>
        <w:rPr>
          <w:rFonts w:hint="eastAsia" w:ascii="宋体" w:hAnsi="宋体" w:cs="宋体"/>
          <w:b/>
          <w:bCs/>
          <w:color w:val="auto"/>
          <w:szCs w:val="21"/>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4"/>
        <w:rPr>
          <w:strike w:val="0"/>
          <w:dstrike w:val="0"/>
          <w:color w:val="auto"/>
          <w:highlight w:val="none"/>
        </w:rPr>
      </w:pPr>
      <w:bookmarkStart w:id="97" w:name="_Toc1563"/>
      <w:bookmarkStart w:id="98" w:name="_Toc12169"/>
      <w:bookmarkStart w:id="99" w:name="_Toc5129"/>
      <w:bookmarkStart w:id="100" w:name="_Toc8147"/>
      <w:bookmarkStart w:id="101" w:name="_Toc6230"/>
      <w:bookmarkStart w:id="102" w:name="_Toc21847"/>
      <w:bookmarkStart w:id="103" w:name="_Toc23515"/>
      <w:bookmarkStart w:id="104" w:name="_Toc30824"/>
      <w:bookmarkStart w:id="105" w:name="_Toc16552"/>
      <w:bookmarkStart w:id="106" w:name="_Toc28358"/>
      <w:bookmarkStart w:id="107" w:name="_Toc3723"/>
      <w:r>
        <w:rPr>
          <w:strike w:val="0"/>
          <w:dstrike w:val="0"/>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strike w:val="0"/>
          <w:dstrike w:val="0"/>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strike w:val="0"/>
          <w:dstrike w:val="0"/>
          <w:color w:val="auto"/>
          <w:highlight w:val="none"/>
        </w:rPr>
        <w:t>第七章</w:t>
      </w:r>
      <w:bookmarkEnd w:id="97"/>
      <w:bookmarkEnd w:id="98"/>
      <w:bookmarkEnd w:id="99"/>
      <w:bookmarkEnd w:id="100"/>
      <w:bookmarkEnd w:id="101"/>
      <w:bookmarkEnd w:id="102"/>
      <w:bookmarkEnd w:id="103"/>
      <w:bookmarkEnd w:id="104"/>
      <w:bookmarkEnd w:id="105"/>
      <w:bookmarkEnd w:id="106"/>
      <w:bookmarkEnd w:id="107"/>
    </w:p>
    <w:p>
      <w:pPr>
        <w:pStyle w:val="33"/>
        <w:rPr>
          <w:color w:val="auto"/>
          <w:highlight w:val="none"/>
        </w:rPr>
      </w:pPr>
    </w:p>
    <w:p>
      <w:pPr>
        <w:pStyle w:val="4"/>
        <w:rPr>
          <w:color w:val="auto"/>
          <w:highlight w:val="none"/>
        </w:rPr>
      </w:pPr>
      <w:bookmarkStart w:id="108" w:name="_Toc17119"/>
      <w:bookmarkStart w:id="109" w:name="_Toc88209951"/>
      <w:bookmarkStart w:id="110" w:name="_Toc22764"/>
      <w:bookmarkStart w:id="111" w:name="_Toc21675"/>
      <w:bookmarkStart w:id="112" w:name="_Toc12769"/>
      <w:bookmarkStart w:id="113" w:name="_Toc24815"/>
      <w:bookmarkStart w:id="114" w:name="_Toc87616388"/>
      <w:bookmarkStart w:id="115" w:name="_Toc5342"/>
      <w:bookmarkStart w:id="116" w:name="_Toc12610"/>
      <w:bookmarkStart w:id="117" w:name="_Toc30157"/>
      <w:bookmarkStart w:id="118" w:name="_Toc10840"/>
      <w:bookmarkStart w:id="119" w:name="_Toc24490"/>
      <w:bookmarkStart w:id="120" w:name="_Toc31564"/>
      <w:r>
        <w:rPr>
          <w:rFonts w:hint="eastAsia"/>
          <w:color w:val="auto"/>
          <w:highlight w:val="none"/>
        </w:rPr>
        <w:t>响应文件</w:t>
      </w:r>
      <w:r>
        <w:rPr>
          <w:rFonts w:hint="eastAsia"/>
          <w:color w:val="auto"/>
          <w:highlight w:val="none"/>
          <w:lang w:val="en-US" w:eastAsia="zh-CN"/>
        </w:rPr>
        <w:t>格式要求</w:t>
      </w:r>
      <w:bookmarkEnd w:id="108"/>
      <w:bookmarkEnd w:id="109"/>
      <w:bookmarkEnd w:id="110"/>
      <w:bookmarkEnd w:id="111"/>
      <w:bookmarkEnd w:id="112"/>
      <w:bookmarkEnd w:id="113"/>
      <w:bookmarkEnd w:id="114"/>
      <w:bookmarkEnd w:id="115"/>
      <w:bookmarkEnd w:id="116"/>
      <w:bookmarkEnd w:id="117"/>
      <w:bookmarkEnd w:id="118"/>
      <w:bookmarkEnd w:id="119"/>
      <w:bookmarkEnd w:id="12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1" w:name="_Toc87616389"/>
      <w:bookmarkStart w:id="122" w:name="_Toc88209952"/>
      <w:r>
        <w:rPr>
          <w:rFonts w:hint="eastAsia" w:ascii="仿宋_GB2312" w:eastAsia="仿宋_GB2312"/>
          <w:color w:val="auto"/>
          <w:sz w:val="28"/>
          <w:szCs w:val="28"/>
          <w:highlight w:val="none"/>
        </w:rPr>
        <w:t>1.响应函</w:t>
      </w:r>
      <w:bookmarkEnd w:id="121"/>
      <w:bookmarkEnd w:id="122"/>
    </w:p>
    <w:p>
      <w:pPr>
        <w:spacing w:line="600" w:lineRule="exact"/>
        <w:rPr>
          <w:rFonts w:hint="eastAsia" w:ascii="仿宋_GB2312" w:eastAsia="仿宋_GB2312"/>
          <w:color w:val="auto"/>
          <w:sz w:val="28"/>
          <w:szCs w:val="28"/>
          <w:highlight w:val="none"/>
        </w:rPr>
      </w:pPr>
      <w:bookmarkStart w:id="123" w:name="_Toc88209953"/>
      <w:bookmarkStart w:id="124" w:name="_Toc87616390"/>
      <w:r>
        <w:rPr>
          <w:rFonts w:hint="eastAsia" w:ascii="仿宋_GB2312" w:eastAsia="仿宋_GB2312"/>
          <w:color w:val="auto"/>
          <w:sz w:val="28"/>
          <w:szCs w:val="28"/>
          <w:highlight w:val="none"/>
        </w:rPr>
        <w:t>2.法定代表人证明或授权委托书</w:t>
      </w:r>
      <w:bookmarkEnd w:id="123"/>
      <w:bookmarkEnd w:id="124"/>
      <w:bookmarkStart w:id="125" w:name="_Toc87616393"/>
      <w:bookmarkStart w:id="12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5"/>
      <w:bookmarkEnd w:id="126"/>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spacing w:line="600" w:lineRule="exact"/>
        <w:rPr>
          <w:rFonts w:hint="eastAsia" w:ascii="仿宋_GB2312" w:eastAsia="仿宋_GB2312"/>
          <w:color w:val="auto"/>
          <w:sz w:val="28"/>
          <w:szCs w:val="28"/>
          <w:highlight w:val="none"/>
        </w:rPr>
      </w:pPr>
    </w:p>
    <w:p>
      <w:pPr>
        <w:pStyle w:val="6"/>
        <w:rPr>
          <w:rFonts w:asciiTheme="minorEastAsia" w:hAnsiTheme="minorEastAsia" w:eastAsiaTheme="minorEastAsia"/>
          <w:color w:val="auto"/>
          <w:sz w:val="28"/>
          <w:szCs w:val="28"/>
          <w:highlight w:val="none"/>
        </w:rPr>
      </w:pPr>
      <w:bookmarkStart w:id="127" w:name="_Toc6313"/>
      <w:bookmarkStart w:id="128" w:name="_Toc28619645"/>
      <w:bookmarkStart w:id="129" w:name="_Toc87616394"/>
      <w:bookmarkStart w:id="130" w:name="_Toc88209957"/>
      <w:bookmarkStart w:id="131" w:name="_Toc12665"/>
      <w:r>
        <w:rPr>
          <w:rFonts w:hint="eastAsia" w:asciiTheme="minorEastAsia" w:hAnsiTheme="minorEastAsia" w:eastAsiaTheme="minorEastAsia"/>
          <w:color w:val="auto"/>
          <w:sz w:val="28"/>
          <w:szCs w:val="28"/>
          <w:highlight w:val="none"/>
        </w:rPr>
        <w:t>1.响应函</w:t>
      </w:r>
      <w:bookmarkEnd w:id="127"/>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我方承诺，</w:t>
      </w:r>
      <w:r>
        <w:rPr>
          <w:rFonts w:hint="eastAsia" w:ascii="仿宋_GB2312" w:hAnsi="黑体" w:eastAsia="仿宋_GB2312"/>
          <w:color w:val="auto"/>
          <w:sz w:val="28"/>
          <w:szCs w:val="28"/>
          <w:highlight w:val="none"/>
        </w:rPr>
        <w:t>承诺中选后所提供的货物均为制造商全新原装产品，所提供的产品必须与现有设备的所有参数相匹配且完全兼容。</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2" w:name="_Toc88209958"/>
      <w:bookmarkStart w:id="133" w:name="_Toc29833"/>
      <w:bookmarkStart w:id="134" w:name="_Toc22527"/>
      <w:bookmarkStart w:id="135"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2"/>
      <w:bookmarkEnd w:id="133"/>
      <w:bookmarkEnd w:id="134"/>
      <w:bookmarkEnd w:id="13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3"/>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6" w:name="_Toc87616400"/>
      <w:bookmarkStart w:id="137" w:name="_Toc19830"/>
      <w:bookmarkStart w:id="138" w:name="_Toc8086"/>
      <w:bookmarkStart w:id="139"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6"/>
      <w:bookmarkEnd w:id="137"/>
      <w:bookmarkEnd w:id="138"/>
      <w:bookmarkEnd w:id="13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40"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广州市净水有限公司2022年双菱电气类备品备件采购项目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b/>
          <w:color w:val="auto"/>
          <w:sz w:val="24"/>
          <w:szCs w:val="24"/>
          <w:highlight w:val="none"/>
          <w:lang w:val="en-US" w:eastAsia="zh-CN"/>
        </w:rPr>
      </w:pPr>
    </w:p>
    <w:p>
      <w:pPr>
        <w:adjustRightInd w:val="0"/>
        <w:snapToGrid w:val="0"/>
        <w:spacing w:line="360" w:lineRule="auto"/>
        <w:jc w:val="right"/>
        <w:rPr>
          <w:rFonts w:hint="eastAsia" w:ascii="宋体" w:hAnsi="宋体" w:eastAsia="宋体" w:cs="宋体"/>
          <w:b/>
          <w:color w:val="auto"/>
          <w:sz w:val="24"/>
          <w:szCs w:val="24"/>
          <w:highlight w:val="none"/>
          <w:lang w:val="en-US" w:eastAsia="zh-CN"/>
        </w:rPr>
      </w:pPr>
    </w:p>
    <w:p>
      <w:pPr>
        <w:adjustRightInd w:val="0"/>
        <w:snapToGrid w:val="0"/>
        <w:spacing w:line="360" w:lineRule="auto"/>
        <w:jc w:val="right"/>
        <w:rPr>
          <w:rFonts w:hint="eastAsia" w:ascii="宋体" w:hAnsi="宋体" w:eastAsia="宋体" w:cs="宋体"/>
          <w:b/>
          <w:color w:val="auto"/>
          <w:sz w:val="24"/>
          <w:szCs w:val="24"/>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eastAsia="zh-CN"/>
        </w:rPr>
      </w:pPr>
      <w:r>
        <w:rPr>
          <w:rFonts w:hint="eastAsia" w:ascii="宋体" w:hAnsi="宋体" w:eastAsia="宋体" w:cs="宋体"/>
          <w:b/>
          <w:color w:val="auto"/>
          <w:sz w:val="24"/>
          <w:szCs w:val="24"/>
          <w:highlight w:val="none"/>
          <w:lang w:val="en-US" w:eastAsia="zh-CN"/>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adjustRightInd w:val="0"/>
        <w:snapToGrid w:val="0"/>
        <w:spacing w:line="600" w:lineRule="exact"/>
        <w:ind w:firstLine="570"/>
        <w:rPr>
          <w:rFonts w:ascii="仿宋_GB2312" w:eastAsia="仿宋_GB2312" w:hAnsiTheme="minorEastAsia"/>
          <w:color w:val="auto"/>
          <w:sz w:val="28"/>
          <w:szCs w:val="28"/>
          <w:highlight w:val="none"/>
        </w:rPr>
      </w:pPr>
      <w:bookmarkStart w:id="141" w:name="_Toc32430"/>
      <w:bookmarkStart w:id="14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1"/>
      <w:bookmarkEnd w:id="142"/>
    </w:p>
    <w:tbl>
      <w:tblPr>
        <w:tblStyle w:val="21"/>
        <w:tblW w:w="9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596"/>
        <w:gridCol w:w="2673"/>
        <w:gridCol w:w="831"/>
        <w:gridCol w:w="1446"/>
        <w:gridCol w:w="1227"/>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8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双菱</w:t>
            </w:r>
            <w:r>
              <w:rPr>
                <w:rFonts w:hint="eastAsia" w:ascii="宋体" w:hAnsi="宋体" w:eastAsia="宋体" w:cs="宋体"/>
                <w:i w:val="0"/>
                <w:iCs w:val="0"/>
                <w:color w:val="auto"/>
                <w:kern w:val="0"/>
                <w:sz w:val="21"/>
                <w:szCs w:val="21"/>
                <w:highlight w:val="none"/>
                <w:u w:val="none"/>
                <w:lang w:val="en-US" w:eastAsia="zh-CN" w:bidi="ar"/>
              </w:rPr>
              <w:t>电气类备品备件需求明细表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需求数量</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YJV22-5*10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YJV22-5*16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3</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YJV22-3*25+2*16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4</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RVV-3*35+2*16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YJV22-3*70+2*35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6</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YJV22-3*120+2*70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RVVP-12*2.5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8</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电缆</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RVVP-12*1.0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米</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adjustRightInd w:val="0"/>
        <w:snapToGrid w:val="0"/>
        <w:spacing w:line="600" w:lineRule="exact"/>
        <w:rPr>
          <w:rFonts w:ascii="仿宋_GB2312" w:eastAsia="仿宋_GB2312" w:hAnsiTheme="minorEastAsia"/>
          <w:color w:val="auto"/>
          <w:sz w:val="28"/>
          <w:szCs w:val="28"/>
          <w:highlight w:val="none"/>
        </w:rPr>
      </w:pPr>
    </w:p>
    <w:p>
      <w:pPr>
        <w:adjustRightInd w:val="0"/>
        <w:snapToGrid w:val="0"/>
        <w:rPr>
          <w:rFonts w:hint="eastAsia" w:ascii="仿宋_GB2312" w:eastAsia="仿宋_GB2312" w:hAnsiTheme="minorEastAsia"/>
          <w:color w:val="auto"/>
          <w:sz w:val="28"/>
          <w:szCs w:val="28"/>
          <w:highlight w:val="none"/>
        </w:rPr>
      </w:pPr>
    </w:p>
    <w:p>
      <w:pPr>
        <w:pStyle w:val="2"/>
        <w:rPr>
          <w:rFonts w:hint="eastAsia"/>
          <w:color w:val="auto"/>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43" w:name="_Toc6058"/>
      <w:bookmarkStart w:id="144" w:name="_Toc87616402"/>
      <w:bookmarkStart w:id="145" w:name="_Toc16386"/>
      <w:bookmarkStart w:id="146"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3"/>
      <w:bookmarkEnd w:id="144"/>
      <w:bookmarkEnd w:id="145"/>
      <w:bookmarkEnd w:id="14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86B6C30"/>
    <w:multiLevelType w:val="singleLevel"/>
    <w:tmpl w:val="F86B6C30"/>
    <w:lvl w:ilvl="0" w:tentative="0">
      <w:start w:val="6"/>
      <w:numFmt w:val="chineseCounting"/>
      <w:suff w:val="space"/>
      <w:lvlText w:val="第%1条"/>
      <w:lvlJc w:val="left"/>
      <w:rPr>
        <w:rFonts w:hint="eastAsia"/>
      </w:rPr>
    </w:lvl>
  </w:abstractNum>
  <w:abstractNum w:abstractNumId="2">
    <w:nsid w:val="30880CB7"/>
    <w:multiLevelType w:val="singleLevel"/>
    <w:tmpl w:val="30880CB7"/>
    <w:lvl w:ilvl="0" w:tentative="0">
      <w:start w:val="2"/>
      <w:numFmt w:val="chineseCounting"/>
      <w:suff w:val="nothing"/>
      <w:lvlText w:val="（%1）"/>
      <w:lvlJc w:val="left"/>
      <w:rPr>
        <w:rFonts w:hint="eastAsia"/>
      </w:rPr>
    </w:lvl>
  </w:abstractNum>
  <w:abstractNum w:abstractNumId="3">
    <w:nsid w:val="4C533854"/>
    <w:multiLevelType w:val="singleLevel"/>
    <w:tmpl w:val="4C533854"/>
    <w:lvl w:ilvl="0" w:tentative="0">
      <w:start w:val="1"/>
      <w:numFmt w:val="decimal"/>
      <w:suff w:val="nothing"/>
      <w:lvlText w:val="%1、"/>
      <w:lvlJc w:val="left"/>
    </w:lvl>
  </w:abstractNum>
  <w:abstractNum w:abstractNumId="4">
    <w:nsid w:val="5D076128"/>
    <w:multiLevelType w:val="singleLevel"/>
    <w:tmpl w:val="5D076128"/>
    <w:lvl w:ilvl="0" w:tentative="0">
      <w:start w:val="2"/>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2090C75"/>
    <w:rsid w:val="02A23A3C"/>
    <w:rsid w:val="037C7250"/>
    <w:rsid w:val="03AC246A"/>
    <w:rsid w:val="03B23056"/>
    <w:rsid w:val="03DC3EBA"/>
    <w:rsid w:val="03F9794D"/>
    <w:rsid w:val="046A2461"/>
    <w:rsid w:val="04992B8F"/>
    <w:rsid w:val="0657466D"/>
    <w:rsid w:val="06C64829"/>
    <w:rsid w:val="077D16D2"/>
    <w:rsid w:val="07E9076A"/>
    <w:rsid w:val="08675FC8"/>
    <w:rsid w:val="097041F7"/>
    <w:rsid w:val="09B713FD"/>
    <w:rsid w:val="09EF6ACC"/>
    <w:rsid w:val="0A315056"/>
    <w:rsid w:val="0AC05EBA"/>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12B101A"/>
    <w:rsid w:val="119B53FC"/>
    <w:rsid w:val="12424CDC"/>
    <w:rsid w:val="129A2738"/>
    <w:rsid w:val="12B56BF1"/>
    <w:rsid w:val="12CB1A89"/>
    <w:rsid w:val="131840FB"/>
    <w:rsid w:val="13467417"/>
    <w:rsid w:val="136E76CF"/>
    <w:rsid w:val="15BC6B3C"/>
    <w:rsid w:val="1694429A"/>
    <w:rsid w:val="17635326"/>
    <w:rsid w:val="18236EFD"/>
    <w:rsid w:val="184C6FDF"/>
    <w:rsid w:val="185219C0"/>
    <w:rsid w:val="189D5B1F"/>
    <w:rsid w:val="18A34CD0"/>
    <w:rsid w:val="19B64DBC"/>
    <w:rsid w:val="1A373ACF"/>
    <w:rsid w:val="1A895341"/>
    <w:rsid w:val="1AF85CD3"/>
    <w:rsid w:val="1B0D071F"/>
    <w:rsid w:val="1B4568CE"/>
    <w:rsid w:val="1B9015B7"/>
    <w:rsid w:val="1BCA4CE5"/>
    <w:rsid w:val="1D1F4CA2"/>
    <w:rsid w:val="1D5A79EE"/>
    <w:rsid w:val="1DE43F54"/>
    <w:rsid w:val="1E0E2CD0"/>
    <w:rsid w:val="1E831280"/>
    <w:rsid w:val="1EBC4704"/>
    <w:rsid w:val="1F046E60"/>
    <w:rsid w:val="1F172EB5"/>
    <w:rsid w:val="1F370764"/>
    <w:rsid w:val="1F94592D"/>
    <w:rsid w:val="1FB860DE"/>
    <w:rsid w:val="203C5A02"/>
    <w:rsid w:val="209D4C94"/>
    <w:rsid w:val="20E84705"/>
    <w:rsid w:val="218400BA"/>
    <w:rsid w:val="21AB1E2F"/>
    <w:rsid w:val="21D40498"/>
    <w:rsid w:val="22105E95"/>
    <w:rsid w:val="22767047"/>
    <w:rsid w:val="23A05588"/>
    <w:rsid w:val="25431AEB"/>
    <w:rsid w:val="25BF43FD"/>
    <w:rsid w:val="25F86BCD"/>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DEA5329"/>
    <w:rsid w:val="2E7B52DB"/>
    <w:rsid w:val="2E9474A0"/>
    <w:rsid w:val="2F324CFE"/>
    <w:rsid w:val="2FBA09F1"/>
    <w:rsid w:val="2FEF2ACF"/>
    <w:rsid w:val="302850B1"/>
    <w:rsid w:val="30540211"/>
    <w:rsid w:val="30E0190E"/>
    <w:rsid w:val="312D7741"/>
    <w:rsid w:val="316F137F"/>
    <w:rsid w:val="31DF525F"/>
    <w:rsid w:val="32324C2E"/>
    <w:rsid w:val="325D1F80"/>
    <w:rsid w:val="327171DF"/>
    <w:rsid w:val="341E3434"/>
    <w:rsid w:val="345E43F4"/>
    <w:rsid w:val="360B7EBA"/>
    <w:rsid w:val="369C32FD"/>
    <w:rsid w:val="36BB1AA7"/>
    <w:rsid w:val="37666E72"/>
    <w:rsid w:val="37F873F8"/>
    <w:rsid w:val="38167A04"/>
    <w:rsid w:val="394B167A"/>
    <w:rsid w:val="3A4E4336"/>
    <w:rsid w:val="3A6007FE"/>
    <w:rsid w:val="3B7C2CE4"/>
    <w:rsid w:val="3C0B5355"/>
    <w:rsid w:val="3CD4176B"/>
    <w:rsid w:val="3D1F44D9"/>
    <w:rsid w:val="3D5C38CD"/>
    <w:rsid w:val="3E5070F1"/>
    <w:rsid w:val="3F6C3589"/>
    <w:rsid w:val="3F850180"/>
    <w:rsid w:val="3F9004D6"/>
    <w:rsid w:val="400E4D5E"/>
    <w:rsid w:val="40E1138C"/>
    <w:rsid w:val="413814BA"/>
    <w:rsid w:val="41872511"/>
    <w:rsid w:val="42466655"/>
    <w:rsid w:val="42C82F57"/>
    <w:rsid w:val="43B90049"/>
    <w:rsid w:val="43C76AF7"/>
    <w:rsid w:val="43C8685F"/>
    <w:rsid w:val="446828F0"/>
    <w:rsid w:val="45C13B4D"/>
    <w:rsid w:val="46054BCA"/>
    <w:rsid w:val="46430C91"/>
    <w:rsid w:val="464C6AFC"/>
    <w:rsid w:val="468B0091"/>
    <w:rsid w:val="46A107C3"/>
    <w:rsid w:val="46B15CE2"/>
    <w:rsid w:val="46BE113D"/>
    <w:rsid w:val="46E44B13"/>
    <w:rsid w:val="4703508A"/>
    <w:rsid w:val="475023F8"/>
    <w:rsid w:val="479D361E"/>
    <w:rsid w:val="47B74789"/>
    <w:rsid w:val="480E7CDC"/>
    <w:rsid w:val="480F2B9D"/>
    <w:rsid w:val="48282920"/>
    <w:rsid w:val="485321E0"/>
    <w:rsid w:val="48546AD3"/>
    <w:rsid w:val="48CA4868"/>
    <w:rsid w:val="48F005D3"/>
    <w:rsid w:val="498F4AF1"/>
    <w:rsid w:val="49C05787"/>
    <w:rsid w:val="49CF518D"/>
    <w:rsid w:val="4ADA1F63"/>
    <w:rsid w:val="4AE23D89"/>
    <w:rsid w:val="4B2038D0"/>
    <w:rsid w:val="4B296E7D"/>
    <w:rsid w:val="4B877F28"/>
    <w:rsid w:val="4D916BA6"/>
    <w:rsid w:val="4DC44169"/>
    <w:rsid w:val="4EA01857"/>
    <w:rsid w:val="4EF0709E"/>
    <w:rsid w:val="513C6A7B"/>
    <w:rsid w:val="51823496"/>
    <w:rsid w:val="5333545B"/>
    <w:rsid w:val="543218D4"/>
    <w:rsid w:val="5450213C"/>
    <w:rsid w:val="54D24048"/>
    <w:rsid w:val="54D64CD5"/>
    <w:rsid w:val="55887D69"/>
    <w:rsid w:val="561A0928"/>
    <w:rsid w:val="56423872"/>
    <w:rsid w:val="56B279F0"/>
    <w:rsid w:val="571E156B"/>
    <w:rsid w:val="579D710E"/>
    <w:rsid w:val="581F22F6"/>
    <w:rsid w:val="586E1E17"/>
    <w:rsid w:val="58862C35"/>
    <w:rsid w:val="58C14957"/>
    <w:rsid w:val="5A1D5B0A"/>
    <w:rsid w:val="5AE83A50"/>
    <w:rsid w:val="5BAB2917"/>
    <w:rsid w:val="5BFC33FA"/>
    <w:rsid w:val="5C3107A4"/>
    <w:rsid w:val="5C3B1B93"/>
    <w:rsid w:val="5C9220DF"/>
    <w:rsid w:val="5D4A15F3"/>
    <w:rsid w:val="5D69542A"/>
    <w:rsid w:val="5E0930EF"/>
    <w:rsid w:val="5E3D4D53"/>
    <w:rsid w:val="5E4717E6"/>
    <w:rsid w:val="5E55774C"/>
    <w:rsid w:val="60104DDC"/>
    <w:rsid w:val="60136AB3"/>
    <w:rsid w:val="605C0804"/>
    <w:rsid w:val="6189617B"/>
    <w:rsid w:val="61B52BB6"/>
    <w:rsid w:val="61B749C2"/>
    <w:rsid w:val="62280D20"/>
    <w:rsid w:val="62CA2457"/>
    <w:rsid w:val="638240A1"/>
    <w:rsid w:val="63A5257B"/>
    <w:rsid w:val="63BD3DCC"/>
    <w:rsid w:val="63C61741"/>
    <w:rsid w:val="64560967"/>
    <w:rsid w:val="656B1D10"/>
    <w:rsid w:val="66022B28"/>
    <w:rsid w:val="66581E87"/>
    <w:rsid w:val="66FA11D5"/>
    <w:rsid w:val="674302C7"/>
    <w:rsid w:val="680A5986"/>
    <w:rsid w:val="680D5F4B"/>
    <w:rsid w:val="68113F51"/>
    <w:rsid w:val="68B53D2E"/>
    <w:rsid w:val="68E94770"/>
    <w:rsid w:val="68F949C9"/>
    <w:rsid w:val="695A4290"/>
    <w:rsid w:val="6A334932"/>
    <w:rsid w:val="6A3353FF"/>
    <w:rsid w:val="6A5D63E6"/>
    <w:rsid w:val="6A5F24D1"/>
    <w:rsid w:val="6AE347EB"/>
    <w:rsid w:val="6B434AF0"/>
    <w:rsid w:val="6B57675A"/>
    <w:rsid w:val="6BDD7B4D"/>
    <w:rsid w:val="6CA420BB"/>
    <w:rsid w:val="6EBC0B3A"/>
    <w:rsid w:val="6EF51C7D"/>
    <w:rsid w:val="6EF779E0"/>
    <w:rsid w:val="6F8363E5"/>
    <w:rsid w:val="6FC746F5"/>
    <w:rsid w:val="70317AC6"/>
    <w:rsid w:val="70863262"/>
    <w:rsid w:val="70967F6C"/>
    <w:rsid w:val="70A76ED3"/>
    <w:rsid w:val="71860B17"/>
    <w:rsid w:val="71A52DA3"/>
    <w:rsid w:val="723B27CC"/>
    <w:rsid w:val="72687227"/>
    <w:rsid w:val="72A03FD9"/>
    <w:rsid w:val="73406CFF"/>
    <w:rsid w:val="7383028C"/>
    <w:rsid w:val="73A25E44"/>
    <w:rsid w:val="73A66718"/>
    <w:rsid w:val="741F68CF"/>
    <w:rsid w:val="75252DF3"/>
    <w:rsid w:val="75621536"/>
    <w:rsid w:val="75BF3154"/>
    <w:rsid w:val="764A07CF"/>
    <w:rsid w:val="764F6B3D"/>
    <w:rsid w:val="76CD2B7B"/>
    <w:rsid w:val="76D80645"/>
    <w:rsid w:val="76E03371"/>
    <w:rsid w:val="76FC03FE"/>
    <w:rsid w:val="780E5898"/>
    <w:rsid w:val="782642CC"/>
    <w:rsid w:val="7894095E"/>
    <w:rsid w:val="79000679"/>
    <w:rsid w:val="79A416F0"/>
    <w:rsid w:val="79B03EB6"/>
    <w:rsid w:val="7AF37579"/>
    <w:rsid w:val="7AF87F64"/>
    <w:rsid w:val="7B1C0C84"/>
    <w:rsid w:val="7B5A62DF"/>
    <w:rsid w:val="7B7A04A8"/>
    <w:rsid w:val="7C0C3F6D"/>
    <w:rsid w:val="7C22163C"/>
    <w:rsid w:val="7C595075"/>
    <w:rsid w:val="7C6B07B2"/>
    <w:rsid w:val="7D133243"/>
    <w:rsid w:val="7E394207"/>
    <w:rsid w:val="7E4007A2"/>
    <w:rsid w:val="7E791CAD"/>
    <w:rsid w:val="7EA50DFB"/>
    <w:rsid w:val="7EC86878"/>
    <w:rsid w:val="7F16390D"/>
    <w:rsid w:val="7F587076"/>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7"/>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2"/>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Char"/>
    <w:basedOn w:val="23"/>
    <w:link w:val="17"/>
    <w:semiHidden/>
    <w:qFormat/>
    <w:uiPriority w:val="99"/>
    <w:rPr>
      <w:sz w:val="18"/>
      <w:szCs w:val="18"/>
    </w:rPr>
  </w:style>
  <w:style w:type="character" w:customStyle="1" w:styleId="26">
    <w:name w:val="页脚 Char"/>
    <w:basedOn w:val="23"/>
    <w:link w:val="16"/>
    <w:qFormat/>
    <w:uiPriority w:val="99"/>
    <w:rPr>
      <w:sz w:val="18"/>
      <w:szCs w:val="18"/>
    </w:rPr>
  </w:style>
  <w:style w:type="character" w:customStyle="1" w:styleId="27">
    <w:name w:val="标题 1 Char"/>
    <w:basedOn w:val="23"/>
    <w:link w:val="4"/>
    <w:qFormat/>
    <w:uiPriority w:val="9"/>
    <w:rPr>
      <w:rFonts w:eastAsia="方正小标宋简体"/>
      <w:bCs/>
      <w:kern w:val="44"/>
      <w:sz w:val="44"/>
      <w:szCs w:val="44"/>
    </w:rPr>
  </w:style>
  <w:style w:type="character" w:customStyle="1" w:styleId="28">
    <w:name w:val="标题 2 Char"/>
    <w:basedOn w:val="23"/>
    <w:link w:val="5"/>
    <w:qFormat/>
    <w:uiPriority w:val="9"/>
    <w:rPr>
      <w:rFonts w:eastAsia="方正小标宋简体" w:asciiTheme="majorHAnsi" w:hAnsiTheme="majorHAnsi" w:cstheme="majorBidi"/>
      <w:bCs/>
      <w:sz w:val="36"/>
      <w:szCs w:val="32"/>
    </w:rPr>
  </w:style>
  <w:style w:type="character" w:customStyle="1" w:styleId="29">
    <w:name w:val="标题 3 Char"/>
    <w:basedOn w:val="23"/>
    <w:link w:val="6"/>
    <w:qFormat/>
    <w:uiPriority w:val="9"/>
    <w:rPr>
      <w:rFonts w:ascii="Calibri" w:hAnsi="Calibri" w:eastAsia="宋体" w:cs="Times New Roman"/>
      <w:b/>
      <w:bCs/>
      <w:sz w:val="32"/>
      <w:szCs w:val="32"/>
    </w:rPr>
  </w:style>
  <w:style w:type="paragraph" w:styleId="30">
    <w:name w:val="List Paragraph"/>
    <w:basedOn w:val="1"/>
    <w:next w:val="1"/>
    <w:link w:val="38"/>
    <w:qFormat/>
    <w:uiPriority w:val="34"/>
    <w:pPr>
      <w:ind w:firstLine="420" w:firstLineChars="200"/>
    </w:p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3"/>
    <w:link w:val="15"/>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3"/>
    <w:next w:val="13"/>
    <w:qFormat/>
    <w:uiPriority w:val="0"/>
    <w:pPr>
      <w:spacing w:after="373"/>
    </w:pPr>
    <w:rPr>
      <w:color w:val="auto"/>
    </w:rPr>
  </w:style>
  <w:style w:type="paragraph" w:customStyle="1" w:styleId="35">
    <w:name w:val="CM91"/>
    <w:basedOn w:val="13"/>
    <w:next w:val="13"/>
    <w:qFormat/>
    <w:uiPriority w:val="0"/>
    <w:pPr>
      <w:spacing w:after="160"/>
    </w:pPr>
    <w:rPr>
      <w:color w:val="auto"/>
    </w:rPr>
  </w:style>
  <w:style w:type="character" w:customStyle="1" w:styleId="36">
    <w:name w:val="正文文本 3 Char"/>
    <w:link w:val="8"/>
    <w:qFormat/>
    <w:uiPriority w:val="99"/>
    <w:rPr>
      <w:sz w:val="16"/>
      <w:szCs w:val="16"/>
    </w:rPr>
  </w:style>
  <w:style w:type="character" w:customStyle="1" w:styleId="37">
    <w:name w:val="正文文本 3 Char1"/>
    <w:basedOn w:val="23"/>
    <w:link w:val="8"/>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2"/>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 w:type="character" w:customStyle="1" w:styleId="43">
    <w:name w:val="font01"/>
    <w:basedOn w:val="23"/>
    <w:qFormat/>
    <w:uiPriority w:val="0"/>
    <w:rPr>
      <w:rFonts w:hint="eastAsia" w:ascii="宋体" w:hAnsi="宋体" w:eastAsia="宋体" w:cs="宋体"/>
      <w:color w:val="000000"/>
      <w:sz w:val="22"/>
      <w:szCs w:val="22"/>
      <w:u w:val="none"/>
    </w:rPr>
  </w:style>
  <w:style w:type="character" w:customStyle="1" w:styleId="44">
    <w:name w:val="font51"/>
    <w:basedOn w:val="23"/>
    <w:qFormat/>
    <w:uiPriority w:val="0"/>
    <w:rPr>
      <w:rFonts w:hint="eastAsia" w:ascii="宋体" w:hAnsi="宋体" w:eastAsia="宋体" w:cs="宋体"/>
      <w:color w:val="000000"/>
      <w:sz w:val="20"/>
      <w:szCs w:val="20"/>
      <w:u w:val="none"/>
    </w:rPr>
  </w:style>
  <w:style w:type="character" w:customStyle="1" w:styleId="45">
    <w:name w:val="font41"/>
    <w:basedOn w:val="23"/>
    <w:qFormat/>
    <w:uiPriority w:val="0"/>
    <w:rPr>
      <w:rFonts w:hint="default" w:ascii="Times New Roman" w:hAnsi="Times New Roman" w:cs="Times New Roman"/>
      <w:color w:val="000000"/>
      <w:sz w:val="22"/>
      <w:szCs w:val="22"/>
      <w:u w:val="none"/>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21"/>
    <w:basedOn w:val="23"/>
    <w:qFormat/>
    <w:uiPriority w:val="0"/>
    <w:rPr>
      <w:rFonts w:hint="eastAsia" w:ascii="宋体" w:hAnsi="宋体" w:eastAsia="宋体" w:cs="宋体"/>
      <w:color w:val="000000"/>
      <w:sz w:val="22"/>
      <w:szCs w:val="22"/>
      <w:u w:val="none"/>
    </w:rPr>
  </w:style>
  <w:style w:type="character" w:customStyle="1" w:styleId="48">
    <w:name w:val="font6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23351</Words>
  <Characters>24461</Characters>
  <Lines>300</Lines>
  <Paragraphs>84</Paragraphs>
  <TotalTime>2</TotalTime>
  <ScaleCrop>false</ScaleCrop>
  <LinksUpToDate>false</LinksUpToDate>
  <CharactersWithSpaces>26551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2022-06-30T12:33:00Z</cp:lastPrinted>
  <dcterms:modified xsi:type="dcterms:W3CDTF">2022-10-21T02:14:31Z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AC394A651D794E23BEE5D8020A8DAD88</vt:lpwstr>
  </property>
</Properties>
</file>