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广州市净水有限公司石井净水分公司</w:t>
      </w: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厂区高压电缆管线优化项目</w:t>
      </w: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ind w:left="0" w:leftChars="0" w:firstLine="0" w:firstLineChars="0"/>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黑体" w:hAnsi="黑体" w:eastAsia="黑体"/>
          <w:color w:val="auto"/>
          <w:sz w:val="32"/>
          <w:szCs w:val="32"/>
          <w:highlight w:val="none"/>
        </w:rPr>
      </w:pPr>
      <w:r>
        <w:rPr>
          <w:rFonts w:hint="eastAsia" w:ascii="黑体" w:hAnsi="黑体" w:eastAsia="黑体" w:cs="仿宋_GB2312"/>
          <w:color w:val="auto"/>
          <w:sz w:val="32"/>
          <w:szCs w:val="32"/>
          <w:highlight w:val="none"/>
        </w:rPr>
        <w:t>广州市净水有限公司</w:t>
      </w:r>
    </w:p>
    <w:p>
      <w:pPr>
        <w:jc w:val="center"/>
        <w:rPr>
          <w:rFonts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十</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4"/>
        <w:adjustRightInd w:val="0"/>
        <w:snapToGrid w:val="0"/>
        <w:spacing w:before="0" w:line="600" w:lineRule="exact"/>
        <w:jc w:val="center"/>
        <w:rPr>
          <w:rFonts w:ascii="方正小标宋简体" w:eastAsia="方正小标宋简体"/>
          <w:b/>
          <w:color w:val="auto"/>
          <w:sz w:val="44"/>
          <w:szCs w:val="44"/>
          <w:highlight w:val="none"/>
        </w:rPr>
      </w:pPr>
      <w:r>
        <w:rPr>
          <w:rFonts w:hint="eastAsia" w:ascii="方正小标宋简体" w:eastAsia="方正小标宋简体"/>
          <w:b/>
          <w:color w:val="auto"/>
          <w:sz w:val="44"/>
          <w:szCs w:val="44"/>
          <w:highlight w:val="none"/>
        </w:rPr>
        <w:t>目录</w:t>
      </w:r>
    </w:p>
    <w:p>
      <w:pPr>
        <w:rPr>
          <w:rFonts w:asciiTheme="minorEastAsia" w:hAnsiTheme="minorEastAsia"/>
          <w:color w:val="auto"/>
          <w:sz w:val="24"/>
          <w:szCs w:val="24"/>
          <w:highlight w:val="none"/>
        </w:rPr>
      </w:pPr>
    </w:p>
    <w:p>
      <w:pPr>
        <w:pStyle w:val="19"/>
        <w:numPr>
          <w:ilvl w:val="0"/>
          <w:numId w:val="1"/>
        </w:numPr>
        <w:tabs>
          <w:tab w:val="right" w:pos="8844"/>
        </w:tabs>
        <w:rPr>
          <w:color w:val="auto"/>
          <w:highlight w:val="none"/>
        </w:rPr>
      </w:pPr>
      <w:r>
        <w:rPr>
          <w:rFonts w:hint="eastAsia"/>
          <w:color w:val="auto"/>
          <w:highlight w:val="none"/>
        </w:rPr>
        <w:t>采购公告</w:t>
      </w:r>
    </w:p>
    <w:p>
      <w:pPr>
        <w:pStyle w:val="19"/>
        <w:numPr>
          <w:ilvl w:val="0"/>
          <w:numId w:val="1"/>
        </w:numPr>
        <w:tabs>
          <w:tab w:val="right" w:pos="8844"/>
        </w:tabs>
        <w:rPr>
          <w:color w:val="auto"/>
          <w:highlight w:val="none"/>
        </w:rPr>
      </w:pPr>
      <w:r>
        <w:rPr>
          <w:rFonts w:hint="eastAsia"/>
          <w:color w:val="auto"/>
          <w:highlight w:val="none"/>
        </w:rPr>
        <w:t>供应商须知</w:t>
      </w:r>
    </w:p>
    <w:p>
      <w:pPr>
        <w:pStyle w:val="19"/>
        <w:numPr>
          <w:ilvl w:val="0"/>
          <w:numId w:val="1"/>
        </w:numPr>
        <w:tabs>
          <w:tab w:val="right" w:pos="8844"/>
        </w:tabs>
        <w:rPr>
          <w:color w:val="auto"/>
          <w:highlight w:val="none"/>
        </w:rPr>
      </w:pPr>
      <w:r>
        <w:rPr>
          <w:rFonts w:hint="eastAsia"/>
          <w:color w:val="auto"/>
          <w:highlight w:val="none"/>
        </w:rPr>
        <w:t>采购方法</w:t>
      </w:r>
    </w:p>
    <w:p>
      <w:pPr>
        <w:pStyle w:val="19"/>
        <w:numPr>
          <w:ilvl w:val="0"/>
          <w:numId w:val="1"/>
        </w:numPr>
        <w:tabs>
          <w:tab w:val="right" w:pos="8844"/>
        </w:tabs>
        <w:rPr>
          <w:color w:val="auto"/>
          <w:highlight w:val="none"/>
        </w:rPr>
      </w:pPr>
      <w:r>
        <w:rPr>
          <w:rFonts w:hint="eastAsia"/>
          <w:color w:val="auto"/>
          <w:highlight w:val="none"/>
        </w:rPr>
        <w:t>评审方法</w:t>
      </w:r>
    </w:p>
    <w:p>
      <w:pPr>
        <w:pStyle w:val="19"/>
        <w:numPr>
          <w:ilvl w:val="0"/>
          <w:numId w:val="1"/>
        </w:numPr>
        <w:tabs>
          <w:tab w:val="right" w:pos="8844"/>
        </w:tabs>
        <w:rPr>
          <w:color w:val="auto"/>
          <w:highlight w:val="none"/>
        </w:rPr>
      </w:pPr>
      <w:r>
        <w:rPr>
          <w:rFonts w:hint="eastAsia"/>
          <w:color w:val="auto"/>
          <w:highlight w:val="none"/>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0" w:name="_Toc26148"/>
      <w:bookmarkStart w:id="1" w:name="_Toc18145"/>
    </w:p>
    <w:p>
      <w:pPr>
        <w:rPr>
          <w:color w:val="auto"/>
          <w:highlight w:val="none"/>
        </w:rPr>
      </w:pPr>
    </w:p>
    <w:p>
      <w:pPr>
        <w:pStyle w:val="4"/>
        <w:rPr>
          <w:color w:val="auto"/>
          <w:highlight w:val="none"/>
        </w:rPr>
      </w:pPr>
      <w:bookmarkStart w:id="2" w:name="_Toc17696"/>
      <w:bookmarkStart w:id="3" w:name="_Toc1711"/>
    </w:p>
    <w:p>
      <w:pPr>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4"/>
        <w:rPr>
          <w:color w:val="auto"/>
          <w:highlight w:val="none"/>
        </w:rPr>
      </w:pPr>
      <w:bookmarkStart w:id="4" w:name="_Toc17801"/>
      <w:bookmarkStart w:id="5" w:name="_Toc7519"/>
      <w:bookmarkStart w:id="6" w:name="_Toc31938"/>
      <w:bookmarkStart w:id="7" w:name="_Toc19609"/>
      <w:bookmarkStart w:id="8" w:name="_Toc11322"/>
      <w:bookmarkStart w:id="9" w:name="_Toc4275"/>
      <w:bookmarkStart w:id="10" w:name="_Toc1669"/>
    </w:p>
    <w:p>
      <w:pPr>
        <w:pStyle w:val="4"/>
        <w:rPr>
          <w:color w:val="auto"/>
          <w:highlight w:val="none"/>
        </w:rPr>
      </w:pPr>
    </w:p>
    <w:p>
      <w:pPr>
        <w:pStyle w:val="4"/>
        <w:rPr>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2364105</wp:posOffset>
                </wp:positionH>
                <wp:positionV relativeFrom="paragraph">
                  <wp:posOffset>499745</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6.15pt;margin-top:39.35pt;height:0pt;width:75.5pt;z-index:251670528;mso-width-relative:page;mso-height-relative:page;" filled="f" stroked="t" coordsize="21600,21600" o:gfxdata="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snGHTtcAAAAJ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6950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6"/>
        <w:rPr>
          <w:color w:val="auto"/>
          <w:highlight w:val="none"/>
        </w:rPr>
      </w:pPr>
    </w:p>
    <w:p>
      <w:pPr>
        <w:pStyle w:val="4"/>
        <w:rPr>
          <w:color w:val="auto"/>
          <w:highlight w:val="none"/>
        </w:rPr>
      </w:pPr>
      <w:bookmarkStart w:id="11" w:name="_Toc15709"/>
      <w:bookmarkStart w:id="12" w:name="_Toc88209924"/>
      <w:bookmarkStart w:id="13" w:name="_Toc8201"/>
      <w:bookmarkStart w:id="14" w:name="_Toc28995"/>
      <w:bookmarkStart w:id="15" w:name="_Toc5230"/>
      <w:bookmarkStart w:id="16" w:name="_Toc26363"/>
      <w:bookmarkStart w:id="17" w:name="_Toc14238"/>
      <w:bookmarkStart w:id="18" w:name="_Toc2659"/>
      <w:bookmarkStart w:id="19" w:name="_Toc30131"/>
      <w:bookmarkStart w:id="20" w:name="_Toc10122"/>
      <w:bookmarkStart w:id="21" w:name="_Toc30989"/>
      <w:bookmarkStart w:id="22" w:name="_Toc999"/>
      <w:r>
        <w:rPr>
          <w:rFonts w:hint="eastAsia"/>
          <w:color w:val="auto"/>
          <w:highlight w:val="none"/>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widowControl/>
        <w:jc w:val="left"/>
        <w:rPr>
          <w:rFonts w:asciiTheme="minorEastAsia" w:hAnsiTheme="minorEastAsia"/>
          <w:color w:val="auto"/>
          <w:sz w:val="24"/>
          <w:szCs w:val="24"/>
          <w:highlight w:val="none"/>
        </w:rPr>
      </w:pPr>
      <w:r>
        <w:rPr>
          <w:rFonts w:asciiTheme="minorEastAsia" w:hAnsiTheme="minorEastAsia"/>
          <w:color w:val="auto"/>
          <w:sz w:val="24"/>
          <w:szCs w:val="24"/>
          <w:highlight w:val="none"/>
        </w:rPr>
        <w:br w:type="page"/>
      </w:r>
    </w:p>
    <w:p>
      <w:pPr>
        <w:pStyle w:val="5"/>
        <w:spacing w:line="600" w:lineRule="exact"/>
        <w:rPr>
          <w:color w:val="auto"/>
          <w:highlight w:val="none"/>
          <w:u w:val="single"/>
        </w:rPr>
      </w:pPr>
      <w:bookmarkStart w:id="23" w:name="_Toc21373"/>
      <w:bookmarkStart w:id="24" w:name="_Toc9680"/>
      <w:r>
        <w:rPr>
          <w:rFonts w:hint="eastAsia"/>
          <w:color w:val="auto"/>
          <w:highlight w:val="none"/>
          <w:u w:val="single"/>
          <w:lang w:val="en-US" w:eastAsia="zh-CN"/>
        </w:rPr>
        <w:t>广州市净水有限公司</w:t>
      </w:r>
      <w:r>
        <w:rPr>
          <w:rFonts w:hint="eastAsia"/>
          <w:color w:val="auto"/>
          <w:highlight w:val="none"/>
          <w:u w:val="single"/>
        </w:rPr>
        <w:t>石井净水分公司厂区高压电缆管线优化项目</w:t>
      </w:r>
      <w:r>
        <w:rPr>
          <w:rFonts w:hint="eastAsia"/>
          <w:color w:val="auto"/>
          <w:highlight w:val="none"/>
        </w:rPr>
        <w:t>采购公告</w:t>
      </w:r>
    </w:p>
    <w:bookmarkEnd w:id="23"/>
    <w:bookmarkEnd w:id="24"/>
    <w:p>
      <w:pPr>
        <w:spacing w:line="360" w:lineRule="auto"/>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广州市净水有限公司</w:t>
      </w:r>
      <w:r>
        <w:rPr>
          <w:rFonts w:hint="eastAsia" w:ascii="仿宋_GB2312" w:eastAsia="仿宋_GB2312"/>
          <w:color w:val="auto"/>
          <w:sz w:val="28"/>
          <w:szCs w:val="28"/>
          <w:highlight w:val="none"/>
          <w:u w:val="single"/>
        </w:rPr>
        <w:t>石井净水分公司厂区高压电缆管线优化项目</w:t>
      </w:r>
      <w:r>
        <w:rPr>
          <w:rFonts w:hint="eastAsia" w:ascii="仿宋_GB2312" w:eastAsia="仿宋_GB2312"/>
          <w:color w:val="auto"/>
          <w:sz w:val="28"/>
          <w:szCs w:val="28"/>
          <w:highlight w:val="none"/>
        </w:rPr>
        <w:t>已具备采购条件，现对该</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施工  □货物 □服务项目实施公开采购活动，采用</w:t>
      </w:r>
      <w:r>
        <w:rPr>
          <w:rFonts w:hint="eastAsia" w:ascii="仿宋_GB2312" w:eastAsia="仿宋_GB2312"/>
          <w:color w:val="auto"/>
          <w:sz w:val="28"/>
          <w:szCs w:val="28"/>
          <w:highlight w:val="none"/>
          <w:u w:val="single"/>
        </w:rPr>
        <w:t>询比采购</w:t>
      </w:r>
      <w:r>
        <w:rPr>
          <w:rFonts w:hint="eastAsia" w:ascii="仿宋_GB2312" w:eastAsia="仿宋_GB2312"/>
          <w:color w:val="auto"/>
          <w:sz w:val="28"/>
          <w:szCs w:val="28"/>
          <w:highlight w:val="none"/>
        </w:rPr>
        <w:t>方式公开邀请合格供应商参加本项目采购竞争。</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广州市净水有限公司</w:t>
      </w:r>
      <w:r>
        <w:rPr>
          <w:rFonts w:hint="eastAsia" w:ascii="仿宋_GB2312" w:eastAsia="仿宋_GB2312"/>
          <w:color w:val="auto"/>
          <w:sz w:val="28"/>
          <w:szCs w:val="28"/>
          <w:highlight w:val="none"/>
          <w:u w:val="single"/>
        </w:rPr>
        <w:t>石井净水分公司厂区高压电缆管线优化项目</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XJ-20221020-2</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1.3资金来源：</w:t>
      </w:r>
      <w:r>
        <w:rPr>
          <w:rFonts w:hint="eastAsia" w:ascii="仿宋_GB2312" w:eastAsia="仿宋_GB2312"/>
          <w:color w:val="auto"/>
          <w:sz w:val="28"/>
          <w:szCs w:val="28"/>
          <w:highlight w:val="none"/>
          <w:u w:val="single"/>
        </w:rPr>
        <w:t>自有资金</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_GB2312" w:eastAsia="仿宋_GB2312"/>
          <w:color w:val="auto"/>
          <w:sz w:val="28"/>
          <w:szCs w:val="28"/>
          <w:highlight w:val="none"/>
        </w:rPr>
        <w:t>1.4最高限价（元）：</w:t>
      </w:r>
      <w:r>
        <w:rPr>
          <w:rFonts w:hint="eastAsia" w:ascii="仿宋_GB2312" w:eastAsia="仿宋_GB2312"/>
          <w:color w:val="auto"/>
          <w:sz w:val="28"/>
          <w:szCs w:val="28"/>
          <w:highlight w:val="none"/>
          <w:u w:val="single"/>
        </w:rPr>
        <w:t xml:space="preserve">  </w:t>
      </w:r>
      <w:r>
        <w:rPr>
          <w:rFonts w:ascii="仿宋_GB2312" w:eastAsia="仿宋_GB2312"/>
          <w:color w:val="auto"/>
          <w:sz w:val="28"/>
          <w:szCs w:val="28"/>
          <w:highlight w:val="none"/>
          <w:u w:val="single"/>
        </w:rPr>
        <w:t>887918.39</w:t>
      </w:r>
      <w:r>
        <w:rPr>
          <w:rFonts w:hint="eastAsia" w:ascii="仿宋_GB2312" w:eastAsia="仿宋_GB2312"/>
          <w:color w:val="auto"/>
          <w:sz w:val="28"/>
          <w:szCs w:val="28"/>
          <w:highlight w:val="none"/>
          <w:u w:val="single"/>
          <w:lang w:val="en-US" w:eastAsia="zh-CN"/>
        </w:rPr>
        <w:t>元</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税前造价为</w:t>
      </w:r>
      <w:r>
        <w:rPr>
          <w:rFonts w:hint="eastAsia" w:ascii="仿宋" w:hAnsi="仿宋" w:eastAsia="仿宋" w:cs="仿宋"/>
          <w:color w:val="auto"/>
          <w:sz w:val="28"/>
          <w:szCs w:val="28"/>
          <w:highlight w:val="none"/>
          <w:lang w:val="en-US" w:eastAsia="zh-CN"/>
        </w:rPr>
        <w:t>814604.03元，</w:t>
      </w:r>
      <w:r>
        <w:rPr>
          <w:rFonts w:hint="eastAsia" w:ascii="仿宋" w:hAnsi="仿宋" w:eastAsia="仿宋" w:cs="仿宋"/>
          <w:color w:val="auto"/>
          <w:sz w:val="28"/>
          <w:szCs w:val="28"/>
          <w:highlight w:val="none"/>
        </w:rPr>
        <w:t>税率为9%，绿色施工安全防护措施费</w:t>
      </w:r>
      <w:r>
        <w:rPr>
          <w:rFonts w:hint="eastAsia" w:ascii="仿宋" w:hAnsi="仿宋" w:eastAsia="仿宋" w:cs="仿宋"/>
          <w:color w:val="auto"/>
          <w:sz w:val="28"/>
          <w:szCs w:val="28"/>
          <w:highlight w:val="none"/>
          <w:lang w:val="en-US" w:eastAsia="zh-CN"/>
        </w:rPr>
        <w:t>43114.57</w:t>
      </w:r>
      <w:r>
        <w:rPr>
          <w:rFonts w:hint="eastAsia" w:ascii="仿宋" w:hAnsi="仿宋" w:eastAsia="仿宋" w:cs="仿宋"/>
          <w:color w:val="auto"/>
          <w:sz w:val="28"/>
          <w:szCs w:val="28"/>
          <w:highlight w:val="none"/>
        </w:rPr>
        <w:t>元，</w:t>
      </w:r>
      <w:r>
        <w:rPr>
          <w:rFonts w:hint="eastAsia" w:ascii="仿宋" w:hAnsi="仿宋" w:eastAsia="仿宋" w:cs="仿宋"/>
          <w:color w:val="auto"/>
          <w:sz w:val="28"/>
          <w:szCs w:val="28"/>
          <w:highlight w:val="none"/>
          <w:lang w:val="en-US" w:eastAsia="zh-CN"/>
        </w:rPr>
        <w:t>暂列金66272.98元，</w:t>
      </w:r>
      <w:r>
        <w:rPr>
          <w:rFonts w:hint="eastAsia" w:ascii="仿宋" w:hAnsi="仿宋" w:eastAsia="仿宋" w:cs="仿宋"/>
          <w:color w:val="auto"/>
          <w:sz w:val="28"/>
          <w:szCs w:val="28"/>
          <w:highlight w:val="none"/>
        </w:rPr>
        <w:t>绿色施工安全防护措施费</w:t>
      </w:r>
      <w:r>
        <w:rPr>
          <w:rFonts w:hint="eastAsia" w:ascii="仿宋" w:hAnsi="仿宋" w:eastAsia="仿宋" w:cs="仿宋"/>
          <w:color w:val="auto"/>
          <w:sz w:val="28"/>
          <w:szCs w:val="28"/>
          <w:highlight w:val="none"/>
          <w:lang w:val="en-US" w:eastAsia="zh-CN"/>
        </w:rPr>
        <w:t>及暂列金</w:t>
      </w:r>
      <w:r>
        <w:rPr>
          <w:rFonts w:hint="eastAsia" w:ascii="仿宋" w:hAnsi="仿宋" w:eastAsia="仿宋" w:cs="仿宋"/>
          <w:color w:val="auto"/>
          <w:sz w:val="28"/>
          <w:szCs w:val="28"/>
          <w:highlight w:val="none"/>
        </w:rPr>
        <w:t>为非竞争性费用，报价时须按询价文件规定的金额填写，不得参与竞争，否则按无效报价处理）。</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1.5标段划分：</w:t>
      </w:r>
      <w:r>
        <w:rPr>
          <w:rFonts w:hint="eastAsia" w:ascii="仿宋_GB2312" w:eastAsia="仿宋_GB2312"/>
          <w:color w:val="auto"/>
          <w:sz w:val="28"/>
          <w:szCs w:val="28"/>
          <w:highlight w:val="none"/>
          <w:u w:val="single"/>
        </w:rPr>
        <w:t xml:space="preserve">  无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2.1主要采购内容和范围（具体以第七章响应文件格式要求5</w:t>
      </w:r>
      <w:r>
        <w:rPr>
          <w:rFonts w:ascii="仿宋_GB2312" w:eastAsia="仿宋_GB2312"/>
          <w:color w:val="auto"/>
          <w:sz w:val="28"/>
          <w:szCs w:val="28"/>
          <w:highlight w:val="none"/>
        </w:rPr>
        <w:t>.</w:t>
      </w:r>
      <w:r>
        <w:rPr>
          <w:rFonts w:hint="eastAsia" w:ascii="仿宋_GB2312" w:eastAsia="仿宋_GB2312"/>
          <w:color w:val="auto"/>
          <w:sz w:val="28"/>
          <w:szCs w:val="28"/>
          <w:highlight w:val="none"/>
        </w:rPr>
        <w:t>报价清单为准）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计划工期   □交货期  □服务期为</w:t>
      </w:r>
      <w:r>
        <w:rPr>
          <w:rFonts w:hint="eastAsia" w:ascii="仿宋_GB2312" w:eastAsia="仿宋_GB2312"/>
          <w:color w:val="auto"/>
          <w:sz w:val="28"/>
          <w:szCs w:val="28"/>
          <w:highlight w:val="none"/>
          <w:u w:val="single"/>
        </w:rPr>
        <w:t xml:space="preserve">   60天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建设地点  □交货地点  □服务地点位于</w:t>
      </w:r>
      <w:r>
        <w:rPr>
          <w:rFonts w:hint="eastAsia" w:ascii="仿宋_GB2312" w:eastAsia="仿宋_GB2312"/>
          <w:color w:val="auto"/>
          <w:sz w:val="28"/>
          <w:szCs w:val="28"/>
          <w:highlight w:val="none"/>
          <w:u w:val="single"/>
        </w:rPr>
        <w:t xml:space="preserve"> 广州市净水有限公司石井净水分公司 </w:t>
      </w:r>
    </w:p>
    <w:p>
      <w:pPr>
        <w:adjustRightInd w:val="0"/>
        <w:snapToGrid w:val="0"/>
        <w:spacing w:line="600" w:lineRule="exact"/>
        <w:ind w:left="420" w:right="-370" w:rightChars="-176" w:hanging="420" w:hanging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施工质量要求   □货物质量标准或主要技术性能指标  □服务质量要求或服务标准如下：严格按照工程建设相关规范要求施工</w:t>
      </w:r>
    </w:p>
    <w:p>
      <w:pPr>
        <w:adjustRightInd w:val="0"/>
        <w:snapToGrid w:val="0"/>
        <w:spacing w:line="600" w:lineRule="exact"/>
        <w:ind w:left="420" w:right="-370" w:rightChars="-176" w:hanging="420" w:hanging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，原高压电缆用电保护、新建高压电缆沟槽施工等供电局相关的施工工作需</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满足供电局相关技术规范要求。</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 xml:space="preserve">  确保高压电缆不断电施工作业安全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3.供应商资格要求（须提供复印件并加盖单位公章）</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u w:val="none"/>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sym w:font="Wingdings 2" w:char="0052"/>
      </w:r>
      <w:r>
        <w:rPr>
          <w:rFonts w:hint="eastAsia" w:ascii="仿宋_GB2312" w:eastAsia="仿宋_GB2312"/>
          <w:color w:val="auto"/>
          <w:sz w:val="28"/>
          <w:szCs w:val="28"/>
          <w:highlight w:val="none"/>
          <w:u w:val="none"/>
        </w:rPr>
        <w:t xml:space="preserve">（2）供应商应当具备  </w:t>
      </w:r>
      <w:r>
        <w:rPr>
          <w:rFonts w:hint="eastAsia" w:ascii="仿宋_GB2312" w:eastAsia="仿宋_GB2312"/>
          <w:color w:val="auto"/>
          <w:sz w:val="28"/>
          <w:szCs w:val="28"/>
          <w:highlight w:val="none"/>
          <w:u w:val="none"/>
          <w:lang w:val="en-US" w:eastAsia="zh-CN"/>
        </w:rPr>
        <w:t>电力工程施工总承包三级资质（或以上）或输变电工程专业承包三级（或以上）</w:t>
      </w:r>
      <w:r>
        <w:rPr>
          <w:rFonts w:hint="eastAsia" w:ascii="仿宋_GB2312" w:eastAsia="仿宋_GB2312"/>
          <w:color w:val="auto"/>
          <w:sz w:val="28"/>
          <w:szCs w:val="28"/>
          <w:highlight w:val="none"/>
          <w:u w:val="none"/>
        </w:rPr>
        <w:t xml:space="preserve"> 资质</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lang w:val="en-US" w:eastAsia="zh-CN"/>
        </w:rPr>
        <w:t>同时持有建设主管部门颁发且在有效期内的《安全生产许可证》。</w:t>
      </w:r>
    </w:p>
    <w:p>
      <w:pPr>
        <w:adjustRightInd w:val="0"/>
        <w:snapToGrid w:val="0"/>
        <w:spacing w:line="600" w:lineRule="exact"/>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sym w:font="Wingdings 2" w:char="0052"/>
      </w:r>
      <w:r>
        <w:rPr>
          <w:rFonts w:hint="eastAsia" w:ascii="仿宋_GB2312" w:eastAsia="仿宋_GB2312"/>
          <w:color w:val="auto"/>
          <w:sz w:val="28"/>
          <w:szCs w:val="28"/>
          <w:highlight w:val="none"/>
          <w:u w:val="none"/>
        </w:rPr>
        <w:t>（3）</w:t>
      </w:r>
      <w:r>
        <w:rPr>
          <w:rFonts w:ascii="仿宋_GB2312" w:eastAsia="仿宋_GB2312"/>
          <w:color w:val="auto"/>
          <w:sz w:val="28"/>
          <w:szCs w:val="28"/>
          <w:highlight w:val="none"/>
          <w:u w:val="none"/>
        </w:rPr>
        <w:t>20</w:t>
      </w:r>
      <w:r>
        <w:rPr>
          <w:rFonts w:hint="eastAsia" w:ascii="仿宋_GB2312" w:eastAsia="仿宋_GB2312"/>
          <w:color w:val="auto"/>
          <w:sz w:val="28"/>
          <w:szCs w:val="28"/>
          <w:highlight w:val="none"/>
          <w:u w:val="none"/>
          <w:lang w:val="en-US" w:eastAsia="zh-CN"/>
        </w:rPr>
        <w:t>19</w:t>
      </w:r>
      <w:r>
        <w:rPr>
          <w:rFonts w:hint="eastAsia" w:ascii="仿宋_GB2312" w:eastAsia="仿宋_GB2312"/>
          <w:color w:val="auto"/>
          <w:sz w:val="28"/>
          <w:szCs w:val="28"/>
          <w:highlight w:val="none"/>
          <w:u w:val="none"/>
        </w:rPr>
        <w:t xml:space="preserve">年1月1日至今，供应商最少具有一项 </w:t>
      </w:r>
      <w:r>
        <w:rPr>
          <w:rFonts w:ascii="仿宋_GB2312" w:eastAsia="仿宋_GB2312"/>
          <w:color w:val="auto"/>
          <w:sz w:val="28"/>
          <w:szCs w:val="28"/>
          <w:highlight w:val="none"/>
          <w:u w:val="none"/>
        </w:rPr>
        <w:t>10</w:t>
      </w:r>
      <w:r>
        <w:rPr>
          <w:rFonts w:hint="eastAsia" w:ascii="仿宋_GB2312" w:eastAsia="仿宋_GB2312"/>
          <w:color w:val="auto"/>
          <w:sz w:val="28"/>
          <w:szCs w:val="28"/>
          <w:highlight w:val="none"/>
          <w:u w:val="none"/>
        </w:rPr>
        <w:t>kv高压电力施工 项目的业绩。（提供合同复印件证明，包括但不限于项目名称、金额及实施内容、合同盖章、签订日期，加盖单位公章）</w:t>
      </w:r>
    </w:p>
    <w:p>
      <w:pPr>
        <w:adjustRightInd w:val="0"/>
        <w:snapToGrid w:val="0"/>
        <w:spacing w:line="600" w:lineRule="exact"/>
        <w:jc w:val="left"/>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rPr>
        <w:sym w:font="Wingdings 2" w:char="0052"/>
      </w:r>
      <w:r>
        <w:rPr>
          <w:rFonts w:hint="eastAsia" w:ascii="仿宋_GB2312" w:eastAsia="仿宋_GB2312"/>
          <w:color w:val="auto"/>
          <w:sz w:val="28"/>
          <w:szCs w:val="28"/>
          <w:highlight w:val="none"/>
          <w:u w:val="none"/>
        </w:rPr>
        <w:t>（4）项目负责人应当具备  机电安装工程专业二级（或以上级别）的注册建造师（或具备符合粤建市〔2010〕26号文规定的小型项目负责人资格），同时持有项目负责人安全生产考核合格证（B类）（或能够提供广东省建筑施工企业管理人员安全生产考核信息系统安全生产管理人员证书信息的网页截图）；（注：注册建造师电子证书须由本人在个人签名处手写签名，未手写签名或与签名图像笔迹不一致的，电子证书无效）。</w:t>
      </w:r>
    </w:p>
    <w:p>
      <w:pPr>
        <w:pStyle w:val="2"/>
        <w:ind w:firstLine="560" w:firstLineChars="200"/>
        <w:rPr>
          <w:rFonts w:hint="eastAsia" w:eastAsia="仿宋_GB2312"/>
          <w:color w:val="auto"/>
          <w:highlight w:val="none"/>
          <w:u w:val="none"/>
          <w:lang w:eastAsia="zh-CN"/>
        </w:rPr>
      </w:pPr>
      <w:r>
        <w:rPr>
          <w:rFonts w:hint="eastAsia" w:ascii="仿宋_GB2312" w:eastAsia="仿宋_GB2312"/>
          <w:color w:val="auto"/>
          <w:sz w:val="28"/>
          <w:szCs w:val="28"/>
          <w:highlight w:val="none"/>
          <w:u w:val="none"/>
        </w:rPr>
        <w:t>专职安全人员要求：须具有安全生产考核合格证（C类）（或能够提供广东省建筑施工企业管理人员安全生产考核信息系统安全生产管理人员证书信息的网页截图）；供应商拟担任本工程项目负责人和安全员的人员资质须满足下列要求，且项目负责人不得同时兼任本项目专职安全人员</w:t>
      </w:r>
      <w:r>
        <w:rPr>
          <w:rFonts w:hint="eastAsia" w:ascii="仿宋_GB2312" w:eastAsia="仿宋_GB2312"/>
          <w:color w:val="auto"/>
          <w:sz w:val="28"/>
          <w:szCs w:val="28"/>
          <w:highlight w:val="none"/>
          <w:u w:val="none"/>
          <w:lang w:eastAsia="zh-CN"/>
        </w:rPr>
        <w:t>。</w:t>
      </w:r>
    </w:p>
    <w:p>
      <w:pPr>
        <w:pStyle w:val="2"/>
        <w:spacing w:line="600" w:lineRule="exact"/>
        <w:ind w:firstLine="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none"/>
        </w:rPr>
        <w:sym w:font="Wingdings 2" w:char="0052"/>
      </w:r>
      <w:r>
        <w:rPr>
          <w:rFonts w:hint="eastAsia" w:ascii="仿宋_GB2312" w:eastAsia="仿宋_GB2312"/>
          <w:color w:val="auto"/>
          <w:sz w:val="28"/>
          <w:szCs w:val="28"/>
          <w:highlight w:val="none"/>
          <w:u w:val="none"/>
        </w:rPr>
        <w:t>（5）其他要求：供应商应具备工程所需的特种作业操作证人员，高压电工作业、电力电缆作业、电气试验作业、继电保护作业每个工种最少1人或以上。中选后合同签订前需提供相关的证明文件资料。</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3.2供应商在响应文件提交截止日期止不得存在下列情形之一（须出具承诺函）：</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（8）被最高人民法院在</w:t>
      </w:r>
      <w:r>
        <w:rPr>
          <w:rFonts w:ascii="仿宋_GB2312" w:eastAsia="仿宋_GB2312"/>
          <w:color w:val="auto"/>
          <w:sz w:val="28"/>
          <w:szCs w:val="28"/>
          <w:highlight w:val="none"/>
        </w:rPr>
        <w:t>“</w:t>
      </w:r>
      <w:r>
        <w:rPr>
          <w:rFonts w:hint="eastAsia" w:ascii="仿宋_GB2312" w:eastAsia="仿宋_GB2312"/>
          <w:color w:val="auto"/>
          <w:sz w:val="28"/>
          <w:szCs w:val="28"/>
          <w:highlight w:val="none"/>
        </w:rPr>
        <w:t>信用中国</w:t>
      </w:r>
      <w:r>
        <w:rPr>
          <w:rFonts w:ascii="仿宋_GB2312" w:eastAsia="仿宋_GB2312"/>
          <w:color w:val="auto"/>
          <w:sz w:val="28"/>
          <w:szCs w:val="28"/>
          <w:highlight w:val="none"/>
        </w:rPr>
        <w:t>”</w:t>
      </w:r>
      <w:r>
        <w:rPr>
          <w:rFonts w:hint="eastAsia" w:ascii="仿宋_GB2312" w:eastAsia="仿宋_GB2312"/>
          <w:color w:val="auto"/>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从 </w:t>
      </w:r>
      <w:r>
        <w:rPr>
          <w:rFonts w:hint="eastAsia" w:ascii="仿宋_GB2312" w:eastAsia="仿宋_GB2312"/>
          <w:color w:val="auto"/>
          <w:sz w:val="28"/>
          <w:szCs w:val="28"/>
          <w:highlight w:val="none"/>
          <w:u w:val="single"/>
        </w:rPr>
        <w:t>2022</w:t>
      </w:r>
      <w:r>
        <w:rPr>
          <w:rFonts w:hint="eastAsia" w:ascii="仿宋_GB2312" w:eastAsia="仿宋_GB2312"/>
          <w:color w:val="auto"/>
          <w:sz w:val="28"/>
          <w:szCs w:val="28"/>
          <w:highlight w:val="none"/>
        </w:rPr>
        <w:t xml:space="preserve"> 年</w:t>
      </w:r>
      <w:r>
        <w:rPr>
          <w:rFonts w:hint="eastAsia" w:ascii="仿宋_GB2312" w:eastAsia="仿宋_GB2312"/>
          <w:i w:val="0"/>
          <w:iCs w:val="0"/>
          <w:color w:val="auto"/>
          <w:sz w:val="28"/>
          <w:szCs w:val="28"/>
          <w:highlight w:val="none"/>
          <w:u w:val="single"/>
        </w:rPr>
        <w:t xml:space="preserve"> </w:t>
      </w:r>
      <w:r>
        <w:rPr>
          <w:rFonts w:ascii="仿宋_GB2312" w:eastAsia="仿宋_GB2312"/>
          <w:i w:val="0"/>
          <w:iCs w:val="0"/>
          <w:color w:val="auto"/>
          <w:sz w:val="28"/>
          <w:szCs w:val="28"/>
          <w:highlight w:val="none"/>
          <w:u w:val="single"/>
        </w:rPr>
        <w:t>10</w:t>
      </w:r>
      <w:r>
        <w:rPr>
          <w:rFonts w:hint="eastAsia" w:ascii="仿宋_GB2312" w:eastAsia="仿宋_GB2312"/>
          <w:i w:val="0"/>
          <w:iCs w:val="0"/>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21</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ascii="仿宋_GB2312" w:eastAsia="仿宋_GB2312"/>
          <w:color w:val="auto"/>
          <w:sz w:val="28"/>
          <w:szCs w:val="28"/>
          <w:highlight w:val="none"/>
          <w:u w:val="single"/>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25</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踏勘现场</w:t>
      </w:r>
    </w:p>
    <w:p>
      <w:pPr>
        <w:adjustRightInd w:val="0"/>
        <w:snapToGrid w:val="0"/>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A3"/>
      </w:r>
      <w:r>
        <w:rPr>
          <w:rFonts w:ascii="仿宋_GB2312" w:eastAsia="仿宋_GB2312"/>
          <w:color w:val="auto"/>
          <w:sz w:val="28"/>
          <w:szCs w:val="28"/>
          <w:highlight w:val="none"/>
        </w:rPr>
        <w:t xml:space="preserve"> </w:t>
      </w:r>
      <w:r>
        <w:rPr>
          <w:rFonts w:hint="eastAsia" w:ascii="仿宋_GB2312" w:eastAsia="仿宋_GB2312"/>
          <w:color w:val="auto"/>
          <w:sz w:val="28"/>
          <w:szCs w:val="28"/>
          <w:highlight w:val="none"/>
        </w:rPr>
        <w:t>不组织</w:t>
      </w:r>
    </w:p>
    <w:p>
      <w:pPr>
        <w:adjustRightInd w:val="0"/>
        <w:snapToGrid w:val="0"/>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组织：供应商可自行选择是否前往现场踏勘，若前往现场踏勘须在规定时间内到达集中地点，逾期不再接待。</w:t>
      </w:r>
    </w:p>
    <w:p>
      <w:pPr>
        <w:pStyle w:val="2"/>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防疫要求：基于疫情防控形势，授权委托人须通过“广州净水公司”微信公众号当天（提前）预约，填写访客预约信息（包括：1.近7天内行程有异地中高风险地区及所在的地级市（、盟、州、直辖市的区）旅居史的来（返）穗人员拒绝来访；2.近7天行程内有异地本土疫情报告的地级市（、盟、州、直辖市的区）旅居史的来（返）穗人员应持有抵穗后来访前两次核酸检测证明，即“三天两检”（每次至少间隔24小时）3.除上述1、2以外临时来访人员，应持有抵穗后来访前24小时内的核酸检测证明）。待被访部室审核员审批通过后，凭访客手机生成的“通行访客码”通行。于门岗处测温并扫码填写调查问卷，手机显示问卷“提交成功”后方可进入厂区。</w:t>
      </w:r>
    </w:p>
    <w:p>
      <w:pPr>
        <w:adjustRightInd w:val="0"/>
        <w:snapToGrid w:val="0"/>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踏勘现场联系人：黄工</w:t>
      </w:r>
    </w:p>
    <w:p>
      <w:pPr>
        <w:adjustRightInd w:val="0"/>
        <w:snapToGrid w:val="0"/>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踏勘现场联系人联系方式：1</w:t>
      </w:r>
      <w:r>
        <w:rPr>
          <w:rFonts w:ascii="仿宋_GB2312" w:eastAsia="仿宋_GB2312"/>
          <w:color w:val="auto"/>
          <w:sz w:val="28"/>
          <w:szCs w:val="28"/>
          <w:highlight w:val="none"/>
        </w:rPr>
        <w:t>8200660057</w:t>
      </w:r>
    </w:p>
    <w:p>
      <w:pPr>
        <w:adjustRightInd w:val="0"/>
        <w:snapToGrid w:val="0"/>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踏勘时间：：</w:t>
      </w:r>
      <w:r>
        <w:rPr>
          <w:rFonts w:hint="eastAsia" w:ascii="仿宋_GB2312" w:eastAsia="仿宋_GB2312"/>
          <w:color w:val="auto"/>
          <w:sz w:val="28"/>
          <w:szCs w:val="28"/>
          <w:highlight w:val="none"/>
          <w:u w:val="single"/>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24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00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11</w:t>
      </w:r>
      <w:bookmarkStart w:id="167" w:name="_GoBack"/>
      <w:bookmarkEnd w:id="167"/>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分。                    </w:t>
      </w:r>
    </w:p>
    <w:p>
      <w:pPr>
        <w:adjustRightInd w:val="0"/>
        <w:snapToGrid w:val="0"/>
        <w:spacing w:line="600" w:lineRule="exact"/>
        <w:jc w:val="left"/>
        <w:rPr>
          <w:rFonts w:asciiTheme="minorEastAsia" w:hAnsiTheme="minorEastAsia"/>
          <w:b/>
          <w:color w:val="auto"/>
          <w:sz w:val="32"/>
          <w:szCs w:val="32"/>
          <w:highlight w:val="none"/>
        </w:rPr>
      </w:pPr>
      <w:r>
        <w:rPr>
          <w:rFonts w:hint="eastAsia" w:ascii="仿宋_GB2312" w:eastAsia="仿宋_GB2312"/>
          <w:color w:val="auto"/>
          <w:sz w:val="28"/>
          <w:szCs w:val="28"/>
          <w:highlight w:val="none"/>
        </w:rPr>
        <w:t xml:space="preserve">踏勘集中地点：广州市白云区石槎路695号广州市净水有限公司石井净水分公司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6.1递交响应文件截止时间：</w:t>
      </w:r>
      <w:r>
        <w:rPr>
          <w:rFonts w:hint="eastAsia" w:ascii="仿宋_GB2312" w:eastAsia="仿宋_GB2312"/>
          <w:color w:val="auto"/>
          <w:sz w:val="28"/>
          <w:szCs w:val="28"/>
          <w:highlight w:val="none"/>
          <w:u w:val="single"/>
        </w:rPr>
        <w:t xml:space="preserve"> 2002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10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1</w:t>
      </w:r>
      <w:r>
        <w:rPr>
          <w:rFonts w:hint="eastAsia" w:ascii="仿宋_GB2312" w:eastAsia="仿宋_GB2312"/>
          <w:color w:val="auto"/>
          <w:sz w:val="28"/>
          <w:szCs w:val="28"/>
          <w:highlight w:val="none"/>
          <w:u w:val="single"/>
          <w:lang w:val="en-US" w:eastAsia="zh-CN"/>
        </w:rPr>
        <w:t>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00 </w:t>
      </w:r>
      <w:r>
        <w:rPr>
          <w:rFonts w:hint="eastAsia" w:ascii="仿宋_GB2312" w:eastAsia="仿宋_GB2312"/>
          <w:color w:val="auto"/>
          <w:sz w:val="28"/>
          <w:szCs w:val="28"/>
          <w:highlight w:val="none"/>
        </w:rPr>
        <w:t>分前（北京时间）。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6.2递交及快递地址：广州市天河区临江大道501号</w:t>
      </w:r>
      <w:r>
        <w:rPr>
          <w:rFonts w:hint="eastAsia" w:ascii="仿宋_GB2312" w:eastAsia="仿宋_GB2312"/>
          <w:color w:val="auto"/>
          <w:sz w:val="28"/>
          <w:szCs w:val="28"/>
          <w:highlight w:val="none"/>
          <w:u w:val="single"/>
        </w:rPr>
        <w:t>广州市净水有限公司6楼招标部</w:t>
      </w:r>
      <w:r>
        <w:rPr>
          <w:rFonts w:hint="eastAsia" w:ascii="仿宋_GB2312" w:eastAsia="仿宋_GB2312"/>
          <w:color w:val="auto"/>
          <w:sz w:val="28"/>
          <w:szCs w:val="28"/>
          <w:highlight w:val="none"/>
        </w:rPr>
        <w:t>。</w:t>
      </w:r>
    </w:p>
    <w:p>
      <w:pPr>
        <w:pStyle w:val="2"/>
        <w:ind w:firstLine="560" w:firstLineChars="200"/>
        <w:rPr>
          <w:rFonts w:eastAsia="仿宋_GB2312"/>
          <w:color w:val="auto"/>
          <w:highlight w:val="none"/>
        </w:rPr>
      </w:pPr>
      <w:r>
        <w:rPr>
          <w:rFonts w:hint="eastAsia" w:ascii="仿宋_GB2312" w:eastAsia="仿宋_GB2312"/>
          <w:color w:val="auto"/>
          <w:sz w:val="28"/>
          <w:szCs w:val="28"/>
          <w:highlight w:val="none"/>
        </w:rPr>
        <w:t>防疫要求：</w:t>
      </w:r>
      <w:r>
        <w:rPr>
          <w:rFonts w:hint="eastAsia" w:ascii="仿宋_GB2312" w:eastAsia="仿宋_GB2312"/>
          <w:color w:val="auto"/>
          <w:sz w:val="28"/>
          <w:szCs w:val="28"/>
          <w:highlight w:val="none"/>
          <w:lang w:val="en-US" w:eastAsia="zh-CN"/>
        </w:rPr>
        <w:t>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7.其他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本项目采购公告（采购邀请书）、公告补充及修改同步在广州净水公司门户网站及阳光平台上发布。</w:t>
      </w:r>
      <w:r>
        <w:rPr>
          <w:rFonts w:hint="eastAsia" w:ascii="仿宋_GB2312" w:hAnsi="Calibri" w:eastAsia="仿宋_GB2312" w:cs="Times New Roman"/>
          <w:color w:val="auto"/>
          <w:sz w:val="28"/>
          <w:szCs w:val="28"/>
          <w:highlight w:val="none"/>
        </w:rPr>
        <w:t>本公告在各媒体发布的文本如有不同之处，以广州净水公司门户网站为准。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rPr>
        <w:t>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9.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88"/>
        <w:gridCol w:w="3407"/>
        <w:gridCol w:w="443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8"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439"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8" w:type="dxa"/>
            <w:vAlign w:val="center"/>
          </w:tcPr>
          <w:p>
            <w:pPr>
              <w:jc w:val="center"/>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1</w:t>
            </w:r>
          </w:p>
        </w:tc>
        <w:tc>
          <w:tcPr>
            <w:tcW w:w="3407" w:type="dxa"/>
            <w:vAlign w:val="center"/>
          </w:tcPr>
          <w:p>
            <w:pPr>
              <w:jc w:val="center"/>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广州市水电建设工程有限公司</w:t>
            </w:r>
          </w:p>
        </w:tc>
        <w:tc>
          <w:tcPr>
            <w:tcW w:w="4439" w:type="dxa"/>
            <w:vAlign w:val="center"/>
          </w:tcPr>
          <w:p>
            <w:pPr>
              <w:jc w:val="center"/>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2021年11月18至2023年5月17日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8" w:type="dxa"/>
            <w:vAlign w:val="center"/>
          </w:tcPr>
          <w:p>
            <w:pPr>
              <w:jc w:val="center"/>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2</w:t>
            </w:r>
          </w:p>
        </w:tc>
        <w:tc>
          <w:tcPr>
            <w:tcW w:w="3407" w:type="dxa"/>
            <w:vAlign w:val="center"/>
          </w:tcPr>
          <w:p>
            <w:pPr>
              <w:jc w:val="center"/>
              <w:rPr>
                <w:rFonts w:ascii="仿宋_GB2312" w:hAnsi="宋体" w:eastAsia="仿宋_GB2312" w:cs="宋体"/>
                <w:color w:val="auto"/>
                <w:spacing w:val="-20"/>
                <w:sz w:val="24"/>
                <w:highlight w:val="none"/>
              </w:rPr>
            </w:pPr>
            <w:r>
              <w:rPr>
                <w:rFonts w:hint="eastAsia" w:ascii="仿宋_GB2312" w:hAnsi="宋体" w:eastAsia="仿宋_GB2312" w:cs="宋体"/>
                <w:color w:val="auto"/>
                <w:spacing w:val="-20"/>
                <w:sz w:val="24"/>
                <w:highlight w:val="none"/>
              </w:rPr>
              <w:t>广州市南粤工程建设监理有限公司</w:t>
            </w:r>
          </w:p>
        </w:tc>
        <w:tc>
          <w:tcPr>
            <w:tcW w:w="4439" w:type="dxa"/>
            <w:vAlign w:val="center"/>
          </w:tcPr>
          <w:p>
            <w:pPr>
              <w:jc w:val="center"/>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2021年11月18至2023年5月17日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8" w:type="dxa"/>
            <w:vAlign w:val="center"/>
          </w:tcPr>
          <w:p>
            <w:pPr>
              <w:jc w:val="center"/>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3</w:t>
            </w:r>
          </w:p>
        </w:tc>
        <w:tc>
          <w:tcPr>
            <w:tcW w:w="3407" w:type="dxa"/>
            <w:vAlign w:val="center"/>
          </w:tcPr>
          <w:p>
            <w:pPr>
              <w:jc w:val="center"/>
              <w:rPr>
                <w:rFonts w:ascii="仿宋_GB2312" w:hAnsi="宋体" w:eastAsia="仿宋_GB2312" w:cs="宋体"/>
                <w:color w:val="auto"/>
                <w:sz w:val="24"/>
                <w:highlight w:val="none"/>
              </w:rPr>
            </w:pPr>
            <w:r>
              <w:rPr>
                <w:rFonts w:hint="eastAsia" w:ascii="仿宋_GB2312" w:hAnsi="宋体" w:eastAsia="仿宋_GB2312" w:cs="宋体"/>
                <w:color w:val="auto"/>
                <w:sz w:val="24"/>
                <w:szCs w:val="24"/>
                <w:highlight w:val="none"/>
              </w:rPr>
              <w:t>广州市自来水工程有限公司</w:t>
            </w:r>
          </w:p>
        </w:tc>
        <w:tc>
          <w:tcPr>
            <w:tcW w:w="4439" w:type="dxa"/>
            <w:vAlign w:val="center"/>
          </w:tcPr>
          <w:p>
            <w:pPr>
              <w:jc w:val="center"/>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2022年1月1至2022年12月31日</w:t>
            </w:r>
          </w:p>
        </w:tc>
      </w:tr>
    </w:tbl>
    <w:p>
      <w:pPr>
        <w:adjustRightInd w:val="0"/>
        <w:snapToGrid w:val="0"/>
        <w:spacing w:before="156" w:beforeLines="50" w:after="156" w:afterLines="50" w:line="600" w:lineRule="exact"/>
        <w:jc w:val="left"/>
        <w:rPr>
          <w:rFonts w:hint="eastAsia" w:asciiTheme="minorEastAsia" w:hAnsiTheme="minorEastAsia"/>
          <w:b/>
          <w:color w:val="auto"/>
          <w:sz w:val="32"/>
          <w:szCs w:val="32"/>
          <w:highlight w:val="none"/>
        </w:rPr>
      </w:pPr>
    </w:p>
    <w:p>
      <w:pPr>
        <w:adjustRightInd w:val="0"/>
        <w:snapToGrid w:val="0"/>
        <w:spacing w:before="156" w:beforeLines="50" w:after="156" w:afterLines="50" w:line="600" w:lineRule="exact"/>
        <w:jc w:val="left"/>
        <w:rPr>
          <w:rFonts w:hint="eastAsia" w:asciiTheme="minorEastAsia" w:hAnsiTheme="minorEastAsia"/>
          <w:b/>
          <w:color w:val="auto"/>
          <w:sz w:val="32"/>
          <w:szCs w:val="32"/>
          <w:highlight w:val="none"/>
        </w:rPr>
      </w:pPr>
    </w:p>
    <w:p>
      <w:pPr>
        <w:adjustRightInd w:val="0"/>
        <w:snapToGrid w:val="0"/>
        <w:spacing w:before="156" w:beforeLines="50" w:after="156"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10.联系方式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林</w:t>
            </w:r>
            <w:r>
              <w:rPr>
                <w:rFonts w:hint="eastAsia" w:ascii="仿宋_GB2312" w:eastAsia="仿宋_GB2312"/>
                <w:color w:val="auto"/>
                <w:sz w:val="28"/>
                <w:szCs w:val="28"/>
                <w:highlight w:val="none"/>
              </w:rPr>
              <w:t>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：020-</w:t>
            </w:r>
            <w:r>
              <w:rPr>
                <w:rFonts w:hint="eastAsia" w:ascii="仿宋_GB2312" w:eastAsia="仿宋_GB2312"/>
                <w:color w:val="auto"/>
                <w:sz w:val="28"/>
                <w:szCs w:val="28"/>
                <w:highlight w:val="none"/>
                <w:lang w:val="en-US" w:eastAsia="zh-CN"/>
              </w:rPr>
              <w:t>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10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20 </w:t>
            </w:r>
            <w:r>
              <w:rPr>
                <w:rFonts w:hint="eastAsia" w:ascii="仿宋_GB2312" w:eastAsia="仿宋_GB2312"/>
                <w:color w:val="auto"/>
                <w:sz w:val="28"/>
                <w:szCs w:val="28"/>
                <w:highlight w:val="none"/>
              </w:rPr>
              <w:t>日</w:t>
            </w:r>
          </w:p>
        </w:tc>
      </w:tr>
    </w:tbl>
    <w:p>
      <w:pPr>
        <w:pStyle w:val="2"/>
        <w:ind w:firstLine="0"/>
        <w:rPr>
          <w:color w:val="auto"/>
          <w:highlight w:val="none"/>
        </w:rPr>
      </w:pPr>
      <w:r>
        <w:rPr>
          <w:color w:val="auto"/>
          <w:highlight w:val="none"/>
        </w:rPr>
        <w:br w:type="page"/>
      </w:r>
    </w:p>
    <w:p>
      <w:pPr>
        <w:adjustRightInd w:val="0"/>
        <w:snapToGrid w:val="0"/>
        <w:spacing w:line="600" w:lineRule="exact"/>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p>
    <w:p>
      <w:pPr>
        <w:widowControl/>
        <w:jc w:val="left"/>
        <w:rPr>
          <w:color w:val="auto"/>
          <w:highlight w:val="none"/>
        </w:rPr>
      </w:pPr>
      <w:bookmarkStart w:id="25" w:name="_Toc10891"/>
      <w:bookmarkStart w:id="26" w:name="_Toc16705"/>
      <w:bookmarkStart w:id="27" w:name="_Toc23749"/>
      <w:bookmarkStart w:id="28" w:name="_Toc32588"/>
      <w:bookmarkStart w:id="29" w:name="_Toc19295"/>
      <w:bookmarkStart w:id="30" w:name="_Toc2324"/>
      <w:bookmarkStart w:id="31" w:name="_Toc7340"/>
      <w:bookmarkStart w:id="32" w:name="_Toc2331"/>
      <w:bookmarkStart w:id="33" w:name="_Toc16557"/>
      <w:bookmarkStart w:id="34" w:name="_Toc25603"/>
      <w:bookmarkStart w:id="35" w:name="_Toc9448"/>
    </w:p>
    <w:p>
      <w:pPr>
        <w:pStyle w:val="4"/>
        <w:rPr>
          <w:color w:val="auto"/>
          <w:highlight w:val="none"/>
        </w:rPr>
      </w:pP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257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155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第二章</w:t>
      </w:r>
      <w:bookmarkEnd w:id="25"/>
      <w:bookmarkEnd w:id="26"/>
      <w:bookmarkEnd w:id="27"/>
      <w:bookmarkEnd w:id="28"/>
      <w:bookmarkEnd w:id="29"/>
      <w:bookmarkEnd w:id="30"/>
      <w:bookmarkEnd w:id="31"/>
      <w:bookmarkEnd w:id="32"/>
      <w:bookmarkEnd w:id="33"/>
      <w:bookmarkEnd w:id="34"/>
      <w:bookmarkEnd w:id="35"/>
    </w:p>
    <w:p>
      <w:pPr>
        <w:pStyle w:val="5"/>
        <w:rPr>
          <w:color w:val="auto"/>
          <w:highlight w:val="none"/>
        </w:rPr>
      </w:pPr>
    </w:p>
    <w:p>
      <w:pPr>
        <w:pStyle w:val="5"/>
        <w:rPr>
          <w:color w:val="auto"/>
          <w:highlight w:val="none"/>
        </w:rPr>
      </w:pPr>
      <w:bookmarkStart w:id="36" w:name="_Toc2339"/>
      <w:bookmarkStart w:id="37" w:name="_Toc3416"/>
      <w:r>
        <w:rPr>
          <w:rFonts w:hint="eastAsia"/>
          <w:color w:val="auto"/>
          <w:highlight w:val="none"/>
        </w:rPr>
        <w:t>供应商须知</w:t>
      </w:r>
      <w:bookmarkEnd w:id="36"/>
      <w:bookmarkEnd w:id="37"/>
    </w:p>
    <w:p>
      <w:pPr>
        <w:pStyle w:val="5"/>
        <w:rPr>
          <w:color w:val="auto"/>
          <w:highlight w:val="none"/>
        </w:rPr>
      </w:pPr>
    </w:p>
    <w:p>
      <w:pPr>
        <w:widowControl/>
        <w:jc w:val="left"/>
        <w:rPr>
          <w:rFonts w:asciiTheme="minorEastAsia" w:hAnsiTheme="minorEastAsia"/>
          <w:b/>
          <w:color w:val="auto"/>
          <w:sz w:val="32"/>
          <w:szCs w:val="32"/>
          <w:highlight w:val="none"/>
        </w:rPr>
      </w:pPr>
      <w:r>
        <w:rPr>
          <w:rFonts w:asciiTheme="minorEastAsia" w:hAnsiTheme="minorEastAsia"/>
          <w:b/>
          <w:color w:val="auto"/>
          <w:sz w:val="32"/>
          <w:szCs w:val="32"/>
          <w:highlight w:val="none"/>
        </w:rPr>
        <w:br w:type="page"/>
      </w:r>
    </w:p>
    <w:p>
      <w:pPr>
        <w:numPr>
          <w:ilvl w:val="0"/>
          <w:numId w:val="3"/>
        </w:numPr>
        <w:adjustRightInd w:val="0"/>
        <w:snapToGrid w:val="0"/>
        <w:spacing w:before="156" w:beforeLines="50" w:after="156" w:afterLines="50" w:line="50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p>
    <w:p>
      <w:pPr>
        <w:pStyle w:val="2"/>
        <w:numPr>
          <w:ilvl w:val="255"/>
          <w:numId w:val="0"/>
        </w:numPr>
        <w:rPr>
          <w:color w:val="auto"/>
          <w:highlight w:val="none"/>
        </w:rPr>
      </w:pPr>
      <w:r>
        <w:rPr>
          <w:rFonts w:hint="eastAsia"/>
          <w:color w:val="auto"/>
          <w:highlight w:val="none"/>
        </w:rPr>
        <w:t>详见第一章采购公告（采购邀请书）3.供应商资格要求</w:t>
      </w:r>
    </w:p>
    <w:p>
      <w:pPr>
        <w:adjustRightInd w:val="0"/>
        <w:snapToGrid w:val="0"/>
        <w:spacing w:line="600" w:lineRule="exact"/>
        <w:jc w:val="left"/>
        <w:rPr>
          <w:rFonts w:ascii="仿宋_GB2312" w:eastAsia="仿宋_GB2312"/>
          <w:color w:val="auto"/>
          <w:sz w:val="28"/>
          <w:szCs w:val="28"/>
          <w:highlight w:val="none"/>
        </w:rPr>
      </w:pPr>
      <w:r>
        <w:rPr>
          <w:rFonts w:hint="eastAsia" w:asciiTheme="minorEastAsia" w:hAnsiTheme="minorEastAsia"/>
          <w:b/>
          <w:color w:val="auto"/>
          <w:sz w:val="32"/>
          <w:szCs w:val="32"/>
          <w:highlight w:val="none"/>
        </w:rPr>
        <w:t>2.  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1.2.1供应商对采购文件有疑问的，应当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本项目</w:t>
            </w:r>
            <w:r>
              <w:rPr>
                <w:rFonts w:hint="eastAsia" w:ascii="仿宋_GB2312" w:eastAsia="仿宋_GB2312"/>
                <w:color w:val="auto"/>
                <w:sz w:val="24"/>
                <w:szCs w:val="24"/>
                <w:highlight w:val="none"/>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最高限价及低价说明</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2.7</w:t>
            </w:r>
          </w:p>
          <w:p>
            <w:pPr>
              <w:adjustRightInd w:val="0"/>
              <w:snapToGrid w:val="0"/>
              <w:jc w:val="center"/>
              <w:rPr>
                <w:rFonts w:ascii="仿宋_GB2312" w:eastAsia="仿宋_GB2312"/>
                <w:color w:val="auto"/>
                <w:sz w:val="24"/>
                <w:szCs w:val="24"/>
                <w:highlight w:val="none"/>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rPr>
              <w:t>3</w:t>
            </w:r>
            <w:r>
              <w:rPr>
                <w:rFonts w:hint="eastAsia" w:ascii="仿宋_GB2312" w:eastAsia="仿宋_GB2312" w:hAnsiTheme="minorEastAsia"/>
                <w:color w:val="auto"/>
                <w:sz w:val="24"/>
                <w:szCs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156" w:beforeLines="50" w:after="156" w:afterLines="50" w:line="56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3.发生下列情况之一者，视为无效响应行为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（9）其他不符合采购文件要求的情形。</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4.响应保证金</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本项目无须递交响应保证金。</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5.响应文件要求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6.1响应文件包括下列内容</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6.异议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7.1 供应商或其他利害关系人可以对采购公告（采购邀请书）、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7.3 异议人与采购人对异议事项无法达成一致的，异议人可向采购人的监管部门进行反映。</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8.本章附件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widowControl/>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6"/>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widowControl/>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widowControl/>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widowControl/>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6"/>
        <w:rPr>
          <w:color w:val="auto"/>
          <w:highlight w:val="none"/>
        </w:rPr>
      </w:pPr>
    </w:p>
    <w:p>
      <w:pPr>
        <w:pStyle w:val="36"/>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rPr>
        <w:t xml:space="preserve">      项目</w:t>
      </w:r>
      <w:r>
        <w:rPr>
          <w:rFonts w:hint="eastAsia" w:ascii="仿宋_GB2312" w:eastAsia="仿宋_GB2312" w:hAnsiTheme="majorEastAsia"/>
          <w:color w:val="auto"/>
          <w:sz w:val="28"/>
          <w:szCs w:val="28"/>
          <w:highlight w:val="none"/>
        </w:rPr>
        <w:t>的成交供应商。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rPr>
        <w:t>30</w:t>
      </w:r>
      <w:r>
        <w:rPr>
          <w:rFonts w:hint="eastAsia" w:ascii="仿宋_GB2312" w:eastAsia="仿宋_GB2312" w:hAnsiTheme="majorEastAsia"/>
          <w:color w:val="auto"/>
          <w:sz w:val="28"/>
          <w:szCs w:val="28"/>
          <w:highlight w:val="none"/>
        </w:rPr>
        <w:t>日内与我方签订采购合同，逾期视为自动放弃成交资格。</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4"/>
        <w:jc w:val="both"/>
        <w:rPr>
          <w:color w:val="auto"/>
          <w:highlight w:val="none"/>
        </w:rPr>
      </w:pPr>
      <w:bookmarkStart w:id="38" w:name="_Toc2867"/>
      <w:bookmarkStart w:id="39" w:name="_Toc21455"/>
    </w:p>
    <w:p>
      <w:pPr>
        <w:pStyle w:val="4"/>
        <w:rPr>
          <w:color w:val="auto"/>
          <w:highlight w:val="none"/>
        </w:rPr>
      </w:pPr>
    </w:p>
    <w:p>
      <w:pPr>
        <w:pStyle w:val="5"/>
        <w:rPr>
          <w:rFonts w:asciiTheme="minorHAnsi" w:hAnsiTheme="minorHAnsi" w:cstheme="minorBidi"/>
          <w:color w:val="auto"/>
          <w:kern w:val="44"/>
          <w:sz w:val="44"/>
          <w:szCs w:val="44"/>
          <w:highlight w:val="none"/>
        </w:rPr>
      </w:pP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71120</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top:5.6pt;height:0pt;width:75.5pt;mso-position-horizontal:center;mso-position-horizontal-relative:margin;z-index:251664384;mso-width-relative:page;mso-height-relative:page;" filled="f" stroked="t" coordsize="21600,21600" o:gfxdata="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r&#10;JBbb0gAAAAYBAAAPAAAAAAAAAAEAIAAAACIAAABkcnMvZG93bnJldi54bWxQSwECFAAUAAAACACH&#10;TuJAFyDFufEBAADiAwAADgAAAAAAAAABACAAAAAhAQAAZHJzL2Uyb0RvYy54bWxQSwUGAAAAAAYA&#10;BgBZAQAAhAU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5408"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5408;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第三章</w:t>
      </w:r>
      <w:bookmarkEnd w:id="38"/>
      <w:bookmarkEnd w:id="39"/>
    </w:p>
    <w:p>
      <w:pPr>
        <w:pStyle w:val="36"/>
        <w:rPr>
          <w:color w:val="auto"/>
          <w:highlight w:val="none"/>
        </w:rPr>
      </w:pPr>
    </w:p>
    <w:p>
      <w:pPr>
        <w:pStyle w:val="5"/>
        <w:rPr>
          <w:color w:val="auto"/>
          <w:highlight w:val="none"/>
        </w:rPr>
      </w:pPr>
      <w:bookmarkStart w:id="40" w:name="_Toc7040"/>
      <w:bookmarkStart w:id="41" w:name="_Toc7303"/>
      <w:bookmarkStart w:id="42" w:name="_Toc87616371"/>
      <w:bookmarkStart w:id="43" w:name="_Toc88209934"/>
      <w:r>
        <w:rPr>
          <w:rFonts w:hint="eastAsia"/>
          <w:color w:val="auto"/>
          <w:highlight w:val="none"/>
        </w:rPr>
        <w:t>采购方法</w:t>
      </w:r>
      <w:bookmarkEnd w:id="40"/>
      <w:bookmarkEnd w:id="41"/>
      <w:bookmarkEnd w:id="42"/>
      <w:bookmarkEnd w:id="43"/>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widowControl/>
        <w:jc w:val="left"/>
        <w:rPr>
          <w:rFonts w:eastAsia="方正小标宋简体" w:asciiTheme="majorHAnsi" w:hAnsiTheme="majorHAnsi" w:cstheme="majorBidi"/>
          <w:bCs/>
          <w:color w:val="auto"/>
          <w:sz w:val="36"/>
          <w:szCs w:val="32"/>
          <w:highlight w:val="none"/>
        </w:rPr>
      </w:pPr>
      <w:bookmarkStart w:id="44" w:name="_Toc24895"/>
      <w:bookmarkStart w:id="45" w:name="_Toc3789"/>
      <w:r>
        <w:rPr>
          <w:color w:val="auto"/>
          <w:highlight w:val="none"/>
        </w:rPr>
        <w:br w:type="page"/>
      </w:r>
    </w:p>
    <w:p>
      <w:pPr>
        <w:pStyle w:val="5"/>
        <w:rPr>
          <w:color w:val="auto"/>
          <w:highlight w:val="none"/>
        </w:rPr>
      </w:pPr>
      <w:r>
        <w:rPr>
          <w:rFonts w:hint="eastAsia"/>
          <w:color w:val="auto"/>
          <w:highlight w:val="none"/>
        </w:rPr>
        <w:t>询比采购</w:t>
      </w:r>
      <w:bookmarkEnd w:id="44"/>
      <w:bookmarkEnd w:id="45"/>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公开询比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1.2 资格审查执行第二章供应商须知1.对供应商的资格要求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1.3 响应文件提交截止后，递交响应文件供应商不足3家的或有效响应文件供应商不足两家，应分析原因并重新发出采购公告（邀请书）或采取其他采购方式。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采购人确定满足采购文件资格性、响应性要求，并且经评审的报价最低的为成交供应商</w:t>
            </w:r>
          </w:p>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 xml:space="preserve">评审小组按照采购文件确定的标准排序，采购人确定排名第一的供应商为成交供应商。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widowControl/>
        <w:jc w:val="left"/>
        <w:rPr>
          <w:color w:val="auto"/>
          <w:highlight w:val="none"/>
        </w:rPr>
      </w:pPr>
      <w:bookmarkStart w:id="46" w:name="_Toc14552"/>
      <w:bookmarkStart w:id="47" w:name="_Toc7118"/>
      <w:bookmarkStart w:id="48" w:name="_Toc20594"/>
      <w:bookmarkStart w:id="49" w:name="_Toc19759"/>
      <w:bookmarkStart w:id="50" w:name="_Toc19050"/>
      <w:bookmarkStart w:id="51" w:name="_Toc23581"/>
      <w:bookmarkStart w:id="52" w:name="_Toc3156"/>
      <w:bookmarkStart w:id="53" w:name="_Toc14870"/>
      <w:bookmarkStart w:id="54" w:name="_Toc10930"/>
      <w:bookmarkStart w:id="55" w:name="_Toc7437"/>
      <w:bookmarkStart w:id="56" w:name="_Toc4952"/>
    </w:p>
    <w:p>
      <w:pPr>
        <w:pStyle w:val="4"/>
        <w:rPr>
          <w:color w:val="auto"/>
          <w:highlight w:val="none"/>
        </w:rPr>
      </w:pP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2338070</wp:posOffset>
                </wp:positionH>
                <wp:positionV relativeFrom="paragraph">
                  <wp:posOffset>513715</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4.1pt;margin-top:40.45pt;height:0pt;width:75.5pt;z-index:251662336;mso-width-relative:page;mso-height-relative:page;" filled="f" stroked="t" coordsize="21600,21600" o:gfxdata="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4U0d/WAAAACQEAAA8AAAAAAAAAAQAgAAAAIgAAAGRycy9kb3ducmV2LnhtbFBLAQIUABQA&#10;AAAIAIdO4kB7nWMX8gEAAOIDAAAOAAAAAAAAAAEAIAAAACU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80010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top:6.3pt;height:0pt;width:75.5pt;mso-position-horizontal:center;mso-position-horizontal-relative:margin;z-index:251661312;mso-width-relative:page;mso-height-relative:page;" filled="f" stroked="t" coordsize="21600,21600" o:gfxdata="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tAPm/9IAAAAGAQAADwAAAAAAAAABACAAAAAiAAAAZHJzL2Rvd25yZXYueG1sUEsBAhQAFAAAAAgA&#10;h07iQJAxwLDyAQAA4gMAAA4AAAAAAAAAAQAgAAAAIQEAAGRycy9lMm9Eb2MueG1sUEsFBgAAAAAG&#10;AAYAWQEAAIUFAAAAAA==&#10;">
                <v:fill on="f" focussize="0,0"/>
                <v:stroke color="#000000" joinstyle="round"/>
                <v:imagedata o:title=""/>
                <o:lock v:ext="edit" aspectratio="f"/>
              </v:shape>
            </w:pict>
          </mc:Fallback>
        </mc:AlternateContent>
      </w:r>
      <w:r>
        <w:rPr>
          <w:rFonts w:hint="eastAsia"/>
          <w:color w:val="auto"/>
          <w:highlight w:val="none"/>
        </w:rPr>
        <w:t>第四章</w:t>
      </w:r>
      <w:bookmarkEnd w:id="46"/>
      <w:bookmarkEnd w:id="47"/>
      <w:bookmarkEnd w:id="48"/>
      <w:bookmarkEnd w:id="49"/>
      <w:bookmarkEnd w:id="50"/>
      <w:bookmarkEnd w:id="51"/>
      <w:bookmarkEnd w:id="52"/>
      <w:bookmarkEnd w:id="53"/>
      <w:bookmarkEnd w:id="54"/>
      <w:bookmarkEnd w:id="55"/>
      <w:bookmarkEnd w:id="56"/>
    </w:p>
    <w:p>
      <w:pPr>
        <w:pStyle w:val="4"/>
        <w:rPr>
          <w:color w:val="auto"/>
          <w:highlight w:val="none"/>
        </w:rPr>
      </w:pPr>
      <w:bookmarkStart w:id="57" w:name="_Toc30530"/>
      <w:bookmarkStart w:id="58" w:name="_Toc29484"/>
      <w:bookmarkStart w:id="59" w:name="_Toc22212"/>
      <w:bookmarkStart w:id="60" w:name="_Toc29345"/>
      <w:bookmarkStart w:id="61" w:name="_Toc88209941"/>
      <w:bookmarkStart w:id="62" w:name="_Toc87616378"/>
      <w:bookmarkStart w:id="63" w:name="_Toc21079"/>
      <w:bookmarkStart w:id="64" w:name="_Toc13898"/>
      <w:bookmarkStart w:id="65" w:name="_Toc21840"/>
      <w:bookmarkStart w:id="66" w:name="_Toc12177"/>
      <w:bookmarkStart w:id="67" w:name="_Toc32607"/>
      <w:bookmarkStart w:id="68" w:name="_Toc7831"/>
      <w:bookmarkStart w:id="69" w:name="_Toc6308"/>
      <w:r>
        <w:rPr>
          <w:rFonts w:hint="eastAsia"/>
          <w:color w:val="auto"/>
          <w:highlight w:val="none"/>
        </w:rPr>
        <w:t>评审办法</w:t>
      </w:r>
      <w:bookmarkEnd w:id="57"/>
      <w:bookmarkEnd w:id="58"/>
      <w:bookmarkEnd w:id="59"/>
      <w:bookmarkEnd w:id="60"/>
      <w:bookmarkEnd w:id="61"/>
      <w:bookmarkEnd w:id="62"/>
      <w:bookmarkEnd w:id="63"/>
      <w:bookmarkEnd w:id="64"/>
      <w:bookmarkEnd w:id="65"/>
      <w:bookmarkEnd w:id="66"/>
      <w:bookmarkEnd w:id="67"/>
      <w:bookmarkEnd w:id="68"/>
      <w:bookmarkEnd w:id="69"/>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widowControl/>
        <w:jc w:val="left"/>
        <w:rPr>
          <w:rFonts w:eastAsia="方正小标宋简体" w:asciiTheme="majorHAnsi" w:hAnsiTheme="majorHAnsi" w:cstheme="majorBidi"/>
          <w:bCs/>
          <w:color w:val="auto"/>
          <w:sz w:val="36"/>
          <w:szCs w:val="32"/>
          <w:highlight w:val="none"/>
        </w:rPr>
      </w:pPr>
      <w:bookmarkStart w:id="70" w:name="_Toc26826"/>
      <w:bookmarkStart w:id="71" w:name="_Toc23033"/>
      <w:r>
        <w:rPr>
          <w:color w:val="auto"/>
          <w:highlight w:val="none"/>
        </w:rPr>
        <w:br w:type="page"/>
      </w:r>
    </w:p>
    <w:p>
      <w:pPr>
        <w:pStyle w:val="5"/>
        <w:rPr>
          <w:color w:val="auto"/>
          <w:highlight w:val="none"/>
        </w:rPr>
      </w:pPr>
      <w:r>
        <w:rPr>
          <w:rFonts w:hint="eastAsia"/>
          <w:color w:val="auto"/>
          <w:highlight w:val="none"/>
        </w:rPr>
        <w:t>经评审的最低价法</w:t>
      </w:r>
      <w:bookmarkEnd w:id="70"/>
      <w:bookmarkEnd w:id="71"/>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（1）运输费用及保险费。（如有）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法定代表人授权委托</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有授权书</w:t>
            </w:r>
            <w:r>
              <w:rPr>
                <w:rFonts w:hint="eastAsia" w:ascii="仿宋_GB2312" w:eastAsia="仿宋_GB2312"/>
                <w:color w:val="auto"/>
                <w:sz w:val="24"/>
                <w:szCs w:val="24"/>
                <w:highlight w:val="none"/>
              </w:rPr>
              <w:t>，</w:t>
            </w:r>
            <w:r>
              <w:rPr>
                <w:rFonts w:ascii="仿宋_GB2312" w:eastAsia="仿宋_GB2312"/>
                <w:color w:val="auto"/>
                <w:sz w:val="24"/>
                <w:szCs w:val="24"/>
                <w:highlight w:val="none"/>
              </w:rPr>
              <w:t>授权书有法定代表人及其委托代理人签字并加盖单位</w:t>
            </w:r>
            <w:r>
              <w:rPr>
                <w:rFonts w:hint="eastAsia" w:ascii="仿宋_GB2312" w:eastAsia="仿宋_GB2312"/>
                <w:color w:val="auto"/>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widowControl/>
        <w:jc w:val="left"/>
        <w:rPr>
          <w:rFonts w:ascii="仿宋_GB2312" w:eastAsia="仿宋_GB2312" w:hAnsiTheme="minorEastAsia"/>
          <w:color w:val="auto"/>
          <w:szCs w:val="21"/>
          <w:highlight w:val="none"/>
        </w:rPr>
      </w:pPr>
      <w:r>
        <w:rPr>
          <w:rFonts w:ascii="仿宋_GB2312" w:eastAsia="仿宋_GB2312" w:hAnsiTheme="minorEastAsia"/>
          <w:color w:val="auto"/>
          <w:szCs w:val="21"/>
          <w:highlight w:val="none"/>
        </w:rPr>
        <w:br w:type="page"/>
      </w:r>
      <w:bookmarkStart w:id="72" w:name="_Toc88209947"/>
    </w:p>
    <w:p>
      <w:pPr>
        <w:pStyle w:val="2"/>
      </w:pPr>
    </w:p>
    <w:p>
      <w:pPr>
        <w:pStyle w:val="4"/>
        <w:rPr>
          <w:color w:val="auto"/>
          <w:highlight w:val="none"/>
        </w:rPr>
      </w:pP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2348230</wp:posOffset>
                </wp:positionH>
                <wp:positionV relativeFrom="paragraph">
                  <wp:posOffset>79375</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6.25pt;height:0pt;width:75.5pt;z-index:251664384;mso-width-relative:page;mso-height-relative:page;" filled="f" stroked="t" coordsize="21600,21600" o:gfxdata="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9CCz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66432;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第五章</w:t>
      </w:r>
    </w:p>
    <w:p>
      <w:pPr>
        <w:pStyle w:val="5"/>
        <w:rPr>
          <w:color w:val="auto"/>
          <w:highlight w:val="none"/>
        </w:rPr>
      </w:pPr>
    </w:p>
    <w:p>
      <w:pPr>
        <w:pStyle w:val="5"/>
        <w:rPr>
          <w:color w:val="auto"/>
          <w:szCs w:val="44"/>
          <w:highlight w:val="none"/>
        </w:rPr>
      </w:pPr>
      <w:r>
        <w:rPr>
          <w:rFonts w:hint="eastAsia"/>
          <w:color w:val="auto"/>
          <w:szCs w:val="44"/>
          <w:highlight w:val="none"/>
        </w:rPr>
        <w:t>采购需求</w:t>
      </w:r>
    </w:p>
    <w:bookmarkEnd w:id="72"/>
    <w:p>
      <w:pPr>
        <w:pStyle w:val="4"/>
        <w:rPr>
          <w:color w:val="auto"/>
          <w:highlight w:val="none"/>
        </w:rPr>
      </w:pPr>
    </w:p>
    <w:p>
      <w:pPr>
        <w:widowControl/>
        <w:jc w:val="left"/>
        <w:rPr>
          <w:rFonts w:ascii="仿宋_GB2312" w:eastAsia="仿宋_GB2312"/>
          <w:color w:val="auto"/>
          <w:sz w:val="28"/>
          <w:szCs w:val="28"/>
          <w:highlight w:val="none"/>
        </w:rPr>
      </w:pPr>
      <w:r>
        <w:rPr>
          <w:rFonts w:ascii="仿宋_GB2312" w:eastAsia="仿宋_GB2312"/>
          <w:color w:val="auto"/>
          <w:sz w:val="28"/>
          <w:szCs w:val="28"/>
          <w:highlight w:val="none"/>
        </w:rPr>
        <w:br w:type="page"/>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1.图纸：</w:t>
      </w:r>
    </w:p>
    <w:p>
      <w:pPr>
        <w:adjustRightInd w:val="0"/>
        <w:snapToGrid w:val="0"/>
        <w:spacing w:line="600" w:lineRule="exact"/>
        <w:jc w:val="center"/>
        <w:rPr>
          <w:rFonts w:ascii="楷体" w:hAnsi="楷体" w:eastAsia="楷体"/>
          <w:color w:val="auto"/>
          <w:sz w:val="24"/>
          <w:highlight w:val="none"/>
        </w:rPr>
      </w:pPr>
      <w:r>
        <w:rPr>
          <w:color w:val="auto"/>
          <w:highlight w:val="none"/>
        </w:rPr>
        <w:drawing>
          <wp:anchor distT="0" distB="0" distL="114300" distR="114300" simplePos="0" relativeHeight="251675648" behindDoc="0" locked="0" layoutInCell="1" allowOverlap="1">
            <wp:simplePos x="0" y="0"/>
            <wp:positionH relativeFrom="column">
              <wp:posOffset>0</wp:posOffset>
            </wp:positionH>
            <wp:positionV relativeFrom="paragraph">
              <wp:posOffset>380365</wp:posOffset>
            </wp:positionV>
            <wp:extent cx="5610225" cy="3028950"/>
            <wp:effectExtent l="0" t="0" r="9525" b="0"/>
            <wp:wrapThrough wrapText="bothSides">
              <wp:wrapPolygon>
                <wp:start x="0" y="0"/>
                <wp:lineTo x="0" y="21464"/>
                <wp:lineTo x="21563" y="21464"/>
                <wp:lineTo x="21563" y="0"/>
                <wp:lineTo x="0" y="0"/>
              </wp:wrapPolygon>
            </wp:wrapThrough>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610225" cy="3028950"/>
                    </a:xfrm>
                    <a:prstGeom prst="rect">
                      <a:avLst/>
                    </a:prstGeom>
                    <a:noFill/>
                    <a:ln>
                      <a:noFill/>
                    </a:ln>
                  </pic:spPr>
                </pic:pic>
              </a:graphicData>
            </a:graphic>
          </wp:anchor>
        </w:drawing>
      </w:r>
      <w:r>
        <w:rPr>
          <w:rFonts w:hint="eastAsia" w:ascii="楷体" w:hAnsi="楷体" w:eastAsia="楷体"/>
          <w:color w:val="auto"/>
          <w:sz w:val="24"/>
          <w:highlight w:val="none"/>
        </w:rPr>
        <w:t>高压电缆和鼓风机风管位置平面图</w:t>
      </w:r>
    </w:p>
    <w:p>
      <w:pPr>
        <w:pStyle w:val="2"/>
        <w:rPr>
          <w:color w:val="auto"/>
          <w:highlight w:val="none"/>
        </w:rPr>
      </w:pPr>
    </w:p>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2</w:t>
      </w:r>
      <w:r>
        <w:rPr>
          <w:rFonts w:hint="eastAsia" w:ascii="仿宋_GB2312" w:eastAsia="仿宋_GB2312"/>
          <w:color w:val="auto"/>
          <w:sz w:val="28"/>
          <w:szCs w:val="28"/>
          <w:highlight w:val="none"/>
        </w:rPr>
        <w:t>.技术标准和要求：</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 xml:space="preserve">   </w:t>
      </w:r>
      <w:r>
        <w:rPr>
          <w:rFonts w:hint="eastAsia" w:ascii="仿宋_GB2312" w:eastAsia="仿宋_GB2312"/>
          <w:color w:val="auto"/>
          <w:sz w:val="28"/>
          <w:szCs w:val="28"/>
          <w:highlight w:val="none"/>
        </w:rPr>
        <w:t>严格按照供电局对高压电缆管线、沟槽相关技术标准和要求实施，工程量清单内容因供电局相关技术规范要求与实际实施工程量不相符的，以供电局相关技术规范要求对应实施的工程量为准。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2.项目工期：60天</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3.施工地点：广州市净水有限公司石井净水分公司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w:t>
      </w:r>
      <w:r>
        <w:rPr>
          <w:rFonts w:ascii="仿宋_GB2312" w:eastAsia="仿宋_GB2312"/>
          <w:color w:val="auto"/>
          <w:sz w:val="28"/>
          <w:szCs w:val="28"/>
          <w:highlight w:val="none"/>
        </w:rPr>
        <w:t>.</w:t>
      </w:r>
      <w:r>
        <w:rPr>
          <w:rFonts w:hint="eastAsia" w:ascii="仿宋_GB2312" w:eastAsia="仿宋_GB2312"/>
          <w:color w:val="auto"/>
          <w:sz w:val="28"/>
          <w:szCs w:val="28"/>
          <w:highlight w:val="none"/>
        </w:rPr>
        <w:t>主要采购内容和范围（具体以第七章响应文件格式要求5</w:t>
      </w:r>
      <w:r>
        <w:rPr>
          <w:rFonts w:ascii="仿宋_GB2312" w:eastAsia="仿宋_GB2312"/>
          <w:color w:val="auto"/>
          <w:sz w:val="28"/>
          <w:szCs w:val="28"/>
          <w:highlight w:val="none"/>
        </w:rPr>
        <w:t>.</w:t>
      </w:r>
      <w:r>
        <w:rPr>
          <w:rFonts w:hint="eastAsia" w:ascii="仿宋_GB2312" w:eastAsia="仿宋_GB2312"/>
          <w:color w:val="auto"/>
          <w:sz w:val="28"/>
          <w:szCs w:val="28"/>
          <w:highlight w:val="none"/>
        </w:rPr>
        <w:t>报价清单为准）</w:t>
      </w:r>
    </w:p>
    <w:p>
      <w:pPr>
        <w:pStyle w:val="2"/>
        <w:rPr>
          <w:color w:val="auto"/>
          <w:highlight w:val="none"/>
        </w:rPr>
      </w:pPr>
      <w:r>
        <w:rPr>
          <w:color w:val="auto"/>
          <w:highlight w:val="none"/>
        </w:rPr>
        <w:br w:type="page"/>
      </w:r>
    </w:p>
    <w:p>
      <w:pPr>
        <w:pStyle w:val="4"/>
        <w:jc w:val="both"/>
        <w:rPr>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2277745</wp:posOffset>
                </wp:positionH>
                <wp:positionV relativeFrom="paragraph">
                  <wp:posOffset>80010</wp:posOffset>
                </wp:positionV>
                <wp:extent cx="958850" cy="0"/>
                <wp:effectExtent l="0" t="0" r="0" b="0"/>
                <wp:wrapNone/>
                <wp:docPr id="23" name="直接箭头连接符 2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79.35pt;margin-top:6.3pt;height:0pt;width:75.5pt;z-index:251673600;mso-width-relative:page;mso-height-relative:page;" filled="f" stroked="t" coordsize="21600,21600" o:gfxdata="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cf2E7WAAAACQEAAA8AAAAAAAAAAQAgAAAAIgAAAGRycy9kb3ducmV2Lnht&#10;bFBLAQIUABQAAAAIAIdO4kC8lPe8+wEAAO0DAAAOAAAAAAAAAAEAIAAAACUBAABkcnMvZTJvRG9j&#10;LnhtbFBLBQYAAAAABgAGAFkBAACS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2268220</wp:posOffset>
                </wp:positionH>
                <wp:positionV relativeFrom="paragraph">
                  <wp:posOffset>586740</wp:posOffset>
                </wp:positionV>
                <wp:extent cx="958850" cy="0"/>
                <wp:effectExtent l="0" t="0" r="0" b="0"/>
                <wp:wrapNone/>
                <wp:docPr id="22" name="直接箭头连接符 22"/>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78.6pt;margin-top:46.2pt;height:0pt;width:75.5pt;z-index:251674624;mso-width-relative:page;mso-height-relative:page;" filled="f" stroked="t" coordsize="21600,21600" o:gfxdata="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PlXkV1wAAAAkBAAAPAAAAAAAAAAEAIAAAACIAAABkcnMvZG93bnJldi54&#10;bWxQSwECFAAUAAAACACHTuJA5d6TIPsBAADtAwAADgAAAAAAAAABACAAAAAmAQAAZHJzL2Uyb0Rv&#10;Yy54bWxQSwUGAAAAAAYABgBZAQAAkwUAAAAA&#10;">
                <v:fill on="f" focussize="0,0"/>
                <v:stroke color="#000000" joinstyle="round"/>
                <v:imagedata o:title=""/>
                <o:lock v:ext="edit" aspectratio="f"/>
              </v:shape>
            </w:pict>
          </mc:Fallback>
        </mc:AlternateContent>
      </w:r>
      <w:r>
        <w:rPr>
          <w:rFonts w:hint="eastAsia"/>
          <w:color w:val="auto"/>
          <w:highlight w:val="none"/>
        </w:rPr>
        <w:t>第六章</w:t>
      </w:r>
    </w:p>
    <w:p>
      <w:pPr>
        <w:pStyle w:val="36"/>
        <w:rPr>
          <w:color w:val="auto"/>
          <w:highlight w:val="none"/>
        </w:rPr>
      </w:pPr>
    </w:p>
    <w:p>
      <w:pPr>
        <w:pStyle w:val="4"/>
        <w:rPr>
          <w:color w:val="auto"/>
          <w:highlight w:val="none"/>
        </w:rPr>
      </w:pPr>
      <w:bookmarkStart w:id="73" w:name="_Toc13309"/>
      <w:bookmarkStart w:id="74" w:name="_Toc22797"/>
      <w:bookmarkStart w:id="75" w:name="_Toc12968"/>
      <w:bookmarkStart w:id="76" w:name="_Toc8183"/>
      <w:bookmarkStart w:id="77" w:name="_Toc88209949"/>
      <w:bookmarkStart w:id="78" w:name="_Toc22501"/>
      <w:bookmarkStart w:id="79" w:name="_Toc87616386"/>
      <w:bookmarkStart w:id="80" w:name="_Toc19088"/>
      <w:bookmarkStart w:id="81" w:name="_Toc323"/>
      <w:bookmarkStart w:id="82" w:name="_Toc12721"/>
      <w:bookmarkStart w:id="83" w:name="_Toc1375"/>
      <w:bookmarkStart w:id="84" w:name="_Toc19686"/>
      <w:bookmarkStart w:id="85" w:name="_Toc12980"/>
      <w:r>
        <w:rPr>
          <w:rFonts w:hint="eastAsia"/>
          <w:color w:val="auto"/>
          <w:highlight w:val="none"/>
        </w:rPr>
        <w:t>合同</w:t>
      </w:r>
      <w:bookmarkEnd w:id="73"/>
      <w:bookmarkEnd w:id="74"/>
      <w:bookmarkEnd w:id="75"/>
      <w:bookmarkEnd w:id="76"/>
      <w:bookmarkEnd w:id="77"/>
      <w:bookmarkEnd w:id="78"/>
      <w:bookmarkEnd w:id="79"/>
      <w:bookmarkEnd w:id="80"/>
      <w:bookmarkEnd w:id="81"/>
      <w:bookmarkEnd w:id="82"/>
      <w:bookmarkEnd w:id="83"/>
      <w:bookmarkEnd w:id="84"/>
      <w:bookmarkEnd w:id="85"/>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widowControl/>
        <w:jc w:val="left"/>
        <w:rPr>
          <w:rFonts w:ascii="方正小标宋简体" w:hAnsi="宋体" w:eastAsia="方正小标宋简体" w:cs="Times New Roman"/>
          <w:color w:val="auto"/>
          <w:kern w:val="0"/>
          <w:sz w:val="44"/>
          <w:szCs w:val="44"/>
          <w:highlight w:val="none"/>
        </w:rPr>
      </w:pPr>
      <w:r>
        <w:rPr>
          <w:rFonts w:ascii="方正小标宋简体" w:hAnsi="宋体" w:eastAsia="方正小标宋简体" w:cs="Times New Roman"/>
          <w:color w:val="auto"/>
          <w:kern w:val="0"/>
          <w:sz w:val="44"/>
          <w:szCs w:val="44"/>
          <w:highlight w:val="none"/>
        </w:rPr>
        <w:br w:type="page"/>
      </w:r>
    </w:p>
    <w:p>
      <w:pPr>
        <w:pStyle w:val="46"/>
        <w:rPr>
          <w:color w:val="auto"/>
          <w:highlight w:val="none"/>
        </w:rPr>
      </w:pPr>
    </w:p>
    <w:p>
      <w:pPr>
        <w:rPr>
          <w:rFonts w:ascii="仿宋_GB2312" w:hAnsi="仿宋_GB2312" w:eastAsia="仿宋_GB2312" w:cs="仿宋_GB2312"/>
          <w:bCs/>
          <w:color w:val="auto"/>
          <w:sz w:val="28"/>
          <w:szCs w:val="28"/>
          <w:highlight w:val="none"/>
        </w:rPr>
      </w:pPr>
    </w:p>
    <w:p>
      <w:pPr>
        <w:spacing w:line="400" w:lineRule="atLeast"/>
        <w:rPr>
          <w:rFonts w:eastAsia="仿宋_GB2312" w:cs="仿宋_GB2312" w:asciiTheme="majorHAnsi" w:hAnsiTheme="majorHAnsi"/>
          <w:color w:val="auto"/>
          <w:sz w:val="52"/>
          <w:szCs w:val="52"/>
          <w:highlight w:val="none"/>
        </w:rPr>
      </w:pPr>
    </w:p>
    <w:p>
      <w:pPr>
        <w:spacing w:line="400" w:lineRule="atLeast"/>
        <w:jc w:val="center"/>
        <w:rPr>
          <w:rFonts w:ascii="宋体" w:hAnsi="宋体" w:cs="宋体"/>
          <w:b/>
          <w:bCs/>
          <w:color w:val="auto"/>
          <w:sz w:val="48"/>
          <w:szCs w:val="48"/>
          <w:highlight w:val="none"/>
        </w:rPr>
      </w:pPr>
      <w:r>
        <w:rPr>
          <w:rFonts w:hint="eastAsia" w:ascii="宋体" w:hAnsi="宋体" w:cs="宋体"/>
          <w:b/>
          <w:bCs/>
          <w:color w:val="auto"/>
          <w:sz w:val="48"/>
          <w:szCs w:val="48"/>
          <w:highlight w:val="none"/>
        </w:rPr>
        <w:t>广州市净水有限公司</w:t>
      </w:r>
    </w:p>
    <w:p>
      <w:pPr>
        <w:spacing w:line="400" w:lineRule="atLeast"/>
        <w:jc w:val="center"/>
        <w:rPr>
          <w:rFonts w:asciiTheme="majorHAnsi" w:hAnsiTheme="majorHAnsi" w:eastAsiaTheme="majorEastAsia"/>
          <w:b/>
          <w:bCs/>
          <w:color w:val="auto"/>
          <w:sz w:val="52"/>
          <w:szCs w:val="52"/>
          <w:highlight w:val="none"/>
        </w:rPr>
      </w:pPr>
      <w:r>
        <w:rPr>
          <w:rFonts w:hint="eastAsia" w:ascii="宋体" w:hAnsi="宋体" w:cs="宋体"/>
          <w:b/>
          <w:bCs/>
          <w:color w:val="auto"/>
          <w:sz w:val="48"/>
          <w:szCs w:val="48"/>
          <w:highlight w:val="none"/>
        </w:rPr>
        <w:t>设备维修维护/技改项目合同</w:t>
      </w:r>
    </w:p>
    <w:p>
      <w:pPr>
        <w:spacing w:line="400" w:lineRule="atLeast"/>
        <w:jc w:val="center"/>
        <w:rPr>
          <w:rFonts w:ascii="宋体" w:hAnsi="宋体"/>
          <w:b/>
          <w:color w:val="auto"/>
          <w:sz w:val="28"/>
          <w:highlight w:val="none"/>
        </w:rPr>
      </w:pPr>
    </w:p>
    <w:p>
      <w:pPr>
        <w:spacing w:line="400" w:lineRule="atLeast"/>
        <w:jc w:val="center"/>
        <w:rPr>
          <w:rFonts w:ascii="宋体" w:hAnsi="宋体"/>
          <w:b/>
          <w:color w:val="auto"/>
          <w:sz w:val="28"/>
          <w:highlight w:val="none"/>
        </w:rPr>
      </w:pPr>
    </w:p>
    <w:p>
      <w:pPr>
        <w:spacing w:line="0" w:lineRule="atLeast"/>
        <w:rPr>
          <w:rFonts w:ascii="宋体" w:hAnsi="宋体"/>
          <w:b/>
          <w:color w:val="auto"/>
          <w:sz w:val="30"/>
          <w:highlight w:val="none"/>
        </w:rPr>
      </w:pPr>
    </w:p>
    <w:p>
      <w:pPr>
        <w:spacing w:line="0" w:lineRule="atLeast"/>
        <w:rPr>
          <w:rFonts w:ascii="仿宋_GB2312" w:hAnsi="宋体" w:eastAsia="仿宋_GB2312"/>
          <w:b/>
          <w:color w:val="auto"/>
          <w:sz w:val="30"/>
          <w:szCs w:val="30"/>
          <w:highlight w:val="none"/>
        </w:rPr>
      </w:pPr>
    </w:p>
    <w:p>
      <w:pPr>
        <w:spacing w:line="0" w:lineRule="atLeast"/>
        <w:ind w:left="1506" w:hanging="1506" w:hangingChars="500"/>
        <w:rPr>
          <w:rFonts w:ascii="宋体" w:hAnsi="宋体" w:cs="宋体"/>
          <w:b/>
          <w:color w:val="auto"/>
          <w:sz w:val="30"/>
          <w:szCs w:val="30"/>
          <w:highlight w:val="none"/>
        </w:rPr>
      </w:pPr>
      <w:r>
        <w:rPr>
          <w:rFonts w:hint="eastAsia" w:ascii="宋体" w:hAnsi="宋体" w:cs="宋体"/>
          <w:b/>
          <w:color w:val="auto"/>
          <w:sz w:val="30"/>
          <w:szCs w:val="30"/>
          <w:highlight w:val="none"/>
        </w:rPr>
        <w:t xml:space="preserve">项目名称: </w:t>
      </w:r>
    </w:p>
    <w:p>
      <w:pPr>
        <w:pStyle w:val="46"/>
        <w:rPr>
          <w:rFonts w:hAnsi="宋体" w:eastAsia="宋体"/>
          <w:color w:val="auto"/>
          <w:highlight w:val="none"/>
        </w:rPr>
      </w:pPr>
      <w:r>
        <w:rPr>
          <w:rFonts w:hint="eastAsia" w:hAnsi="宋体" w:eastAsia="宋体"/>
          <w:b/>
          <w:color w:val="auto"/>
          <w:sz w:val="30"/>
          <w:szCs w:val="30"/>
          <w:highlight w:val="none"/>
        </w:rPr>
        <w:t>项目编号：</w:t>
      </w: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p>
    <w:p>
      <w:pPr>
        <w:spacing w:line="480" w:lineRule="auto"/>
        <w:rPr>
          <w:rFonts w:ascii="宋体" w:hAnsi="宋体" w:cs="宋体"/>
          <w:b/>
          <w:color w:val="auto"/>
          <w:sz w:val="30"/>
          <w:szCs w:val="30"/>
          <w:highlight w:val="none"/>
        </w:rPr>
      </w:pPr>
      <w:r>
        <w:rPr>
          <w:rFonts w:hint="eastAsia" w:ascii="宋体" w:hAnsi="宋体" w:cs="宋体"/>
          <w:b/>
          <w:color w:val="auto"/>
          <w:sz w:val="30"/>
          <w:szCs w:val="30"/>
          <w:highlight w:val="none"/>
        </w:rPr>
        <w:t>合同编号：</w:t>
      </w:r>
      <w:r>
        <w:rPr>
          <w:rFonts w:hint="eastAsia" w:ascii="宋体" w:hAnsi="宋体" w:cs="宋体"/>
          <w:b/>
          <w:bCs/>
          <w:color w:val="auto"/>
          <w:sz w:val="30"/>
          <w:szCs w:val="30"/>
          <w:highlight w:val="none"/>
        </w:rPr>
        <w:t>穗净水合[     ]    号</w:t>
      </w: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甲方： 广州市净水有限公司</w:t>
      </w: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乙方</w:t>
      </w:r>
      <w:r>
        <w:rPr>
          <w:rFonts w:hint="eastAsia" w:ascii="宋体" w:hAnsi="宋体" w:cs="宋体"/>
          <w:color w:val="auto"/>
          <w:sz w:val="30"/>
          <w:szCs w:val="30"/>
          <w:highlight w:val="none"/>
        </w:rPr>
        <w:t>：</w:t>
      </w: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 xml:space="preserve">签订日期：       年   月   日       </w:t>
      </w:r>
    </w:p>
    <w:p>
      <w:pPr>
        <w:spacing w:line="400" w:lineRule="atLeast"/>
        <w:rPr>
          <w:rFonts w:ascii="宋体" w:hAnsi="宋体" w:cs="宋体"/>
          <w:b/>
          <w:color w:val="auto"/>
          <w:sz w:val="30"/>
          <w:highlight w:val="none"/>
        </w:rPr>
      </w:pPr>
      <w:r>
        <w:rPr>
          <w:rFonts w:hint="eastAsia" w:ascii="宋体" w:hAnsi="宋体" w:cs="宋体"/>
          <w:b/>
          <w:color w:val="auto"/>
          <w:sz w:val="30"/>
          <w:highlight w:val="none"/>
        </w:rPr>
        <w:t>签约地点：广州市</w:t>
      </w: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before="93" w:beforeLines="30" w:line="384" w:lineRule="auto"/>
        <w:ind w:left="210" w:leftChars="100" w:firstLine="600" w:firstLineChars="250"/>
        <w:rPr>
          <w:rFonts w:hint="eastAsia" w:ascii="宋体" w:hAnsi="宋体" w:cs="宋体"/>
          <w:color w:val="auto"/>
          <w:sz w:val="24"/>
          <w:highlight w:val="none"/>
        </w:rPr>
      </w:pPr>
    </w:p>
    <w:p>
      <w:pPr>
        <w:spacing w:before="93" w:beforeLines="30"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根据《中华人民共和国民法典》及其他有关法律、行政法规，</w:t>
      </w:r>
      <w:r>
        <w:rPr>
          <w:rFonts w:hint="eastAsia" w:ascii="宋体" w:hAnsi="宋体" w:cs="宋体"/>
          <w:color w:val="auto"/>
          <w:sz w:val="24"/>
          <w:highlight w:val="none"/>
          <w:u w:val="single"/>
        </w:rPr>
        <w:t>广州市净水有限公司</w:t>
      </w:r>
      <w:r>
        <w:rPr>
          <w:rFonts w:hint="eastAsia" w:ascii="宋体" w:hAnsi="宋体" w:cs="宋体"/>
          <w:color w:val="auto"/>
          <w:sz w:val="24"/>
          <w:highlight w:val="none"/>
        </w:rPr>
        <w:t xml:space="preserve"> （以下简称“甲方”）与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（以下简称“乙方”）就 项目承接工作事宜，遵循平等、自愿、公平和诚实信用的原则，双方协商一致，订立本合同。</w:t>
      </w:r>
    </w:p>
    <w:p>
      <w:pPr>
        <w:spacing w:before="93" w:beforeLines="30" w:line="384" w:lineRule="auto"/>
        <w:ind w:left="210" w:leftChars="100" w:firstLine="482" w:firstLineChars="200"/>
        <w:rPr>
          <w:rFonts w:ascii="宋体" w:hAnsi="宋体" w:cs="宋体"/>
          <w:b/>
          <w:bCs/>
          <w:color w:val="auto"/>
          <w:sz w:val="24"/>
          <w:highlight w:val="none"/>
        </w:rPr>
      </w:pPr>
      <w:r>
        <w:rPr>
          <w:rFonts w:hint="eastAsia" w:ascii="宋体" w:hAnsi="宋体" w:cs="宋体"/>
          <w:b/>
          <w:bCs/>
          <w:color w:val="auto"/>
          <w:sz w:val="24"/>
          <w:highlight w:val="none"/>
        </w:rPr>
        <w:t>第一条 组成合同的文件及优先顺序</w:t>
      </w:r>
    </w:p>
    <w:p>
      <w:pPr>
        <w:spacing w:line="384" w:lineRule="auto"/>
        <w:ind w:firstLine="482"/>
        <w:rPr>
          <w:rFonts w:ascii="宋体" w:hAnsi="宋体" w:cs="宋体"/>
          <w:bCs/>
          <w:color w:val="auto"/>
          <w:sz w:val="24"/>
          <w:highlight w:val="none"/>
        </w:rPr>
      </w:pPr>
      <w:r>
        <w:rPr>
          <w:rFonts w:hint="eastAsia" w:hAnsi="宋体" w:cs="宋体"/>
          <w:bCs/>
          <w:color w:val="auto"/>
          <w:sz w:val="24"/>
          <w:highlight w:val="none"/>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 xml:space="preserve">⑴ </w:t>
      </w:r>
      <w:r>
        <w:rPr>
          <w:rFonts w:hint="eastAsia" w:ascii="宋体" w:hAnsi="宋体" w:cs="宋体"/>
          <w:color w:val="auto"/>
          <w:sz w:val="24"/>
          <w:highlight w:val="none"/>
        </w:rPr>
        <w:t>在本合同实施过程双方签署的补充与修正文件</w:t>
      </w:r>
      <w:r>
        <w:rPr>
          <w:rFonts w:hint="eastAsia" w:ascii="宋体" w:hAnsi="宋体" w:cs="宋体"/>
          <w:bCs/>
          <w:color w:val="auto"/>
          <w:sz w:val="24"/>
          <w:highlight w:val="none"/>
        </w:rPr>
        <w:t>；</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⑵ 本合同书；</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⑶ 成交通知书；</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⑷ 招标文件/询价文件；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⑸ 投标文件/响应文件；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⑹ 标准、规范及有关技术性文件；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⑺ 图纸；</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⑻ 工程量清单/</w:t>
      </w:r>
      <w:r>
        <w:rPr>
          <w:rFonts w:hint="eastAsia" w:ascii="宋体" w:hAnsi="宋体" w:cs="宋体"/>
          <w:color w:val="auto"/>
          <w:sz w:val="24"/>
          <w:highlight w:val="none"/>
        </w:rPr>
        <w:t>工程报价单或预算书；</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⑼ 本合同其他附件；</w:t>
      </w:r>
    </w:p>
    <w:p>
      <w:pPr>
        <w:spacing w:line="384" w:lineRule="auto"/>
        <w:ind w:firstLine="482"/>
        <w:rPr>
          <w:rFonts w:ascii="宋体" w:hAnsi="宋体" w:cs="宋体"/>
          <w:b/>
          <w:bCs/>
          <w:color w:val="auto"/>
          <w:sz w:val="24"/>
          <w:highlight w:val="none"/>
        </w:rPr>
      </w:pPr>
      <w:r>
        <w:rPr>
          <w:rFonts w:hint="eastAsia" w:ascii="宋体" w:hAnsi="宋体" w:cs="宋体"/>
          <w:b/>
          <w:bCs/>
          <w:color w:val="auto"/>
          <w:sz w:val="24"/>
          <w:highlight w:val="none"/>
        </w:rPr>
        <w:t>第二条 项目概况、项目承包范围</w:t>
      </w:r>
    </w:p>
    <w:p>
      <w:pPr>
        <w:spacing w:line="384"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2.1项目名称：</w:t>
      </w:r>
      <w:r>
        <w:rPr>
          <w:rFonts w:hint="eastAsia" w:ascii="宋体" w:hAnsi="宋体" w:cs="宋体"/>
          <w:color w:val="auto"/>
          <w:sz w:val="24"/>
          <w:highlight w:val="none"/>
          <w:u w:val="single"/>
        </w:rPr>
        <w:t xml:space="preserve">   …      。</w:t>
      </w:r>
    </w:p>
    <w:p>
      <w:pPr>
        <w:spacing w:line="384"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2.2项目地点：</w:t>
      </w:r>
      <w:r>
        <w:rPr>
          <w:rFonts w:hint="eastAsia" w:ascii="宋体" w:hAnsi="宋体" w:cs="宋体"/>
          <w:color w:val="auto"/>
          <w:sz w:val="24"/>
          <w:highlight w:val="none"/>
          <w:u w:val="single"/>
        </w:rPr>
        <w:t xml:space="preserve"> 广州市白云区石槎路695号 。</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2.3项目内容：</w:t>
      </w:r>
    </w:p>
    <w:p>
      <w:pPr>
        <w:spacing w:line="384" w:lineRule="auto"/>
        <w:ind w:firstLine="482"/>
        <w:rPr>
          <w:rFonts w:ascii="宋体" w:hAnsi="宋体" w:cs="宋体"/>
          <w:color w:val="auto"/>
          <w:sz w:val="24"/>
          <w:highlight w:val="none"/>
          <w:u w:val="single"/>
        </w:rPr>
      </w:pPr>
      <w:r>
        <w:rPr>
          <w:rFonts w:hint="eastAsia" w:ascii="宋体" w:hAnsi="宋体" w:cs="宋体"/>
          <w:color w:val="auto"/>
          <w:sz w:val="24"/>
          <w:highlight w:val="none"/>
          <w:u w:val="single"/>
        </w:rPr>
        <w:t>石井净水分公司厂区高压电缆管线优化项目</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项目承包范围：包括提供所有需要的材料、机械、人工、设施、完成合同约定的工作和服务。按照甲方审核同意的方案、图纸所包括的实施范围和内容进行施工并在质量保修期内承担项目质量保修责任。（如需可附表）</w:t>
      </w:r>
    </w:p>
    <w:tbl>
      <w:tblPr>
        <w:tblStyle w:val="22"/>
        <w:tblW w:w="100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1"/>
        <w:gridCol w:w="3478"/>
        <w:gridCol w:w="3544"/>
        <w:gridCol w:w="1305"/>
        <w:gridCol w:w="9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exact"/>
          <w:jc w:val="center"/>
        </w:trPr>
        <w:tc>
          <w:tcPr>
            <w:tcW w:w="741" w:type="dxa"/>
            <w:tcBorders>
              <w:right w:val="single" w:color="auto" w:sz="4" w:space="0"/>
            </w:tcBorders>
            <w:vAlign w:val="center"/>
          </w:tcPr>
          <w:p>
            <w:pPr>
              <w:spacing w:line="384"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3478" w:type="dxa"/>
            <w:tcBorders>
              <w:left w:val="single" w:color="auto" w:sz="4" w:space="0"/>
              <w:right w:val="single" w:color="auto" w:sz="4" w:space="0"/>
            </w:tcBorders>
            <w:vAlign w:val="center"/>
          </w:tcPr>
          <w:p>
            <w:pPr>
              <w:spacing w:line="384" w:lineRule="auto"/>
              <w:jc w:val="center"/>
              <w:rPr>
                <w:rFonts w:ascii="宋体" w:hAnsi="宋体" w:cs="宋体"/>
                <w:color w:val="auto"/>
                <w:sz w:val="24"/>
                <w:highlight w:val="none"/>
              </w:rPr>
            </w:pPr>
            <w:r>
              <w:rPr>
                <w:rFonts w:hint="eastAsia" w:ascii="宋体" w:hAnsi="宋体" w:cs="宋体"/>
                <w:color w:val="auto"/>
                <w:sz w:val="24"/>
                <w:highlight w:val="none"/>
              </w:rPr>
              <w:t>名称</w:t>
            </w:r>
          </w:p>
        </w:tc>
        <w:tc>
          <w:tcPr>
            <w:tcW w:w="3544" w:type="dxa"/>
            <w:tcBorders>
              <w:left w:val="single" w:color="auto" w:sz="4" w:space="0"/>
            </w:tcBorders>
            <w:vAlign w:val="center"/>
          </w:tcPr>
          <w:p>
            <w:pPr>
              <w:widowControl/>
              <w:spacing w:line="384" w:lineRule="auto"/>
              <w:jc w:val="center"/>
              <w:rPr>
                <w:rFonts w:ascii="宋体" w:hAnsi="宋体" w:cs="宋体"/>
                <w:color w:val="auto"/>
                <w:sz w:val="24"/>
                <w:highlight w:val="none"/>
              </w:rPr>
            </w:pPr>
            <w:r>
              <w:rPr>
                <w:rFonts w:hint="eastAsia" w:ascii="宋体" w:hAnsi="宋体" w:cs="宋体"/>
                <w:color w:val="auto"/>
                <w:sz w:val="24"/>
                <w:highlight w:val="none"/>
              </w:rPr>
              <w:t>参数要求</w:t>
            </w:r>
          </w:p>
        </w:tc>
        <w:tc>
          <w:tcPr>
            <w:tcW w:w="1305" w:type="dxa"/>
            <w:tcBorders>
              <w:right w:val="single" w:color="auto" w:sz="4" w:space="0"/>
            </w:tcBorders>
            <w:vAlign w:val="center"/>
          </w:tcPr>
          <w:p>
            <w:pPr>
              <w:spacing w:line="384" w:lineRule="auto"/>
              <w:jc w:val="center"/>
              <w:rPr>
                <w:rFonts w:ascii="宋体" w:hAnsi="宋体" w:cs="宋体"/>
                <w:color w:val="auto"/>
                <w:sz w:val="24"/>
                <w:highlight w:val="none"/>
              </w:rPr>
            </w:pPr>
            <w:r>
              <w:rPr>
                <w:rFonts w:hint="eastAsia" w:ascii="宋体" w:hAnsi="宋体" w:cs="宋体"/>
                <w:color w:val="auto"/>
                <w:sz w:val="24"/>
                <w:highlight w:val="none"/>
              </w:rPr>
              <w:t>数量</w:t>
            </w:r>
          </w:p>
        </w:tc>
        <w:tc>
          <w:tcPr>
            <w:tcW w:w="963" w:type="dxa"/>
            <w:tcBorders>
              <w:left w:val="single" w:color="auto" w:sz="4" w:space="0"/>
            </w:tcBorders>
            <w:vAlign w:val="center"/>
          </w:tcPr>
          <w:p>
            <w:pPr>
              <w:spacing w:line="384" w:lineRule="auto"/>
              <w:jc w:val="center"/>
              <w:rPr>
                <w:rFonts w:ascii="宋体" w:hAnsi="宋体" w:cs="宋体"/>
                <w:color w:val="auto"/>
                <w:sz w:val="24"/>
                <w:highlight w:val="none"/>
              </w:rPr>
            </w:pPr>
            <w:r>
              <w:rPr>
                <w:rFonts w:hint="eastAsia" w:ascii="宋体" w:hAnsi="宋体" w:cs="宋体"/>
                <w:color w:val="auto"/>
                <w:sz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exact"/>
          <w:jc w:val="center"/>
        </w:trPr>
        <w:tc>
          <w:tcPr>
            <w:tcW w:w="741" w:type="dxa"/>
            <w:tcBorders>
              <w:right w:val="single" w:color="auto" w:sz="4" w:space="0"/>
            </w:tcBorders>
            <w:vAlign w:val="center"/>
          </w:tcPr>
          <w:p>
            <w:pPr>
              <w:spacing w:line="384" w:lineRule="auto"/>
              <w:jc w:val="center"/>
              <w:rPr>
                <w:rFonts w:ascii="宋体" w:hAnsi="宋体" w:cs="宋体"/>
                <w:bCs/>
                <w:color w:val="auto"/>
                <w:sz w:val="24"/>
                <w:highlight w:val="none"/>
              </w:rPr>
            </w:pPr>
          </w:p>
        </w:tc>
        <w:tc>
          <w:tcPr>
            <w:tcW w:w="3478" w:type="dxa"/>
            <w:tcBorders>
              <w:left w:val="single" w:color="auto" w:sz="4" w:space="0"/>
              <w:right w:val="single" w:color="auto" w:sz="4" w:space="0"/>
            </w:tcBorders>
            <w:vAlign w:val="center"/>
          </w:tcPr>
          <w:p>
            <w:pPr>
              <w:spacing w:line="384" w:lineRule="auto"/>
              <w:jc w:val="center"/>
              <w:rPr>
                <w:rFonts w:ascii="宋体" w:hAnsi="宋体" w:cs="宋体"/>
                <w:bCs/>
                <w:color w:val="auto"/>
                <w:sz w:val="24"/>
                <w:highlight w:val="none"/>
              </w:rPr>
            </w:pPr>
          </w:p>
        </w:tc>
        <w:tc>
          <w:tcPr>
            <w:tcW w:w="3544" w:type="dxa"/>
            <w:tcBorders>
              <w:left w:val="single" w:color="auto" w:sz="4" w:space="0"/>
            </w:tcBorders>
            <w:vAlign w:val="center"/>
          </w:tcPr>
          <w:p>
            <w:pPr>
              <w:spacing w:line="384" w:lineRule="auto"/>
              <w:jc w:val="center"/>
              <w:rPr>
                <w:rFonts w:ascii="宋体" w:hAnsi="宋体" w:cs="宋体"/>
                <w:bCs/>
                <w:color w:val="auto"/>
                <w:sz w:val="24"/>
                <w:highlight w:val="none"/>
              </w:rPr>
            </w:pPr>
          </w:p>
        </w:tc>
        <w:tc>
          <w:tcPr>
            <w:tcW w:w="1305" w:type="dxa"/>
            <w:tcBorders>
              <w:right w:val="single" w:color="auto" w:sz="4" w:space="0"/>
            </w:tcBorders>
            <w:vAlign w:val="center"/>
          </w:tcPr>
          <w:p>
            <w:pPr>
              <w:spacing w:line="384" w:lineRule="auto"/>
              <w:jc w:val="center"/>
              <w:rPr>
                <w:rFonts w:ascii="宋体" w:hAnsi="宋体" w:cs="宋体"/>
                <w:bCs/>
                <w:color w:val="auto"/>
                <w:sz w:val="24"/>
                <w:highlight w:val="none"/>
              </w:rPr>
            </w:pPr>
          </w:p>
        </w:tc>
        <w:tc>
          <w:tcPr>
            <w:tcW w:w="963" w:type="dxa"/>
            <w:tcBorders>
              <w:left w:val="single" w:color="auto" w:sz="4" w:space="0"/>
            </w:tcBorders>
            <w:vAlign w:val="center"/>
          </w:tcPr>
          <w:p>
            <w:pPr>
              <w:spacing w:line="384" w:lineRule="auto"/>
              <w:jc w:val="center"/>
              <w:rPr>
                <w:rFonts w:ascii="宋体" w:hAnsi="宋体" w:cs="宋体"/>
                <w:bCs/>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exact"/>
          <w:jc w:val="center"/>
        </w:trPr>
        <w:tc>
          <w:tcPr>
            <w:tcW w:w="741" w:type="dxa"/>
            <w:tcBorders>
              <w:right w:val="single" w:color="auto" w:sz="4" w:space="0"/>
            </w:tcBorders>
            <w:vAlign w:val="center"/>
          </w:tcPr>
          <w:p>
            <w:pPr>
              <w:spacing w:line="384" w:lineRule="auto"/>
              <w:jc w:val="center"/>
              <w:rPr>
                <w:rFonts w:ascii="宋体" w:hAnsi="宋体" w:cs="宋体"/>
                <w:bCs/>
                <w:color w:val="auto"/>
                <w:sz w:val="24"/>
                <w:highlight w:val="none"/>
              </w:rPr>
            </w:pPr>
          </w:p>
        </w:tc>
        <w:tc>
          <w:tcPr>
            <w:tcW w:w="3478" w:type="dxa"/>
            <w:tcBorders>
              <w:left w:val="single" w:color="auto" w:sz="4" w:space="0"/>
              <w:right w:val="single" w:color="auto" w:sz="4" w:space="0"/>
            </w:tcBorders>
            <w:vAlign w:val="center"/>
          </w:tcPr>
          <w:p>
            <w:pPr>
              <w:spacing w:line="384" w:lineRule="auto"/>
              <w:jc w:val="center"/>
              <w:rPr>
                <w:rFonts w:ascii="宋体" w:hAnsi="宋体" w:cs="宋体"/>
                <w:bCs/>
                <w:color w:val="auto"/>
                <w:sz w:val="24"/>
                <w:highlight w:val="none"/>
              </w:rPr>
            </w:pPr>
          </w:p>
        </w:tc>
        <w:tc>
          <w:tcPr>
            <w:tcW w:w="3544" w:type="dxa"/>
            <w:tcBorders>
              <w:left w:val="single" w:color="auto" w:sz="4" w:space="0"/>
            </w:tcBorders>
            <w:vAlign w:val="center"/>
          </w:tcPr>
          <w:p>
            <w:pPr>
              <w:spacing w:line="384" w:lineRule="auto"/>
              <w:jc w:val="center"/>
              <w:rPr>
                <w:rFonts w:ascii="宋体" w:hAnsi="宋体" w:cs="宋体"/>
                <w:bCs/>
                <w:color w:val="auto"/>
                <w:sz w:val="24"/>
                <w:highlight w:val="none"/>
              </w:rPr>
            </w:pPr>
          </w:p>
        </w:tc>
        <w:tc>
          <w:tcPr>
            <w:tcW w:w="1305" w:type="dxa"/>
            <w:tcBorders>
              <w:right w:val="single" w:color="auto" w:sz="4" w:space="0"/>
            </w:tcBorders>
            <w:vAlign w:val="center"/>
          </w:tcPr>
          <w:p>
            <w:pPr>
              <w:spacing w:line="384" w:lineRule="auto"/>
              <w:jc w:val="center"/>
              <w:rPr>
                <w:rFonts w:ascii="宋体" w:hAnsi="宋体" w:cs="宋体"/>
                <w:bCs/>
                <w:color w:val="auto"/>
                <w:sz w:val="24"/>
                <w:highlight w:val="none"/>
              </w:rPr>
            </w:pPr>
          </w:p>
        </w:tc>
        <w:tc>
          <w:tcPr>
            <w:tcW w:w="963" w:type="dxa"/>
            <w:tcBorders>
              <w:left w:val="single" w:color="auto" w:sz="4" w:space="0"/>
            </w:tcBorders>
            <w:vAlign w:val="center"/>
          </w:tcPr>
          <w:p>
            <w:pPr>
              <w:spacing w:line="384" w:lineRule="auto"/>
              <w:jc w:val="center"/>
              <w:rPr>
                <w:rFonts w:ascii="宋体" w:hAnsi="宋体" w:cs="宋体"/>
                <w:bCs/>
                <w:color w:val="auto"/>
                <w:sz w:val="24"/>
                <w:highlight w:val="none"/>
              </w:rPr>
            </w:pPr>
          </w:p>
        </w:tc>
      </w:tr>
    </w:tbl>
    <w:p>
      <w:pPr>
        <w:spacing w:line="384"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第三条 项目承包方式</w:t>
      </w:r>
    </w:p>
    <w:p>
      <w:pPr>
        <w:spacing w:line="384" w:lineRule="auto"/>
        <w:ind w:firstLine="420" w:firstLineChars="200"/>
        <w:rPr>
          <w:rFonts w:ascii="宋体" w:hAnsi="宋体" w:cs="宋体"/>
          <w:color w:val="auto"/>
          <w:sz w:val="24"/>
          <w:highlight w:val="none"/>
        </w:rPr>
      </w:pPr>
      <w:r>
        <w:rPr>
          <w:rFonts w:ascii="Segoe UI Symbol" w:hAnsi="Segoe UI Symbol" w:cs="Segoe UI Symbol"/>
          <w:color w:val="auto"/>
          <w:szCs w:val="21"/>
          <w:highlight w:val="none"/>
        </w:rPr>
        <w:t>☑</w:t>
      </w:r>
      <w:r>
        <w:rPr>
          <w:rFonts w:hint="eastAsia" w:ascii="宋体" w:hAnsi="宋体" w:cs="宋体"/>
          <w:color w:val="auto"/>
          <w:sz w:val="24"/>
          <w:highlight w:val="none"/>
        </w:rPr>
        <w:t>包工、包料、包工期、包质量、包安全、包文明施工。综合单价包干、项目措施费包干。（单价包干要求附工程量报价</w:t>
      </w:r>
      <w:r>
        <w:rPr>
          <w:rFonts w:ascii="宋体" w:hAnsi="宋体" w:cs="宋体"/>
          <w:color w:val="auto"/>
          <w:sz w:val="24"/>
          <w:highlight w:val="none"/>
        </w:rPr>
        <w:t>/</w:t>
      </w:r>
      <w:r>
        <w:rPr>
          <w:rFonts w:hint="eastAsia" w:ascii="宋体" w:hAnsi="宋体" w:cs="宋体"/>
          <w:color w:val="auto"/>
          <w:sz w:val="24"/>
          <w:highlight w:val="none"/>
        </w:rPr>
        <w:t>工程预算书）</w:t>
      </w:r>
    </w:p>
    <w:p>
      <w:pPr>
        <w:spacing w:line="384" w:lineRule="auto"/>
        <w:ind w:firstLine="420" w:firstLineChars="200"/>
        <w:rPr>
          <w:rFonts w:ascii="宋体" w:hAnsi="宋体" w:cs="宋体"/>
          <w:color w:val="auto"/>
          <w:sz w:val="24"/>
          <w:highlight w:val="none"/>
        </w:rPr>
      </w:pPr>
      <w:r>
        <w:rPr>
          <w:rFonts w:hint="eastAsia" w:ascii="宋体" w:hAnsi="宋体" w:cs="宋体"/>
          <w:color w:val="auto"/>
          <w:szCs w:val="21"/>
          <w:highlight w:val="none"/>
        </w:rPr>
        <w:t>□</w:t>
      </w:r>
      <w:r>
        <w:rPr>
          <w:rFonts w:hint="eastAsia" w:ascii="宋体" w:hAnsi="宋体" w:cs="宋体"/>
          <w:color w:val="auto"/>
          <w:sz w:val="24"/>
          <w:highlight w:val="none"/>
        </w:rPr>
        <w:t>包工、包料、包质量、包工期、包安全、包文明施工、包设计、包调试、包验收的施工图纸，以总价包干形式。</w:t>
      </w:r>
    </w:p>
    <w:p>
      <w:pPr>
        <w:spacing w:line="384"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第四条合同价款</w:t>
      </w:r>
    </w:p>
    <w:p>
      <w:pPr>
        <w:spacing w:line="384" w:lineRule="auto"/>
        <w:ind w:firstLine="480" w:firstLineChars="200"/>
        <w:rPr>
          <w:rFonts w:ascii="宋体" w:hAnsi="宋体" w:cs="宋体"/>
          <w:bCs/>
          <w:color w:val="auto"/>
          <w:sz w:val="24"/>
          <w:highlight w:val="none"/>
          <w:bdr w:val="single" w:color="auto" w:sz="4" w:space="0"/>
        </w:rPr>
      </w:pPr>
      <w:r>
        <w:rPr>
          <w:rFonts w:ascii="宋体" w:hAnsi="宋体" w:cs="宋体"/>
          <w:color w:val="auto"/>
          <w:sz w:val="24"/>
          <w:highlight w:val="none"/>
        </w:rPr>
        <w:t>4.1</w:t>
      </w:r>
      <w:r>
        <w:rPr>
          <w:rFonts w:hint="eastAsia" w:ascii="宋体" w:hAnsi="宋体" w:cs="宋体"/>
          <w:color w:val="auto"/>
          <w:sz w:val="24"/>
          <w:highlight w:val="none"/>
        </w:rPr>
        <w:t>合同价款按以下（1）执行。</w:t>
      </w:r>
    </w:p>
    <w:p>
      <w:pPr>
        <w:spacing w:line="384" w:lineRule="auto"/>
        <w:ind w:firstLine="480" w:firstLineChars="200"/>
        <w:rPr>
          <w:rFonts w:ascii="宋体" w:hAnsi="宋体" w:cs="宋体"/>
          <w:color w:val="auto"/>
          <w:sz w:val="24"/>
          <w:highlight w:val="none"/>
        </w:rPr>
      </w:pPr>
      <w:r>
        <w:rPr>
          <w:rFonts w:hint="eastAsia" w:ascii="宋体" w:hAnsi="宋体" w:cs="宋体"/>
          <w:bCs/>
          <w:color w:val="auto"/>
          <w:sz w:val="24"/>
          <w:highlight w:val="none"/>
        </w:rPr>
        <w:t>（</w:t>
      </w:r>
      <w:r>
        <w:rPr>
          <w:rFonts w:ascii="宋体" w:hAnsi="宋体" w:cs="宋体"/>
          <w:bCs/>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合同暂定总价为：</w:t>
      </w:r>
      <w:r>
        <w:rPr>
          <w:rFonts w:hint="eastAsia" w:ascii="宋体" w:hAnsi="宋体" w:cs="宋体"/>
          <w:b/>
          <w:color w:val="auto"/>
          <w:sz w:val="24"/>
          <w:highlight w:val="none"/>
          <w:u w:val="single"/>
        </w:rPr>
        <w:t>人民币…元</w:t>
      </w:r>
      <w:r>
        <w:rPr>
          <w:rFonts w:hint="eastAsia" w:ascii="宋体" w:hAnsi="宋体" w:cs="宋体"/>
          <w:color w:val="auto"/>
          <w:sz w:val="24"/>
          <w:highlight w:val="none"/>
          <w:u w:val="single"/>
        </w:rPr>
        <w:t>（大写</w:t>
      </w:r>
      <w:r>
        <w:rPr>
          <w:rFonts w:ascii="宋体" w:hAnsi="宋体" w:cs="宋体"/>
          <w:color w:val="auto"/>
          <w:sz w:val="24"/>
          <w:highlight w:val="none"/>
          <w:u w:val="single"/>
        </w:rPr>
        <w:t>:</w:t>
      </w:r>
      <w:r>
        <w:rPr>
          <w:rFonts w:hint="eastAsia" w:ascii="宋体" w:hAnsi="宋体" w:cs="宋体"/>
          <w:color w:val="auto"/>
          <w:sz w:val="24"/>
          <w:highlight w:val="none"/>
          <w:u w:val="single"/>
        </w:rPr>
        <w:t>）</w:t>
      </w:r>
      <w:r>
        <w:rPr>
          <w:rFonts w:hint="eastAsia" w:ascii="宋体" w:hAnsi="宋体" w:cs="宋体"/>
          <w:b/>
          <w:color w:val="auto"/>
          <w:sz w:val="24"/>
          <w:highlight w:val="none"/>
          <w:u w:val="singl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。经甲方或甲方委托有资质第三方机构审核后，审核价作为合同结算价。若合同结算价超合同暂定总价，双方另行签订补充协议。</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综合单价为：</w:t>
      </w:r>
      <w:r>
        <w:rPr>
          <w:rFonts w:hint="eastAsia" w:ascii="宋体" w:hAnsi="宋体" w:cs="宋体"/>
          <w:color w:val="auto"/>
          <w:sz w:val="24"/>
          <w:highlight w:val="none"/>
          <w:u w:val="single"/>
        </w:rPr>
        <w:t>人民币…元</w:t>
      </w:r>
      <w:r>
        <w:rPr>
          <w:rFonts w:ascii="宋体" w:hAnsi="宋体" w:cs="宋体"/>
          <w:color w:val="auto"/>
          <w:sz w:val="24"/>
          <w:highlight w:val="none"/>
          <w:u w:val="single"/>
        </w:rPr>
        <w:t>/m</w:t>
      </w:r>
      <w:r>
        <w:rPr>
          <w:rFonts w:ascii="宋体" w:hAnsi="宋体" w:cs="宋体"/>
          <w:color w:val="auto"/>
          <w:sz w:val="24"/>
          <w:highlight w:val="none"/>
          <w:u w:val="single"/>
          <w:vertAlign w:val="superscript"/>
        </w:rPr>
        <w:t>3</w:t>
      </w:r>
      <w:r>
        <w:rPr>
          <w:rFonts w:ascii="宋体" w:hAnsi="宋体" w:cs="宋体"/>
          <w:color w:val="auto"/>
          <w:sz w:val="24"/>
          <w:highlight w:val="none"/>
          <w:u w:val="single"/>
        </w:rPr>
        <w:t>(</w:t>
      </w:r>
      <w:r>
        <w:rPr>
          <w:rFonts w:hint="eastAsia" w:ascii="宋体" w:hAnsi="宋体" w:cs="宋体"/>
          <w:color w:val="auto"/>
          <w:sz w:val="24"/>
          <w:highlight w:val="none"/>
          <w:u w:val="single"/>
        </w:rPr>
        <w:t>大写：…</w:t>
      </w:r>
      <w:r>
        <w:rPr>
          <w:rFonts w:ascii="宋体" w:hAnsi="宋体" w:cs="宋体"/>
          <w:color w:val="auto"/>
          <w:sz w:val="24"/>
          <w:highlight w:val="none"/>
          <w:u w:val="single"/>
        </w:rPr>
        <w:t>)</w:t>
      </w:r>
      <w:r>
        <w:rPr>
          <w:rFonts w:hint="eastAsia" w:ascii="宋体" w:hAnsi="宋体" w:cs="宋体"/>
          <w:color w:val="auto"/>
          <w:sz w:val="24"/>
          <w:highlight w:val="none"/>
        </w:rPr>
        <w:t>。</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384" w:lineRule="auto"/>
        <w:ind w:firstLine="480" w:firstLineChars="200"/>
        <w:rPr>
          <w:rFonts w:ascii="宋体" w:hAnsi="宋体" w:cs="宋体"/>
          <w:color w:val="auto"/>
          <w:sz w:val="24"/>
          <w:highlight w:val="none"/>
        </w:rPr>
      </w:pPr>
    </w:p>
    <w:p>
      <w:pPr>
        <w:spacing w:line="384" w:lineRule="auto"/>
        <w:ind w:firstLine="480" w:firstLineChars="200"/>
        <w:rPr>
          <w:rFonts w:ascii="宋体" w:hAnsi="宋体" w:cs="宋体"/>
          <w:color w:val="auto"/>
          <w:sz w:val="24"/>
          <w:highlight w:val="none"/>
        </w:rPr>
      </w:pPr>
      <w:r>
        <w:rPr>
          <w:rFonts w:hint="eastAsia" w:ascii="宋体" w:hAnsi="宋体" w:cs="宋体"/>
          <w:bCs/>
          <w:color w:val="auto"/>
          <w:sz w:val="24"/>
          <w:highlight w:val="none"/>
        </w:rPr>
        <w:t>（</w:t>
      </w:r>
      <w:r>
        <w:rPr>
          <w:rFonts w:ascii="宋体" w:hAnsi="宋体" w:cs="宋体"/>
          <w:bCs/>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合同以总价包干形式，合同暂定总价为：</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ascii="宋体" w:hAnsi="宋体" w:cs="宋体"/>
          <w:color w:val="auto"/>
          <w:sz w:val="24"/>
          <w:highlight w:val="none"/>
        </w:rPr>
      </w:pPr>
      <w:r>
        <w:rPr>
          <w:rFonts w:ascii="宋体" w:hAnsi="宋体" w:cs="宋体"/>
          <w:color w:val="auto"/>
          <w:kern w:val="0"/>
          <w:sz w:val="24"/>
          <w:highlight w:val="none"/>
          <w:lang w:val="zh-CN"/>
        </w:rPr>
        <w:t>4.2</w:t>
      </w:r>
      <w:r>
        <w:rPr>
          <w:rFonts w:hint="eastAsia" w:ascii="宋体" w:hAnsi="宋体" w:cs="宋体"/>
          <w:color w:val="auto"/>
          <w:kern w:val="0"/>
          <w:sz w:val="24"/>
          <w:highlight w:val="none"/>
        </w:rPr>
        <w:t>本合同约定的价格为含税价价格</w:t>
      </w:r>
      <w:r>
        <w:rPr>
          <w:rFonts w:hint="eastAsia" w:ascii="宋体" w:hAnsi="宋体" w:cs="宋体"/>
          <w:color w:val="auto"/>
          <w:sz w:val="24"/>
          <w:highlight w:val="none"/>
        </w:rPr>
        <w:t>（税率</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），合同履行期间国家税率调整或乙方开票的实际税率与前述税率不一致的，不含税价不变，价税合计按实际税率相应调整，以开具发票时间为准。</w:t>
      </w:r>
    </w:p>
    <w:p>
      <w:pPr>
        <w:tabs>
          <w:tab w:val="left" w:pos="0"/>
        </w:tabs>
        <w:adjustRightInd w:val="0"/>
        <w:snapToGrid w:val="0"/>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4.3</w:t>
      </w:r>
      <w:r>
        <w:rPr>
          <w:rFonts w:hint="eastAsia" w:ascii="宋体" w:hAnsi="宋体" w:cs="宋体"/>
          <w:color w:val="auto"/>
          <w:kern w:val="0"/>
          <w:sz w:val="24"/>
          <w:highlight w:val="none"/>
          <w:lang w:val="zh-CN"/>
        </w:rPr>
        <w:t>因非乙方原因引起工程量报价清单中工程量发生增减，且单个子目工程量变化幅度在25%以内（含）时，按工程量报价清单中列明的子目单价结算。否则，按新增单价执行。</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4.4合同中没有适用于变更工程项目的单价的，按新增单价执行。</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新增单价计价原则：</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2.项目计价材料、设备价格的控制：按以下顺序作为降序优先级依次采用工程开工报告中开工日期当月的下列价格：</w:t>
      </w:r>
    </w:p>
    <w:p>
      <w:pPr>
        <w:spacing w:line="56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（1）《广州地区建设工程常用材料税前综合价格》（下称综合价格）。</w:t>
      </w:r>
    </w:p>
    <w:p>
      <w:pPr>
        <w:spacing w:line="56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（2）《广州地区建设工程材料（设备）厂商价格信息》（下称厂商价格）下浮10-20%。</w:t>
      </w:r>
    </w:p>
    <w:p>
      <w:pPr>
        <w:spacing w:line="56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（3）综合价格、厂商价格中缺项的，采用由北京瑞恒达建筑咨询有限公司提供服务的“慧讯网”中查到的相应材料、设备价格的工程价。</w:t>
      </w:r>
    </w:p>
    <w:p>
      <w:pPr>
        <w:pStyle w:val="46"/>
        <w:rPr>
          <w:rFonts w:eastAsia="宋体"/>
          <w:color w:val="auto"/>
          <w:highlight w:val="none"/>
        </w:rPr>
      </w:pPr>
      <w:r>
        <w:rPr>
          <w:rFonts w:hint="eastAsia" w:hAnsi="宋体" w:eastAsia="宋体"/>
          <w:color w:val="auto"/>
          <w:highlight w:val="none"/>
        </w:rPr>
        <w:t xml:space="preserve">  </w:t>
      </w:r>
      <w:r>
        <w:rPr>
          <w:rFonts w:hAnsi="宋体" w:eastAsia="宋体"/>
          <w:color w:val="auto"/>
          <w:highlight w:val="none"/>
        </w:rPr>
        <w:t>（4）通过市场询价双方协商确定。</w:t>
      </w:r>
    </w:p>
    <w:p>
      <w:pPr>
        <w:rPr>
          <w:rFonts w:ascii="宋体" w:hAnsi="宋体" w:cs="宋体"/>
          <w:color w:val="auto"/>
          <w:sz w:val="24"/>
          <w:highlight w:val="none"/>
        </w:rPr>
      </w:pPr>
      <w:r>
        <w:rPr>
          <w:rFonts w:hint="eastAsia" w:ascii="宋体" w:hAnsi="宋体" w:cs="宋体"/>
          <w:color w:val="auto"/>
          <w:sz w:val="24"/>
          <w:highlight w:val="none"/>
        </w:rPr>
        <w:t xml:space="preserve">  3.按1、2组价后下浮5%计取。</w:t>
      </w:r>
    </w:p>
    <w:p>
      <w:pPr>
        <w:tabs>
          <w:tab w:val="left" w:pos="851"/>
        </w:tabs>
        <w:adjustRightInd w:val="0"/>
        <w:snapToGrid w:val="0"/>
        <w:spacing w:line="384" w:lineRule="auto"/>
        <w:ind w:firstLine="480" w:firstLineChars="200"/>
        <w:rPr>
          <w:rFonts w:ascii="宋体" w:hAnsi="宋体" w:cs="宋体"/>
          <w:color w:val="auto"/>
          <w:sz w:val="24"/>
          <w:highlight w:val="none"/>
        </w:rPr>
      </w:pPr>
    </w:p>
    <w:p>
      <w:pPr>
        <w:widowControl/>
        <w:tabs>
          <w:tab w:val="left" w:pos="851"/>
        </w:tabs>
        <w:adjustRightInd w:val="0"/>
        <w:snapToGrid w:val="0"/>
        <w:spacing w:line="384"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第五条工期及要求</w:t>
      </w:r>
    </w:p>
    <w:p>
      <w:pPr>
        <w:widowControl/>
        <w:spacing w:line="384" w:lineRule="auto"/>
        <w:ind w:firstLine="480" w:firstLineChars="200"/>
        <w:jc w:val="left"/>
        <w:rPr>
          <w:rFonts w:ascii="宋体" w:hAnsi="宋体" w:cs="宋体"/>
          <w:color w:val="auto"/>
          <w:sz w:val="24"/>
          <w:highlight w:val="none"/>
        </w:rPr>
      </w:pPr>
      <w:r>
        <w:rPr>
          <w:rFonts w:ascii="宋体" w:hAnsi="宋体" w:cs="宋体"/>
          <w:color w:val="auto"/>
          <w:sz w:val="24"/>
          <w:highlight w:val="none"/>
        </w:rPr>
        <w:t>5.1</w:t>
      </w:r>
      <w:r>
        <w:rPr>
          <w:rFonts w:hint="eastAsia" w:ascii="宋体" w:hAnsi="宋体" w:cs="宋体"/>
          <w:color w:val="auto"/>
          <w:sz w:val="24"/>
          <w:highlight w:val="none"/>
        </w:rPr>
        <w:t>开工日期暂定为：2021</w:t>
      </w:r>
      <w:r>
        <w:rPr>
          <w:rFonts w:hint="eastAsia" w:ascii="宋体" w:hAnsi="宋体" w:cs="宋体"/>
          <w:color w:val="auto"/>
          <w:sz w:val="24"/>
          <w:highlight w:val="none"/>
          <w:u w:val="single"/>
        </w:rPr>
        <w:t>年…月…日</w:t>
      </w:r>
      <w:r>
        <w:rPr>
          <w:rFonts w:hint="eastAsia" w:ascii="宋体" w:hAnsi="宋体" w:cs="宋体"/>
          <w:color w:val="auto"/>
          <w:sz w:val="24"/>
          <w:highlight w:val="none"/>
        </w:rPr>
        <w:t>，具体日期以甲方发出的开工报告</w:t>
      </w:r>
      <w:r>
        <w:rPr>
          <w:rFonts w:ascii="宋体" w:hAnsi="宋体" w:cs="宋体"/>
          <w:color w:val="auto"/>
          <w:sz w:val="24"/>
          <w:highlight w:val="none"/>
        </w:rPr>
        <w:t>/</w:t>
      </w:r>
      <w:r>
        <w:rPr>
          <w:rFonts w:hint="eastAsia" w:ascii="宋体" w:hAnsi="宋体" w:cs="宋体"/>
          <w:color w:val="auto"/>
          <w:sz w:val="24"/>
          <w:highlight w:val="none"/>
        </w:rPr>
        <w:t>通知为准。乙方不能按时开工，应当于开工报告</w:t>
      </w:r>
      <w:r>
        <w:rPr>
          <w:rFonts w:ascii="宋体" w:hAnsi="宋体" w:cs="宋体"/>
          <w:color w:val="auto"/>
          <w:sz w:val="24"/>
          <w:highlight w:val="none"/>
        </w:rPr>
        <w:t>/</w:t>
      </w:r>
      <w:r>
        <w:rPr>
          <w:rFonts w:hint="eastAsia" w:ascii="宋体" w:hAnsi="宋体" w:cs="宋体"/>
          <w:color w:val="auto"/>
          <w:sz w:val="24"/>
          <w:highlight w:val="none"/>
        </w:rPr>
        <w:t>通知载明的开工日期</w:t>
      </w:r>
      <w:r>
        <w:rPr>
          <w:rFonts w:ascii="宋体" w:hAnsi="宋体" w:cs="宋体"/>
          <w:color w:val="auto"/>
          <w:sz w:val="24"/>
          <w:highlight w:val="none"/>
        </w:rPr>
        <w:t>7</w:t>
      </w:r>
      <w:r>
        <w:rPr>
          <w:rFonts w:hint="eastAsia" w:ascii="宋体" w:hAnsi="宋体" w:cs="宋体"/>
          <w:color w:val="auto"/>
          <w:sz w:val="24"/>
          <w:highlight w:val="none"/>
        </w:rPr>
        <w:t>天前，以书面形式向甲方提出延期开工的理由。甲方应当在接到延期开工申请后的</w:t>
      </w:r>
      <w:r>
        <w:rPr>
          <w:rFonts w:ascii="宋体" w:hAnsi="宋体" w:cs="宋体"/>
          <w:color w:val="auto"/>
          <w:sz w:val="24"/>
          <w:highlight w:val="none"/>
        </w:rPr>
        <w:t>48</w:t>
      </w:r>
      <w:r>
        <w:rPr>
          <w:rFonts w:hint="eastAsia" w:ascii="宋体" w:hAnsi="宋体" w:cs="宋体"/>
          <w:color w:val="auto"/>
          <w:sz w:val="24"/>
          <w:highlight w:val="none"/>
        </w:rPr>
        <w:t>小时内以书面形式答复乙方。甲方在接到延期开工申请后</w:t>
      </w:r>
      <w:r>
        <w:rPr>
          <w:rFonts w:ascii="宋体" w:hAnsi="宋体" w:cs="宋体"/>
          <w:color w:val="auto"/>
          <w:sz w:val="24"/>
          <w:highlight w:val="none"/>
        </w:rPr>
        <w:t>48</w:t>
      </w:r>
      <w:r>
        <w:rPr>
          <w:rFonts w:hint="eastAsia" w:ascii="宋体" w:hAnsi="宋体" w:cs="宋体"/>
          <w:color w:val="auto"/>
          <w:sz w:val="24"/>
          <w:highlight w:val="none"/>
        </w:rPr>
        <w:t xml:space="preserve">小时内不答复，视为同意乙方要求，工期相应顺延。甲方不同意延期要求或乙方未在规定时间内提出延期开工，工期不予顺延。合同工期总日历天数 </w:t>
      </w:r>
      <w:r>
        <w:rPr>
          <w:rFonts w:ascii="宋体" w:hAnsi="宋体" w:cs="宋体"/>
          <w:color w:val="auto"/>
          <w:sz w:val="24"/>
          <w:highlight w:val="none"/>
          <w:u w:val="single"/>
        </w:rPr>
        <w:t>60</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天。乙方未能按合同工期竣工验收的，每逾期一天，甲方有权要求乙方按</w:t>
      </w:r>
      <w:r>
        <w:rPr>
          <w:rFonts w:hint="eastAsia" w:ascii="宋体" w:hAnsi="宋体" w:cs="宋体"/>
          <w:color w:val="auto"/>
          <w:sz w:val="24"/>
          <w:highlight w:val="none"/>
          <w:u w:val="single"/>
        </w:rPr>
        <w:t>合同暂定总价的</w:t>
      </w:r>
      <w:r>
        <w:rPr>
          <w:rFonts w:ascii="宋体" w:hAnsi="宋体" w:cs="宋体"/>
          <w:color w:val="auto"/>
          <w:sz w:val="24"/>
          <w:highlight w:val="none"/>
          <w:u w:val="single"/>
        </w:rPr>
        <w:t xml:space="preserve"> 1%</w:t>
      </w:r>
      <w:r>
        <w:rPr>
          <w:rFonts w:hint="eastAsia" w:ascii="宋体" w:hAnsi="宋体" w:cs="宋体"/>
          <w:color w:val="auto"/>
          <w:sz w:val="24"/>
          <w:highlight w:val="none"/>
        </w:rPr>
        <w:t>支付违约金，逾期达到</w:t>
      </w:r>
      <w:r>
        <w:rPr>
          <w:rFonts w:hint="eastAsia" w:ascii="宋体" w:hAnsi="宋体" w:cs="宋体"/>
          <w:color w:val="auto"/>
          <w:sz w:val="24"/>
          <w:highlight w:val="none"/>
          <w:u w:val="single"/>
        </w:rPr>
        <w:t xml:space="preserve">  30  </w:t>
      </w:r>
      <w:r>
        <w:rPr>
          <w:rFonts w:hint="eastAsia" w:ascii="宋体" w:hAnsi="宋体" w:cs="宋体"/>
          <w:color w:val="auto"/>
          <w:sz w:val="24"/>
          <w:highlight w:val="none"/>
        </w:rPr>
        <w:t>天及以上的，甲方有权解除合同并要求乙方支付</w:t>
      </w:r>
      <w:r>
        <w:rPr>
          <w:rFonts w:hint="eastAsia" w:ascii="宋体" w:hAnsi="宋体" w:cs="宋体"/>
          <w:color w:val="auto"/>
          <w:sz w:val="24"/>
          <w:highlight w:val="none"/>
          <w:u w:val="single"/>
        </w:rPr>
        <w:t>合同暂定总价的</w:t>
      </w:r>
      <w:r>
        <w:rPr>
          <w:rFonts w:ascii="宋体" w:hAnsi="宋体" w:cs="宋体"/>
          <w:color w:val="auto"/>
          <w:sz w:val="24"/>
          <w:highlight w:val="none"/>
          <w:u w:val="single"/>
        </w:rPr>
        <w:t>20%</w:t>
      </w:r>
      <w:r>
        <w:rPr>
          <w:rFonts w:ascii="宋体" w:hAnsi="宋体" w:cs="宋体"/>
          <w:color w:val="auto"/>
          <w:sz w:val="24"/>
          <w:highlight w:val="none"/>
        </w:rPr>
        <w:t>作为违约金。</w:t>
      </w:r>
    </w:p>
    <w:p>
      <w:pPr>
        <w:widowControl/>
        <w:spacing w:line="384" w:lineRule="auto"/>
        <w:ind w:firstLine="480" w:firstLineChars="200"/>
        <w:jc w:val="left"/>
        <w:rPr>
          <w:rFonts w:ascii="宋体" w:hAnsi="宋体" w:cs="宋体"/>
          <w:bCs/>
          <w:color w:val="auto"/>
          <w:sz w:val="24"/>
          <w:highlight w:val="none"/>
        </w:rPr>
      </w:pPr>
      <w:r>
        <w:rPr>
          <w:rFonts w:ascii="宋体" w:hAnsi="宋体" w:cs="宋体"/>
          <w:bCs/>
          <w:color w:val="auto"/>
          <w:sz w:val="24"/>
          <w:highlight w:val="none"/>
        </w:rPr>
        <w:t>5.2</w:t>
      </w:r>
      <w:r>
        <w:rPr>
          <w:rFonts w:hint="eastAsia" w:ascii="宋体" w:hAnsi="宋体" w:cs="宋体"/>
          <w:bCs/>
          <w:color w:val="auto"/>
          <w:sz w:val="24"/>
          <w:highlight w:val="none"/>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color w:val="auto"/>
          <w:sz w:val="24"/>
          <w:highlight w:val="none"/>
          <w:u w:val="single"/>
        </w:rPr>
        <w:t>合同暂定总价的</w:t>
      </w:r>
      <w:r>
        <w:rPr>
          <w:rFonts w:ascii="宋体" w:hAnsi="宋体" w:cs="宋体"/>
          <w:bCs/>
          <w:color w:val="auto"/>
          <w:sz w:val="24"/>
          <w:highlight w:val="none"/>
          <w:u w:val="single"/>
        </w:rPr>
        <w:t>5%/</w:t>
      </w:r>
      <w:r>
        <w:rPr>
          <w:rFonts w:hint="eastAsia" w:ascii="宋体" w:hAnsi="宋体" w:cs="宋体"/>
          <w:bCs/>
          <w:color w:val="auto"/>
          <w:sz w:val="24"/>
          <w:highlight w:val="none"/>
          <w:u w:val="single"/>
        </w:rPr>
        <w:t>次</w:t>
      </w:r>
      <w:r>
        <w:rPr>
          <w:rFonts w:hint="eastAsia" w:ascii="宋体" w:hAnsi="宋体" w:cs="宋体"/>
          <w:bCs/>
          <w:color w:val="auto"/>
          <w:sz w:val="24"/>
          <w:highlight w:val="none"/>
        </w:rPr>
        <w:t>作为违约金，超过三次（含三次）的，甲方有权解除合同，要求乙方支付</w:t>
      </w:r>
      <w:r>
        <w:rPr>
          <w:rFonts w:hint="eastAsia" w:ascii="宋体" w:hAnsi="宋体" w:cs="宋体"/>
          <w:bCs/>
          <w:color w:val="auto"/>
          <w:sz w:val="24"/>
          <w:highlight w:val="none"/>
          <w:u w:val="single"/>
        </w:rPr>
        <w:t>合同暂定总价的</w:t>
      </w:r>
      <w:r>
        <w:rPr>
          <w:rFonts w:ascii="宋体" w:hAnsi="宋体" w:cs="宋体"/>
          <w:bCs/>
          <w:color w:val="auto"/>
          <w:sz w:val="24"/>
          <w:highlight w:val="none"/>
          <w:u w:val="single"/>
        </w:rPr>
        <w:t>20%</w:t>
      </w:r>
      <w:r>
        <w:rPr>
          <w:rFonts w:hint="eastAsia" w:ascii="宋体" w:hAnsi="宋体" w:cs="宋体"/>
          <w:bCs/>
          <w:color w:val="auto"/>
          <w:sz w:val="24"/>
          <w:highlight w:val="none"/>
        </w:rPr>
        <w:t>作为违约金。由此造成的经济和法律责任，均由乙方负责。</w:t>
      </w:r>
    </w:p>
    <w:p>
      <w:pPr>
        <w:widowControl/>
        <w:spacing w:line="384" w:lineRule="auto"/>
        <w:ind w:left="1" w:firstLine="480" w:firstLineChars="200"/>
        <w:jc w:val="left"/>
        <w:rPr>
          <w:rFonts w:ascii="宋体" w:hAnsi="宋体" w:cs="宋体"/>
          <w:bCs/>
          <w:color w:val="auto"/>
          <w:sz w:val="24"/>
          <w:highlight w:val="none"/>
        </w:rPr>
      </w:pPr>
      <w:r>
        <w:rPr>
          <w:rFonts w:ascii="宋体" w:hAnsi="宋体" w:cs="宋体"/>
          <w:bCs/>
          <w:color w:val="auto"/>
          <w:sz w:val="24"/>
          <w:highlight w:val="none"/>
        </w:rPr>
        <w:t>5.3</w:t>
      </w:r>
      <w:r>
        <w:rPr>
          <w:rFonts w:hint="eastAsia" w:ascii="宋体" w:hAnsi="宋体" w:cs="宋体"/>
          <w:bCs/>
          <w:color w:val="auto"/>
          <w:sz w:val="24"/>
          <w:highlight w:val="none"/>
        </w:rPr>
        <w:t>乙方应按合同及甲方提供的技术文件要求进行本项目实施和安装。乙方未经甲方同意，不得将本项目图纸泄露或转给第三人。除乙方存档需要的图纸外，乙方应于项目质量保修期满后日内将全部图纸退还给甲方。</w:t>
      </w:r>
    </w:p>
    <w:p>
      <w:pPr>
        <w:widowControl/>
        <w:spacing w:line="384" w:lineRule="auto"/>
        <w:ind w:left="1" w:firstLine="480" w:firstLineChars="200"/>
        <w:jc w:val="left"/>
        <w:rPr>
          <w:rFonts w:ascii="宋体" w:hAnsi="宋体" w:cs="宋体"/>
          <w:bCs/>
          <w:color w:val="auto"/>
          <w:sz w:val="24"/>
          <w:highlight w:val="none"/>
        </w:rPr>
      </w:pPr>
      <w:r>
        <w:rPr>
          <w:rFonts w:ascii="宋体" w:hAnsi="宋体" w:cs="宋体"/>
          <w:bCs/>
          <w:color w:val="auto"/>
          <w:sz w:val="24"/>
          <w:highlight w:val="none"/>
        </w:rPr>
        <w:t>5.4</w:t>
      </w:r>
      <w:r>
        <w:rPr>
          <w:rFonts w:hint="eastAsia" w:ascii="宋体" w:hAnsi="宋体" w:cs="宋体"/>
          <w:bCs/>
          <w:color w:val="auto"/>
          <w:sz w:val="24"/>
          <w:highlight w:val="none"/>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color w:val="auto"/>
          <w:sz w:val="24"/>
          <w:highlight w:val="none"/>
        </w:rPr>
      </w:pPr>
      <w:r>
        <w:rPr>
          <w:rFonts w:ascii="宋体" w:hAnsi="宋体" w:cs="宋体"/>
          <w:bCs/>
          <w:color w:val="auto"/>
          <w:sz w:val="24"/>
          <w:highlight w:val="none"/>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color w:val="auto"/>
          <w:sz w:val="24"/>
          <w:highlight w:val="none"/>
          <w:u w:val="single"/>
        </w:rPr>
        <w:t>1万元</w:t>
      </w:r>
      <w:r>
        <w:rPr>
          <w:rFonts w:ascii="宋体" w:hAnsi="宋体" w:cs="宋体"/>
          <w:bCs/>
          <w:color w:val="auto"/>
          <w:sz w:val="24"/>
          <w:highlight w:val="none"/>
        </w:rPr>
        <w:t>，超过</w:t>
      </w:r>
      <w:r>
        <w:rPr>
          <w:rFonts w:ascii="宋体" w:hAnsi="宋体" w:cs="宋体"/>
          <w:bCs/>
          <w:color w:val="auto"/>
          <w:sz w:val="24"/>
          <w:highlight w:val="none"/>
          <w:u w:val="single"/>
        </w:rPr>
        <w:t>_</w:t>
      </w:r>
      <w:r>
        <w:rPr>
          <w:rFonts w:hint="eastAsia" w:ascii="宋体" w:hAnsi="宋体" w:cs="宋体"/>
          <w:bCs/>
          <w:color w:val="auto"/>
          <w:sz w:val="24"/>
          <w:highlight w:val="none"/>
          <w:u w:val="single"/>
        </w:rPr>
        <w:t>30</w:t>
      </w:r>
      <w:r>
        <w:rPr>
          <w:rFonts w:ascii="宋体" w:hAnsi="宋体" w:cs="宋体"/>
          <w:bCs/>
          <w:color w:val="auto"/>
          <w:sz w:val="24"/>
          <w:highlight w:val="none"/>
          <w:u w:val="single"/>
        </w:rPr>
        <w:t>_</w:t>
      </w:r>
      <w:r>
        <w:rPr>
          <w:rFonts w:ascii="宋体" w:hAnsi="宋体" w:cs="宋体"/>
          <w:bCs/>
          <w:color w:val="auto"/>
          <w:sz w:val="24"/>
          <w:highlight w:val="none"/>
        </w:rPr>
        <w:t>日，甲方有权解除合同并要求乙方支付</w:t>
      </w:r>
      <w:r>
        <w:rPr>
          <w:rFonts w:ascii="宋体" w:hAnsi="宋体" w:cs="宋体"/>
          <w:bCs/>
          <w:color w:val="auto"/>
          <w:sz w:val="24"/>
          <w:highlight w:val="none"/>
          <w:u w:val="single"/>
        </w:rPr>
        <w:t>合同暂定总价的20%</w:t>
      </w:r>
      <w:r>
        <w:rPr>
          <w:rFonts w:ascii="宋体" w:hAnsi="宋体" w:cs="宋体"/>
          <w:bCs/>
          <w:color w:val="auto"/>
          <w:sz w:val="24"/>
          <w:highlight w:val="none"/>
        </w:rPr>
        <w:t>作为违约金</w:t>
      </w:r>
      <w:r>
        <w:rPr>
          <w:rFonts w:hint="eastAsia" w:asciiTheme="minorEastAsia" w:hAnsiTheme="minorEastAsia"/>
          <w:bCs/>
          <w:color w:val="auto"/>
          <w:sz w:val="24"/>
          <w:highlight w:val="none"/>
        </w:rPr>
        <w:t>（</w:t>
      </w:r>
      <w:r>
        <w:rPr>
          <w:rFonts w:hint="eastAsia" w:cs="宋体"/>
          <w:color w:val="auto"/>
          <w:sz w:val="24"/>
          <w:highlight w:val="none"/>
        </w:rPr>
        <w:t>如合同另行约定违约责任，从其约定</w:t>
      </w:r>
      <w:r>
        <w:rPr>
          <w:rFonts w:hint="eastAsia" w:asciiTheme="minorEastAsia" w:hAnsiTheme="minorEastAsia"/>
          <w:bCs/>
          <w:color w:val="auto"/>
          <w:sz w:val="24"/>
          <w:highlight w:val="none"/>
        </w:rPr>
        <w:t>）</w:t>
      </w:r>
      <w:r>
        <w:rPr>
          <w:rFonts w:ascii="宋体" w:hAnsi="宋体" w:cs="宋体"/>
          <w:bCs/>
          <w:color w:val="auto"/>
          <w:sz w:val="24"/>
          <w:highlight w:val="none"/>
        </w:rPr>
        <w:t>。</w:t>
      </w:r>
    </w:p>
    <w:p>
      <w:pPr>
        <w:topLinePunct/>
        <w:spacing w:line="50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5.6乙方不得随意更换项目负责人及附件5中的相关人员，如确须更换，应提前征得甲方同意。如有违反，甲方有权解除合同并要求乙方支付</w:t>
      </w:r>
      <w:r>
        <w:rPr>
          <w:rFonts w:hint="eastAsia" w:asciiTheme="minorEastAsia" w:hAnsiTheme="minorEastAsia" w:cstheme="minorEastAsia"/>
          <w:color w:val="auto"/>
          <w:sz w:val="24"/>
          <w:highlight w:val="none"/>
          <w:u w:val="single"/>
        </w:rPr>
        <w:t>5000元/人次</w:t>
      </w:r>
      <w:r>
        <w:rPr>
          <w:rFonts w:hint="eastAsia" w:asciiTheme="minorEastAsia" w:hAnsiTheme="minorEastAsia" w:cstheme="minorEastAsia"/>
          <w:color w:val="auto"/>
          <w:sz w:val="24"/>
          <w:highlight w:val="none"/>
        </w:rPr>
        <w:t xml:space="preserve">作为违约金，以及赔偿由此造成的一切损失(包含质量安全事故、工期延误、增加投资等)。 </w:t>
      </w:r>
    </w:p>
    <w:p>
      <w:pPr>
        <w:topLinePunct/>
        <w:spacing w:line="50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 xml:space="preserve"> 5.7施工过程中，项目负责人应驻场管理，否则甲方有权要求乙方支付违约</w:t>
      </w:r>
      <w:r>
        <w:rPr>
          <w:rFonts w:hint="eastAsia" w:asciiTheme="minorEastAsia" w:hAnsiTheme="minorEastAsia" w:cstheme="minorEastAsia"/>
          <w:color w:val="auto"/>
          <w:sz w:val="24"/>
          <w:highlight w:val="none"/>
          <w:u w:val="single"/>
        </w:rPr>
        <w:t xml:space="preserve"> 1000元/天</w:t>
      </w:r>
      <w:r>
        <w:rPr>
          <w:rFonts w:hint="eastAsia" w:asciiTheme="minorEastAsia" w:hAnsiTheme="minorEastAsia" w:cstheme="minorEastAsia"/>
          <w:color w:val="auto"/>
          <w:sz w:val="24"/>
          <w:highlight w:val="none"/>
        </w:rPr>
        <w:t>，因此造成损失的，按实际发生额赔偿。</w:t>
      </w:r>
    </w:p>
    <w:p>
      <w:pPr>
        <w:pStyle w:val="46"/>
        <w:ind w:firstLine="48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5.8施工过程中，乙方应负责配备现场的应急物资。具体应急物资配备详见附件应急救援物资清单。（如需）</w:t>
      </w:r>
    </w:p>
    <w:p>
      <w:pPr>
        <w:topLinePunct/>
        <w:spacing w:line="500" w:lineRule="exact"/>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5.9在合同有效期内，若乙方发生不诚信行为情形的，乙方自愿接受甲方按《广州市净水有限公司经营建设项目参建企业不诚信行为管理办法》处理，具体处理标准详见附件3。</w:t>
      </w:r>
    </w:p>
    <w:p>
      <w:pPr>
        <w:pStyle w:val="46"/>
        <w:rPr>
          <w:color w:val="auto"/>
          <w:highlight w:val="none"/>
        </w:rPr>
      </w:pPr>
    </w:p>
    <w:p>
      <w:pPr>
        <w:tabs>
          <w:tab w:val="left" w:pos="851"/>
        </w:tabs>
        <w:adjustRightInd w:val="0"/>
        <w:snapToGrid w:val="0"/>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第六条实施条件及管理要求</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6.1</w:t>
      </w:r>
      <w:r>
        <w:rPr>
          <w:rFonts w:hint="eastAsia" w:ascii="宋体" w:hAnsi="宋体" w:cs="宋体"/>
          <w:color w:val="auto"/>
          <w:sz w:val="24"/>
          <w:highlight w:val="none"/>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6.2</w:t>
      </w:r>
      <w:r>
        <w:rPr>
          <w:rFonts w:hint="eastAsia" w:ascii="宋体" w:hAnsi="宋体" w:cs="宋体"/>
          <w:color w:val="auto"/>
          <w:sz w:val="24"/>
          <w:highlight w:val="none"/>
        </w:rPr>
        <w:t>施工用水用电采用以下</w:t>
      </w:r>
      <w:r>
        <w:rPr>
          <w:rFonts w:hint="eastAsia" w:ascii="宋体" w:hAnsi="宋体" w:cs="宋体"/>
          <w:color w:val="auto"/>
          <w:sz w:val="24"/>
          <w:highlight w:val="none"/>
          <w:u w:val="single"/>
        </w:rPr>
        <w:t xml:space="preserve">  （1）  </w:t>
      </w:r>
      <w:r>
        <w:rPr>
          <w:rFonts w:hint="eastAsia" w:ascii="宋体" w:hAnsi="宋体" w:cs="宋体"/>
          <w:color w:val="auto"/>
          <w:sz w:val="24"/>
          <w:highlight w:val="none"/>
        </w:rPr>
        <w:t>方式执行。</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）由甲方提供施工用水用电接口，水电费按合同综合单价水电含量计算，从甲方支付的工程款中直接扣回。</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）由甲方提供施工用水用电接口，费用按</w:t>
      </w:r>
      <w:r>
        <w:rPr>
          <w:rFonts w:hint="eastAsia" w:ascii="宋体" w:hAnsi="宋体" w:cs="宋体"/>
          <w:color w:val="auto"/>
          <w:sz w:val="24"/>
          <w:highlight w:val="none"/>
          <w:u w:val="single"/>
        </w:rPr>
        <w:t>（</w:t>
      </w:r>
      <w:r>
        <w:rPr>
          <w:rFonts w:hint="eastAsia" w:ascii="宋体" w:hAnsi="宋体" w:cs="宋体"/>
          <w:color w:val="auto"/>
          <w:sz w:val="24"/>
          <w:highlight w:val="none"/>
        </w:rPr>
        <w:t>月</w:t>
      </w:r>
      <w:r>
        <w:rPr>
          <w:rFonts w:ascii="宋体" w:hAnsi="宋体" w:cs="宋体"/>
          <w:color w:val="auto"/>
          <w:sz w:val="24"/>
          <w:highlight w:val="none"/>
        </w:rPr>
        <w:t>/</w:t>
      </w:r>
      <w:r>
        <w:rPr>
          <w:rFonts w:hint="eastAsia" w:ascii="宋体" w:hAnsi="宋体" w:cs="宋体"/>
          <w:color w:val="auto"/>
          <w:sz w:val="24"/>
          <w:highlight w:val="none"/>
        </w:rPr>
        <w:t>项目）结算，由乙方向甲方或甲方下辖分公司</w:t>
      </w:r>
      <w:r>
        <w:rPr>
          <w:rFonts w:ascii="宋体" w:hAnsi="宋体" w:cs="宋体"/>
          <w:color w:val="auto"/>
          <w:sz w:val="24"/>
          <w:highlight w:val="none"/>
        </w:rPr>
        <w:t>/</w:t>
      </w:r>
      <w:r>
        <w:rPr>
          <w:rFonts w:hint="eastAsia" w:ascii="宋体" w:hAnsi="宋体" w:cs="宋体"/>
          <w:color w:val="auto"/>
          <w:sz w:val="24"/>
          <w:highlight w:val="none"/>
        </w:rPr>
        <w:t>子公司支付。水电费用按所属供电局、自来水公司收费标准，按实计算。</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）由乙方自行负责。</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6.3</w:t>
      </w:r>
      <w:r>
        <w:rPr>
          <w:rFonts w:hint="eastAsia" w:ascii="宋体" w:hAnsi="宋体" w:cs="宋体"/>
          <w:color w:val="auto"/>
          <w:sz w:val="24"/>
          <w:highlight w:val="none"/>
        </w:rPr>
        <w:t>施工时间安排：上午</w:t>
      </w:r>
      <w:r>
        <w:rPr>
          <w:rFonts w:ascii="宋体" w:hAnsi="宋体" w:cs="宋体"/>
          <w:color w:val="auto"/>
          <w:sz w:val="24"/>
          <w:highlight w:val="none"/>
        </w:rPr>
        <w:t>7</w:t>
      </w:r>
      <w:r>
        <w:rPr>
          <w:rFonts w:hint="eastAsia" w:ascii="宋体" w:hAnsi="宋体" w:cs="宋体"/>
          <w:color w:val="auto"/>
          <w:sz w:val="24"/>
          <w:highlight w:val="none"/>
        </w:rPr>
        <w:t>：</w:t>
      </w:r>
      <w:r>
        <w:rPr>
          <w:rFonts w:ascii="宋体" w:hAnsi="宋体" w:cs="宋体"/>
          <w:color w:val="auto"/>
          <w:sz w:val="24"/>
          <w:highlight w:val="none"/>
        </w:rPr>
        <w:t>00-12</w:t>
      </w:r>
      <w:r>
        <w:rPr>
          <w:rFonts w:hint="eastAsia" w:ascii="宋体" w:hAnsi="宋体" w:cs="宋体"/>
          <w:color w:val="auto"/>
          <w:sz w:val="24"/>
          <w:highlight w:val="none"/>
        </w:rPr>
        <w:t>：</w:t>
      </w:r>
      <w:r>
        <w:rPr>
          <w:rFonts w:ascii="宋体" w:hAnsi="宋体" w:cs="宋体"/>
          <w:color w:val="auto"/>
          <w:sz w:val="24"/>
          <w:highlight w:val="none"/>
        </w:rPr>
        <w:t>00</w:t>
      </w:r>
      <w:r>
        <w:rPr>
          <w:rFonts w:hint="eastAsia" w:ascii="宋体" w:hAnsi="宋体" w:cs="宋体"/>
          <w:color w:val="auto"/>
          <w:sz w:val="24"/>
          <w:highlight w:val="none"/>
        </w:rPr>
        <w:t>，下午</w:t>
      </w:r>
      <w:r>
        <w:rPr>
          <w:rFonts w:ascii="宋体" w:hAnsi="宋体" w:cs="宋体"/>
          <w:color w:val="auto"/>
          <w:sz w:val="24"/>
          <w:highlight w:val="none"/>
        </w:rPr>
        <w:t>14</w:t>
      </w:r>
      <w:r>
        <w:rPr>
          <w:rFonts w:hint="eastAsia" w:ascii="宋体" w:hAnsi="宋体" w:cs="宋体"/>
          <w:color w:val="auto"/>
          <w:sz w:val="24"/>
          <w:highlight w:val="none"/>
        </w:rPr>
        <w:t>：</w:t>
      </w:r>
      <w:r>
        <w:rPr>
          <w:rFonts w:ascii="宋体" w:hAnsi="宋体" w:cs="宋体"/>
          <w:color w:val="auto"/>
          <w:sz w:val="24"/>
          <w:highlight w:val="none"/>
        </w:rPr>
        <w:t>00-18</w:t>
      </w:r>
      <w:r>
        <w:rPr>
          <w:rFonts w:hint="eastAsia" w:ascii="宋体" w:hAnsi="宋体" w:cs="宋体"/>
          <w:color w:val="auto"/>
          <w:sz w:val="24"/>
          <w:highlight w:val="none"/>
        </w:rPr>
        <w:t>：</w:t>
      </w:r>
      <w:r>
        <w:rPr>
          <w:rFonts w:ascii="宋体" w:hAnsi="宋体" w:cs="宋体"/>
          <w:color w:val="auto"/>
          <w:sz w:val="24"/>
          <w:highlight w:val="none"/>
        </w:rPr>
        <w:t>00</w:t>
      </w:r>
      <w:r>
        <w:rPr>
          <w:rFonts w:hint="eastAsia" w:ascii="宋体" w:hAnsi="宋体" w:cs="宋体"/>
          <w:color w:val="auto"/>
          <w:sz w:val="24"/>
          <w:highlight w:val="none"/>
        </w:rPr>
        <w:t>，施工时间如需变动，以甲方的书面或口头通知为准。</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6.4</w:t>
      </w:r>
      <w:r>
        <w:rPr>
          <w:rFonts w:hint="eastAsia" w:ascii="宋体" w:hAnsi="宋体" w:cs="宋体"/>
          <w:color w:val="auto"/>
          <w:sz w:val="24"/>
          <w:highlight w:val="none"/>
        </w:rPr>
        <w:t>进场施工人员必须严格遵守</w:t>
      </w:r>
      <w:r>
        <w:rPr>
          <w:rFonts w:hint="eastAsia" w:ascii="宋体" w:hAnsi="宋体" w:cs="宋体"/>
          <w:color w:val="auto"/>
          <w:kern w:val="10"/>
          <w:sz w:val="24"/>
          <w:highlight w:val="none"/>
        </w:rPr>
        <w:t>污水处理厂</w:t>
      </w:r>
      <w:r>
        <w:rPr>
          <w:rFonts w:hint="eastAsia" w:ascii="宋体" w:hAnsi="宋体" w:cs="宋体"/>
          <w:color w:val="auto"/>
          <w:sz w:val="24"/>
          <w:highlight w:val="none"/>
        </w:rPr>
        <w:t>一切规章制度。进入施工现场人员必须佩戴出入证，并自觉接受门岗检查。</w:t>
      </w:r>
    </w:p>
    <w:p>
      <w:pPr>
        <w:snapToGrid w:val="0"/>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6.5</w:t>
      </w:r>
      <w:r>
        <w:rPr>
          <w:rFonts w:hint="eastAsia" w:ascii="宋体" w:hAnsi="宋体" w:cs="宋体"/>
          <w:color w:val="auto"/>
          <w:sz w:val="24"/>
          <w:highlight w:val="none"/>
        </w:rPr>
        <w:t>环境保护要求：</w:t>
      </w:r>
    </w:p>
    <w:p>
      <w:pPr>
        <w:snapToGrid w:val="0"/>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）做好施工噪声、废气、废水等控制；</w:t>
      </w:r>
    </w:p>
    <w:p>
      <w:pPr>
        <w:snapToGrid w:val="0"/>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）按照国家及广州市相关规定做好建筑垃圾的处理。</w:t>
      </w:r>
    </w:p>
    <w:p>
      <w:pPr>
        <w:snapToGrid w:val="0"/>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6.6</w:t>
      </w:r>
      <w:r>
        <w:rPr>
          <w:rFonts w:hint="eastAsia" w:ascii="宋体" w:hAnsi="宋体" w:cs="宋体"/>
          <w:color w:val="auto"/>
          <w:sz w:val="24"/>
          <w:highlight w:val="none"/>
        </w:rPr>
        <w:t>按相关法律法规及甲方相关作业施工管理要求执行。</w:t>
      </w:r>
    </w:p>
    <w:p>
      <w:pPr>
        <w:pStyle w:val="12"/>
        <w:spacing w:line="384" w:lineRule="auto"/>
        <w:rPr>
          <w:rFonts w:hAnsi="宋体" w:cs="宋体"/>
          <w:b/>
          <w:bCs/>
          <w:color w:val="auto"/>
          <w:sz w:val="24"/>
          <w:szCs w:val="24"/>
          <w:highlight w:val="none"/>
        </w:rPr>
      </w:pPr>
      <w:r>
        <w:rPr>
          <w:rFonts w:hint="eastAsia" w:hAnsi="宋体" w:cs="宋体"/>
          <w:b/>
          <w:bCs/>
          <w:color w:val="auto"/>
          <w:sz w:val="24"/>
          <w:szCs w:val="24"/>
          <w:highlight w:val="none"/>
        </w:rPr>
        <w:t>第七条 材料及设备供应</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color w:val="auto"/>
          <w:sz w:val="24"/>
          <w:highlight w:val="none"/>
        </w:rPr>
      </w:pPr>
      <w:r>
        <w:rPr>
          <w:rFonts w:ascii="宋体" w:hAnsi="宋体" w:cs="宋体"/>
          <w:color w:val="auto"/>
          <w:sz w:val="24"/>
          <w:highlight w:val="none"/>
        </w:rPr>
        <w:t>7.1</w:t>
      </w:r>
      <w:r>
        <w:rPr>
          <w:rFonts w:hint="eastAsia" w:ascii="宋体" w:hAnsi="宋体" w:cs="宋体"/>
          <w:color w:val="auto"/>
          <w:sz w:val="24"/>
          <w:highlight w:val="none"/>
        </w:rPr>
        <w:t>采购供应的材料、其名称、品种、型号、规格、质量等，均应符合国家、地方及行业有关规范及要求。</w:t>
      </w:r>
    </w:p>
    <w:p>
      <w:pPr>
        <w:spacing w:line="384" w:lineRule="auto"/>
        <w:ind w:left="657" w:leftChars="200" w:hanging="237" w:hangingChars="99"/>
        <w:rPr>
          <w:rFonts w:ascii="宋体" w:hAnsi="宋体" w:cs="宋体"/>
          <w:color w:val="auto"/>
          <w:sz w:val="24"/>
          <w:highlight w:val="none"/>
        </w:rPr>
      </w:pPr>
      <w:r>
        <w:rPr>
          <w:rFonts w:ascii="宋体" w:hAnsi="宋体" w:cs="宋体"/>
          <w:color w:val="auto"/>
          <w:sz w:val="24"/>
          <w:highlight w:val="none"/>
        </w:rPr>
        <w:t>7.2</w:t>
      </w:r>
      <w:r>
        <w:rPr>
          <w:rFonts w:hint="eastAsia" w:ascii="宋体" w:hAnsi="宋体" w:cs="宋体"/>
          <w:color w:val="auto"/>
          <w:sz w:val="24"/>
          <w:highlight w:val="none"/>
        </w:rPr>
        <w:t>所有材料必须具备合格证明，并保证产品的有效性。</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7.3</w:t>
      </w:r>
      <w:r>
        <w:rPr>
          <w:rFonts w:hint="eastAsia" w:ascii="宋体" w:hAnsi="宋体" w:cs="宋体"/>
          <w:color w:val="auto"/>
          <w:sz w:val="24"/>
          <w:highlight w:val="none"/>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7.4</w:t>
      </w:r>
      <w:r>
        <w:rPr>
          <w:rFonts w:hint="eastAsia" w:ascii="宋体" w:hAnsi="宋体" w:cs="宋体"/>
          <w:color w:val="auto"/>
          <w:sz w:val="24"/>
          <w:highlight w:val="none"/>
        </w:rPr>
        <w:t>乙方必须根据投标文件</w:t>
      </w:r>
      <w:r>
        <w:rPr>
          <w:rFonts w:ascii="宋体" w:hAnsi="宋体" w:cs="宋体"/>
          <w:color w:val="auto"/>
          <w:sz w:val="24"/>
          <w:highlight w:val="none"/>
        </w:rPr>
        <w:t>/</w:t>
      </w:r>
      <w:r>
        <w:rPr>
          <w:rFonts w:hint="eastAsia" w:ascii="宋体" w:hAnsi="宋体" w:cs="宋体"/>
          <w:color w:val="auto"/>
          <w:sz w:val="24"/>
          <w:highlight w:val="none"/>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color w:val="auto"/>
          <w:sz w:val="24"/>
          <w:highlight w:val="none"/>
        </w:rPr>
      </w:pPr>
      <w:r>
        <w:rPr>
          <w:rFonts w:ascii="宋体" w:hAnsi="宋体" w:cs="宋体"/>
          <w:color w:val="auto"/>
          <w:sz w:val="24"/>
          <w:highlight w:val="none"/>
        </w:rPr>
        <w:t xml:space="preserve">7.5 </w:t>
      </w:r>
      <w:r>
        <w:rPr>
          <w:rFonts w:hint="eastAsia" w:ascii="宋体" w:hAnsi="宋体" w:cs="宋体"/>
          <w:color w:val="auto"/>
          <w:sz w:val="24"/>
          <w:highlight w:val="none"/>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7.6 </w:t>
      </w:r>
      <w:r>
        <w:rPr>
          <w:rFonts w:hint="eastAsia" w:ascii="宋体" w:hAnsi="宋体" w:cs="宋体"/>
          <w:color w:val="auto"/>
          <w:sz w:val="24"/>
          <w:highlight w:val="none"/>
        </w:rPr>
        <w:t>承包范围之内工程所用之设备，由乙方提供。</w:t>
      </w:r>
    </w:p>
    <w:p>
      <w:pPr>
        <w:spacing w:line="384" w:lineRule="auto"/>
        <w:rPr>
          <w:rFonts w:ascii="宋体" w:hAnsi="宋体" w:cs="宋体"/>
          <w:color w:val="auto"/>
          <w:sz w:val="24"/>
          <w:highlight w:val="none"/>
        </w:rPr>
      </w:pPr>
      <w:r>
        <w:rPr>
          <w:rFonts w:hint="eastAsia" w:ascii="宋体" w:hAnsi="宋体" w:cs="宋体"/>
          <w:b/>
          <w:bCs/>
          <w:color w:val="auto"/>
          <w:sz w:val="24"/>
          <w:highlight w:val="none"/>
        </w:rPr>
        <w:t>第八条付</w:t>
      </w:r>
      <w:r>
        <w:rPr>
          <w:rFonts w:hint="eastAsia" w:ascii="宋体" w:hAnsi="宋体" w:cs="宋体"/>
          <w:b/>
          <w:color w:val="auto"/>
          <w:sz w:val="24"/>
          <w:highlight w:val="none"/>
        </w:rPr>
        <w:t>款及履约担保</w:t>
      </w:r>
    </w:p>
    <w:p>
      <w:pPr>
        <w:spacing w:line="384" w:lineRule="auto"/>
        <w:ind w:firstLine="480" w:firstLineChars="200"/>
        <w:rPr>
          <w:rFonts w:ascii="宋体" w:hAnsi="宋体" w:cs="宋体"/>
          <w:bCs/>
          <w:color w:val="auto"/>
          <w:sz w:val="24"/>
          <w:highlight w:val="none"/>
          <w:u w:val="single"/>
        </w:rPr>
      </w:pPr>
      <w:r>
        <w:rPr>
          <w:rFonts w:ascii="宋体" w:hAnsi="宋体" w:cs="宋体"/>
          <w:color w:val="auto"/>
          <w:sz w:val="24"/>
          <w:highlight w:val="none"/>
        </w:rPr>
        <w:t>8.1</w:t>
      </w:r>
      <w:r>
        <w:rPr>
          <w:rFonts w:hint="eastAsia" w:ascii="宋体" w:hAnsi="宋体" w:cs="宋体"/>
          <w:bCs/>
          <w:color w:val="auto"/>
          <w:sz w:val="24"/>
          <w:highlight w:val="none"/>
        </w:rPr>
        <w:t>预付款的支付：</w:t>
      </w:r>
      <w:r>
        <w:rPr>
          <w:rFonts w:hint="eastAsia" w:ascii="宋体" w:hAnsi="宋体" w:cs="宋体"/>
          <w:color w:val="auto"/>
          <w:szCs w:val="21"/>
          <w:highlight w:val="none"/>
        </w:rPr>
        <w:t>□</w:t>
      </w:r>
      <w:r>
        <w:rPr>
          <w:rFonts w:hint="eastAsia" w:ascii="宋体" w:hAnsi="宋体" w:cs="宋体"/>
          <w:bCs/>
          <w:color w:val="auto"/>
          <w:sz w:val="24"/>
          <w:highlight w:val="none"/>
        </w:rPr>
        <w:t>无；</w:t>
      </w:r>
      <w:r>
        <w:rPr>
          <w:rFonts w:hint="eastAsia" w:ascii="宋体" w:hAnsi="宋体" w:cs="宋体"/>
          <w:color w:val="auto"/>
          <w:szCs w:val="21"/>
          <w:highlight w:val="none"/>
        </w:rPr>
        <w:sym w:font="Wingdings 2" w:char="0052"/>
      </w:r>
      <w:r>
        <w:rPr>
          <w:rFonts w:hint="eastAsia" w:ascii="宋体" w:hAnsi="宋体" w:cs="宋体"/>
          <w:bCs/>
          <w:color w:val="auto"/>
          <w:sz w:val="24"/>
          <w:highlight w:val="none"/>
        </w:rPr>
        <w:t>有,合同签订后，乙方开具等额的增值税专用发票及提交预付款保函后 7 个工作日内，甲方支付合同</w:t>
      </w:r>
      <w:r>
        <w:rPr>
          <w:rFonts w:hint="eastAsia" w:ascii="宋体" w:hAnsi="宋体" w:cs="宋体"/>
          <w:color w:val="auto"/>
          <w:sz w:val="24"/>
          <w:highlight w:val="none"/>
        </w:rPr>
        <w:t>暂定总价</w:t>
      </w:r>
      <w:r>
        <w:rPr>
          <w:rFonts w:hint="eastAsia" w:ascii="宋体" w:hAnsi="宋体" w:cs="宋体"/>
          <w:bCs/>
          <w:color w:val="auto"/>
          <w:sz w:val="24"/>
          <w:highlight w:val="none"/>
        </w:rPr>
        <w:t>的</w:t>
      </w:r>
      <w:r>
        <w:rPr>
          <w:rFonts w:ascii="宋体" w:hAnsi="宋体" w:cs="宋体"/>
          <w:bCs/>
          <w:color w:val="auto"/>
          <w:sz w:val="24"/>
          <w:highlight w:val="none"/>
          <w:u w:val="single"/>
        </w:rPr>
        <w:t>30%</w:t>
      </w:r>
      <w:r>
        <w:rPr>
          <w:rFonts w:hint="eastAsia" w:ascii="宋体" w:hAnsi="宋体" w:cs="宋体"/>
          <w:color w:val="auto"/>
          <w:sz w:val="24"/>
          <w:highlight w:val="none"/>
        </w:rPr>
        <w:t>，即</w:t>
      </w:r>
      <w:r>
        <w:rPr>
          <w:rFonts w:ascii="宋体" w:hAnsi="宋体" w:cs="宋体"/>
          <w:bCs/>
          <w:color w:val="auto"/>
          <w:sz w:val="24"/>
          <w:highlight w:val="none"/>
          <w:u w:val="single"/>
        </w:rPr>
        <w:t>…</w:t>
      </w:r>
      <w:r>
        <w:rPr>
          <w:rFonts w:hint="eastAsia" w:ascii="宋体" w:hAnsi="宋体" w:cs="宋体"/>
          <w:color w:val="auto"/>
          <w:sz w:val="24"/>
          <w:highlight w:val="none"/>
        </w:rPr>
        <w:t>元，</w:t>
      </w:r>
      <w:r>
        <w:rPr>
          <w:rFonts w:hint="eastAsia" w:ascii="宋体" w:hAnsi="宋体" w:cs="宋体"/>
          <w:color w:val="auto"/>
          <w:sz w:val="24"/>
          <w:highlight w:val="none"/>
          <w:u w:val="single"/>
        </w:rPr>
        <w:t>（大写：…）</w:t>
      </w:r>
      <w:r>
        <w:rPr>
          <w:rFonts w:hint="eastAsia" w:ascii="宋体" w:hAnsi="宋体" w:cs="宋体"/>
          <w:bCs/>
          <w:color w:val="auto"/>
          <w:sz w:val="24"/>
          <w:highlight w:val="none"/>
        </w:rPr>
        <w:t>作为预付款。</w:t>
      </w:r>
      <w:r>
        <w:rPr>
          <w:rFonts w:hint="eastAsia" w:ascii="宋体" w:hAnsi="宋体" w:cs="宋体"/>
          <w:color w:val="auto"/>
          <w:sz w:val="24"/>
          <w:highlight w:val="none"/>
        </w:rPr>
        <w:t>若合同解除或终止，乙方在</w:t>
      </w:r>
      <w:r>
        <w:rPr>
          <w:rFonts w:ascii="宋体" w:hAnsi="宋体" w:cs="宋体"/>
          <w:color w:val="auto"/>
          <w:sz w:val="24"/>
          <w:highlight w:val="none"/>
          <w:u w:val="single"/>
        </w:rPr>
        <w:t xml:space="preserve"> 5 </w:t>
      </w:r>
      <w:r>
        <w:rPr>
          <w:rFonts w:hint="eastAsia" w:ascii="宋体" w:hAnsi="宋体" w:cs="宋体"/>
          <w:color w:val="auto"/>
          <w:sz w:val="24"/>
          <w:highlight w:val="none"/>
        </w:rPr>
        <w:t>个工作日内返还预付款（无息）。</w:t>
      </w:r>
      <w:r>
        <w:rPr>
          <w:rFonts w:hint="eastAsia" w:ascii="宋体" w:hAnsi="宋体" w:cs="宋体"/>
          <w:bCs/>
          <w:color w:val="auto"/>
          <w:kern w:val="0"/>
          <w:sz w:val="24"/>
          <w:highlight w:val="none"/>
        </w:rPr>
        <w:t>逾期未返还，每逾期一天，乙方应按合同暂定总价的</w:t>
      </w:r>
      <w:r>
        <w:rPr>
          <w:rFonts w:hint="eastAsia" w:ascii="宋体" w:hAnsi="宋体" w:cs="宋体"/>
          <w:bCs/>
          <w:color w:val="auto"/>
          <w:kern w:val="0"/>
          <w:sz w:val="24"/>
          <w:highlight w:val="none"/>
          <w:u w:val="single"/>
        </w:rPr>
        <w:t>万分之五</w:t>
      </w:r>
      <w:r>
        <w:rPr>
          <w:rFonts w:ascii="宋体" w:hAnsi="宋体" w:cs="宋体"/>
          <w:bCs/>
          <w:color w:val="auto"/>
          <w:kern w:val="0"/>
          <w:sz w:val="24"/>
          <w:highlight w:val="none"/>
          <w:u w:val="single"/>
        </w:rPr>
        <w:t>/</w:t>
      </w:r>
      <w:r>
        <w:rPr>
          <w:rFonts w:hint="eastAsia" w:ascii="宋体" w:hAnsi="宋体" w:cs="宋体"/>
          <w:bCs/>
          <w:color w:val="auto"/>
          <w:kern w:val="0"/>
          <w:sz w:val="24"/>
          <w:highlight w:val="none"/>
          <w:u w:val="single"/>
        </w:rPr>
        <w:t>天</w:t>
      </w:r>
      <w:r>
        <w:rPr>
          <w:rFonts w:hint="eastAsia" w:ascii="宋体" w:hAnsi="宋体" w:cs="宋体"/>
          <w:bCs/>
          <w:color w:val="auto"/>
          <w:kern w:val="0"/>
          <w:sz w:val="24"/>
          <w:highlight w:val="none"/>
        </w:rPr>
        <w:t>支付违约金</w:t>
      </w:r>
      <w:r>
        <w:rPr>
          <w:rFonts w:hint="eastAsia" w:ascii="宋体" w:hAnsi="宋体" w:cs="宋体"/>
          <w:color w:val="auto"/>
          <w:sz w:val="24"/>
          <w:highlight w:val="none"/>
        </w:rPr>
        <w:t>。</w:t>
      </w:r>
    </w:p>
    <w:p>
      <w:pPr>
        <w:pStyle w:val="12"/>
        <w:spacing w:line="384" w:lineRule="auto"/>
        <w:ind w:firstLine="480" w:firstLineChars="200"/>
        <w:outlineLvl w:val="1"/>
        <w:rPr>
          <w:rFonts w:hAnsi="宋体" w:cs="宋体"/>
          <w:color w:val="auto"/>
          <w:sz w:val="24"/>
          <w:szCs w:val="24"/>
          <w:highlight w:val="none"/>
        </w:rPr>
      </w:pPr>
      <w:r>
        <w:rPr>
          <w:rFonts w:hAnsi="宋体" w:cs="宋体"/>
          <w:color w:val="auto"/>
          <w:sz w:val="24"/>
          <w:szCs w:val="24"/>
          <w:highlight w:val="none"/>
        </w:rPr>
        <w:t>8.2</w:t>
      </w:r>
      <w:r>
        <w:rPr>
          <w:rFonts w:hint="eastAsia" w:hAnsi="宋体" w:cs="宋体"/>
          <w:color w:val="auto"/>
          <w:sz w:val="24"/>
          <w:szCs w:val="24"/>
          <w:highlight w:val="none"/>
          <w:u w:val="single"/>
        </w:rPr>
        <w:t>项目验收合格后，由乙方提交申请支付资料</w:t>
      </w:r>
      <w:r>
        <w:rPr>
          <w:rFonts w:hAnsi="宋体" w:cs="宋体"/>
          <w:color w:val="auto"/>
          <w:sz w:val="24"/>
          <w:szCs w:val="24"/>
          <w:highlight w:val="none"/>
          <w:u w:val="single"/>
        </w:rPr>
        <w:t xml:space="preserve"> 15 </w:t>
      </w:r>
      <w:r>
        <w:rPr>
          <w:rFonts w:hint="eastAsia" w:hAnsi="宋体" w:cs="宋体"/>
          <w:color w:val="auto"/>
          <w:sz w:val="24"/>
          <w:szCs w:val="24"/>
          <w:highlight w:val="none"/>
          <w:u w:val="single"/>
        </w:rPr>
        <w:t>个工作日内，甲方支付至合同暂定总价的80％即^万元给乙方。</w:t>
      </w:r>
      <w:r>
        <w:rPr>
          <w:rFonts w:hint="eastAsia" w:hAnsi="宋体" w:cs="宋体"/>
          <w:color w:val="auto"/>
          <w:sz w:val="24"/>
          <w:szCs w:val="24"/>
          <w:highlight w:val="none"/>
        </w:rPr>
        <w:t>（如需）</w:t>
      </w:r>
    </w:p>
    <w:p>
      <w:pPr>
        <w:tabs>
          <w:tab w:val="left" w:pos="0"/>
        </w:tabs>
        <w:adjustRightInd w:val="0"/>
        <w:snapToGrid w:val="0"/>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8.2.1</w:t>
      </w:r>
      <w:r>
        <w:rPr>
          <w:rFonts w:hint="eastAsia" w:ascii="宋体" w:hAnsi="宋体" w:cs="宋体"/>
          <w:color w:val="auto"/>
          <w:sz w:val="24"/>
          <w:highlight w:val="none"/>
          <w:u w:val="single"/>
        </w:rPr>
        <w:t>项目验收合同后，</w:t>
      </w:r>
      <w:r>
        <w:rPr>
          <w:rFonts w:hint="eastAsia" w:ascii="宋体" w:hAnsi="宋体" w:cs="宋体"/>
          <w:color w:val="auto"/>
          <w:sz w:val="24"/>
          <w:highlight w:val="none"/>
        </w:rPr>
        <w:t>经甲方或甲方委托有资质第三方机构审核后，由乙方提交申请支付资料</w:t>
      </w:r>
      <w:r>
        <w:rPr>
          <w:rFonts w:ascii="宋体" w:hAnsi="宋体" w:cs="宋体"/>
          <w:color w:val="auto"/>
          <w:sz w:val="24"/>
          <w:highlight w:val="none"/>
          <w:u w:val="single"/>
        </w:rPr>
        <w:t xml:space="preserve"> 15 </w:t>
      </w:r>
      <w:r>
        <w:rPr>
          <w:rFonts w:hint="eastAsia" w:ascii="宋体" w:hAnsi="宋体" w:cs="宋体"/>
          <w:color w:val="auto"/>
          <w:sz w:val="24"/>
          <w:highlight w:val="none"/>
        </w:rPr>
        <w:t>个工作日内，甲方支付至合同结算价的</w:t>
      </w:r>
      <w:r>
        <w:rPr>
          <w:rFonts w:ascii="宋体" w:hAnsi="宋体" w:cs="宋体"/>
          <w:color w:val="auto"/>
          <w:sz w:val="24"/>
          <w:highlight w:val="none"/>
        </w:rPr>
        <w:t>95%</w:t>
      </w:r>
      <w:r>
        <w:rPr>
          <w:rFonts w:hint="eastAsia" w:ascii="宋体" w:hAnsi="宋体" w:cs="宋体"/>
          <w:color w:val="auto"/>
          <w:sz w:val="24"/>
          <w:highlight w:val="none"/>
        </w:rPr>
        <w:t>。</w:t>
      </w:r>
    </w:p>
    <w:p>
      <w:pPr>
        <w:spacing w:line="384" w:lineRule="auto"/>
        <w:ind w:firstLine="480" w:firstLineChars="200"/>
        <w:outlineLvl w:val="1"/>
        <w:rPr>
          <w:rFonts w:hAnsi="宋体" w:cs="宋体"/>
          <w:color w:val="auto"/>
          <w:sz w:val="24"/>
          <w:highlight w:val="none"/>
        </w:rPr>
      </w:pPr>
      <w:r>
        <w:rPr>
          <w:rFonts w:ascii="宋体" w:hAnsi="宋体" w:cs="宋体"/>
          <w:color w:val="auto"/>
          <w:sz w:val="24"/>
          <w:highlight w:val="none"/>
        </w:rPr>
        <w:t>8.2.</w:t>
      </w:r>
      <w:r>
        <w:rPr>
          <w:rFonts w:hint="eastAsia" w:ascii="宋体" w:hAnsi="宋体" w:cs="宋体"/>
          <w:color w:val="auto"/>
          <w:sz w:val="24"/>
          <w:highlight w:val="none"/>
        </w:rPr>
        <w:t>2</w:t>
      </w:r>
      <w:r>
        <w:rPr>
          <w:rFonts w:hint="eastAsia" w:hAnsi="宋体" w:cs="宋体"/>
          <w:color w:val="auto"/>
          <w:sz w:val="24"/>
          <w:highlight w:val="none"/>
        </w:rPr>
        <w:t>质保期按合同第十条规定执行，质保期满后且乙方不存在违约情形，由乙方提交申请质保金退还资料</w:t>
      </w:r>
      <w:r>
        <w:rPr>
          <w:rFonts w:hAnsi="宋体" w:cs="宋体"/>
          <w:color w:val="auto"/>
          <w:sz w:val="24"/>
          <w:highlight w:val="none"/>
          <w:u w:val="single"/>
        </w:rPr>
        <w:t xml:space="preserve"> 15 </w:t>
      </w:r>
      <w:r>
        <w:rPr>
          <w:rFonts w:hint="eastAsia" w:hAnsi="宋体" w:cs="宋体"/>
          <w:color w:val="auto"/>
          <w:sz w:val="24"/>
          <w:highlight w:val="none"/>
        </w:rPr>
        <w:t>个工作日内，甲方支付合同结算价的</w:t>
      </w:r>
      <w:r>
        <w:rPr>
          <w:rFonts w:hAnsi="宋体" w:cs="宋体"/>
          <w:color w:val="auto"/>
          <w:sz w:val="24"/>
          <w:highlight w:val="none"/>
        </w:rPr>
        <w:t>5</w:t>
      </w:r>
      <w:r>
        <w:rPr>
          <w:rFonts w:hint="eastAsia" w:hAnsi="宋体" w:cs="宋体"/>
          <w:color w:val="auto"/>
          <w:sz w:val="24"/>
          <w:highlight w:val="none"/>
        </w:rPr>
        <w:t>％（质保金）给乙方（无息）。</w:t>
      </w:r>
    </w:p>
    <w:p>
      <w:pPr>
        <w:pStyle w:val="12"/>
        <w:spacing w:line="384" w:lineRule="auto"/>
        <w:ind w:firstLine="480" w:firstLineChars="200"/>
        <w:outlineLvl w:val="1"/>
        <w:rPr>
          <w:rFonts w:hAnsi="宋体" w:cs="宋体"/>
          <w:color w:val="auto"/>
          <w:sz w:val="24"/>
          <w:szCs w:val="24"/>
          <w:highlight w:val="none"/>
        </w:rPr>
      </w:pPr>
      <w:r>
        <w:rPr>
          <w:rFonts w:hint="eastAsia" w:hAnsi="宋体" w:cs="宋体"/>
          <w:color w:val="auto"/>
          <w:sz w:val="24"/>
          <w:szCs w:val="24"/>
          <w:highlight w:val="none"/>
        </w:rPr>
        <w:t>8.2.3本项目工程款的支付单位为：</w:t>
      </w:r>
      <w:r>
        <w:rPr>
          <w:rFonts w:hint="eastAsia" w:hAnsi="宋体" w:cs="宋体"/>
          <w:color w:val="auto"/>
          <w:sz w:val="24"/>
          <w:szCs w:val="24"/>
          <w:highlight w:val="none"/>
          <w:u w:val="single"/>
        </w:rPr>
        <w:t xml:space="preserve"> 广州市净水有限公司石井净水分公司 </w:t>
      </w:r>
    </w:p>
    <w:p>
      <w:pPr>
        <w:spacing w:line="384" w:lineRule="auto"/>
        <w:ind w:firstLine="480" w:firstLineChars="200"/>
        <w:rPr>
          <w:rFonts w:ascii="宋体" w:hAnsi="宋体" w:cs="宋体"/>
          <w:color w:val="auto"/>
          <w:sz w:val="24"/>
          <w:highlight w:val="none"/>
          <w:u w:val="single"/>
        </w:rPr>
      </w:pPr>
      <w:r>
        <w:rPr>
          <w:rFonts w:ascii="宋体" w:hAnsi="宋体" w:cs="宋体"/>
          <w:color w:val="auto"/>
          <w:sz w:val="24"/>
          <w:highlight w:val="none"/>
        </w:rPr>
        <w:t>8.3</w:t>
      </w:r>
      <w:r>
        <w:rPr>
          <w:rFonts w:hint="eastAsia" w:ascii="宋体" w:hAnsi="宋体" w:cs="宋体"/>
          <w:color w:val="auto"/>
          <w:sz w:val="24"/>
          <w:highlight w:val="none"/>
        </w:rPr>
        <w:t>乙方收款账户：</w:t>
      </w:r>
      <w:r>
        <w:rPr>
          <w:rFonts w:hint="eastAsia" w:ascii="宋体" w:hAnsi="宋体" w:cs="宋体"/>
          <w:color w:val="auto"/>
          <w:sz w:val="24"/>
          <w:highlight w:val="none"/>
          <w:u w:val="single"/>
        </w:rPr>
        <w:t>…；</w:t>
      </w:r>
    </w:p>
    <w:p>
      <w:pPr>
        <w:spacing w:line="384"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收款账号：</w:t>
      </w:r>
      <w:r>
        <w:rPr>
          <w:rFonts w:hint="eastAsia" w:ascii="宋体" w:hAnsi="宋体" w:cs="宋体"/>
          <w:color w:val="auto"/>
          <w:sz w:val="24"/>
          <w:highlight w:val="none"/>
          <w:u w:val="single"/>
        </w:rPr>
        <w:t>…；</w:t>
      </w:r>
    </w:p>
    <w:p>
      <w:pPr>
        <w:spacing w:line="384"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开户行：</w:t>
      </w:r>
      <w:r>
        <w:rPr>
          <w:rFonts w:hint="eastAsia" w:ascii="宋体" w:hAnsi="宋体" w:cs="宋体"/>
          <w:color w:val="auto"/>
          <w:sz w:val="24"/>
          <w:highlight w:val="none"/>
          <w:u w:val="single"/>
        </w:rPr>
        <w:t>…；</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8.4</w:t>
      </w:r>
      <w:r>
        <w:rPr>
          <w:rFonts w:hint="eastAsia" w:ascii="宋体" w:hAnsi="宋体" w:cs="宋体"/>
          <w:color w:val="auto"/>
          <w:sz w:val="24"/>
          <w:highlight w:val="none"/>
        </w:rPr>
        <w:t>乙方在收款前需提交等额增值税专用发票给甲方。增值税专用发票信息：</w:t>
      </w:r>
    </w:p>
    <w:p>
      <w:pPr>
        <w:spacing w:line="50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名称：</w:t>
      </w:r>
      <w:r>
        <w:rPr>
          <w:rFonts w:hint="eastAsia" w:ascii="宋体" w:hAnsi="宋体" w:cs="宋体"/>
          <w:color w:val="auto"/>
          <w:sz w:val="24"/>
          <w:highlight w:val="none"/>
          <w:u w:val="single"/>
        </w:rPr>
        <w:t xml:space="preserve"> 广州市净水有限公司 </w:t>
      </w:r>
    </w:p>
    <w:p>
      <w:pPr>
        <w:spacing w:line="50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税号：</w:t>
      </w:r>
      <w:r>
        <w:rPr>
          <w:rFonts w:hint="eastAsia" w:ascii="宋体" w:hAnsi="宋体" w:cs="宋体"/>
          <w:color w:val="auto"/>
          <w:sz w:val="24"/>
          <w:highlight w:val="none"/>
          <w:u w:val="single"/>
        </w:rPr>
        <w:t xml:space="preserve"> 9144010755584729Q  </w:t>
      </w:r>
    </w:p>
    <w:p>
      <w:pPr>
        <w:spacing w:line="50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地址：</w:t>
      </w:r>
      <w:r>
        <w:rPr>
          <w:rFonts w:hint="eastAsia" w:ascii="宋体" w:hAnsi="宋体" w:cs="宋体"/>
          <w:color w:val="auto"/>
          <w:sz w:val="24"/>
          <w:highlight w:val="none"/>
          <w:u w:val="single"/>
        </w:rPr>
        <w:t xml:space="preserve"> 广州市天河区临江大道501号,020-38890283    </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专用发票信息：</w:t>
      </w:r>
      <w:r>
        <w:rPr>
          <w:rFonts w:hint="eastAsia" w:ascii="宋体" w:hAnsi="宋体" w:cs="宋体"/>
          <w:color w:val="auto"/>
          <w:sz w:val="24"/>
          <w:highlight w:val="none"/>
          <w:u w:val="single"/>
        </w:rPr>
        <w:t xml:space="preserve"> 民生银行广州分行0301014140006932   </w:t>
      </w:r>
    </w:p>
    <w:p>
      <w:pPr>
        <w:spacing w:line="384" w:lineRule="auto"/>
        <w:ind w:firstLine="480" w:firstLineChars="200"/>
        <w:outlineLvl w:val="0"/>
        <w:rPr>
          <w:rFonts w:ascii="宋体" w:hAnsi="宋体" w:cs="宋体"/>
          <w:color w:val="auto"/>
          <w:sz w:val="24"/>
          <w:highlight w:val="none"/>
        </w:rPr>
      </w:pPr>
      <w:r>
        <w:rPr>
          <w:rFonts w:ascii="宋体" w:hAnsi="宋体" w:cs="宋体"/>
          <w:color w:val="auto"/>
          <w:sz w:val="24"/>
          <w:highlight w:val="none"/>
        </w:rPr>
        <w:t>8.5</w:t>
      </w:r>
      <w:r>
        <w:rPr>
          <w:rFonts w:hint="eastAsia" w:ascii="宋体" w:hAnsi="宋体" w:cs="宋体"/>
          <w:color w:val="auto"/>
          <w:sz w:val="24"/>
          <w:highlight w:val="none"/>
        </w:rPr>
        <w:t>履约担保：</w:t>
      </w:r>
      <w:r>
        <w:rPr>
          <w:rFonts w:hint="eastAsia" w:ascii="宋体" w:hAnsi="宋体" w:cs="宋体"/>
          <w:color w:val="auto"/>
          <w:szCs w:val="21"/>
          <w:highlight w:val="none"/>
        </w:rPr>
        <w:t>□</w:t>
      </w:r>
      <w:r>
        <w:rPr>
          <w:rFonts w:hint="eastAsia" w:ascii="宋体" w:hAnsi="宋体" w:cs="宋体"/>
          <w:bCs/>
          <w:color w:val="auto"/>
          <w:sz w:val="24"/>
          <w:highlight w:val="none"/>
        </w:rPr>
        <w:t>无；</w:t>
      </w:r>
      <w:r>
        <w:rPr>
          <w:rFonts w:hint="eastAsia" w:ascii="宋体" w:hAnsi="宋体" w:cs="宋体"/>
          <w:color w:val="auto"/>
          <w:szCs w:val="21"/>
          <w:highlight w:val="none"/>
        </w:rPr>
        <w:sym w:font="Wingdings 2" w:char="0052"/>
      </w:r>
      <w:r>
        <w:rPr>
          <w:rFonts w:hint="eastAsia" w:ascii="宋体" w:hAnsi="宋体" w:cs="宋体"/>
          <w:color w:val="auto"/>
          <w:szCs w:val="21"/>
          <w:highlight w:val="none"/>
        </w:rPr>
        <w:t>有,</w:t>
      </w:r>
      <w:r>
        <w:rPr>
          <w:rFonts w:hint="eastAsia" w:ascii="宋体" w:hAnsi="宋体" w:cs="宋体"/>
          <w:color w:val="auto"/>
          <w:sz w:val="24"/>
          <w:highlight w:val="none"/>
        </w:rPr>
        <w:t>本合同签订后</w:t>
      </w:r>
      <w:r>
        <w:rPr>
          <w:rFonts w:ascii="宋体" w:hAnsi="宋体" w:cs="宋体"/>
          <w:color w:val="auto"/>
          <w:sz w:val="24"/>
          <w:highlight w:val="none"/>
        </w:rPr>
        <w:t>10</w:t>
      </w:r>
      <w:r>
        <w:rPr>
          <w:rFonts w:hint="eastAsia" w:ascii="宋体" w:hAnsi="宋体" w:cs="宋体"/>
          <w:color w:val="auto"/>
          <w:sz w:val="24"/>
          <w:highlight w:val="none"/>
        </w:rPr>
        <w:t>日内</w:t>
      </w:r>
      <w:r>
        <w:rPr>
          <w:rFonts w:hint="eastAsia" w:ascii="宋体" w:hAnsi="宋体" w:cs="宋体"/>
          <w:color w:val="auto"/>
          <w:sz w:val="24"/>
          <w:highlight w:val="none"/>
          <w:u w:val="single"/>
        </w:rPr>
        <w:t>以合同暂定总价的</w:t>
      </w:r>
      <w:r>
        <w:rPr>
          <w:rFonts w:ascii="宋体" w:hAnsi="宋体" w:cs="宋体"/>
          <w:color w:val="auto"/>
          <w:sz w:val="24"/>
          <w:highlight w:val="none"/>
          <w:u w:val="single"/>
        </w:rPr>
        <w:t>10%</w:t>
      </w:r>
      <w:r>
        <w:rPr>
          <w:rFonts w:hint="eastAsia" w:ascii="宋体" w:hAnsi="宋体" w:cs="宋体"/>
          <w:color w:val="auto"/>
          <w:sz w:val="24"/>
          <w:highlight w:val="none"/>
          <w:u w:val="single"/>
        </w:rPr>
        <w:t>作为履约保证金，</w:t>
      </w:r>
      <w:r>
        <w:rPr>
          <w:rFonts w:hint="eastAsia" w:ascii="宋体" w:hAnsi="宋体" w:cs="宋体"/>
          <w:color w:val="auto"/>
          <w:sz w:val="24"/>
          <w:highlight w:val="none"/>
        </w:rPr>
        <w:t>金额为：…</w:t>
      </w:r>
      <w:r>
        <w:rPr>
          <w:rFonts w:hint="eastAsia" w:ascii="宋体" w:hAnsi="宋体" w:cs="宋体"/>
          <w:color w:val="auto"/>
          <w:sz w:val="24"/>
          <w:highlight w:val="none"/>
          <w:u w:val="single"/>
        </w:rPr>
        <w:t>（大写人民币：…），</w:t>
      </w:r>
      <w:r>
        <w:rPr>
          <w:rFonts w:hint="eastAsia" w:ascii="宋体" w:hAnsi="宋体" w:cs="宋体"/>
          <w:color w:val="auto"/>
          <w:sz w:val="24"/>
          <w:highlight w:val="none"/>
        </w:rPr>
        <w:t>未按时提供的，甲方有权解除合同并要求乙方支付</w:t>
      </w:r>
      <w:r>
        <w:rPr>
          <w:rFonts w:hint="eastAsia" w:ascii="宋体" w:hAnsi="宋体" w:cs="宋体"/>
          <w:color w:val="auto"/>
          <w:sz w:val="24"/>
          <w:highlight w:val="none"/>
          <w:u w:val="single"/>
        </w:rPr>
        <w:t>合同暂定总价</w:t>
      </w:r>
      <w:r>
        <w:rPr>
          <w:rFonts w:ascii="宋体" w:hAnsi="宋体" w:cs="宋体"/>
          <w:color w:val="auto"/>
          <w:sz w:val="24"/>
          <w:highlight w:val="none"/>
          <w:u w:val="single"/>
        </w:rPr>
        <w:t>20%</w:t>
      </w:r>
      <w:r>
        <w:rPr>
          <w:rFonts w:hint="eastAsia" w:ascii="宋体" w:hAnsi="宋体" w:cs="宋体"/>
          <w:color w:val="auto"/>
          <w:sz w:val="24"/>
          <w:highlight w:val="none"/>
        </w:rPr>
        <w:t>作为违约金。</w:t>
      </w:r>
    </w:p>
    <w:p>
      <w:pPr>
        <w:pStyle w:val="21"/>
        <w:spacing w:before="0" w:beforeAutospacing="0" w:after="0" w:afterAutospacing="0" w:line="384" w:lineRule="auto"/>
        <w:ind w:firstLine="480" w:firstLineChars="200"/>
        <w:rPr>
          <w:color w:val="auto"/>
          <w:highlight w:val="none"/>
        </w:rPr>
      </w:pPr>
      <w:r>
        <w:rPr>
          <w:rFonts w:cs="宋体"/>
          <w:color w:val="auto"/>
          <w:highlight w:val="none"/>
        </w:rPr>
        <w:t>8.5.1</w:t>
      </w:r>
      <w:r>
        <w:rPr>
          <w:color w:val="auto"/>
          <w:highlight w:val="none"/>
        </w:rPr>
        <w:t>履约担保</w:t>
      </w:r>
      <w:r>
        <w:rPr>
          <w:rFonts w:hint="eastAsia"/>
          <w:color w:val="auto"/>
          <w:highlight w:val="none"/>
        </w:rPr>
        <w:t>按以下任一种形式提供</w:t>
      </w:r>
      <w:r>
        <w:rPr>
          <w:color w:val="auto"/>
          <w:highlight w:val="none"/>
        </w:rPr>
        <w:t>：</w:t>
      </w:r>
    </w:p>
    <w:p>
      <w:pPr>
        <w:pStyle w:val="21"/>
        <w:spacing w:before="0" w:beforeAutospacing="0" w:after="0" w:afterAutospacing="0" w:line="360" w:lineRule="auto"/>
        <w:ind w:firstLine="480"/>
        <w:rPr>
          <w:color w:val="auto"/>
          <w:highlight w:val="none"/>
        </w:rPr>
      </w:pPr>
      <w:r>
        <w:rPr>
          <w:rFonts w:hint="eastAsia"/>
          <w:color w:val="auto"/>
          <w:highlight w:val="none"/>
        </w:rPr>
        <w:t>（1）符合甲方要求（详见附件7保函格式）的银行独立保函，</w:t>
      </w:r>
    </w:p>
    <w:p>
      <w:pPr>
        <w:pStyle w:val="21"/>
        <w:spacing w:before="0" w:beforeAutospacing="0" w:after="0" w:afterAutospacing="0" w:line="360" w:lineRule="auto"/>
        <w:ind w:firstLine="480"/>
        <w:rPr>
          <w:color w:val="auto"/>
          <w:highlight w:val="none"/>
        </w:rPr>
      </w:pPr>
      <w:r>
        <w:rPr>
          <w:rFonts w:hint="eastAsia"/>
          <w:color w:val="auto"/>
          <w:highlight w:val="none"/>
        </w:rPr>
        <w:t>（2）现金转账至甲方以下指定账户：</w:t>
      </w:r>
    </w:p>
    <w:p>
      <w:pPr>
        <w:tabs>
          <w:tab w:val="left" w:pos="1995"/>
        </w:tabs>
        <w:spacing w:line="384"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户名：广州市净水有限公司</w:t>
      </w:r>
    </w:p>
    <w:p>
      <w:pPr>
        <w:tabs>
          <w:tab w:val="left" w:pos="1995"/>
        </w:tabs>
        <w:spacing w:line="384"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账号：</w:t>
      </w:r>
      <w:r>
        <w:rPr>
          <w:rFonts w:ascii="宋体" w:hAnsi="宋体" w:cs="宋体"/>
          <w:bCs/>
          <w:color w:val="auto"/>
          <w:sz w:val="24"/>
          <w:highlight w:val="none"/>
        </w:rPr>
        <w:t>82010154900000342</w:t>
      </w:r>
    </w:p>
    <w:p>
      <w:pPr>
        <w:tabs>
          <w:tab w:val="left" w:pos="1995"/>
        </w:tabs>
        <w:spacing w:line="384"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开户行：浦发银行广州分行</w:t>
      </w:r>
    </w:p>
    <w:p>
      <w:pPr>
        <w:spacing w:line="384" w:lineRule="auto"/>
        <w:ind w:firstLine="480" w:firstLineChars="200"/>
        <w:outlineLvl w:val="0"/>
        <w:rPr>
          <w:rFonts w:ascii="宋体" w:hAnsi="宋体" w:cs="宋体"/>
          <w:color w:val="auto"/>
          <w:sz w:val="24"/>
          <w:highlight w:val="none"/>
        </w:rPr>
      </w:pPr>
      <w:r>
        <w:rPr>
          <w:rFonts w:ascii="宋体" w:hAnsi="宋体" w:cs="宋体"/>
          <w:color w:val="auto"/>
          <w:sz w:val="24"/>
          <w:highlight w:val="none"/>
        </w:rPr>
        <w:t>8.5.2</w:t>
      </w:r>
      <w:r>
        <w:rPr>
          <w:rFonts w:hint="eastAsia" w:ascii="宋体" w:hAnsi="宋体" w:cs="宋体"/>
          <w:color w:val="auto"/>
          <w:sz w:val="24"/>
          <w:highlight w:val="none"/>
        </w:rPr>
        <w:t>履约担保的担保期限和返还</w:t>
      </w:r>
    </w:p>
    <w:p>
      <w:pPr>
        <w:spacing w:line="384" w:lineRule="auto"/>
        <w:ind w:firstLine="480"/>
        <w:outlineLvl w:val="0"/>
        <w:rPr>
          <w:rFonts w:ascii="宋体" w:hAnsi="宋体" w:cs="宋体"/>
          <w:color w:val="auto"/>
          <w:sz w:val="24"/>
          <w:highlight w:val="none"/>
        </w:rPr>
      </w:pPr>
      <w:r>
        <w:rPr>
          <w:rFonts w:hint="eastAsia" w:ascii="宋体" w:hAnsi="宋体" w:cs="宋体"/>
          <w:color w:val="auto"/>
          <w:sz w:val="24"/>
          <w:highlight w:val="none"/>
        </w:rPr>
        <w:t>⑴履约银行保函（或现金履约保证金）的担保期限：从提供履约担保（或转账成功）之日起至合同履行完成。</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⑵履约银行保函在合同履行完成后，由乙方提出申请，甲方在28日内返还，不支付利息：</w:t>
      </w:r>
    </w:p>
    <w:p>
      <w:pPr>
        <w:spacing w:line="384" w:lineRule="auto"/>
        <w:ind w:firstLine="600" w:firstLineChars="250"/>
        <w:outlineLvl w:val="0"/>
        <w:rPr>
          <w:rFonts w:ascii="宋体" w:hAnsi="宋体" w:cs="宋体"/>
          <w:color w:val="auto"/>
          <w:sz w:val="24"/>
          <w:highlight w:val="none"/>
        </w:rPr>
      </w:pPr>
      <w:r>
        <w:rPr>
          <w:rFonts w:hint="eastAsia" w:ascii="宋体" w:hAnsi="宋体" w:cs="宋体"/>
          <w:color w:val="auto"/>
          <w:sz w:val="24"/>
          <w:highlight w:val="none"/>
        </w:rPr>
        <w:t>⑶延长担保期限。乙方以履约银行保函形式提交履约保证金的，在银行保函到期前，乙方应提前</w:t>
      </w:r>
      <w:r>
        <w:rPr>
          <w:rFonts w:ascii="宋体" w:hAnsi="宋体" w:cs="宋体"/>
          <w:color w:val="auto"/>
          <w:sz w:val="24"/>
          <w:highlight w:val="none"/>
          <w:u w:val="single"/>
        </w:rPr>
        <w:t xml:space="preserve"> 7 </w:t>
      </w:r>
      <w:r>
        <w:rPr>
          <w:rFonts w:hint="eastAsia" w:ascii="宋体" w:hAnsi="宋体" w:cs="宋体"/>
          <w:color w:val="auto"/>
          <w:sz w:val="24"/>
          <w:highlight w:val="none"/>
        </w:rPr>
        <w:t>日向甲方提交新的保函以替换即将到期的保函。如乙方未及时提交的，甲方有权直接要求担保银行支付其担保的全部金额并解除合同。</w:t>
      </w:r>
    </w:p>
    <w:p>
      <w:pPr>
        <w:pStyle w:val="21"/>
        <w:spacing w:before="0" w:beforeAutospacing="0" w:after="0" w:afterAutospacing="0" w:line="384" w:lineRule="auto"/>
        <w:ind w:left="199" w:leftChars="95" w:firstLine="360" w:firstLineChars="150"/>
        <w:rPr>
          <w:rFonts w:cs="宋体"/>
          <w:color w:val="auto"/>
          <w:highlight w:val="none"/>
          <w:u w:val="single"/>
        </w:rPr>
      </w:pPr>
      <w:r>
        <w:rPr>
          <w:rFonts w:hint="eastAsia" w:cs="宋体"/>
          <w:color w:val="auto"/>
          <w:highlight w:val="none"/>
        </w:rPr>
        <w:t>（</w:t>
      </w:r>
      <w:r>
        <w:rPr>
          <w:rFonts w:cs="宋体"/>
          <w:color w:val="auto"/>
          <w:highlight w:val="none"/>
        </w:rPr>
        <w:t>4</w:t>
      </w:r>
      <w:r>
        <w:rPr>
          <w:rFonts w:hint="eastAsia" w:cs="宋体"/>
          <w:color w:val="auto"/>
          <w:highlight w:val="none"/>
        </w:rPr>
        <w:t>）现金履约保证金的退还：合同履行完成后，由乙方提出申请，甲方在</w:t>
      </w:r>
      <w:r>
        <w:rPr>
          <w:rFonts w:hint="eastAsia" w:cs="宋体"/>
          <w:color w:val="auto"/>
          <w:highlight w:val="none"/>
          <w:u w:val="single"/>
        </w:rPr>
        <w:t>28日</w:t>
      </w:r>
      <w:r>
        <w:rPr>
          <w:rFonts w:hint="eastAsia" w:cs="宋体"/>
          <w:color w:val="auto"/>
          <w:highlight w:val="none"/>
        </w:rPr>
        <w:t>内将剩余保证金（无息）返还。</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8.5.3</w:t>
      </w:r>
      <w:r>
        <w:rPr>
          <w:rFonts w:hint="eastAsia" w:ascii="宋体" w:hAnsi="宋体" w:cs="宋体"/>
          <w:color w:val="auto"/>
          <w:sz w:val="24"/>
          <w:highlight w:val="none"/>
        </w:rPr>
        <w:t>甲方按本合同规定提取履约担保金额后，乙方应在收到甲方通知后</w:t>
      </w:r>
    </w:p>
    <w:p>
      <w:pPr>
        <w:spacing w:line="384" w:lineRule="auto"/>
        <w:rPr>
          <w:rFonts w:ascii="宋体" w:hAnsi="宋体" w:cs="宋体"/>
          <w:color w:val="auto"/>
          <w:sz w:val="24"/>
          <w:highlight w:val="none"/>
        </w:rPr>
      </w:pPr>
      <w:r>
        <w:rPr>
          <w:rFonts w:ascii="宋体" w:hAnsi="宋体" w:cs="宋体"/>
          <w:color w:val="auto"/>
          <w:sz w:val="24"/>
          <w:highlight w:val="none"/>
          <w:u w:val="single"/>
        </w:rPr>
        <w:t xml:space="preserve">  7  </w:t>
      </w:r>
      <w:r>
        <w:rPr>
          <w:rFonts w:hint="eastAsia" w:ascii="宋体" w:hAnsi="宋体" w:cs="宋体"/>
          <w:color w:val="auto"/>
          <w:sz w:val="24"/>
          <w:highlight w:val="none"/>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asciiTheme="minorEastAsia" w:hAnsiTheme="minorEastAsia" w:cstheme="minorEastAsia"/>
          <w:bCs/>
          <w:color w:val="auto"/>
          <w:sz w:val="24"/>
          <w:highlight w:val="none"/>
          <w:bdr w:val="single" w:color="auto" w:sz="4" w:space="0"/>
        </w:rPr>
      </w:pPr>
      <w:r>
        <w:rPr>
          <w:rFonts w:hAnsi="宋体" w:cs="宋体"/>
          <w:color w:val="auto"/>
          <w:sz w:val="24"/>
          <w:highlight w:val="none"/>
        </w:rPr>
        <w:t>8.6</w:t>
      </w:r>
      <w:r>
        <w:rPr>
          <w:rFonts w:hint="eastAsia" w:asciiTheme="minorEastAsia" w:hAnsiTheme="minorEastAsia" w:cstheme="minorEastAsia"/>
          <w:color w:val="auto"/>
          <w:sz w:val="24"/>
          <w:highlight w:val="none"/>
        </w:rPr>
        <w:t>付款方式： .</w:t>
      </w:r>
      <w:r>
        <w:rPr>
          <w:rFonts w:hint="eastAsia" w:asciiTheme="minorEastAsia" w:hAnsiTheme="minorEastAsia" w:cstheme="minorEastAsia"/>
          <w:color w:val="auto"/>
          <w:sz w:val="24"/>
          <w:highlight w:val="none"/>
        </w:rPr>
        <w:sym w:font="Wingdings" w:char="00FE"/>
      </w:r>
      <w:r>
        <w:rPr>
          <w:rFonts w:hint="eastAsia" w:asciiTheme="minorEastAsia" w:hAnsiTheme="minorEastAsia" w:cstheme="minorEastAsia"/>
          <w:color w:val="auto"/>
          <w:sz w:val="24"/>
          <w:highlight w:val="none"/>
        </w:rPr>
        <w:t xml:space="preserve">网银支付；  </w:t>
      </w:r>
      <w:r>
        <w:rPr>
          <w:rFonts w:hint="eastAsia" w:asciiTheme="minorEastAsia" w:hAnsiTheme="minorEastAsia" w:cstheme="minorEastAsia"/>
          <w:color w:val="auto"/>
          <w:sz w:val="24"/>
          <w:highlight w:val="none"/>
        </w:rPr>
        <w:sym w:font="Wingdings" w:char="00A8"/>
      </w:r>
      <w:r>
        <w:rPr>
          <w:rFonts w:hint="eastAsia" w:asciiTheme="minorEastAsia" w:hAnsiTheme="minorEastAsia" w:cstheme="minorEastAsia"/>
          <w:color w:val="auto"/>
          <w:sz w:val="24"/>
          <w:highlight w:val="none"/>
        </w:rPr>
        <w:t xml:space="preserve">支票；   </w:t>
      </w:r>
      <w:r>
        <w:rPr>
          <w:rFonts w:hint="eastAsia" w:asciiTheme="minorEastAsia" w:hAnsiTheme="minorEastAsia" w:cstheme="minorEastAsia"/>
          <w:color w:val="auto"/>
          <w:sz w:val="24"/>
          <w:highlight w:val="none"/>
        </w:rPr>
        <w:sym w:font="Wingdings" w:char="00A8"/>
      </w:r>
      <w:r>
        <w:rPr>
          <w:rFonts w:hint="eastAsia" w:asciiTheme="minorEastAsia" w:hAnsiTheme="minorEastAsia" w:cstheme="minorEastAsia"/>
          <w:color w:val="auto"/>
          <w:sz w:val="24"/>
          <w:highlight w:val="none"/>
        </w:rPr>
        <w:t>其他：</w:t>
      </w:r>
    </w:p>
    <w:p>
      <w:pPr>
        <w:pStyle w:val="12"/>
        <w:spacing w:line="384" w:lineRule="auto"/>
        <w:ind w:firstLine="720" w:firstLineChars="300"/>
        <w:outlineLvl w:val="1"/>
        <w:rPr>
          <w:rFonts w:hAnsi="宋体" w:cs="宋体"/>
          <w:color w:val="auto"/>
          <w:sz w:val="24"/>
          <w:szCs w:val="24"/>
          <w:highlight w:val="none"/>
        </w:rPr>
      </w:pPr>
      <w:r>
        <w:rPr>
          <w:rFonts w:hint="eastAsia" w:hAnsi="宋体" w:cs="宋体"/>
          <w:color w:val="auto"/>
          <w:sz w:val="24"/>
          <w:szCs w:val="24"/>
          <w:highlight w:val="none"/>
        </w:rPr>
        <w:t>（建议采用网银支付</w:t>
      </w:r>
      <w:r>
        <w:rPr>
          <w:rFonts w:hint="eastAsia" w:hAnsi="宋体" w:cs="宋体"/>
          <w:color w:val="auto"/>
          <w:sz w:val="24"/>
          <w:highlight w:val="none"/>
        </w:rPr>
        <w:t>、</w:t>
      </w:r>
      <w:r>
        <w:rPr>
          <w:rFonts w:hint="eastAsia" w:hAnsi="宋体" w:cs="宋体"/>
          <w:color w:val="auto"/>
          <w:sz w:val="24"/>
          <w:szCs w:val="24"/>
          <w:highlight w:val="none"/>
        </w:rPr>
        <w:t>支票两种形式</w:t>
      </w:r>
      <w:r>
        <w:rPr>
          <w:rFonts w:hint="eastAsia" w:hAnsi="宋体" w:cs="宋体"/>
          <w:color w:val="auto"/>
          <w:sz w:val="24"/>
          <w:highlight w:val="none"/>
        </w:rPr>
        <w:t>中之一</w:t>
      </w:r>
      <w:r>
        <w:rPr>
          <w:rFonts w:hint="eastAsia" w:hAnsi="宋体" w:cs="宋体"/>
          <w:color w:val="auto"/>
          <w:sz w:val="24"/>
          <w:szCs w:val="24"/>
          <w:highlight w:val="none"/>
        </w:rPr>
        <w:t>）。</w:t>
      </w:r>
    </w:p>
    <w:p>
      <w:pPr>
        <w:spacing w:line="384"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第九条竣工验收</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9.1</w:t>
      </w:r>
      <w:r>
        <w:rPr>
          <w:rFonts w:hint="eastAsia" w:ascii="宋体" w:hAnsi="宋体" w:cs="宋体"/>
          <w:color w:val="auto"/>
          <w:sz w:val="24"/>
          <w:highlight w:val="none"/>
        </w:rPr>
        <w:t>乙方应在工程完工后</w:t>
      </w:r>
      <w:r>
        <w:rPr>
          <w:rFonts w:ascii="宋体" w:hAnsi="宋体" w:cs="宋体"/>
          <w:color w:val="auto"/>
          <w:sz w:val="24"/>
          <w:highlight w:val="none"/>
        </w:rPr>
        <w:t>30</w:t>
      </w:r>
      <w:r>
        <w:rPr>
          <w:rFonts w:hint="eastAsia" w:ascii="宋体" w:hAnsi="宋体" w:cs="宋体"/>
          <w:color w:val="auto"/>
          <w:sz w:val="24"/>
          <w:highlight w:val="none"/>
        </w:rPr>
        <w:t>天内将经甲方审核的完整竣工资料（含竣工图）和竣工验收报告各</w:t>
      </w:r>
      <w:r>
        <w:rPr>
          <w:rFonts w:hint="eastAsia" w:ascii="宋体" w:hAnsi="宋体" w:cs="宋体"/>
          <w:color w:val="auto"/>
          <w:sz w:val="24"/>
          <w:highlight w:val="none"/>
          <w:u w:val="single"/>
        </w:rPr>
        <w:t>一式四份</w:t>
      </w:r>
      <w:r>
        <w:rPr>
          <w:rFonts w:hint="eastAsia" w:ascii="宋体" w:hAnsi="宋体" w:cs="宋体"/>
          <w:color w:val="auto"/>
          <w:sz w:val="24"/>
          <w:highlight w:val="none"/>
        </w:rPr>
        <w:t>交甲方，不按时报送工程竣工资料的，每逾期一天，甲方要求乙方支付</w:t>
      </w:r>
      <w:r>
        <w:rPr>
          <w:rFonts w:hint="eastAsia" w:ascii="宋体" w:hAnsi="宋体" w:cs="宋体"/>
          <w:color w:val="auto"/>
          <w:sz w:val="24"/>
          <w:highlight w:val="none"/>
          <w:u w:val="single"/>
        </w:rPr>
        <w:t>合同暂定总价</w:t>
      </w:r>
      <w:r>
        <w:rPr>
          <w:rFonts w:hint="eastAsia" w:ascii="宋体" w:hAnsi="宋体" w:cs="宋体"/>
          <w:bCs/>
          <w:color w:val="auto"/>
          <w:sz w:val="24"/>
          <w:highlight w:val="none"/>
          <w:u w:val="single"/>
        </w:rPr>
        <w:t>万分之五</w:t>
      </w:r>
      <w:r>
        <w:rPr>
          <w:rFonts w:ascii="宋体" w:hAnsi="宋体" w:cs="宋体"/>
          <w:bCs/>
          <w:color w:val="auto"/>
          <w:sz w:val="24"/>
          <w:highlight w:val="none"/>
          <w:u w:val="single"/>
        </w:rPr>
        <w:t>/</w:t>
      </w:r>
      <w:r>
        <w:rPr>
          <w:rFonts w:hint="eastAsia" w:ascii="宋体" w:hAnsi="宋体" w:cs="宋体"/>
          <w:bCs/>
          <w:color w:val="auto"/>
          <w:sz w:val="24"/>
          <w:highlight w:val="none"/>
          <w:u w:val="single"/>
        </w:rPr>
        <w:t>天</w:t>
      </w:r>
      <w:r>
        <w:rPr>
          <w:rFonts w:hint="eastAsia" w:ascii="宋体" w:hAnsi="宋体" w:cs="宋体"/>
          <w:color w:val="auto"/>
          <w:sz w:val="24"/>
          <w:highlight w:val="none"/>
        </w:rPr>
        <w:t>，并在支付合同款时抵扣。</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9.2</w:t>
      </w:r>
      <w:r>
        <w:rPr>
          <w:rFonts w:hint="eastAsia" w:ascii="宋体" w:hAnsi="宋体" w:cs="宋体"/>
          <w:color w:val="auto"/>
          <w:sz w:val="24"/>
          <w:highlight w:val="none"/>
        </w:rPr>
        <w:t>甲方收到完整的竣工验收资料（完整的竣工验收资料：施工方案、开工</w:t>
      </w:r>
      <w:r>
        <w:rPr>
          <w:rFonts w:ascii="宋体" w:hAnsi="宋体" w:cs="宋体"/>
          <w:color w:val="auto"/>
          <w:sz w:val="24"/>
          <w:highlight w:val="none"/>
        </w:rPr>
        <w:t>/</w:t>
      </w:r>
      <w:r>
        <w:rPr>
          <w:rFonts w:hint="eastAsia" w:ascii="宋体" w:hAnsi="宋体" w:cs="宋体"/>
          <w:color w:val="auto"/>
          <w:sz w:val="24"/>
          <w:highlight w:val="none"/>
        </w:rPr>
        <w:t>竣工报告、安全备案整套资料、本合同书、询价文件</w:t>
      </w:r>
      <w:r>
        <w:rPr>
          <w:rFonts w:ascii="宋体" w:hAnsi="宋体" w:cs="宋体"/>
          <w:color w:val="auto"/>
          <w:sz w:val="24"/>
          <w:highlight w:val="none"/>
        </w:rPr>
        <w:t>/</w:t>
      </w:r>
      <w:r>
        <w:rPr>
          <w:rFonts w:hint="eastAsia" w:ascii="宋体" w:hAnsi="宋体" w:cs="宋体"/>
          <w:color w:val="auto"/>
          <w:sz w:val="24"/>
          <w:highlight w:val="none"/>
        </w:rPr>
        <w:t>响应文件、中标通知书</w:t>
      </w:r>
      <w:r>
        <w:rPr>
          <w:rFonts w:ascii="宋体" w:hAnsi="宋体" w:cs="宋体"/>
          <w:color w:val="auto"/>
          <w:sz w:val="24"/>
          <w:highlight w:val="none"/>
        </w:rPr>
        <w:t>/</w:t>
      </w:r>
      <w:r>
        <w:rPr>
          <w:rFonts w:hint="eastAsia" w:ascii="宋体" w:hAnsi="宋体" w:cs="宋体"/>
          <w:color w:val="auto"/>
          <w:sz w:val="24"/>
          <w:highlight w:val="none"/>
        </w:rPr>
        <w:t>发包通知书</w:t>
      </w:r>
      <w:r>
        <w:rPr>
          <w:rFonts w:ascii="宋体" w:hAnsi="宋体" w:cs="宋体"/>
          <w:color w:val="auto"/>
          <w:sz w:val="24"/>
          <w:highlight w:val="none"/>
        </w:rPr>
        <w:t>/</w:t>
      </w:r>
      <w:r>
        <w:rPr>
          <w:rFonts w:hint="eastAsia" w:ascii="宋体" w:hAnsi="宋体" w:cs="宋体"/>
          <w:color w:val="auto"/>
          <w:sz w:val="24"/>
          <w:highlight w:val="none"/>
        </w:rPr>
        <w:t>委托书、工程预算送审报告、工程结算书</w:t>
      </w:r>
      <w:r>
        <w:rPr>
          <w:rFonts w:ascii="宋体" w:hAnsi="宋体" w:cs="宋体"/>
          <w:color w:val="auto"/>
          <w:sz w:val="24"/>
          <w:highlight w:val="none"/>
        </w:rPr>
        <w:t>/</w:t>
      </w:r>
      <w:r>
        <w:rPr>
          <w:rFonts w:hint="eastAsia" w:ascii="宋体" w:hAnsi="宋体" w:cs="宋体"/>
          <w:color w:val="auto"/>
          <w:sz w:val="24"/>
          <w:highlight w:val="none"/>
        </w:rPr>
        <w:t>签证记录、备件开箱记录表或送货单、竣工图等，如有必须提供）和竣工验收报告后</w:t>
      </w:r>
      <w:r>
        <w:rPr>
          <w:rFonts w:ascii="宋体" w:hAnsi="宋体" w:cs="宋体"/>
          <w:color w:val="auto"/>
          <w:sz w:val="24"/>
          <w:highlight w:val="none"/>
        </w:rPr>
        <w:t>20</w:t>
      </w:r>
      <w:r>
        <w:rPr>
          <w:rFonts w:hint="eastAsia" w:ascii="宋体" w:hAnsi="宋体" w:cs="宋体"/>
          <w:color w:val="auto"/>
          <w:sz w:val="24"/>
          <w:highlight w:val="none"/>
        </w:rPr>
        <w:t>天内组织有关单位进行验收，工程竣工验收严格按国家、省、市、部门有关文件执行，并在验收后</w:t>
      </w:r>
      <w:r>
        <w:rPr>
          <w:rFonts w:ascii="宋体" w:hAnsi="宋体" w:cs="宋体"/>
          <w:color w:val="auto"/>
          <w:sz w:val="24"/>
          <w:highlight w:val="none"/>
        </w:rPr>
        <w:t>10</w:t>
      </w:r>
      <w:r>
        <w:rPr>
          <w:rFonts w:hint="eastAsia" w:ascii="宋体" w:hAnsi="宋体" w:cs="宋体"/>
          <w:color w:val="auto"/>
          <w:sz w:val="24"/>
          <w:highlight w:val="none"/>
        </w:rPr>
        <w:t>天内给予认可或提出修改意见。乙方按要求修改，并承担修改的费用。</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9.3</w:t>
      </w:r>
      <w:r>
        <w:rPr>
          <w:rFonts w:hint="eastAsia" w:ascii="宋体" w:hAnsi="宋体" w:cs="宋体"/>
          <w:color w:val="auto"/>
          <w:sz w:val="24"/>
          <w:highlight w:val="none"/>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9.4</w:t>
      </w:r>
      <w:r>
        <w:rPr>
          <w:rFonts w:hint="eastAsia" w:ascii="宋体" w:hAnsi="宋体" w:cs="宋体"/>
          <w:color w:val="auto"/>
          <w:sz w:val="24"/>
          <w:highlight w:val="none"/>
        </w:rPr>
        <w:t>竣工档案的整理和移交</w:t>
      </w:r>
    </w:p>
    <w:p>
      <w:pPr>
        <w:spacing w:line="384" w:lineRule="auto"/>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a</w:t>
      </w:r>
      <w:r>
        <w:rPr>
          <w:rFonts w:hint="eastAsia" w:ascii="宋体" w:hAnsi="宋体" w:cs="宋体"/>
          <w:color w:val="auto"/>
          <w:sz w:val="24"/>
          <w:highlight w:val="none"/>
        </w:rPr>
        <w:t>）竣工文件资料、竣工图档案（原件）各一式四份；</w:t>
      </w:r>
    </w:p>
    <w:p>
      <w:pPr>
        <w:spacing w:line="384" w:lineRule="auto"/>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b</w:t>
      </w:r>
      <w:r>
        <w:rPr>
          <w:rFonts w:hint="eastAsia" w:ascii="宋体" w:hAnsi="宋体" w:cs="宋体"/>
          <w:color w:val="auto"/>
          <w:sz w:val="24"/>
          <w:highlight w:val="none"/>
        </w:rPr>
        <w:t>）与本款（</w:t>
      </w:r>
      <w:r>
        <w:rPr>
          <w:rFonts w:ascii="宋体" w:hAnsi="宋体" w:cs="宋体"/>
          <w:color w:val="auto"/>
          <w:sz w:val="24"/>
          <w:highlight w:val="none"/>
        </w:rPr>
        <w:t>a</w:t>
      </w:r>
      <w:r>
        <w:rPr>
          <w:rFonts w:hint="eastAsia" w:ascii="宋体" w:hAnsi="宋体" w:cs="宋体"/>
          <w:color w:val="auto"/>
          <w:sz w:val="24"/>
          <w:highlight w:val="none"/>
        </w:rPr>
        <w:t>）项内容相同的电子版档案一式二份；</w:t>
      </w:r>
    </w:p>
    <w:p>
      <w:pPr>
        <w:spacing w:line="384" w:lineRule="auto"/>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）乙方移交竣工档案的时限：乙方应于工程竣工验收后</w:t>
      </w:r>
      <w:r>
        <w:rPr>
          <w:rFonts w:ascii="宋体" w:hAnsi="宋体" w:cs="宋体"/>
          <w:color w:val="auto"/>
          <w:sz w:val="24"/>
          <w:highlight w:val="none"/>
        </w:rPr>
        <w:t>30</w:t>
      </w:r>
      <w:r>
        <w:rPr>
          <w:rFonts w:hint="eastAsia" w:ascii="宋体" w:hAnsi="宋体" w:cs="宋体"/>
          <w:color w:val="auto"/>
          <w:sz w:val="24"/>
          <w:highlight w:val="none"/>
        </w:rPr>
        <w:t>天内将竣工档案提交甲方签认。乙方应于甲方签认后</w:t>
      </w:r>
      <w:r>
        <w:rPr>
          <w:rFonts w:ascii="宋体" w:hAnsi="宋体" w:cs="宋体"/>
          <w:color w:val="auto"/>
          <w:sz w:val="24"/>
          <w:highlight w:val="none"/>
        </w:rPr>
        <w:t>10</w:t>
      </w:r>
      <w:r>
        <w:rPr>
          <w:rFonts w:hint="eastAsia" w:ascii="宋体" w:hAnsi="宋体" w:cs="宋体"/>
          <w:color w:val="auto"/>
          <w:sz w:val="24"/>
          <w:highlight w:val="none"/>
        </w:rPr>
        <w:t>天内将竣工档案移交给甲方归档并同时移交有关归档的证明文件。甲方经审查合格的，应在收到竣工档案后</w:t>
      </w:r>
      <w:r>
        <w:rPr>
          <w:rFonts w:ascii="宋体" w:hAnsi="宋体" w:cs="宋体"/>
          <w:color w:val="auto"/>
          <w:sz w:val="24"/>
          <w:highlight w:val="none"/>
        </w:rPr>
        <w:t>10</w:t>
      </w:r>
      <w:r>
        <w:rPr>
          <w:rFonts w:hint="eastAsia" w:ascii="宋体" w:hAnsi="宋体" w:cs="宋体"/>
          <w:color w:val="auto"/>
          <w:sz w:val="24"/>
          <w:highlight w:val="none"/>
        </w:rPr>
        <w:t>天内签署档案验收意见；不合格的，乙方应按甲方要求限期补正，直至合格为止。乙方超过本条规定的时限，每逾期一天支付</w:t>
      </w:r>
      <w:r>
        <w:rPr>
          <w:rFonts w:hint="eastAsia" w:ascii="宋体" w:hAnsi="宋体" w:cs="宋体"/>
          <w:color w:val="auto"/>
          <w:sz w:val="24"/>
          <w:highlight w:val="none"/>
          <w:u w:val="single"/>
        </w:rPr>
        <w:t>合同暂定总价</w:t>
      </w:r>
      <w:r>
        <w:rPr>
          <w:rFonts w:hint="eastAsia" w:ascii="宋体" w:hAnsi="宋体" w:cs="宋体"/>
          <w:bCs/>
          <w:color w:val="auto"/>
          <w:sz w:val="24"/>
          <w:highlight w:val="none"/>
          <w:u w:val="single"/>
        </w:rPr>
        <w:t>万分之五</w:t>
      </w:r>
      <w:r>
        <w:rPr>
          <w:rFonts w:ascii="宋体" w:hAnsi="宋体" w:cs="宋体"/>
          <w:bCs/>
          <w:color w:val="auto"/>
          <w:sz w:val="24"/>
          <w:highlight w:val="none"/>
          <w:u w:val="single"/>
        </w:rPr>
        <w:t>/</w:t>
      </w:r>
      <w:r>
        <w:rPr>
          <w:rFonts w:hint="eastAsia" w:ascii="宋体" w:hAnsi="宋体" w:cs="宋体"/>
          <w:bCs/>
          <w:color w:val="auto"/>
          <w:sz w:val="24"/>
          <w:highlight w:val="none"/>
          <w:u w:val="single"/>
        </w:rPr>
        <w:t>天</w:t>
      </w:r>
      <w:r>
        <w:rPr>
          <w:rFonts w:hint="eastAsia" w:ascii="宋体" w:hAnsi="宋体" w:cs="宋体"/>
          <w:color w:val="auto"/>
          <w:sz w:val="24"/>
          <w:highlight w:val="none"/>
        </w:rPr>
        <w:t>违约金。</w:t>
      </w:r>
    </w:p>
    <w:p>
      <w:pPr>
        <w:spacing w:line="384" w:lineRule="auto"/>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）电子版竣工图的编制，以甲方提供的电子版施工图为基础。乙方在移交竣工档案时，应一并移交甲方提供的电子版施工图。</w:t>
      </w:r>
    </w:p>
    <w:p>
      <w:pPr>
        <w:spacing w:line="384" w:lineRule="auto"/>
        <w:ind w:firstLine="480"/>
        <w:rPr>
          <w:rFonts w:ascii="宋体" w:hAnsi="宋体" w:cs="宋体"/>
          <w:color w:val="auto"/>
          <w:sz w:val="24"/>
          <w:highlight w:val="none"/>
        </w:rPr>
      </w:pPr>
      <w:r>
        <w:rPr>
          <w:rFonts w:hint="eastAsia" w:ascii="宋体" w:hAnsi="宋体" w:cs="宋体"/>
          <w:color w:val="auto"/>
          <w:sz w:val="24"/>
          <w:highlight w:val="none"/>
        </w:rPr>
        <w:t>电子版施工图和电子版竣工图的知识产权归属甲方所有，非经甲方许可，乙方不得以任何方式复制、备份、转让和利用。否则，由此引起的任何纠纷和责任由乙方承担。</w:t>
      </w:r>
    </w:p>
    <w:p>
      <w:pPr>
        <w:pStyle w:val="46"/>
        <w:ind w:firstLine="480" w:firstLineChars="200"/>
        <w:rPr>
          <w:rFonts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9.5本合同竣工验收结算单位为</w:t>
      </w:r>
      <w:r>
        <w:rPr>
          <w:rFonts w:hint="eastAsia" w:asciiTheme="minorEastAsia" w:hAnsiTheme="minorEastAsia" w:eastAsiaTheme="minorEastAsia" w:cstheme="minorEastAsia"/>
          <w:color w:val="auto"/>
          <w:highlight w:val="none"/>
          <w:u w:val="single"/>
        </w:rPr>
        <w:t xml:space="preserve">：广州市净水有限公司石井净水分公司    </w:t>
      </w:r>
    </w:p>
    <w:p>
      <w:pPr>
        <w:numPr>
          <w:ilvl w:val="0"/>
          <w:numId w:val="4"/>
        </w:numPr>
        <w:spacing w:before="120" w:after="156" w:afterLines="50" w:line="384" w:lineRule="auto"/>
        <w:ind w:firstLine="482" w:firstLineChars="200"/>
        <w:jc w:val="left"/>
        <w:rPr>
          <w:rFonts w:ascii="宋体" w:hAnsi="宋体" w:cs="宋体"/>
          <w:b/>
          <w:bCs/>
          <w:color w:val="auto"/>
          <w:sz w:val="24"/>
          <w:highlight w:val="none"/>
        </w:rPr>
      </w:pPr>
      <w:bookmarkStart w:id="86" w:name="_Toc520190034"/>
      <w:bookmarkStart w:id="87" w:name="_Toc474245220"/>
      <w:bookmarkStart w:id="88" w:name="_Toc518992994"/>
      <w:r>
        <w:rPr>
          <w:rFonts w:hint="eastAsia" w:ascii="宋体" w:hAnsi="宋体" w:cs="宋体"/>
          <w:b/>
          <w:bCs/>
          <w:color w:val="auto"/>
          <w:sz w:val="24"/>
          <w:highlight w:val="none"/>
        </w:rPr>
        <w:t>质量保证</w:t>
      </w:r>
      <w:bookmarkEnd w:id="86"/>
      <w:bookmarkEnd w:id="87"/>
      <w:bookmarkEnd w:id="88"/>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10.1</w:t>
      </w:r>
      <w:r>
        <w:rPr>
          <w:rFonts w:hint="eastAsia" w:ascii="宋体" w:hAnsi="宋体" w:cs="宋体"/>
          <w:color w:val="auto"/>
          <w:sz w:val="24"/>
          <w:highlight w:val="none"/>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color w:val="auto"/>
          <w:kern w:val="0"/>
          <w:sz w:val="24"/>
          <w:highlight w:val="none"/>
          <w:lang w:val="zh-CN"/>
        </w:rPr>
      </w:pPr>
      <w:r>
        <w:rPr>
          <w:rFonts w:ascii="宋体" w:hAnsi="宋体" w:cs="宋体"/>
          <w:bCs/>
          <w:color w:val="auto"/>
          <w:sz w:val="24"/>
          <w:highlight w:val="none"/>
        </w:rPr>
        <w:t xml:space="preserve">10.2 </w:t>
      </w:r>
      <w:r>
        <w:rPr>
          <w:rFonts w:hint="eastAsia" w:ascii="宋体" w:hAnsi="宋体" w:cs="宋体"/>
          <w:bCs/>
          <w:color w:val="auto"/>
          <w:sz w:val="24"/>
          <w:highlight w:val="none"/>
        </w:rPr>
        <w:t>本项目质量保修期为</w:t>
      </w:r>
      <w:r>
        <w:rPr>
          <w:rFonts w:hint="eastAsia" w:ascii="宋体" w:hAnsi="宋体" w:cs="宋体"/>
          <w:color w:val="auto"/>
          <w:kern w:val="0"/>
          <w:sz w:val="24"/>
          <w:highlight w:val="none"/>
          <w:lang w:val="zh-CN"/>
        </w:rPr>
        <w:t>自验收合格之日起</w:t>
      </w:r>
      <w:r>
        <w:rPr>
          <w:rFonts w:hint="eastAsia" w:ascii="宋体" w:hAnsi="宋体" w:cs="宋体"/>
          <w:color w:val="auto"/>
          <w:kern w:val="0"/>
          <w:sz w:val="24"/>
          <w:highlight w:val="none"/>
          <w:u w:val="single"/>
        </w:rPr>
        <w:t xml:space="preserve"> 1 </w:t>
      </w:r>
      <w:r>
        <w:rPr>
          <w:rFonts w:hint="eastAsia" w:ascii="宋体" w:hAnsi="宋体" w:cs="宋体"/>
          <w:color w:val="auto"/>
          <w:kern w:val="0"/>
          <w:sz w:val="24"/>
          <w:highlight w:val="none"/>
          <w:lang w:val="zh-CN"/>
        </w:rPr>
        <w:t>年。</w:t>
      </w:r>
    </w:p>
    <w:p>
      <w:pPr>
        <w:spacing w:line="384" w:lineRule="auto"/>
        <w:ind w:firstLine="420" w:firstLineChars="175"/>
        <w:rPr>
          <w:rFonts w:ascii="宋体" w:hAnsi="宋体" w:cs="宋体"/>
          <w:bCs/>
          <w:color w:val="auto"/>
          <w:sz w:val="24"/>
          <w:highlight w:val="none"/>
        </w:rPr>
      </w:pPr>
      <w:r>
        <w:rPr>
          <w:rFonts w:ascii="宋体" w:hAnsi="宋体" w:cs="宋体"/>
          <w:bCs/>
          <w:color w:val="auto"/>
          <w:sz w:val="24"/>
          <w:highlight w:val="none"/>
        </w:rPr>
        <w:t>10.3</w:t>
      </w:r>
      <w:r>
        <w:rPr>
          <w:rFonts w:hint="eastAsia" w:ascii="宋体" w:hAnsi="宋体" w:cs="宋体"/>
          <w:bCs/>
          <w:color w:val="auto"/>
          <w:sz w:val="24"/>
          <w:highlight w:val="none"/>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cs="宋体"/>
          <w:bCs/>
          <w:color w:val="auto"/>
          <w:sz w:val="24"/>
          <w:highlight w:val="none"/>
          <w:u w:val="single"/>
        </w:rPr>
        <w:t>合同暂定总价的</w:t>
      </w:r>
      <w:r>
        <w:rPr>
          <w:rFonts w:ascii="宋体" w:hAnsi="宋体" w:cs="宋体"/>
          <w:bCs/>
          <w:color w:val="auto"/>
          <w:sz w:val="24"/>
          <w:highlight w:val="none"/>
          <w:u w:val="single"/>
        </w:rPr>
        <w:t>10%/</w:t>
      </w:r>
      <w:r>
        <w:rPr>
          <w:rFonts w:hint="eastAsia" w:ascii="宋体" w:hAnsi="宋体" w:cs="宋体"/>
          <w:bCs/>
          <w:color w:val="auto"/>
          <w:sz w:val="24"/>
          <w:highlight w:val="none"/>
          <w:u w:val="single"/>
        </w:rPr>
        <w:t>次</w:t>
      </w:r>
      <w:r>
        <w:rPr>
          <w:rFonts w:hint="eastAsia" w:ascii="宋体" w:hAnsi="宋体" w:cs="宋体"/>
          <w:bCs/>
          <w:color w:val="auto"/>
          <w:sz w:val="24"/>
          <w:highlight w:val="none"/>
        </w:rPr>
        <w:t>作为违约金。</w:t>
      </w:r>
    </w:p>
    <w:p>
      <w:pPr>
        <w:spacing w:before="156" w:beforeLines="50" w:after="156" w:afterLines="50" w:line="384" w:lineRule="auto"/>
        <w:ind w:firstLine="422" w:firstLineChars="175"/>
        <w:jc w:val="left"/>
        <w:rPr>
          <w:rFonts w:ascii="宋体" w:hAnsi="宋体" w:cs="宋体"/>
          <w:color w:val="auto"/>
          <w:sz w:val="24"/>
          <w:highlight w:val="none"/>
        </w:rPr>
      </w:pPr>
      <w:bookmarkStart w:id="89" w:name="_Toc520190040"/>
      <w:bookmarkStart w:id="90" w:name="_Toc518993000"/>
      <w:bookmarkStart w:id="91" w:name="_Toc183666531"/>
      <w:bookmarkStart w:id="92" w:name="_Toc107447255"/>
      <w:bookmarkStart w:id="93" w:name="_Toc107446862"/>
      <w:bookmarkStart w:id="94" w:name="_Toc306350467"/>
      <w:bookmarkStart w:id="95" w:name="_Toc19692"/>
      <w:bookmarkStart w:id="96" w:name="_Toc474245226"/>
      <w:r>
        <w:rPr>
          <w:rFonts w:hint="eastAsia" w:ascii="宋体" w:hAnsi="宋体" w:cs="宋体"/>
          <w:b/>
          <w:bCs/>
          <w:color w:val="auto"/>
          <w:sz w:val="24"/>
          <w:highlight w:val="none"/>
        </w:rPr>
        <w:t>第十一条不可抗力</w:t>
      </w:r>
      <w:bookmarkEnd w:id="89"/>
      <w:bookmarkEnd w:id="90"/>
      <w:bookmarkEnd w:id="91"/>
      <w:bookmarkEnd w:id="92"/>
      <w:bookmarkEnd w:id="93"/>
      <w:bookmarkEnd w:id="94"/>
      <w:bookmarkEnd w:id="95"/>
      <w:bookmarkEnd w:id="96"/>
    </w:p>
    <w:p>
      <w:pPr>
        <w:widowControl/>
        <w:autoSpaceDE w:val="0"/>
        <w:autoSpaceDN w:val="0"/>
        <w:adjustRightInd w:val="0"/>
        <w:spacing w:line="384" w:lineRule="auto"/>
        <w:ind w:firstLine="480" w:firstLineChars="200"/>
        <w:rPr>
          <w:rFonts w:ascii="宋体" w:hAnsi="宋体" w:cs="宋体"/>
          <w:bCs/>
          <w:color w:val="auto"/>
          <w:sz w:val="24"/>
          <w:highlight w:val="none"/>
        </w:rPr>
      </w:pPr>
      <w:bookmarkStart w:id="97" w:name="_Toc12010"/>
      <w:bookmarkStart w:id="98" w:name="_Toc183666532"/>
      <w:bookmarkStart w:id="99" w:name="_Toc306350468"/>
      <w:r>
        <w:rPr>
          <w:rFonts w:ascii="宋体" w:hAnsi="宋体" w:cs="宋体"/>
          <w:bCs/>
          <w:color w:val="auto"/>
          <w:sz w:val="24"/>
          <w:highlight w:val="none"/>
        </w:rPr>
        <w:t xml:space="preserve">11.1 </w:t>
      </w:r>
      <w:r>
        <w:rPr>
          <w:rFonts w:hint="eastAsia" w:ascii="宋体" w:hAnsi="宋体" w:cs="宋体"/>
          <w:bCs/>
          <w:color w:val="auto"/>
          <w:sz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⑴地震、火山爆发、滑坡、暴雨（橙色预警及以上）、台风（黄色预警及以上）、海啸、龙卷风、大面积流行病</w:t>
      </w:r>
      <w:r>
        <w:rPr>
          <w:rFonts w:ascii="宋体" w:hAnsi="宋体" w:cs="宋体"/>
          <w:bCs/>
          <w:color w:val="auto"/>
          <w:sz w:val="24"/>
          <w:highlight w:val="none"/>
        </w:rPr>
        <w:t>(如：非典型性肺炎等)或瘟疫；</w:t>
      </w:r>
    </w:p>
    <w:p>
      <w:pPr>
        <w:widowControl/>
        <w:autoSpaceDE w:val="0"/>
        <w:autoSpaceDN w:val="0"/>
        <w:adjustRightInd w:val="0"/>
        <w:spacing w:line="384"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color w:val="auto"/>
          <w:sz w:val="24"/>
          <w:highlight w:val="none"/>
        </w:rPr>
      </w:pPr>
      <w:r>
        <w:rPr>
          <w:rFonts w:ascii="宋体" w:hAnsi="宋体" w:cs="宋体"/>
          <w:bCs/>
          <w:color w:val="auto"/>
          <w:sz w:val="24"/>
          <w:highlight w:val="none"/>
        </w:rPr>
        <w:t xml:space="preserve">11.2 </w:t>
      </w:r>
      <w:r>
        <w:rPr>
          <w:rFonts w:hint="eastAsia" w:ascii="宋体" w:hAnsi="宋体" w:cs="宋体"/>
          <w:bCs/>
          <w:color w:val="auto"/>
          <w:sz w:val="24"/>
          <w:highlight w:val="none"/>
        </w:rPr>
        <w:t>声称受到不可抗力影响的一方，应在发生不可抗力或知道发生不可抗力之后</w:t>
      </w:r>
      <w:r>
        <w:rPr>
          <w:rFonts w:ascii="宋体" w:hAnsi="宋体" w:cs="宋体"/>
          <w:bCs/>
          <w:color w:val="auto"/>
          <w:sz w:val="24"/>
          <w:highlight w:val="none"/>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color w:val="auto"/>
          <w:sz w:val="24"/>
          <w:highlight w:val="none"/>
        </w:rPr>
      </w:pPr>
      <w:r>
        <w:rPr>
          <w:rFonts w:ascii="宋体" w:hAnsi="宋体" w:cs="宋体"/>
          <w:bCs/>
          <w:color w:val="auto"/>
          <w:sz w:val="24"/>
          <w:highlight w:val="none"/>
        </w:rPr>
        <w:t xml:space="preserve">11.3 </w:t>
      </w:r>
      <w:r>
        <w:rPr>
          <w:rFonts w:hint="eastAsia" w:ascii="宋体" w:hAnsi="宋体" w:cs="宋体"/>
          <w:bCs/>
          <w:color w:val="auto"/>
          <w:sz w:val="24"/>
          <w:highlight w:val="none"/>
        </w:rPr>
        <w:t>因不可抗力导致合同无法履行的时间自该不可抗力发生日起连续超过玖拾</w:t>
      </w:r>
      <w:r>
        <w:rPr>
          <w:rFonts w:ascii="宋体" w:hAnsi="宋体" w:cs="宋体"/>
          <w:bCs/>
          <w:color w:val="auto"/>
          <w:sz w:val="24"/>
          <w:highlight w:val="none"/>
        </w:rPr>
        <w:t>(90)天，双方应协商决定继续履行本合同的条件或者变更本合同。如果自不可抗力发生后壹佰捌拾(180)天之内双方不能达成一致意见，任何一方有权解除本合同。</w:t>
      </w:r>
    </w:p>
    <w:p>
      <w:pPr>
        <w:spacing w:before="156" w:beforeLines="50" w:after="156" w:afterLines="50" w:line="384" w:lineRule="auto"/>
        <w:ind w:firstLine="482"/>
        <w:jc w:val="left"/>
        <w:rPr>
          <w:rFonts w:ascii="宋体" w:hAnsi="宋体" w:cs="宋体"/>
          <w:bCs/>
          <w:color w:val="auto"/>
          <w:sz w:val="24"/>
          <w:highlight w:val="none"/>
        </w:rPr>
      </w:pPr>
      <w:r>
        <w:rPr>
          <w:rFonts w:ascii="宋体" w:hAnsi="宋体" w:cs="宋体"/>
          <w:bCs/>
          <w:color w:val="auto"/>
          <w:sz w:val="24"/>
          <w:highlight w:val="none"/>
        </w:rPr>
        <w:t xml:space="preserve">11.4 </w:t>
      </w:r>
      <w:r>
        <w:rPr>
          <w:rFonts w:hint="eastAsia" w:ascii="宋体" w:hAnsi="宋体" w:cs="宋体"/>
          <w:bCs/>
          <w:color w:val="auto"/>
          <w:sz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00" w:name="_Toc474245227"/>
      <w:bookmarkStart w:id="101" w:name="_Toc520190041"/>
      <w:bookmarkStart w:id="102" w:name="_Toc107447257"/>
      <w:bookmarkStart w:id="103" w:name="_Toc118172294"/>
      <w:bookmarkStart w:id="104" w:name="_Toc107446864"/>
      <w:bookmarkStart w:id="105" w:name="_Toc518993001"/>
    </w:p>
    <w:p>
      <w:pPr>
        <w:spacing w:before="156" w:beforeLines="50" w:after="156" w:afterLines="50" w:line="384" w:lineRule="auto"/>
        <w:ind w:firstLine="482"/>
        <w:jc w:val="left"/>
        <w:rPr>
          <w:rFonts w:ascii="宋体" w:hAnsi="宋体" w:cs="宋体"/>
          <w:b/>
          <w:bCs/>
          <w:color w:val="auto"/>
          <w:sz w:val="24"/>
          <w:highlight w:val="none"/>
        </w:rPr>
      </w:pPr>
      <w:r>
        <w:rPr>
          <w:rFonts w:hint="eastAsia" w:ascii="宋体" w:hAnsi="宋体" w:cs="宋体"/>
          <w:b/>
          <w:bCs/>
          <w:color w:val="auto"/>
          <w:sz w:val="24"/>
          <w:highlight w:val="none"/>
        </w:rPr>
        <w:t>十二条争议解决</w:t>
      </w:r>
      <w:bookmarkEnd w:id="97"/>
      <w:bookmarkEnd w:id="98"/>
      <w:bookmarkEnd w:id="99"/>
      <w:bookmarkEnd w:id="100"/>
      <w:bookmarkEnd w:id="101"/>
      <w:bookmarkEnd w:id="102"/>
      <w:bookmarkEnd w:id="103"/>
      <w:bookmarkEnd w:id="104"/>
      <w:bookmarkEnd w:id="105"/>
    </w:p>
    <w:p>
      <w:pPr>
        <w:spacing w:line="384" w:lineRule="auto"/>
        <w:ind w:firstLine="482"/>
        <w:rPr>
          <w:rFonts w:ascii="宋体" w:hAnsi="宋体" w:cs="宋体"/>
          <w:bCs/>
          <w:color w:val="auto"/>
          <w:sz w:val="24"/>
          <w:highlight w:val="none"/>
        </w:rPr>
      </w:pPr>
      <w:bookmarkStart w:id="106" w:name="_Toc183666533"/>
      <w:bookmarkStart w:id="107" w:name="_Toc306350469"/>
      <w:r>
        <w:rPr>
          <w:rFonts w:ascii="宋体" w:hAnsi="宋体" w:cs="宋体"/>
          <w:bCs/>
          <w:color w:val="auto"/>
          <w:sz w:val="24"/>
          <w:highlight w:val="none"/>
        </w:rPr>
        <w:t xml:space="preserve">12.1 </w:t>
      </w:r>
      <w:r>
        <w:rPr>
          <w:rFonts w:hint="eastAsia" w:ascii="宋体" w:hAnsi="宋体" w:cs="宋体"/>
          <w:bCs/>
          <w:color w:val="auto"/>
          <w:sz w:val="24"/>
          <w:highlight w:val="none"/>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color w:val="auto"/>
          <w:sz w:val="24"/>
          <w:highlight w:val="none"/>
        </w:rPr>
      </w:pPr>
      <w:r>
        <w:rPr>
          <w:rFonts w:ascii="宋体" w:hAnsi="宋体" w:cs="宋体"/>
          <w:bCs/>
          <w:color w:val="auto"/>
          <w:sz w:val="24"/>
          <w:highlight w:val="none"/>
        </w:rPr>
        <w:t xml:space="preserve">12.2 </w:t>
      </w:r>
      <w:r>
        <w:rPr>
          <w:rFonts w:hint="eastAsia" w:ascii="宋体" w:hAnsi="宋体" w:cs="宋体"/>
          <w:color w:val="auto"/>
          <w:sz w:val="24"/>
          <w:highlight w:val="none"/>
        </w:rPr>
        <w:t>在甲方同意的情况下，除有争端之外的合同其它部分在争端解决前应继续执行。</w:t>
      </w:r>
      <w:bookmarkEnd w:id="106"/>
      <w:bookmarkEnd w:id="107"/>
      <w:bookmarkStart w:id="108" w:name="_Toc518993003"/>
      <w:bookmarkStart w:id="109" w:name="_Toc474245229"/>
      <w:bookmarkStart w:id="110" w:name="_Toc520190043"/>
    </w:p>
    <w:p>
      <w:pPr>
        <w:spacing w:line="384" w:lineRule="auto"/>
        <w:ind w:firstLine="482"/>
        <w:jc w:val="left"/>
        <w:rPr>
          <w:rFonts w:ascii="宋体" w:hAnsi="宋体" w:cs="宋体"/>
          <w:b/>
          <w:bCs/>
          <w:color w:val="auto"/>
          <w:sz w:val="24"/>
          <w:highlight w:val="none"/>
        </w:rPr>
      </w:pPr>
      <w:r>
        <w:rPr>
          <w:rFonts w:hint="eastAsia" w:ascii="宋体" w:hAnsi="宋体" w:cs="宋体"/>
          <w:b/>
          <w:bCs/>
          <w:color w:val="auto"/>
          <w:sz w:val="24"/>
          <w:highlight w:val="none"/>
        </w:rPr>
        <w:t>第十三条</w:t>
      </w:r>
      <w:bookmarkStart w:id="111" w:name="_Toc107447264"/>
      <w:bookmarkStart w:id="112" w:name="_Toc107446871"/>
      <w:r>
        <w:rPr>
          <w:rFonts w:hint="eastAsia" w:ascii="宋体" w:hAnsi="宋体" w:cs="宋体"/>
          <w:b/>
          <w:bCs/>
          <w:color w:val="auto"/>
          <w:sz w:val="24"/>
          <w:highlight w:val="none"/>
        </w:rPr>
        <w:t>合同生效及其他</w:t>
      </w:r>
      <w:bookmarkEnd w:id="108"/>
      <w:bookmarkEnd w:id="109"/>
      <w:bookmarkEnd w:id="110"/>
      <w:bookmarkEnd w:id="111"/>
      <w:bookmarkEnd w:id="112"/>
    </w:p>
    <w:p>
      <w:pPr>
        <w:spacing w:line="384" w:lineRule="auto"/>
        <w:ind w:firstLine="480"/>
        <w:rPr>
          <w:rFonts w:ascii="宋体" w:hAnsi="宋体" w:cs="宋体"/>
          <w:color w:val="auto"/>
          <w:sz w:val="24"/>
          <w:highlight w:val="none"/>
        </w:rPr>
      </w:pPr>
      <w:r>
        <w:rPr>
          <w:rFonts w:ascii="宋体" w:hAnsi="宋体" w:cs="宋体"/>
          <w:color w:val="auto"/>
          <w:sz w:val="24"/>
          <w:highlight w:val="none"/>
        </w:rPr>
        <w:t>13.1</w:t>
      </w:r>
      <w:r>
        <w:rPr>
          <w:rFonts w:hint="eastAsia" w:ascii="宋体" w:hAnsi="宋体" w:cs="宋体"/>
          <w:color w:val="auto"/>
          <w:sz w:val="24"/>
          <w:highlight w:val="none"/>
        </w:rPr>
        <w:t>本合同经双方法定代表人或授权代表签字并加盖双方公章后生效</w:t>
      </w:r>
      <w:r>
        <w:rPr>
          <w:rFonts w:ascii="宋体" w:hAnsi="宋体" w:cs="宋体"/>
          <w:color w:val="auto"/>
          <w:sz w:val="24"/>
          <w:highlight w:val="none"/>
        </w:rPr>
        <w:t>.</w:t>
      </w:r>
    </w:p>
    <w:p>
      <w:pPr>
        <w:spacing w:line="384" w:lineRule="auto"/>
        <w:ind w:firstLine="480"/>
        <w:rPr>
          <w:rFonts w:ascii="宋体" w:hAnsi="宋体" w:cs="宋体"/>
          <w:color w:val="auto"/>
          <w:sz w:val="24"/>
          <w:highlight w:val="none"/>
        </w:rPr>
      </w:pPr>
      <w:r>
        <w:rPr>
          <w:rFonts w:ascii="宋体" w:hAnsi="宋体" w:cs="宋体"/>
          <w:color w:val="auto"/>
          <w:sz w:val="24"/>
          <w:highlight w:val="none"/>
        </w:rPr>
        <w:t>13.2</w:t>
      </w:r>
      <w:r>
        <w:rPr>
          <w:rFonts w:hint="eastAsia" w:ascii="宋体" w:hAnsi="宋体" w:cs="宋体"/>
          <w:color w:val="auto"/>
          <w:sz w:val="24"/>
          <w:highlight w:val="none"/>
        </w:rPr>
        <w:t>本合同正文一式</w:t>
      </w:r>
      <w:r>
        <w:rPr>
          <w:rFonts w:hint="eastAsia" w:ascii="宋体" w:hAnsi="宋体" w:cs="宋体"/>
          <w:color w:val="auto"/>
          <w:sz w:val="24"/>
          <w:highlight w:val="none"/>
          <w:u w:val="single"/>
        </w:rPr>
        <w:t xml:space="preserve">  七  </w:t>
      </w:r>
      <w:r>
        <w:rPr>
          <w:rFonts w:hint="eastAsia" w:ascii="宋体" w:hAnsi="宋体" w:cs="宋体"/>
          <w:color w:val="auto"/>
          <w:sz w:val="24"/>
          <w:highlight w:val="none"/>
        </w:rPr>
        <w:t>份，其中：甲方</w:t>
      </w:r>
      <w:r>
        <w:rPr>
          <w:rFonts w:hint="eastAsia" w:ascii="宋体" w:hAnsi="宋体" w:cs="宋体"/>
          <w:color w:val="auto"/>
          <w:sz w:val="24"/>
          <w:highlight w:val="none"/>
          <w:u w:val="single"/>
        </w:rPr>
        <w:t xml:space="preserve">  六  </w:t>
      </w:r>
      <w:r>
        <w:rPr>
          <w:rFonts w:hint="eastAsia" w:ascii="宋体" w:hAnsi="宋体" w:cs="宋体"/>
          <w:color w:val="auto"/>
          <w:sz w:val="24"/>
          <w:highlight w:val="none"/>
        </w:rPr>
        <w:t>份，乙方</w:t>
      </w:r>
      <w:r>
        <w:rPr>
          <w:rFonts w:hint="eastAsia" w:ascii="宋体" w:hAnsi="宋体" w:cs="宋体"/>
          <w:color w:val="auto"/>
          <w:sz w:val="24"/>
          <w:highlight w:val="none"/>
          <w:u w:val="single"/>
        </w:rPr>
        <w:t xml:space="preserve">  一  </w:t>
      </w:r>
      <w:r>
        <w:rPr>
          <w:rFonts w:hint="eastAsia" w:ascii="宋体" w:hAnsi="宋体" w:cs="宋体"/>
          <w:color w:val="auto"/>
          <w:sz w:val="24"/>
          <w:highlight w:val="none"/>
        </w:rPr>
        <w:t>份。</w:t>
      </w:r>
    </w:p>
    <w:p>
      <w:pPr>
        <w:spacing w:line="384" w:lineRule="auto"/>
        <w:ind w:firstLine="480"/>
        <w:rPr>
          <w:rFonts w:ascii="宋体" w:hAnsi="宋体" w:cs="宋体"/>
          <w:color w:val="auto"/>
          <w:sz w:val="24"/>
          <w:highlight w:val="none"/>
          <w:u w:val="single"/>
        </w:rPr>
      </w:pPr>
      <w:r>
        <w:rPr>
          <w:rFonts w:ascii="宋体" w:hAnsi="宋体" w:cs="宋体"/>
          <w:color w:val="auto"/>
          <w:sz w:val="24"/>
          <w:highlight w:val="none"/>
        </w:rPr>
        <w:t>13.</w:t>
      </w:r>
      <w:r>
        <w:rPr>
          <w:rFonts w:hint="eastAsia" w:ascii="宋体" w:hAnsi="宋体" w:cs="宋体"/>
          <w:color w:val="auto"/>
          <w:sz w:val="24"/>
          <w:highlight w:val="none"/>
        </w:rPr>
        <w:t>3补充条款</w:t>
      </w:r>
      <w:r>
        <w:rPr>
          <w:rFonts w:hint="eastAsia" w:ascii="宋体" w:hAnsi="宋体" w:cs="宋体"/>
          <w:color w:val="auto"/>
          <w:sz w:val="24"/>
          <w:highlight w:val="none"/>
          <w:u w:val="single"/>
        </w:rPr>
        <w:t>：</w:t>
      </w:r>
    </w:p>
    <w:p>
      <w:pPr>
        <w:spacing w:line="480" w:lineRule="exact"/>
        <w:ind w:firstLine="480"/>
        <w:rPr>
          <w:rFonts w:ascii="宋体" w:hAnsi="宋体" w:cs="宋体"/>
          <w:color w:val="auto"/>
          <w:sz w:val="24"/>
          <w:highlight w:val="none"/>
        </w:rPr>
      </w:pPr>
      <w:r>
        <w:rPr>
          <w:rFonts w:hint="eastAsia" w:ascii="宋体" w:hAnsi="宋体" w:cs="宋体"/>
          <w:color w:val="auto"/>
          <w:sz w:val="24"/>
          <w:highlight w:val="none"/>
        </w:rPr>
        <w:t>（1）预付款保函的担保金额应与预付款金额相同。预付款保函的担保金额可根据完成的工作量的金额相应递减。</w:t>
      </w:r>
    </w:p>
    <w:p>
      <w:pPr>
        <w:pStyle w:val="7"/>
        <w:rPr>
          <w:color w:val="auto"/>
          <w:highlight w:val="none"/>
        </w:rPr>
      </w:pPr>
      <w:r>
        <w:rPr>
          <w:rFonts w:hint="eastAsia" w:ascii="宋体" w:hAnsi="宋体" w:cs="宋体"/>
          <w:color w:val="auto"/>
          <w:sz w:val="24"/>
          <w:highlight w:val="none"/>
        </w:rPr>
        <w:t>（2）预付款保函应与甲方确认相应完成的工作量后14天内退还给乙方。甲方不承当乙方与预付款保函有关的任何利息或其他类似的费用或收益。</w:t>
      </w:r>
    </w:p>
    <w:p>
      <w:pPr>
        <w:spacing w:line="384" w:lineRule="auto"/>
        <w:rPr>
          <w:rFonts w:ascii="宋体" w:hAnsi="宋体" w:cs="宋体"/>
          <w:color w:val="auto"/>
          <w:sz w:val="24"/>
          <w:highlight w:val="none"/>
        </w:rPr>
      </w:pPr>
      <w:r>
        <w:rPr>
          <w:rFonts w:hint="eastAsia" w:ascii="宋体" w:hAnsi="宋体" w:cs="宋体"/>
          <w:color w:val="auto"/>
          <w:sz w:val="24"/>
          <w:highlight w:val="none"/>
        </w:rPr>
        <w:t>附件：</w:t>
      </w:r>
      <w:r>
        <w:rPr>
          <w:rFonts w:ascii="宋体" w:hAnsi="宋体" w:cs="宋体"/>
          <w:color w:val="auto"/>
          <w:sz w:val="24"/>
          <w:highlight w:val="none"/>
        </w:rPr>
        <w:t>1.</w:t>
      </w:r>
      <w:r>
        <w:rPr>
          <w:rFonts w:hint="eastAsia" w:ascii="宋体" w:hAnsi="宋体" w:cs="宋体"/>
          <w:color w:val="auto"/>
          <w:sz w:val="24"/>
          <w:highlight w:val="none"/>
        </w:rPr>
        <w:t>成交通知书</w:t>
      </w:r>
    </w:p>
    <w:p>
      <w:pPr>
        <w:spacing w:line="460" w:lineRule="exact"/>
        <w:ind w:firstLine="720" w:firstLineChars="300"/>
        <w:rPr>
          <w:rFonts w:ascii="宋体" w:hAnsi="宋体" w:cs="宋体"/>
          <w:color w:val="auto"/>
          <w:sz w:val="24"/>
          <w:highlight w:val="none"/>
        </w:rPr>
      </w:pPr>
      <w:r>
        <w:rPr>
          <w:rFonts w:hint="eastAsia" w:ascii="宋体" w:hAnsi="宋体" w:cs="宋体"/>
          <w:color w:val="auto"/>
          <w:sz w:val="24"/>
          <w:highlight w:val="none"/>
        </w:rPr>
        <w:t>2.廉洁协议</w:t>
      </w:r>
    </w:p>
    <w:p>
      <w:pPr>
        <w:spacing w:line="460" w:lineRule="exact"/>
        <w:ind w:firstLine="720" w:firstLineChars="300"/>
        <w:rPr>
          <w:rFonts w:ascii="宋体" w:hAnsi="宋体" w:cs="宋体"/>
          <w:color w:val="auto"/>
          <w:sz w:val="24"/>
          <w:highlight w:val="none"/>
        </w:rPr>
      </w:pPr>
      <w:r>
        <w:rPr>
          <w:rFonts w:hint="eastAsia" w:ascii="宋体" w:hAnsi="宋体" w:cs="宋体"/>
          <w:color w:val="auto"/>
          <w:sz w:val="24"/>
          <w:highlight w:val="none"/>
        </w:rPr>
        <w:t>3.不诚信行为的情形及相应被暂停参与投标活动的处理标准</w:t>
      </w:r>
    </w:p>
    <w:p>
      <w:pPr>
        <w:spacing w:line="384" w:lineRule="auto"/>
        <w:ind w:firstLine="720" w:firstLineChars="300"/>
        <w:rPr>
          <w:rFonts w:ascii="宋体" w:hAnsi="宋体" w:cs="宋体"/>
          <w:color w:val="auto"/>
          <w:sz w:val="24"/>
          <w:highlight w:val="none"/>
        </w:rPr>
      </w:pPr>
      <w:r>
        <w:rPr>
          <w:rFonts w:hint="eastAsia" w:ascii="宋体" w:hAnsi="宋体" w:cs="宋体"/>
          <w:color w:val="auto"/>
          <w:sz w:val="24"/>
          <w:highlight w:val="none"/>
        </w:rPr>
        <w:t>4</w:t>
      </w:r>
      <w:r>
        <w:rPr>
          <w:rFonts w:ascii="宋体" w:hAnsi="宋体" w:cs="宋体"/>
          <w:color w:val="auto"/>
          <w:sz w:val="24"/>
          <w:highlight w:val="none"/>
        </w:rPr>
        <w:t>.</w:t>
      </w:r>
      <w:r>
        <w:rPr>
          <w:rFonts w:hint="eastAsia" w:ascii="宋体" w:hAnsi="宋体" w:cs="宋体"/>
          <w:color w:val="auto"/>
          <w:sz w:val="24"/>
          <w:highlight w:val="none"/>
        </w:rPr>
        <w:t>营运场所施工安全协议书</w:t>
      </w:r>
    </w:p>
    <w:p>
      <w:pPr>
        <w:spacing w:line="384" w:lineRule="auto"/>
        <w:rPr>
          <w:rFonts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rPr>
        <w:t xml:space="preserve"> 5</w:t>
      </w:r>
      <w:r>
        <w:rPr>
          <w:rFonts w:ascii="宋体" w:hAnsi="宋体" w:cs="宋体"/>
          <w:color w:val="auto"/>
          <w:sz w:val="24"/>
          <w:highlight w:val="none"/>
        </w:rPr>
        <w:t>.</w:t>
      </w:r>
      <w:r>
        <w:rPr>
          <w:rFonts w:hint="eastAsia" w:ascii="宋体" w:hAnsi="宋体" w:cs="宋体"/>
          <w:color w:val="auto"/>
          <w:sz w:val="24"/>
          <w:highlight w:val="none"/>
        </w:rPr>
        <w:t>工程量清单</w:t>
      </w:r>
      <w:r>
        <w:rPr>
          <w:rFonts w:ascii="宋体" w:hAnsi="宋体" w:cs="宋体"/>
          <w:color w:val="auto"/>
          <w:sz w:val="24"/>
          <w:highlight w:val="none"/>
        </w:rPr>
        <w:t>/</w:t>
      </w:r>
      <w:r>
        <w:rPr>
          <w:rFonts w:hint="eastAsia" w:ascii="宋体" w:hAnsi="宋体" w:cs="宋体"/>
          <w:color w:val="auto"/>
          <w:sz w:val="24"/>
          <w:highlight w:val="none"/>
        </w:rPr>
        <w:t>报价</w:t>
      </w:r>
    </w:p>
    <w:p>
      <w:pPr>
        <w:spacing w:line="384" w:lineRule="auto"/>
        <w:rPr>
          <w:rFonts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rPr>
        <w:t xml:space="preserve"> 6</w:t>
      </w:r>
      <w:r>
        <w:rPr>
          <w:rFonts w:ascii="宋体" w:hAnsi="宋体" w:cs="宋体"/>
          <w:color w:val="auto"/>
          <w:sz w:val="24"/>
          <w:highlight w:val="none"/>
        </w:rPr>
        <w:t>.</w:t>
      </w:r>
      <w:r>
        <w:rPr>
          <w:rFonts w:hint="eastAsia" w:ascii="宋体" w:hAnsi="宋体" w:cs="宋体"/>
          <w:color w:val="auto"/>
          <w:sz w:val="24"/>
          <w:highlight w:val="none"/>
        </w:rPr>
        <w:t>项目投入人员架构表</w:t>
      </w:r>
      <w:r>
        <w:rPr>
          <w:rFonts w:ascii="宋体" w:hAnsi="宋体" w:cs="宋体"/>
          <w:color w:val="auto"/>
          <w:sz w:val="24"/>
          <w:highlight w:val="none"/>
        </w:rPr>
        <w:t xml:space="preserve"> </w:t>
      </w:r>
    </w:p>
    <w:p>
      <w:pPr>
        <w:spacing w:line="360" w:lineRule="auto"/>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 xml:space="preserve">      7.</w:t>
      </w:r>
      <w:r>
        <w:rPr>
          <w:rFonts w:hint="eastAsia" w:ascii="宋体" w:hAnsi="宋体" w:cs="宋体"/>
          <w:color w:val="auto"/>
          <w:sz w:val="24"/>
          <w:highlight w:val="none"/>
        </w:rPr>
        <w:t>履约保函（模板）</w:t>
      </w:r>
    </w:p>
    <w:p>
      <w:pPr>
        <w:spacing w:line="360" w:lineRule="auto"/>
        <w:ind w:firstLine="720" w:firstLineChars="300"/>
        <w:rPr>
          <w:rFonts w:ascii="宋体" w:hAnsi="宋体" w:cs="宋体"/>
          <w:color w:val="auto"/>
          <w:sz w:val="24"/>
          <w:highlight w:val="none"/>
        </w:rPr>
      </w:pPr>
      <w:r>
        <w:rPr>
          <w:rFonts w:hint="eastAsia" w:ascii="宋体" w:hAnsi="宋体" w:cs="宋体"/>
          <w:color w:val="auto"/>
          <w:sz w:val="24"/>
          <w:highlight w:val="none"/>
        </w:rPr>
        <w:t>8.防疫管理协议书</w:t>
      </w:r>
    </w:p>
    <w:p>
      <w:pPr>
        <w:pStyle w:val="46"/>
        <w:ind w:firstLine="720" w:firstLineChars="300"/>
        <w:rPr>
          <w:rFonts w:hAnsi="宋体" w:eastAsia="宋体"/>
          <w:color w:val="auto"/>
          <w:kern w:val="2"/>
          <w:szCs w:val="20"/>
          <w:highlight w:val="none"/>
        </w:rPr>
      </w:pPr>
      <w:r>
        <w:rPr>
          <w:rFonts w:hint="eastAsia" w:hAnsi="宋体" w:eastAsia="宋体"/>
          <w:color w:val="auto"/>
          <w:kern w:val="2"/>
          <w:szCs w:val="20"/>
          <w:highlight w:val="none"/>
        </w:rPr>
        <w:t>9.预付款保函（格式）</w:t>
      </w:r>
    </w:p>
    <w:p>
      <w:pPr>
        <w:pStyle w:val="46"/>
        <w:ind w:firstLine="720" w:firstLineChars="300"/>
        <w:rPr>
          <w:rFonts w:hAnsi="宋体" w:eastAsia="宋体"/>
          <w:color w:val="auto"/>
          <w:kern w:val="2"/>
          <w:szCs w:val="20"/>
          <w:highlight w:val="none"/>
        </w:rPr>
      </w:pPr>
    </w:p>
    <w:p>
      <w:pPr>
        <w:pStyle w:val="46"/>
        <w:ind w:firstLine="720" w:firstLineChars="300"/>
        <w:rPr>
          <w:rFonts w:hAnsi="宋体" w:eastAsia="宋体"/>
          <w:color w:val="auto"/>
          <w:kern w:val="2"/>
          <w:szCs w:val="20"/>
          <w:highlight w:val="none"/>
        </w:rPr>
      </w:pPr>
    </w:p>
    <w:p>
      <w:pPr>
        <w:spacing w:line="384" w:lineRule="auto"/>
        <w:rPr>
          <w:rFonts w:ascii="宋体" w:hAnsi="宋体" w:cs="宋体"/>
          <w:color w:val="auto"/>
          <w:sz w:val="24"/>
          <w:highlight w:val="none"/>
        </w:rPr>
      </w:pPr>
      <w:r>
        <w:rPr>
          <w:rFonts w:hint="eastAsia" w:ascii="宋体" w:hAnsi="宋体" w:cs="宋体"/>
          <w:color w:val="auto"/>
          <w:sz w:val="24"/>
          <w:highlight w:val="none"/>
        </w:rPr>
        <w:t>甲方：广州市净水有限公司（盖章）     乙方：（盖章）</w:t>
      </w:r>
    </w:p>
    <w:p>
      <w:pPr>
        <w:spacing w:line="384" w:lineRule="auto"/>
        <w:rPr>
          <w:rFonts w:ascii="宋体" w:hAnsi="宋体" w:cs="宋体"/>
          <w:color w:val="auto"/>
          <w:sz w:val="24"/>
          <w:highlight w:val="none"/>
        </w:rPr>
      </w:pPr>
      <w:r>
        <w:rPr>
          <w:rFonts w:hint="eastAsia" w:ascii="宋体" w:hAnsi="宋体" w:cs="宋体"/>
          <w:color w:val="auto"/>
          <w:sz w:val="24"/>
          <w:highlight w:val="none"/>
        </w:rPr>
        <w:t>法定代表 或                         法定代表人或</w:t>
      </w:r>
    </w:p>
    <w:p>
      <w:pPr>
        <w:spacing w:line="384" w:lineRule="auto"/>
        <w:rPr>
          <w:rFonts w:ascii="宋体" w:hAnsi="宋体" w:cs="宋体"/>
          <w:color w:val="auto"/>
          <w:sz w:val="24"/>
          <w:highlight w:val="none"/>
        </w:rPr>
      </w:pPr>
      <w:r>
        <w:rPr>
          <w:rFonts w:hint="eastAsia" w:ascii="宋体" w:hAnsi="宋体" w:cs="宋体"/>
          <w:color w:val="auto"/>
          <w:sz w:val="24"/>
          <w:highlight w:val="none"/>
        </w:rPr>
        <w:t>授权代理人：                         授权代理人：</w:t>
      </w:r>
    </w:p>
    <w:p>
      <w:pPr>
        <w:spacing w:line="384" w:lineRule="auto"/>
        <w:rPr>
          <w:rFonts w:ascii="宋体" w:hAnsi="宋体" w:cs="宋体"/>
          <w:color w:val="auto"/>
          <w:sz w:val="24"/>
          <w:highlight w:val="none"/>
        </w:rPr>
      </w:pPr>
      <w:r>
        <w:rPr>
          <w:rFonts w:hint="eastAsia" w:ascii="宋体" w:hAnsi="宋体" w:cs="宋体"/>
          <w:color w:val="auto"/>
          <w:sz w:val="24"/>
          <w:highlight w:val="none"/>
        </w:rPr>
        <w:t>地址：                                  地址：</w:t>
      </w:r>
    </w:p>
    <w:p>
      <w:pPr>
        <w:spacing w:line="384" w:lineRule="auto"/>
        <w:rPr>
          <w:rFonts w:ascii="宋体" w:hAnsi="宋体" w:cs="宋体"/>
          <w:color w:val="auto"/>
          <w:sz w:val="24"/>
          <w:highlight w:val="none"/>
        </w:rPr>
      </w:pPr>
      <w:r>
        <w:rPr>
          <w:rFonts w:hint="eastAsia" w:ascii="宋体" w:hAnsi="宋体" w:cs="宋体"/>
          <w:color w:val="auto"/>
          <w:sz w:val="24"/>
          <w:highlight w:val="none"/>
        </w:rPr>
        <w:t>经办人：                              经办人：</w:t>
      </w:r>
    </w:p>
    <w:p>
      <w:pPr>
        <w:spacing w:line="384" w:lineRule="auto"/>
        <w:rPr>
          <w:rFonts w:ascii="宋体" w:hAnsi="宋体" w:cs="宋体"/>
          <w:color w:val="auto"/>
          <w:sz w:val="24"/>
          <w:highlight w:val="none"/>
        </w:rPr>
      </w:pPr>
      <w:r>
        <w:rPr>
          <w:rFonts w:hint="eastAsia" w:ascii="宋体" w:hAnsi="宋体" w:cs="宋体"/>
          <w:color w:val="auto"/>
          <w:sz w:val="24"/>
          <w:highlight w:val="none"/>
        </w:rPr>
        <w:t>联系电话：                           联系电话：</w:t>
      </w:r>
    </w:p>
    <w:p>
      <w:pPr>
        <w:spacing w:line="384" w:lineRule="auto"/>
        <w:ind w:left="6360" w:hanging="6360" w:hangingChars="2650"/>
        <w:rPr>
          <w:rFonts w:ascii="宋体" w:hAnsi="宋体" w:cs="宋体"/>
          <w:color w:val="auto"/>
          <w:sz w:val="24"/>
          <w:highlight w:val="none"/>
        </w:rPr>
      </w:pPr>
      <w:r>
        <w:rPr>
          <w:rFonts w:hint="eastAsia" w:ascii="宋体" w:hAnsi="宋体" w:cs="宋体"/>
          <w:color w:val="auto"/>
          <w:sz w:val="24"/>
          <w:highlight w:val="none"/>
        </w:rPr>
        <w:t>传真：                                传真：</w:t>
      </w:r>
    </w:p>
    <w:p>
      <w:pPr>
        <w:spacing w:line="384" w:lineRule="auto"/>
        <w:ind w:left="6360" w:hanging="6360" w:hangingChars="2650"/>
        <w:rPr>
          <w:rFonts w:ascii="宋体" w:hAnsi="宋体" w:cs="宋体"/>
          <w:color w:val="auto"/>
          <w:sz w:val="24"/>
          <w:highlight w:val="none"/>
        </w:rPr>
      </w:pPr>
      <w:r>
        <w:rPr>
          <w:rFonts w:hint="eastAsia" w:ascii="宋体" w:hAnsi="宋体" w:cs="宋体"/>
          <w:color w:val="auto"/>
          <w:sz w:val="24"/>
          <w:highlight w:val="none"/>
        </w:rPr>
        <w:t>签署日期：年月日                    签署日期：年月日</w:t>
      </w:r>
    </w:p>
    <w:p>
      <w:pPr>
        <w:pStyle w:val="9"/>
        <w:rPr>
          <w:rFonts w:ascii="宋体" w:hAnsi="宋体" w:cs="宋体"/>
          <w:color w:val="auto"/>
          <w:sz w:val="24"/>
          <w:highlight w:val="none"/>
        </w:rPr>
      </w:pPr>
    </w:p>
    <w:p>
      <w:pPr>
        <w:rPr>
          <w:rFonts w:ascii="宋体" w:hAnsi="宋体" w:cs="宋体"/>
          <w:b/>
          <w:bCs/>
          <w:color w:val="auto"/>
          <w:szCs w:val="21"/>
          <w:highlight w:val="none"/>
        </w:rPr>
      </w:pPr>
      <w:r>
        <w:rPr>
          <w:rFonts w:hint="eastAsia" w:ascii="宋体" w:hAnsi="宋体" w:cs="宋体"/>
          <w:b/>
          <w:bCs/>
          <w:color w:val="auto"/>
          <w:szCs w:val="21"/>
          <w:highlight w:val="none"/>
        </w:rPr>
        <w:t>附件1  成交通知书</w:t>
      </w:r>
    </w:p>
    <w:p>
      <w:pPr>
        <w:widowControl/>
        <w:jc w:val="left"/>
        <w:rPr>
          <w:rFonts w:ascii="宋体" w:hAnsi="宋体" w:cs="宋体"/>
          <w:b/>
          <w:bCs/>
          <w:color w:val="auto"/>
          <w:szCs w:val="21"/>
          <w:highlight w:val="none"/>
        </w:rPr>
      </w:pPr>
      <w:bookmarkStart w:id="113" w:name="_Toc389815339"/>
      <w:bookmarkStart w:id="114" w:name="_Toc389815031"/>
      <w:bookmarkStart w:id="115" w:name="_Toc387080836"/>
      <w:r>
        <w:rPr>
          <w:rFonts w:ascii="宋体" w:hAnsi="宋体" w:cs="宋体"/>
          <w:b/>
          <w:bCs/>
          <w:color w:val="auto"/>
          <w:szCs w:val="21"/>
          <w:highlight w:val="none"/>
        </w:rPr>
        <w:br w:type="page"/>
      </w: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w:t>
      </w:r>
      <w:r>
        <w:rPr>
          <w:rFonts w:ascii="宋体" w:hAnsi="宋体" w:cs="宋体"/>
          <w:b/>
          <w:bCs/>
          <w:color w:val="auto"/>
          <w:szCs w:val="21"/>
          <w:highlight w:val="none"/>
        </w:rPr>
        <w:t>2</w:t>
      </w:r>
      <w:r>
        <w:rPr>
          <w:rFonts w:hint="eastAsia" w:ascii="宋体" w:hAnsi="宋体" w:cs="宋体"/>
          <w:b/>
          <w:bCs/>
          <w:color w:val="auto"/>
          <w:szCs w:val="21"/>
          <w:highlight w:val="none"/>
        </w:rPr>
        <w:t>：廉洁协议</w:t>
      </w:r>
    </w:p>
    <w:p>
      <w:pPr>
        <w:jc w:val="center"/>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廉洁协议</w:t>
      </w:r>
    </w:p>
    <w:p>
      <w:pPr>
        <w:ind w:firstLine="630" w:firstLineChars="225"/>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Cs/>
          <w:color w:val="auto"/>
          <w:sz w:val="28"/>
          <w:szCs w:val="28"/>
          <w:highlight w:val="none"/>
          <w:u w:val="single"/>
        </w:rPr>
        <w:t>广州市净水有限公司</w:t>
      </w:r>
      <w:r>
        <w:rPr>
          <w:rFonts w:hint="eastAsia" w:ascii="仿宋_GB2312" w:hAnsi="仿宋_GB2312" w:eastAsia="仿宋_GB2312" w:cs="仿宋_GB2312"/>
          <w:bCs/>
          <w:color w:val="auto"/>
          <w:sz w:val="28"/>
          <w:szCs w:val="28"/>
          <w:highlight w:val="none"/>
        </w:rPr>
        <w:t>(以下称甲方)与(以下称乙方)，特此订立本协议共同遵照执行。</w:t>
      </w:r>
    </w:p>
    <w:p>
      <w:pPr>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第一条 甲乙双方的权利和义务</w:t>
      </w:r>
    </w:p>
    <w:p>
      <w:pPr>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（一）甲乙双方严格遵守国家关于市场准入、项目招标投标、市场经营活动等有关法律、法规相关政策及廉政建设的各项规定。</w:t>
      </w:r>
    </w:p>
    <w:p>
      <w:pPr>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（二）严格执行</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合同（以下简称：主合同），自觉履行合同约定的相关义务。</w:t>
      </w:r>
    </w:p>
    <w:p>
      <w:pPr>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（三）在业务活动中坚持公开、公正、诚信、透明的原则，不得损害国家、集体利益。</w:t>
      </w:r>
    </w:p>
    <w:p>
      <w:pPr>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（四）建立健全廉洁从业制度，开展廉洁教育，公布举报电话，监督并认真查处不廉洁及违法违纪行为。</w:t>
      </w:r>
    </w:p>
    <w:p>
      <w:pPr>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（五）发现对方在业务活动中有不廉洁行为，应及时提醒对方纠正。情节严重的，应向其有关监督部门检举。</w:t>
      </w:r>
    </w:p>
    <w:p>
      <w:pPr>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第二条甲方的义务</w:t>
      </w:r>
    </w:p>
    <w:p>
      <w:pPr>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（一）甲方及其工作人员不得索要或接受乙方的礼金、有价证券和贵重物品，不得在乙方报销任何应由甲方或个人支付的费用等。</w:t>
      </w:r>
    </w:p>
    <w:p>
      <w:pPr>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（三）甲方及其工作人员不得要求或者接受乙方为其住房装修、婚丧嫁娶活动、配偶子女工作安排以及出国出境、旅游等提供方便等。</w:t>
      </w:r>
    </w:p>
    <w:p>
      <w:pPr>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（四）甲方工作人员不得在乙方或与乙方有股权关联的企业兼职，不得向乙方介绍家属或者亲友从事与甲方业务有关的经济活动。</w:t>
      </w:r>
    </w:p>
    <w:p>
      <w:pPr>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（六）甲方工作人员不得利用职务之便收受乙方以回扣、手续费、加班费、咨询费、劳务费、协调费、辛苦费等各种名义给予或赠送的钱物。</w:t>
      </w:r>
    </w:p>
    <w:p>
      <w:pPr>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（七）甲方工作人员不得接受乙方给予或赠送的干股或红利。</w:t>
      </w:r>
    </w:p>
    <w:p>
      <w:pPr>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(八）不得存在其他违反廉洁规定的行为。</w:t>
      </w:r>
    </w:p>
    <w:p>
      <w:pPr>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第三条乙方的义务</w:t>
      </w:r>
    </w:p>
    <w:p>
      <w:pPr>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（一）乙方不得以任何理由向甲方及其工作人员行贿或馈赠礼金、有价证券、贵重礼品。</w:t>
      </w:r>
    </w:p>
    <w:p>
      <w:pPr>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（二)乙方不得以任何名义为甲方及其工作人员报销应由甲方单位或个人支付的任何费用。</w:t>
      </w:r>
    </w:p>
    <w:p>
      <w:pPr>
        <w:ind w:left="25" w:leftChars="12"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（三）乙方不得以任何理由安排甲方工作人员参加可能影响相关业务公开、公正、公平性的宴请及娱乐活动。</w:t>
      </w:r>
    </w:p>
    <w:p>
      <w:pPr>
        <w:pStyle w:val="15"/>
        <w:spacing w:line="240" w:lineRule="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（四）乙方不得为甲方单位和个人购置或提供通讯工具和高档办公用品等物品，也不得为甲方提供与工作无关的房屋、汽车等。</w:t>
      </w:r>
    </w:p>
    <w:p>
      <w:pPr>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（五）乙方不得擅自与甲方工作人员就主合同中的质量、数量、价格、工程量、验收等条款进行私下商谈或者达成默契。</w:t>
      </w:r>
    </w:p>
    <w:p>
      <w:pPr>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（六）乙方不得以回扣、手续费、加班费、咨询费、劳务费、协调费、辛苦费等各种名义向甲方工作人员给予或赠送钱物。</w:t>
      </w:r>
    </w:p>
    <w:p>
      <w:pPr>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（七）乙方不得向甲方工作人员提供干股或红利。</w:t>
      </w:r>
    </w:p>
    <w:p>
      <w:pPr>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(八）不得存在其他违反廉洁规定的行为。</w:t>
      </w:r>
    </w:p>
    <w:p>
      <w:pPr>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第四条违约责任</w:t>
      </w:r>
    </w:p>
    <w:p>
      <w:pPr>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甲方举报投诉联系部门：广州市净水有限公司</w:t>
      </w:r>
      <w:r>
        <w:rPr>
          <w:rFonts w:hint="eastAsia" w:ascii="仿宋_GB2312" w:hAnsi="仿宋_GB2312" w:eastAsia="仿宋_GB2312" w:cs="仿宋_GB2312"/>
          <w:bCs/>
          <w:color w:val="auto"/>
          <w:sz w:val="28"/>
          <w:szCs w:val="28"/>
          <w:highlight w:val="none"/>
          <w:u w:val="single"/>
        </w:rPr>
        <w:t>纪检室</w:t>
      </w:r>
      <w:r>
        <w:rPr>
          <w:rFonts w:hint="eastAsia" w:ascii="仿宋_GB2312" w:hAnsi="仿宋_GB2312" w:eastAsia="仿宋_GB2312" w:cs="仿宋_GB2312"/>
          <w:bCs/>
          <w:color w:val="auto"/>
          <w:sz w:val="28"/>
          <w:szCs w:val="28"/>
          <w:highlight w:val="none"/>
        </w:rPr>
        <w:t>，联系电话：</w:t>
      </w:r>
      <w:r>
        <w:rPr>
          <w:rFonts w:hint="eastAsia" w:ascii="仿宋_GB2312" w:hAnsi="仿宋_GB2312" w:eastAsia="仿宋_GB2312" w:cs="仿宋_GB2312"/>
          <w:bCs/>
          <w:color w:val="auto"/>
          <w:sz w:val="28"/>
          <w:szCs w:val="28"/>
          <w:highlight w:val="none"/>
          <w:u w:val="single"/>
        </w:rPr>
        <w:t xml:space="preserve"> 020-38890265 </w:t>
      </w:r>
      <w:r>
        <w:rPr>
          <w:rFonts w:hint="eastAsia" w:ascii="仿宋_GB2312" w:hAnsi="仿宋_GB2312" w:eastAsia="仿宋_GB2312" w:cs="仿宋_GB2312"/>
          <w:bCs/>
          <w:color w:val="auto"/>
          <w:sz w:val="28"/>
          <w:szCs w:val="28"/>
          <w:highlight w:val="none"/>
        </w:rPr>
        <w:t>。</w:t>
      </w:r>
    </w:p>
    <w:p>
      <w:pPr>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1、扣除主合同的全部履约保证金；</w:t>
      </w:r>
    </w:p>
    <w:p>
      <w:pPr>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2、解除主合同；</w:t>
      </w:r>
    </w:p>
    <w:p>
      <w:pPr>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3、追究乙方其他违约责任；</w:t>
      </w:r>
    </w:p>
    <w:p>
      <w:pPr>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4、根据甲方的有关规章制度，在一定时间内暂停乙方参与甲方及下属单位所有项目的交易资格；</w:t>
      </w:r>
    </w:p>
    <w:p>
      <w:pPr>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5、根据甲方的有关规章制度，将乙方清退出甲方相关企业库；</w:t>
      </w:r>
    </w:p>
    <w:p>
      <w:pPr>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6、根据甲方上级单位、行政主管部门的意见、决定执行；</w:t>
      </w:r>
    </w:p>
    <w:p>
      <w:pPr>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7、按规定向有关行政监督部门、乙方业务管理部门进行投诉、报告。</w:t>
      </w:r>
    </w:p>
    <w:p>
      <w:pPr>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乙方无条件接受甲方的处理决定并承担给甲方造成的损失，全额返还通过不正当手段获取的非法所得，并承担相应的法律责任。</w:t>
      </w:r>
    </w:p>
    <w:p>
      <w:pPr>
        <w:ind w:firstLine="560" w:firstLineChars="200"/>
        <w:rPr>
          <w:rFonts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sz w:val="28"/>
          <w:szCs w:val="28"/>
          <w:highlight w:val="none"/>
        </w:rPr>
        <w:t xml:space="preserve">第五条 </w:t>
      </w:r>
      <w:r>
        <w:rPr>
          <w:rFonts w:hint="eastAsia" w:ascii="仿宋_GB2312" w:hAnsi="仿宋_GB2312" w:eastAsia="仿宋_GB2312" w:cs="仿宋_GB2312"/>
          <w:bCs/>
          <w:color w:val="auto"/>
          <w:kern w:val="0"/>
          <w:sz w:val="28"/>
          <w:szCs w:val="28"/>
          <w:highlight w:val="none"/>
        </w:rPr>
        <w:t xml:space="preserve">本协议执行情况，接受有管辖权的纪检、监察部门的监督，双方应予以配合检查调查。 </w:t>
      </w:r>
    </w:p>
    <w:p>
      <w:pPr>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第六条本协议作为</w:t>
      </w:r>
      <w:r>
        <w:rPr>
          <w:rFonts w:hint="eastAsia" w:ascii="仿宋_GB2312" w:hAnsi="仿宋_GB2312" w:eastAsia="仿宋_GB2312" w:cs="仿宋_GB2312"/>
          <w:bCs/>
          <w:color w:val="auto"/>
          <w:sz w:val="28"/>
          <w:szCs w:val="28"/>
          <w:highlight w:val="none"/>
          <w:u w:val="single"/>
        </w:rPr>
        <w:t>（合同名称）+（合同编号）</w:t>
      </w:r>
      <w:r>
        <w:rPr>
          <w:rFonts w:hint="eastAsia" w:ascii="仿宋_GB2312" w:hAnsi="仿宋_GB2312" w:eastAsia="仿宋_GB2312" w:cs="仿宋_GB2312"/>
          <w:bCs/>
          <w:color w:val="auto"/>
          <w:sz w:val="28"/>
          <w:szCs w:val="28"/>
          <w:highlight w:val="none"/>
        </w:rPr>
        <w:t>合同的附件，并具有同等的法律效力，本协议自双方签字盖章之日起生效，与主合同同时终止。</w:t>
      </w:r>
    </w:p>
    <w:p>
      <w:pPr>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第七条本协议甲方、乙方双方执持数量与主合同一致。</w:t>
      </w:r>
    </w:p>
    <w:p>
      <w:pPr>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甲方（盖章）：                     乙方（盖章）：</w:t>
      </w:r>
    </w:p>
    <w:p>
      <w:pPr>
        <w:pStyle w:val="33"/>
        <w:tabs>
          <w:tab w:val="left" w:pos="5100"/>
        </w:tabs>
        <w:ind w:left="7200" w:firstLine="0" w:firstLineChars="0"/>
        <w:jc w:val="left"/>
        <w:rPr>
          <w:rFonts w:ascii="仿宋_GB2312" w:hAnsi="仿宋_GB2312" w:eastAsia="仿宋_GB2312" w:cs="仿宋_GB2312"/>
          <w:bCs/>
          <w:color w:val="auto"/>
          <w:sz w:val="28"/>
          <w:szCs w:val="28"/>
          <w:highlight w:val="none"/>
        </w:rPr>
      </w:pPr>
    </w:p>
    <w:p>
      <w:pPr>
        <w:tabs>
          <w:tab w:val="left" w:pos="5100"/>
        </w:tabs>
        <w:ind w:left="8400" w:hanging="8400" w:hangingChars="30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签约代表：                         签约代表：</w:t>
      </w:r>
    </w:p>
    <w:p>
      <w:pPr>
        <w:tabs>
          <w:tab w:val="left" w:pos="4170"/>
        </w:tabs>
        <w:rPr>
          <w:rFonts w:ascii="宋体" w:hAnsi="宋体" w:cs="宋体"/>
          <w:b/>
          <w:bCs/>
          <w:color w:val="auto"/>
          <w:szCs w:val="21"/>
          <w:highlight w:val="none"/>
        </w:rPr>
      </w:pPr>
      <w:r>
        <w:rPr>
          <w:rFonts w:hint="eastAsia" w:ascii="仿宋_GB2312" w:hAnsi="仿宋_GB2312" w:eastAsia="仿宋_GB2312" w:cs="仿宋_GB2312"/>
          <w:bCs/>
          <w:color w:val="auto"/>
          <w:sz w:val="28"/>
          <w:szCs w:val="28"/>
          <w:highlight w:val="none"/>
        </w:rPr>
        <w:t xml:space="preserve">日期:    年  月  日 </w:t>
      </w:r>
      <w:r>
        <w:rPr>
          <w:rFonts w:ascii="仿宋_GB2312" w:hAnsi="仿宋_GB2312" w:eastAsia="仿宋_GB2312" w:cs="仿宋_GB2312"/>
          <w:bCs/>
          <w:color w:val="auto"/>
          <w:sz w:val="28"/>
          <w:szCs w:val="28"/>
          <w:highlight w:val="none"/>
        </w:rPr>
        <w:t xml:space="preserve">  </w:t>
      </w:r>
      <w:r>
        <w:rPr>
          <w:rFonts w:hint="eastAsia" w:ascii="仿宋_GB2312" w:hAnsi="仿宋_GB2312" w:eastAsia="仿宋_GB2312" w:cs="仿宋_GB2312"/>
          <w:bCs/>
          <w:color w:val="auto"/>
          <w:sz w:val="28"/>
          <w:szCs w:val="28"/>
          <w:highlight w:val="none"/>
        </w:rPr>
        <w:tab/>
      </w:r>
      <w:r>
        <w:rPr>
          <w:rFonts w:hint="eastAsia" w:ascii="仿宋_GB2312" w:hAnsi="仿宋_GB2312" w:eastAsia="仿宋_GB2312" w:cs="仿宋_GB2312"/>
          <w:bCs/>
          <w:color w:val="auto"/>
          <w:sz w:val="28"/>
          <w:szCs w:val="28"/>
          <w:highlight w:val="none"/>
        </w:rPr>
        <w:t>日期：  年  月  日</w:t>
      </w:r>
      <w:r>
        <w:rPr>
          <w:rFonts w:hint="eastAsia" w:ascii="宋体" w:hAnsi="宋体" w:cs="宋体"/>
          <w:b/>
          <w:bCs/>
          <w:color w:val="auto"/>
          <w:szCs w:val="21"/>
          <w:highlight w:val="none"/>
        </w:rPr>
        <w:br w:type="page"/>
      </w:r>
    </w:p>
    <w:p>
      <w:pPr>
        <w:adjustRightInd w:val="0"/>
        <w:snapToGrid w:val="0"/>
        <w:rPr>
          <w:rFonts w:ascii="宋体" w:hAnsi="宋体" w:cs="宋体"/>
          <w:color w:val="auto"/>
          <w:szCs w:val="21"/>
          <w:highlight w:val="none"/>
        </w:rPr>
      </w:pPr>
      <w:r>
        <w:rPr>
          <w:rFonts w:hint="eastAsia" w:ascii="宋体" w:hAnsi="宋体" w:cs="宋体"/>
          <w:b/>
          <w:bCs/>
          <w:color w:val="auto"/>
          <w:szCs w:val="21"/>
          <w:highlight w:val="none"/>
        </w:rPr>
        <w:t>附件3.</w:t>
      </w:r>
      <w:r>
        <w:rPr>
          <w:rFonts w:hint="eastAsia" w:ascii="宋体" w:hAnsi="宋体" w:cs="宋体"/>
          <w:color w:val="auto"/>
          <w:szCs w:val="21"/>
          <w:highlight w:val="none"/>
        </w:rPr>
        <w:t>不诚信行为的情形及相应被暂停参与投标活动的处理标准</w:t>
      </w:r>
    </w:p>
    <w:p>
      <w:pPr>
        <w:pStyle w:val="7"/>
        <w:rPr>
          <w:rFonts w:ascii="宋体" w:hAnsi="宋体" w:cs="宋体"/>
          <w:color w:val="auto"/>
          <w:szCs w:val="21"/>
          <w:highlight w:val="none"/>
        </w:rPr>
      </w:pPr>
    </w:p>
    <w:tbl>
      <w:tblPr>
        <w:tblStyle w:val="22"/>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处理</w:t>
            </w:r>
          </w:p>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发生重伤或死亡1～2人的，暂停投标1年至2年（含）。</w:t>
            </w:r>
          </w:p>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发生重伤或死亡3～9人的，暂停投标2年以上至4年。</w:t>
            </w:r>
          </w:p>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其他不诚信</w:t>
            </w:r>
          </w:p>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bl>
    <w:p>
      <w:pPr>
        <w:contextualSpacing/>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备注：本处理标准出自《广州市净水有限公司经营建设项目参建企业不诚信行为管理办法》。</w:t>
      </w:r>
    </w:p>
    <w:p>
      <w:pPr>
        <w:spacing w:line="360" w:lineRule="auto"/>
        <w:rPr>
          <w:rFonts w:ascii="宋体" w:hAnsi="宋体"/>
          <w:b/>
          <w:color w:val="auto"/>
          <w:sz w:val="24"/>
          <w:highlight w:val="none"/>
        </w:rPr>
      </w:pPr>
    </w:p>
    <w:p>
      <w:pPr>
        <w:rPr>
          <w:rFonts w:ascii="宋体" w:hAnsi="宋体" w:cs="宋体"/>
          <w:b/>
          <w:color w:val="auto"/>
          <w:szCs w:val="21"/>
          <w:highlight w:val="none"/>
        </w:rPr>
      </w:pPr>
      <w:r>
        <w:rPr>
          <w:rFonts w:hint="eastAsia" w:ascii="宋体" w:hAnsi="宋体" w:cs="宋体"/>
          <w:b/>
          <w:color w:val="auto"/>
          <w:szCs w:val="21"/>
          <w:highlight w:val="none"/>
        </w:rPr>
        <w:br w:type="page"/>
      </w:r>
    </w:p>
    <w:p>
      <w:pPr>
        <w:spacing w:line="360" w:lineRule="auto"/>
        <w:rPr>
          <w:rFonts w:ascii="宋体" w:hAnsi="宋体" w:cs="宋体"/>
          <w:b/>
          <w:color w:val="auto"/>
          <w:szCs w:val="21"/>
          <w:highlight w:val="none"/>
        </w:rPr>
      </w:pPr>
      <w:r>
        <w:rPr>
          <w:rFonts w:hint="eastAsia" w:ascii="宋体" w:hAnsi="宋体" w:cs="宋体"/>
          <w:b/>
          <w:color w:val="auto"/>
          <w:szCs w:val="21"/>
          <w:highlight w:val="none"/>
        </w:rPr>
        <w:t>附件4：</w:t>
      </w:r>
      <w:bookmarkEnd w:id="113"/>
      <w:bookmarkEnd w:id="114"/>
      <w:bookmarkEnd w:id="115"/>
      <w:r>
        <w:rPr>
          <w:rFonts w:hint="eastAsia" w:ascii="宋体" w:hAnsi="宋体" w:cs="宋体"/>
          <w:b/>
          <w:color w:val="auto"/>
          <w:szCs w:val="21"/>
          <w:highlight w:val="none"/>
        </w:rPr>
        <w:t>安全管理协议书</w:t>
      </w:r>
    </w:p>
    <w:p>
      <w:pPr>
        <w:spacing w:line="360" w:lineRule="auto"/>
        <w:jc w:val="center"/>
        <w:rPr>
          <w:rFonts w:ascii="宋体" w:hAnsi="宋体" w:cs="宋体"/>
          <w:b/>
          <w:bCs/>
          <w:color w:val="auto"/>
          <w:sz w:val="24"/>
          <w:highlight w:val="none"/>
        </w:rPr>
      </w:pPr>
    </w:p>
    <w:p>
      <w:pPr>
        <w:spacing w:line="560" w:lineRule="exact"/>
        <w:jc w:val="center"/>
        <w:rPr>
          <w:rFonts w:ascii="黑体" w:hAnsi="Batang" w:eastAsia="黑体" w:cs="Batang"/>
          <w:bCs/>
          <w:color w:val="auto"/>
          <w:kern w:val="0"/>
          <w:sz w:val="44"/>
          <w:szCs w:val="44"/>
          <w:highlight w:val="none"/>
        </w:rPr>
      </w:pPr>
      <w:r>
        <w:rPr>
          <w:rFonts w:hint="eastAsia" w:ascii="黑体" w:hAnsi="Batang" w:eastAsia="黑体" w:cs="Batang"/>
          <w:bCs/>
          <w:color w:val="auto"/>
          <w:kern w:val="0"/>
          <w:sz w:val="44"/>
          <w:szCs w:val="44"/>
          <w:highlight w:val="none"/>
        </w:rPr>
        <w:t>营运场所施工安全协议书</w:t>
      </w:r>
    </w:p>
    <w:p>
      <w:pPr>
        <w:spacing w:line="560" w:lineRule="exact"/>
        <w:rPr>
          <w:rFonts w:ascii="仿宋_GB2312" w:hAnsi="宋体" w:eastAsia="仿宋_GB2312"/>
          <w:color w:val="auto"/>
          <w:sz w:val="24"/>
          <w:highlight w:val="none"/>
        </w:rPr>
      </w:pPr>
    </w:p>
    <w:p>
      <w:pPr>
        <w:spacing w:line="560" w:lineRule="exact"/>
        <w:rPr>
          <w:rFonts w:ascii="宋体" w:hAnsi="宋体" w:cs="Arial"/>
          <w:color w:val="auto"/>
          <w:kern w:val="0"/>
          <w:sz w:val="24"/>
          <w:highlight w:val="none"/>
        </w:rPr>
      </w:pPr>
      <w:bookmarkStart w:id="116" w:name="_Toc21391"/>
      <w:r>
        <w:rPr>
          <w:rFonts w:hint="eastAsia" w:ascii="宋体" w:hAnsi="宋体" w:cs="Arial"/>
          <w:color w:val="auto"/>
          <w:kern w:val="0"/>
          <w:sz w:val="24"/>
          <w:highlight w:val="none"/>
        </w:rPr>
        <w:t>甲方：</w:t>
      </w:r>
      <w:r>
        <w:rPr>
          <w:rFonts w:hint="eastAsia"/>
          <w:color w:val="auto"/>
          <w:sz w:val="24"/>
          <w:highlight w:val="none"/>
        </w:rPr>
        <w:t>广州市净水有限公司</w:t>
      </w: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 xml:space="preserve">乙方： </w:t>
      </w:r>
    </w:p>
    <w:p>
      <w:pPr>
        <w:adjustRightInd w:val="0"/>
        <w:snapToGrid w:val="0"/>
        <w:spacing w:line="560" w:lineRule="exact"/>
        <w:jc w:val="left"/>
        <w:rPr>
          <w:rStyle w:val="25"/>
          <w:rFonts w:asciiTheme="minorEastAsia" w:hAnsiTheme="minorEastAsia"/>
          <w:b w:val="0"/>
          <w:color w:val="auto"/>
          <w:highlight w:val="none"/>
        </w:rPr>
      </w:pPr>
    </w:p>
    <w:bookmarkEnd w:id="116"/>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b/>
          <w:color w:val="auto"/>
          <w:sz w:val="24"/>
          <w:highlight w:val="none"/>
        </w:rPr>
      </w:pPr>
      <w:r>
        <w:rPr>
          <w:rFonts w:hint="eastAsia" w:asciiTheme="minorEastAsia" w:hAnsiTheme="minorEastAsia"/>
          <w:b/>
          <w:color w:val="auto"/>
          <w:sz w:val="24"/>
          <w:highlight w:val="none"/>
        </w:rPr>
        <w:t>一、本协议与主合同的关系</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本协议作为</w:t>
      </w: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的组成部分，与主合同具有同等法律效力。</w:t>
      </w:r>
    </w:p>
    <w:p>
      <w:pPr>
        <w:adjustRightInd w:val="0"/>
        <w:snapToGrid w:val="0"/>
        <w:spacing w:line="560" w:lineRule="exact"/>
        <w:ind w:firstLine="482" w:firstLineChars="200"/>
        <w:jc w:val="left"/>
        <w:rPr>
          <w:rFonts w:asciiTheme="minorEastAsia" w:hAnsiTheme="minorEastAsia"/>
          <w:b/>
          <w:color w:val="auto"/>
          <w:sz w:val="24"/>
          <w:highlight w:val="none"/>
        </w:rPr>
      </w:pPr>
      <w:r>
        <w:rPr>
          <w:rFonts w:asciiTheme="minorEastAsia" w:hAnsiTheme="minorEastAsia"/>
          <w:b/>
          <w:color w:val="auto"/>
          <w:sz w:val="24"/>
          <w:highlight w:val="none"/>
        </w:rPr>
        <w:t xml:space="preserve"> 二、</w:t>
      </w:r>
      <w:r>
        <w:rPr>
          <w:rFonts w:hint="eastAsia" w:asciiTheme="minorEastAsia" w:hAnsiTheme="minorEastAsia"/>
          <w:b/>
          <w:color w:val="auto"/>
          <w:sz w:val="24"/>
          <w:highlight w:val="none"/>
        </w:rPr>
        <w:t>甲方权责</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（三）要求乙方遵守的甲方安全管理要求。</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color w:val="auto"/>
          <w:sz w:val="24"/>
          <w:highlight w:val="none"/>
        </w:rPr>
      </w:pPr>
      <w:r>
        <w:rPr>
          <w:rFonts w:asciiTheme="minorEastAsia" w:hAnsiTheme="minorEastAsia"/>
          <w:color w:val="auto"/>
          <w:sz w:val="24"/>
          <w:highlight w:val="none"/>
        </w:rPr>
        <w:t>1.</w:t>
      </w:r>
      <w:r>
        <w:rPr>
          <w:rFonts w:hint="eastAsia" w:asciiTheme="minorEastAsia" w:hAnsiTheme="minorEastAsia"/>
          <w:color w:val="auto"/>
          <w:sz w:val="24"/>
          <w:highlight w:val="none"/>
        </w:rPr>
        <w:t>按主合同相关条款进行经济扣罚；</w:t>
      </w:r>
    </w:p>
    <w:p>
      <w:pPr>
        <w:adjustRightInd w:val="0"/>
        <w:snapToGrid w:val="0"/>
        <w:spacing w:line="560" w:lineRule="exact"/>
        <w:ind w:firstLine="480" w:firstLineChars="200"/>
        <w:jc w:val="left"/>
        <w:rPr>
          <w:rFonts w:asciiTheme="minorEastAsia" w:hAnsiTheme="minorEastAsia"/>
          <w:color w:val="auto"/>
          <w:sz w:val="24"/>
          <w:highlight w:val="none"/>
        </w:rPr>
      </w:pPr>
      <w:r>
        <w:rPr>
          <w:rFonts w:asciiTheme="minorEastAsia" w:hAnsiTheme="minorEastAsia"/>
          <w:color w:val="auto"/>
          <w:sz w:val="24"/>
          <w:highlight w:val="none"/>
        </w:rPr>
        <w:t>2.</w:t>
      </w:r>
      <w:r>
        <w:rPr>
          <w:rFonts w:hint="eastAsia" w:asciiTheme="minorEastAsia" w:hAnsiTheme="minorEastAsia"/>
          <w:color w:val="auto"/>
          <w:sz w:val="24"/>
          <w:highlight w:val="none"/>
        </w:rPr>
        <w:t>根据《广州市水务局关于印发广州市水务工程施工和监理企业诚信评价管理办法的通知》（穗水建设〔2</w:t>
      </w:r>
      <w:r>
        <w:rPr>
          <w:rFonts w:asciiTheme="minorEastAsia" w:hAnsiTheme="minorEastAsia"/>
          <w:color w:val="auto"/>
          <w:sz w:val="24"/>
          <w:highlight w:val="none"/>
        </w:rPr>
        <w:t>014</w:t>
      </w:r>
      <w:r>
        <w:rPr>
          <w:rFonts w:hint="eastAsia" w:asciiTheme="minorEastAsia" w:hAnsiTheme="minorEastAsia"/>
          <w:color w:val="auto"/>
          <w:sz w:val="24"/>
          <w:highlight w:val="none"/>
        </w:rPr>
        <w:t>〕1</w:t>
      </w:r>
      <w:r>
        <w:rPr>
          <w:rFonts w:asciiTheme="minorEastAsia" w:hAnsiTheme="minorEastAsia"/>
          <w:color w:val="auto"/>
          <w:sz w:val="24"/>
          <w:highlight w:val="none"/>
        </w:rPr>
        <w:t>0</w:t>
      </w:r>
      <w:r>
        <w:rPr>
          <w:rFonts w:hint="eastAsia" w:asciiTheme="minorEastAsia" w:hAnsiTheme="minorEastAsia"/>
          <w:color w:val="auto"/>
          <w:sz w:val="24"/>
          <w:highlight w:val="none"/>
        </w:rPr>
        <w:t>号）、《市净水公司关于印发施工和监理企业诚信评价工作实施办法的通知》（穗净水〔201</w:t>
      </w:r>
      <w:r>
        <w:rPr>
          <w:rFonts w:asciiTheme="minorEastAsia" w:hAnsiTheme="minorEastAsia"/>
          <w:color w:val="auto"/>
          <w:sz w:val="24"/>
          <w:highlight w:val="none"/>
        </w:rPr>
        <w:t>5</w:t>
      </w:r>
      <w:r>
        <w:rPr>
          <w:rFonts w:hint="eastAsia" w:asciiTheme="minorEastAsia" w:hAnsiTheme="minorEastAsia"/>
          <w:color w:val="auto"/>
          <w:sz w:val="24"/>
          <w:highlight w:val="none"/>
        </w:rPr>
        <w:t>〕2</w:t>
      </w:r>
      <w:r>
        <w:rPr>
          <w:rFonts w:asciiTheme="minorEastAsia" w:hAnsiTheme="minorEastAsia"/>
          <w:color w:val="auto"/>
          <w:sz w:val="24"/>
          <w:highlight w:val="none"/>
        </w:rPr>
        <w:t>40</w:t>
      </w:r>
      <w:r>
        <w:rPr>
          <w:rFonts w:hint="eastAsia" w:asciiTheme="minorEastAsia" w:hAnsiTheme="minorEastAsia"/>
          <w:color w:val="auto"/>
          <w:sz w:val="24"/>
          <w:highlight w:val="none"/>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3</w:t>
      </w:r>
      <w:r>
        <w:rPr>
          <w:rFonts w:asciiTheme="minorEastAsia" w:hAnsiTheme="minorEastAsia"/>
          <w:color w:val="auto"/>
          <w:sz w:val="24"/>
          <w:highlight w:val="none"/>
        </w:rPr>
        <w:t>.</w:t>
      </w:r>
      <w:r>
        <w:rPr>
          <w:rFonts w:hint="eastAsia" w:asciiTheme="minorEastAsia" w:hAnsiTheme="minorEastAsia"/>
          <w:color w:val="auto"/>
          <w:sz w:val="24"/>
          <w:highlight w:val="none"/>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color w:val="auto"/>
          <w:sz w:val="24"/>
          <w:highlight w:val="none"/>
        </w:rPr>
      </w:pPr>
      <w:r>
        <w:rPr>
          <w:rFonts w:asciiTheme="minorEastAsia" w:hAnsiTheme="minorEastAsia"/>
          <w:color w:val="auto"/>
          <w:sz w:val="24"/>
          <w:highlight w:val="none"/>
        </w:rPr>
        <w:t>4.</w:t>
      </w:r>
      <w:r>
        <w:rPr>
          <w:rFonts w:hint="eastAsia" w:asciiTheme="minorEastAsia" w:hAnsiTheme="minorEastAsia"/>
          <w:color w:val="auto"/>
          <w:sz w:val="24"/>
          <w:highlight w:val="none"/>
        </w:rPr>
        <w:t>向上级进行反映，包括但不限于广东省市政行业协会、广州市市政公路协会等。</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b/>
          <w:color w:val="auto"/>
          <w:sz w:val="24"/>
          <w:highlight w:val="none"/>
        </w:rPr>
      </w:pPr>
      <w:r>
        <w:rPr>
          <w:rFonts w:hint="eastAsia" w:asciiTheme="minorEastAsia" w:hAnsiTheme="minorEastAsia"/>
          <w:b/>
          <w:color w:val="auto"/>
          <w:sz w:val="24"/>
          <w:highlight w:val="none"/>
        </w:rPr>
        <w:t>三、乙方权责</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（三）乙方应在合同签订后</w:t>
      </w:r>
      <w:r>
        <w:rPr>
          <w:rFonts w:asciiTheme="minorEastAsia" w:hAnsiTheme="minorEastAsia"/>
          <w:color w:val="auto"/>
          <w:sz w:val="24"/>
          <w:highlight w:val="none"/>
          <w:u w:val="single"/>
        </w:rPr>
        <w:t xml:space="preserve">    </w:t>
      </w:r>
      <w:r>
        <w:rPr>
          <w:rFonts w:hint="eastAsia" w:asciiTheme="minorEastAsia" w:hAnsiTheme="minorEastAsia"/>
          <w:color w:val="auto"/>
          <w:sz w:val="24"/>
          <w:highlight w:val="none"/>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（八）严格履行本协议，遵守甲方各项管理规定，服从管理。</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b/>
          <w:color w:val="auto"/>
          <w:sz w:val="24"/>
          <w:highlight w:val="none"/>
        </w:rPr>
      </w:pPr>
      <w:r>
        <w:rPr>
          <w:rFonts w:hint="eastAsia" w:asciiTheme="minorEastAsia" w:hAnsiTheme="minorEastAsia"/>
          <w:b/>
          <w:color w:val="auto"/>
          <w:sz w:val="24"/>
          <w:highlight w:val="none"/>
        </w:rPr>
        <w:t>四、事故责任</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6"/>
        <w:spacing w:line="560" w:lineRule="exact"/>
        <w:ind w:firstLine="482" w:firstLineChars="200"/>
        <w:rPr>
          <w:rFonts w:asciiTheme="minorEastAsia" w:hAnsiTheme="minorEastAsia"/>
          <w:color w:val="auto"/>
          <w:sz w:val="24"/>
          <w:highlight w:val="none"/>
        </w:rPr>
      </w:pPr>
      <w:r>
        <w:rPr>
          <w:rFonts w:hint="eastAsia" w:asciiTheme="minorEastAsia" w:hAnsiTheme="minorEastAsia"/>
          <w:b/>
          <w:color w:val="auto"/>
          <w:sz w:val="24"/>
          <w:highlight w:val="none"/>
        </w:rPr>
        <w:t>五、补充条款：</w:t>
      </w:r>
      <w:r>
        <w:rPr>
          <w:rFonts w:asciiTheme="minorEastAsia" w:hAnsiTheme="minorEastAsia"/>
          <w:color w:val="auto"/>
          <w:sz w:val="24"/>
          <w:highlight w:val="none"/>
          <w:u w:val="single"/>
        </w:rPr>
        <w:t xml:space="preserve">                 </w:t>
      </w:r>
      <w:r>
        <w:rPr>
          <w:rFonts w:hint="eastAsia" w:asciiTheme="minorEastAsia" w:hAnsiTheme="minorEastAsia"/>
          <w:color w:val="auto"/>
          <w:sz w:val="24"/>
          <w:highlight w:val="none"/>
        </w:rPr>
        <w:t>。</w:t>
      </w:r>
    </w:p>
    <w:p>
      <w:pPr>
        <w:adjustRightInd w:val="0"/>
        <w:snapToGrid w:val="0"/>
        <w:spacing w:line="560" w:lineRule="exact"/>
        <w:ind w:firstLine="482" w:firstLineChars="200"/>
        <w:jc w:val="left"/>
        <w:rPr>
          <w:rFonts w:asciiTheme="minorEastAsia" w:hAnsiTheme="minorEastAsia"/>
          <w:b/>
          <w:color w:val="auto"/>
          <w:sz w:val="24"/>
          <w:highlight w:val="none"/>
        </w:rPr>
      </w:pPr>
      <w:r>
        <w:rPr>
          <w:rFonts w:hint="eastAsia" w:asciiTheme="minorEastAsia" w:hAnsiTheme="minorEastAsia"/>
          <w:b/>
          <w:color w:val="auto"/>
          <w:sz w:val="24"/>
          <w:highlight w:val="none"/>
        </w:rPr>
        <w:t>六、附则</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color w:val="auto"/>
          <w:sz w:val="24"/>
          <w:highlight w:val="none"/>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color w:val="auto"/>
                <w:sz w:val="24"/>
                <w:highlight w:val="none"/>
              </w:rPr>
            </w:pPr>
            <w:r>
              <w:rPr>
                <w:rFonts w:hint="eastAsia" w:asciiTheme="minorEastAsia" w:hAnsiTheme="minorEastAsia"/>
                <w:color w:val="auto"/>
                <w:sz w:val="24"/>
                <w:highlight w:val="none"/>
              </w:rPr>
              <w:t>甲方：</w:t>
            </w:r>
          </w:p>
          <w:p>
            <w:pPr>
              <w:adjustRightInd w:val="0"/>
              <w:snapToGrid w:val="0"/>
              <w:spacing w:line="560" w:lineRule="exact"/>
              <w:rPr>
                <w:rFonts w:asciiTheme="minorEastAsia" w:hAnsiTheme="minorEastAsia"/>
                <w:color w:val="auto"/>
                <w:sz w:val="24"/>
                <w:highlight w:val="none"/>
              </w:rPr>
            </w:pPr>
            <w:r>
              <w:rPr>
                <w:rFonts w:hint="eastAsia" w:asciiTheme="minorEastAsia" w:hAnsiTheme="minorEastAsia"/>
                <w:color w:val="auto"/>
                <w:sz w:val="24"/>
                <w:highlight w:val="none"/>
              </w:rPr>
              <w:t>签约代表：</w:t>
            </w:r>
          </w:p>
          <w:p>
            <w:pPr>
              <w:adjustRightInd w:val="0"/>
              <w:snapToGrid w:val="0"/>
              <w:spacing w:line="560" w:lineRule="exact"/>
              <w:rPr>
                <w:rFonts w:asciiTheme="minorEastAsia" w:hAnsiTheme="minorEastAsia"/>
                <w:color w:val="auto"/>
                <w:sz w:val="24"/>
                <w:highlight w:val="none"/>
              </w:rPr>
            </w:pPr>
            <w:r>
              <w:rPr>
                <w:rFonts w:hint="eastAsia" w:asciiTheme="minorEastAsia" w:hAnsiTheme="minorEastAsia"/>
                <w:color w:val="auto"/>
                <w:sz w:val="24"/>
                <w:highlight w:val="none"/>
              </w:rPr>
              <w:t>联系电话：</w:t>
            </w:r>
          </w:p>
          <w:p>
            <w:pPr>
              <w:adjustRightInd w:val="0"/>
              <w:snapToGrid w:val="0"/>
              <w:spacing w:line="560" w:lineRule="exact"/>
              <w:ind w:firstLine="240" w:firstLineChars="100"/>
              <w:jc w:val="right"/>
              <w:rPr>
                <w:rFonts w:asciiTheme="minorEastAsia" w:hAnsiTheme="minorEastAsia"/>
                <w:color w:val="auto"/>
                <w:sz w:val="24"/>
                <w:highlight w:val="none"/>
              </w:rPr>
            </w:pPr>
            <w:r>
              <w:rPr>
                <w:rFonts w:hint="eastAsia" w:asciiTheme="minorEastAsia" w:hAnsiTheme="minorEastAsia"/>
                <w:color w:val="auto"/>
                <w:sz w:val="24"/>
                <w:highlight w:val="none"/>
              </w:rPr>
              <w:t>年</w:t>
            </w:r>
            <w:r>
              <w:rPr>
                <w:rFonts w:asciiTheme="minorEastAsia" w:hAnsiTheme="minorEastAsia"/>
                <w:color w:val="auto"/>
                <w:sz w:val="24"/>
                <w:highlight w:val="none"/>
              </w:rPr>
              <w:t xml:space="preserve">    </w:t>
            </w:r>
            <w:r>
              <w:rPr>
                <w:rFonts w:hint="eastAsia" w:asciiTheme="minorEastAsia" w:hAnsiTheme="minorEastAsia"/>
                <w:color w:val="auto"/>
                <w:sz w:val="24"/>
                <w:highlight w:val="none"/>
              </w:rPr>
              <w:t>月</w:t>
            </w:r>
            <w:r>
              <w:rPr>
                <w:rFonts w:asciiTheme="minorEastAsia" w:hAnsiTheme="minorEastAsia"/>
                <w:color w:val="auto"/>
                <w:sz w:val="24"/>
                <w:highlight w:val="none"/>
              </w:rPr>
              <w:t xml:space="preserve">    </w:t>
            </w:r>
            <w:r>
              <w:rPr>
                <w:rFonts w:hint="eastAsia" w:asciiTheme="minorEastAsia" w:hAnsiTheme="minorEastAsia"/>
                <w:color w:val="auto"/>
                <w:sz w:val="24"/>
                <w:highlight w:val="none"/>
              </w:rPr>
              <w:t>日</w:t>
            </w:r>
          </w:p>
        </w:tc>
        <w:tc>
          <w:tcPr>
            <w:tcW w:w="4474" w:type="dxa"/>
          </w:tcPr>
          <w:p>
            <w:pPr>
              <w:adjustRightInd w:val="0"/>
              <w:snapToGrid w:val="0"/>
              <w:spacing w:line="560" w:lineRule="exact"/>
              <w:rPr>
                <w:rFonts w:asciiTheme="minorEastAsia" w:hAnsiTheme="minorEastAsia"/>
                <w:color w:val="auto"/>
                <w:sz w:val="24"/>
                <w:highlight w:val="none"/>
              </w:rPr>
            </w:pPr>
            <w:r>
              <w:rPr>
                <w:rFonts w:hint="eastAsia" w:asciiTheme="minorEastAsia" w:hAnsiTheme="minorEastAsia"/>
                <w:color w:val="auto"/>
                <w:sz w:val="24"/>
                <w:highlight w:val="none"/>
              </w:rPr>
              <w:t>乙方：</w:t>
            </w:r>
          </w:p>
          <w:p>
            <w:pPr>
              <w:adjustRightInd w:val="0"/>
              <w:snapToGrid w:val="0"/>
              <w:spacing w:line="560" w:lineRule="exact"/>
              <w:rPr>
                <w:rFonts w:asciiTheme="minorEastAsia" w:hAnsiTheme="minorEastAsia"/>
                <w:color w:val="auto"/>
                <w:sz w:val="24"/>
                <w:highlight w:val="none"/>
              </w:rPr>
            </w:pPr>
            <w:r>
              <w:rPr>
                <w:rFonts w:hint="eastAsia" w:asciiTheme="minorEastAsia" w:hAnsiTheme="minorEastAsia"/>
                <w:color w:val="auto"/>
                <w:sz w:val="24"/>
                <w:highlight w:val="none"/>
              </w:rPr>
              <w:t>签约代表：</w:t>
            </w:r>
          </w:p>
          <w:p>
            <w:pPr>
              <w:adjustRightInd w:val="0"/>
              <w:snapToGrid w:val="0"/>
              <w:spacing w:line="560" w:lineRule="exact"/>
              <w:rPr>
                <w:rFonts w:asciiTheme="minorEastAsia" w:hAnsiTheme="minorEastAsia"/>
                <w:color w:val="auto"/>
                <w:sz w:val="24"/>
                <w:highlight w:val="none"/>
              </w:rPr>
            </w:pPr>
            <w:r>
              <w:rPr>
                <w:rFonts w:hint="eastAsia" w:asciiTheme="minorEastAsia" w:hAnsiTheme="minorEastAsia"/>
                <w:color w:val="auto"/>
                <w:sz w:val="24"/>
                <w:highlight w:val="none"/>
              </w:rPr>
              <w:t>联系电话：</w:t>
            </w:r>
          </w:p>
          <w:p>
            <w:pPr>
              <w:adjustRightInd w:val="0"/>
              <w:snapToGrid w:val="0"/>
              <w:spacing w:line="560" w:lineRule="exact"/>
              <w:jc w:val="right"/>
              <w:rPr>
                <w:rFonts w:asciiTheme="minorEastAsia" w:hAnsiTheme="minorEastAsia"/>
                <w:color w:val="auto"/>
                <w:sz w:val="24"/>
                <w:highlight w:val="none"/>
              </w:rPr>
            </w:pPr>
            <w:r>
              <w:rPr>
                <w:rFonts w:hint="eastAsia" w:asciiTheme="minorEastAsia" w:hAnsiTheme="minorEastAsia"/>
                <w:color w:val="auto"/>
                <w:sz w:val="24"/>
                <w:highlight w:val="none"/>
              </w:rPr>
              <w:t>年</w:t>
            </w:r>
            <w:r>
              <w:rPr>
                <w:rFonts w:asciiTheme="minorEastAsia" w:hAnsiTheme="minorEastAsia"/>
                <w:color w:val="auto"/>
                <w:sz w:val="24"/>
                <w:highlight w:val="none"/>
              </w:rPr>
              <w:t xml:space="preserve">    </w:t>
            </w:r>
            <w:r>
              <w:rPr>
                <w:rFonts w:hint="eastAsia" w:asciiTheme="minorEastAsia" w:hAnsiTheme="minorEastAsia"/>
                <w:color w:val="auto"/>
                <w:sz w:val="24"/>
                <w:highlight w:val="none"/>
              </w:rPr>
              <w:t>月</w:t>
            </w:r>
            <w:r>
              <w:rPr>
                <w:rFonts w:asciiTheme="minorEastAsia" w:hAnsiTheme="minorEastAsia"/>
                <w:color w:val="auto"/>
                <w:sz w:val="24"/>
                <w:highlight w:val="none"/>
              </w:rPr>
              <w:t xml:space="preserve">    </w:t>
            </w:r>
            <w:r>
              <w:rPr>
                <w:rFonts w:hint="eastAsia" w:asciiTheme="minorEastAsia" w:hAnsiTheme="minorEastAsia"/>
                <w:color w:val="auto"/>
                <w:sz w:val="24"/>
                <w:highlight w:val="none"/>
              </w:rPr>
              <w:t>日</w:t>
            </w:r>
          </w:p>
        </w:tc>
      </w:tr>
    </w:tbl>
    <w:p>
      <w:pPr>
        <w:widowControl/>
        <w:spacing w:line="560" w:lineRule="exact"/>
        <w:ind w:firstLine="1560" w:firstLineChars="650"/>
        <w:jc w:val="left"/>
        <w:rPr>
          <w:rFonts w:ascii="宋体" w:hAnsi="宋体" w:cs="宋体"/>
          <w:color w:val="auto"/>
          <w:kern w:val="0"/>
          <w:sz w:val="24"/>
          <w:highlight w:val="none"/>
        </w:rPr>
      </w:pPr>
    </w:p>
    <w:p>
      <w:pPr>
        <w:spacing w:line="360" w:lineRule="auto"/>
        <w:rPr>
          <w:rFonts w:ascii="宋体" w:hAnsi="宋体" w:cs="宋体"/>
          <w:b/>
          <w:bCs/>
          <w:color w:val="auto"/>
          <w:szCs w:val="21"/>
          <w:highlight w:val="none"/>
        </w:rPr>
      </w:pPr>
    </w:p>
    <w:p>
      <w:pPr>
        <w:rPr>
          <w:rFonts w:ascii="宋体" w:hAnsi="宋体" w:cs="宋体"/>
          <w:b/>
          <w:bCs/>
          <w:color w:val="auto"/>
          <w:szCs w:val="21"/>
          <w:highlight w:val="none"/>
        </w:rPr>
      </w:pPr>
      <w:r>
        <w:rPr>
          <w:rFonts w:hint="eastAsia" w:ascii="宋体" w:hAnsi="宋体" w:cs="宋体"/>
          <w:b/>
          <w:bCs/>
          <w:color w:val="auto"/>
          <w:szCs w:val="21"/>
          <w:highlight w:val="none"/>
        </w:rPr>
        <w:br w:type="page"/>
      </w:r>
    </w:p>
    <w:p>
      <w:pPr>
        <w:spacing w:line="360" w:lineRule="auto"/>
        <w:rPr>
          <w:rFonts w:hint="eastAsia" w:ascii="宋体" w:hAnsi="宋体" w:cs="宋体" w:eastAsiaTheme="minorEastAsia"/>
          <w:b/>
          <w:bCs/>
          <w:color w:val="auto"/>
          <w:szCs w:val="21"/>
          <w:highlight w:val="none"/>
          <w:lang w:eastAsia="zh-CN"/>
        </w:rPr>
      </w:pPr>
      <w:r>
        <w:rPr>
          <w:rFonts w:hint="eastAsia" w:ascii="宋体" w:hAnsi="宋体" w:cs="宋体"/>
          <w:b/>
          <w:bCs/>
          <w:color w:val="auto"/>
          <w:szCs w:val="21"/>
          <w:highlight w:val="none"/>
        </w:rPr>
        <w:t>附件5：工程量报价</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响应文件报价清单</w:t>
      </w:r>
      <w:r>
        <w:rPr>
          <w:rFonts w:hint="eastAsia" w:ascii="宋体" w:hAnsi="宋体" w:cs="宋体"/>
          <w:b/>
          <w:bCs/>
          <w:color w:val="auto"/>
          <w:szCs w:val="21"/>
          <w:highlight w:val="none"/>
          <w:lang w:eastAsia="zh-CN"/>
        </w:rPr>
        <w:t>）</w:t>
      </w:r>
    </w:p>
    <w:p>
      <w:pPr>
        <w:pStyle w:val="2"/>
        <w:rPr>
          <w:color w:val="auto"/>
          <w:highlight w:val="none"/>
        </w:rPr>
      </w:pP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附件6 ：项目投入人员架构表</w:t>
      </w:r>
    </w:p>
    <w:p>
      <w:pPr>
        <w:spacing w:line="360" w:lineRule="auto"/>
        <w:jc w:val="center"/>
        <w:outlineLvl w:val="3"/>
        <w:rPr>
          <w:rFonts w:ascii="宋体" w:hAnsi="宋体" w:cs="宋体"/>
          <w:b/>
          <w:bCs/>
          <w:color w:val="auto"/>
          <w:sz w:val="24"/>
          <w:highlight w:val="none"/>
        </w:rPr>
      </w:pPr>
      <w:r>
        <w:rPr>
          <w:rFonts w:hint="eastAsia" w:ascii="宋体" w:hAnsi="宋体" w:cs="宋体"/>
          <w:b/>
          <w:color w:val="auto"/>
          <w:sz w:val="24"/>
          <w:highlight w:val="none"/>
        </w:rPr>
        <w:t>拟投入工程人员配备响应表</w:t>
      </w:r>
    </w:p>
    <w:tbl>
      <w:tblPr>
        <w:tblStyle w:val="22"/>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岗位</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安全员</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电工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焊工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普工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r>
    </w:tbl>
    <w:p>
      <w:pPr>
        <w:spacing w:line="360" w:lineRule="auto"/>
        <w:rPr>
          <w:rFonts w:ascii="宋体" w:hAnsi="宋体" w:cs="宋体"/>
          <w:color w:val="auto"/>
          <w:sz w:val="24"/>
          <w:highlight w:val="none"/>
        </w:rPr>
      </w:pPr>
      <w:r>
        <w:rPr>
          <w:rFonts w:hint="eastAsia" w:ascii="宋体" w:hAnsi="宋体" w:cs="宋体"/>
          <w:b/>
          <w:bCs/>
          <w:color w:val="auto"/>
          <w:sz w:val="24"/>
          <w:highlight w:val="none"/>
        </w:rPr>
        <w:t>注： 本表作为合同附件，其内容必须是真实有效。</w:t>
      </w:r>
    </w:p>
    <w:p>
      <w:pPr>
        <w:rPr>
          <w:rFonts w:ascii="宋体" w:hAnsi="宋体" w:cs="宋体"/>
          <w:b/>
          <w:bCs/>
          <w:color w:val="auto"/>
          <w:szCs w:val="21"/>
          <w:highlight w:val="none"/>
        </w:rPr>
      </w:pPr>
      <w:r>
        <w:rPr>
          <w:rFonts w:hint="eastAsia" w:ascii="宋体" w:hAnsi="宋体" w:cs="宋体"/>
          <w:b/>
          <w:bCs/>
          <w:color w:val="auto"/>
          <w:szCs w:val="21"/>
          <w:highlight w:val="none"/>
        </w:rPr>
        <w:br w:type="page"/>
      </w: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附件7：履约保函（模板）</w:t>
      </w:r>
    </w:p>
    <w:p>
      <w:pPr>
        <w:jc w:val="center"/>
        <w:rPr>
          <w:rFonts w:asciiTheme="minorEastAsia" w:hAnsiTheme="minorEastAsia"/>
          <w:b/>
          <w:color w:val="auto"/>
          <w:sz w:val="24"/>
          <w:highlight w:val="none"/>
        </w:rPr>
      </w:pPr>
      <w:r>
        <w:rPr>
          <w:rFonts w:hint="eastAsia" w:asciiTheme="minorEastAsia" w:hAnsiTheme="minorEastAsia"/>
          <w:b/>
          <w:color w:val="auto"/>
          <w:sz w:val="24"/>
          <w:highlight w:val="none"/>
        </w:rPr>
        <w:t>履约保函模板</w:t>
      </w:r>
    </w:p>
    <w:p>
      <w:pPr>
        <w:rPr>
          <w:rFonts w:asciiTheme="minorEastAsia" w:hAnsiTheme="minorEastAsia"/>
          <w:color w:val="auto"/>
          <w:sz w:val="24"/>
          <w:highlight w:val="none"/>
        </w:rPr>
      </w:pPr>
    </w:p>
    <w:p>
      <w:pPr>
        <w:rPr>
          <w:rFonts w:asciiTheme="minorEastAsia" w:hAnsiTheme="minorEastAsia"/>
          <w:color w:val="auto"/>
          <w:sz w:val="24"/>
          <w:highlight w:val="none"/>
        </w:rPr>
      </w:pPr>
      <w:r>
        <w:rPr>
          <w:rFonts w:hint="eastAsia" w:asciiTheme="minorEastAsia" w:hAnsiTheme="minorEastAsia"/>
          <w:color w:val="auto"/>
          <w:sz w:val="24"/>
          <w:highlight w:val="none"/>
        </w:rPr>
        <w:t>致：</w:t>
      </w:r>
      <w:r>
        <w:rPr>
          <w:rFonts w:hint="eastAsia" w:asciiTheme="minorEastAsia" w:hAnsiTheme="minorEastAsia"/>
          <w:color w:val="auto"/>
          <w:sz w:val="24"/>
          <w:highlight w:val="none"/>
          <w:u w:val="single"/>
        </w:rPr>
        <w:t xml:space="preserve">               （受益人）</w:t>
      </w:r>
      <w:r>
        <w:rPr>
          <w:rFonts w:asciiTheme="minorEastAsia" w:hAnsiTheme="minorEastAsia"/>
          <w:color w:val="auto"/>
          <w:sz w:val="24"/>
          <w:highlight w:val="none"/>
        </w:rPr>
        <w:br w:type="textWrapping"/>
      </w:r>
    </w:p>
    <w:p>
      <w:pPr>
        <w:ind w:firstLine="420"/>
        <w:rPr>
          <w:rFonts w:asciiTheme="minorEastAsia" w:hAnsiTheme="minorEastAsia"/>
          <w:color w:val="auto"/>
          <w:sz w:val="24"/>
          <w:highlight w:val="none"/>
        </w:rPr>
      </w:pPr>
      <w:r>
        <w:rPr>
          <w:rFonts w:hint="eastAsia" w:asciiTheme="minorEastAsia" w:hAnsiTheme="minorEastAsia"/>
          <w:color w:val="auto"/>
          <w:sz w:val="24"/>
          <w:highlight w:val="none"/>
        </w:rPr>
        <w:t>鉴于（以下简称“委托人”）与贵方于</w:t>
      </w:r>
      <w:r>
        <w:rPr>
          <w:rFonts w:hint="eastAsia" w:asciiTheme="minorEastAsia" w:hAnsiTheme="minorEastAsia"/>
          <w:color w:val="auto"/>
          <w:sz w:val="24"/>
          <w:highlight w:val="none"/>
          <w:u w:val="single"/>
        </w:rPr>
        <w:t xml:space="preserve">   年  月  日</w:t>
      </w:r>
      <w:r>
        <w:rPr>
          <w:rFonts w:hint="eastAsia" w:asciiTheme="minorEastAsia" w:hAnsiTheme="minorEastAsia"/>
          <w:color w:val="auto"/>
          <w:sz w:val="24"/>
          <w:highlight w:val="none"/>
        </w:rPr>
        <w:t>签订了（以下简称“合同”），我行同意为委托人出具履约保函，作为委托人履行合同义务的担保，以使你方得到履约保函的保障。本保函为不可撤销，见索即付的独立保函。</w:t>
      </w:r>
    </w:p>
    <w:p>
      <w:pPr>
        <w:ind w:firstLine="420"/>
        <w:rPr>
          <w:rFonts w:asciiTheme="minorEastAsia" w:hAnsiTheme="minorEastAsia"/>
          <w:color w:val="auto"/>
          <w:sz w:val="24"/>
          <w:highlight w:val="none"/>
        </w:rPr>
      </w:pPr>
      <w:r>
        <w:rPr>
          <w:rFonts w:hint="eastAsia" w:asciiTheme="minorEastAsia" w:hAnsiTheme="minorEastAsia"/>
          <w:color w:val="auto"/>
          <w:sz w:val="24"/>
          <w:highlight w:val="none"/>
        </w:rPr>
        <w:t>一、我行保证在收到贵单位于保函有效期内送达的依本保函约定的索赔申请后，在个工作日内无条件和不可改变地向贵单位支付最高金额不超过人民币元（大写： ）的履约保证金，并放弃向你方提出任何异议和追索的权利。</w:t>
      </w:r>
    </w:p>
    <w:p>
      <w:pPr>
        <w:ind w:firstLine="420"/>
        <w:rPr>
          <w:rFonts w:asciiTheme="minorEastAsia" w:hAnsiTheme="minorEastAsia"/>
          <w:color w:val="auto"/>
          <w:sz w:val="24"/>
          <w:highlight w:val="none"/>
        </w:rPr>
      </w:pPr>
      <w:r>
        <w:rPr>
          <w:rFonts w:hint="eastAsia" w:asciiTheme="minorEastAsia" w:hAnsiTheme="minorEastAsia"/>
          <w:color w:val="auto"/>
          <w:sz w:val="24"/>
          <w:highlight w:val="none"/>
        </w:rPr>
        <w:t>二、贵单位的索赔申请应符合下述条件：</w:t>
      </w:r>
    </w:p>
    <w:p>
      <w:pPr>
        <w:ind w:firstLine="420"/>
        <w:rPr>
          <w:rFonts w:asciiTheme="minorEastAsia" w:hAnsiTheme="minorEastAsia"/>
          <w:color w:val="auto"/>
          <w:sz w:val="24"/>
          <w:highlight w:val="none"/>
        </w:rPr>
      </w:pPr>
      <w:r>
        <w:rPr>
          <w:rFonts w:hint="eastAsia" w:asciiTheme="minorEastAsia" w:hAnsiTheme="minorEastAsia"/>
          <w:color w:val="auto"/>
          <w:sz w:val="24"/>
          <w:highlight w:val="none"/>
        </w:rPr>
        <w:t>（一）贵单位法定代表人或其授权代表签字并加盖单位公章；</w:t>
      </w:r>
    </w:p>
    <w:p>
      <w:pPr>
        <w:ind w:firstLine="420"/>
        <w:rPr>
          <w:rFonts w:asciiTheme="minorEastAsia" w:hAnsiTheme="minorEastAsia"/>
          <w:color w:val="auto"/>
          <w:sz w:val="24"/>
          <w:highlight w:val="none"/>
        </w:rPr>
      </w:pPr>
      <w:r>
        <w:rPr>
          <w:rFonts w:hint="eastAsia" w:asciiTheme="minorEastAsia" w:hAnsiTheme="minorEastAsia"/>
          <w:color w:val="auto"/>
          <w:sz w:val="24"/>
          <w:highlight w:val="none"/>
        </w:rPr>
        <w:t>（二）在保函有效期内送达我行；</w:t>
      </w:r>
    </w:p>
    <w:p>
      <w:pPr>
        <w:ind w:firstLine="420"/>
        <w:rPr>
          <w:rFonts w:asciiTheme="minorEastAsia" w:hAnsiTheme="minorEastAsia"/>
          <w:color w:val="auto"/>
          <w:sz w:val="24"/>
          <w:highlight w:val="none"/>
        </w:rPr>
      </w:pPr>
      <w:r>
        <w:rPr>
          <w:rFonts w:hint="eastAsia" w:asciiTheme="minorEastAsia" w:hAnsiTheme="minorEastAsia"/>
          <w:color w:val="auto"/>
          <w:sz w:val="24"/>
          <w:highlight w:val="none"/>
        </w:rPr>
        <w:t>（三）明确的索赔金额（不得超过本保函第一条所列之限额）。</w:t>
      </w:r>
    </w:p>
    <w:p>
      <w:pPr>
        <w:ind w:firstLine="420"/>
        <w:rPr>
          <w:rFonts w:asciiTheme="minorEastAsia" w:hAnsiTheme="minorEastAsia"/>
          <w:color w:val="auto"/>
          <w:sz w:val="24"/>
          <w:highlight w:val="none"/>
        </w:rPr>
      </w:pPr>
      <w:r>
        <w:rPr>
          <w:rFonts w:hint="eastAsia" w:asciiTheme="minorEastAsia" w:hAnsiTheme="minorEastAsia"/>
          <w:color w:val="auto"/>
          <w:sz w:val="24"/>
          <w:highlight w:val="none"/>
        </w:rPr>
        <w:t>三、本保函自签发之日起生效，有效期至</w:t>
      </w:r>
      <w:r>
        <w:rPr>
          <w:rFonts w:hint="eastAsia" w:asciiTheme="minorEastAsia" w:hAnsiTheme="minorEastAsia"/>
          <w:color w:val="auto"/>
          <w:sz w:val="24"/>
          <w:highlight w:val="none"/>
          <w:u w:val="single"/>
        </w:rPr>
        <w:t xml:space="preserve">  年  月  日</w:t>
      </w:r>
      <w:r>
        <w:rPr>
          <w:rFonts w:hint="eastAsia" w:asciiTheme="minorEastAsia" w:hAnsiTheme="minorEastAsia"/>
          <w:color w:val="auto"/>
          <w:sz w:val="24"/>
          <w:highlight w:val="none"/>
        </w:rPr>
        <w:t>。本保函于下述任一事项发生之时立即失效，我行在本保函项下的保证义务即刻解除：</w:t>
      </w:r>
    </w:p>
    <w:p>
      <w:pPr>
        <w:ind w:firstLine="420"/>
        <w:rPr>
          <w:rFonts w:asciiTheme="minorEastAsia" w:hAnsiTheme="minorEastAsia"/>
          <w:color w:val="auto"/>
          <w:sz w:val="24"/>
          <w:highlight w:val="none"/>
        </w:rPr>
      </w:pPr>
      <w:r>
        <w:rPr>
          <w:rFonts w:hint="eastAsia" w:asciiTheme="minorEastAsia" w:hAnsiTheme="minorEastAsia"/>
          <w:color w:val="auto"/>
          <w:sz w:val="24"/>
          <w:highlight w:val="none"/>
        </w:rPr>
        <w:t>（一）本保函有效期限届满；</w:t>
      </w:r>
    </w:p>
    <w:p>
      <w:pPr>
        <w:ind w:firstLine="420"/>
        <w:rPr>
          <w:rFonts w:asciiTheme="minorEastAsia" w:hAnsiTheme="minorEastAsia"/>
          <w:color w:val="auto"/>
          <w:sz w:val="24"/>
          <w:highlight w:val="none"/>
        </w:rPr>
      </w:pPr>
      <w:r>
        <w:rPr>
          <w:rFonts w:hint="eastAsia" w:asciiTheme="minorEastAsia" w:hAnsiTheme="minorEastAsia"/>
          <w:color w:val="auto"/>
          <w:sz w:val="24"/>
          <w:highlight w:val="none"/>
        </w:rPr>
        <w:t>（二）我行保证的义务履行完毕。</w:t>
      </w:r>
    </w:p>
    <w:p>
      <w:pPr>
        <w:ind w:firstLine="420"/>
        <w:rPr>
          <w:rFonts w:asciiTheme="minorEastAsia" w:hAnsiTheme="minorEastAsia"/>
          <w:color w:val="auto"/>
          <w:sz w:val="24"/>
          <w:highlight w:val="none"/>
        </w:rPr>
      </w:pPr>
      <w:r>
        <w:rPr>
          <w:rFonts w:hint="eastAsia" w:asciiTheme="minorEastAsia" w:hAnsiTheme="minorEastAsia"/>
          <w:color w:val="auto"/>
          <w:sz w:val="24"/>
          <w:highlight w:val="none"/>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asciiTheme="minorEastAsia" w:hAnsiTheme="minorEastAsia"/>
          <w:color w:val="auto"/>
          <w:sz w:val="24"/>
          <w:highlight w:val="none"/>
        </w:rPr>
      </w:pPr>
      <w:r>
        <w:rPr>
          <w:rFonts w:hint="eastAsia" w:asciiTheme="minorEastAsia" w:hAnsiTheme="minorEastAsia"/>
          <w:color w:val="auto"/>
          <w:sz w:val="24"/>
          <w:highlight w:val="none"/>
        </w:rPr>
        <w:t>五、我行向你方支付索赔金额后，本保函担保金额即按贵方通知的索赔金额予以递减。</w:t>
      </w:r>
    </w:p>
    <w:p>
      <w:pPr>
        <w:ind w:firstLine="420"/>
        <w:rPr>
          <w:rFonts w:asciiTheme="minorEastAsia" w:hAnsiTheme="minorEastAsia"/>
          <w:color w:val="auto"/>
          <w:sz w:val="24"/>
          <w:highlight w:val="none"/>
        </w:rPr>
      </w:pPr>
      <w:r>
        <w:rPr>
          <w:rFonts w:hint="eastAsia" w:asciiTheme="minorEastAsia" w:hAnsiTheme="minorEastAsia"/>
          <w:color w:val="auto"/>
          <w:sz w:val="24"/>
          <w:highlight w:val="none"/>
        </w:rPr>
        <w:t>六、保函失效后请将保函退回我行注销，无论正本最终退回与否，不影响本保函依上述约定自动失效。</w:t>
      </w:r>
    </w:p>
    <w:p>
      <w:pPr>
        <w:ind w:firstLine="420"/>
        <w:rPr>
          <w:rFonts w:asciiTheme="minorEastAsia" w:hAnsiTheme="minorEastAsia"/>
          <w:color w:val="auto"/>
          <w:sz w:val="24"/>
          <w:highlight w:val="none"/>
        </w:rPr>
      </w:pPr>
    </w:p>
    <w:p>
      <w:pPr>
        <w:ind w:firstLine="420"/>
        <w:rPr>
          <w:rFonts w:asciiTheme="minorEastAsia" w:hAnsiTheme="minorEastAsia"/>
          <w:color w:val="auto"/>
          <w:sz w:val="24"/>
          <w:highlight w:val="none"/>
        </w:rPr>
      </w:pPr>
    </w:p>
    <w:p>
      <w:pPr>
        <w:ind w:firstLine="420"/>
        <w:rPr>
          <w:rFonts w:asciiTheme="minorEastAsia" w:hAnsiTheme="minorEastAsia"/>
          <w:color w:val="auto"/>
          <w:sz w:val="24"/>
          <w:highlight w:val="none"/>
        </w:rPr>
      </w:pPr>
      <w:r>
        <w:rPr>
          <w:rFonts w:hint="eastAsia" w:asciiTheme="minorEastAsia" w:hAnsiTheme="minorEastAsia"/>
          <w:color w:val="auto"/>
          <w:sz w:val="24"/>
          <w:highlight w:val="none"/>
        </w:rPr>
        <w:t xml:space="preserve">                                                   落款</w:t>
      </w:r>
    </w:p>
    <w:p>
      <w:pPr>
        <w:ind w:firstLine="420"/>
        <w:rPr>
          <w:rFonts w:asciiTheme="minorEastAsia" w:hAnsiTheme="minorEastAsia"/>
          <w:color w:val="auto"/>
          <w:sz w:val="24"/>
          <w:highlight w:val="none"/>
        </w:rPr>
      </w:pPr>
    </w:p>
    <w:p>
      <w:pPr>
        <w:ind w:firstLine="645"/>
        <w:rPr>
          <w:rFonts w:asciiTheme="minorEastAsia" w:hAnsiTheme="minorEastAsia"/>
          <w:color w:val="auto"/>
          <w:sz w:val="24"/>
          <w:highlight w:val="none"/>
        </w:rPr>
      </w:pPr>
      <w:r>
        <w:rPr>
          <w:rFonts w:hint="eastAsia" w:asciiTheme="minorEastAsia" w:hAnsiTheme="minorEastAsia"/>
          <w:color w:val="auto"/>
          <w:sz w:val="24"/>
          <w:highlight w:val="none"/>
        </w:rPr>
        <w:t>保函说明：</w:t>
      </w:r>
    </w:p>
    <w:p>
      <w:pPr>
        <w:ind w:firstLine="645"/>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保函不得有下列或类似含义的表述：</w:t>
      </w:r>
    </w:p>
    <w:p>
      <w:pPr>
        <w:ind w:firstLine="645"/>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1.银行承担的为连带责任保证、一般保证。</w:t>
      </w:r>
    </w:p>
    <w:p>
      <w:pPr>
        <w:ind w:firstLine="645"/>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2.未经银行书面同意，受益人与申请人修改合同或其项下附件时，银行的保证义务解除。</w:t>
      </w:r>
    </w:p>
    <w:p>
      <w:pPr>
        <w:ind w:firstLine="645"/>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3.合同撤销或无效的，保函失效。</w:t>
      </w:r>
    </w:p>
    <w:p>
      <w:pPr>
        <w:ind w:firstLine="645"/>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4.申请人对受益人的抗辩，银行有权向受益人主张。</w:t>
      </w:r>
    </w:p>
    <w:p>
      <w:pPr>
        <w:ind w:firstLine="645"/>
        <w:rPr>
          <w:rFonts w:asciiTheme="minorEastAsia" w:hAnsiTheme="minorEastAsia"/>
          <w:color w:val="auto"/>
          <w:sz w:val="24"/>
          <w:highlight w:val="none"/>
        </w:rPr>
      </w:pPr>
      <w:r>
        <w:rPr>
          <w:rFonts w:hint="eastAsia" w:cs="仿宋_GB2312" w:asciiTheme="minorEastAsia" w:hAnsiTheme="minorEastAsia"/>
          <w:color w:val="auto"/>
          <w:sz w:val="24"/>
          <w:highlight w:val="none"/>
        </w:rPr>
        <w:t>5.受益人请求付款的请款单据包含法院裁判文书、仲裁裁决、第三方单位出具的鉴定书等申请人违约的证明材料。</w:t>
      </w:r>
    </w:p>
    <w:p>
      <w:pPr>
        <w:rPr>
          <w:rFonts w:ascii="宋体" w:hAnsi="宋体" w:cs="宋体"/>
          <w:b/>
          <w:bCs/>
          <w:color w:val="auto"/>
          <w:szCs w:val="21"/>
          <w:highlight w:val="none"/>
        </w:rPr>
      </w:pPr>
      <w:r>
        <w:rPr>
          <w:rFonts w:hint="eastAsia" w:ascii="宋体" w:hAnsi="宋体" w:cs="宋体"/>
          <w:b/>
          <w:bCs/>
          <w:color w:val="auto"/>
          <w:szCs w:val="21"/>
          <w:highlight w:val="none"/>
        </w:rPr>
        <w:br w:type="page"/>
      </w: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附件8：防疫管理协议书</w:t>
      </w:r>
    </w:p>
    <w:p>
      <w:pPr>
        <w:spacing w:line="440" w:lineRule="exact"/>
        <w:jc w:val="center"/>
        <w:rPr>
          <w:rFonts w:ascii="仿宋_GB2312" w:eastAsia="仿宋_GB2312"/>
          <w:b/>
          <w:bCs/>
          <w:color w:val="auto"/>
          <w:sz w:val="28"/>
          <w:szCs w:val="28"/>
          <w:highlight w:val="none"/>
        </w:rPr>
      </w:pPr>
      <w:r>
        <w:rPr>
          <w:rFonts w:hint="eastAsia" w:ascii="仿宋_GB2312" w:eastAsia="仿宋_GB2312"/>
          <w:b/>
          <w:bCs/>
          <w:color w:val="auto"/>
          <w:sz w:val="28"/>
          <w:szCs w:val="28"/>
          <w:highlight w:val="none"/>
        </w:rPr>
        <w:t>防疫管理协议书</w:t>
      </w:r>
    </w:p>
    <w:p>
      <w:pPr>
        <w:spacing w:line="440" w:lineRule="exact"/>
        <w:rPr>
          <w:rFonts w:ascii="仿宋_GB2312" w:hAnsi="宋体" w:eastAsia="仿宋_GB2312"/>
          <w:color w:val="auto"/>
          <w:sz w:val="24"/>
          <w:highlight w:val="none"/>
        </w:rPr>
      </w:pPr>
    </w:p>
    <w:p>
      <w:pPr>
        <w:adjustRightInd w:val="0"/>
        <w:snapToGrid w:val="0"/>
        <w:spacing w:line="44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甲方：</w:t>
      </w:r>
      <w:r>
        <w:rPr>
          <w:rFonts w:hint="eastAsia" w:ascii="仿宋" w:hAnsi="仿宋" w:eastAsia="仿宋" w:cs="仿宋"/>
          <w:color w:val="auto"/>
          <w:sz w:val="24"/>
          <w:highlight w:val="none"/>
          <w:u w:val="single"/>
        </w:rPr>
        <w:t>广州市净水有限公司</w:t>
      </w:r>
    </w:p>
    <w:p>
      <w:pPr>
        <w:adjustRightInd w:val="0"/>
        <w:snapToGrid w:val="0"/>
        <w:spacing w:line="440" w:lineRule="exact"/>
        <w:ind w:firstLine="480" w:firstLineChars="200"/>
        <w:jc w:val="left"/>
        <w:rPr>
          <w:rStyle w:val="25"/>
          <w:rFonts w:ascii="仿宋" w:hAnsi="仿宋" w:eastAsia="仿宋" w:cs="仿宋"/>
          <w:b w:val="0"/>
          <w:color w:val="auto"/>
          <w:highlight w:val="none"/>
        </w:rPr>
      </w:pPr>
      <w:r>
        <w:rPr>
          <w:rFonts w:hint="eastAsia" w:ascii="仿宋" w:hAnsi="仿宋" w:eastAsia="仿宋" w:cs="仿宋"/>
          <w:color w:val="auto"/>
          <w:sz w:val="24"/>
          <w:highlight w:val="none"/>
        </w:rPr>
        <w:t xml:space="preserve">乙方: </w:t>
      </w:r>
      <w:r>
        <w:rPr>
          <w:rFonts w:hint="eastAsia" w:ascii="仿宋" w:hAnsi="仿宋" w:eastAsia="仿宋" w:cs="仿宋"/>
          <w:color w:val="auto"/>
          <w:sz w:val="24"/>
          <w:highlight w:val="none"/>
          <w:u w:val="single"/>
        </w:rPr>
        <w:t xml:space="preserve">  </w:t>
      </w:r>
      <w:r>
        <w:rPr>
          <w:rStyle w:val="25"/>
          <w:rFonts w:hint="eastAsia" w:ascii="仿宋" w:hAnsi="仿宋" w:eastAsia="仿宋" w:cs="仿宋"/>
          <w:color w:val="auto"/>
          <w:highlight w:val="none"/>
        </w:rPr>
        <w:t xml:space="preserve">                  </w:t>
      </w:r>
    </w:p>
    <w:p>
      <w:pPr>
        <w:spacing w:line="440" w:lineRule="exact"/>
        <w:ind w:firstLine="540" w:firstLineChars="225"/>
        <w:rPr>
          <w:rFonts w:ascii="仿宋" w:hAnsi="仿宋" w:eastAsia="仿宋" w:cs="仿宋"/>
          <w:color w:val="auto"/>
          <w:sz w:val="24"/>
          <w:highlight w:val="none"/>
        </w:rPr>
      </w:pPr>
      <w:r>
        <w:rPr>
          <w:rFonts w:hint="eastAsia" w:ascii="仿宋" w:hAnsi="仿宋" w:eastAsia="仿宋" w:cs="仿宋"/>
          <w:color w:val="auto"/>
          <w:sz w:val="24"/>
          <w:highlight w:val="none"/>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adjustRightInd w:val="0"/>
        <w:snapToGrid w:val="0"/>
        <w:spacing w:line="44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一、本协议与主协议的关系</w:t>
      </w:r>
    </w:p>
    <w:p>
      <w:pPr>
        <w:adjustRightInd w:val="0"/>
        <w:snapToGrid w:val="0"/>
        <w:spacing w:line="440" w:lineRule="exact"/>
        <w:ind w:left="105"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本协议作为</w:t>
      </w:r>
      <w:r>
        <w:rPr>
          <w:rFonts w:hint="eastAsia" w:ascii="仿宋" w:hAnsi="仿宋" w:eastAsia="仿宋" w:cs="仿宋"/>
          <w:bCs/>
          <w:color w:val="auto"/>
          <w:sz w:val="24"/>
          <w:highlight w:val="none"/>
          <w:u w:val="single"/>
        </w:rPr>
        <w:t xml:space="preserve">                           </w:t>
      </w:r>
      <w:r>
        <w:rPr>
          <w:rFonts w:hint="eastAsia" w:ascii="仿宋" w:hAnsi="仿宋" w:eastAsia="仿宋" w:cs="仿宋"/>
          <w:color w:val="auto"/>
          <w:sz w:val="24"/>
          <w:highlight w:val="none"/>
        </w:rPr>
        <w:t>的组成部分，与主合同具有同等法律</w:t>
      </w:r>
    </w:p>
    <w:p>
      <w:pPr>
        <w:adjustRightInd w:val="0"/>
        <w:snapToGrid w:val="0"/>
        <w:spacing w:line="44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二、甲方的义务</w:t>
      </w:r>
    </w:p>
    <w:p>
      <w:pPr>
        <w:adjustRightInd w:val="0"/>
        <w:snapToGrid w:val="0"/>
        <w:spacing w:line="440" w:lineRule="exact"/>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（一）与建设主管部门和属地疫情防控指挥部门形成联防联控机制，建立快速有效的处置工作流程。</w:t>
      </w:r>
    </w:p>
    <w:p>
      <w:pPr>
        <w:pStyle w:val="7"/>
        <w:spacing w:line="44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（二）对乙方防控工作的落实情况进行监督。</w:t>
      </w:r>
    </w:p>
    <w:p>
      <w:pPr>
        <w:adjustRightInd w:val="0"/>
        <w:snapToGrid w:val="0"/>
        <w:spacing w:line="44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三、乙方的义务</w:t>
      </w:r>
    </w:p>
    <w:p>
      <w:pPr>
        <w:pStyle w:val="7"/>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（一）开展疫情防控宣传教育，提高乙方人员自我防护意识，最大限度减少人员暴露和感染的风险。</w:t>
      </w:r>
    </w:p>
    <w:p>
      <w:pPr>
        <w:pStyle w:val="7"/>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（二）做好乙方人员防控工作管理，及时提交防疫资料，落实疫情防控备案，必要时需编制防控管理工作方案</w:t>
      </w:r>
      <w:r>
        <w:rPr>
          <w:rFonts w:hint="eastAsia" w:ascii="仿宋" w:hAnsi="仿宋" w:eastAsia="仿宋" w:cs="仿宋"/>
          <w:color w:val="auto"/>
          <w:sz w:val="32"/>
          <w:szCs w:val="32"/>
          <w:highlight w:val="none"/>
        </w:rPr>
        <w:t>。</w:t>
      </w:r>
    </w:p>
    <w:p>
      <w:pPr>
        <w:adjustRightInd w:val="0"/>
        <w:snapToGrid w:val="0"/>
        <w:spacing w:line="44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 xml:space="preserve">    （三）乙方人员须按照甲方各厂区进厂门岗防控要求进行疫苗接种及核酸检测，未满足相关要求的人员甲方有权限制进入厂区。</w:t>
      </w:r>
    </w:p>
    <w:p>
      <w:pPr>
        <w:pStyle w:val="7"/>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（四）建立畅通的信息传输渠道和严格的信息上报机制，出现问题及时采取应急响应措施，迅速妥善处置项目施工场所普通发热病例、可疑病例和突发新冠肺炎疫情，并第一时间报送甲方。</w:t>
      </w:r>
    </w:p>
    <w:p>
      <w:pPr>
        <w:adjustRightInd w:val="0"/>
        <w:snapToGrid w:val="0"/>
        <w:spacing w:line="440" w:lineRule="exact"/>
        <w:ind w:firstLine="480" w:firstLineChars="200"/>
        <w:jc w:val="left"/>
        <w:rPr>
          <w:rFonts w:ascii="仿宋" w:hAnsi="仿宋" w:eastAsia="仿宋" w:cs="仿宋"/>
          <w:color w:val="auto"/>
          <w:highlight w:val="none"/>
        </w:rPr>
      </w:pPr>
      <w:r>
        <w:rPr>
          <w:rFonts w:hint="eastAsia" w:ascii="仿宋" w:hAnsi="仿宋" w:eastAsia="仿宋" w:cs="仿宋"/>
          <w:color w:val="auto"/>
          <w:sz w:val="24"/>
          <w:highlight w:val="none"/>
        </w:rPr>
        <w:t>（五）各级政府、有关部门及甲方的其他防控要求。</w:t>
      </w:r>
    </w:p>
    <w:p>
      <w:pPr>
        <w:adjustRightInd w:val="0"/>
        <w:snapToGrid w:val="0"/>
        <w:spacing w:line="44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四、违约责任</w:t>
      </w:r>
    </w:p>
    <w:p>
      <w:pPr>
        <w:adjustRightInd w:val="0"/>
        <w:snapToGrid w:val="0"/>
        <w:spacing w:line="440" w:lineRule="exact"/>
        <w:ind w:left="105"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乙方需按照甲方服务要求执行，未达到疫情防控要求的，需按下列条款执行：</w:t>
      </w:r>
    </w:p>
    <w:p>
      <w:pPr>
        <w:adjustRightInd w:val="0"/>
        <w:snapToGrid w:val="0"/>
        <w:spacing w:line="440" w:lineRule="exact"/>
        <w:ind w:left="105"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（一）乙方人员及其密接亲属有重点区域、重点场所旅居史未报备的，每发现一人，从乙方当月服务费中扣500元；</w:t>
      </w:r>
    </w:p>
    <w:p>
      <w:pPr>
        <w:adjustRightInd w:val="0"/>
        <w:snapToGrid w:val="0"/>
        <w:spacing w:line="440" w:lineRule="exact"/>
        <w:ind w:left="105"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ascii="仿宋" w:hAnsi="仿宋" w:eastAsia="仿宋" w:cs="仿宋"/>
          <w:color w:val="auto"/>
          <w:sz w:val="24"/>
          <w:highlight w:val="none"/>
        </w:rPr>
      </w:pPr>
    </w:p>
    <w:p>
      <w:pPr>
        <w:pStyle w:val="36"/>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五、补充条款：</w:t>
      </w:r>
      <w:r>
        <w:rPr>
          <w:rFonts w:hint="eastAsia" w:ascii="仿宋" w:hAnsi="仿宋" w:eastAsia="仿宋" w:cs="仿宋"/>
          <w:color w:val="auto"/>
          <w:sz w:val="24"/>
          <w:highlight w:val="none"/>
          <w:u w:val="single"/>
        </w:rPr>
        <w:t xml:space="preserve">         /       </w:t>
      </w:r>
      <w:r>
        <w:rPr>
          <w:rFonts w:hint="eastAsia" w:ascii="仿宋" w:hAnsi="仿宋" w:eastAsia="仿宋" w:cs="仿宋"/>
          <w:color w:val="auto"/>
          <w:sz w:val="24"/>
          <w:highlight w:val="none"/>
        </w:rPr>
        <w:t>。</w:t>
      </w:r>
    </w:p>
    <w:p>
      <w:pPr>
        <w:adjustRightInd w:val="0"/>
        <w:snapToGrid w:val="0"/>
        <w:spacing w:line="44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六、附则</w:t>
      </w:r>
    </w:p>
    <w:p>
      <w:pPr>
        <w:adjustRightInd w:val="0"/>
        <w:snapToGrid w:val="0"/>
        <w:spacing w:line="44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本协议与合同同时签订、同时终止、同时生效，具有相同的法律效力。合同由甲乙双方签字、盖章生效，甲方、乙方双方执持数量与主合同一致。</w:t>
      </w:r>
    </w:p>
    <w:p>
      <w:pPr>
        <w:adjustRightInd w:val="0"/>
        <w:snapToGrid w:val="0"/>
        <w:spacing w:line="440" w:lineRule="exact"/>
        <w:rPr>
          <w:rFonts w:ascii="仿宋" w:hAnsi="仿宋" w:eastAsia="仿宋" w:cs="仿宋"/>
          <w:color w:val="auto"/>
          <w:sz w:val="24"/>
          <w:highlight w:val="none"/>
        </w:rPr>
      </w:pPr>
    </w:p>
    <w:p>
      <w:pPr>
        <w:adjustRightInd w:val="0"/>
        <w:snapToGrid w:val="0"/>
        <w:spacing w:line="440" w:lineRule="exact"/>
        <w:ind w:left="1330" w:leftChars="5" w:hanging="1320" w:hangingChars="550"/>
        <w:rPr>
          <w:rFonts w:ascii="仿宋" w:hAnsi="仿宋" w:eastAsia="仿宋" w:cs="仿宋"/>
          <w:color w:val="auto"/>
          <w:sz w:val="24"/>
          <w:highlight w:val="none"/>
        </w:rPr>
      </w:pPr>
      <w:r>
        <w:rPr>
          <w:rFonts w:hint="eastAsia" w:ascii="仿宋" w:hAnsi="仿宋" w:eastAsia="仿宋" w:cs="仿宋"/>
          <w:color w:val="auto"/>
          <w:sz w:val="24"/>
          <w:highlight w:val="none"/>
        </w:rPr>
        <w:t xml:space="preserve">   甲方代表 （章）：                             乙方代表（章）：                                                           　　              　　　　　　　</w:t>
      </w:r>
    </w:p>
    <w:p>
      <w:pPr>
        <w:adjustRightInd w:val="0"/>
        <w:snapToGrid w:val="0"/>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 xml:space="preserve">      年 　月　  日　　　　　                 年   月  　日</w:t>
      </w:r>
    </w:p>
    <w:p>
      <w:pPr>
        <w:rPr>
          <w:color w:val="auto"/>
          <w:highlight w:val="none"/>
        </w:rPr>
      </w:pPr>
    </w:p>
    <w:p>
      <w:pPr>
        <w:rPr>
          <w:rFonts w:ascii="宋体" w:hAnsi="宋体" w:cs="宋体"/>
          <w:color w:val="auto"/>
          <w:sz w:val="24"/>
          <w:highlight w:val="none"/>
        </w:rPr>
      </w:pPr>
      <w:r>
        <w:rPr>
          <w:rFonts w:hint="eastAsia" w:hAnsi="宋体" w:cs="宋体"/>
          <w:b/>
          <w:bCs/>
          <w:color w:val="auto"/>
          <w:szCs w:val="21"/>
          <w:highlight w:val="none"/>
        </w:rPr>
        <w:br w:type="page"/>
      </w: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附件9：预付款保函（格式）</w:t>
      </w:r>
    </w:p>
    <w:p>
      <w:pPr>
        <w:pStyle w:val="46"/>
        <w:numPr>
          <w:ilvl w:val="255"/>
          <w:numId w:val="0"/>
        </w:numPr>
        <w:jc w:val="center"/>
        <w:rPr>
          <w:rFonts w:hAnsi="宋体" w:eastAsia="宋体"/>
          <w:color w:val="auto"/>
          <w:highlight w:val="none"/>
        </w:rPr>
      </w:pPr>
    </w:p>
    <w:p>
      <w:pPr>
        <w:pStyle w:val="46"/>
        <w:numPr>
          <w:ilvl w:val="255"/>
          <w:numId w:val="0"/>
        </w:numPr>
        <w:jc w:val="center"/>
        <w:rPr>
          <w:rFonts w:hAnsi="宋体" w:eastAsia="宋体"/>
          <w:color w:val="auto"/>
          <w:highlight w:val="none"/>
        </w:rPr>
      </w:pPr>
    </w:p>
    <w:p>
      <w:pPr>
        <w:pStyle w:val="46"/>
        <w:numPr>
          <w:ilvl w:val="255"/>
          <w:numId w:val="0"/>
        </w:numPr>
        <w:jc w:val="center"/>
        <w:rPr>
          <w:rFonts w:hAnsi="宋体" w:eastAsia="宋体"/>
          <w:color w:val="auto"/>
          <w:highlight w:val="none"/>
        </w:rPr>
      </w:pPr>
      <w:r>
        <w:rPr>
          <w:rFonts w:hint="eastAsia" w:hAnsi="宋体" w:eastAsia="宋体"/>
          <w:color w:val="auto"/>
          <w:highlight w:val="none"/>
        </w:rPr>
        <w:t>预付款保函模板</w:t>
      </w:r>
    </w:p>
    <w:p>
      <w:pPr>
        <w:rPr>
          <w:rFonts w:ascii="宋体" w:hAnsi="宋体" w:cs="宋体"/>
          <w:color w:val="auto"/>
          <w:sz w:val="24"/>
          <w:highlight w:val="none"/>
        </w:rPr>
      </w:pPr>
    </w:p>
    <w:p>
      <w:pPr>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（受益人）</w:t>
      </w:r>
    </w:p>
    <w:p>
      <w:pPr>
        <w:rPr>
          <w:rFonts w:ascii="宋体" w:hAnsi="宋体" w:cs="宋体"/>
          <w:color w:val="auto"/>
          <w:sz w:val="24"/>
          <w:highlight w:val="none"/>
        </w:rPr>
      </w:pPr>
    </w:p>
    <w:p>
      <w:pPr>
        <w:ind w:firstLine="240" w:firstLineChars="100"/>
        <w:rPr>
          <w:rFonts w:ascii="宋体" w:hAnsi="宋体" w:cs="宋体"/>
          <w:color w:val="auto"/>
          <w:sz w:val="24"/>
          <w:highlight w:val="none"/>
        </w:rPr>
      </w:pPr>
      <w:r>
        <w:rPr>
          <w:rFonts w:hint="eastAsia" w:ascii="宋体" w:hAnsi="宋体" w:cs="宋体"/>
          <w:color w:val="auto"/>
          <w:sz w:val="24"/>
          <w:highlight w:val="none"/>
        </w:rPr>
        <w:t>鉴于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（以下简称“委托人”）与你方于</w:t>
      </w:r>
      <w:r>
        <w:rPr>
          <w:rFonts w:hint="eastAsia" w:ascii="宋体" w:hAnsi="宋体" w:cs="宋体"/>
          <w:color w:val="auto"/>
          <w:sz w:val="24"/>
          <w:highlight w:val="none"/>
          <w:u w:val="single"/>
        </w:rPr>
        <w:t xml:space="preserve">   年  月  日</w:t>
      </w:r>
      <w:r>
        <w:rPr>
          <w:rFonts w:hint="eastAsia" w:ascii="宋体" w:hAnsi="宋体" w:cs="宋体"/>
          <w:color w:val="auto"/>
          <w:sz w:val="24"/>
          <w:highlight w:val="none"/>
        </w:rPr>
        <w:t>签订了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（以下简称“合同”），你方将按上述基础交易合同约定向委托人支付预付款人民币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）。我行接受委托人的申请，特此开立以你方为受益人的最高金额为人民币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）（以下称“保函金额”）的保函。</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一、本保函为不可撤销、见索即付的独立保函。</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二、在本保函的有效期内，如委托人违反上述基础交易合同约定的义务而未向你方退还预付款，我行将在收到你方提交的符合下述要求的索赔通知书后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日内，以上述保函金额为限向你方支付相应款项。</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（一）索赔通知书须写明请求付款的金额，并声明该款项并未由委托人或其代理人直接或间接地支付给你方；</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（二）索赔通知书应由你方法定代表人签  字并加盖公章；</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（三）索赔通知书必须于本保函有效期截止日前送达我行。</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三、合同的任何修改、变更、解释或不可执行都不能削弱或免除我行按本保函应承担的义务。</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本保函金额将随我行已向你方支付的金额而自动作相应递减。</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四、本保函未经我行书面同意不得转让。</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五、本保函自签发之日起生效，有效期至</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止。在上述期限内若累计赔偿额达到前述保函金额，本保函提前失效。本保函到期后，无论保函原件是否退回我行，皆告失效。</w:t>
      </w:r>
    </w:p>
    <w:p>
      <w:pPr>
        <w:spacing w:line="400" w:lineRule="exact"/>
        <w:ind w:firstLine="540" w:firstLineChars="225"/>
        <w:rPr>
          <w:rFonts w:ascii="宋体" w:hAnsi="宋体" w:cs="宋体"/>
          <w:color w:val="auto"/>
          <w:sz w:val="24"/>
          <w:highlight w:val="none"/>
        </w:rPr>
      </w:pPr>
      <w:r>
        <w:rPr>
          <w:rFonts w:hint="eastAsia" w:ascii="宋体" w:hAnsi="宋体" w:cs="宋体"/>
          <w:color w:val="auto"/>
          <w:sz w:val="24"/>
          <w:highlight w:val="none"/>
        </w:rPr>
        <w:t xml:space="preserve"> </w:t>
      </w:r>
    </w:p>
    <w:p>
      <w:pPr>
        <w:spacing w:line="560" w:lineRule="exact"/>
        <w:ind w:firstLine="482" w:firstLineChars="200"/>
        <w:rPr>
          <w:rFonts w:ascii="宋体" w:hAnsi="宋体" w:cs="宋体"/>
          <w:color w:val="auto"/>
          <w:sz w:val="24"/>
          <w:highlight w:val="none"/>
        </w:rPr>
      </w:pPr>
      <w:r>
        <w:rPr>
          <w:rFonts w:hint="eastAsia" w:ascii="宋体" w:hAnsi="宋体" w:cs="宋体"/>
          <w:b/>
          <w:color w:val="auto"/>
          <w:sz w:val="24"/>
          <w:highlight w:val="none"/>
        </w:rPr>
        <w:t>备注：</w:t>
      </w:r>
      <w:r>
        <w:rPr>
          <w:rFonts w:hint="eastAsia" w:ascii="宋体" w:hAnsi="宋体" w:cs="宋体"/>
          <w:color w:val="auto"/>
          <w:sz w:val="24"/>
          <w:highlight w:val="none"/>
        </w:rPr>
        <w:t>本预付款担保格式可采用经甲方认可的其他格式，但相关内容不得违背合同文件约定的实质性内容。</w:t>
      </w:r>
    </w:p>
    <w:p>
      <w:pPr>
        <w:pStyle w:val="2"/>
        <w:ind w:firstLine="480"/>
        <w:rPr>
          <w:rFonts w:eastAsia="宋体" w:cs="宋体"/>
          <w:color w:val="auto"/>
          <w:highlight w:val="none"/>
        </w:rPr>
      </w:pPr>
    </w:p>
    <w:p>
      <w:pPr>
        <w:widowControl/>
        <w:jc w:val="left"/>
        <w:rPr>
          <w:rFonts w:ascii="仿宋_GB2312" w:hAnsi="宋体" w:eastAsia="仿宋_GB2312" w:cs="Times New Roman"/>
          <w:color w:val="auto"/>
          <w:kern w:val="0"/>
          <w:sz w:val="28"/>
          <w:szCs w:val="28"/>
          <w:highlight w:val="none"/>
        </w:rPr>
      </w:pPr>
      <w:r>
        <w:rPr>
          <w:rFonts w:ascii="仿宋_GB2312" w:eastAsia="仿宋_GB2312"/>
          <w:color w:val="auto"/>
          <w:sz w:val="28"/>
          <w:szCs w:val="28"/>
          <w:highlight w:val="none"/>
        </w:rPr>
        <w:br w:type="page"/>
      </w:r>
    </w:p>
    <w:p>
      <w:pPr>
        <w:pStyle w:val="4"/>
        <w:rPr>
          <w:color w:val="auto"/>
          <w:highlight w:val="none"/>
        </w:rPr>
      </w:pPr>
      <w:bookmarkStart w:id="117" w:name="_Toc12169"/>
      <w:bookmarkStart w:id="118" w:name="_Toc21847"/>
      <w:bookmarkStart w:id="119" w:name="_Toc3723"/>
      <w:bookmarkStart w:id="120" w:name="_Toc1563"/>
      <w:bookmarkStart w:id="121" w:name="_Toc8147"/>
      <w:bookmarkStart w:id="122" w:name="_Toc5129"/>
      <w:bookmarkStart w:id="123" w:name="_Toc16552"/>
      <w:bookmarkStart w:id="124" w:name="_Toc23515"/>
      <w:bookmarkStart w:id="125" w:name="_Toc30824"/>
      <w:bookmarkStart w:id="126" w:name="_Toc28358"/>
      <w:bookmarkStart w:id="127" w:name="_Toc6230"/>
    </w:p>
    <w:p>
      <w:pPr>
        <w:pStyle w:val="4"/>
        <w:rPr>
          <w:color w:val="auto"/>
          <w:highlight w:val="none"/>
        </w:rPr>
      </w:pPr>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2345690</wp:posOffset>
                </wp:positionH>
                <wp:positionV relativeFrom="paragraph">
                  <wp:posOffset>529590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4.7pt;margin-top:41.7pt;height:0pt;width:75.5pt;z-index:251663360;mso-width-relative:page;mso-height-relative:page;" filled="f" stroked="t" coordsize="21600,21600" o:gfxdata="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5UZ+K1wAAAAk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89535</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top:7.05pt;height:0pt;width:75.5pt;mso-position-horizontal:center;mso-position-horizontal-relative:margin;z-index:251663360;mso-width-relative:page;mso-height-relative:page;" filled="f" stroked="t" coordsize="21600,21600" o:gfxdata="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D&#10;SInZ0gAAAAYBAAAPAAAAAAAAAAEAIAAAACIAAABkcnMvZG93bnJldi54bWxQSwECFAAUAAAACACH&#10;TuJAQsHAmfEBAADjAwAADgAAAAAAAAABACAAAAAhAQAAZHJzL2Uyb0RvYy54bWxQSwUGAAAAAAYA&#10;BgBZAQAAhAUAAAAA&#10;">
                <v:fill on="f" focussize="0,0"/>
                <v:stroke color="#000000" joinstyle="round"/>
                <v:imagedata o:title=""/>
                <o:lock v:ext="edit" aspectratio="f"/>
              </v:shape>
            </w:pict>
          </mc:Fallback>
        </mc:AlternateContent>
      </w:r>
      <w:r>
        <w:rPr>
          <w:rFonts w:hint="eastAsia"/>
          <w:color w:val="auto"/>
          <w:highlight w:val="none"/>
        </w:rPr>
        <w:t>第七章</w:t>
      </w:r>
      <w:bookmarkEnd w:id="117"/>
      <w:bookmarkEnd w:id="118"/>
      <w:bookmarkEnd w:id="119"/>
      <w:bookmarkEnd w:id="120"/>
      <w:bookmarkEnd w:id="121"/>
      <w:bookmarkEnd w:id="122"/>
      <w:bookmarkEnd w:id="123"/>
      <w:bookmarkEnd w:id="124"/>
      <w:bookmarkEnd w:id="125"/>
      <w:bookmarkEnd w:id="126"/>
      <w:bookmarkEnd w:id="127"/>
    </w:p>
    <w:p>
      <w:pPr>
        <w:pStyle w:val="36"/>
        <w:rPr>
          <w:color w:val="auto"/>
          <w:highlight w:val="none"/>
        </w:rPr>
      </w:pPr>
    </w:p>
    <w:p>
      <w:pPr>
        <w:pStyle w:val="4"/>
        <w:rPr>
          <w:color w:val="auto"/>
          <w:highlight w:val="none"/>
        </w:rPr>
      </w:pPr>
      <w:bookmarkStart w:id="128" w:name="_Toc21675"/>
      <w:bookmarkStart w:id="129" w:name="_Toc22764"/>
      <w:bookmarkStart w:id="130" w:name="_Toc24490"/>
      <w:bookmarkStart w:id="131" w:name="_Toc30157"/>
      <w:bookmarkStart w:id="132" w:name="_Toc24815"/>
      <w:bookmarkStart w:id="133" w:name="_Toc12769"/>
      <w:bookmarkStart w:id="134" w:name="_Toc88209951"/>
      <w:bookmarkStart w:id="135" w:name="_Toc12610"/>
      <w:bookmarkStart w:id="136" w:name="_Toc31564"/>
      <w:bookmarkStart w:id="137" w:name="_Toc87616388"/>
      <w:bookmarkStart w:id="138" w:name="_Toc5342"/>
      <w:bookmarkStart w:id="139" w:name="_Toc17119"/>
      <w:bookmarkStart w:id="140" w:name="_Toc10840"/>
      <w:r>
        <w:rPr>
          <w:rFonts w:hint="eastAsia"/>
          <w:color w:val="auto"/>
          <w:highlight w:val="none"/>
        </w:rPr>
        <w:t>响应文件格式要求</w:t>
      </w:r>
      <w:bookmarkEnd w:id="128"/>
      <w:bookmarkEnd w:id="129"/>
      <w:bookmarkEnd w:id="130"/>
      <w:bookmarkEnd w:id="131"/>
      <w:bookmarkEnd w:id="132"/>
      <w:bookmarkEnd w:id="133"/>
      <w:bookmarkEnd w:id="134"/>
      <w:bookmarkEnd w:id="135"/>
      <w:bookmarkEnd w:id="136"/>
      <w:bookmarkEnd w:id="137"/>
      <w:bookmarkEnd w:id="138"/>
      <w:bookmarkEnd w:id="139"/>
      <w:bookmarkEnd w:id="140"/>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156" w:beforeLines="50" w:after="156" w:afterLines="50" w:line="600" w:lineRule="exact"/>
        <w:jc w:val="center"/>
        <w:rPr>
          <w:rFonts w:ascii="仿宋_GB2312" w:eastAsia="仿宋_GB2312"/>
          <w:color w:val="auto"/>
          <w:sz w:val="30"/>
          <w:szCs w:val="30"/>
          <w:highlight w:val="none"/>
        </w:rPr>
      </w:pPr>
    </w:p>
    <w:p>
      <w:pPr>
        <w:adjustRightInd w:val="0"/>
        <w:snapToGrid w:val="0"/>
        <w:spacing w:before="156" w:beforeLines="50" w:after="156"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jc w:val="center"/>
        <w:rPr>
          <w:rFonts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41" w:name="_Toc87616389"/>
      <w:bookmarkStart w:id="142" w:name="_Toc88209952"/>
      <w:r>
        <w:rPr>
          <w:rFonts w:hint="eastAsia" w:ascii="仿宋_GB2312" w:eastAsia="仿宋_GB2312"/>
          <w:color w:val="auto"/>
          <w:sz w:val="28"/>
          <w:szCs w:val="28"/>
          <w:highlight w:val="none"/>
        </w:rPr>
        <w:t>1.响应函</w:t>
      </w:r>
      <w:bookmarkEnd w:id="141"/>
      <w:bookmarkEnd w:id="142"/>
    </w:p>
    <w:p>
      <w:pPr>
        <w:spacing w:line="600" w:lineRule="exact"/>
        <w:rPr>
          <w:rFonts w:ascii="仿宋_GB2312" w:eastAsia="仿宋_GB2312"/>
          <w:color w:val="auto"/>
          <w:sz w:val="28"/>
          <w:szCs w:val="28"/>
          <w:highlight w:val="none"/>
        </w:rPr>
      </w:pPr>
      <w:bookmarkStart w:id="143" w:name="_Toc88209953"/>
      <w:bookmarkStart w:id="144" w:name="_Toc87616390"/>
      <w:r>
        <w:rPr>
          <w:rFonts w:hint="eastAsia" w:ascii="仿宋_GB2312" w:eastAsia="仿宋_GB2312"/>
          <w:color w:val="auto"/>
          <w:sz w:val="28"/>
          <w:szCs w:val="28"/>
          <w:highlight w:val="none"/>
        </w:rPr>
        <w:t>2.法定代表人证明或授权委托书</w:t>
      </w:r>
      <w:bookmarkEnd w:id="143"/>
      <w:bookmarkEnd w:id="144"/>
      <w:bookmarkStart w:id="145" w:name="_Toc88209956"/>
      <w:bookmarkStart w:id="146"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3.资格审查资料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4.拟投入本项目的项目负责人情况表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5.报价表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6.其他资料</w:t>
      </w:r>
      <w:bookmarkEnd w:id="145"/>
      <w:bookmarkEnd w:id="146"/>
      <w:r>
        <w:rPr>
          <w:rFonts w:hint="eastAsia" w:ascii="仿宋_GB2312" w:eastAsia="仿宋_GB2312"/>
          <w:color w:val="auto"/>
          <w:sz w:val="28"/>
          <w:szCs w:val="28"/>
          <w:highlight w:val="none"/>
        </w:rPr>
        <w:cr/>
      </w:r>
    </w:p>
    <w:p>
      <w:pPr>
        <w:widowControl/>
        <w:jc w:val="left"/>
        <w:rPr>
          <w:rFonts w:cs="Times New Roman" w:asciiTheme="minorEastAsia" w:hAnsiTheme="minorEastAsia"/>
          <w:b/>
          <w:bCs/>
          <w:color w:val="auto"/>
          <w:sz w:val="28"/>
          <w:szCs w:val="28"/>
          <w:highlight w:val="none"/>
        </w:rPr>
      </w:pPr>
      <w:bookmarkStart w:id="147" w:name="_Toc87616394"/>
      <w:bookmarkStart w:id="148" w:name="_Toc88209957"/>
      <w:bookmarkStart w:id="149" w:name="_Toc28619645"/>
      <w:bookmarkStart w:id="150" w:name="_Toc6313"/>
      <w:bookmarkStart w:id="151" w:name="_Toc12665"/>
      <w:r>
        <w:rPr>
          <w:rFonts w:asciiTheme="minorEastAsia" w:hAnsiTheme="minorEastAsia"/>
          <w:color w:val="auto"/>
          <w:sz w:val="28"/>
          <w:szCs w:val="28"/>
          <w:highlight w:val="none"/>
        </w:rPr>
        <w:br w:type="page"/>
      </w:r>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1.响应函</w:t>
      </w:r>
      <w:bookmarkEnd w:id="147"/>
      <w:bookmarkEnd w:id="148"/>
      <w:bookmarkEnd w:id="149"/>
      <w:bookmarkEnd w:id="150"/>
      <w:bookmarkEnd w:id="151"/>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（1）响应函</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（2）法定代表人证明或授权委托书</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（3）资格审查资料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（4）拟投入本项目的项目负责人情况表</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（5）报价表</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（6）其他资料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.我方在此声明，所递交的响应文件及有关资料内容完整、真实和准确，且不存在采购公告中供应商不得存在的情形。</w:t>
      </w:r>
    </w:p>
    <w:p>
      <w:pPr>
        <w:spacing w:line="360" w:lineRule="auto"/>
        <w:ind w:firstLine="560" w:firstLineChars="200"/>
        <w:jc w:val="left"/>
        <w:rPr>
          <w:rFonts w:hint="default" w:ascii="仿宋_GB2312" w:hAnsi="黑体" w:eastAsia="仿宋_GB2312"/>
          <w:color w:val="auto"/>
          <w:sz w:val="28"/>
          <w:szCs w:val="28"/>
          <w:highlight w:val="none"/>
          <w:lang w:val="en-US" w:eastAsia="zh-CN"/>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lang w:val="en-US" w:eastAsia="zh-CN"/>
        </w:rPr>
        <w:t>其他要求。</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widowControl/>
        <w:jc w:val="left"/>
        <w:rPr>
          <w:rFonts w:cs="Times New Roman" w:asciiTheme="minorEastAsia" w:hAnsiTheme="minorEastAsia"/>
          <w:b/>
          <w:bCs/>
          <w:color w:val="auto"/>
          <w:sz w:val="28"/>
          <w:szCs w:val="28"/>
          <w:highlight w:val="none"/>
        </w:rPr>
      </w:pPr>
      <w:bookmarkStart w:id="152" w:name="_Toc29833"/>
      <w:bookmarkStart w:id="153" w:name="_Toc87616395"/>
      <w:bookmarkStart w:id="154" w:name="_Toc22527"/>
      <w:bookmarkStart w:id="155" w:name="_Toc88209958"/>
      <w:r>
        <w:rPr>
          <w:rFonts w:asciiTheme="minorEastAsia" w:hAnsiTheme="minorEastAsia"/>
          <w:color w:val="auto"/>
          <w:sz w:val="28"/>
          <w:szCs w:val="28"/>
          <w:highlight w:val="none"/>
        </w:rPr>
        <w:br w:type="page"/>
      </w:r>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52"/>
      <w:bookmarkEnd w:id="153"/>
      <w:bookmarkEnd w:id="154"/>
      <w:bookmarkEnd w:id="155"/>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156" w:beforeLines="50" w:after="156"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8"/>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7"/>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7456"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7456;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附：1.委托代理人身份证(正反两面)复印件</w:t>
      </w:r>
    </w:p>
    <w:p>
      <w:pPr>
        <w:pStyle w:val="36"/>
        <w:ind w:firstLine="1200" w:firstLineChars="4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8480"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Times New Roman"/>
                <w:color w:val="auto"/>
                <w:sz w:val="24"/>
                <w:szCs w:val="24"/>
                <w:highlight w:val="none"/>
              </w:rPr>
            </w:pPr>
          </w:p>
          <w:p>
            <w:pPr>
              <w:spacing w:line="360" w:lineRule="auto"/>
              <w:jc w:val="center"/>
              <w:rPr>
                <w:rFonts w:ascii="宋体" w:hAnsi="宋体" w:eastAsia="宋体" w:cs="Times New Roman"/>
                <w:color w:val="auto"/>
                <w:sz w:val="24"/>
                <w:szCs w:val="24"/>
                <w:highlight w:val="none"/>
              </w:rPr>
            </w:pPr>
          </w:p>
          <w:p>
            <w:pPr>
              <w:spacing w:line="360" w:lineRule="auto"/>
              <w:jc w:val="center"/>
              <w:rPr>
                <w:rFonts w:ascii="宋体" w:hAnsi="宋体"/>
                <w:color w:val="auto"/>
                <w:sz w:val="24"/>
                <w:szCs w:val="24"/>
                <w:highlight w:val="none"/>
              </w:rPr>
            </w:pPr>
            <w:r>
              <w:rPr>
                <w:rFonts w:hint="eastAsia" w:ascii="宋体" w:hAnsi="宋体" w:cs="Times New Roman"/>
                <w:color w:val="auto"/>
                <w:sz w:val="24"/>
                <w:szCs w:val="24"/>
                <w:highlight w:val="none"/>
              </w:rPr>
              <w:t>授权代理人在本单位近三个月社保记录，（以加盖社会保险基金管理中心印章的《缴费历史明细表》或《社会保险参保人员证明》为准，加</w:t>
            </w:r>
            <w:r>
              <w:rPr>
                <w:rFonts w:hint="eastAsia" w:ascii="宋体" w:hAnsi="宋体"/>
                <w:color w:val="auto"/>
                <w:sz w:val="24"/>
                <w:szCs w:val="24"/>
                <w:highlight w:val="none"/>
              </w:rPr>
              <w:t>盖单位公章</w:t>
            </w:r>
          </w:p>
          <w:p>
            <w:pPr>
              <w:spacing w:line="360" w:lineRule="auto"/>
              <w:jc w:val="center"/>
              <w:rPr>
                <w:rFonts w:ascii="宋体" w:hAnsi="宋体"/>
                <w:color w:val="auto"/>
                <w:sz w:val="24"/>
                <w:szCs w:val="24"/>
                <w:highlight w:val="none"/>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56" w:name="_Toc88209963"/>
      <w:bookmarkStart w:id="157" w:name="_Toc8086"/>
      <w:bookmarkStart w:id="158" w:name="_Toc87616400"/>
      <w:bookmarkStart w:id="159" w:name="_Toc19830"/>
      <w:r>
        <w:rPr>
          <w:rFonts w:hint="eastAsia" w:ascii="仿宋_GB2312" w:eastAsia="仿宋_GB2312" w:hAnsiTheme="minorEastAsia"/>
          <w:color w:val="auto"/>
          <w:sz w:val="28"/>
          <w:szCs w:val="28"/>
          <w:highlight w:val="none"/>
        </w:rPr>
        <w:t>3</w:t>
      </w:r>
      <w:r>
        <w:rPr>
          <w:rFonts w:hint="eastAsia" w:asciiTheme="minorEastAsia" w:hAnsiTheme="minorEastAsia" w:eastAsiaTheme="minorEastAsia"/>
          <w:color w:val="auto"/>
          <w:sz w:val="28"/>
          <w:szCs w:val="28"/>
          <w:highlight w:val="none"/>
        </w:rPr>
        <w:t>.资格审查资料</w:t>
      </w:r>
      <w:bookmarkEnd w:id="156"/>
      <w:bookmarkEnd w:id="157"/>
      <w:bookmarkEnd w:id="158"/>
      <w:bookmarkEnd w:id="159"/>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cs="Times New Roman" w:asciiTheme="minorEastAsia" w:hAnsiTheme="minorEastAsia"/>
          <w:b/>
          <w:bCs/>
          <w:color w:val="auto"/>
          <w:sz w:val="28"/>
          <w:szCs w:val="28"/>
          <w:highlight w:val="none"/>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rPr>
        <w:t>。</w:t>
      </w:r>
      <w:r>
        <w:rPr>
          <w:rFonts w:hint="eastAsia" w:cs="Times New Roman" w:asciiTheme="minorEastAsia" w:hAnsiTheme="minorEastAsia"/>
          <w:b/>
          <w:bCs/>
          <w:color w:val="auto"/>
          <w:sz w:val="28"/>
          <w:szCs w:val="28"/>
          <w:highlight w:val="none"/>
        </w:rPr>
        <w:t>（相关证明文件附后）</w:t>
      </w:r>
    </w:p>
    <w:p>
      <w:pPr>
        <w:adjustRightInd w:val="0"/>
        <w:snapToGrid w:val="0"/>
        <w:spacing w:line="360" w:lineRule="auto"/>
        <w:jc w:val="left"/>
        <w:rPr>
          <w:rFonts w:cs="Times New Roman" w:asciiTheme="minorEastAsia" w:hAnsiTheme="minorEastAsia"/>
          <w:b/>
          <w:bCs/>
          <w:color w:val="auto"/>
          <w:sz w:val="28"/>
          <w:szCs w:val="28"/>
          <w:highlight w:val="none"/>
        </w:rPr>
      </w:pPr>
      <w:bookmarkStart w:id="160" w:name="_Hlk59025866"/>
    </w:p>
    <w:p>
      <w:pPr>
        <w:adjustRightInd w:val="0"/>
        <w:snapToGrid w:val="0"/>
        <w:spacing w:line="360" w:lineRule="auto"/>
        <w:jc w:val="left"/>
        <w:rPr>
          <w:rFonts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t>3.2不得存在情形承诺函</w:t>
      </w:r>
    </w:p>
    <w:bookmarkEnd w:id="160"/>
    <w:p>
      <w:pPr>
        <w:adjustRightInd w:val="0"/>
        <w:snapToGrid w:val="0"/>
        <w:spacing w:line="360" w:lineRule="auto"/>
        <w:rPr>
          <w:rFonts w:ascii="宋体" w:hAnsi="宋体" w:eastAsia="宋体" w:cs="宋体"/>
          <w:color w:val="auto"/>
          <w:sz w:val="24"/>
          <w:szCs w:val="24"/>
          <w:highlight w:val="none"/>
          <w:lang w:val="en-GB"/>
        </w:rPr>
      </w:pPr>
    </w:p>
    <w:p>
      <w:pPr>
        <w:adjustRightInd w:val="0"/>
        <w:snapToGrid w:val="0"/>
        <w:spacing w:line="360" w:lineRule="auto"/>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rPr>
          <w:rFonts w:ascii="仿宋_GB2312" w:eastAsia="仿宋_GB2312"/>
          <w:color w:val="auto"/>
          <w:sz w:val="28"/>
          <w:szCs w:val="28"/>
          <w:highlight w:val="none"/>
        </w:rPr>
      </w:pPr>
      <w:r>
        <w:rPr>
          <w:rFonts w:hint="eastAsia" w:ascii="宋体" w:hAnsi="宋体" w:eastAsia="宋体" w:cs="宋体"/>
          <w:color w:val="auto"/>
          <w:sz w:val="24"/>
          <w:szCs w:val="24"/>
          <w:highlight w:val="none"/>
          <w:lang w:val="en-GB"/>
        </w:rPr>
        <w:t>我方郑重承诺，在参与</w:t>
      </w:r>
      <w:r>
        <w:rPr>
          <w:rFonts w:hint="eastAsia" w:ascii="宋体" w:hAnsi="宋体" w:cs="宋体"/>
          <w:color w:val="auto"/>
          <w:sz w:val="24"/>
          <w:szCs w:val="24"/>
          <w:highlight w:val="none"/>
          <w:lang w:val="en-GB"/>
        </w:rPr>
        <w:t>广州市净水有限公</w:t>
      </w:r>
      <w:r>
        <w:rPr>
          <w:rFonts w:hint="eastAsia" w:ascii="宋体" w:hAnsi="宋体" w:eastAsia="宋体" w:cs="宋体"/>
          <w:color w:val="auto"/>
          <w:sz w:val="24"/>
          <w:szCs w:val="24"/>
          <w:highlight w:val="none"/>
          <w:lang w:val="en-GB"/>
        </w:rPr>
        <w:t>司石井净水分公司厂区高压电缆管线优化</w:t>
      </w:r>
      <w:r>
        <w:rPr>
          <w:rFonts w:hint="eastAsia" w:ascii="宋体" w:hAnsi="宋体" w:cs="宋体"/>
          <w:color w:val="auto"/>
          <w:sz w:val="24"/>
          <w:szCs w:val="24"/>
          <w:highlight w:val="none"/>
          <w:lang w:val="en-GB"/>
        </w:rPr>
        <w:t>项目</w:t>
      </w:r>
      <w:r>
        <w:rPr>
          <w:rFonts w:hint="eastAsia" w:ascii="宋体" w:hAnsi="宋体" w:eastAsia="宋体" w:cs="宋体"/>
          <w:color w:val="auto"/>
          <w:sz w:val="24"/>
          <w:szCs w:val="24"/>
          <w:highlight w:val="none"/>
          <w:u w:val="single"/>
          <w:lang w:val="en-GB"/>
        </w:rPr>
        <w:t>（项目编号： ******）</w:t>
      </w:r>
      <w:r>
        <w:rPr>
          <w:rFonts w:hint="eastAsia" w:ascii="宋体" w:hAnsi="宋体" w:eastAsia="宋体" w:cs="宋体"/>
          <w:color w:val="auto"/>
          <w:sz w:val="24"/>
          <w:szCs w:val="24"/>
          <w:highlight w:val="none"/>
          <w:lang w:val="en-GB"/>
        </w:rPr>
        <w:t>采购期间，未被</w:t>
      </w:r>
      <w:r>
        <w:rPr>
          <w:rFonts w:hint="eastAsia" w:ascii="仿宋_GB2312" w:eastAsia="仿宋_GB2312"/>
          <w:color w:val="auto"/>
          <w:sz w:val="28"/>
          <w:szCs w:val="28"/>
          <w:highlight w:val="none"/>
        </w:rPr>
        <w:t>列入下列情形之一：</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（1）与本项目其他供应商的单位负责人为同一人。</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（2）与本项目其他供应商存在控股关系。</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（3）与本项目其他供应商存在管理关系。</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（9）被“信用广州”网站纳入失信被执行人名单（失信黑名单）。</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p>
    <w:p>
      <w:pPr>
        <w:adjustRightInd w:val="0"/>
        <w:snapToGrid w:val="0"/>
        <w:spacing w:line="360" w:lineRule="auto"/>
        <w:rPr>
          <w:rFonts w:hint="eastAsia" w:ascii="宋体" w:hAnsi="宋体" w:eastAsia="宋体" w:cs="宋体"/>
          <w:b/>
          <w:color w:val="auto"/>
          <w:sz w:val="24"/>
          <w:szCs w:val="24"/>
          <w:highlight w:val="none"/>
        </w:rPr>
      </w:pP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p>
    <w:p>
      <w:pPr>
        <w:adjustRightInd w:val="0"/>
        <w:snapToGrid w:val="0"/>
        <w:spacing w:line="360" w:lineRule="auto"/>
        <w:jc w:val="right"/>
        <w:rPr>
          <w:rFonts w:ascii="宋体" w:hAnsi="宋体" w:eastAsia="宋体" w:cs="宋体"/>
          <w:color w:val="auto"/>
          <w:sz w:val="24"/>
          <w:szCs w:val="24"/>
          <w:highlight w:val="none"/>
          <w:lang w:val="en-GB"/>
        </w:rPr>
      </w:pP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年  月  日</w:t>
      </w:r>
    </w:p>
    <w:p>
      <w:pPr>
        <w:jc w:val="left"/>
        <w:rPr>
          <w:rFonts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t>4.拟投入本项目的项目负责人情况表</w:t>
      </w:r>
    </w:p>
    <w:p>
      <w:pPr>
        <w:pStyle w:val="2"/>
        <w:rPr>
          <w:rFonts w:ascii="仿宋_GB2312" w:eastAsia="仿宋_GB2312" w:hAnsiTheme="minorEastAsia"/>
          <w:color w:val="auto"/>
          <w:sz w:val="28"/>
          <w:szCs w:val="28"/>
          <w:highlight w:val="none"/>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tcPr>
          <w:p>
            <w:pPr>
              <w:jc w:val="center"/>
              <w:rPr>
                <w:rFonts w:ascii="仿宋" w:hAnsi="仿宋" w:eastAsia="仿宋" w:cs="仿宋_GB2312"/>
                <w:b/>
                <w:color w:val="auto"/>
                <w:sz w:val="28"/>
                <w:szCs w:val="28"/>
                <w:highlight w:val="none"/>
              </w:rPr>
            </w:pPr>
          </w:p>
        </w:tc>
        <w:tc>
          <w:tcPr>
            <w:tcW w:w="161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tcPr>
          <w:p>
            <w:pPr>
              <w:jc w:val="center"/>
              <w:rPr>
                <w:rFonts w:ascii="仿宋" w:hAnsi="仿宋" w:eastAsia="仿宋" w:cs="仿宋_GB2312"/>
                <w:b/>
                <w:color w:val="auto"/>
                <w:sz w:val="28"/>
                <w:szCs w:val="28"/>
                <w:highlight w:val="none"/>
              </w:rPr>
            </w:pPr>
          </w:p>
        </w:tc>
        <w:tc>
          <w:tcPr>
            <w:tcW w:w="2198"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tcPr>
          <w:p>
            <w:pPr>
              <w:spacing w:line="360" w:lineRule="exact"/>
              <w:jc w:val="center"/>
              <w:rPr>
                <w:rFonts w:ascii="仿宋" w:hAnsi="仿宋" w:eastAsia="仿宋" w:cs="仿宋_GB2312"/>
                <w:b/>
                <w:color w:val="auto"/>
                <w:sz w:val="28"/>
                <w:szCs w:val="28"/>
                <w:highlight w:val="none"/>
              </w:rPr>
            </w:pPr>
          </w:p>
        </w:tc>
        <w:tc>
          <w:tcPr>
            <w:tcW w:w="1613"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tcPr>
          <w:p>
            <w:pPr>
              <w:spacing w:line="360" w:lineRule="exact"/>
              <w:jc w:val="center"/>
              <w:rPr>
                <w:rFonts w:ascii="仿宋" w:hAnsi="仿宋" w:eastAsia="仿宋" w:cs="仿宋_GB2312"/>
                <w:b/>
                <w:color w:val="auto"/>
                <w:sz w:val="28"/>
                <w:szCs w:val="28"/>
                <w:highlight w:val="none"/>
              </w:rPr>
            </w:pPr>
          </w:p>
        </w:tc>
        <w:tc>
          <w:tcPr>
            <w:tcW w:w="1613"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tcPr>
          <w:p>
            <w:pPr>
              <w:jc w:val="center"/>
              <w:rPr>
                <w:rFonts w:ascii="仿宋" w:hAnsi="仿宋" w:eastAsia="仿宋" w:cs="仿宋_GB2312"/>
                <w:b/>
                <w:color w:val="auto"/>
                <w:sz w:val="28"/>
                <w:szCs w:val="28"/>
                <w:highlight w:val="none"/>
              </w:rPr>
            </w:pPr>
          </w:p>
        </w:tc>
        <w:tc>
          <w:tcPr>
            <w:tcW w:w="2198"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bl>
    <w:p>
      <w:pPr>
        <w:pStyle w:val="2"/>
        <w:rPr>
          <w:rFonts w:ascii="仿宋_GB2312" w:eastAsia="仿宋_GB2312" w:hAnsiTheme="minorEastAsia"/>
          <w:color w:val="auto"/>
          <w:sz w:val="28"/>
          <w:szCs w:val="28"/>
          <w:highlight w:val="none"/>
        </w:rPr>
      </w:pPr>
    </w:p>
    <w:p>
      <w:pPr>
        <w:adjustRightInd w:val="0"/>
        <w:snapToGrid w:val="0"/>
        <w:spacing w:line="360" w:lineRule="auto"/>
        <w:jc w:val="right"/>
        <w:rPr>
          <w:rFonts w:ascii="宋体" w:hAnsi="宋体" w:eastAsia="宋体" w:cs="宋体"/>
          <w:color w:val="auto"/>
          <w:sz w:val="24"/>
          <w:szCs w:val="24"/>
          <w:highlight w:val="none"/>
          <w:lang w:val="en-GB"/>
        </w:rPr>
      </w:pP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年  月  日</w:t>
      </w:r>
    </w:p>
    <w:p>
      <w:pPr>
        <w:pStyle w:val="2"/>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p>
    <w:p>
      <w:pPr>
        <w:pStyle w:val="6"/>
        <w:rPr>
          <w:rFonts w:asciiTheme="minorEastAsia" w:hAnsiTheme="minorEastAsia" w:eastAsiaTheme="minorEastAsia"/>
          <w:color w:val="auto"/>
          <w:sz w:val="28"/>
          <w:szCs w:val="28"/>
          <w:highlight w:val="none"/>
        </w:rPr>
      </w:pPr>
      <w:bookmarkStart w:id="161" w:name="_Toc32430"/>
      <w:bookmarkStart w:id="162" w:name="_Toc19423"/>
      <w:r>
        <w:rPr>
          <w:rFonts w:hint="eastAsia" w:ascii="仿宋_GB2312" w:eastAsia="仿宋_GB2312" w:hAnsiTheme="minorEastAsia"/>
          <w:color w:val="auto"/>
          <w:sz w:val="28"/>
          <w:szCs w:val="28"/>
          <w:highlight w:val="none"/>
        </w:rPr>
        <w:t>5</w:t>
      </w:r>
      <w:r>
        <w:rPr>
          <w:rFonts w:hint="eastAsia" w:asciiTheme="minorEastAsia" w:hAnsiTheme="minorEastAsia" w:eastAsiaTheme="minorEastAsia"/>
          <w:color w:val="auto"/>
          <w:sz w:val="28"/>
          <w:szCs w:val="28"/>
          <w:highlight w:val="none"/>
        </w:rPr>
        <w:t>.报价表</w:t>
      </w:r>
      <w:bookmarkEnd w:id="161"/>
      <w:bookmarkEnd w:id="162"/>
    </w:p>
    <w:tbl>
      <w:tblPr>
        <w:tblStyle w:val="22"/>
        <w:tblW w:w="8364" w:type="dxa"/>
        <w:tblInd w:w="108" w:type="dxa"/>
        <w:tblLayout w:type="autofit"/>
        <w:tblCellMar>
          <w:top w:w="0" w:type="dxa"/>
          <w:left w:w="108" w:type="dxa"/>
          <w:bottom w:w="0" w:type="dxa"/>
          <w:right w:w="108" w:type="dxa"/>
        </w:tblCellMar>
      </w:tblPr>
      <w:tblGrid>
        <w:gridCol w:w="1145"/>
        <w:gridCol w:w="2604"/>
        <w:gridCol w:w="1780"/>
        <w:gridCol w:w="382"/>
        <w:gridCol w:w="2453"/>
      </w:tblGrid>
      <w:tr>
        <w:tblPrEx>
          <w:tblCellMar>
            <w:top w:w="0" w:type="dxa"/>
            <w:left w:w="108" w:type="dxa"/>
            <w:bottom w:w="0" w:type="dxa"/>
            <w:right w:w="108" w:type="dxa"/>
          </w:tblCellMar>
        </w:tblPrEx>
        <w:trPr>
          <w:trHeight w:val="795" w:hRule="atLeast"/>
        </w:trPr>
        <w:tc>
          <w:tcPr>
            <w:tcW w:w="8364" w:type="dxa"/>
            <w:gridSpan w:val="5"/>
            <w:tcBorders>
              <w:top w:val="nil"/>
              <w:left w:val="nil"/>
              <w:bottom w:val="nil"/>
              <w:right w:val="nil"/>
            </w:tcBorders>
            <w:shd w:val="clear" w:color="FFFFFF" w:fill="FFFFFF"/>
            <w:vAlign w:val="center"/>
          </w:tcPr>
          <w:p>
            <w:pPr>
              <w:widowControl/>
              <w:jc w:val="center"/>
              <w:rPr>
                <w:rFonts w:ascii="宋体" w:hAnsi="宋体" w:eastAsia="宋体" w:cs="宋体"/>
                <w:b/>
                <w:bCs/>
                <w:color w:val="auto"/>
                <w:kern w:val="0"/>
                <w:sz w:val="40"/>
                <w:szCs w:val="40"/>
                <w:highlight w:val="none"/>
              </w:rPr>
            </w:pPr>
            <w:bookmarkStart w:id="163" w:name="_Toc88209965"/>
            <w:bookmarkStart w:id="164" w:name="_Toc87616402"/>
            <w:bookmarkStart w:id="165" w:name="_Toc16386"/>
            <w:bookmarkStart w:id="166" w:name="_Toc6058"/>
            <w:r>
              <w:rPr>
                <w:rFonts w:hint="eastAsia" w:ascii="宋体" w:hAnsi="宋体" w:eastAsia="宋体" w:cs="宋体"/>
                <w:b/>
                <w:bCs/>
                <w:color w:val="auto"/>
                <w:kern w:val="0"/>
                <w:sz w:val="40"/>
                <w:szCs w:val="40"/>
                <w:highlight w:val="none"/>
              </w:rPr>
              <w:t>单位工程报价汇总表</w:t>
            </w:r>
          </w:p>
        </w:tc>
      </w:tr>
      <w:tr>
        <w:tblPrEx>
          <w:tblCellMar>
            <w:top w:w="0" w:type="dxa"/>
            <w:left w:w="108" w:type="dxa"/>
            <w:bottom w:w="0" w:type="dxa"/>
            <w:right w:w="108" w:type="dxa"/>
          </w:tblCellMar>
        </w:tblPrEx>
        <w:trPr>
          <w:trHeight w:val="570" w:hRule="atLeast"/>
        </w:trPr>
        <w:tc>
          <w:tcPr>
            <w:tcW w:w="5911" w:type="dxa"/>
            <w:gridSpan w:val="4"/>
            <w:tcBorders>
              <w:top w:val="nil"/>
              <w:left w:val="nil"/>
              <w:bottom w:val="nil"/>
              <w:right w:val="nil"/>
            </w:tcBorders>
            <w:shd w:val="clear" w:color="FFFFFF" w:fill="FFFFFF"/>
            <w:vAlign w:val="bottom"/>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工程名称：石井净水分公司厂区高压电缆管线优化项目</w:t>
            </w:r>
          </w:p>
        </w:tc>
        <w:tc>
          <w:tcPr>
            <w:tcW w:w="2453" w:type="dxa"/>
            <w:tcBorders>
              <w:top w:val="nil"/>
              <w:left w:val="nil"/>
              <w:bottom w:val="nil"/>
              <w:right w:val="nil"/>
            </w:tcBorders>
            <w:shd w:val="clear" w:color="FFFFFF" w:fill="FFFFFF"/>
            <w:vAlign w:val="bottom"/>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标段：</w:t>
            </w:r>
          </w:p>
        </w:tc>
      </w:tr>
      <w:tr>
        <w:tblPrEx>
          <w:tblCellMar>
            <w:top w:w="0" w:type="dxa"/>
            <w:left w:w="108" w:type="dxa"/>
            <w:bottom w:w="0" w:type="dxa"/>
            <w:right w:w="108" w:type="dxa"/>
          </w:tblCellMar>
        </w:tblPrEx>
        <w:trPr>
          <w:trHeight w:val="375" w:hRule="atLeast"/>
        </w:trPr>
        <w:tc>
          <w:tcPr>
            <w:tcW w:w="114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序号</w:t>
            </w:r>
          </w:p>
        </w:tc>
        <w:tc>
          <w:tcPr>
            <w:tcW w:w="2604" w:type="dxa"/>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汇总内容</w:t>
            </w:r>
          </w:p>
        </w:tc>
        <w:tc>
          <w:tcPr>
            <w:tcW w:w="1780" w:type="dxa"/>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金额:(元)</w:t>
            </w:r>
          </w:p>
        </w:tc>
        <w:tc>
          <w:tcPr>
            <w:tcW w:w="2835" w:type="dxa"/>
            <w:gridSpan w:val="2"/>
            <w:tcBorders>
              <w:top w:val="single" w:color="000000" w:sz="8" w:space="0"/>
              <w:left w:val="nil"/>
              <w:bottom w:val="single" w:color="000000" w:sz="4" w:space="0"/>
              <w:right w:val="single" w:color="000000" w:sz="8" w:space="0"/>
            </w:tcBorders>
            <w:shd w:val="clear" w:color="FFFFFF" w:fill="FFFFFF"/>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其中：暂估价(元)</w:t>
            </w:r>
          </w:p>
        </w:tc>
      </w:tr>
      <w:tr>
        <w:tblPrEx>
          <w:tblCellMar>
            <w:top w:w="0" w:type="dxa"/>
            <w:left w:w="108" w:type="dxa"/>
            <w:bottom w:w="0" w:type="dxa"/>
            <w:right w:w="108" w:type="dxa"/>
          </w:tblCellMar>
        </w:tblPrEx>
        <w:trPr>
          <w:trHeight w:val="360" w:hRule="atLeast"/>
        </w:trPr>
        <w:tc>
          <w:tcPr>
            <w:tcW w:w="1145"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260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分部分项合计</w:t>
            </w:r>
          </w:p>
        </w:tc>
        <w:tc>
          <w:tcPr>
            <w:tcW w:w="178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p>
        </w:tc>
        <w:tc>
          <w:tcPr>
            <w:tcW w:w="2835" w:type="dxa"/>
            <w:gridSpan w:val="2"/>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360" w:hRule="atLeast"/>
        </w:trPr>
        <w:tc>
          <w:tcPr>
            <w:tcW w:w="1145"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w:t>
            </w:r>
          </w:p>
        </w:tc>
        <w:tc>
          <w:tcPr>
            <w:tcW w:w="260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措施合计</w:t>
            </w:r>
          </w:p>
        </w:tc>
        <w:tc>
          <w:tcPr>
            <w:tcW w:w="178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p>
        </w:tc>
        <w:tc>
          <w:tcPr>
            <w:tcW w:w="2835" w:type="dxa"/>
            <w:gridSpan w:val="2"/>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360" w:hRule="atLeast"/>
        </w:trPr>
        <w:tc>
          <w:tcPr>
            <w:tcW w:w="1145"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2.1</w:t>
            </w:r>
          </w:p>
        </w:tc>
        <w:tc>
          <w:tcPr>
            <w:tcW w:w="260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绿色施工安全防护措施费</w:t>
            </w:r>
          </w:p>
        </w:tc>
        <w:tc>
          <w:tcPr>
            <w:tcW w:w="178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p>
        </w:tc>
        <w:tc>
          <w:tcPr>
            <w:tcW w:w="2835" w:type="dxa"/>
            <w:gridSpan w:val="2"/>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360" w:hRule="atLeast"/>
        </w:trPr>
        <w:tc>
          <w:tcPr>
            <w:tcW w:w="1145"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2.2</w:t>
            </w:r>
          </w:p>
        </w:tc>
        <w:tc>
          <w:tcPr>
            <w:tcW w:w="260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其他措施费</w:t>
            </w:r>
          </w:p>
        </w:tc>
        <w:tc>
          <w:tcPr>
            <w:tcW w:w="178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p>
        </w:tc>
        <w:tc>
          <w:tcPr>
            <w:tcW w:w="2835" w:type="dxa"/>
            <w:gridSpan w:val="2"/>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360" w:hRule="atLeast"/>
        </w:trPr>
        <w:tc>
          <w:tcPr>
            <w:tcW w:w="1145"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w:t>
            </w:r>
          </w:p>
        </w:tc>
        <w:tc>
          <w:tcPr>
            <w:tcW w:w="260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其他项目</w:t>
            </w:r>
          </w:p>
        </w:tc>
        <w:tc>
          <w:tcPr>
            <w:tcW w:w="178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p>
        </w:tc>
        <w:tc>
          <w:tcPr>
            <w:tcW w:w="2835" w:type="dxa"/>
            <w:gridSpan w:val="2"/>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w:t>
            </w:r>
          </w:p>
        </w:tc>
      </w:tr>
      <w:tr>
        <w:tblPrEx>
          <w:tblCellMar>
            <w:top w:w="0" w:type="dxa"/>
            <w:left w:w="108" w:type="dxa"/>
            <w:bottom w:w="0" w:type="dxa"/>
            <w:right w:w="108" w:type="dxa"/>
          </w:tblCellMar>
        </w:tblPrEx>
        <w:trPr>
          <w:trHeight w:val="360" w:hRule="atLeast"/>
        </w:trPr>
        <w:tc>
          <w:tcPr>
            <w:tcW w:w="1145"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3.1</w:t>
            </w:r>
          </w:p>
        </w:tc>
        <w:tc>
          <w:tcPr>
            <w:tcW w:w="260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暂列金额</w:t>
            </w:r>
          </w:p>
        </w:tc>
        <w:tc>
          <w:tcPr>
            <w:tcW w:w="178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2835" w:type="dxa"/>
            <w:gridSpan w:val="2"/>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360" w:hRule="atLeast"/>
        </w:trPr>
        <w:tc>
          <w:tcPr>
            <w:tcW w:w="1145"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3.2</w:t>
            </w:r>
          </w:p>
        </w:tc>
        <w:tc>
          <w:tcPr>
            <w:tcW w:w="260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暂估价</w:t>
            </w:r>
          </w:p>
        </w:tc>
        <w:tc>
          <w:tcPr>
            <w:tcW w:w="178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2835" w:type="dxa"/>
            <w:gridSpan w:val="2"/>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360" w:hRule="atLeast"/>
        </w:trPr>
        <w:tc>
          <w:tcPr>
            <w:tcW w:w="1145"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3.3</w:t>
            </w:r>
          </w:p>
        </w:tc>
        <w:tc>
          <w:tcPr>
            <w:tcW w:w="260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计日工</w:t>
            </w:r>
          </w:p>
        </w:tc>
        <w:tc>
          <w:tcPr>
            <w:tcW w:w="178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2835" w:type="dxa"/>
            <w:gridSpan w:val="2"/>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360" w:hRule="atLeast"/>
        </w:trPr>
        <w:tc>
          <w:tcPr>
            <w:tcW w:w="1145"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3.4</w:t>
            </w:r>
          </w:p>
        </w:tc>
        <w:tc>
          <w:tcPr>
            <w:tcW w:w="260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总承包服务费</w:t>
            </w:r>
          </w:p>
        </w:tc>
        <w:tc>
          <w:tcPr>
            <w:tcW w:w="178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2835" w:type="dxa"/>
            <w:gridSpan w:val="2"/>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360" w:hRule="atLeast"/>
        </w:trPr>
        <w:tc>
          <w:tcPr>
            <w:tcW w:w="1145"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3.5</w:t>
            </w:r>
          </w:p>
        </w:tc>
        <w:tc>
          <w:tcPr>
            <w:tcW w:w="260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预算包干费</w:t>
            </w:r>
          </w:p>
        </w:tc>
        <w:tc>
          <w:tcPr>
            <w:tcW w:w="178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p>
        </w:tc>
        <w:tc>
          <w:tcPr>
            <w:tcW w:w="2835" w:type="dxa"/>
            <w:gridSpan w:val="2"/>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360" w:hRule="atLeast"/>
        </w:trPr>
        <w:tc>
          <w:tcPr>
            <w:tcW w:w="1145"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3.6</w:t>
            </w:r>
          </w:p>
        </w:tc>
        <w:tc>
          <w:tcPr>
            <w:tcW w:w="260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工程优质费</w:t>
            </w:r>
          </w:p>
        </w:tc>
        <w:tc>
          <w:tcPr>
            <w:tcW w:w="178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2835" w:type="dxa"/>
            <w:gridSpan w:val="2"/>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360" w:hRule="atLeast"/>
        </w:trPr>
        <w:tc>
          <w:tcPr>
            <w:tcW w:w="1145"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3.7</w:t>
            </w:r>
          </w:p>
        </w:tc>
        <w:tc>
          <w:tcPr>
            <w:tcW w:w="260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概算幅度差</w:t>
            </w:r>
          </w:p>
        </w:tc>
        <w:tc>
          <w:tcPr>
            <w:tcW w:w="178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2835" w:type="dxa"/>
            <w:gridSpan w:val="2"/>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360" w:hRule="atLeast"/>
        </w:trPr>
        <w:tc>
          <w:tcPr>
            <w:tcW w:w="1145"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3.8</w:t>
            </w:r>
          </w:p>
        </w:tc>
        <w:tc>
          <w:tcPr>
            <w:tcW w:w="260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索赔费用</w:t>
            </w:r>
          </w:p>
        </w:tc>
        <w:tc>
          <w:tcPr>
            <w:tcW w:w="178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2835" w:type="dxa"/>
            <w:gridSpan w:val="2"/>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360" w:hRule="atLeast"/>
        </w:trPr>
        <w:tc>
          <w:tcPr>
            <w:tcW w:w="1145"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3.9</w:t>
            </w:r>
          </w:p>
        </w:tc>
        <w:tc>
          <w:tcPr>
            <w:tcW w:w="260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现场签证费用</w:t>
            </w:r>
          </w:p>
        </w:tc>
        <w:tc>
          <w:tcPr>
            <w:tcW w:w="178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2835" w:type="dxa"/>
            <w:gridSpan w:val="2"/>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360" w:hRule="atLeast"/>
        </w:trPr>
        <w:tc>
          <w:tcPr>
            <w:tcW w:w="1145"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3.10</w:t>
            </w:r>
          </w:p>
        </w:tc>
        <w:tc>
          <w:tcPr>
            <w:tcW w:w="260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其他费用</w:t>
            </w:r>
          </w:p>
        </w:tc>
        <w:tc>
          <w:tcPr>
            <w:tcW w:w="178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2835" w:type="dxa"/>
            <w:gridSpan w:val="2"/>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360" w:hRule="atLeast"/>
        </w:trPr>
        <w:tc>
          <w:tcPr>
            <w:tcW w:w="1145"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w:t>
            </w:r>
          </w:p>
        </w:tc>
        <w:tc>
          <w:tcPr>
            <w:tcW w:w="260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税前工程造价</w:t>
            </w:r>
          </w:p>
        </w:tc>
        <w:tc>
          <w:tcPr>
            <w:tcW w:w="178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p>
        </w:tc>
        <w:tc>
          <w:tcPr>
            <w:tcW w:w="2835" w:type="dxa"/>
            <w:gridSpan w:val="2"/>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eastAsia="宋体" w:cs="宋体"/>
                <w:color w:val="auto"/>
                <w:kern w:val="0"/>
                <w:sz w:val="20"/>
                <w:szCs w:val="20"/>
                <w:highlight w:val="none"/>
              </w:rPr>
            </w:pPr>
          </w:p>
        </w:tc>
      </w:tr>
      <w:tr>
        <w:tblPrEx>
          <w:tblCellMar>
            <w:top w:w="0" w:type="dxa"/>
            <w:left w:w="108" w:type="dxa"/>
            <w:bottom w:w="0" w:type="dxa"/>
            <w:right w:w="108" w:type="dxa"/>
          </w:tblCellMar>
        </w:tblPrEx>
        <w:trPr>
          <w:trHeight w:val="360" w:hRule="atLeast"/>
        </w:trPr>
        <w:tc>
          <w:tcPr>
            <w:tcW w:w="1145"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w:t>
            </w:r>
          </w:p>
        </w:tc>
        <w:tc>
          <w:tcPr>
            <w:tcW w:w="260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增值税销项税额</w:t>
            </w:r>
          </w:p>
        </w:tc>
        <w:tc>
          <w:tcPr>
            <w:tcW w:w="178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p>
        </w:tc>
        <w:tc>
          <w:tcPr>
            <w:tcW w:w="2835" w:type="dxa"/>
            <w:gridSpan w:val="2"/>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w:t>
            </w:r>
          </w:p>
        </w:tc>
      </w:tr>
      <w:tr>
        <w:tblPrEx>
          <w:tblCellMar>
            <w:top w:w="0" w:type="dxa"/>
            <w:left w:w="108" w:type="dxa"/>
            <w:bottom w:w="0" w:type="dxa"/>
            <w:right w:w="108" w:type="dxa"/>
          </w:tblCellMar>
        </w:tblPrEx>
        <w:trPr>
          <w:trHeight w:val="360" w:hRule="atLeast"/>
        </w:trPr>
        <w:tc>
          <w:tcPr>
            <w:tcW w:w="1145"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w:t>
            </w:r>
          </w:p>
        </w:tc>
        <w:tc>
          <w:tcPr>
            <w:tcW w:w="260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总造价</w:t>
            </w:r>
          </w:p>
        </w:tc>
        <w:tc>
          <w:tcPr>
            <w:tcW w:w="178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p>
        </w:tc>
        <w:tc>
          <w:tcPr>
            <w:tcW w:w="2835" w:type="dxa"/>
            <w:gridSpan w:val="2"/>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360" w:hRule="atLeast"/>
        </w:trPr>
        <w:tc>
          <w:tcPr>
            <w:tcW w:w="1145"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7</w:t>
            </w:r>
          </w:p>
        </w:tc>
        <w:tc>
          <w:tcPr>
            <w:tcW w:w="260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人工费</w:t>
            </w:r>
          </w:p>
        </w:tc>
        <w:tc>
          <w:tcPr>
            <w:tcW w:w="178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p>
        </w:tc>
        <w:tc>
          <w:tcPr>
            <w:tcW w:w="2835" w:type="dxa"/>
            <w:gridSpan w:val="2"/>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360" w:hRule="atLeast"/>
        </w:trPr>
        <w:tc>
          <w:tcPr>
            <w:tcW w:w="1145"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260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78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p>
        </w:tc>
        <w:tc>
          <w:tcPr>
            <w:tcW w:w="2835" w:type="dxa"/>
            <w:gridSpan w:val="2"/>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360" w:hRule="atLeast"/>
        </w:trPr>
        <w:tc>
          <w:tcPr>
            <w:tcW w:w="3749"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报价合计=1+2+3+5</w:t>
            </w:r>
          </w:p>
        </w:tc>
        <w:tc>
          <w:tcPr>
            <w:tcW w:w="1780" w:type="dxa"/>
            <w:tcBorders>
              <w:top w:val="single" w:color="000000" w:sz="4" w:space="0"/>
              <w:left w:val="nil"/>
              <w:bottom w:val="single" w:color="000000" w:sz="8"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p>
        </w:tc>
        <w:tc>
          <w:tcPr>
            <w:tcW w:w="2835" w:type="dxa"/>
            <w:gridSpan w:val="2"/>
            <w:tcBorders>
              <w:top w:val="nil"/>
              <w:left w:val="nil"/>
              <w:bottom w:val="single" w:color="000000" w:sz="8" w:space="0"/>
              <w:right w:val="single" w:color="000000" w:sz="8" w:space="0"/>
            </w:tcBorders>
            <w:shd w:val="clear" w:color="FFFFFF" w:fill="FFFFFF"/>
            <w:vAlign w:val="center"/>
          </w:tcPr>
          <w:p>
            <w:pPr>
              <w:widowControl/>
              <w:jc w:val="right"/>
              <w:rPr>
                <w:rFonts w:ascii="宋体" w:hAnsi="宋体" w:eastAsia="宋体" w:cs="宋体"/>
                <w:color w:val="auto"/>
                <w:kern w:val="0"/>
                <w:sz w:val="20"/>
                <w:szCs w:val="20"/>
                <w:highlight w:val="none"/>
              </w:rPr>
            </w:pPr>
          </w:p>
        </w:tc>
      </w:tr>
    </w:tbl>
    <w:p>
      <w:pPr>
        <w:pStyle w:val="2"/>
        <w:rPr>
          <w:color w:val="auto"/>
          <w:highlight w:val="none"/>
        </w:rPr>
      </w:pPr>
    </w:p>
    <w:p>
      <w:pPr>
        <w:rPr>
          <w:color w:val="auto"/>
          <w:highlight w:val="none"/>
        </w:rPr>
      </w:pPr>
      <w:r>
        <w:rPr>
          <w:color w:val="auto"/>
          <w:highlight w:val="none"/>
        </w:rPr>
        <w:br w:type="page"/>
      </w:r>
    </w:p>
    <w:tbl>
      <w:tblPr>
        <w:tblStyle w:val="22"/>
        <w:tblW w:w="8840" w:type="dxa"/>
        <w:jc w:val="center"/>
        <w:tblLayout w:type="autofit"/>
        <w:tblCellMar>
          <w:top w:w="0" w:type="dxa"/>
          <w:left w:w="108" w:type="dxa"/>
          <w:bottom w:w="0" w:type="dxa"/>
          <w:right w:w="108" w:type="dxa"/>
        </w:tblCellMar>
      </w:tblPr>
      <w:tblGrid>
        <w:gridCol w:w="10"/>
        <w:gridCol w:w="517"/>
        <w:gridCol w:w="10"/>
        <w:gridCol w:w="1353"/>
        <w:gridCol w:w="70"/>
        <w:gridCol w:w="1047"/>
        <w:gridCol w:w="339"/>
        <w:gridCol w:w="1314"/>
        <w:gridCol w:w="200"/>
        <w:gridCol w:w="473"/>
        <w:gridCol w:w="54"/>
        <w:gridCol w:w="111"/>
        <w:gridCol w:w="684"/>
        <w:gridCol w:w="293"/>
        <w:gridCol w:w="8"/>
        <w:gridCol w:w="355"/>
        <w:gridCol w:w="213"/>
        <w:gridCol w:w="15"/>
        <w:gridCol w:w="644"/>
        <w:gridCol w:w="126"/>
        <w:gridCol w:w="206"/>
        <w:gridCol w:w="551"/>
        <w:gridCol w:w="247"/>
      </w:tblGrid>
      <w:tr>
        <w:trPr>
          <w:gridBefore w:val="1"/>
          <w:gridAfter w:val="1"/>
          <w:wBefore w:w="15" w:type="dxa"/>
          <w:wAfter w:w="320" w:type="dxa"/>
          <w:trHeight w:val="795" w:hRule="atLeast"/>
          <w:jc w:val="center"/>
        </w:trPr>
        <w:tc>
          <w:tcPr>
            <w:tcW w:w="8505" w:type="dxa"/>
            <w:gridSpan w:val="21"/>
            <w:tcBorders>
              <w:top w:val="nil"/>
              <w:left w:val="nil"/>
              <w:bottom w:val="nil"/>
              <w:right w:val="nil"/>
            </w:tcBorders>
            <w:shd w:val="clear" w:color="FFFFFF" w:fill="FFFFFF"/>
            <w:vAlign w:val="center"/>
          </w:tcPr>
          <w:p>
            <w:pPr>
              <w:widowControl/>
              <w:jc w:val="center"/>
              <w:rPr>
                <w:rFonts w:ascii="宋体" w:hAnsi="宋体" w:eastAsia="宋体" w:cs="宋体"/>
                <w:b/>
                <w:bCs/>
                <w:color w:val="auto"/>
                <w:kern w:val="0"/>
                <w:sz w:val="40"/>
                <w:szCs w:val="40"/>
                <w:highlight w:val="none"/>
              </w:rPr>
            </w:pPr>
            <w:r>
              <w:rPr>
                <w:rFonts w:hint="eastAsia" w:ascii="宋体" w:hAnsi="宋体" w:eastAsia="宋体" w:cs="宋体"/>
                <w:b/>
                <w:bCs/>
                <w:color w:val="auto"/>
                <w:kern w:val="0"/>
                <w:sz w:val="40"/>
                <w:szCs w:val="40"/>
                <w:highlight w:val="none"/>
              </w:rPr>
              <w:t>分部分项工程和单价措施项目清单与计价表</w:t>
            </w:r>
          </w:p>
        </w:tc>
      </w:tr>
      <w:tr>
        <w:trPr>
          <w:gridBefore w:val="1"/>
          <w:gridAfter w:val="1"/>
          <w:wBefore w:w="15" w:type="dxa"/>
          <w:wAfter w:w="320" w:type="dxa"/>
          <w:trHeight w:val="570" w:hRule="atLeast"/>
          <w:jc w:val="center"/>
        </w:trPr>
        <w:tc>
          <w:tcPr>
            <w:tcW w:w="6184" w:type="dxa"/>
            <w:gridSpan w:val="14"/>
            <w:tcBorders>
              <w:top w:val="nil"/>
              <w:left w:val="nil"/>
              <w:bottom w:val="nil"/>
              <w:right w:val="nil"/>
            </w:tcBorders>
            <w:shd w:val="clear" w:color="FFFFFF" w:fill="FFFFFF"/>
            <w:vAlign w:val="bottom"/>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工程名称：石井净水分公司厂区高压电缆管线优化项目</w:t>
            </w:r>
          </w:p>
        </w:tc>
        <w:tc>
          <w:tcPr>
            <w:tcW w:w="1762" w:type="dxa"/>
            <w:gridSpan w:val="6"/>
            <w:tcBorders>
              <w:top w:val="nil"/>
              <w:left w:val="nil"/>
              <w:bottom w:val="nil"/>
              <w:right w:val="nil"/>
            </w:tcBorders>
            <w:shd w:val="clear" w:color="FFFFFF" w:fill="FFFFFF"/>
            <w:vAlign w:val="bottom"/>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标段：</w:t>
            </w:r>
          </w:p>
        </w:tc>
        <w:tc>
          <w:tcPr>
            <w:tcW w:w="559" w:type="dxa"/>
            <w:tcBorders>
              <w:top w:val="nil"/>
              <w:left w:val="nil"/>
              <w:bottom w:val="nil"/>
              <w:right w:val="nil"/>
            </w:tcBorders>
            <w:shd w:val="clear" w:color="FFFFFF" w:fill="FFFFFF"/>
            <w:vAlign w:val="bottom"/>
          </w:tcPr>
          <w:p>
            <w:pPr>
              <w:widowControl/>
              <w:jc w:val="right"/>
              <w:rPr>
                <w:rFonts w:ascii="宋体" w:hAnsi="宋体" w:eastAsia="宋体" w:cs="宋体"/>
                <w:color w:val="auto"/>
                <w:kern w:val="0"/>
                <w:sz w:val="20"/>
                <w:szCs w:val="20"/>
                <w:highlight w:val="none"/>
              </w:rPr>
            </w:pPr>
          </w:p>
        </w:tc>
      </w:tr>
      <w:tr>
        <w:trPr>
          <w:gridBefore w:val="1"/>
          <w:gridAfter w:val="1"/>
          <w:wBefore w:w="15" w:type="dxa"/>
          <w:wAfter w:w="320" w:type="dxa"/>
          <w:trHeight w:val="360" w:hRule="atLeast"/>
          <w:jc w:val="center"/>
        </w:trPr>
        <w:tc>
          <w:tcPr>
            <w:tcW w:w="559"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序号</w:t>
            </w:r>
          </w:p>
        </w:tc>
        <w:tc>
          <w:tcPr>
            <w:tcW w:w="690"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项目</w:t>
            </w:r>
          </w:p>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编码</w:t>
            </w:r>
          </w:p>
        </w:tc>
        <w:tc>
          <w:tcPr>
            <w:tcW w:w="123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项目名称</w:t>
            </w:r>
          </w:p>
        </w:tc>
        <w:tc>
          <w:tcPr>
            <w:tcW w:w="2081"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项目特征描述</w:t>
            </w:r>
          </w:p>
        </w:tc>
        <w:tc>
          <w:tcPr>
            <w:tcW w:w="695"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计量单位</w:t>
            </w:r>
          </w:p>
        </w:tc>
        <w:tc>
          <w:tcPr>
            <w:tcW w:w="91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工程量</w:t>
            </w:r>
          </w:p>
        </w:tc>
        <w:tc>
          <w:tcPr>
            <w:tcW w:w="2331" w:type="dxa"/>
            <w:gridSpan w:val="8"/>
            <w:tcBorders>
              <w:top w:val="single" w:color="000000" w:sz="8" w:space="0"/>
              <w:left w:val="nil"/>
              <w:bottom w:val="single" w:color="000000" w:sz="4" w:space="0"/>
              <w:right w:val="single" w:color="000000" w:sz="8" w:space="0"/>
            </w:tcBorders>
            <w:shd w:val="clear" w:color="FFFFFF" w:fill="FFFFFF"/>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金额（元）</w:t>
            </w:r>
          </w:p>
        </w:tc>
      </w:tr>
      <w:tr>
        <w:tblPrEx>
          <w:tblCellMar>
            <w:top w:w="0" w:type="dxa"/>
            <w:left w:w="108" w:type="dxa"/>
            <w:bottom w:w="0" w:type="dxa"/>
            <w:right w:w="108" w:type="dxa"/>
          </w:tblCellMar>
        </w:tblPrEx>
        <w:trPr>
          <w:gridBefore w:val="1"/>
          <w:gridAfter w:val="1"/>
          <w:wBefore w:w="15" w:type="dxa"/>
          <w:wAfter w:w="320" w:type="dxa"/>
          <w:trHeight w:val="360" w:hRule="atLeast"/>
          <w:jc w:val="center"/>
        </w:trPr>
        <w:tc>
          <w:tcPr>
            <w:tcW w:w="559" w:type="dxa"/>
            <w:vMerge w:val="continue"/>
            <w:tcBorders>
              <w:top w:val="single" w:color="000000" w:sz="8" w:space="0"/>
              <w:left w:val="single" w:color="000000" w:sz="8" w:space="0"/>
              <w:bottom w:val="single" w:color="000000" w:sz="4" w:space="0"/>
              <w:right w:val="single" w:color="000000" w:sz="4" w:space="0"/>
            </w:tcBorders>
            <w:vAlign w:val="center"/>
          </w:tcPr>
          <w:p>
            <w:pPr>
              <w:widowControl/>
              <w:jc w:val="left"/>
              <w:rPr>
                <w:rFonts w:ascii="宋体" w:hAnsi="宋体" w:eastAsia="宋体" w:cs="宋体"/>
                <w:color w:val="auto"/>
                <w:kern w:val="0"/>
                <w:sz w:val="20"/>
                <w:szCs w:val="20"/>
                <w:highlight w:val="none"/>
              </w:rPr>
            </w:pPr>
          </w:p>
        </w:tc>
        <w:tc>
          <w:tcPr>
            <w:tcW w:w="690" w:type="dxa"/>
            <w:gridSpan w:val="3"/>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auto"/>
                <w:kern w:val="0"/>
                <w:sz w:val="20"/>
                <w:szCs w:val="20"/>
                <w:highlight w:val="none"/>
              </w:rPr>
            </w:pPr>
          </w:p>
        </w:tc>
        <w:tc>
          <w:tcPr>
            <w:tcW w:w="1233"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auto"/>
                <w:kern w:val="0"/>
                <w:sz w:val="20"/>
                <w:szCs w:val="20"/>
                <w:highlight w:val="none"/>
              </w:rPr>
            </w:pPr>
          </w:p>
        </w:tc>
        <w:tc>
          <w:tcPr>
            <w:tcW w:w="2081" w:type="dxa"/>
            <w:gridSpan w:val="3"/>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auto"/>
                <w:kern w:val="0"/>
                <w:sz w:val="20"/>
                <w:szCs w:val="20"/>
                <w:highlight w:val="none"/>
              </w:rPr>
            </w:pPr>
          </w:p>
        </w:tc>
        <w:tc>
          <w:tcPr>
            <w:tcW w:w="695" w:type="dxa"/>
            <w:gridSpan w:val="3"/>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auto"/>
                <w:kern w:val="0"/>
                <w:sz w:val="20"/>
                <w:szCs w:val="20"/>
                <w:highlight w:val="none"/>
              </w:rPr>
            </w:pPr>
          </w:p>
        </w:tc>
        <w:tc>
          <w:tcPr>
            <w:tcW w:w="916" w:type="dxa"/>
            <w:gridSpan w:val="2"/>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auto"/>
                <w:kern w:val="0"/>
                <w:sz w:val="20"/>
                <w:szCs w:val="20"/>
                <w:highlight w:val="none"/>
              </w:rPr>
            </w:pPr>
          </w:p>
        </w:tc>
        <w:tc>
          <w:tcPr>
            <w:tcW w:w="668" w:type="dxa"/>
            <w:gridSpan w:val="4"/>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综合单价</w:t>
            </w:r>
          </w:p>
        </w:tc>
        <w:tc>
          <w:tcPr>
            <w:tcW w:w="699"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综合合价</w:t>
            </w:r>
          </w:p>
        </w:tc>
        <w:tc>
          <w:tcPr>
            <w:tcW w:w="964" w:type="dxa"/>
            <w:gridSpan w:val="3"/>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其中</w:t>
            </w:r>
          </w:p>
        </w:tc>
      </w:tr>
      <w:tr>
        <w:tblPrEx>
          <w:tblCellMar>
            <w:top w:w="0" w:type="dxa"/>
            <w:left w:w="108" w:type="dxa"/>
            <w:bottom w:w="0" w:type="dxa"/>
            <w:right w:w="108" w:type="dxa"/>
          </w:tblCellMar>
        </w:tblPrEx>
        <w:trPr>
          <w:gridBefore w:val="1"/>
          <w:gridAfter w:val="1"/>
          <w:wBefore w:w="15" w:type="dxa"/>
          <w:wAfter w:w="320" w:type="dxa"/>
          <w:trHeight w:val="360" w:hRule="atLeast"/>
          <w:jc w:val="center"/>
        </w:trPr>
        <w:tc>
          <w:tcPr>
            <w:tcW w:w="559" w:type="dxa"/>
            <w:vMerge w:val="continue"/>
            <w:tcBorders>
              <w:top w:val="single" w:color="000000" w:sz="8" w:space="0"/>
              <w:left w:val="single" w:color="000000" w:sz="8" w:space="0"/>
              <w:bottom w:val="single" w:color="000000" w:sz="4" w:space="0"/>
              <w:right w:val="single" w:color="000000" w:sz="4" w:space="0"/>
            </w:tcBorders>
            <w:vAlign w:val="center"/>
          </w:tcPr>
          <w:p>
            <w:pPr>
              <w:widowControl/>
              <w:jc w:val="left"/>
              <w:rPr>
                <w:rFonts w:ascii="宋体" w:hAnsi="宋体" w:eastAsia="宋体" w:cs="宋体"/>
                <w:color w:val="auto"/>
                <w:kern w:val="0"/>
                <w:sz w:val="20"/>
                <w:szCs w:val="20"/>
                <w:highlight w:val="none"/>
              </w:rPr>
            </w:pPr>
          </w:p>
        </w:tc>
        <w:tc>
          <w:tcPr>
            <w:tcW w:w="690" w:type="dxa"/>
            <w:gridSpan w:val="3"/>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auto"/>
                <w:kern w:val="0"/>
                <w:sz w:val="20"/>
                <w:szCs w:val="20"/>
                <w:highlight w:val="none"/>
              </w:rPr>
            </w:pPr>
          </w:p>
        </w:tc>
        <w:tc>
          <w:tcPr>
            <w:tcW w:w="1233"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auto"/>
                <w:kern w:val="0"/>
                <w:sz w:val="20"/>
                <w:szCs w:val="20"/>
                <w:highlight w:val="none"/>
              </w:rPr>
            </w:pPr>
          </w:p>
        </w:tc>
        <w:tc>
          <w:tcPr>
            <w:tcW w:w="2081" w:type="dxa"/>
            <w:gridSpan w:val="3"/>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auto"/>
                <w:kern w:val="0"/>
                <w:sz w:val="20"/>
                <w:szCs w:val="20"/>
                <w:highlight w:val="none"/>
              </w:rPr>
            </w:pPr>
          </w:p>
        </w:tc>
        <w:tc>
          <w:tcPr>
            <w:tcW w:w="695" w:type="dxa"/>
            <w:gridSpan w:val="3"/>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auto"/>
                <w:kern w:val="0"/>
                <w:sz w:val="20"/>
                <w:szCs w:val="20"/>
                <w:highlight w:val="none"/>
              </w:rPr>
            </w:pPr>
          </w:p>
        </w:tc>
        <w:tc>
          <w:tcPr>
            <w:tcW w:w="916" w:type="dxa"/>
            <w:gridSpan w:val="2"/>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auto"/>
                <w:kern w:val="0"/>
                <w:sz w:val="20"/>
                <w:szCs w:val="20"/>
                <w:highlight w:val="none"/>
              </w:rPr>
            </w:pPr>
          </w:p>
        </w:tc>
        <w:tc>
          <w:tcPr>
            <w:tcW w:w="668"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auto"/>
                <w:kern w:val="0"/>
                <w:sz w:val="20"/>
                <w:szCs w:val="20"/>
                <w:highlight w:val="none"/>
              </w:rPr>
            </w:pPr>
          </w:p>
        </w:tc>
        <w:tc>
          <w:tcPr>
            <w:tcW w:w="69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auto"/>
                <w:kern w:val="0"/>
                <w:sz w:val="20"/>
                <w:szCs w:val="20"/>
                <w:highlight w:val="none"/>
              </w:rPr>
            </w:pPr>
          </w:p>
        </w:tc>
        <w:tc>
          <w:tcPr>
            <w:tcW w:w="964" w:type="dxa"/>
            <w:gridSpan w:val="3"/>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暂估价</w:t>
            </w:r>
          </w:p>
        </w:tc>
      </w:tr>
      <w:tr>
        <w:trPr>
          <w:gridBefore w:val="1"/>
          <w:gridAfter w:val="1"/>
          <w:wBefore w:w="15" w:type="dxa"/>
          <w:wAfter w:w="320" w:type="dxa"/>
          <w:trHeight w:val="360" w:hRule="atLeast"/>
          <w:jc w:val="center"/>
        </w:trPr>
        <w:tc>
          <w:tcPr>
            <w:tcW w:w="559"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auto"/>
                <w:kern w:val="0"/>
                <w:sz w:val="20"/>
                <w:szCs w:val="20"/>
                <w:highlight w:val="none"/>
              </w:rPr>
            </w:pPr>
            <w:r>
              <w:rPr>
                <w:rFonts w:hint="eastAsia" w:cs="Arial"/>
                <w:color w:val="auto"/>
                <w:sz w:val="20"/>
                <w:szCs w:val="20"/>
                <w:highlight w:val="none"/>
              </w:rPr>
              <w:t>　</w:t>
            </w:r>
          </w:p>
        </w:tc>
        <w:tc>
          <w:tcPr>
            <w:tcW w:w="69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color w:val="auto"/>
                <w:kern w:val="0"/>
                <w:sz w:val="20"/>
                <w:szCs w:val="20"/>
                <w:highlight w:val="none"/>
              </w:rPr>
            </w:pPr>
            <w:r>
              <w:rPr>
                <w:rFonts w:hint="eastAsia" w:cs="Arial"/>
                <w:color w:val="auto"/>
                <w:sz w:val="20"/>
                <w:szCs w:val="20"/>
                <w:highlight w:val="none"/>
              </w:rPr>
              <w:t>　</w:t>
            </w:r>
          </w:p>
        </w:tc>
        <w:tc>
          <w:tcPr>
            <w:tcW w:w="123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color w:val="auto"/>
                <w:kern w:val="0"/>
                <w:sz w:val="20"/>
                <w:szCs w:val="20"/>
                <w:highlight w:val="none"/>
              </w:rPr>
            </w:pPr>
            <w:r>
              <w:rPr>
                <w:rFonts w:hint="eastAsia" w:cs="Arial"/>
                <w:color w:val="auto"/>
                <w:sz w:val="20"/>
                <w:szCs w:val="20"/>
                <w:highlight w:val="none"/>
              </w:rPr>
              <w:t>整个项目</w:t>
            </w:r>
          </w:p>
        </w:tc>
        <w:tc>
          <w:tcPr>
            <w:tcW w:w="2081"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color w:val="auto"/>
                <w:kern w:val="0"/>
                <w:sz w:val="20"/>
                <w:szCs w:val="20"/>
                <w:highlight w:val="none"/>
              </w:rPr>
            </w:pPr>
            <w:r>
              <w:rPr>
                <w:rFonts w:hint="eastAsia" w:cs="Arial"/>
                <w:color w:val="auto"/>
                <w:sz w:val="20"/>
                <w:szCs w:val="20"/>
                <w:highlight w:val="none"/>
              </w:rPr>
              <w:t>　</w:t>
            </w:r>
          </w:p>
        </w:tc>
        <w:tc>
          <w:tcPr>
            <w:tcW w:w="695"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color w:val="auto"/>
                <w:kern w:val="0"/>
                <w:sz w:val="20"/>
                <w:szCs w:val="20"/>
                <w:highlight w:val="none"/>
              </w:rPr>
            </w:pPr>
            <w:r>
              <w:rPr>
                <w:rFonts w:hint="eastAsia" w:cs="Arial"/>
                <w:color w:val="auto"/>
                <w:sz w:val="20"/>
                <w:szCs w:val="20"/>
                <w:highlight w:val="none"/>
              </w:rPr>
              <w:t>　</w:t>
            </w:r>
          </w:p>
        </w:tc>
        <w:tc>
          <w:tcPr>
            <w:tcW w:w="916"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cs="Arial"/>
                <w:color w:val="auto"/>
                <w:sz w:val="20"/>
                <w:szCs w:val="20"/>
                <w:highlight w:val="none"/>
              </w:rPr>
              <w:t>　</w:t>
            </w:r>
          </w:p>
        </w:tc>
        <w:tc>
          <w:tcPr>
            <w:tcW w:w="668"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cs="Arial"/>
                <w:color w:val="auto"/>
                <w:sz w:val="20"/>
                <w:szCs w:val="20"/>
                <w:highlight w:val="none"/>
              </w:rPr>
              <w:t>　</w:t>
            </w:r>
          </w:p>
        </w:tc>
        <w:tc>
          <w:tcPr>
            <w:tcW w:w="699"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cs="Arial"/>
                <w:color w:val="auto"/>
                <w:sz w:val="20"/>
                <w:szCs w:val="20"/>
                <w:highlight w:val="none"/>
              </w:rPr>
              <w:t>　</w:t>
            </w:r>
          </w:p>
        </w:tc>
        <w:tc>
          <w:tcPr>
            <w:tcW w:w="964" w:type="dxa"/>
            <w:gridSpan w:val="3"/>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cs="Arial"/>
                <w:color w:val="auto"/>
                <w:sz w:val="20"/>
                <w:szCs w:val="20"/>
                <w:highlight w:val="none"/>
              </w:rPr>
              <w:t>　</w:t>
            </w:r>
          </w:p>
        </w:tc>
      </w:tr>
      <w:tr>
        <w:tblPrEx>
          <w:tblCellMar>
            <w:top w:w="0" w:type="dxa"/>
            <w:left w:w="108" w:type="dxa"/>
            <w:bottom w:w="0" w:type="dxa"/>
            <w:right w:w="108" w:type="dxa"/>
          </w:tblCellMar>
        </w:tblPrEx>
        <w:trPr>
          <w:gridBefore w:val="1"/>
          <w:gridAfter w:val="1"/>
          <w:wBefore w:w="15" w:type="dxa"/>
          <w:wAfter w:w="320" w:type="dxa"/>
          <w:trHeight w:val="825" w:hRule="atLeast"/>
          <w:jc w:val="center"/>
        </w:trPr>
        <w:tc>
          <w:tcPr>
            <w:tcW w:w="559"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auto"/>
                <w:kern w:val="0"/>
                <w:sz w:val="20"/>
                <w:szCs w:val="20"/>
                <w:highlight w:val="none"/>
              </w:rPr>
            </w:pPr>
            <w:r>
              <w:rPr>
                <w:rFonts w:hint="eastAsia" w:cs="Arial"/>
                <w:color w:val="auto"/>
                <w:sz w:val="20"/>
                <w:szCs w:val="20"/>
                <w:highlight w:val="none"/>
              </w:rPr>
              <w:t>1</w:t>
            </w:r>
          </w:p>
        </w:tc>
        <w:tc>
          <w:tcPr>
            <w:tcW w:w="69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color w:val="auto"/>
                <w:kern w:val="0"/>
                <w:sz w:val="20"/>
                <w:szCs w:val="20"/>
                <w:highlight w:val="none"/>
              </w:rPr>
            </w:pPr>
            <w:r>
              <w:rPr>
                <w:rFonts w:hint="eastAsia" w:cs="Arial"/>
                <w:color w:val="auto"/>
                <w:sz w:val="20"/>
                <w:szCs w:val="20"/>
                <w:highlight w:val="none"/>
              </w:rPr>
              <w:t>粤040101006001</w:t>
            </w:r>
          </w:p>
        </w:tc>
        <w:tc>
          <w:tcPr>
            <w:tcW w:w="123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color w:val="auto"/>
                <w:kern w:val="0"/>
                <w:sz w:val="20"/>
                <w:szCs w:val="20"/>
                <w:highlight w:val="none"/>
              </w:rPr>
            </w:pPr>
            <w:r>
              <w:rPr>
                <w:rFonts w:hint="eastAsia" w:cs="Arial"/>
                <w:color w:val="auto"/>
                <w:sz w:val="20"/>
                <w:szCs w:val="20"/>
                <w:highlight w:val="none"/>
              </w:rPr>
              <w:t>打槽钢支护</w:t>
            </w:r>
          </w:p>
        </w:tc>
        <w:tc>
          <w:tcPr>
            <w:tcW w:w="2081"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color w:val="auto"/>
                <w:kern w:val="0"/>
                <w:sz w:val="20"/>
                <w:szCs w:val="20"/>
                <w:highlight w:val="none"/>
              </w:rPr>
            </w:pPr>
            <w:r>
              <w:rPr>
                <w:rFonts w:hint="eastAsia" w:cs="Arial"/>
                <w:color w:val="auto"/>
                <w:sz w:val="20"/>
                <w:szCs w:val="20"/>
                <w:highlight w:val="none"/>
              </w:rPr>
              <w:t>1.名称:打槽钢支护</w:t>
            </w:r>
            <w:r>
              <w:rPr>
                <w:rFonts w:hint="eastAsia" w:cs="Arial"/>
                <w:color w:val="auto"/>
                <w:sz w:val="20"/>
                <w:szCs w:val="20"/>
                <w:highlight w:val="none"/>
              </w:rPr>
              <w:br w:type="textWrapping"/>
            </w:r>
            <w:r>
              <w:rPr>
                <w:rFonts w:hint="eastAsia" w:cs="Arial"/>
                <w:color w:val="auto"/>
                <w:sz w:val="20"/>
                <w:szCs w:val="20"/>
                <w:highlight w:val="none"/>
              </w:rPr>
              <w:t>2.规格:22#槽钢</w:t>
            </w:r>
            <w:r>
              <w:rPr>
                <w:rFonts w:hint="eastAsia" w:cs="Arial"/>
                <w:color w:val="auto"/>
                <w:sz w:val="20"/>
                <w:szCs w:val="20"/>
                <w:highlight w:val="none"/>
              </w:rPr>
              <w:br w:type="textWrapping"/>
            </w:r>
            <w:r>
              <w:rPr>
                <w:rFonts w:hint="eastAsia" w:cs="Arial"/>
                <w:color w:val="auto"/>
                <w:sz w:val="20"/>
                <w:szCs w:val="20"/>
                <w:highlight w:val="none"/>
              </w:rPr>
              <w:t>3.长度:6m</w:t>
            </w:r>
          </w:p>
        </w:tc>
        <w:tc>
          <w:tcPr>
            <w:tcW w:w="695" w:type="dxa"/>
            <w:gridSpan w:val="3"/>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宋体"/>
                <w:color w:val="auto"/>
                <w:kern w:val="0"/>
                <w:sz w:val="20"/>
                <w:szCs w:val="20"/>
                <w:highlight w:val="none"/>
              </w:rPr>
            </w:pPr>
            <w:r>
              <w:rPr>
                <w:rFonts w:hint="eastAsia" w:cs="Arial"/>
                <w:color w:val="auto"/>
                <w:sz w:val="20"/>
                <w:szCs w:val="20"/>
                <w:highlight w:val="none"/>
              </w:rPr>
              <w:t>t</w:t>
            </w:r>
          </w:p>
        </w:tc>
        <w:tc>
          <w:tcPr>
            <w:tcW w:w="916"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cs="Arial"/>
                <w:color w:val="auto"/>
                <w:sz w:val="20"/>
                <w:szCs w:val="20"/>
                <w:highlight w:val="none"/>
              </w:rPr>
              <w:t>57.2727</w:t>
            </w:r>
          </w:p>
        </w:tc>
        <w:tc>
          <w:tcPr>
            <w:tcW w:w="668"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cs="Arial"/>
                <w:color w:val="auto"/>
                <w:sz w:val="18"/>
                <w:szCs w:val="18"/>
                <w:highlight w:val="none"/>
              </w:rPr>
              <w:t>　</w:t>
            </w:r>
          </w:p>
        </w:tc>
        <w:tc>
          <w:tcPr>
            <w:tcW w:w="699"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cs="Arial"/>
                <w:color w:val="auto"/>
                <w:sz w:val="18"/>
                <w:szCs w:val="18"/>
                <w:highlight w:val="none"/>
              </w:rPr>
              <w:t>　</w:t>
            </w:r>
          </w:p>
        </w:tc>
        <w:tc>
          <w:tcPr>
            <w:tcW w:w="964" w:type="dxa"/>
            <w:gridSpan w:val="3"/>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cs="Arial"/>
                <w:color w:val="auto"/>
                <w:sz w:val="18"/>
                <w:szCs w:val="18"/>
                <w:highlight w:val="none"/>
              </w:rPr>
              <w:t>　</w:t>
            </w:r>
          </w:p>
        </w:tc>
      </w:tr>
      <w:tr>
        <w:tblPrEx>
          <w:tblCellMar>
            <w:top w:w="0" w:type="dxa"/>
            <w:left w:w="108" w:type="dxa"/>
            <w:bottom w:w="0" w:type="dxa"/>
            <w:right w:w="108" w:type="dxa"/>
          </w:tblCellMar>
        </w:tblPrEx>
        <w:trPr>
          <w:gridBefore w:val="1"/>
          <w:gridAfter w:val="1"/>
          <w:wBefore w:w="15" w:type="dxa"/>
          <w:wAfter w:w="320" w:type="dxa"/>
          <w:trHeight w:val="825" w:hRule="atLeast"/>
          <w:jc w:val="center"/>
        </w:trPr>
        <w:tc>
          <w:tcPr>
            <w:tcW w:w="559"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auto"/>
                <w:kern w:val="0"/>
                <w:sz w:val="20"/>
                <w:szCs w:val="20"/>
                <w:highlight w:val="none"/>
              </w:rPr>
            </w:pPr>
            <w:r>
              <w:rPr>
                <w:rFonts w:hint="eastAsia" w:cs="Arial"/>
                <w:color w:val="auto"/>
                <w:sz w:val="20"/>
                <w:szCs w:val="20"/>
                <w:highlight w:val="none"/>
              </w:rPr>
              <w:t>2</w:t>
            </w:r>
          </w:p>
        </w:tc>
        <w:tc>
          <w:tcPr>
            <w:tcW w:w="69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color w:val="auto"/>
                <w:kern w:val="0"/>
                <w:sz w:val="20"/>
                <w:szCs w:val="20"/>
                <w:highlight w:val="none"/>
              </w:rPr>
            </w:pPr>
            <w:r>
              <w:rPr>
                <w:rFonts w:hint="eastAsia" w:cs="Arial"/>
                <w:color w:val="auto"/>
                <w:sz w:val="20"/>
                <w:szCs w:val="20"/>
                <w:highlight w:val="none"/>
              </w:rPr>
              <w:t>粤040101006002</w:t>
            </w:r>
          </w:p>
        </w:tc>
        <w:tc>
          <w:tcPr>
            <w:tcW w:w="123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color w:val="auto"/>
                <w:kern w:val="0"/>
                <w:sz w:val="20"/>
                <w:szCs w:val="20"/>
                <w:highlight w:val="none"/>
              </w:rPr>
            </w:pPr>
            <w:r>
              <w:rPr>
                <w:rFonts w:hint="eastAsia" w:cs="Arial"/>
                <w:color w:val="auto"/>
                <w:sz w:val="20"/>
                <w:szCs w:val="20"/>
                <w:highlight w:val="none"/>
              </w:rPr>
              <w:t>拔槽钢支护</w:t>
            </w:r>
          </w:p>
        </w:tc>
        <w:tc>
          <w:tcPr>
            <w:tcW w:w="2081"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color w:val="auto"/>
                <w:kern w:val="0"/>
                <w:sz w:val="20"/>
                <w:szCs w:val="20"/>
                <w:highlight w:val="none"/>
              </w:rPr>
            </w:pPr>
            <w:r>
              <w:rPr>
                <w:rFonts w:hint="eastAsia" w:cs="Arial"/>
                <w:color w:val="auto"/>
                <w:sz w:val="20"/>
                <w:szCs w:val="20"/>
                <w:highlight w:val="none"/>
              </w:rPr>
              <w:t>1.名称:拔槽钢支护</w:t>
            </w:r>
            <w:r>
              <w:rPr>
                <w:rFonts w:hint="eastAsia" w:cs="Arial"/>
                <w:color w:val="auto"/>
                <w:sz w:val="20"/>
                <w:szCs w:val="20"/>
                <w:highlight w:val="none"/>
              </w:rPr>
              <w:br w:type="textWrapping"/>
            </w:r>
            <w:r>
              <w:rPr>
                <w:rFonts w:hint="eastAsia" w:cs="Arial"/>
                <w:color w:val="auto"/>
                <w:sz w:val="20"/>
                <w:szCs w:val="20"/>
                <w:highlight w:val="none"/>
              </w:rPr>
              <w:t>2.规格:22#槽钢</w:t>
            </w:r>
            <w:r>
              <w:rPr>
                <w:rFonts w:hint="eastAsia" w:cs="Arial"/>
                <w:color w:val="auto"/>
                <w:sz w:val="20"/>
                <w:szCs w:val="20"/>
                <w:highlight w:val="none"/>
              </w:rPr>
              <w:br w:type="textWrapping"/>
            </w:r>
            <w:r>
              <w:rPr>
                <w:rFonts w:hint="eastAsia" w:cs="Arial"/>
                <w:color w:val="auto"/>
                <w:sz w:val="20"/>
                <w:szCs w:val="20"/>
                <w:highlight w:val="none"/>
              </w:rPr>
              <w:t>3.长度:6m</w:t>
            </w:r>
          </w:p>
        </w:tc>
        <w:tc>
          <w:tcPr>
            <w:tcW w:w="695" w:type="dxa"/>
            <w:gridSpan w:val="3"/>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宋体"/>
                <w:color w:val="auto"/>
                <w:kern w:val="0"/>
                <w:sz w:val="20"/>
                <w:szCs w:val="20"/>
                <w:highlight w:val="none"/>
              </w:rPr>
            </w:pPr>
            <w:r>
              <w:rPr>
                <w:rFonts w:hint="eastAsia" w:cs="Arial"/>
                <w:color w:val="auto"/>
                <w:sz w:val="20"/>
                <w:szCs w:val="20"/>
                <w:highlight w:val="none"/>
              </w:rPr>
              <w:t>t</w:t>
            </w:r>
          </w:p>
        </w:tc>
        <w:tc>
          <w:tcPr>
            <w:tcW w:w="916"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cs="Arial"/>
                <w:color w:val="auto"/>
                <w:sz w:val="20"/>
                <w:szCs w:val="20"/>
                <w:highlight w:val="none"/>
              </w:rPr>
              <w:t>57.2727</w:t>
            </w:r>
          </w:p>
        </w:tc>
        <w:tc>
          <w:tcPr>
            <w:tcW w:w="668"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cs="Arial"/>
                <w:color w:val="auto"/>
                <w:sz w:val="18"/>
                <w:szCs w:val="18"/>
                <w:highlight w:val="none"/>
              </w:rPr>
              <w:t>　</w:t>
            </w:r>
          </w:p>
        </w:tc>
        <w:tc>
          <w:tcPr>
            <w:tcW w:w="699"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cs="Arial"/>
                <w:color w:val="auto"/>
                <w:sz w:val="18"/>
                <w:szCs w:val="18"/>
                <w:highlight w:val="none"/>
              </w:rPr>
              <w:t>　</w:t>
            </w:r>
          </w:p>
        </w:tc>
        <w:tc>
          <w:tcPr>
            <w:tcW w:w="964" w:type="dxa"/>
            <w:gridSpan w:val="3"/>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cs="Arial"/>
                <w:color w:val="auto"/>
                <w:sz w:val="18"/>
                <w:szCs w:val="18"/>
                <w:highlight w:val="none"/>
              </w:rPr>
              <w:t>　</w:t>
            </w:r>
          </w:p>
        </w:tc>
      </w:tr>
      <w:tr>
        <w:tblPrEx>
          <w:tblCellMar>
            <w:top w:w="0" w:type="dxa"/>
            <w:left w:w="108" w:type="dxa"/>
            <w:bottom w:w="0" w:type="dxa"/>
            <w:right w:w="108" w:type="dxa"/>
          </w:tblCellMar>
        </w:tblPrEx>
        <w:trPr>
          <w:gridBefore w:val="1"/>
          <w:gridAfter w:val="1"/>
          <w:wBefore w:w="15" w:type="dxa"/>
          <w:wAfter w:w="320" w:type="dxa"/>
          <w:trHeight w:val="825" w:hRule="atLeast"/>
          <w:jc w:val="center"/>
        </w:trPr>
        <w:tc>
          <w:tcPr>
            <w:tcW w:w="559"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auto"/>
                <w:kern w:val="0"/>
                <w:sz w:val="20"/>
                <w:szCs w:val="20"/>
                <w:highlight w:val="none"/>
              </w:rPr>
            </w:pPr>
            <w:r>
              <w:rPr>
                <w:rFonts w:hint="eastAsia" w:cs="Arial"/>
                <w:color w:val="auto"/>
                <w:sz w:val="20"/>
                <w:szCs w:val="20"/>
                <w:highlight w:val="none"/>
              </w:rPr>
              <w:t>3</w:t>
            </w:r>
          </w:p>
        </w:tc>
        <w:tc>
          <w:tcPr>
            <w:tcW w:w="69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color w:val="auto"/>
                <w:kern w:val="0"/>
                <w:sz w:val="20"/>
                <w:szCs w:val="20"/>
                <w:highlight w:val="none"/>
              </w:rPr>
            </w:pPr>
            <w:r>
              <w:rPr>
                <w:rFonts w:hint="eastAsia" w:cs="Arial"/>
                <w:color w:val="auto"/>
                <w:sz w:val="20"/>
                <w:szCs w:val="20"/>
                <w:highlight w:val="none"/>
              </w:rPr>
              <w:t>040101002001</w:t>
            </w:r>
          </w:p>
        </w:tc>
        <w:tc>
          <w:tcPr>
            <w:tcW w:w="123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color w:val="auto"/>
                <w:kern w:val="0"/>
                <w:sz w:val="20"/>
                <w:szCs w:val="20"/>
                <w:highlight w:val="none"/>
              </w:rPr>
            </w:pPr>
            <w:r>
              <w:rPr>
                <w:rFonts w:hint="eastAsia" w:cs="Arial"/>
                <w:color w:val="auto"/>
                <w:sz w:val="20"/>
                <w:szCs w:val="20"/>
                <w:highlight w:val="none"/>
              </w:rPr>
              <w:t>挖沟槽土方</w:t>
            </w:r>
          </w:p>
        </w:tc>
        <w:tc>
          <w:tcPr>
            <w:tcW w:w="2081"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color w:val="auto"/>
                <w:kern w:val="0"/>
                <w:sz w:val="20"/>
                <w:szCs w:val="20"/>
                <w:highlight w:val="none"/>
              </w:rPr>
            </w:pPr>
            <w:r>
              <w:rPr>
                <w:rFonts w:hint="eastAsia" w:cs="Arial"/>
                <w:color w:val="auto"/>
                <w:sz w:val="20"/>
                <w:szCs w:val="20"/>
                <w:highlight w:val="none"/>
              </w:rPr>
              <w:t>1.土壤类别:一、二类土</w:t>
            </w:r>
            <w:r>
              <w:rPr>
                <w:rFonts w:hint="eastAsia" w:cs="Arial"/>
                <w:color w:val="auto"/>
                <w:sz w:val="20"/>
                <w:szCs w:val="20"/>
                <w:highlight w:val="none"/>
              </w:rPr>
              <w:br w:type="textWrapping"/>
            </w:r>
            <w:r>
              <w:rPr>
                <w:rFonts w:hint="eastAsia" w:cs="Arial"/>
                <w:color w:val="auto"/>
                <w:sz w:val="20"/>
                <w:szCs w:val="20"/>
                <w:highlight w:val="none"/>
              </w:rPr>
              <w:t>2.挖土深度:3m</w:t>
            </w:r>
            <w:r>
              <w:rPr>
                <w:rFonts w:hint="eastAsia" w:cs="Arial"/>
                <w:color w:val="auto"/>
                <w:sz w:val="20"/>
                <w:szCs w:val="20"/>
                <w:highlight w:val="none"/>
              </w:rPr>
              <w:br w:type="textWrapping"/>
            </w:r>
            <w:r>
              <w:rPr>
                <w:rFonts w:hint="eastAsia" w:cs="Arial"/>
                <w:color w:val="auto"/>
                <w:sz w:val="20"/>
                <w:szCs w:val="20"/>
                <w:highlight w:val="none"/>
              </w:rPr>
              <w:t>3.开挖方式:人工保护性开挖</w:t>
            </w:r>
          </w:p>
        </w:tc>
        <w:tc>
          <w:tcPr>
            <w:tcW w:w="695" w:type="dxa"/>
            <w:gridSpan w:val="3"/>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宋体"/>
                <w:color w:val="auto"/>
                <w:kern w:val="0"/>
                <w:sz w:val="20"/>
                <w:szCs w:val="20"/>
                <w:highlight w:val="none"/>
              </w:rPr>
            </w:pPr>
            <w:r>
              <w:rPr>
                <w:rFonts w:hint="eastAsia" w:cs="Arial"/>
                <w:color w:val="auto"/>
                <w:sz w:val="20"/>
                <w:szCs w:val="20"/>
                <w:highlight w:val="none"/>
              </w:rPr>
              <w:t>m3</w:t>
            </w:r>
          </w:p>
        </w:tc>
        <w:tc>
          <w:tcPr>
            <w:tcW w:w="916"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cs="Arial"/>
                <w:color w:val="auto"/>
                <w:sz w:val="20"/>
                <w:szCs w:val="20"/>
                <w:highlight w:val="none"/>
              </w:rPr>
              <w:t>1050.48</w:t>
            </w:r>
          </w:p>
        </w:tc>
        <w:tc>
          <w:tcPr>
            <w:tcW w:w="668"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cs="Arial"/>
                <w:color w:val="auto"/>
                <w:sz w:val="18"/>
                <w:szCs w:val="18"/>
                <w:highlight w:val="none"/>
              </w:rPr>
              <w:t>　</w:t>
            </w:r>
          </w:p>
        </w:tc>
        <w:tc>
          <w:tcPr>
            <w:tcW w:w="699"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cs="Arial"/>
                <w:color w:val="auto"/>
                <w:sz w:val="18"/>
                <w:szCs w:val="18"/>
                <w:highlight w:val="none"/>
              </w:rPr>
              <w:t>　</w:t>
            </w:r>
          </w:p>
        </w:tc>
        <w:tc>
          <w:tcPr>
            <w:tcW w:w="964" w:type="dxa"/>
            <w:gridSpan w:val="3"/>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cs="Arial"/>
                <w:color w:val="auto"/>
                <w:sz w:val="18"/>
                <w:szCs w:val="18"/>
                <w:highlight w:val="none"/>
              </w:rPr>
              <w:t>　</w:t>
            </w:r>
          </w:p>
        </w:tc>
      </w:tr>
      <w:tr>
        <w:tblPrEx>
          <w:tblCellMar>
            <w:top w:w="0" w:type="dxa"/>
            <w:left w:w="108" w:type="dxa"/>
            <w:bottom w:w="0" w:type="dxa"/>
            <w:right w:w="108" w:type="dxa"/>
          </w:tblCellMar>
        </w:tblPrEx>
        <w:trPr>
          <w:gridBefore w:val="1"/>
          <w:gridAfter w:val="1"/>
          <w:wBefore w:w="15" w:type="dxa"/>
          <w:wAfter w:w="320" w:type="dxa"/>
          <w:trHeight w:val="570" w:hRule="atLeast"/>
          <w:jc w:val="center"/>
        </w:trPr>
        <w:tc>
          <w:tcPr>
            <w:tcW w:w="559"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auto"/>
                <w:kern w:val="0"/>
                <w:sz w:val="20"/>
                <w:szCs w:val="20"/>
                <w:highlight w:val="none"/>
              </w:rPr>
            </w:pPr>
            <w:r>
              <w:rPr>
                <w:rFonts w:hint="eastAsia" w:cs="Arial"/>
                <w:color w:val="auto"/>
                <w:sz w:val="20"/>
                <w:szCs w:val="20"/>
                <w:highlight w:val="none"/>
              </w:rPr>
              <w:t>4</w:t>
            </w:r>
          </w:p>
        </w:tc>
        <w:tc>
          <w:tcPr>
            <w:tcW w:w="69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color w:val="auto"/>
                <w:kern w:val="0"/>
                <w:sz w:val="20"/>
                <w:szCs w:val="20"/>
                <w:highlight w:val="none"/>
              </w:rPr>
            </w:pPr>
            <w:r>
              <w:rPr>
                <w:rFonts w:hint="eastAsia" w:cs="Arial"/>
                <w:color w:val="auto"/>
                <w:sz w:val="20"/>
                <w:szCs w:val="20"/>
                <w:highlight w:val="none"/>
              </w:rPr>
              <w:t>030408003002</w:t>
            </w:r>
          </w:p>
        </w:tc>
        <w:tc>
          <w:tcPr>
            <w:tcW w:w="123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color w:val="auto"/>
                <w:kern w:val="0"/>
                <w:sz w:val="20"/>
                <w:szCs w:val="20"/>
                <w:highlight w:val="none"/>
              </w:rPr>
            </w:pPr>
            <w:r>
              <w:rPr>
                <w:rFonts w:hint="eastAsia" w:cs="Arial"/>
                <w:color w:val="auto"/>
                <w:sz w:val="20"/>
                <w:szCs w:val="20"/>
                <w:highlight w:val="none"/>
              </w:rPr>
              <w:t>吊起保护电缆保护管</w:t>
            </w:r>
          </w:p>
        </w:tc>
        <w:tc>
          <w:tcPr>
            <w:tcW w:w="2081"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color w:val="auto"/>
                <w:kern w:val="0"/>
                <w:sz w:val="20"/>
                <w:szCs w:val="20"/>
                <w:highlight w:val="none"/>
              </w:rPr>
            </w:pPr>
            <w:r>
              <w:rPr>
                <w:rFonts w:hint="eastAsia" w:cs="Arial"/>
                <w:color w:val="auto"/>
                <w:sz w:val="20"/>
                <w:szCs w:val="20"/>
                <w:highlight w:val="none"/>
              </w:rPr>
              <w:t>1.名称:吊起保护电缆保护管</w:t>
            </w:r>
            <w:r>
              <w:rPr>
                <w:rFonts w:hint="eastAsia" w:cs="Arial"/>
                <w:color w:val="auto"/>
                <w:sz w:val="20"/>
                <w:szCs w:val="20"/>
                <w:highlight w:val="none"/>
              </w:rPr>
              <w:br w:type="textWrapping"/>
            </w:r>
            <w:r>
              <w:rPr>
                <w:rFonts w:hint="eastAsia" w:cs="Arial"/>
                <w:color w:val="auto"/>
                <w:sz w:val="20"/>
                <w:szCs w:val="20"/>
                <w:highlight w:val="none"/>
              </w:rPr>
              <w:t>2.材质:玻璃钢管φ150</w:t>
            </w:r>
          </w:p>
        </w:tc>
        <w:tc>
          <w:tcPr>
            <w:tcW w:w="695" w:type="dxa"/>
            <w:gridSpan w:val="3"/>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宋体"/>
                <w:color w:val="auto"/>
                <w:kern w:val="0"/>
                <w:sz w:val="20"/>
                <w:szCs w:val="20"/>
                <w:highlight w:val="none"/>
              </w:rPr>
            </w:pPr>
            <w:r>
              <w:rPr>
                <w:rFonts w:hint="eastAsia" w:cs="Arial"/>
                <w:color w:val="auto"/>
                <w:sz w:val="20"/>
                <w:szCs w:val="20"/>
                <w:highlight w:val="none"/>
              </w:rPr>
              <w:t>m</w:t>
            </w:r>
          </w:p>
        </w:tc>
        <w:tc>
          <w:tcPr>
            <w:tcW w:w="916"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cs="Arial"/>
                <w:color w:val="auto"/>
                <w:sz w:val="20"/>
                <w:szCs w:val="20"/>
                <w:highlight w:val="none"/>
              </w:rPr>
              <w:t>492</w:t>
            </w:r>
          </w:p>
        </w:tc>
        <w:tc>
          <w:tcPr>
            <w:tcW w:w="668"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cs="Arial"/>
                <w:color w:val="auto"/>
                <w:sz w:val="18"/>
                <w:szCs w:val="18"/>
                <w:highlight w:val="none"/>
              </w:rPr>
              <w:t>　</w:t>
            </w:r>
          </w:p>
        </w:tc>
        <w:tc>
          <w:tcPr>
            <w:tcW w:w="699"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cs="Arial"/>
                <w:color w:val="auto"/>
                <w:sz w:val="18"/>
                <w:szCs w:val="18"/>
                <w:highlight w:val="none"/>
              </w:rPr>
              <w:t>　</w:t>
            </w:r>
          </w:p>
        </w:tc>
        <w:tc>
          <w:tcPr>
            <w:tcW w:w="964" w:type="dxa"/>
            <w:gridSpan w:val="3"/>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cs="Arial"/>
                <w:color w:val="auto"/>
                <w:sz w:val="18"/>
                <w:szCs w:val="18"/>
                <w:highlight w:val="none"/>
              </w:rPr>
              <w:t>　</w:t>
            </w:r>
          </w:p>
        </w:tc>
      </w:tr>
      <w:tr>
        <w:tblPrEx>
          <w:tblCellMar>
            <w:top w:w="0" w:type="dxa"/>
            <w:left w:w="108" w:type="dxa"/>
            <w:bottom w:w="0" w:type="dxa"/>
            <w:right w:w="108" w:type="dxa"/>
          </w:tblCellMar>
        </w:tblPrEx>
        <w:trPr>
          <w:gridBefore w:val="1"/>
          <w:gridAfter w:val="1"/>
          <w:wBefore w:w="15" w:type="dxa"/>
          <w:wAfter w:w="320" w:type="dxa"/>
          <w:trHeight w:val="1335" w:hRule="atLeast"/>
          <w:jc w:val="center"/>
        </w:trPr>
        <w:tc>
          <w:tcPr>
            <w:tcW w:w="559"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auto"/>
                <w:kern w:val="0"/>
                <w:sz w:val="20"/>
                <w:szCs w:val="20"/>
                <w:highlight w:val="none"/>
              </w:rPr>
            </w:pPr>
            <w:r>
              <w:rPr>
                <w:rFonts w:hint="eastAsia" w:cs="Arial"/>
                <w:color w:val="auto"/>
                <w:sz w:val="20"/>
                <w:szCs w:val="20"/>
                <w:highlight w:val="none"/>
              </w:rPr>
              <w:t>5</w:t>
            </w:r>
          </w:p>
        </w:tc>
        <w:tc>
          <w:tcPr>
            <w:tcW w:w="69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color w:val="auto"/>
                <w:kern w:val="0"/>
                <w:sz w:val="20"/>
                <w:szCs w:val="20"/>
                <w:highlight w:val="none"/>
              </w:rPr>
            </w:pPr>
            <w:r>
              <w:rPr>
                <w:rFonts w:hint="eastAsia" w:cs="Arial"/>
                <w:color w:val="auto"/>
                <w:sz w:val="20"/>
                <w:szCs w:val="20"/>
                <w:highlight w:val="none"/>
              </w:rPr>
              <w:t>040202015001</w:t>
            </w:r>
          </w:p>
        </w:tc>
        <w:tc>
          <w:tcPr>
            <w:tcW w:w="123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color w:val="auto"/>
                <w:kern w:val="0"/>
                <w:sz w:val="20"/>
                <w:szCs w:val="20"/>
                <w:highlight w:val="none"/>
              </w:rPr>
            </w:pPr>
            <w:r>
              <w:rPr>
                <w:rFonts w:hint="eastAsia" w:cs="Arial"/>
                <w:color w:val="auto"/>
                <w:sz w:val="20"/>
                <w:szCs w:val="20"/>
                <w:highlight w:val="none"/>
              </w:rPr>
              <w:t>水泥稳定碎(砾)石</w:t>
            </w:r>
          </w:p>
        </w:tc>
        <w:tc>
          <w:tcPr>
            <w:tcW w:w="2081"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color w:val="auto"/>
                <w:kern w:val="0"/>
                <w:sz w:val="20"/>
                <w:szCs w:val="20"/>
                <w:highlight w:val="none"/>
              </w:rPr>
            </w:pPr>
            <w:r>
              <w:rPr>
                <w:rFonts w:hint="eastAsia" w:cs="Arial"/>
                <w:color w:val="auto"/>
                <w:sz w:val="20"/>
                <w:szCs w:val="20"/>
                <w:highlight w:val="none"/>
              </w:rPr>
              <w:t>1.回填石屑1060mm，人机配合铺装水泥稳定碎石基层 200mm</w:t>
            </w:r>
          </w:p>
        </w:tc>
        <w:tc>
          <w:tcPr>
            <w:tcW w:w="695" w:type="dxa"/>
            <w:gridSpan w:val="3"/>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宋体"/>
                <w:color w:val="auto"/>
                <w:kern w:val="0"/>
                <w:sz w:val="20"/>
                <w:szCs w:val="20"/>
                <w:highlight w:val="none"/>
              </w:rPr>
            </w:pPr>
            <w:r>
              <w:rPr>
                <w:rFonts w:hint="eastAsia" w:cs="Arial"/>
                <w:color w:val="auto"/>
                <w:sz w:val="20"/>
                <w:szCs w:val="20"/>
                <w:highlight w:val="none"/>
              </w:rPr>
              <w:t>m2</w:t>
            </w:r>
          </w:p>
        </w:tc>
        <w:tc>
          <w:tcPr>
            <w:tcW w:w="916"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cs="Arial"/>
                <w:color w:val="auto"/>
                <w:sz w:val="20"/>
                <w:szCs w:val="20"/>
                <w:highlight w:val="none"/>
              </w:rPr>
              <w:t>369</w:t>
            </w:r>
          </w:p>
        </w:tc>
        <w:tc>
          <w:tcPr>
            <w:tcW w:w="668"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cs="Arial"/>
                <w:color w:val="auto"/>
                <w:sz w:val="18"/>
                <w:szCs w:val="18"/>
                <w:highlight w:val="none"/>
              </w:rPr>
              <w:t>　</w:t>
            </w:r>
          </w:p>
        </w:tc>
        <w:tc>
          <w:tcPr>
            <w:tcW w:w="699"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cs="Arial"/>
                <w:color w:val="auto"/>
                <w:sz w:val="18"/>
                <w:szCs w:val="18"/>
                <w:highlight w:val="none"/>
              </w:rPr>
              <w:t>　</w:t>
            </w:r>
          </w:p>
        </w:tc>
        <w:tc>
          <w:tcPr>
            <w:tcW w:w="964" w:type="dxa"/>
            <w:gridSpan w:val="3"/>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cs="Arial"/>
                <w:color w:val="auto"/>
                <w:sz w:val="18"/>
                <w:szCs w:val="18"/>
                <w:highlight w:val="none"/>
              </w:rPr>
              <w:t>　</w:t>
            </w:r>
          </w:p>
        </w:tc>
      </w:tr>
      <w:tr>
        <w:tblPrEx>
          <w:tblCellMar>
            <w:top w:w="0" w:type="dxa"/>
            <w:left w:w="108" w:type="dxa"/>
            <w:bottom w:w="0" w:type="dxa"/>
            <w:right w:w="108" w:type="dxa"/>
          </w:tblCellMar>
        </w:tblPrEx>
        <w:trPr>
          <w:gridBefore w:val="1"/>
          <w:gridAfter w:val="1"/>
          <w:wBefore w:w="15" w:type="dxa"/>
          <w:wAfter w:w="320" w:type="dxa"/>
          <w:trHeight w:val="825" w:hRule="atLeast"/>
          <w:jc w:val="center"/>
        </w:trPr>
        <w:tc>
          <w:tcPr>
            <w:tcW w:w="559"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auto"/>
                <w:kern w:val="0"/>
                <w:sz w:val="20"/>
                <w:szCs w:val="20"/>
                <w:highlight w:val="none"/>
              </w:rPr>
            </w:pPr>
            <w:r>
              <w:rPr>
                <w:rFonts w:hint="eastAsia" w:cs="Arial"/>
                <w:color w:val="auto"/>
                <w:sz w:val="20"/>
                <w:szCs w:val="20"/>
                <w:highlight w:val="none"/>
              </w:rPr>
              <w:t>6</w:t>
            </w:r>
          </w:p>
        </w:tc>
        <w:tc>
          <w:tcPr>
            <w:tcW w:w="69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color w:val="auto"/>
                <w:kern w:val="0"/>
                <w:sz w:val="20"/>
                <w:szCs w:val="20"/>
                <w:highlight w:val="none"/>
              </w:rPr>
            </w:pPr>
            <w:r>
              <w:rPr>
                <w:rFonts w:hint="eastAsia" w:cs="Arial"/>
                <w:color w:val="auto"/>
                <w:sz w:val="20"/>
                <w:szCs w:val="20"/>
                <w:highlight w:val="none"/>
              </w:rPr>
              <w:t>040203007001</w:t>
            </w:r>
          </w:p>
        </w:tc>
        <w:tc>
          <w:tcPr>
            <w:tcW w:w="123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color w:val="auto"/>
                <w:kern w:val="0"/>
                <w:sz w:val="20"/>
                <w:szCs w:val="20"/>
                <w:highlight w:val="none"/>
              </w:rPr>
            </w:pPr>
            <w:r>
              <w:rPr>
                <w:rFonts w:hint="eastAsia" w:cs="Arial"/>
                <w:color w:val="auto"/>
                <w:sz w:val="20"/>
                <w:szCs w:val="20"/>
                <w:highlight w:val="none"/>
              </w:rPr>
              <w:t>水泥混凝土路面</w:t>
            </w:r>
          </w:p>
        </w:tc>
        <w:tc>
          <w:tcPr>
            <w:tcW w:w="2081"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color w:val="auto"/>
                <w:kern w:val="0"/>
                <w:sz w:val="20"/>
                <w:szCs w:val="20"/>
                <w:highlight w:val="none"/>
              </w:rPr>
            </w:pPr>
            <w:r>
              <w:rPr>
                <w:rFonts w:hint="eastAsia" w:cs="Arial"/>
                <w:color w:val="auto"/>
                <w:sz w:val="20"/>
                <w:szCs w:val="20"/>
                <w:highlight w:val="none"/>
              </w:rPr>
              <w:t>1.浇筑C30钢筋混凝土300mm，水养生</w:t>
            </w:r>
          </w:p>
        </w:tc>
        <w:tc>
          <w:tcPr>
            <w:tcW w:w="695" w:type="dxa"/>
            <w:gridSpan w:val="3"/>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宋体"/>
                <w:color w:val="auto"/>
                <w:kern w:val="0"/>
                <w:sz w:val="20"/>
                <w:szCs w:val="20"/>
                <w:highlight w:val="none"/>
              </w:rPr>
            </w:pPr>
            <w:r>
              <w:rPr>
                <w:rFonts w:hint="eastAsia" w:cs="Arial"/>
                <w:color w:val="auto"/>
                <w:sz w:val="20"/>
                <w:szCs w:val="20"/>
                <w:highlight w:val="none"/>
              </w:rPr>
              <w:t>m2</w:t>
            </w:r>
          </w:p>
        </w:tc>
        <w:tc>
          <w:tcPr>
            <w:tcW w:w="916"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cs="Arial"/>
                <w:color w:val="auto"/>
                <w:sz w:val="20"/>
                <w:szCs w:val="20"/>
                <w:highlight w:val="none"/>
              </w:rPr>
              <w:t>369</w:t>
            </w:r>
          </w:p>
        </w:tc>
        <w:tc>
          <w:tcPr>
            <w:tcW w:w="668"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cs="Arial"/>
                <w:color w:val="auto"/>
                <w:sz w:val="18"/>
                <w:szCs w:val="18"/>
                <w:highlight w:val="none"/>
              </w:rPr>
              <w:t>　</w:t>
            </w:r>
          </w:p>
        </w:tc>
        <w:tc>
          <w:tcPr>
            <w:tcW w:w="699"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cs="Arial"/>
                <w:color w:val="auto"/>
                <w:sz w:val="18"/>
                <w:szCs w:val="18"/>
                <w:highlight w:val="none"/>
              </w:rPr>
              <w:t>　</w:t>
            </w:r>
          </w:p>
        </w:tc>
        <w:tc>
          <w:tcPr>
            <w:tcW w:w="964" w:type="dxa"/>
            <w:gridSpan w:val="3"/>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cs="Arial"/>
                <w:color w:val="auto"/>
                <w:sz w:val="18"/>
                <w:szCs w:val="18"/>
                <w:highlight w:val="none"/>
              </w:rPr>
              <w:t>　</w:t>
            </w:r>
          </w:p>
        </w:tc>
      </w:tr>
      <w:tr>
        <w:tblPrEx>
          <w:tblCellMar>
            <w:top w:w="0" w:type="dxa"/>
            <w:left w:w="108" w:type="dxa"/>
            <w:bottom w:w="0" w:type="dxa"/>
            <w:right w:w="108" w:type="dxa"/>
          </w:tblCellMar>
        </w:tblPrEx>
        <w:trPr>
          <w:gridBefore w:val="1"/>
          <w:gridAfter w:val="1"/>
          <w:wBefore w:w="15" w:type="dxa"/>
          <w:wAfter w:w="320" w:type="dxa"/>
          <w:trHeight w:val="825" w:hRule="atLeast"/>
          <w:jc w:val="center"/>
        </w:trPr>
        <w:tc>
          <w:tcPr>
            <w:tcW w:w="559"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auto"/>
                <w:kern w:val="0"/>
                <w:sz w:val="20"/>
                <w:szCs w:val="20"/>
                <w:highlight w:val="none"/>
              </w:rPr>
            </w:pPr>
            <w:r>
              <w:rPr>
                <w:rFonts w:hint="eastAsia" w:cs="Arial"/>
                <w:color w:val="auto"/>
                <w:sz w:val="20"/>
                <w:szCs w:val="20"/>
                <w:highlight w:val="none"/>
              </w:rPr>
              <w:t>7</w:t>
            </w:r>
          </w:p>
        </w:tc>
        <w:tc>
          <w:tcPr>
            <w:tcW w:w="69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color w:val="auto"/>
                <w:kern w:val="0"/>
                <w:sz w:val="20"/>
                <w:szCs w:val="20"/>
                <w:highlight w:val="none"/>
              </w:rPr>
            </w:pPr>
            <w:r>
              <w:rPr>
                <w:rFonts w:hint="eastAsia" w:cs="Arial"/>
                <w:color w:val="auto"/>
                <w:sz w:val="20"/>
                <w:szCs w:val="20"/>
                <w:highlight w:val="none"/>
              </w:rPr>
              <w:t>010515001001</w:t>
            </w:r>
          </w:p>
        </w:tc>
        <w:tc>
          <w:tcPr>
            <w:tcW w:w="123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color w:val="auto"/>
                <w:kern w:val="0"/>
                <w:sz w:val="20"/>
                <w:szCs w:val="20"/>
                <w:highlight w:val="none"/>
              </w:rPr>
            </w:pPr>
            <w:r>
              <w:rPr>
                <w:rFonts w:hint="eastAsia" w:cs="Arial"/>
                <w:color w:val="auto"/>
                <w:sz w:val="20"/>
                <w:szCs w:val="20"/>
                <w:highlight w:val="none"/>
              </w:rPr>
              <w:t>现浇构件钢筋</w:t>
            </w:r>
          </w:p>
        </w:tc>
        <w:tc>
          <w:tcPr>
            <w:tcW w:w="2081"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color w:val="auto"/>
                <w:kern w:val="0"/>
                <w:sz w:val="20"/>
                <w:szCs w:val="20"/>
                <w:highlight w:val="none"/>
              </w:rPr>
            </w:pPr>
            <w:r>
              <w:rPr>
                <w:rFonts w:hint="eastAsia" w:cs="Arial"/>
                <w:color w:val="auto"/>
                <w:sz w:val="20"/>
                <w:szCs w:val="20"/>
                <w:highlight w:val="none"/>
              </w:rPr>
              <w:t>1.道路钢筋制安</w:t>
            </w:r>
          </w:p>
        </w:tc>
        <w:tc>
          <w:tcPr>
            <w:tcW w:w="695" w:type="dxa"/>
            <w:gridSpan w:val="3"/>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宋体"/>
                <w:color w:val="auto"/>
                <w:kern w:val="0"/>
                <w:sz w:val="20"/>
                <w:szCs w:val="20"/>
                <w:highlight w:val="none"/>
              </w:rPr>
            </w:pPr>
            <w:r>
              <w:rPr>
                <w:rFonts w:hint="eastAsia" w:cs="Arial"/>
                <w:color w:val="auto"/>
                <w:sz w:val="20"/>
                <w:szCs w:val="20"/>
                <w:highlight w:val="none"/>
              </w:rPr>
              <w:t>t</w:t>
            </w:r>
          </w:p>
        </w:tc>
        <w:tc>
          <w:tcPr>
            <w:tcW w:w="916"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cs="Arial"/>
                <w:color w:val="auto"/>
                <w:sz w:val="20"/>
                <w:szCs w:val="20"/>
                <w:highlight w:val="none"/>
              </w:rPr>
              <w:t>6.7416</w:t>
            </w:r>
          </w:p>
        </w:tc>
        <w:tc>
          <w:tcPr>
            <w:tcW w:w="668"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cs="Arial"/>
                <w:color w:val="auto"/>
                <w:sz w:val="18"/>
                <w:szCs w:val="18"/>
                <w:highlight w:val="none"/>
              </w:rPr>
              <w:t>　</w:t>
            </w:r>
          </w:p>
        </w:tc>
        <w:tc>
          <w:tcPr>
            <w:tcW w:w="699"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cs="Arial"/>
                <w:color w:val="auto"/>
                <w:sz w:val="18"/>
                <w:szCs w:val="18"/>
                <w:highlight w:val="none"/>
              </w:rPr>
              <w:t>　</w:t>
            </w:r>
          </w:p>
        </w:tc>
        <w:tc>
          <w:tcPr>
            <w:tcW w:w="964" w:type="dxa"/>
            <w:gridSpan w:val="3"/>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cs="Arial"/>
                <w:color w:val="auto"/>
                <w:sz w:val="18"/>
                <w:szCs w:val="18"/>
                <w:highlight w:val="none"/>
              </w:rPr>
              <w:t>　</w:t>
            </w:r>
          </w:p>
        </w:tc>
      </w:tr>
      <w:tr>
        <w:tblPrEx>
          <w:tblCellMar>
            <w:top w:w="0" w:type="dxa"/>
            <w:left w:w="108" w:type="dxa"/>
            <w:bottom w:w="0" w:type="dxa"/>
            <w:right w:w="108" w:type="dxa"/>
          </w:tblCellMar>
        </w:tblPrEx>
        <w:trPr>
          <w:gridBefore w:val="1"/>
          <w:gridAfter w:val="1"/>
          <w:wBefore w:w="15" w:type="dxa"/>
          <w:wAfter w:w="320" w:type="dxa"/>
          <w:trHeight w:val="1080" w:hRule="atLeast"/>
          <w:jc w:val="center"/>
        </w:trPr>
        <w:tc>
          <w:tcPr>
            <w:tcW w:w="559"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auto"/>
                <w:kern w:val="0"/>
                <w:sz w:val="20"/>
                <w:szCs w:val="20"/>
                <w:highlight w:val="none"/>
              </w:rPr>
            </w:pPr>
            <w:r>
              <w:rPr>
                <w:rFonts w:hint="eastAsia" w:cs="Arial"/>
                <w:color w:val="auto"/>
                <w:sz w:val="20"/>
                <w:szCs w:val="20"/>
                <w:highlight w:val="none"/>
              </w:rPr>
              <w:t>8</w:t>
            </w:r>
          </w:p>
        </w:tc>
        <w:tc>
          <w:tcPr>
            <w:tcW w:w="69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color w:val="auto"/>
                <w:kern w:val="0"/>
                <w:sz w:val="20"/>
                <w:szCs w:val="20"/>
                <w:highlight w:val="none"/>
              </w:rPr>
            </w:pPr>
            <w:r>
              <w:rPr>
                <w:rFonts w:hint="eastAsia" w:cs="Arial"/>
                <w:color w:val="auto"/>
                <w:sz w:val="20"/>
                <w:szCs w:val="20"/>
                <w:highlight w:val="none"/>
              </w:rPr>
              <w:t>031302006001</w:t>
            </w:r>
          </w:p>
        </w:tc>
        <w:tc>
          <w:tcPr>
            <w:tcW w:w="123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color w:val="auto"/>
                <w:kern w:val="0"/>
                <w:sz w:val="20"/>
                <w:szCs w:val="20"/>
                <w:highlight w:val="none"/>
              </w:rPr>
            </w:pPr>
            <w:r>
              <w:rPr>
                <w:rFonts w:hint="eastAsia" w:cs="Arial"/>
                <w:color w:val="auto"/>
                <w:sz w:val="20"/>
                <w:szCs w:val="20"/>
                <w:highlight w:val="none"/>
              </w:rPr>
              <w:t>鼓风机风管保护</w:t>
            </w:r>
          </w:p>
        </w:tc>
        <w:tc>
          <w:tcPr>
            <w:tcW w:w="2081"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color w:val="auto"/>
                <w:kern w:val="0"/>
                <w:sz w:val="20"/>
                <w:szCs w:val="20"/>
                <w:highlight w:val="none"/>
              </w:rPr>
            </w:pPr>
            <w:r>
              <w:rPr>
                <w:rFonts w:hint="eastAsia" w:cs="Arial"/>
                <w:color w:val="auto"/>
                <w:sz w:val="20"/>
                <w:szCs w:val="20"/>
                <w:highlight w:val="none"/>
              </w:rPr>
              <w:t>1.名称:鼓风机风管保护</w:t>
            </w:r>
            <w:r>
              <w:rPr>
                <w:rFonts w:hint="eastAsia" w:cs="Arial"/>
                <w:color w:val="auto"/>
                <w:sz w:val="20"/>
                <w:szCs w:val="20"/>
                <w:highlight w:val="none"/>
              </w:rPr>
              <w:br w:type="textWrapping"/>
            </w:r>
            <w:r>
              <w:rPr>
                <w:rFonts w:hint="eastAsia" w:cs="Arial"/>
                <w:color w:val="auto"/>
                <w:sz w:val="20"/>
                <w:szCs w:val="20"/>
                <w:highlight w:val="none"/>
              </w:rPr>
              <w:t>2.材质:防火岩棉隔带，300mm厚，密度不小于80kg/m3</w:t>
            </w:r>
          </w:p>
        </w:tc>
        <w:tc>
          <w:tcPr>
            <w:tcW w:w="695" w:type="dxa"/>
            <w:gridSpan w:val="3"/>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宋体"/>
                <w:color w:val="auto"/>
                <w:kern w:val="0"/>
                <w:sz w:val="20"/>
                <w:szCs w:val="20"/>
                <w:highlight w:val="none"/>
              </w:rPr>
            </w:pPr>
            <w:r>
              <w:rPr>
                <w:rFonts w:hint="eastAsia" w:cs="Arial"/>
                <w:color w:val="auto"/>
                <w:sz w:val="20"/>
                <w:szCs w:val="20"/>
                <w:highlight w:val="none"/>
              </w:rPr>
              <w:t>m2</w:t>
            </w:r>
          </w:p>
        </w:tc>
        <w:tc>
          <w:tcPr>
            <w:tcW w:w="916"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cs="Arial"/>
                <w:color w:val="auto"/>
                <w:sz w:val="20"/>
                <w:szCs w:val="20"/>
                <w:highlight w:val="none"/>
              </w:rPr>
              <w:t>235.5</w:t>
            </w:r>
          </w:p>
        </w:tc>
        <w:tc>
          <w:tcPr>
            <w:tcW w:w="668"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cs="Arial"/>
                <w:color w:val="auto"/>
                <w:sz w:val="18"/>
                <w:szCs w:val="18"/>
                <w:highlight w:val="none"/>
              </w:rPr>
              <w:t>　</w:t>
            </w:r>
          </w:p>
        </w:tc>
        <w:tc>
          <w:tcPr>
            <w:tcW w:w="699"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cs="Arial"/>
                <w:color w:val="auto"/>
                <w:sz w:val="18"/>
                <w:szCs w:val="18"/>
                <w:highlight w:val="none"/>
              </w:rPr>
              <w:t>　</w:t>
            </w:r>
          </w:p>
        </w:tc>
        <w:tc>
          <w:tcPr>
            <w:tcW w:w="964" w:type="dxa"/>
            <w:gridSpan w:val="3"/>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cs="Arial"/>
                <w:color w:val="auto"/>
                <w:sz w:val="18"/>
                <w:szCs w:val="18"/>
                <w:highlight w:val="none"/>
              </w:rPr>
              <w:t>　</w:t>
            </w:r>
          </w:p>
        </w:tc>
      </w:tr>
      <w:tr>
        <w:tblPrEx>
          <w:tblCellMar>
            <w:top w:w="0" w:type="dxa"/>
            <w:left w:w="108" w:type="dxa"/>
            <w:bottom w:w="0" w:type="dxa"/>
            <w:right w:w="108" w:type="dxa"/>
          </w:tblCellMar>
        </w:tblPrEx>
        <w:trPr>
          <w:gridBefore w:val="1"/>
          <w:gridAfter w:val="1"/>
          <w:wBefore w:w="15" w:type="dxa"/>
          <w:wAfter w:w="320" w:type="dxa"/>
          <w:trHeight w:val="570" w:hRule="atLeast"/>
          <w:jc w:val="center"/>
        </w:trPr>
        <w:tc>
          <w:tcPr>
            <w:tcW w:w="559"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auto"/>
                <w:kern w:val="0"/>
                <w:sz w:val="20"/>
                <w:szCs w:val="20"/>
                <w:highlight w:val="none"/>
              </w:rPr>
            </w:pPr>
            <w:r>
              <w:rPr>
                <w:rFonts w:hint="eastAsia" w:cs="Arial"/>
                <w:color w:val="auto"/>
                <w:sz w:val="20"/>
                <w:szCs w:val="20"/>
                <w:highlight w:val="none"/>
              </w:rPr>
              <w:t>9</w:t>
            </w:r>
          </w:p>
        </w:tc>
        <w:tc>
          <w:tcPr>
            <w:tcW w:w="69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color w:val="auto"/>
                <w:kern w:val="0"/>
                <w:sz w:val="20"/>
                <w:szCs w:val="20"/>
                <w:highlight w:val="none"/>
              </w:rPr>
            </w:pPr>
            <w:r>
              <w:rPr>
                <w:rFonts w:hint="eastAsia" w:cs="Arial"/>
                <w:color w:val="auto"/>
                <w:sz w:val="20"/>
                <w:szCs w:val="20"/>
                <w:highlight w:val="none"/>
              </w:rPr>
              <w:t>010507003001</w:t>
            </w:r>
          </w:p>
        </w:tc>
        <w:tc>
          <w:tcPr>
            <w:tcW w:w="123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color w:val="auto"/>
                <w:kern w:val="0"/>
                <w:sz w:val="20"/>
                <w:szCs w:val="20"/>
                <w:highlight w:val="none"/>
              </w:rPr>
            </w:pPr>
            <w:r>
              <w:rPr>
                <w:rFonts w:hint="eastAsia" w:cs="Arial"/>
                <w:color w:val="auto"/>
                <w:sz w:val="20"/>
                <w:szCs w:val="20"/>
                <w:highlight w:val="none"/>
              </w:rPr>
              <w:t>砖砌六线电缆沟（行人）</w:t>
            </w:r>
          </w:p>
        </w:tc>
        <w:tc>
          <w:tcPr>
            <w:tcW w:w="2081"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color w:val="auto"/>
                <w:kern w:val="0"/>
                <w:sz w:val="20"/>
                <w:szCs w:val="20"/>
                <w:highlight w:val="none"/>
              </w:rPr>
            </w:pPr>
            <w:r>
              <w:rPr>
                <w:rFonts w:hint="eastAsia" w:cs="Arial"/>
                <w:color w:val="auto"/>
                <w:sz w:val="20"/>
                <w:szCs w:val="20"/>
                <w:highlight w:val="none"/>
              </w:rPr>
              <w:t>1.名称:砖砌六线电缆沟（行人）</w:t>
            </w:r>
            <w:r>
              <w:rPr>
                <w:rFonts w:hint="eastAsia" w:cs="Arial"/>
                <w:color w:val="auto"/>
                <w:sz w:val="20"/>
                <w:szCs w:val="20"/>
                <w:highlight w:val="none"/>
              </w:rPr>
              <w:br w:type="textWrapping"/>
            </w:r>
            <w:r>
              <w:rPr>
                <w:rFonts w:hint="eastAsia" w:cs="Arial"/>
                <w:color w:val="auto"/>
                <w:sz w:val="20"/>
                <w:szCs w:val="20"/>
                <w:highlight w:val="none"/>
              </w:rPr>
              <w:t>2.盖板:包边成品盖板820*415*100</w:t>
            </w:r>
          </w:p>
        </w:tc>
        <w:tc>
          <w:tcPr>
            <w:tcW w:w="695" w:type="dxa"/>
            <w:gridSpan w:val="3"/>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宋体"/>
                <w:color w:val="auto"/>
                <w:kern w:val="0"/>
                <w:sz w:val="20"/>
                <w:szCs w:val="20"/>
                <w:highlight w:val="none"/>
              </w:rPr>
            </w:pPr>
            <w:r>
              <w:rPr>
                <w:rFonts w:hint="eastAsia" w:cs="Arial"/>
                <w:color w:val="auto"/>
                <w:sz w:val="20"/>
                <w:szCs w:val="20"/>
                <w:highlight w:val="none"/>
              </w:rPr>
              <w:t>m</w:t>
            </w:r>
          </w:p>
        </w:tc>
        <w:tc>
          <w:tcPr>
            <w:tcW w:w="916"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cs="Arial"/>
                <w:color w:val="auto"/>
                <w:sz w:val="20"/>
                <w:szCs w:val="20"/>
                <w:highlight w:val="none"/>
              </w:rPr>
              <w:t>123</w:t>
            </w:r>
          </w:p>
        </w:tc>
        <w:tc>
          <w:tcPr>
            <w:tcW w:w="668"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cs="Arial"/>
                <w:color w:val="auto"/>
                <w:sz w:val="18"/>
                <w:szCs w:val="18"/>
                <w:highlight w:val="none"/>
              </w:rPr>
              <w:t>　</w:t>
            </w:r>
          </w:p>
        </w:tc>
        <w:tc>
          <w:tcPr>
            <w:tcW w:w="699"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cs="Arial"/>
                <w:color w:val="auto"/>
                <w:sz w:val="18"/>
                <w:szCs w:val="18"/>
                <w:highlight w:val="none"/>
              </w:rPr>
              <w:t>　</w:t>
            </w:r>
          </w:p>
        </w:tc>
        <w:tc>
          <w:tcPr>
            <w:tcW w:w="964" w:type="dxa"/>
            <w:gridSpan w:val="3"/>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cs="Arial"/>
                <w:color w:val="auto"/>
                <w:sz w:val="18"/>
                <w:szCs w:val="18"/>
                <w:highlight w:val="none"/>
              </w:rPr>
              <w:t>　</w:t>
            </w:r>
          </w:p>
        </w:tc>
      </w:tr>
      <w:tr>
        <w:tblPrEx>
          <w:tblCellMar>
            <w:top w:w="0" w:type="dxa"/>
            <w:left w:w="108" w:type="dxa"/>
            <w:bottom w:w="0" w:type="dxa"/>
            <w:right w:w="108" w:type="dxa"/>
          </w:tblCellMar>
        </w:tblPrEx>
        <w:trPr>
          <w:gridBefore w:val="1"/>
          <w:gridAfter w:val="1"/>
          <w:wBefore w:w="15" w:type="dxa"/>
          <w:wAfter w:w="320" w:type="dxa"/>
          <w:trHeight w:val="570" w:hRule="atLeast"/>
          <w:jc w:val="center"/>
        </w:trPr>
        <w:tc>
          <w:tcPr>
            <w:tcW w:w="559"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auto"/>
                <w:kern w:val="0"/>
                <w:sz w:val="20"/>
                <w:szCs w:val="20"/>
                <w:highlight w:val="none"/>
              </w:rPr>
            </w:pPr>
            <w:r>
              <w:rPr>
                <w:rFonts w:hint="eastAsia" w:cs="Arial"/>
                <w:color w:val="auto"/>
                <w:sz w:val="20"/>
                <w:szCs w:val="20"/>
                <w:highlight w:val="none"/>
              </w:rPr>
              <w:t>10</w:t>
            </w:r>
          </w:p>
        </w:tc>
        <w:tc>
          <w:tcPr>
            <w:tcW w:w="69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color w:val="auto"/>
                <w:kern w:val="0"/>
                <w:sz w:val="20"/>
                <w:szCs w:val="20"/>
                <w:highlight w:val="none"/>
              </w:rPr>
            </w:pPr>
            <w:r>
              <w:rPr>
                <w:rFonts w:hint="eastAsia" w:cs="Arial"/>
                <w:color w:val="auto"/>
                <w:sz w:val="20"/>
                <w:szCs w:val="20"/>
                <w:highlight w:val="none"/>
              </w:rPr>
              <w:t>010103001001</w:t>
            </w:r>
          </w:p>
        </w:tc>
        <w:tc>
          <w:tcPr>
            <w:tcW w:w="123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color w:val="auto"/>
                <w:kern w:val="0"/>
                <w:sz w:val="20"/>
                <w:szCs w:val="20"/>
                <w:highlight w:val="none"/>
              </w:rPr>
            </w:pPr>
            <w:r>
              <w:rPr>
                <w:rFonts w:hint="eastAsia" w:cs="Arial"/>
                <w:color w:val="auto"/>
                <w:sz w:val="20"/>
                <w:szCs w:val="20"/>
                <w:highlight w:val="none"/>
              </w:rPr>
              <w:t>回填土</w:t>
            </w:r>
          </w:p>
        </w:tc>
        <w:tc>
          <w:tcPr>
            <w:tcW w:w="2081"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color w:val="auto"/>
                <w:kern w:val="0"/>
                <w:sz w:val="20"/>
                <w:szCs w:val="20"/>
                <w:highlight w:val="none"/>
              </w:rPr>
            </w:pPr>
            <w:r>
              <w:rPr>
                <w:rFonts w:hint="eastAsia" w:cs="Arial"/>
                <w:color w:val="auto"/>
                <w:sz w:val="20"/>
                <w:szCs w:val="20"/>
                <w:highlight w:val="none"/>
              </w:rPr>
              <w:t>1.名称:回填土</w:t>
            </w:r>
            <w:r>
              <w:rPr>
                <w:rFonts w:hint="eastAsia" w:cs="Arial"/>
                <w:color w:val="auto"/>
                <w:sz w:val="20"/>
                <w:szCs w:val="20"/>
                <w:highlight w:val="none"/>
              </w:rPr>
              <w:br w:type="textWrapping"/>
            </w:r>
            <w:r>
              <w:rPr>
                <w:rFonts w:hint="eastAsia" w:cs="Arial"/>
                <w:color w:val="auto"/>
                <w:sz w:val="20"/>
                <w:szCs w:val="20"/>
                <w:highlight w:val="none"/>
              </w:rPr>
              <w:t>2.是否夯实:夯实机夯实</w:t>
            </w:r>
          </w:p>
        </w:tc>
        <w:tc>
          <w:tcPr>
            <w:tcW w:w="695" w:type="dxa"/>
            <w:gridSpan w:val="3"/>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宋体"/>
                <w:color w:val="auto"/>
                <w:kern w:val="0"/>
                <w:sz w:val="20"/>
                <w:szCs w:val="20"/>
                <w:highlight w:val="none"/>
              </w:rPr>
            </w:pPr>
            <w:r>
              <w:rPr>
                <w:rFonts w:hint="eastAsia" w:cs="Arial"/>
                <w:color w:val="auto"/>
                <w:sz w:val="20"/>
                <w:szCs w:val="20"/>
                <w:highlight w:val="none"/>
              </w:rPr>
              <w:t>m3</w:t>
            </w:r>
          </w:p>
        </w:tc>
        <w:tc>
          <w:tcPr>
            <w:tcW w:w="916"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cs="Arial"/>
                <w:color w:val="auto"/>
                <w:sz w:val="20"/>
                <w:szCs w:val="20"/>
                <w:highlight w:val="none"/>
              </w:rPr>
              <w:t>283.5504</w:t>
            </w:r>
          </w:p>
        </w:tc>
        <w:tc>
          <w:tcPr>
            <w:tcW w:w="668"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cs="Arial"/>
                <w:color w:val="auto"/>
                <w:sz w:val="18"/>
                <w:szCs w:val="18"/>
                <w:highlight w:val="none"/>
              </w:rPr>
              <w:t>　</w:t>
            </w:r>
          </w:p>
        </w:tc>
        <w:tc>
          <w:tcPr>
            <w:tcW w:w="699"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cs="Arial"/>
                <w:color w:val="auto"/>
                <w:sz w:val="18"/>
                <w:szCs w:val="18"/>
                <w:highlight w:val="none"/>
              </w:rPr>
              <w:t>　</w:t>
            </w:r>
          </w:p>
        </w:tc>
        <w:tc>
          <w:tcPr>
            <w:tcW w:w="964" w:type="dxa"/>
            <w:gridSpan w:val="3"/>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cs="Arial"/>
                <w:color w:val="auto"/>
                <w:sz w:val="18"/>
                <w:szCs w:val="18"/>
                <w:highlight w:val="none"/>
              </w:rPr>
              <w:t>　</w:t>
            </w:r>
          </w:p>
        </w:tc>
      </w:tr>
      <w:tr>
        <w:tblPrEx>
          <w:tblCellMar>
            <w:top w:w="0" w:type="dxa"/>
            <w:left w:w="108" w:type="dxa"/>
            <w:bottom w:w="0" w:type="dxa"/>
            <w:right w:w="108" w:type="dxa"/>
          </w:tblCellMar>
        </w:tblPrEx>
        <w:trPr>
          <w:gridBefore w:val="1"/>
          <w:gridAfter w:val="1"/>
          <w:wBefore w:w="15" w:type="dxa"/>
          <w:wAfter w:w="320" w:type="dxa"/>
          <w:trHeight w:val="825" w:hRule="atLeast"/>
          <w:jc w:val="center"/>
        </w:trPr>
        <w:tc>
          <w:tcPr>
            <w:tcW w:w="559"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auto"/>
                <w:kern w:val="0"/>
                <w:sz w:val="20"/>
                <w:szCs w:val="20"/>
                <w:highlight w:val="none"/>
              </w:rPr>
            </w:pPr>
            <w:r>
              <w:rPr>
                <w:rFonts w:hint="eastAsia" w:cs="Arial"/>
                <w:color w:val="auto"/>
                <w:sz w:val="20"/>
                <w:szCs w:val="20"/>
                <w:highlight w:val="none"/>
              </w:rPr>
              <w:t>11</w:t>
            </w:r>
          </w:p>
        </w:tc>
        <w:tc>
          <w:tcPr>
            <w:tcW w:w="69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color w:val="auto"/>
                <w:kern w:val="0"/>
                <w:sz w:val="20"/>
                <w:szCs w:val="20"/>
                <w:highlight w:val="none"/>
              </w:rPr>
            </w:pPr>
            <w:r>
              <w:rPr>
                <w:rFonts w:hint="eastAsia" w:cs="Arial"/>
                <w:color w:val="auto"/>
                <w:sz w:val="20"/>
                <w:szCs w:val="20"/>
                <w:highlight w:val="none"/>
              </w:rPr>
              <w:t>040103001001</w:t>
            </w:r>
          </w:p>
        </w:tc>
        <w:tc>
          <w:tcPr>
            <w:tcW w:w="123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color w:val="auto"/>
                <w:kern w:val="0"/>
                <w:sz w:val="20"/>
                <w:szCs w:val="20"/>
                <w:highlight w:val="none"/>
              </w:rPr>
            </w:pPr>
            <w:r>
              <w:rPr>
                <w:rFonts w:hint="eastAsia" w:cs="Arial"/>
                <w:color w:val="auto"/>
                <w:sz w:val="20"/>
                <w:szCs w:val="20"/>
                <w:highlight w:val="none"/>
              </w:rPr>
              <w:t>土方弃置</w:t>
            </w:r>
          </w:p>
        </w:tc>
        <w:tc>
          <w:tcPr>
            <w:tcW w:w="2081"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color w:val="auto"/>
                <w:kern w:val="0"/>
                <w:sz w:val="20"/>
                <w:szCs w:val="20"/>
                <w:highlight w:val="none"/>
              </w:rPr>
            </w:pPr>
            <w:r>
              <w:rPr>
                <w:rFonts w:hint="eastAsia" w:cs="Arial"/>
                <w:color w:val="auto"/>
                <w:sz w:val="20"/>
                <w:szCs w:val="20"/>
                <w:highlight w:val="none"/>
              </w:rPr>
              <w:t>1.名称:土方弃置</w:t>
            </w:r>
            <w:r>
              <w:rPr>
                <w:rFonts w:hint="eastAsia" w:cs="Arial"/>
                <w:color w:val="auto"/>
                <w:sz w:val="20"/>
                <w:szCs w:val="20"/>
                <w:highlight w:val="none"/>
              </w:rPr>
              <w:br w:type="textWrapping"/>
            </w:r>
            <w:r>
              <w:rPr>
                <w:rFonts w:hint="eastAsia" w:cs="Arial"/>
                <w:color w:val="auto"/>
                <w:sz w:val="20"/>
                <w:szCs w:val="20"/>
                <w:highlight w:val="none"/>
              </w:rPr>
              <w:t>2.运距:20km</w:t>
            </w:r>
          </w:p>
        </w:tc>
        <w:tc>
          <w:tcPr>
            <w:tcW w:w="695" w:type="dxa"/>
            <w:gridSpan w:val="3"/>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宋体"/>
                <w:color w:val="auto"/>
                <w:kern w:val="0"/>
                <w:sz w:val="20"/>
                <w:szCs w:val="20"/>
                <w:highlight w:val="none"/>
              </w:rPr>
            </w:pPr>
            <w:r>
              <w:rPr>
                <w:rFonts w:hint="eastAsia" w:cs="Arial"/>
                <w:color w:val="auto"/>
                <w:sz w:val="20"/>
                <w:szCs w:val="20"/>
                <w:highlight w:val="none"/>
              </w:rPr>
              <w:t>m3</w:t>
            </w:r>
          </w:p>
        </w:tc>
        <w:tc>
          <w:tcPr>
            <w:tcW w:w="916"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cs="Arial"/>
                <w:color w:val="auto"/>
                <w:sz w:val="20"/>
                <w:szCs w:val="20"/>
                <w:highlight w:val="none"/>
              </w:rPr>
              <w:t>766.93</w:t>
            </w:r>
          </w:p>
        </w:tc>
        <w:tc>
          <w:tcPr>
            <w:tcW w:w="668"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cs="Arial"/>
                <w:color w:val="auto"/>
                <w:sz w:val="18"/>
                <w:szCs w:val="18"/>
                <w:highlight w:val="none"/>
              </w:rPr>
              <w:t>　</w:t>
            </w:r>
          </w:p>
        </w:tc>
        <w:tc>
          <w:tcPr>
            <w:tcW w:w="699"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cs="Arial"/>
                <w:color w:val="auto"/>
                <w:sz w:val="18"/>
                <w:szCs w:val="18"/>
                <w:highlight w:val="none"/>
              </w:rPr>
              <w:t>　</w:t>
            </w:r>
          </w:p>
        </w:tc>
        <w:tc>
          <w:tcPr>
            <w:tcW w:w="964" w:type="dxa"/>
            <w:gridSpan w:val="3"/>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cs="Arial"/>
                <w:color w:val="auto"/>
                <w:sz w:val="18"/>
                <w:szCs w:val="18"/>
                <w:highlight w:val="none"/>
              </w:rPr>
              <w:t>　</w:t>
            </w:r>
          </w:p>
        </w:tc>
      </w:tr>
      <w:tr>
        <w:tblPrEx>
          <w:tblCellMar>
            <w:top w:w="0" w:type="dxa"/>
            <w:left w:w="108" w:type="dxa"/>
            <w:bottom w:w="0" w:type="dxa"/>
            <w:right w:w="108" w:type="dxa"/>
          </w:tblCellMar>
        </w:tblPrEx>
        <w:trPr>
          <w:gridBefore w:val="1"/>
          <w:gridAfter w:val="1"/>
          <w:wBefore w:w="15" w:type="dxa"/>
          <w:wAfter w:w="320" w:type="dxa"/>
          <w:trHeight w:val="825" w:hRule="atLeast"/>
          <w:jc w:val="center"/>
        </w:trPr>
        <w:tc>
          <w:tcPr>
            <w:tcW w:w="559"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auto"/>
                <w:kern w:val="0"/>
                <w:sz w:val="20"/>
                <w:szCs w:val="20"/>
                <w:highlight w:val="none"/>
              </w:rPr>
            </w:pPr>
            <w:r>
              <w:rPr>
                <w:rFonts w:hint="eastAsia" w:cs="Arial"/>
                <w:color w:val="auto"/>
                <w:sz w:val="20"/>
                <w:szCs w:val="20"/>
                <w:highlight w:val="none"/>
              </w:rPr>
              <w:t>12</w:t>
            </w:r>
          </w:p>
        </w:tc>
        <w:tc>
          <w:tcPr>
            <w:tcW w:w="69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color w:val="auto"/>
                <w:kern w:val="0"/>
                <w:sz w:val="20"/>
                <w:szCs w:val="20"/>
                <w:highlight w:val="none"/>
              </w:rPr>
            </w:pPr>
            <w:r>
              <w:rPr>
                <w:rFonts w:hint="eastAsia" w:cs="Arial"/>
                <w:color w:val="auto"/>
                <w:sz w:val="20"/>
                <w:szCs w:val="20"/>
                <w:highlight w:val="none"/>
              </w:rPr>
              <w:t>011702026002</w:t>
            </w:r>
          </w:p>
        </w:tc>
        <w:tc>
          <w:tcPr>
            <w:tcW w:w="123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color w:val="auto"/>
                <w:kern w:val="0"/>
                <w:sz w:val="20"/>
                <w:szCs w:val="20"/>
                <w:highlight w:val="none"/>
              </w:rPr>
            </w:pPr>
            <w:r>
              <w:rPr>
                <w:rFonts w:hint="eastAsia" w:cs="Arial"/>
                <w:color w:val="auto"/>
                <w:sz w:val="20"/>
                <w:szCs w:val="20"/>
                <w:highlight w:val="none"/>
              </w:rPr>
              <w:t>砖砌六线沟工井</w:t>
            </w:r>
          </w:p>
        </w:tc>
        <w:tc>
          <w:tcPr>
            <w:tcW w:w="2081"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color w:val="auto"/>
                <w:kern w:val="0"/>
                <w:sz w:val="20"/>
                <w:szCs w:val="20"/>
                <w:highlight w:val="none"/>
              </w:rPr>
            </w:pPr>
            <w:r>
              <w:rPr>
                <w:rFonts w:hint="eastAsia" w:cs="Arial"/>
                <w:color w:val="auto"/>
                <w:sz w:val="20"/>
                <w:szCs w:val="20"/>
                <w:highlight w:val="none"/>
              </w:rPr>
              <w:t>1.名称:砖砌六线沟工井</w:t>
            </w:r>
            <w:r>
              <w:rPr>
                <w:rFonts w:hint="eastAsia" w:cs="Arial"/>
                <w:color w:val="auto"/>
                <w:sz w:val="20"/>
                <w:szCs w:val="20"/>
                <w:highlight w:val="none"/>
              </w:rPr>
              <w:br w:type="textWrapping"/>
            </w:r>
            <w:r>
              <w:rPr>
                <w:rFonts w:hint="eastAsia" w:cs="Arial"/>
                <w:color w:val="auto"/>
                <w:sz w:val="20"/>
                <w:szCs w:val="20"/>
                <w:highlight w:val="none"/>
              </w:rPr>
              <w:t>2.盖板:包边成品盖板820*415*100</w:t>
            </w:r>
          </w:p>
        </w:tc>
        <w:tc>
          <w:tcPr>
            <w:tcW w:w="695" w:type="dxa"/>
            <w:gridSpan w:val="3"/>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宋体"/>
                <w:color w:val="auto"/>
                <w:kern w:val="0"/>
                <w:sz w:val="20"/>
                <w:szCs w:val="20"/>
                <w:highlight w:val="none"/>
              </w:rPr>
            </w:pPr>
            <w:r>
              <w:rPr>
                <w:rFonts w:hint="eastAsia" w:cs="Arial"/>
                <w:color w:val="auto"/>
                <w:sz w:val="20"/>
                <w:szCs w:val="20"/>
                <w:highlight w:val="none"/>
              </w:rPr>
              <w:t>座</w:t>
            </w:r>
          </w:p>
        </w:tc>
        <w:tc>
          <w:tcPr>
            <w:tcW w:w="916"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cs="Arial"/>
                <w:color w:val="auto"/>
                <w:sz w:val="20"/>
                <w:szCs w:val="20"/>
                <w:highlight w:val="none"/>
              </w:rPr>
              <w:t>2</w:t>
            </w:r>
          </w:p>
        </w:tc>
        <w:tc>
          <w:tcPr>
            <w:tcW w:w="668"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cs="Arial"/>
                <w:color w:val="auto"/>
                <w:sz w:val="18"/>
                <w:szCs w:val="18"/>
                <w:highlight w:val="none"/>
              </w:rPr>
              <w:t>　</w:t>
            </w:r>
          </w:p>
        </w:tc>
        <w:tc>
          <w:tcPr>
            <w:tcW w:w="699"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cs="Arial"/>
                <w:color w:val="auto"/>
                <w:sz w:val="18"/>
                <w:szCs w:val="18"/>
                <w:highlight w:val="none"/>
              </w:rPr>
              <w:t>　</w:t>
            </w:r>
          </w:p>
        </w:tc>
        <w:tc>
          <w:tcPr>
            <w:tcW w:w="964" w:type="dxa"/>
            <w:gridSpan w:val="3"/>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cs="Arial"/>
                <w:color w:val="auto"/>
                <w:sz w:val="18"/>
                <w:szCs w:val="18"/>
                <w:highlight w:val="none"/>
              </w:rPr>
              <w:t>　</w:t>
            </w:r>
          </w:p>
        </w:tc>
      </w:tr>
      <w:tr>
        <w:trPr>
          <w:gridBefore w:val="1"/>
          <w:gridAfter w:val="1"/>
          <w:wBefore w:w="15" w:type="dxa"/>
          <w:wAfter w:w="320" w:type="dxa"/>
          <w:trHeight w:val="570" w:hRule="atLeast"/>
          <w:jc w:val="center"/>
        </w:trPr>
        <w:tc>
          <w:tcPr>
            <w:tcW w:w="559"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auto"/>
                <w:kern w:val="0"/>
                <w:sz w:val="20"/>
                <w:szCs w:val="20"/>
                <w:highlight w:val="none"/>
              </w:rPr>
            </w:pPr>
            <w:r>
              <w:rPr>
                <w:rFonts w:hint="eastAsia" w:cs="Arial"/>
                <w:color w:val="auto"/>
                <w:sz w:val="20"/>
                <w:szCs w:val="20"/>
                <w:highlight w:val="none"/>
              </w:rPr>
              <w:t>13</w:t>
            </w:r>
          </w:p>
        </w:tc>
        <w:tc>
          <w:tcPr>
            <w:tcW w:w="69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color w:val="auto"/>
                <w:kern w:val="0"/>
                <w:sz w:val="20"/>
                <w:szCs w:val="20"/>
                <w:highlight w:val="none"/>
              </w:rPr>
            </w:pPr>
            <w:r>
              <w:rPr>
                <w:rFonts w:hint="eastAsia" w:cs="Arial"/>
                <w:color w:val="auto"/>
                <w:sz w:val="20"/>
                <w:szCs w:val="20"/>
                <w:highlight w:val="none"/>
              </w:rPr>
              <w:t>030408009001</w:t>
            </w:r>
          </w:p>
        </w:tc>
        <w:tc>
          <w:tcPr>
            <w:tcW w:w="123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color w:val="auto"/>
                <w:kern w:val="0"/>
                <w:sz w:val="20"/>
                <w:szCs w:val="20"/>
                <w:highlight w:val="none"/>
              </w:rPr>
            </w:pPr>
            <w:r>
              <w:rPr>
                <w:rFonts w:hint="eastAsia" w:cs="Arial"/>
                <w:color w:val="auto"/>
                <w:sz w:val="20"/>
                <w:szCs w:val="20"/>
                <w:highlight w:val="none"/>
              </w:rPr>
              <w:t>电缆沟隔热保护</w:t>
            </w:r>
          </w:p>
        </w:tc>
        <w:tc>
          <w:tcPr>
            <w:tcW w:w="2081"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color w:val="auto"/>
                <w:kern w:val="0"/>
                <w:sz w:val="20"/>
                <w:szCs w:val="20"/>
                <w:highlight w:val="none"/>
              </w:rPr>
            </w:pPr>
            <w:r>
              <w:rPr>
                <w:rFonts w:hint="eastAsia" w:cs="Arial"/>
                <w:color w:val="auto"/>
                <w:sz w:val="20"/>
                <w:szCs w:val="20"/>
                <w:highlight w:val="none"/>
              </w:rPr>
              <w:t>1.名称:电缆沟隔热保护</w:t>
            </w:r>
            <w:r>
              <w:rPr>
                <w:rFonts w:hint="eastAsia" w:cs="Arial"/>
                <w:color w:val="auto"/>
                <w:sz w:val="20"/>
                <w:szCs w:val="20"/>
                <w:highlight w:val="none"/>
              </w:rPr>
              <w:br w:type="textWrapping"/>
            </w:r>
            <w:r>
              <w:rPr>
                <w:rFonts w:hint="eastAsia" w:cs="Arial"/>
                <w:color w:val="auto"/>
                <w:sz w:val="20"/>
                <w:szCs w:val="20"/>
                <w:highlight w:val="none"/>
              </w:rPr>
              <w:t>2.材质:防火岩棉隔带100mm厚，密度不小于80kg/m3</w:t>
            </w:r>
          </w:p>
        </w:tc>
        <w:tc>
          <w:tcPr>
            <w:tcW w:w="695" w:type="dxa"/>
            <w:gridSpan w:val="3"/>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宋体"/>
                <w:color w:val="auto"/>
                <w:kern w:val="0"/>
                <w:sz w:val="20"/>
                <w:szCs w:val="20"/>
                <w:highlight w:val="none"/>
              </w:rPr>
            </w:pPr>
            <w:r>
              <w:rPr>
                <w:rFonts w:hint="eastAsia" w:cs="Arial"/>
                <w:color w:val="auto"/>
                <w:sz w:val="20"/>
                <w:szCs w:val="20"/>
                <w:highlight w:val="none"/>
              </w:rPr>
              <w:t>m2</w:t>
            </w:r>
          </w:p>
        </w:tc>
        <w:tc>
          <w:tcPr>
            <w:tcW w:w="916"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cs="Arial"/>
                <w:color w:val="auto"/>
                <w:sz w:val="20"/>
                <w:szCs w:val="20"/>
                <w:highlight w:val="none"/>
              </w:rPr>
              <w:t>127.92</w:t>
            </w:r>
          </w:p>
        </w:tc>
        <w:tc>
          <w:tcPr>
            <w:tcW w:w="668"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cs="Arial"/>
                <w:color w:val="auto"/>
                <w:sz w:val="18"/>
                <w:szCs w:val="18"/>
                <w:highlight w:val="none"/>
              </w:rPr>
              <w:t>　</w:t>
            </w:r>
          </w:p>
        </w:tc>
        <w:tc>
          <w:tcPr>
            <w:tcW w:w="699"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cs="Arial"/>
                <w:color w:val="auto"/>
                <w:sz w:val="18"/>
                <w:szCs w:val="18"/>
                <w:highlight w:val="none"/>
              </w:rPr>
              <w:t>　</w:t>
            </w:r>
          </w:p>
        </w:tc>
        <w:tc>
          <w:tcPr>
            <w:tcW w:w="964" w:type="dxa"/>
            <w:gridSpan w:val="3"/>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cs="Arial"/>
                <w:color w:val="auto"/>
                <w:sz w:val="18"/>
                <w:szCs w:val="18"/>
                <w:highlight w:val="none"/>
              </w:rPr>
              <w:t>　</w:t>
            </w:r>
          </w:p>
        </w:tc>
      </w:tr>
      <w:tr>
        <w:tblPrEx>
          <w:tblCellMar>
            <w:top w:w="0" w:type="dxa"/>
            <w:left w:w="108" w:type="dxa"/>
            <w:bottom w:w="0" w:type="dxa"/>
            <w:right w:w="108" w:type="dxa"/>
          </w:tblCellMar>
        </w:tblPrEx>
        <w:trPr>
          <w:gridBefore w:val="1"/>
          <w:gridAfter w:val="1"/>
          <w:wBefore w:w="15" w:type="dxa"/>
          <w:wAfter w:w="320" w:type="dxa"/>
          <w:trHeight w:val="570" w:hRule="atLeast"/>
          <w:jc w:val="center"/>
        </w:trPr>
        <w:tc>
          <w:tcPr>
            <w:tcW w:w="559"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auto"/>
                <w:kern w:val="0"/>
                <w:sz w:val="20"/>
                <w:szCs w:val="20"/>
                <w:highlight w:val="none"/>
              </w:rPr>
            </w:pPr>
            <w:r>
              <w:rPr>
                <w:rFonts w:hint="eastAsia" w:cs="Arial"/>
                <w:color w:val="auto"/>
                <w:sz w:val="20"/>
                <w:szCs w:val="20"/>
                <w:highlight w:val="none"/>
              </w:rPr>
              <w:t>14</w:t>
            </w:r>
          </w:p>
        </w:tc>
        <w:tc>
          <w:tcPr>
            <w:tcW w:w="69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color w:val="auto"/>
                <w:kern w:val="0"/>
                <w:sz w:val="20"/>
                <w:szCs w:val="20"/>
                <w:highlight w:val="none"/>
              </w:rPr>
            </w:pPr>
            <w:r>
              <w:rPr>
                <w:rFonts w:hint="eastAsia" w:cs="Arial"/>
                <w:color w:val="auto"/>
                <w:sz w:val="20"/>
                <w:szCs w:val="20"/>
                <w:highlight w:val="none"/>
              </w:rPr>
              <w:t>030408003003</w:t>
            </w:r>
          </w:p>
        </w:tc>
        <w:tc>
          <w:tcPr>
            <w:tcW w:w="123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color w:val="auto"/>
                <w:kern w:val="0"/>
                <w:sz w:val="20"/>
                <w:szCs w:val="20"/>
                <w:highlight w:val="none"/>
              </w:rPr>
            </w:pPr>
            <w:r>
              <w:rPr>
                <w:rFonts w:hint="eastAsia" w:cs="Arial"/>
                <w:color w:val="auto"/>
                <w:sz w:val="20"/>
                <w:szCs w:val="20"/>
                <w:highlight w:val="none"/>
              </w:rPr>
              <w:t>利旧放置保护管</w:t>
            </w:r>
          </w:p>
        </w:tc>
        <w:tc>
          <w:tcPr>
            <w:tcW w:w="2081"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color w:val="auto"/>
                <w:kern w:val="0"/>
                <w:sz w:val="20"/>
                <w:szCs w:val="20"/>
                <w:highlight w:val="none"/>
              </w:rPr>
            </w:pPr>
            <w:r>
              <w:rPr>
                <w:rFonts w:hint="eastAsia" w:cs="Arial"/>
                <w:color w:val="auto"/>
                <w:sz w:val="20"/>
                <w:szCs w:val="20"/>
                <w:highlight w:val="none"/>
              </w:rPr>
              <w:t>1.名称:利旧放置保护管</w:t>
            </w:r>
            <w:r>
              <w:rPr>
                <w:rFonts w:hint="eastAsia" w:cs="Arial"/>
                <w:color w:val="auto"/>
                <w:sz w:val="20"/>
                <w:szCs w:val="20"/>
                <w:highlight w:val="none"/>
              </w:rPr>
              <w:br w:type="textWrapping"/>
            </w:r>
            <w:r>
              <w:rPr>
                <w:rFonts w:hint="eastAsia" w:cs="Arial"/>
                <w:color w:val="auto"/>
                <w:sz w:val="20"/>
                <w:szCs w:val="20"/>
                <w:highlight w:val="none"/>
              </w:rPr>
              <w:t>2.材质:玻璃钢管φ150</w:t>
            </w:r>
          </w:p>
        </w:tc>
        <w:tc>
          <w:tcPr>
            <w:tcW w:w="695" w:type="dxa"/>
            <w:gridSpan w:val="3"/>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宋体"/>
                <w:color w:val="auto"/>
                <w:kern w:val="0"/>
                <w:sz w:val="20"/>
                <w:szCs w:val="20"/>
                <w:highlight w:val="none"/>
              </w:rPr>
            </w:pPr>
            <w:r>
              <w:rPr>
                <w:rFonts w:hint="eastAsia" w:cs="Arial"/>
                <w:color w:val="auto"/>
                <w:sz w:val="20"/>
                <w:szCs w:val="20"/>
                <w:highlight w:val="none"/>
              </w:rPr>
              <w:t>m</w:t>
            </w:r>
          </w:p>
        </w:tc>
        <w:tc>
          <w:tcPr>
            <w:tcW w:w="916"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cs="Arial"/>
                <w:color w:val="auto"/>
                <w:sz w:val="20"/>
                <w:szCs w:val="20"/>
                <w:highlight w:val="none"/>
              </w:rPr>
              <w:t>492</w:t>
            </w:r>
          </w:p>
        </w:tc>
        <w:tc>
          <w:tcPr>
            <w:tcW w:w="668"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cs="Arial"/>
                <w:color w:val="auto"/>
                <w:sz w:val="18"/>
                <w:szCs w:val="18"/>
                <w:highlight w:val="none"/>
              </w:rPr>
              <w:t>　</w:t>
            </w:r>
          </w:p>
        </w:tc>
        <w:tc>
          <w:tcPr>
            <w:tcW w:w="699"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cs="Arial"/>
                <w:color w:val="auto"/>
                <w:sz w:val="18"/>
                <w:szCs w:val="18"/>
                <w:highlight w:val="none"/>
              </w:rPr>
              <w:t>　</w:t>
            </w:r>
          </w:p>
        </w:tc>
        <w:tc>
          <w:tcPr>
            <w:tcW w:w="964" w:type="dxa"/>
            <w:gridSpan w:val="3"/>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cs="Arial"/>
                <w:color w:val="auto"/>
                <w:sz w:val="18"/>
                <w:szCs w:val="18"/>
                <w:highlight w:val="none"/>
              </w:rPr>
              <w:t>　</w:t>
            </w:r>
          </w:p>
        </w:tc>
      </w:tr>
      <w:tr>
        <w:trPr>
          <w:gridBefore w:val="1"/>
          <w:gridAfter w:val="1"/>
          <w:wBefore w:w="15" w:type="dxa"/>
          <w:wAfter w:w="320" w:type="dxa"/>
          <w:trHeight w:val="570" w:hRule="atLeast"/>
          <w:jc w:val="center"/>
        </w:trPr>
        <w:tc>
          <w:tcPr>
            <w:tcW w:w="559"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auto"/>
                <w:kern w:val="0"/>
                <w:sz w:val="20"/>
                <w:szCs w:val="20"/>
                <w:highlight w:val="none"/>
              </w:rPr>
            </w:pPr>
            <w:r>
              <w:rPr>
                <w:rFonts w:hint="eastAsia" w:cs="Arial"/>
                <w:color w:val="auto"/>
                <w:sz w:val="20"/>
                <w:szCs w:val="20"/>
                <w:highlight w:val="none"/>
              </w:rPr>
              <w:t>　</w:t>
            </w:r>
          </w:p>
        </w:tc>
        <w:tc>
          <w:tcPr>
            <w:tcW w:w="69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color w:val="auto"/>
                <w:kern w:val="0"/>
                <w:sz w:val="20"/>
                <w:szCs w:val="20"/>
                <w:highlight w:val="none"/>
              </w:rPr>
            </w:pPr>
            <w:r>
              <w:rPr>
                <w:rFonts w:hint="eastAsia" w:cs="Arial"/>
                <w:color w:val="auto"/>
                <w:sz w:val="20"/>
                <w:szCs w:val="20"/>
                <w:highlight w:val="none"/>
              </w:rPr>
              <w:t>　</w:t>
            </w:r>
          </w:p>
        </w:tc>
        <w:tc>
          <w:tcPr>
            <w:tcW w:w="123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color w:val="auto"/>
                <w:kern w:val="0"/>
                <w:sz w:val="20"/>
                <w:szCs w:val="20"/>
                <w:highlight w:val="none"/>
              </w:rPr>
            </w:pPr>
            <w:r>
              <w:rPr>
                <w:rFonts w:hint="eastAsia" w:cs="Arial"/>
                <w:color w:val="auto"/>
                <w:sz w:val="20"/>
                <w:szCs w:val="20"/>
                <w:highlight w:val="none"/>
              </w:rPr>
              <w:t>分部分项合计</w:t>
            </w:r>
          </w:p>
        </w:tc>
        <w:tc>
          <w:tcPr>
            <w:tcW w:w="2081"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color w:val="auto"/>
                <w:kern w:val="0"/>
                <w:sz w:val="20"/>
                <w:szCs w:val="20"/>
                <w:highlight w:val="none"/>
              </w:rPr>
            </w:pPr>
            <w:r>
              <w:rPr>
                <w:rFonts w:hint="eastAsia" w:cs="Arial"/>
                <w:color w:val="auto"/>
                <w:sz w:val="20"/>
                <w:szCs w:val="20"/>
                <w:highlight w:val="none"/>
              </w:rPr>
              <w:t>　</w:t>
            </w:r>
          </w:p>
        </w:tc>
        <w:tc>
          <w:tcPr>
            <w:tcW w:w="695" w:type="dxa"/>
            <w:gridSpan w:val="3"/>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宋体"/>
                <w:color w:val="auto"/>
                <w:kern w:val="0"/>
                <w:sz w:val="20"/>
                <w:szCs w:val="20"/>
                <w:highlight w:val="none"/>
              </w:rPr>
            </w:pPr>
            <w:r>
              <w:rPr>
                <w:rFonts w:hint="eastAsia" w:cs="Arial"/>
                <w:color w:val="auto"/>
                <w:sz w:val="20"/>
                <w:szCs w:val="20"/>
                <w:highlight w:val="none"/>
              </w:rPr>
              <w:t>　</w:t>
            </w:r>
          </w:p>
        </w:tc>
        <w:tc>
          <w:tcPr>
            <w:tcW w:w="916"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cs="Arial"/>
                <w:color w:val="auto"/>
                <w:sz w:val="20"/>
                <w:szCs w:val="20"/>
                <w:highlight w:val="none"/>
              </w:rPr>
              <w:t>　</w:t>
            </w:r>
          </w:p>
        </w:tc>
        <w:tc>
          <w:tcPr>
            <w:tcW w:w="668"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cs="Arial"/>
                <w:color w:val="auto"/>
                <w:sz w:val="20"/>
                <w:szCs w:val="20"/>
                <w:highlight w:val="none"/>
              </w:rPr>
              <w:t>　</w:t>
            </w:r>
          </w:p>
        </w:tc>
        <w:tc>
          <w:tcPr>
            <w:tcW w:w="699"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cs="Arial"/>
                <w:color w:val="auto"/>
                <w:sz w:val="20"/>
                <w:szCs w:val="20"/>
                <w:highlight w:val="none"/>
              </w:rPr>
              <w:t>　</w:t>
            </w:r>
          </w:p>
        </w:tc>
        <w:tc>
          <w:tcPr>
            <w:tcW w:w="964" w:type="dxa"/>
            <w:gridSpan w:val="3"/>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cs="Arial"/>
                <w:color w:val="auto"/>
                <w:sz w:val="20"/>
                <w:szCs w:val="20"/>
                <w:highlight w:val="none"/>
              </w:rPr>
              <w:t>　</w:t>
            </w:r>
          </w:p>
        </w:tc>
      </w:tr>
      <w:tr>
        <w:tblPrEx>
          <w:tblCellMar>
            <w:top w:w="0" w:type="dxa"/>
            <w:left w:w="108" w:type="dxa"/>
            <w:bottom w:w="0" w:type="dxa"/>
            <w:right w:w="108" w:type="dxa"/>
          </w:tblCellMar>
        </w:tblPrEx>
        <w:trPr>
          <w:gridBefore w:val="1"/>
          <w:gridAfter w:val="1"/>
          <w:wBefore w:w="15" w:type="dxa"/>
          <w:wAfter w:w="320" w:type="dxa"/>
          <w:trHeight w:val="570" w:hRule="atLeast"/>
          <w:jc w:val="center"/>
        </w:trPr>
        <w:tc>
          <w:tcPr>
            <w:tcW w:w="559"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auto"/>
                <w:kern w:val="0"/>
                <w:sz w:val="20"/>
                <w:szCs w:val="20"/>
                <w:highlight w:val="none"/>
              </w:rPr>
            </w:pPr>
            <w:r>
              <w:rPr>
                <w:rFonts w:hint="eastAsia" w:cs="Arial"/>
                <w:color w:val="auto"/>
                <w:sz w:val="20"/>
                <w:szCs w:val="20"/>
                <w:highlight w:val="none"/>
              </w:rPr>
              <w:t>　</w:t>
            </w:r>
          </w:p>
        </w:tc>
        <w:tc>
          <w:tcPr>
            <w:tcW w:w="69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color w:val="auto"/>
                <w:kern w:val="0"/>
                <w:sz w:val="20"/>
                <w:szCs w:val="20"/>
                <w:highlight w:val="none"/>
              </w:rPr>
            </w:pPr>
            <w:r>
              <w:rPr>
                <w:rFonts w:hint="eastAsia" w:cs="Arial"/>
                <w:color w:val="auto"/>
                <w:sz w:val="20"/>
                <w:szCs w:val="20"/>
                <w:highlight w:val="none"/>
              </w:rPr>
              <w:t>　</w:t>
            </w:r>
          </w:p>
        </w:tc>
        <w:tc>
          <w:tcPr>
            <w:tcW w:w="123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color w:val="auto"/>
                <w:kern w:val="0"/>
                <w:sz w:val="20"/>
                <w:szCs w:val="20"/>
                <w:highlight w:val="none"/>
              </w:rPr>
            </w:pPr>
            <w:r>
              <w:rPr>
                <w:rFonts w:hint="eastAsia" w:cs="Arial"/>
                <w:color w:val="auto"/>
                <w:sz w:val="20"/>
                <w:szCs w:val="20"/>
                <w:highlight w:val="none"/>
              </w:rPr>
              <w:t>措施项目</w:t>
            </w:r>
          </w:p>
        </w:tc>
        <w:tc>
          <w:tcPr>
            <w:tcW w:w="2081"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color w:val="auto"/>
                <w:kern w:val="0"/>
                <w:sz w:val="20"/>
                <w:szCs w:val="20"/>
                <w:highlight w:val="none"/>
              </w:rPr>
            </w:pPr>
            <w:r>
              <w:rPr>
                <w:rFonts w:hint="eastAsia" w:cs="Arial"/>
                <w:color w:val="auto"/>
                <w:sz w:val="20"/>
                <w:szCs w:val="20"/>
                <w:highlight w:val="none"/>
              </w:rPr>
              <w:t>　</w:t>
            </w:r>
          </w:p>
        </w:tc>
        <w:tc>
          <w:tcPr>
            <w:tcW w:w="695" w:type="dxa"/>
            <w:gridSpan w:val="3"/>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宋体"/>
                <w:color w:val="auto"/>
                <w:kern w:val="0"/>
                <w:sz w:val="20"/>
                <w:szCs w:val="20"/>
                <w:highlight w:val="none"/>
              </w:rPr>
            </w:pPr>
            <w:r>
              <w:rPr>
                <w:rFonts w:hint="eastAsia" w:cs="Arial"/>
                <w:color w:val="auto"/>
                <w:sz w:val="20"/>
                <w:szCs w:val="20"/>
                <w:highlight w:val="none"/>
              </w:rPr>
              <w:t>　</w:t>
            </w:r>
          </w:p>
        </w:tc>
        <w:tc>
          <w:tcPr>
            <w:tcW w:w="916"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cs="Arial"/>
                <w:color w:val="auto"/>
                <w:sz w:val="20"/>
                <w:szCs w:val="20"/>
                <w:highlight w:val="none"/>
              </w:rPr>
              <w:t>　</w:t>
            </w:r>
          </w:p>
        </w:tc>
        <w:tc>
          <w:tcPr>
            <w:tcW w:w="668"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cs="Arial"/>
                <w:color w:val="auto"/>
                <w:sz w:val="20"/>
                <w:szCs w:val="20"/>
                <w:highlight w:val="none"/>
              </w:rPr>
              <w:t>　</w:t>
            </w:r>
          </w:p>
        </w:tc>
        <w:tc>
          <w:tcPr>
            <w:tcW w:w="699"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cs="Arial"/>
                <w:color w:val="auto"/>
                <w:sz w:val="20"/>
                <w:szCs w:val="20"/>
                <w:highlight w:val="none"/>
              </w:rPr>
              <w:t>　</w:t>
            </w:r>
          </w:p>
        </w:tc>
        <w:tc>
          <w:tcPr>
            <w:tcW w:w="964" w:type="dxa"/>
            <w:gridSpan w:val="3"/>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cs="Arial"/>
                <w:color w:val="auto"/>
                <w:sz w:val="20"/>
                <w:szCs w:val="20"/>
                <w:highlight w:val="none"/>
              </w:rPr>
              <w:t>　</w:t>
            </w:r>
          </w:p>
        </w:tc>
      </w:tr>
      <w:tr>
        <w:tblPrEx>
          <w:tblCellMar>
            <w:top w:w="0" w:type="dxa"/>
            <w:left w:w="108" w:type="dxa"/>
            <w:bottom w:w="0" w:type="dxa"/>
            <w:right w:w="108" w:type="dxa"/>
          </w:tblCellMar>
        </w:tblPrEx>
        <w:trPr>
          <w:gridBefore w:val="1"/>
          <w:gridAfter w:val="1"/>
          <w:wBefore w:w="15" w:type="dxa"/>
          <w:wAfter w:w="320" w:type="dxa"/>
          <w:trHeight w:val="570" w:hRule="atLeast"/>
          <w:jc w:val="center"/>
        </w:trPr>
        <w:tc>
          <w:tcPr>
            <w:tcW w:w="559"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auto"/>
                <w:kern w:val="0"/>
                <w:sz w:val="20"/>
                <w:szCs w:val="20"/>
                <w:highlight w:val="none"/>
              </w:rPr>
            </w:pPr>
            <w:r>
              <w:rPr>
                <w:rFonts w:hint="eastAsia" w:cs="Arial"/>
                <w:color w:val="auto"/>
                <w:sz w:val="20"/>
                <w:szCs w:val="20"/>
                <w:highlight w:val="none"/>
              </w:rPr>
              <w:t>15</w:t>
            </w:r>
          </w:p>
        </w:tc>
        <w:tc>
          <w:tcPr>
            <w:tcW w:w="69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color w:val="auto"/>
                <w:kern w:val="0"/>
                <w:sz w:val="20"/>
                <w:szCs w:val="20"/>
                <w:highlight w:val="none"/>
              </w:rPr>
            </w:pPr>
            <w:r>
              <w:rPr>
                <w:rFonts w:hint="eastAsia" w:cs="Arial"/>
                <w:color w:val="auto"/>
                <w:sz w:val="20"/>
                <w:szCs w:val="20"/>
                <w:highlight w:val="none"/>
              </w:rPr>
              <w:t>031302006003</w:t>
            </w:r>
          </w:p>
        </w:tc>
        <w:tc>
          <w:tcPr>
            <w:tcW w:w="123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color w:val="auto"/>
                <w:kern w:val="0"/>
                <w:sz w:val="20"/>
                <w:szCs w:val="20"/>
                <w:highlight w:val="none"/>
              </w:rPr>
            </w:pPr>
            <w:r>
              <w:rPr>
                <w:rFonts w:hint="eastAsia" w:cs="Arial"/>
                <w:color w:val="auto"/>
                <w:sz w:val="20"/>
                <w:szCs w:val="20"/>
                <w:highlight w:val="none"/>
              </w:rPr>
              <w:t>电缆沟施工保护板</w:t>
            </w:r>
          </w:p>
        </w:tc>
        <w:tc>
          <w:tcPr>
            <w:tcW w:w="2081"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color w:val="auto"/>
                <w:kern w:val="0"/>
                <w:sz w:val="20"/>
                <w:szCs w:val="20"/>
                <w:highlight w:val="none"/>
              </w:rPr>
            </w:pPr>
            <w:r>
              <w:rPr>
                <w:rFonts w:hint="eastAsia" w:cs="Arial"/>
                <w:color w:val="auto"/>
                <w:sz w:val="20"/>
                <w:szCs w:val="20"/>
                <w:highlight w:val="none"/>
              </w:rPr>
              <w:t>1.名称:电缆沟施工保护板</w:t>
            </w:r>
            <w:r>
              <w:rPr>
                <w:rFonts w:hint="eastAsia" w:cs="Arial"/>
                <w:color w:val="auto"/>
                <w:sz w:val="20"/>
                <w:szCs w:val="20"/>
                <w:highlight w:val="none"/>
              </w:rPr>
              <w:br w:type="textWrapping"/>
            </w:r>
            <w:r>
              <w:rPr>
                <w:rFonts w:hint="eastAsia" w:cs="Arial"/>
                <w:color w:val="auto"/>
                <w:sz w:val="20"/>
                <w:szCs w:val="20"/>
                <w:highlight w:val="none"/>
              </w:rPr>
              <w:t>2.材质:阻燃胶合板（21mm厚，高1.5米）</w:t>
            </w:r>
          </w:p>
        </w:tc>
        <w:tc>
          <w:tcPr>
            <w:tcW w:w="695" w:type="dxa"/>
            <w:gridSpan w:val="3"/>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宋体"/>
                <w:color w:val="auto"/>
                <w:kern w:val="0"/>
                <w:sz w:val="20"/>
                <w:szCs w:val="20"/>
                <w:highlight w:val="none"/>
              </w:rPr>
            </w:pPr>
            <w:r>
              <w:rPr>
                <w:rFonts w:hint="eastAsia" w:cs="Arial"/>
                <w:color w:val="auto"/>
                <w:sz w:val="20"/>
                <w:szCs w:val="20"/>
                <w:highlight w:val="none"/>
              </w:rPr>
              <w:t>m2</w:t>
            </w:r>
          </w:p>
        </w:tc>
        <w:tc>
          <w:tcPr>
            <w:tcW w:w="916"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cs="Arial"/>
                <w:color w:val="auto"/>
                <w:sz w:val="20"/>
                <w:szCs w:val="20"/>
                <w:highlight w:val="none"/>
              </w:rPr>
              <w:t>75</w:t>
            </w:r>
          </w:p>
        </w:tc>
        <w:tc>
          <w:tcPr>
            <w:tcW w:w="668"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cs="Arial"/>
                <w:color w:val="auto"/>
                <w:sz w:val="18"/>
                <w:szCs w:val="18"/>
                <w:highlight w:val="none"/>
              </w:rPr>
              <w:t>　</w:t>
            </w:r>
          </w:p>
        </w:tc>
        <w:tc>
          <w:tcPr>
            <w:tcW w:w="699"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cs="Arial"/>
                <w:color w:val="auto"/>
                <w:sz w:val="18"/>
                <w:szCs w:val="18"/>
                <w:highlight w:val="none"/>
              </w:rPr>
              <w:t>　</w:t>
            </w:r>
          </w:p>
        </w:tc>
        <w:tc>
          <w:tcPr>
            <w:tcW w:w="964" w:type="dxa"/>
            <w:gridSpan w:val="3"/>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cs="Arial"/>
                <w:color w:val="auto"/>
                <w:sz w:val="18"/>
                <w:szCs w:val="18"/>
                <w:highlight w:val="none"/>
              </w:rPr>
              <w:t>　</w:t>
            </w:r>
          </w:p>
        </w:tc>
      </w:tr>
      <w:tr>
        <w:trPr>
          <w:gridBefore w:val="1"/>
          <w:gridAfter w:val="1"/>
          <w:wBefore w:w="15" w:type="dxa"/>
          <w:wAfter w:w="320" w:type="dxa"/>
          <w:trHeight w:val="360" w:hRule="atLeast"/>
          <w:jc w:val="center"/>
        </w:trPr>
        <w:tc>
          <w:tcPr>
            <w:tcW w:w="559"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auto"/>
                <w:kern w:val="0"/>
                <w:sz w:val="20"/>
                <w:szCs w:val="20"/>
                <w:highlight w:val="none"/>
              </w:rPr>
            </w:pPr>
            <w:r>
              <w:rPr>
                <w:rFonts w:hint="eastAsia" w:cs="Arial"/>
                <w:color w:val="auto"/>
                <w:sz w:val="20"/>
                <w:szCs w:val="20"/>
                <w:highlight w:val="none"/>
              </w:rPr>
              <w:t>16</w:t>
            </w:r>
          </w:p>
        </w:tc>
        <w:tc>
          <w:tcPr>
            <w:tcW w:w="690"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color w:val="auto"/>
                <w:kern w:val="0"/>
                <w:sz w:val="20"/>
                <w:szCs w:val="20"/>
                <w:highlight w:val="none"/>
              </w:rPr>
            </w:pPr>
            <w:r>
              <w:rPr>
                <w:rFonts w:hint="eastAsia" w:cs="Arial"/>
                <w:color w:val="auto"/>
                <w:sz w:val="20"/>
                <w:szCs w:val="20"/>
                <w:highlight w:val="none"/>
              </w:rPr>
              <w:t>041102037001</w:t>
            </w:r>
          </w:p>
        </w:tc>
        <w:tc>
          <w:tcPr>
            <w:tcW w:w="1233"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color w:val="auto"/>
                <w:kern w:val="0"/>
                <w:sz w:val="20"/>
                <w:szCs w:val="20"/>
                <w:highlight w:val="none"/>
              </w:rPr>
            </w:pPr>
            <w:r>
              <w:rPr>
                <w:rFonts w:hint="eastAsia" w:cs="Arial"/>
                <w:color w:val="auto"/>
                <w:sz w:val="20"/>
                <w:szCs w:val="20"/>
                <w:highlight w:val="none"/>
              </w:rPr>
              <w:t>电缆沟压顶模板</w:t>
            </w:r>
          </w:p>
        </w:tc>
        <w:tc>
          <w:tcPr>
            <w:tcW w:w="2081"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color w:val="auto"/>
                <w:kern w:val="0"/>
                <w:sz w:val="20"/>
                <w:szCs w:val="20"/>
                <w:highlight w:val="none"/>
              </w:rPr>
            </w:pPr>
            <w:r>
              <w:rPr>
                <w:rFonts w:hint="eastAsia" w:cs="Arial"/>
                <w:color w:val="auto"/>
                <w:sz w:val="20"/>
                <w:szCs w:val="20"/>
                <w:highlight w:val="none"/>
              </w:rPr>
              <w:t>1.电缆沟压顶模板</w:t>
            </w:r>
          </w:p>
        </w:tc>
        <w:tc>
          <w:tcPr>
            <w:tcW w:w="695" w:type="dxa"/>
            <w:gridSpan w:val="3"/>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宋体"/>
                <w:color w:val="auto"/>
                <w:kern w:val="0"/>
                <w:sz w:val="20"/>
                <w:szCs w:val="20"/>
                <w:highlight w:val="none"/>
              </w:rPr>
            </w:pPr>
            <w:r>
              <w:rPr>
                <w:rFonts w:hint="eastAsia" w:cs="Arial"/>
                <w:color w:val="auto"/>
                <w:sz w:val="20"/>
                <w:szCs w:val="20"/>
                <w:highlight w:val="none"/>
              </w:rPr>
              <w:t>m2</w:t>
            </w:r>
          </w:p>
        </w:tc>
        <w:tc>
          <w:tcPr>
            <w:tcW w:w="916" w:type="dxa"/>
            <w:gridSpan w:val="2"/>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cs="Arial"/>
                <w:color w:val="auto"/>
                <w:sz w:val="20"/>
                <w:szCs w:val="20"/>
                <w:highlight w:val="none"/>
              </w:rPr>
              <w:t>182.266</w:t>
            </w:r>
          </w:p>
        </w:tc>
        <w:tc>
          <w:tcPr>
            <w:tcW w:w="668"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cs="Arial"/>
                <w:color w:val="auto"/>
                <w:sz w:val="18"/>
                <w:szCs w:val="18"/>
                <w:highlight w:val="none"/>
              </w:rPr>
              <w:t>　</w:t>
            </w:r>
          </w:p>
        </w:tc>
        <w:tc>
          <w:tcPr>
            <w:tcW w:w="699"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cs="Arial"/>
                <w:color w:val="auto"/>
                <w:sz w:val="18"/>
                <w:szCs w:val="18"/>
                <w:highlight w:val="none"/>
              </w:rPr>
              <w:t>　</w:t>
            </w:r>
          </w:p>
        </w:tc>
        <w:tc>
          <w:tcPr>
            <w:tcW w:w="964" w:type="dxa"/>
            <w:gridSpan w:val="3"/>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cs="Arial"/>
                <w:color w:val="auto"/>
                <w:sz w:val="18"/>
                <w:szCs w:val="18"/>
                <w:highlight w:val="none"/>
              </w:rPr>
              <w:t>　</w:t>
            </w:r>
          </w:p>
        </w:tc>
      </w:tr>
      <w:tr>
        <w:tblPrEx>
          <w:tblCellMar>
            <w:top w:w="0" w:type="dxa"/>
            <w:left w:w="108" w:type="dxa"/>
            <w:bottom w:w="0" w:type="dxa"/>
            <w:right w:w="108" w:type="dxa"/>
          </w:tblCellMar>
        </w:tblPrEx>
        <w:trPr>
          <w:gridBefore w:val="1"/>
          <w:gridAfter w:val="1"/>
          <w:wBefore w:w="15" w:type="dxa"/>
          <w:wAfter w:w="320" w:type="dxa"/>
          <w:trHeight w:val="570" w:hRule="atLeast"/>
          <w:jc w:val="center"/>
        </w:trPr>
        <w:tc>
          <w:tcPr>
            <w:tcW w:w="6842" w:type="dxa"/>
            <w:gridSpan w:val="17"/>
            <w:tcBorders>
              <w:top w:val="single" w:color="000000" w:sz="4" w:space="0"/>
              <w:left w:val="single" w:color="000000" w:sz="8" w:space="0"/>
              <w:bottom w:val="single" w:color="000000" w:sz="8" w:space="0"/>
              <w:right w:val="single" w:color="000000" w:sz="4" w:space="0"/>
            </w:tcBorders>
            <w:shd w:val="clear" w:color="FFFFFF" w:fill="FFFFFF"/>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合   计</w:t>
            </w:r>
          </w:p>
        </w:tc>
        <w:tc>
          <w:tcPr>
            <w:tcW w:w="699" w:type="dxa"/>
            <w:tcBorders>
              <w:top w:val="nil"/>
              <w:left w:val="nil"/>
              <w:bottom w:val="single" w:color="000000" w:sz="8"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964" w:type="dxa"/>
            <w:gridSpan w:val="3"/>
            <w:tcBorders>
              <w:top w:val="nil"/>
              <w:left w:val="nil"/>
              <w:bottom w:val="single" w:color="000000" w:sz="8" w:space="0"/>
              <w:right w:val="single" w:color="000000" w:sz="8"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rPr>
          <w:gridBefore w:val="1"/>
          <w:gridAfter w:val="1"/>
          <w:wBefore w:w="15" w:type="dxa"/>
          <w:wAfter w:w="320" w:type="dxa"/>
          <w:trHeight w:val="345" w:hRule="atLeast"/>
          <w:jc w:val="center"/>
        </w:trPr>
        <w:tc>
          <w:tcPr>
            <w:tcW w:w="8505" w:type="dxa"/>
            <w:gridSpan w:val="21"/>
            <w:tcBorders>
              <w:top w:val="nil"/>
              <w:left w:val="nil"/>
              <w:bottom w:val="nil"/>
              <w:right w:val="nil"/>
            </w:tcBorders>
            <w:shd w:val="clear" w:color="FFFFFF" w:fill="FFFFFF"/>
          </w:tcPr>
          <w:p>
            <w:pPr>
              <w:widowControl/>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注：为计取规费等的使用，可在表中增设其中：“定额人工费”。</w:t>
            </w:r>
          </w:p>
        </w:tc>
      </w:tr>
      <w:tr>
        <w:tblPrEx>
          <w:tblCellMar>
            <w:top w:w="0" w:type="dxa"/>
            <w:left w:w="0" w:type="dxa"/>
            <w:bottom w:w="0" w:type="dxa"/>
            <w:right w:w="0" w:type="dxa"/>
          </w:tblCellMar>
        </w:tblPrEx>
        <w:trPr>
          <w:trHeight w:val="795" w:hRule="atLeast"/>
          <w:jc w:val="center"/>
        </w:trPr>
        <w:tc>
          <w:tcPr>
            <w:tcW w:w="8840" w:type="dxa"/>
            <w:gridSpan w:val="23"/>
            <w:tcBorders>
              <w:top w:val="nil"/>
              <w:left w:val="nil"/>
              <w:bottom w:val="nil"/>
              <w:right w:val="nil"/>
            </w:tcBorders>
            <w:shd w:val="clear" w:color="FFFFFF" w:fill="FFFFFF"/>
            <w:tcMar>
              <w:top w:w="15" w:type="dxa"/>
              <w:left w:w="15" w:type="dxa"/>
              <w:bottom w:w="0" w:type="dxa"/>
              <w:right w:w="15" w:type="dxa"/>
            </w:tcMar>
            <w:vAlign w:val="center"/>
          </w:tcPr>
          <w:p>
            <w:pPr>
              <w:widowControl/>
              <w:jc w:val="center"/>
              <w:rPr>
                <w:rFonts w:ascii="宋体" w:hAnsi="宋体" w:eastAsia="宋体" w:cs="宋体"/>
                <w:b/>
                <w:bCs/>
                <w:color w:val="auto"/>
                <w:kern w:val="0"/>
                <w:sz w:val="40"/>
                <w:szCs w:val="40"/>
                <w:highlight w:val="none"/>
              </w:rPr>
            </w:pPr>
            <w:r>
              <w:rPr>
                <w:rFonts w:hint="eastAsia"/>
                <w:b/>
                <w:bCs/>
                <w:color w:val="auto"/>
                <w:sz w:val="40"/>
                <w:szCs w:val="40"/>
                <w:highlight w:val="none"/>
              </w:rPr>
              <w:t>总价措施项目清单与计价表</w:t>
            </w:r>
          </w:p>
        </w:tc>
      </w:tr>
      <w:tr>
        <w:tblPrEx>
          <w:tblCellMar>
            <w:top w:w="0" w:type="dxa"/>
            <w:left w:w="0" w:type="dxa"/>
            <w:bottom w:w="0" w:type="dxa"/>
            <w:right w:w="0" w:type="dxa"/>
          </w:tblCellMar>
        </w:tblPrEx>
        <w:trPr>
          <w:trHeight w:val="240" w:hRule="atLeast"/>
          <w:jc w:val="center"/>
        </w:trPr>
        <w:tc>
          <w:tcPr>
            <w:tcW w:w="5100" w:type="dxa"/>
            <w:gridSpan w:val="10"/>
            <w:tcBorders>
              <w:top w:val="nil"/>
              <w:left w:val="nil"/>
              <w:bottom w:val="nil"/>
              <w:right w:val="nil"/>
            </w:tcBorders>
            <w:shd w:val="clear" w:color="FFFFFF" w:fill="FFFFFF"/>
            <w:tcMar>
              <w:top w:w="15" w:type="dxa"/>
              <w:left w:w="15" w:type="dxa"/>
              <w:bottom w:w="0" w:type="dxa"/>
              <w:right w:w="15" w:type="dxa"/>
            </w:tcMar>
            <w:vAlign w:val="bottom"/>
          </w:tcPr>
          <w:p>
            <w:pPr>
              <w:jc w:val="left"/>
              <w:rPr>
                <w:color w:val="auto"/>
                <w:sz w:val="20"/>
                <w:szCs w:val="20"/>
                <w:highlight w:val="none"/>
              </w:rPr>
            </w:pPr>
            <w:r>
              <w:rPr>
                <w:rFonts w:hint="eastAsia"/>
                <w:color w:val="auto"/>
                <w:sz w:val="20"/>
                <w:szCs w:val="20"/>
                <w:highlight w:val="none"/>
              </w:rPr>
              <w:t>工程名称：石井净水分公司厂区高压电缆管线优化项目</w:t>
            </w:r>
          </w:p>
        </w:tc>
        <w:tc>
          <w:tcPr>
            <w:tcW w:w="1500" w:type="dxa"/>
            <w:gridSpan w:val="6"/>
            <w:tcBorders>
              <w:top w:val="nil"/>
              <w:left w:val="nil"/>
              <w:bottom w:val="nil"/>
              <w:right w:val="nil"/>
            </w:tcBorders>
            <w:shd w:val="clear" w:color="FFFFFF" w:fill="FFFFFF"/>
            <w:tcMar>
              <w:top w:w="15" w:type="dxa"/>
              <w:left w:w="15" w:type="dxa"/>
              <w:bottom w:w="0" w:type="dxa"/>
              <w:right w:w="15" w:type="dxa"/>
            </w:tcMar>
            <w:vAlign w:val="bottom"/>
          </w:tcPr>
          <w:p>
            <w:pPr>
              <w:rPr>
                <w:color w:val="auto"/>
                <w:sz w:val="20"/>
                <w:szCs w:val="20"/>
                <w:highlight w:val="none"/>
              </w:rPr>
            </w:pPr>
            <w:r>
              <w:rPr>
                <w:rFonts w:hint="eastAsia"/>
                <w:color w:val="auto"/>
                <w:sz w:val="20"/>
                <w:szCs w:val="20"/>
                <w:highlight w:val="none"/>
              </w:rPr>
              <w:t>标段：</w:t>
            </w:r>
          </w:p>
        </w:tc>
        <w:tc>
          <w:tcPr>
            <w:tcW w:w="2240" w:type="dxa"/>
            <w:gridSpan w:val="7"/>
            <w:tcBorders>
              <w:top w:val="nil"/>
              <w:left w:val="nil"/>
              <w:bottom w:val="nil"/>
              <w:right w:val="nil"/>
            </w:tcBorders>
            <w:shd w:val="clear" w:color="FFFFFF" w:fill="FFFFFF"/>
            <w:tcMar>
              <w:top w:w="15" w:type="dxa"/>
              <w:left w:w="15" w:type="dxa"/>
              <w:bottom w:w="0" w:type="dxa"/>
              <w:right w:w="15" w:type="dxa"/>
            </w:tcMar>
            <w:vAlign w:val="bottom"/>
          </w:tcPr>
          <w:p>
            <w:pPr>
              <w:jc w:val="right"/>
              <w:rPr>
                <w:color w:val="auto"/>
                <w:sz w:val="20"/>
                <w:szCs w:val="20"/>
                <w:highlight w:val="none"/>
              </w:rPr>
            </w:pPr>
            <w:r>
              <w:rPr>
                <w:rFonts w:hint="eastAsia"/>
                <w:color w:val="auto"/>
                <w:sz w:val="20"/>
                <w:szCs w:val="20"/>
                <w:highlight w:val="none"/>
              </w:rPr>
              <w:t>　</w:t>
            </w:r>
          </w:p>
        </w:tc>
      </w:tr>
      <w:tr>
        <w:tblPrEx>
          <w:tblCellMar>
            <w:top w:w="0" w:type="dxa"/>
            <w:left w:w="0" w:type="dxa"/>
            <w:bottom w:w="0" w:type="dxa"/>
            <w:right w:w="0" w:type="dxa"/>
          </w:tblCellMar>
        </w:tblPrEx>
        <w:trPr>
          <w:trHeight w:val="825" w:hRule="atLeast"/>
          <w:jc w:val="center"/>
        </w:trPr>
        <w:tc>
          <w:tcPr>
            <w:tcW w:w="580" w:type="dxa"/>
            <w:gridSpan w:val="3"/>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bottom w:w="0" w:type="dxa"/>
              <w:right w:w="15" w:type="dxa"/>
            </w:tcMar>
            <w:vAlign w:val="center"/>
          </w:tcPr>
          <w:p>
            <w:pPr>
              <w:jc w:val="center"/>
              <w:rPr>
                <w:color w:val="auto"/>
                <w:sz w:val="20"/>
                <w:szCs w:val="20"/>
                <w:highlight w:val="none"/>
              </w:rPr>
            </w:pPr>
            <w:r>
              <w:rPr>
                <w:rFonts w:hint="eastAsia"/>
                <w:color w:val="auto"/>
                <w:sz w:val="20"/>
                <w:szCs w:val="20"/>
                <w:highlight w:val="none"/>
              </w:rPr>
              <w:t>序号</w:t>
            </w:r>
          </w:p>
        </w:tc>
        <w:tc>
          <w:tcPr>
            <w:tcW w:w="640" w:type="dxa"/>
            <w:tcBorders>
              <w:top w:val="single" w:color="000000" w:sz="8" w:space="0"/>
              <w:left w:val="nil"/>
              <w:bottom w:val="single" w:color="000000" w:sz="4" w:space="0"/>
              <w:right w:val="single" w:color="000000" w:sz="4" w:space="0"/>
            </w:tcBorders>
            <w:shd w:val="clear" w:color="FFFFFF" w:fill="FFFFFF"/>
            <w:tcMar>
              <w:top w:w="15" w:type="dxa"/>
              <w:left w:w="15" w:type="dxa"/>
              <w:bottom w:w="0" w:type="dxa"/>
              <w:right w:w="15" w:type="dxa"/>
            </w:tcMar>
            <w:vAlign w:val="center"/>
          </w:tcPr>
          <w:p>
            <w:pPr>
              <w:jc w:val="center"/>
              <w:rPr>
                <w:color w:val="auto"/>
                <w:sz w:val="20"/>
                <w:szCs w:val="20"/>
                <w:highlight w:val="none"/>
              </w:rPr>
            </w:pPr>
            <w:r>
              <w:rPr>
                <w:rFonts w:hint="eastAsia"/>
                <w:color w:val="auto"/>
                <w:sz w:val="20"/>
                <w:szCs w:val="20"/>
                <w:highlight w:val="none"/>
              </w:rPr>
              <w:t>项目编码</w:t>
            </w:r>
          </w:p>
        </w:tc>
        <w:tc>
          <w:tcPr>
            <w:tcW w:w="1680" w:type="dxa"/>
            <w:gridSpan w:val="3"/>
            <w:tcBorders>
              <w:top w:val="single" w:color="000000" w:sz="8" w:space="0"/>
              <w:left w:val="nil"/>
              <w:bottom w:val="single" w:color="000000" w:sz="4" w:space="0"/>
              <w:right w:val="single" w:color="000000" w:sz="4" w:space="0"/>
            </w:tcBorders>
            <w:shd w:val="clear" w:color="FFFFFF" w:fill="FFFFFF"/>
            <w:tcMar>
              <w:top w:w="15" w:type="dxa"/>
              <w:left w:w="15" w:type="dxa"/>
              <w:bottom w:w="0" w:type="dxa"/>
              <w:right w:w="15" w:type="dxa"/>
            </w:tcMar>
            <w:vAlign w:val="center"/>
          </w:tcPr>
          <w:p>
            <w:pPr>
              <w:jc w:val="center"/>
              <w:rPr>
                <w:color w:val="auto"/>
                <w:sz w:val="20"/>
                <w:szCs w:val="20"/>
                <w:highlight w:val="none"/>
              </w:rPr>
            </w:pPr>
            <w:r>
              <w:rPr>
                <w:rFonts w:hint="eastAsia"/>
                <w:color w:val="auto"/>
                <w:sz w:val="20"/>
                <w:szCs w:val="20"/>
                <w:highlight w:val="none"/>
              </w:rPr>
              <w:t>项目名称</w:t>
            </w:r>
          </w:p>
        </w:tc>
        <w:tc>
          <w:tcPr>
            <w:tcW w:w="1440" w:type="dxa"/>
            <w:tcBorders>
              <w:top w:val="single" w:color="000000" w:sz="8" w:space="0"/>
              <w:left w:val="nil"/>
              <w:bottom w:val="single" w:color="000000" w:sz="4" w:space="0"/>
              <w:right w:val="single" w:color="000000" w:sz="4" w:space="0"/>
            </w:tcBorders>
            <w:shd w:val="clear" w:color="FFFFFF" w:fill="FFFFFF"/>
            <w:tcMar>
              <w:top w:w="15" w:type="dxa"/>
              <w:left w:w="15" w:type="dxa"/>
              <w:bottom w:w="0" w:type="dxa"/>
              <w:right w:w="15" w:type="dxa"/>
            </w:tcMar>
            <w:vAlign w:val="center"/>
          </w:tcPr>
          <w:p>
            <w:pPr>
              <w:jc w:val="center"/>
              <w:rPr>
                <w:color w:val="auto"/>
                <w:sz w:val="20"/>
                <w:szCs w:val="20"/>
                <w:highlight w:val="none"/>
              </w:rPr>
            </w:pPr>
            <w:r>
              <w:rPr>
                <w:rFonts w:hint="eastAsia"/>
                <w:color w:val="auto"/>
                <w:sz w:val="20"/>
                <w:szCs w:val="20"/>
                <w:highlight w:val="none"/>
              </w:rPr>
              <w:t>计算基础</w:t>
            </w:r>
          </w:p>
        </w:tc>
        <w:tc>
          <w:tcPr>
            <w:tcW w:w="820" w:type="dxa"/>
            <w:gridSpan w:val="3"/>
            <w:tcBorders>
              <w:top w:val="single" w:color="000000" w:sz="8" w:space="0"/>
              <w:left w:val="nil"/>
              <w:bottom w:val="single" w:color="000000" w:sz="4" w:space="0"/>
              <w:right w:val="single" w:color="000000" w:sz="4" w:space="0"/>
            </w:tcBorders>
            <w:shd w:val="clear" w:color="FFFFFF" w:fill="FFFFFF"/>
            <w:tcMar>
              <w:top w:w="15" w:type="dxa"/>
              <w:left w:w="15" w:type="dxa"/>
              <w:bottom w:w="0" w:type="dxa"/>
              <w:right w:w="15" w:type="dxa"/>
            </w:tcMar>
            <w:vAlign w:val="center"/>
          </w:tcPr>
          <w:p>
            <w:pPr>
              <w:jc w:val="center"/>
              <w:rPr>
                <w:color w:val="auto"/>
                <w:sz w:val="20"/>
                <w:szCs w:val="20"/>
                <w:highlight w:val="none"/>
              </w:rPr>
            </w:pPr>
            <w:r>
              <w:rPr>
                <w:rFonts w:hint="eastAsia"/>
                <w:color w:val="auto"/>
                <w:sz w:val="20"/>
                <w:szCs w:val="20"/>
                <w:highlight w:val="none"/>
              </w:rPr>
              <w:t>费率</w:t>
            </w:r>
            <w:r>
              <w:rPr>
                <w:rFonts w:hint="eastAsia"/>
                <w:color w:val="auto"/>
                <w:sz w:val="20"/>
                <w:szCs w:val="20"/>
                <w:highlight w:val="none"/>
              </w:rPr>
              <w:br w:type="textWrapping"/>
            </w:r>
            <w:r>
              <w:rPr>
                <w:rFonts w:hint="eastAsia"/>
                <w:color w:val="auto"/>
                <w:sz w:val="20"/>
                <w:szCs w:val="20"/>
                <w:highlight w:val="none"/>
              </w:rPr>
              <w:t>(%)</w:t>
            </w:r>
          </w:p>
        </w:tc>
        <w:tc>
          <w:tcPr>
            <w:tcW w:w="740" w:type="dxa"/>
            <w:gridSpan w:val="2"/>
            <w:tcBorders>
              <w:top w:val="single" w:color="000000" w:sz="8" w:space="0"/>
              <w:left w:val="nil"/>
              <w:bottom w:val="single" w:color="000000" w:sz="4" w:space="0"/>
              <w:right w:val="single" w:color="000000" w:sz="4" w:space="0"/>
            </w:tcBorders>
            <w:shd w:val="clear" w:color="FFFFFF" w:fill="FFFFFF"/>
            <w:tcMar>
              <w:top w:w="15" w:type="dxa"/>
              <w:left w:w="15" w:type="dxa"/>
              <w:bottom w:w="0" w:type="dxa"/>
              <w:right w:w="15" w:type="dxa"/>
            </w:tcMar>
            <w:vAlign w:val="center"/>
          </w:tcPr>
          <w:p>
            <w:pPr>
              <w:jc w:val="center"/>
              <w:rPr>
                <w:color w:val="auto"/>
                <w:sz w:val="20"/>
                <w:szCs w:val="20"/>
                <w:highlight w:val="none"/>
              </w:rPr>
            </w:pPr>
            <w:r>
              <w:rPr>
                <w:rFonts w:hint="eastAsia"/>
                <w:color w:val="auto"/>
                <w:sz w:val="20"/>
                <w:szCs w:val="20"/>
                <w:highlight w:val="none"/>
              </w:rPr>
              <w:t>金额</w:t>
            </w:r>
            <w:r>
              <w:rPr>
                <w:rFonts w:hint="eastAsia"/>
                <w:color w:val="auto"/>
                <w:sz w:val="20"/>
                <w:szCs w:val="20"/>
                <w:highlight w:val="none"/>
              </w:rPr>
              <w:br w:type="textWrapping"/>
            </w:r>
            <w:r>
              <w:rPr>
                <w:rFonts w:hint="eastAsia"/>
                <w:color w:val="auto"/>
                <w:sz w:val="20"/>
                <w:szCs w:val="20"/>
                <w:highlight w:val="none"/>
              </w:rPr>
              <w:t>(元)</w:t>
            </w:r>
          </w:p>
        </w:tc>
        <w:tc>
          <w:tcPr>
            <w:tcW w:w="940" w:type="dxa"/>
            <w:gridSpan w:val="4"/>
            <w:tcBorders>
              <w:top w:val="single" w:color="000000" w:sz="8" w:space="0"/>
              <w:left w:val="nil"/>
              <w:bottom w:val="single" w:color="000000" w:sz="4" w:space="0"/>
              <w:right w:val="single" w:color="000000" w:sz="4" w:space="0"/>
            </w:tcBorders>
            <w:shd w:val="clear" w:color="FFFFFF" w:fill="FFFFFF"/>
            <w:tcMar>
              <w:top w:w="15" w:type="dxa"/>
              <w:left w:w="15" w:type="dxa"/>
              <w:bottom w:w="0" w:type="dxa"/>
              <w:right w:w="15" w:type="dxa"/>
            </w:tcMar>
            <w:vAlign w:val="center"/>
          </w:tcPr>
          <w:p>
            <w:pPr>
              <w:jc w:val="center"/>
              <w:rPr>
                <w:color w:val="auto"/>
                <w:sz w:val="20"/>
                <w:szCs w:val="20"/>
                <w:highlight w:val="none"/>
              </w:rPr>
            </w:pPr>
            <w:r>
              <w:rPr>
                <w:rFonts w:hint="eastAsia"/>
                <w:color w:val="auto"/>
                <w:sz w:val="20"/>
                <w:szCs w:val="20"/>
                <w:highlight w:val="none"/>
              </w:rPr>
              <w:t>调整费率</w:t>
            </w:r>
            <w:r>
              <w:rPr>
                <w:rFonts w:hint="eastAsia"/>
                <w:color w:val="auto"/>
                <w:sz w:val="20"/>
                <w:szCs w:val="20"/>
                <w:highlight w:val="none"/>
              </w:rPr>
              <w:br w:type="textWrapping"/>
            </w:r>
            <w:r>
              <w:rPr>
                <w:rFonts w:hint="eastAsia"/>
                <w:color w:val="auto"/>
                <w:sz w:val="20"/>
                <w:szCs w:val="20"/>
                <w:highlight w:val="none"/>
              </w:rPr>
              <w:t>(%)</w:t>
            </w:r>
          </w:p>
        </w:tc>
        <w:tc>
          <w:tcPr>
            <w:tcW w:w="880" w:type="dxa"/>
            <w:gridSpan w:val="3"/>
            <w:tcBorders>
              <w:top w:val="single" w:color="000000" w:sz="8" w:space="0"/>
              <w:left w:val="nil"/>
              <w:bottom w:val="single" w:color="000000" w:sz="4" w:space="0"/>
              <w:right w:val="single" w:color="000000" w:sz="4" w:space="0"/>
            </w:tcBorders>
            <w:shd w:val="clear" w:color="FFFFFF" w:fill="FFFFFF"/>
            <w:tcMar>
              <w:top w:w="15" w:type="dxa"/>
              <w:left w:w="15" w:type="dxa"/>
              <w:bottom w:w="0" w:type="dxa"/>
              <w:right w:w="15" w:type="dxa"/>
            </w:tcMar>
            <w:vAlign w:val="center"/>
          </w:tcPr>
          <w:p>
            <w:pPr>
              <w:jc w:val="center"/>
              <w:rPr>
                <w:color w:val="auto"/>
                <w:sz w:val="20"/>
                <w:szCs w:val="20"/>
                <w:highlight w:val="none"/>
              </w:rPr>
            </w:pPr>
            <w:r>
              <w:rPr>
                <w:rFonts w:hint="eastAsia"/>
                <w:color w:val="auto"/>
                <w:sz w:val="20"/>
                <w:szCs w:val="20"/>
                <w:highlight w:val="none"/>
              </w:rPr>
              <w:t>调整后</w:t>
            </w:r>
            <w:r>
              <w:rPr>
                <w:rFonts w:hint="eastAsia"/>
                <w:color w:val="auto"/>
                <w:sz w:val="20"/>
                <w:szCs w:val="20"/>
                <w:highlight w:val="none"/>
              </w:rPr>
              <w:br w:type="textWrapping"/>
            </w:r>
            <w:r>
              <w:rPr>
                <w:rFonts w:hint="eastAsia"/>
                <w:color w:val="auto"/>
                <w:sz w:val="20"/>
                <w:szCs w:val="20"/>
                <w:highlight w:val="none"/>
              </w:rPr>
              <w:t>金额</w:t>
            </w:r>
            <w:r>
              <w:rPr>
                <w:rFonts w:hint="eastAsia"/>
                <w:color w:val="auto"/>
                <w:sz w:val="20"/>
                <w:szCs w:val="20"/>
                <w:highlight w:val="none"/>
              </w:rPr>
              <w:br w:type="textWrapping"/>
            </w:r>
            <w:r>
              <w:rPr>
                <w:rFonts w:hint="eastAsia"/>
                <w:color w:val="auto"/>
                <w:sz w:val="20"/>
                <w:szCs w:val="20"/>
                <w:highlight w:val="none"/>
              </w:rPr>
              <w:t>(元)</w:t>
            </w:r>
          </w:p>
        </w:tc>
        <w:tc>
          <w:tcPr>
            <w:tcW w:w="1120" w:type="dxa"/>
            <w:gridSpan w:val="3"/>
            <w:tcBorders>
              <w:top w:val="single" w:color="000000" w:sz="8" w:space="0"/>
              <w:left w:val="nil"/>
              <w:bottom w:val="single" w:color="000000" w:sz="4" w:space="0"/>
              <w:right w:val="single" w:color="000000" w:sz="8" w:space="0"/>
            </w:tcBorders>
            <w:shd w:val="clear" w:color="FFFFFF" w:fill="FFFFFF"/>
            <w:tcMar>
              <w:top w:w="15" w:type="dxa"/>
              <w:left w:w="15" w:type="dxa"/>
              <w:bottom w:w="0" w:type="dxa"/>
              <w:right w:w="15" w:type="dxa"/>
            </w:tcMar>
            <w:vAlign w:val="center"/>
          </w:tcPr>
          <w:p>
            <w:pPr>
              <w:jc w:val="center"/>
              <w:rPr>
                <w:color w:val="auto"/>
                <w:sz w:val="20"/>
                <w:szCs w:val="20"/>
                <w:highlight w:val="none"/>
              </w:rPr>
            </w:pPr>
            <w:r>
              <w:rPr>
                <w:rFonts w:hint="eastAsia"/>
                <w:color w:val="auto"/>
                <w:sz w:val="20"/>
                <w:szCs w:val="20"/>
                <w:highlight w:val="none"/>
              </w:rPr>
              <w:t>备注</w:t>
            </w:r>
          </w:p>
        </w:tc>
      </w:tr>
      <w:tr>
        <w:tblPrEx>
          <w:tblCellMar>
            <w:top w:w="0" w:type="dxa"/>
            <w:left w:w="0" w:type="dxa"/>
            <w:bottom w:w="0" w:type="dxa"/>
            <w:right w:w="0" w:type="dxa"/>
          </w:tblCellMar>
        </w:tblPrEx>
        <w:trPr>
          <w:trHeight w:val="1590" w:hRule="atLeast"/>
          <w:jc w:val="center"/>
        </w:trPr>
        <w:tc>
          <w:tcPr>
            <w:tcW w:w="580" w:type="dxa"/>
            <w:gridSpan w:val="3"/>
            <w:tcBorders>
              <w:top w:val="nil"/>
              <w:left w:val="single" w:color="000000" w:sz="8" w:space="0"/>
              <w:bottom w:val="single" w:color="000000" w:sz="4" w:space="0"/>
              <w:right w:val="single" w:color="000000" w:sz="4" w:space="0"/>
            </w:tcBorders>
            <w:shd w:val="clear" w:color="FFFFFF" w:fill="FFFFFF"/>
            <w:tcMar>
              <w:top w:w="15" w:type="dxa"/>
              <w:left w:w="15" w:type="dxa"/>
              <w:bottom w:w="0" w:type="dxa"/>
              <w:right w:w="15" w:type="dxa"/>
            </w:tcMar>
            <w:vAlign w:val="center"/>
          </w:tcPr>
          <w:p>
            <w:pPr>
              <w:jc w:val="center"/>
              <w:rPr>
                <w:color w:val="auto"/>
                <w:sz w:val="20"/>
                <w:szCs w:val="20"/>
                <w:highlight w:val="none"/>
              </w:rPr>
            </w:pPr>
            <w:r>
              <w:rPr>
                <w:rFonts w:hint="eastAsia"/>
                <w:color w:val="auto"/>
                <w:sz w:val="20"/>
                <w:szCs w:val="20"/>
                <w:highlight w:val="none"/>
              </w:rPr>
              <w:t>1</w:t>
            </w:r>
          </w:p>
        </w:tc>
        <w:tc>
          <w:tcPr>
            <w:tcW w:w="640" w:type="dxa"/>
            <w:tcBorders>
              <w:top w:val="nil"/>
              <w:left w:val="nil"/>
              <w:bottom w:val="single" w:color="000000" w:sz="4" w:space="0"/>
              <w:right w:val="single" w:color="000000" w:sz="4" w:space="0"/>
            </w:tcBorders>
            <w:shd w:val="clear" w:color="FFFFFF" w:fill="FFFFFF"/>
            <w:tcMar>
              <w:top w:w="15" w:type="dxa"/>
              <w:left w:w="15" w:type="dxa"/>
              <w:bottom w:w="0" w:type="dxa"/>
              <w:right w:w="15" w:type="dxa"/>
            </w:tcMar>
            <w:vAlign w:val="center"/>
          </w:tcPr>
          <w:p>
            <w:pPr>
              <w:jc w:val="left"/>
              <w:rPr>
                <w:color w:val="auto"/>
                <w:sz w:val="20"/>
                <w:szCs w:val="20"/>
                <w:highlight w:val="none"/>
              </w:rPr>
            </w:pPr>
            <w:r>
              <w:rPr>
                <w:rFonts w:hint="eastAsia"/>
                <w:color w:val="auto"/>
                <w:sz w:val="20"/>
                <w:szCs w:val="20"/>
                <w:highlight w:val="none"/>
              </w:rPr>
              <w:t>　</w:t>
            </w:r>
          </w:p>
        </w:tc>
        <w:tc>
          <w:tcPr>
            <w:tcW w:w="1680" w:type="dxa"/>
            <w:gridSpan w:val="3"/>
            <w:tcBorders>
              <w:top w:val="nil"/>
              <w:left w:val="nil"/>
              <w:bottom w:val="single" w:color="000000" w:sz="4" w:space="0"/>
              <w:right w:val="single" w:color="000000" w:sz="4" w:space="0"/>
            </w:tcBorders>
            <w:shd w:val="clear" w:color="FFFFFF" w:fill="FFFFFF"/>
            <w:tcMar>
              <w:top w:w="15" w:type="dxa"/>
              <w:left w:w="15" w:type="dxa"/>
              <w:bottom w:w="0" w:type="dxa"/>
              <w:right w:w="15" w:type="dxa"/>
            </w:tcMar>
            <w:vAlign w:val="center"/>
          </w:tcPr>
          <w:p>
            <w:pPr>
              <w:rPr>
                <w:color w:val="auto"/>
                <w:sz w:val="20"/>
                <w:szCs w:val="20"/>
                <w:highlight w:val="none"/>
              </w:rPr>
            </w:pPr>
            <w:r>
              <w:rPr>
                <w:rFonts w:hint="eastAsia"/>
                <w:color w:val="auto"/>
                <w:sz w:val="20"/>
                <w:szCs w:val="20"/>
                <w:highlight w:val="none"/>
              </w:rPr>
              <w:t>绿色施工安全防护措施费</w:t>
            </w:r>
          </w:p>
        </w:tc>
        <w:tc>
          <w:tcPr>
            <w:tcW w:w="1440" w:type="dxa"/>
            <w:tcBorders>
              <w:top w:val="nil"/>
              <w:left w:val="nil"/>
              <w:bottom w:val="single" w:color="000000" w:sz="4" w:space="0"/>
              <w:right w:val="single" w:color="000000" w:sz="4" w:space="0"/>
            </w:tcBorders>
            <w:shd w:val="clear" w:color="FFFFFF" w:fill="FFFFFF"/>
            <w:tcMar>
              <w:top w:w="15" w:type="dxa"/>
              <w:left w:w="15" w:type="dxa"/>
              <w:bottom w:w="0" w:type="dxa"/>
              <w:right w:w="15" w:type="dxa"/>
            </w:tcMar>
            <w:vAlign w:val="center"/>
          </w:tcPr>
          <w:p>
            <w:pPr>
              <w:jc w:val="center"/>
              <w:rPr>
                <w:color w:val="auto"/>
                <w:sz w:val="20"/>
                <w:szCs w:val="20"/>
                <w:highlight w:val="none"/>
              </w:rPr>
            </w:pPr>
            <w:r>
              <w:rPr>
                <w:rFonts w:hint="eastAsia"/>
                <w:color w:val="auto"/>
                <w:sz w:val="20"/>
                <w:szCs w:val="20"/>
                <w:highlight w:val="none"/>
              </w:rPr>
              <w:t>分部分项人工费+分部分项机具费</w:t>
            </w:r>
          </w:p>
        </w:tc>
        <w:tc>
          <w:tcPr>
            <w:tcW w:w="820" w:type="dxa"/>
            <w:gridSpan w:val="3"/>
            <w:tcBorders>
              <w:top w:val="single" w:color="000000" w:sz="4" w:space="0"/>
              <w:left w:val="nil"/>
              <w:bottom w:val="single" w:color="000000" w:sz="4" w:space="0"/>
              <w:right w:val="single" w:color="000000" w:sz="4" w:space="0"/>
            </w:tcBorders>
            <w:shd w:val="clear" w:color="FFFFFF" w:fill="FFFFFF"/>
            <w:tcMar>
              <w:top w:w="15" w:type="dxa"/>
              <w:left w:w="15" w:type="dxa"/>
              <w:bottom w:w="0" w:type="dxa"/>
              <w:right w:w="15" w:type="dxa"/>
            </w:tcMar>
            <w:vAlign w:val="center"/>
          </w:tcPr>
          <w:p>
            <w:pPr>
              <w:jc w:val="right"/>
              <w:rPr>
                <w:color w:val="auto"/>
                <w:sz w:val="20"/>
                <w:szCs w:val="20"/>
                <w:highlight w:val="none"/>
              </w:rPr>
            </w:pPr>
          </w:p>
        </w:tc>
        <w:tc>
          <w:tcPr>
            <w:tcW w:w="740" w:type="dxa"/>
            <w:gridSpan w:val="2"/>
            <w:tcBorders>
              <w:top w:val="nil"/>
              <w:left w:val="nil"/>
              <w:bottom w:val="single" w:color="000000" w:sz="4" w:space="0"/>
              <w:right w:val="single" w:color="000000" w:sz="4" w:space="0"/>
            </w:tcBorders>
            <w:shd w:val="clear" w:color="FFFFFF" w:fill="FFFFFF"/>
            <w:tcMar>
              <w:top w:w="15" w:type="dxa"/>
              <w:left w:w="15" w:type="dxa"/>
              <w:bottom w:w="0" w:type="dxa"/>
              <w:right w:w="15" w:type="dxa"/>
            </w:tcMar>
            <w:vAlign w:val="center"/>
          </w:tcPr>
          <w:p>
            <w:pPr>
              <w:jc w:val="right"/>
              <w:rPr>
                <w:color w:val="auto"/>
                <w:sz w:val="20"/>
                <w:szCs w:val="20"/>
                <w:highlight w:val="none"/>
              </w:rPr>
            </w:pPr>
            <w:r>
              <w:rPr>
                <w:color w:val="auto"/>
                <w:sz w:val="20"/>
                <w:szCs w:val="20"/>
                <w:highlight w:val="none"/>
              </w:rPr>
              <w:t>43114.57</w:t>
            </w:r>
          </w:p>
        </w:tc>
        <w:tc>
          <w:tcPr>
            <w:tcW w:w="940" w:type="dxa"/>
            <w:gridSpan w:val="4"/>
            <w:tcBorders>
              <w:top w:val="single" w:color="000000" w:sz="4" w:space="0"/>
              <w:left w:val="nil"/>
              <w:bottom w:val="single" w:color="000000" w:sz="4" w:space="0"/>
              <w:right w:val="single" w:color="000000" w:sz="4" w:space="0"/>
            </w:tcBorders>
            <w:shd w:val="clear" w:color="FFFFFF" w:fill="FFFFFF"/>
            <w:tcMar>
              <w:top w:w="15" w:type="dxa"/>
              <w:left w:w="15" w:type="dxa"/>
              <w:bottom w:w="0" w:type="dxa"/>
              <w:right w:w="15" w:type="dxa"/>
            </w:tcMar>
            <w:vAlign w:val="center"/>
          </w:tcPr>
          <w:p>
            <w:pPr>
              <w:jc w:val="left"/>
              <w:rPr>
                <w:color w:val="auto"/>
                <w:sz w:val="20"/>
                <w:szCs w:val="20"/>
                <w:highlight w:val="none"/>
              </w:rPr>
            </w:pPr>
            <w:r>
              <w:rPr>
                <w:rFonts w:hint="eastAsia"/>
                <w:color w:val="auto"/>
                <w:sz w:val="20"/>
                <w:szCs w:val="20"/>
                <w:highlight w:val="none"/>
              </w:rPr>
              <w:t>　</w:t>
            </w:r>
          </w:p>
        </w:tc>
        <w:tc>
          <w:tcPr>
            <w:tcW w:w="880" w:type="dxa"/>
            <w:gridSpan w:val="3"/>
            <w:tcBorders>
              <w:top w:val="nil"/>
              <w:left w:val="nil"/>
              <w:bottom w:val="single" w:color="000000" w:sz="4" w:space="0"/>
              <w:right w:val="single" w:color="000000" w:sz="4" w:space="0"/>
            </w:tcBorders>
            <w:shd w:val="clear" w:color="FFFFFF" w:fill="FFFFFF"/>
            <w:tcMar>
              <w:top w:w="15" w:type="dxa"/>
              <w:left w:w="15" w:type="dxa"/>
              <w:bottom w:w="0" w:type="dxa"/>
              <w:right w:w="15" w:type="dxa"/>
            </w:tcMar>
            <w:vAlign w:val="center"/>
          </w:tcPr>
          <w:p>
            <w:pPr>
              <w:rPr>
                <w:color w:val="auto"/>
                <w:sz w:val="20"/>
                <w:szCs w:val="20"/>
                <w:highlight w:val="none"/>
              </w:rPr>
            </w:pPr>
            <w:r>
              <w:rPr>
                <w:rFonts w:hint="eastAsia"/>
                <w:color w:val="auto"/>
                <w:sz w:val="20"/>
                <w:szCs w:val="20"/>
                <w:highlight w:val="none"/>
              </w:rPr>
              <w:t>　</w:t>
            </w:r>
          </w:p>
        </w:tc>
        <w:tc>
          <w:tcPr>
            <w:tcW w:w="1120" w:type="dxa"/>
            <w:gridSpan w:val="3"/>
            <w:tcBorders>
              <w:top w:val="nil"/>
              <w:left w:val="nil"/>
              <w:bottom w:val="single" w:color="000000" w:sz="4" w:space="0"/>
              <w:right w:val="single" w:color="000000" w:sz="8" w:space="0"/>
            </w:tcBorders>
            <w:shd w:val="clear" w:color="FFFFFF" w:fill="FFFFFF"/>
            <w:tcMar>
              <w:top w:w="15" w:type="dxa"/>
              <w:left w:w="15" w:type="dxa"/>
              <w:bottom w:w="0" w:type="dxa"/>
              <w:right w:w="15" w:type="dxa"/>
            </w:tcMar>
            <w:vAlign w:val="center"/>
          </w:tcPr>
          <w:p>
            <w:pPr>
              <w:jc w:val="center"/>
              <w:rPr>
                <w:color w:val="auto"/>
                <w:sz w:val="20"/>
                <w:szCs w:val="20"/>
                <w:highlight w:val="none"/>
              </w:rPr>
            </w:pPr>
            <w:r>
              <w:rPr>
                <w:rFonts w:hint="eastAsia"/>
                <w:color w:val="auto"/>
                <w:sz w:val="20"/>
                <w:szCs w:val="20"/>
                <w:highlight w:val="none"/>
              </w:rPr>
              <w:t>以分部分项的人工费与施工机具费之和为计算基础，费率35.77%</w:t>
            </w:r>
          </w:p>
        </w:tc>
      </w:tr>
      <w:tr>
        <w:tblPrEx>
          <w:tblCellMar>
            <w:top w:w="0" w:type="dxa"/>
            <w:left w:w="0" w:type="dxa"/>
            <w:bottom w:w="0" w:type="dxa"/>
            <w:right w:w="0" w:type="dxa"/>
          </w:tblCellMar>
        </w:tblPrEx>
        <w:trPr>
          <w:trHeight w:val="570" w:hRule="atLeast"/>
          <w:jc w:val="center"/>
        </w:trPr>
        <w:tc>
          <w:tcPr>
            <w:tcW w:w="580" w:type="dxa"/>
            <w:gridSpan w:val="3"/>
            <w:tcBorders>
              <w:top w:val="nil"/>
              <w:left w:val="single" w:color="000000" w:sz="8" w:space="0"/>
              <w:bottom w:val="single" w:color="000000" w:sz="4" w:space="0"/>
              <w:right w:val="single" w:color="000000" w:sz="4" w:space="0"/>
            </w:tcBorders>
            <w:shd w:val="clear" w:color="FFFFFF" w:fill="FFFFFF"/>
            <w:tcMar>
              <w:top w:w="15" w:type="dxa"/>
              <w:left w:w="15" w:type="dxa"/>
              <w:bottom w:w="0" w:type="dxa"/>
              <w:right w:w="15" w:type="dxa"/>
            </w:tcMar>
            <w:vAlign w:val="center"/>
          </w:tcPr>
          <w:p>
            <w:pPr>
              <w:jc w:val="center"/>
              <w:rPr>
                <w:color w:val="auto"/>
                <w:sz w:val="20"/>
                <w:szCs w:val="20"/>
                <w:highlight w:val="none"/>
              </w:rPr>
            </w:pPr>
            <w:r>
              <w:rPr>
                <w:rFonts w:hint="eastAsia"/>
                <w:color w:val="auto"/>
                <w:sz w:val="20"/>
                <w:szCs w:val="20"/>
                <w:highlight w:val="none"/>
              </w:rPr>
              <w:t>2</w:t>
            </w:r>
          </w:p>
        </w:tc>
        <w:tc>
          <w:tcPr>
            <w:tcW w:w="640" w:type="dxa"/>
            <w:tcBorders>
              <w:top w:val="nil"/>
              <w:left w:val="nil"/>
              <w:bottom w:val="single" w:color="000000" w:sz="4" w:space="0"/>
              <w:right w:val="single" w:color="000000" w:sz="4" w:space="0"/>
            </w:tcBorders>
            <w:shd w:val="clear" w:color="FFFFFF" w:fill="FFFFFF"/>
            <w:tcMar>
              <w:top w:w="15" w:type="dxa"/>
              <w:left w:w="15" w:type="dxa"/>
              <w:bottom w:w="0" w:type="dxa"/>
              <w:right w:w="15" w:type="dxa"/>
            </w:tcMar>
            <w:vAlign w:val="center"/>
          </w:tcPr>
          <w:p>
            <w:pPr>
              <w:jc w:val="left"/>
              <w:rPr>
                <w:color w:val="auto"/>
                <w:sz w:val="20"/>
                <w:szCs w:val="20"/>
                <w:highlight w:val="none"/>
              </w:rPr>
            </w:pPr>
            <w:r>
              <w:rPr>
                <w:rFonts w:hint="eastAsia"/>
                <w:color w:val="auto"/>
                <w:sz w:val="20"/>
                <w:szCs w:val="20"/>
                <w:highlight w:val="none"/>
              </w:rPr>
              <w:t>　</w:t>
            </w:r>
          </w:p>
        </w:tc>
        <w:tc>
          <w:tcPr>
            <w:tcW w:w="1680" w:type="dxa"/>
            <w:gridSpan w:val="3"/>
            <w:tcBorders>
              <w:top w:val="nil"/>
              <w:left w:val="nil"/>
              <w:bottom w:val="single" w:color="000000" w:sz="4" w:space="0"/>
              <w:right w:val="single" w:color="000000" w:sz="4" w:space="0"/>
            </w:tcBorders>
            <w:shd w:val="clear" w:color="FFFFFF" w:fill="FFFFFF"/>
            <w:tcMar>
              <w:top w:w="15" w:type="dxa"/>
              <w:left w:w="15" w:type="dxa"/>
              <w:bottom w:w="0" w:type="dxa"/>
              <w:right w:w="15" w:type="dxa"/>
            </w:tcMar>
            <w:vAlign w:val="center"/>
          </w:tcPr>
          <w:p>
            <w:pPr>
              <w:rPr>
                <w:color w:val="auto"/>
                <w:sz w:val="20"/>
                <w:szCs w:val="20"/>
                <w:highlight w:val="none"/>
              </w:rPr>
            </w:pPr>
            <w:r>
              <w:rPr>
                <w:rFonts w:hint="eastAsia"/>
                <w:color w:val="auto"/>
                <w:sz w:val="20"/>
                <w:szCs w:val="20"/>
                <w:highlight w:val="none"/>
              </w:rPr>
              <w:t>安装与生产同时进行增加费用</w:t>
            </w:r>
          </w:p>
        </w:tc>
        <w:tc>
          <w:tcPr>
            <w:tcW w:w="1440" w:type="dxa"/>
            <w:tcBorders>
              <w:top w:val="nil"/>
              <w:left w:val="nil"/>
              <w:bottom w:val="single" w:color="000000" w:sz="4" w:space="0"/>
              <w:right w:val="single" w:color="000000" w:sz="4" w:space="0"/>
            </w:tcBorders>
            <w:shd w:val="clear" w:color="FFFFFF" w:fill="FFFFFF"/>
            <w:tcMar>
              <w:top w:w="15" w:type="dxa"/>
              <w:left w:w="15" w:type="dxa"/>
              <w:bottom w:w="0" w:type="dxa"/>
              <w:right w:w="15" w:type="dxa"/>
            </w:tcMar>
            <w:vAlign w:val="center"/>
          </w:tcPr>
          <w:p>
            <w:pPr>
              <w:jc w:val="center"/>
              <w:rPr>
                <w:color w:val="auto"/>
                <w:sz w:val="20"/>
                <w:szCs w:val="20"/>
                <w:highlight w:val="none"/>
              </w:rPr>
            </w:pPr>
            <w:r>
              <w:rPr>
                <w:rFonts w:hint="eastAsia"/>
                <w:color w:val="auto"/>
                <w:sz w:val="20"/>
                <w:szCs w:val="20"/>
                <w:highlight w:val="none"/>
              </w:rPr>
              <w:t>分部分项人工费</w:t>
            </w:r>
          </w:p>
        </w:tc>
        <w:tc>
          <w:tcPr>
            <w:tcW w:w="820" w:type="dxa"/>
            <w:gridSpan w:val="3"/>
            <w:tcBorders>
              <w:top w:val="single" w:color="000000" w:sz="4" w:space="0"/>
              <w:left w:val="nil"/>
              <w:bottom w:val="single" w:color="000000" w:sz="4" w:space="0"/>
              <w:right w:val="single" w:color="000000" w:sz="4" w:space="0"/>
            </w:tcBorders>
            <w:shd w:val="clear" w:color="FFFFFF" w:fill="FFFFFF"/>
            <w:tcMar>
              <w:top w:w="15" w:type="dxa"/>
              <w:left w:w="15" w:type="dxa"/>
              <w:bottom w:w="0" w:type="dxa"/>
              <w:right w:w="15" w:type="dxa"/>
            </w:tcMar>
            <w:vAlign w:val="center"/>
          </w:tcPr>
          <w:p>
            <w:pPr>
              <w:jc w:val="right"/>
              <w:rPr>
                <w:color w:val="auto"/>
                <w:sz w:val="20"/>
                <w:szCs w:val="20"/>
                <w:highlight w:val="none"/>
              </w:rPr>
            </w:pPr>
            <w:r>
              <w:rPr>
                <w:rFonts w:hint="eastAsia"/>
                <w:color w:val="auto"/>
                <w:sz w:val="20"/>
                <w:szCs w:val="20"/>
                <w:highlight w:val="none"/>
              </w:rPr>
              <w:t>0</w:t>
            </w:r>
          </w:p>
        </w:tc>
        <w:tc>
          <w:tcPr>
            <w:tcW w:w="740" w:type="dxa"/>
            <w:gridSpan w:val="2"/>
            <w:tcBorders>
              <w:top w:val="nil"/>
              <w:left w:val="nil"/>
              <w:bottom w:val="single" w:color="000000" w:sz="4" w:space="0"/>
              <w:right w:val="single" w:color="000000" w:sz="4" w:space="0"/>
            </w:tcBorders>
            <w:shd w:val="clear" w:color="FFFFFF" w:fill="FFFFFF"/>
            <w:tcMar>
              <w:top w:w="15" w:type="dxa"/>
              <w:left w:w="15" w:type="dxa"/>
              <w:bottom w:w="0" w:type="dxa"/>
              <w:right w:w="15" w:type="dxa"/>
            </w:tcMar>
            <w:vAlign w:val="center"/>
          </w:tcPr>
          <w:p>
            <w:pPr>
              <w:jc w:val="right"/>
              <w:rPr>
                <w:color w:val="auto"/>
                <w:sz w:val="20"/>
                <w:szCs w:val="20"/>
                <w:highlight w:val="none"/>
              </w:rPr>
            </w:pPr>
            <w:r>
              <w:rPr>
                <w:rFonts w:hint="eastAsia"/>
                <w:color w:val="auto"/>
                <w:sz w:val="20"/>
                <w:szCs w:val="20"/>
                <w:highlight w:val="none"/>
              </w:rPr>
              <w:t>　</w:t>
            </w:r>
          </w:p>
        </w:tc>
        <w:tc>
          <w:tcPr>
            <w:tcW w:w="940" w:type="dxa"/>
            <w:gridSpan w:val="4"/>
            <w:tcBorders>
              <w:top w:val="single" w:color="000000" w:sz="4" w:space="0"/>
              <w:left w:val="nil"/>
              <w:bottom w:val="single" w:color="000000" w:sz="4" w:space="0"/>
              <w:right w:val="single" w:color="000000" w:sz="4" w:space="0"/>
            </w:tcBorders>
            <w:shd w:val="clear" w:color="FFFFFF" w:fill="FFFFFF"/>
            <w:tcMar>
              <w:top w:w="15" w:type="dxa"/>
              <w:left w:w="15" w:type="dxa"/>
              <w:bottom w:w="0" w:type="dxa"/>
              <w:right w:w="15" w:type="dxa"/>
            </w:tcMar>
            <w:vAlign w:val="center"/>
          </w:tcPr>
          <w:p>
            <w:pPr>
              <w:jc w:val="left"/>
              <w:rPr>
                <w:color w:val="auto"/>
                <w:sz w:val="20"/>
                <w:szCs w:val="20"/>
                <w:highlight w:val="none"/>
              </w:rPr>
            </w:pPr>
            <w:r>
              <w:rPr>
                <w:rFonts w:hint="eastAsia"/>
                <w:color w:val="auto"/>
                <w:sz w:val="20"/>
                <w:szCs w:val="20"/>
                <w:highlight w:val="none"/>
              </w:rPr>
              <w:t>　</w:t>
            </w:r>
          </w:p>
        </w:tc>
        <w:tc>
          <w:tcPr>
            <w:tcW w:w="880" w:type="dxa"/>
            <w:gridSpan w:val="3"/>
            <w:tcBorders>
              <w:top w:val="nil"/>
              <w:left w:val="nil"/>
              <w:bottom w:val="single" w:color="000000" w:sz="4" w:space="0"/>
              <w:right w:val="single" w:color="000000" w:sz="4" w:space="0"/>
            </w:tcBorders>
            <w:shd w:val="clear" w:color="FFFFFF" w:fill="FFFFFF"/>
            <w:tcMar>
              <w:top w:w="15" w:type="dxa"/>
              <w:left w:w="15" w:type="dxa"/>
              <w:bottom w:w="0" w:type="dxa"/>
              <w:right w:w="15" w:type="dxa"/>
            </w:tcMar>
            <w:vAlign w:val="center"/>
          </w:tcPr>
          <w:p>
            <w:pPr>
              <w:rPr>
                <w:color w:val="auto"/>
                <w:sz w:val="20"/>
                <w:szCs w:val="20"/>
                <w:highlight w:val="none"/>
              </w:rPr>
            </w:pPr>
            <w:r>
              <w:rPr>
                <w:rFonts w:hint="eastAsia"/>
                <w:color w:val="auto"/>
                <w:sz w:val="20"/>
                <w:szCs w:val="20"/>
                <w:highlight w:val="none"/>
              </w:rPr>
              <w:t>　</w:t>
            </w:r>
          </w:p>
        </w:tc>
        <w:tc>
          <w:tcPr>
            <w:tcW w:w="1120" w:type="dxa"/>
            <w:gridSpan w:val="3"/>
            <w:tcBorders>
              <w:top w:val="nil"/>
              <w:left w:val="nil"/>
              <w:bottom w:val="single" w:color="000000" w:sz="4" w:space="0"/>
              <w:right w:val="single" w:color="000000" w:sz="8" w:space="0"/>
            </w:tcBorders>
            <w:shd w:val="clear" w:color="FFFFFF" w:fill="FFFFFF"/>
            <w:tcMar>
              <w:top w:w="15" w:type="dxa"/>
              <w:left w:w="15" w:type="dxa"/>
              <w:bottom w:w="0" w:type="dxa"/>
              <w:right w:w="15" w:type="dxa"/>
            </w:tcMar>
            <w:vAlign w:val="center"/>
          </w:tcPr>
          <w:p>
            <w:pPr>
              <w:jc w:val="center"/>
              <w:rPr>
                <w:color w:val="auto"/>
                <w:sz w:val="20"/>
                <w:szCs w:val="20"/>
                <w:highlight w:val="none"/>
              </w:rPr>
            </w:pPr>
            <w:r>
              <w:rPr>
                <w:rFonts w:hint="eastAsia"/>
                <w:color w:val="auto"/>
                <w:sz w:val="20"/>
                <w:szCs w:val="20"/>
                <w:highlight w:val="none"/>
              </w:rPr>
              <w:t>按人工费的10%计算</w:t>
            </w:r>
          </w:p>
        </w:tc>
      </w:tr>
      <w:tr>
        <w:tblPrEx>
          <w:tblCellMar>
            <w:top w:w="0" w:type="dxa"/>
            <w:left w:w="0" w:type="dxa"/>
            <w:bottom w:w="0" w:type="dxa"/>
            <w:right w:w="0" w:type="dxa"/>
          </w:tblCellMar>
        </w:tblPrEx>
        <w:trPr>
          <w:trHeight w:val="570" w:hRule="atLeast"/>
          <w:jc w:val="center"/>
        </w:trPr>
        <w:tc>
          <w:tcPr>
            <w:tcW w:w="580" w:type="dxa"/>
            <w:gridSpan w:val="3"/>
            <w:tcBorders>
              <w:top w:val="nil"/>
              <w:left w:val="single" w:color="000000" w:sz="8" w:space="0"/>
              <w:bottom w:val="single" w:color="000000" w:sz="4" w:space="0"/>
              <w:right w:val="single" w:color="000000" w:sz="4" w:space="0"/>
            </w:tcBorders>
            <w:shd w:val="clear" w:color="FFFFFF" w:fill="FFFFFF"/>
            <w:tcMar>
              <w:top w:w="15" w:type="dxa"/>
              <w:left w:w="15" w:type="dxa"/>
              <w:bottom w:w="0" w:type="dxa"/>
              <w:right w:w="15" w:type="dxa"/>
            </w:tcMar>
            <w:vAlign w:val="center"/>
          </w:tcPr>
          <w:p>
            <w:pPr>
              <w:jc w:val="center"/>
              <w:rPr>
                <w:color w:val="auto"/>
                <w:sz w:val="20"/>
                <w:szCs w:val="20"/>
                <w:highlight w:val="none"/>
              </w:rPr>
            </w:pPr>
            <w:r>
              <w:rPr>
                <w:rFonts w:hint="eastAsia"/>
                <w:color w:val="auto"/>
                <w:sz w:val="20"/>
                <w:szCs w:val="20"/>
                <w:highlight w:val="none"/>
              </w:rPr>
              <w:t>3</w:t>
            </w:r>
          </w:p>
        </w:tc>
        <w:tc>
          <w:tcPr>
            <w:tcW w:w="640" w:type="dxa"/>
            <w:tcBorders>
              <w:top w:val="nil"/>
              <w:left w:val="nil"/>
              <w:bottom w:val="single" w:color="000000" w:sz="4" w:space="0"/>
              <w:right w:val="single" w:color="000000" w:sz="4" w:space="0"/>
            </w:tcBorders>
            <w:shd w:val="clear" w:color="FFFFFF" w:fill="FFFFFF"/>
            <w:tcMar>
              <w:top w:w="15" w:type="dxa"/>
              <w:left w:w="15" w:type="dxa"/>
              <w:bottom w:w="0" w:type="dxa"/>
              <w:right w:w="15" w:type="dxa"/>
            </w:tcMar>
            <w:vAlign w:val="center"/>
          </w:tcPr>
          <w:p>
            <w:pPr>
              <w:jc w:val="left"/>
              <w:rPr>
                <w:color w:val="auto"/>
                <w:sz w:val="20"/>
                <w:szCs w:val="20"/>
                <w:highlight w:val="none"/>
              </w:rPr>
            </w:pPr>
            <w:r>
              <w:rPr>
                <w:rFonts w:hint="eastAsia"/>
                <w:color w:val="auto"/>
                <w:sz w:val="20"/>
                <w:szCs w:val="20"/>
                <w:highlight w:val="none"/>
              </w:rPr>
              <w:t>　</w:t>
            </w:r>
          </w:p>
        </w:tc>
        <w:tc>
          <w:tcPr>
            <w:tcW w:w="1680" w:type="dxa"/>
            <w:gridSpan w:val="3"/>
            <w:tcBorders>
              <w:top w:val="nil"/>
              <w:left w:val="nil"/>
              <w:bottom w:val="single" w:color="000000" w:sz="4" w:space="0"/>
              <w:right w:val="single" w:color="000000" w:sz="4" w:space="0"/>
            </w:tcBorders>
            <w:shd w:val="clear" w:color="FFFFFF" w:fill="FFFFFF"/>
            <w:tcMar>
              <w:top w:w="15" w:type="dxa"/>
              <w:left w:w="15" w:type="dxa"/>
              <w:bottom w:w="0" w:type="dxa"/>
              <w:right w:w="15" w:type="dxa"/>
            </w:tcMar>
            <w:vAlign w:val="center"/>
          </w:tcPr>
          <w:p>
            <w:pPr>
              <w:rPr>
                <w:color w:val="auto"/>
                <w:sz w:val="20"/>
                <w:szCs w:val="20"/>
                <w:highlight w:val="none"/>
              </w:rPr>
            </w:pPr>
            <w:r>
              <w:rPr>
                <w:rFonts w:hint="eastAsia"/>
                <w:color w:val="auto"/>
                <w:sz w:val="20"/>
                <w:szCs w:val="20"/>
                <w:highlight w:val="none"/>
              </w:rPr>
              <w:t>在有害身体健康环境中施工增加费</w:t>
            </w:r>
          </w:p>
        </w:tc>
        <w:tc>
          <w:tcPr>
            <w:tcW w:w="1440" w:type="dxa"/>
            <w:tcBorders>
              <w:top w:val="nil"/>
              <w:left w:val="nil"/>
              <w:bottom w:val="single" w:color="000000" w:sz="4" w:space="0"/>
              <w:right w:val="single" w:color="000000" w:sz="4" w:space="0"/>
            </w:tcBorders>
            <w:shd w:val="clear" w:color="FFFFFF" w:fill="FFFFFF"/>
            <w:tcMar>
              <w:top w:w="15" w:type="dxa"/>
              <w:left w:w="15" w:type="dxa"/>
              <w:bottom w:w="0" w:type="dxa"/>
              <w:right w:w="15" w:type="dxa"/>
            </w:tcMar>
            <w:vAlign w:val="center"/>
          </w:tcPr>
          <w:p>
            <w:pPr>
              <w:jc w:val="center"/>
              <w:rPr>
                <w:color w:val="auto"/>
                <w:sz w:val="20"/>
                <w:szCs w:val="20"/>
                <w:highlight w:val="none"/>
              </w:rPr>
            </w:pPr>
            <w:r>
              <w:rPr>
                <w:rFonts w:hint="eastAsia"/>
                <w:color w:val="auto"/>
                <w:sz w:val="20"/>
                <w:szCs w:val="20"/>
                <w:highlight w:val="none"/>
              </w:rPr>
              <w:t>分部分项人工费</w:t>
            </w:r>
          </w:p>
        </w:tc>
        <w:tc>
          <w:tcPr>
            <w:tcW w:w="820" w:type="dxa"/>
            <w:gridSpan w:val="3"/>
            <w:tcBorders>
              <w:top w:val="single" w:color="000000" w:sz="4" w:space="0"/>
              <w:left w:val="nil"/>
              <w:bottom w:val="single" w:color="000000" w:sz="4" w:space="0"/>
              <w:right w:val="single" w:color="000000" w:sz="4" w:space="0"/>
            </w:tcBorders>
            <w:shd w:val="clear" w:color="FFFFFF" w:fill="FFFFFF"/>
            <w:tcMar>
              <w:top w:w="15" w:type="dxa"/>
              <w:left w:w="15" w:type="dxa"/>
              <w:bottom w:w="0" w:type="dxa"/>
              <w:right w:w="15" w:type="dxa"/>
            </w:tcMar>
            <w:vAlign w:val="center"/>
          </w:tcPr>
          <w:p>
            <w:pPr>
              <w:jc w:val="right"/>
              <w:rPr>
                <w:color w:val="auto"/>
                <w:sz w:val="20"/>
                <w:szCs w:val="20"/>
                <w:highlight w:val="none"/>
              </w:rPr>
            </w:pPr>
            <w:r>
              <w:rPr>
                <w:rFonts w:hint="eastAsia"/>
                <w:color w:val="auto"/>
                <w:sz w:val="20"/>
                <w:szCs w:val="20"/>
                <w:highlight w:val="none"/>
              </w:rPr>
              <w:t>0</w:t>
            </w:r>
          </w:p>
        </w:tc>
        <w:tc>
          <w:tcPr>
            <w:tcW w:w="740" w:type="dxa"/>
            <w:gridSpan w:val="2"/>
            <w:tcBorders>
              <w:top w:val="nil"/>
              <w:left w:val="nil"/>
              <w:bottom w:val="single" w:color="000000" w:sz="4" w:space="0"/>
              <w:right w:val="single" w:color="000000" w:sz="4" w:space="0"/>
            </w:tcBorders>
            <w:shd w:val="clear" w:color="FFFFFF" w:fill="FFFFFF"/>
            <w:tcMar>
              <w:top w:w="15" w:type="dxa"/>
              <w:left w:w="15" w:type="dxa"/>
              <w:bottom w:w="0" w:type="dxa"/>
              <w:right w:w="15" w:type="dxa"/>
            </w:tcMar>
            <w:vAlign w:val="center"/>
          </w:tcPr>
          <w:p>
            <w:pPr>
              <w:jc w:val="right"/>
              <w:rPr>
                <w:color w:val="auto"/>
                <w:sz w:val="20"/>
                <w:szCs w:val="20"/>
                <w:highlight w:val="none"/>
              </w:rPr>
            </w:pPr>
            <w:r>
              <w:rPr>
                <w:rFonts w:hint="eastAsia"/>
                <w:color w:val="auto"/>
                <w:sz w:val="20"/>
                <w:szCs w:val="20"/>
                <w:highlight w:val="none"/>
              </w:rPr>
              <w:t>　</w:t>
            </w:r>
          </w:p>
        </w:tc>
        <w:tc>
          <w:tcPr>
            <w:tcW w:w="940" w:type="dxa"/>
            <w:gridSpan w:val="4"/>
            <w:tcBorders>
              <w:top w:val="single" w:color="000000" w:sz="4" w:space="0"/>
              <w:left w:val="nil"/>
              <w:bottom w:val="single" w:color="000000" w:sz="4" w:space="0"/>
              <w:right w:val="single" w:color="000000" w:sz="4" w:space="0"/>
            </w:tcBorders>
            <w:shd w:val="clear" w:color="FFFFFF" w:fill="FFFFFF"/>
            <w:tcMar>
              <w:top w:w="15" w:type="dxa"/>
              <w:left w:w="15" w:type="dxa"/>
              <w:bottom w:w="0" w:type="dxa"/>
              <w:right w:w="15" w:type="dxa"/>
            </w:tcMar>
            <w:vAlign w:val="center"/>
          </w:tcPr>
          <w:p>
            <w:pPr>
              <w:jc w:val="left"/>
              <w:rPr>
                <w:color w:val="auto"/>
                <w:sz w:val="20"/>
                <w:szCs w:val="20"/>
                <w:highlight w:val="none"/>
              </w:rPr>
            </w:pPr>
            <w:r>
              <w:rPr>
                <w:rFonts w:hint="eastAsia"/>
                <w:color w:val="auto"/>
                <w:sz w:val="20"/>
                <w:szCs w:val="20"/>
                <w:highlight w:val="none"/>
              </w:rPr>
              <w:t>　</w:t>
            </w:r>
          </w:p>
        </w:tc>
        <w:tc>
          <w:tcPr>
            <w:tcW w:w="880" w:type="dxa"/>
            <w:gridSpan w:val="3"/>
            <w:tcBorders>
              <w:top w:val="nil"/>
              <w:left w:val="nil"/>
              <w:bottom w:val="single" w:color="000000" w:sz="4" w:space="0"/>
              <w:right w:val="single" w:color="000000" w:sz="4" w:space="0"/>
            </w:tcBorders>
            <w:shd w:val="clear" w:color="FFFFFF" w:fill="FFFFFF"/>
            <w:tcMar>
              <w:top w:w="15" w:type="dxa"/>
              <w:left w:w="15" w:type="dxa"/>
              <w:bottom w:w="0" w:type="dxa"/>
              <w:right w:w="15" w:type="dxa"/>
            </w:tcMar>
            <w:vAlign w:val="center"/>
          </w:tcPr>
          <w:p>
            <w:pPr>
              <w:rPr>
                <w:color w:val="auto"/>
                <w:sz w:val="20"/>
                <w:szCs w:val="20"/>
                <w:highlight w:val="none"/>
              </w:rPr>
            </w:pPr>
            <w:r>
              <w:rPr>
                <w:rFonts w:hint="eastAsia"/>
                <w:color w:val="auto"/>
                <w:sz w:val="20"/>
                <w:szCs w:val="20"/>
                <w:highlight w:val="none"/>
              </w:rPr>
              <w:t>　</w:t>
            </w:r>
          </w:p>
        </w:tc>
        <w:tc>
          <w:tcPr>
            <w:tcW w:w="1120" w:type="dxa"/>
            <w:gridSpan w:val="3"/>
            <w:tcBorders>
              <w:top w:val="nil"/>
              <w:left w:val="nil"/>
              <w:bottom w:val="single" w:color="000000" w:sz="4" w:space="0"/>
              <w:right w:val="single" w:color="000000" w:sz="8" w:space="0"/>
            </w:tcBorders>
            <w:shd w:val="clear" w:color="FFFFFF" w:fill="FFFFFF"/>
            <w:tcMar>
              <w:top w:w="15" w:type="dxa"/>
              <w:left w:w="15" w:type="dxa"/>
              <w:bottom w:w="0" w:type="dxa"/>
              <w:right w:w="15" w:type="dxa"/>
            </w:tcMar>
            <w:vAlign w:val="center"/>
          </w:tcPr>
          <w:p>
            <w:pPr>
              <w:jc w:val="center"/>
              <w:rPr>
                <w:color w:val="auto"/>
                <w:sz w:val="20"/>
                <w:szCs w:val="20"/>
                <w:highlight w:val="none"/>
              </w:rPr>
            </w:pPr>
            <w:r>
              <w:rPr>
                <w:rFonts w:hint="eastAsia"/>
                <w:color w:val="auto"/>
                <w:sz w:val="20"/>
                <w:szCs w:val="20"/>
                <w:highlight w:val="none"/>
              </w:rPr>
              <w:t>按人工费的10%计算</w:t>
            </w:r>
          </w:p>
        </w:tc>
      </w:tr>
      <w:tr>
        <w:tblPrEx>
          <w:tblCellMar>
            <w:top w:w="0" w:type="dxa"/>
            <w:left w:w="0" w:type="dxa"/>
            <w:bottom w:w="0" w:type="dxa"/>
            <w:right w:w="0" w:type="dxa"/>
          </w:tblCellMar>
        </w:tblPrEx>
        <w:trPr>
          <w:trHeight w:val="1080" w:hRule="atLeast"/>
          <w:jc w:val="center"/>
        </w:trPr>
        <w:tc>
          <w:tcPr>
            <w:tcW w:w="580" w:type="dxa"/>
            <w:gridSpan w:val="3"/>
            <w:tcBorders>
              <w:top w:val="nil"/>
              <w:left w:val="single" w:color="000000" w:sz="8" w:space="0"/>
              <w:bottom w:val="single" w:color="000000" w:sz="4" w:space="0"/>
              <w:right w:val="single" w:color="000000" w:sz="4" w:space="0"/>
            </w:tcBorders>
            <w:shd w:val="clear" w:color="FFFFFF" w:fill="FFFFFF"/>
            <w:tcMar>
              <w:top w:w="15" w:type="dxa"/>
              <w:left w:w="15" w:type="dxa"/>
              <w:bottom w:w="0" w:type="dxa"/>
              <w:right w:w="15" w:type="dxa"/>
            </w:tcMar>
            <w:vAlign w:val="center"/>
          </w:tcPr>
          <w:p>
            <w:pPr>
              <w:jc w:val="center"/>
              <w:rPr>
                <w:color w:val="auto"/>
                <w:sz w:val="20"/>
                <w:szCs w:val="20"/>
                <w:highlight w:val="none"/>
              </w:rPr>
            </w:pPr>
            <w:r>
              <w:rPr>
                <w:rFonts w:hint="eastAsia"/>
                <w:color w:val="auto"/>
                <w:sz w:val="20"/>
                <w:szCs w:val="20"/>
                <w:highlight w:val="none"/>
              </w:rPr>
              <w:t>4</w:t>
            </w:r>
          </w:p>
        </w:tc>
        <w:tc>
          <w:tcPr>
            <w:tcW w:w="640" w:type="dxa"/>
            <w:tcBorders>
              <w:top w:val="nil"/>
              <w:left w:val="nil"/>
              <w:bottom w:val="single" w:color="000000" w:sz="4" w:space="0"/>
              <w:right w:val="single" w:color="000000" w:sz="4" w:space="0"/>
            </w:tcBorders>
            <w:shd w:val="clear" w:color="FFFFFF" w:fill="FFFFFF"/>
            <w:tcMar>
              <w:top w:w="15" w:type="dxa"/>
              <w:left w:w="15" w:type="dxa"/>
              <w:bottom w:w="0" w:type="dxa"/>
              <w:right w:w="15" w:type="dxa"/>
            </w:tcMar>
            <w:vAlign w:val="center"/>
          </w:tcPr>
          <w:p>
            <w:pPr>
              <w:jc w:val="left"/>
              <w:rPr>
                <w:color w:val="auto"/>
                <w:sz w:val="20"/>
                <w:szCs w:val="20"/>
                <w:highlight w:val="none"/>
              </w:rPr>
            </w:pPr>
            <w:r>
              <w:rPr>
                <w:rFonts w:hint="eastAsia"/>
                <w:color w:val="auto"/>
                <w:sz w:val="20"/>
                <w:szCs w:val="20"/>
                <w:highlight w:val="none"/>
              </w:rPr>
              <w:t>　</w:t>
            </w:r>
          </w:p>
        </w:tc>
        <w:tc>
          <w:tcPr>
            <w:tcW w:w="1680" w:type="dxa"/>
            <w:gridSpan w:val="3"/>
            <w:tcBorders>
              <w:top w:val="nil"/>
              <w:left w:val="nil"/>
              <w:bottom w:val="single" w:color="000000" w:sz="4" w:space="0"/>
              <w:right w:val="single" w:color="000000" w:sz="4" w:space="0"/>
            </w:tcBorders>
            <w:shd w:val="clear" w:color="FFFFFF" w:fill="FFFFFF"/>
            <w:tcMar>
              <w:top w:w="15" w:type="dxa"/>
              <w:left w:w="15" w:type="dxa"/>
              <w:bottom w:w="0" w:type="dxa"/>
              <w:right w:w="15" w:type="dxa"/>
            </w:tcMar>
            <w:vAlign w:val="center"/>
          </w:tcPr>
          <w:p>
            <w:pPr>
              <w:rPr>
                <w:color w:val="auto"/>
                <w:sz w:val="20"/>
                <w:szCs w:val="20"/>
                <w:highlight w:val="none"/>
              </w:rPr>
            </w:pPr>
            <w:r>
              <w:rPr>
                <w:rFonts w:hint="eastAsia"/>
                <w:color w:val="auto"/>
                <w:sz w:val="20"/>
                <w:szCs w:val="20"/>
                <w:highlight w:val="none"/>
              </w:rPr>
              <w:t>在地下（暗）室、设备及大口径管道内等特殊施工部位进行施工增加费</w:t>
            </w:r>
          </w:p>
        </w:tc>
        <w:tc>
          <w:tcPr>
            <w:tcW w:w="1440" w:type="dxa"/>
            <w:tcBorders>
              <w:top w:val="nil"/>
              <w:left w:val="nil"/>
              <w:bottom w:val="single" w:color="000000" w:sz="4" w:space="0"/>
              <w:right w:val="single" w:color="000000" w:sz="4" w:space="0"/>
            </w:tcBorders>
            <w:shd w:val="clear" w:color="FFFFFF" w:fill="FFFFFF"/>
            <w:tcMar>
              <w:top w:w="15" w:type="dxa"/>
              <w:left w:w="15" w:type="dxa"/>
              <w:bottom w:w="0" w:type="dxa"/>
              <w:right w:w="15" w:type="dxa"/>
            </w:tcMar>
            <w:vAlign w:val="center"/>
          </w:tcPr>
          <w:p>
            <w:pPr>
              <w:jc w:val="center"/>
              <w:rPr>
                <w:color w:val="auto"/>
                <w:sz w:val="20"/>
                <w:szCs w:val="20"/>
                <w:highlight w:val="none"/>
              </w:rPr>
            </w:pPr>
            <w:r>
              <w:rPr>
                <w:rFonts w:hint="eastAsia"/>
                <w:color w:val="auto"/>
                <w:sz w:val="20"/>
                <w:szCs w:val="20"/>
                <w:highlight w:val="none"/>
              </w:rPr>
              <w:t>　</w:t>
            </w:r>
          </w:p>
        </w:tc>
        <w:tc>
          <w:tcPr>
            <w:tcW w:w="820" w:type="dxa"/>
            <w:gridSpan w:val="3"/>
            <w:tcBorders>
              <w:top w:val="single" w:color="000000" w:sz="4" w:space="0"/>
              <w:left w:val="nil"/>
              <w:bottom w:val="single" w:color="000000" w:sz="4" w:space="0"/>
              <w:right w:val="single" w:color="000000" w:sz="4" w:space="0"/>
            </w:tcBorders>
            <w:shd w:val="clear" w:color="FFFFFF" w:fill="FFFFFF"/>
            <w:tcMar>
              <w:top w:w="15" w:type="dxa"/>
              <w:left w:w="15" w:type="dxa"/>
              <w:bottom w:w="0" w:type="dxa"/>
              <w:right w:w="15" w:type="dxa"/>
            </w:tcMar>
            <w:vAlign w:val="center"/>
          </w:tcPr>
          <w:p>
            <w:pPr>
              <w:jc w:val="right"/>
              <w:rPr>
                <w:color w:val="auto"/>
                <w:sz w:val="20"/>
                <w:szCs w:val="20"/>
                <w:highlight w:val="none"/>
              </w:rPr>
            </w:pPr>
            <w:r>
              <w:rPr>
                <w:rFonts w:hint="eastAsia"/>
                <w:color w:val="auto"/>
                <w:sz w:val="20"/>
                <w:szCs w:val="20"/>
                <w:highlight w:val="none"/>
              </w:rPr>
              <w:t>30</w:t>
            </w:r>
          </w:p>
        </w:tc>
        <w:tc>
          <w:tcPr>
            <w:tcW w:w="740" w:type="dxa"/>
            <w:gridSpan w:val="2"/>
            <w:tcBorders>
              <w:top w:val="nil"/>
              <w:left w:val="nil"/>
              <w:bottom w:val="single" w:color="000000" w:sz="4" w:space="0"/>
              <w:right w:val="single" w:color="000000" w:sz="4" w:space="0"/>
            </w:tcBorders>
            <w:shd w:val="clear" w:color="FFFFFF" w:fill="FFFFFF"/>
            <w:tcMar>
              <w:top w:w="15" w:type="dxa"/>
              <w:left w:w="15" w:type="dxa"/>
              <w:bottom w:w="0" w:type="dxa"/>
              <w:right w:w="15" w:type="dxa"/>
            </w:tcMar>
            <w:vAlign w:val="center"/>
          </w:tcPr>
          <w:p>
            <w:pPr>
              <w:jc w:val="right"/>
              <w:rPr>
                <w:color w:val="auto"/>
                <w:sz w:val="20"/>
                <w:szCs w:val="20"/>
                <w:highlight w:val="none"/>
              </w:rPr>
            </w:pPr>
            <w:r>
              <w:rPr>
                <w:rFonts w:hint="eastAsia"/>
                <w:color w:val="auto"/>
                <w:sz w:val="20"/>
                <w:szCs w:val="20"/>
                <w:highlight w:val="none"/>
              </w:rPr>
              <w:t>　</w:t>
            </w:r>
          </w:p>
        </w:tc>
        <w:tc>
          <w:tcPr>
            <w:tcW w:w="940" w:type="dxa"/>
            <w:gridSpan w:val="4"/>
            <w:tcBorders>
              <w:top w:val="single" w:color="000000" w:sz="4" w:space="0"/>
              <w:left w:val="nil"/>
              <w:bottom w:val="single" w:color="000000" w:sz="4" w:space="0"/>
              <w:right w:val="single" w:color="000000" w:sz="4" w:space="0"/>
            </w:tcBorders>
            <w:shd w:val="clear" w:color="FFFFFF" w:fill="FFFFFF"/>
            <w:tcMar>
              <w:top w:w="15" w:type="dxa"/>
              <w:left w:w="15" w:type="dxa"/>
              <w:bottom w:w="0" w:type="dxa"/>
              <w:right w:w="15" w:type="dxa"/>
            </w:tcMar>
            <w:vAlign w:val="center"/>
          </w:tcPr>
          <w:p>
            <w:pPr>
              <w:jc w:val="left"/>
              <w:rPr>
                <w:color w:val="auto"/>
                <w:sz w:val="20"/>
                <w:szCs w:val="20"/>
                <w:highlight w:val="none"/>
              </w:rPr>
            </w:pPr>
            <w:r>
              <w:rPr>
                <w:rFonts w:hint="eastAsia"/>
                <w:color w:val="auto"/>
                <w:sz w:val="20"/>
                <w:szCs w:val="20"/>
                <w:highlight w:val="none"/>
              </w:rPr>
              <w:t>　</w:t>
            </w:r>
          </w:p>
        </w:tc>
        <w:tc>
          <w:tcPr>
            <w:tcW w:w="880" w:type="dxa"/>
            <w:gridSpan w:val="3"/>
            <w:tcBorders>
              <w:top w:val="nil"/>
              <w:left w:val="nil"/>
              <w:bottom w:val="single" w:color="000000" w:sz="4" w:space="0"/>
              <w:right w:val="single" w:color="000000" w:sz="4" w:space="0"/>
            </w:tcBorders>
            <w:shd w:val="clear" w:color="FFFFFF" w:fill="FFFFFF"/>
            <w:tcMar>
              <w:top w:w="15" w:type="dxa"/>
              <w:left w:w="15" w:type="dxa"/>
              <w:bottom w:w="0" w:type="dxa"/>
              <w:right w:w="15" w:type="dxa"/>
            </w:tcMar>
            <w:vAlign w:val="center"/>
          </w:tcPr>
          <w:p>
            <w:pPr>
              <w:rPr>
                <w:color w:val="auto"/>
                <w:sz w:val="20"/>
                <w:szCs w:val="20"/>
                <w:highlight w:val="none"/>
              </w:rPr>
            </w:pPr>
            <w:r>
              <w:rPr>
                <w:rFonts w:hint="eastAsia"/>
                <w:color w:val="auto"/>
                <w:sz w:val="20"/>
                <w:szCs w:val="20"/>
                <w:highlight w:val="none"/>
              </w:rPr>
              <w:t>　</w:t>
            </w:r>
          </w:p>
        </w:tc>
        <w:tc>
          <w:tcPr>
            <w:tcW w:w="1120" w:type="dxa"/>
            <w:gridSpan w:val="3"/>
            <w:tcBorders>
              <w:top w:val="nil"/>
              <w:left w:val="nil"/>
              <w:bottom w:val="single" w:color="000000" w:sz="4" w:space="0"/>
              <w:right w:val="single" w:color="000000" w:sz="8" w:space="0"/>
            </w:tcBorders>
            <w:shd w:val="clear" w:color="FFFFFF" w:fill="FFFFFF"/>
            <w:tcMar>
              <w:top w:w="15" w:type="dxa"/>
              <w:left w:w="15" w:type="dxa"/>
              <w:bottom w:w="0" w:type="dxa"/>
              <w:right w:w="15" w:type="dxa"/>
            </w:tcMar>
            <w:vAlign w:val="center"/>
          </w:tcPr>
          <w:p>
            <w:pPr>
              <w:jc w:val="center"/>
              <w:rPr>
                <w:color w:val="auto"/>
                <w:sz w:val="20"/>
                <w:szCs w:val="20"/>
                <w:highlight w:val="none"/>
              </w:rPr>
            </w:pPr>
            <w:r>
              <w:rPr>
                <w:rFonts w:hint="eastAsia"/>
                <w:color w:val="auto"/>
                <w:sz w:val="20"/>
                <w:szCs w:val="20"/>
                <w:highlight w:val="none"/>
              </w:rPr>
              <w:t>按该部分人工费的30%计算</w:t>
            </w:r>
          </w:p>
        </w:tc>
      </w:tr>
      <w:tr>
        <w:tblPrEx>
          <w:tblCellMar>
            <w:top w:w="0" w:type="dxa"/>
            <w:left w:w="0" w:type="dxa"/>
            <w:bottom w:w="0" w:type="dxa"/>
            <w:right w:w="0" w:type="dxa"/>
          </w:tblCellMar>
        </w:tblPrEx>
        <w:trPr>
          <w:trHeight w:val="2865" w:hRule="atLeast"/>
          <w:jc w:val="center"/>
        </w:trPr>
        <w:tc>
          <w:tcPr>
            <w:tcW w:w="580" w:type="dxa"/>
            <w:gridSpan w:val="3"/>
            <w:tcBorders>
              <w:top w:val="nil"/>
              <w:left w:val="single" w:color="000000" w:sz="8" w:space="0"/>
              <w:bottom w:val="single" w:color="000000" w:sz="4" w:space="0"/>
              <w:right w:val="single" w:color="000000" w:sz="4" w:space="0"/>
            </w:tcBorders>
            <w:shd w:val="clear" w:color="FFFFFF" w:fill="FFFFFF"/>
            <w:tcMar>
              <w:top w:w="15" w:type="dxa"/>
              <w:left w:w="15" w:type="dxa"/>
              <w:bottom w:w="0" w:type="dxa"/>
              <w:right w:w="15" w:type="dxa"/>
            </w:tcMar>
            <w:vAlign w:val="center"/>
          </w:tcPr>
          <w:p>
            <w:pPr>
              <w:jc w:val="center"/>
              <w:rPr>
                <w:color w:val="auto"/>
                <w:sz w:val="20"/>
                <w:szCs w:val="20"/>
                <w:highlight w:val="none"/>
              </w:rPr>
            </w:pPr>
            <w:r>
              <w:rPr>
                <w:rFonts w:hint="eastAsia"/>
                <w:color w:val="auto"/>
                <w:sz w:val="20"/>
                <w:szCs w:val="20"/>
                <w:highlight w:val="none"/>
              </w:rPr>
              <w:t>5</w:t>
            </w:r>
          </w:p>
        </w:tc>
        <w:tc>
          <w:tcPr>
            <w:tcW w:w="640" w:type="dxa"/>
            <w:tcBorders>
              <w:top w:val="nil"/>
              <w:left w:val="nil"/>
              <w:bottom w:val="single" w:color="000000" w:sz="4" w:space="0"/>
              <w:right w:val="single" w:color="000000" w:sz="4" w:space="0"/>
            </w:tcBorders>
            <w:shd w:val="clear" w:color="FFFFFF" w:fill="FFFFFF"/>
            <w:tcMar>
              <w:top w:w="15" w:type="dxa"/>
              <w:left w:w="15" w:type="dxa"/>
              <w:bottom w:w="0" w:type="dxa"/>
              <w:right w:w="15" w:type="dxa"/>
            </w:tcMar>
            <w:vAlign w:val="center"/>
          </w:tcPr>
          <w:p>
            <w:pPr>
              <w:jc w:val="left"/>
              <w:rPr>
                <w:color w:val="auto"/>
                <w:sz w:val="20"/>
                <w:szCs w:val="20"/>
                <w:highlight w:val="none"/>
              </w:rPr>
            </w:pPr>
            <w:r>
              <w:rPr>
                <w:rFonts w:hint="eastAsia"/>
                <w:color w:val="auto"/>
                <w:sz w:val="20"/>
                <w:szCs w:val="20"/>
                <w:highlight w:val="none"/>
              </w:rPr>
              <w:t>　</w:t>
            </w:r>
          </w:p>
        </w:tc>
        <w:tc>
          <w:tcPr>
            <w:tcW w:w="1680" w:type="dxa"/>
            <w:gridSpan w:val="3"/>
            <w:tcBorders>
              <w:top w:val="nil"/>
              <w:left w:val="nil"/>
              <w:bottom w:val="single" w:color="000000" w:sz="4" w:space="0"/>
              <w:right w:val="single" w:color="000000" w:sz="4" w:space="0"/>
            </w:tcBorders>
            <w:shd w:val="clear" w:color="FFFFFF" w:fill="FFFFFF"/>
            <w:tcMar>
              <w:top w:w="15" w:type="dxa"/>
              <w:left w:w="15" w:type="dxa"/>
              <w:bottom w:w="0" w:type="dxa"/>
              <w:right w:w="15" w:type="dxa"/>
            </w:tcMar>
            <w:vAlign w:val="center"/>
          </w:tcPr>
          <w:p>
            <w:pPr>
              <w:rPr>
                <w:color w:val="auto"/>
                <w:sz w:val="20"/>
                <w:szCs w:val="20"/>
                <w:highlight w:val="none"/>
              </w:rPr>
            </w:pPr>
            <w:r>
              <w:rPr>
                <w:rFonts w:hint="eastAsia"/>
                <w:color w:val="auto"/>
                <w:sz w:val="20"/>
                <w:szCs w:val="20"/>
                <w:highlight w:val="none"/>
              </w:rPr>
              <w:t>赶工措施费</w:t>
            </w:r>
          </w:p>
        </w:tc>
        <w:tc>
          <w:tcPr>
            <w:tcW w:w="1440" w:type="dxa"/>
            <w:tcBorders>
              <w:top w:val="nil"/>
              <w:left w:val="nil"/>
              <w:bottom w:val="single" w:color="000000" w:sz="4" w:space="0"/>
              <w:right w:val="single" w:color="000000" w:sz="4" w:space="0"/>
            </w:tcBorders>
            <w:shd w:val="clear" w:color="FFFFFF" w:fill="FFFFFF"/>
            <w:tcMar>
              <w:top w:w="15" w:type="dxa"/>
              <w:left w:w="15" w:type="dxa"/>
              <w:bottom w:w="0" w:type="dxa"/>
              <w:right w:w="15" w:type="dxa"/>
            </w:tcMar>
            <w:vAlign w:val="center"/>
          </w:tcPr>
          <w:p>
            <w:pPr>
              <w:jc w:val="center"/>
              <w:rPr>
                <w:color w:val="auto"/>
                <w:sz w:val="20"/>
                <w:szCs w:val="20"/>
                <w:highlight w:val="none"/>
              </w:rPr>
            </w:pPr>
            <w:r>
              <w:rPr>
                <w:rFonts w:hint="eastAsia"/>
                <w:color w:val="auto"/>
                <w:sz w:val="20"/>
                <w:szCs w:val="20"/>
                <w:highlight w:val="none"/>
              </w:rPr>
              <w:t>分部分项人工费+分部分项机具费</w:t>
            </w:r>
          </w:p>
        </w:tc>
        <w:tc>
          <w:tcPr>
            <w:tcW w:w="820" w:type="dxa"/>
            <w:gridSpan w:val="3"/>
            <w:tcBorders>
              <w:top w:val="single" w:color="000000" w:sz="4" w:space="0"/>
              <w:left w:val="nil"/>
              <w:bottom w:val="single" w:color="000000" w:sz="4" w:space="0"/>
              <w:right w:val="single" w:color="000000" w:sz="4" w:space="0"/>
            </w:tcBorders>
            <w:shd w:val="clear" w:color="FFFFFF" w:fill="FFFFFF"/>
            <w:tcMar>
              <w:top w:w="15" w:type="dxa"/>
              <w:left w:w="15" w:type="dxa"/>
              <w:bottom w:w="0" w:type="dxa"/>
              <w:right w:w="15" w:type="dxa"/>
            </w:tcMar>
            <w:vAlign w:val="center"/>
          </w:tcPr>
          <w:p>
            <w:pPr>
              <w:jc w:val="right"/>
              <w:rPr>
                <w:color w:val="auto"/>
                <w:sz w:val="20"/>
                <w:szCs w:val="20"/>
                <w:highlight w:val="none"/>
              </w:rPr>
            </w:pPr>
            <w:r>
              <w:rPr>
                <w:rFonts w:hint="eastAsia"/>
                <w:color w:val="auto"/>
                <w:sz w:val="20"/>
                <w:szCs w:val="20"/>
                <w:highlight w:val="none"/>
              </w:rPr>
              <w:t>0</w:t>
            </w:r>
          </w:p>
        </w:tc>
        <w:tc>
          <w:tcPr>
            <w:tcW w:w="740" w:type="dxa"/>
            <w:gridSpan w:val="2"/>
            <w:tcBorders>
              <w:top w:val="nil"/>
              <w:left w:val="nil"/>
              <w:bottom w:val="single" w:color="000000" w:sz="4" w:space="0"/>
              <w:right w:val="single" w:color="000000" w:sz="4" w:space="0"/>
            </w:tcBorders>
            <w:shd w:val="clear" w:color="FFFFFF" w:fill="FFFFFF"/>
            <w:tcMar>
              <w:top w:w="15" w:type="dxa"/>
              <w:left w:w="15" w:type="dxa"/>
              <w:bottom w:w="0" w:type="dxa"/>
              <w:right w:w="15" w:type="dxa"/>
            </w:tcMar>
            <w:vAlign w:val="center"/>
          </w:tcPr>
          <w:p>
            <w:pPr>
              <w:jc w:val="right"/>
              <w:rPr>
                <w:color w:val="auto"/>
                <w:sz w:val="20"/>
                <w:szCs w:val="20"/>
                <w:highlight w:val="none"/>
              </w:rPr>
            </w:pPr>
            <w:r>
              <w:rPr>
                <w:rFonts w:hint="eastAsia"/>
                <w:color w:val="auto"/>
                <w:sz w:val="20"/>
                <w:szCs w:val="20"/>
                <w:highlight w:val="none"/>
              </w:rPr>
              <w:t>　</w:t>
            </w:r>
          </w:p>
        </w:tc>
        <w:tc>
          <w:tcPr>
            <w:tcW w:w="940" w:type="dxa"/>
            <w:gridSpan w:val="4"/>
            <w:tcBorders>
              <w:top w:val="single" w:color="000000" w:sz="4" w:space="0"/>
              <w:left w:val="nil"/>
              <w:bottom w:val="single" w:color="000000" w:sz="4" w:space="0"/>
              <w:right w:val="single" w:color="000000" w:sz="4" w:space="0"/>
            </w:tcBorders>
            <w:shd w:val="clear" w:color="FFFFFF" w:fill="FFFFFF"/>
            <w:tcMar>
              <w:top w:w="15" w:type="dxa"/>
              <w:left w:w="15" w:type="dxa"/>
              <w:bottom w:w="0" w:type="dxa"/>
              <w:right w:w="15" w:type="dxa"/>
            </w:tcMar>
            <w:vAlign w:val="center"/>
          </w:tcPr>
          <w:p>
            <w:pPr>
              <w:jc w:val="left"/>
              <w:rPr>
                <w:color w:val="auto"/>
                <w:sz w:val="20"/>
                <w:szCs w:val="20"/>
                <w:highlight w:val="none"/>
              </w:rPr>
            </w:pPr>
            <w:r>
              <w:rPr>
                <w:rFonts w:hint="eastAsia"/>
                <w:color w:val="auto"/>
                <w:sz w:val="20"/>
                <w:szCs w:val="20"/>
                <w:highlight w:val="none"/>
              </w:rPr>
              <w:t>　</w:t>
            </w:r>
          </w:p>
        </w:tc>
        <w:tc>
          <w:tcPr>
            <w:tcW w:w="880" w:type="dxa"/>
            <w:gridSpan w:val="3"/>
            <w:tcBorders>
              <w:top w:val="nil"/>
              <w:left w:val="nil"/>
              <w:bottom w:val="single" w:color="000000" w:sz="4" w:space="0"/>
              <w:right w:val="single" w:color="000000" w:sz="4" w:space="0"/>
            </w:tcBorders>
            <w:shd w:val="clear" w:color="FFFFFF" w:fill="FFFFFF"/>
            <w:tcMar>
              <w:top w:w="15" w:type="dxa"/>
              <w:left w:w="15" w:type="dxa"/>
              <w:bottom w:w="0" w:type="dxa"/>
              <w:right w:w="15" w:type="dxa"/>
            </w:tcMar>
            <w:vAlign w:val="center"/>
          </w:tcPr>
          <w:p>
            <w:pPr>
              <w:rPr>
                <w:color w:val="auto"/>
                <w:sz w:val="20"/>
                <w:szCs w:val="20"/>
                <w:highlight w:val="none"/>
              </w:rPr>
            </w:pPr>
            <w:r>
              <w:rPr>
                <w:rFonts w:hint="eastAsia"/>
                <w:color w:val="auto"/>
                <w:sz w:val="20"/>
                <w:szCs w:val="20"/>
                <w:highlight w:val="none"/>
              </w:rPr>
              <w:t>　</w:t>
            </w:r>
          </w:p>
        </w:tc>
        <w:tc>
          <w:tcPr>
            <w:tcW w:w="1120" w:type="dxa"/>
            <w:gridSpan w:val="3"/>
            <w:tcBorders>
              <w:top w:val="nil"/>
              <w:left w:val="nil"/>
              <w:bottom w:val="single" w:color="000000" w:sz="4" w:space="0"/>
              <w:right w:val="single" w:color="000000" w:sz="8" w:space="0"/>
            </w:tcBorders>
            <w:shd w:val="clear" w:color="FFFFFF" w:fill="FFFFFF"/>
            <w:tcMar>
              <w:top w:w="15" w:type="dxa"/>
              <w:left w:w="15" w:type="dxa"/>
              <w:bottom w:w="0" w:type="dxa"/>
              <w:right w:w="15" w:type="dxa"/>
            </w:tcMar>
            <w:vAlign w:val="center"/>
          </w:tcPr>
          <w:p>
            <w:pPr>
              <w:jc w:val="center"/>
              <w:rPr>
                <w:color w:val="auto"/>
                <w:sz w:val="20"/>
                <w:szCs w:val="20"/>
                <w:highlight w:val="none"/>
              </w:rPr>
            </w:pPr>
            <w:r>
              <w:rPr>
                <w:rFonts w:hint="eastAsia"/>
                <w:color w:val="auto"/>
                <w:sz w:val="20"/>
                <w:szCs w:val="20"/>
                <w:highlight w:val="none"/>
              </w:rPr>
              <w:t>赶工措施费=（1-δ）*分部分项（人工费+施工机具费）*0.344 （0.8≤δ＜1   式中：δ=合同工期/定额工期）</w:t>
            </w:r>
          </w:p>
        </w:tc>
      </w:tr>
      <w:tr>
        <w:tblPrEx>
          <w:tblCellMar>
            <w:top w:w="0" w:type="dxa"/>
            <w:left w:w="0" w:type="dxa"/>
            <w:bottom w:w="0" w:type="dxa"/>
            <w:right w:w="0" w:type="dxa"/>
          </w:tblCellMar>
        </w:tblPrEx>
        <w:trPr>
          <w:trHeight w:val="1080" w:hRule="atLeast"/>
          <w:jc w:val="center"/>
        </w:trPr>
        <w:tc>
          <w:tcPr>
            <w:tcW w:w="580" w:type="dxa"/>
            <w:gridSpan w:val="3"/>
            <w:tcBorders>
              <w:top w:val="nil"/>
              <w:left w:val="single" w:color="000000" w:sz="8" w:space="0"/>
              <w:bottom w:val="single" w:color="000000" w:sz="4" w:space="0"/>
              <w:right w:val="single" w:color="000000" w:sz="4" w:space="0"/>
            </w:tcBorders>
            <w:shd w:val="clear" w:color="FFFFFF" w:fill="FFFFFF"/>
            <w:tcMar>
              <w:top w:w="15" w:type="dxa"/>
              <w:left w:w="15" w:type="dxa"/>
              <w:bottom w:w="0" w:type="dxa"/>
              <w:right w:w="15" w:type="dxa"/>
            </w:tcMar>
            <w:vAlign w:val="center"/>
          </w:tcPr>
          <w:p>
            <w:pPr>
              <w:jc w:val="center"/>
              <w:rPr>
                <w:color w:val="auto"/>
                <w:sz w:val="20"/>
                <w:szCs w:val="20"/>
                <w:highlight w:val="none"/>
              </w:rPr>
            </w:pPr>
            <w:r>
              <w:rPr>
                <w:rFonts w:hint="eastAsia"/>
                <w:color w:val="auto"/>
                <w:sz w:val="20"/>
                <w:szCs w:val="20"/>
                <w:highlight w:val="none"/>
              </w:rPr>
              <w:t>6</w:t>
            </w:r>
          </w:p>
        </w:tc>
        <w:tc>
          <w:tcPr>
            <w:tcW w:w="640" w:type="dxa"/>
            <w:tcBorders>
              <w:top w:val="nil"/>
              <w:left w:val="nil"/>
              <w:bottom w:val="single" w:color="000000" w:sz="4" w:space="0"/>
              <w:right w:val="single" w:color="000000" w:sz="4" w:space="0"/>
            </w:tcBorders>
            <w:shd w:val="clear" w:color="FFFFFF" w:fill="FFFFFF"/>
            <w:tcMar>
              <w:top w:w="15" w:type="dxa"/>
              <w:left w:w="15" w:type="dxa"/>
              <w:bottom w:w="0" w:type="dxa"/>
              <w:right w:w="15" w:type="dxa"/>
            </w:tcMar>
            <w:vAlign w:val="center"/>
          </w:tcPr>
          <w:p>
            <w:pPr>
              <w:jc w:val="left"/>
              <w:rPr>
                <w:color w:val="auto"/>
                <w:sz w:val="20"/>
                <w:szCs w:val="20"/>
                <w:highlight w:val="none"/>
              </w:rPr>
            </w:pPr>
            <w:r>
              <w:rPr>
                <w:rFonts w:hint="eastAsia"/>
                <w:color w:val="auto"/>
                <w:sz w:val="20"/>
                <w:szCs w:val="20"/>
                <w:highlight w:val="none"/>
              </w:rPr>
              <w:t>　</w:t>
            </w:r>
          </w:p>
        </w:tc>
        <w:tc>
          <w:tcPr>
            <w:tcW w:w="1680" w:type="dxa"/>
            <w:gridSpan w:val="3"/>
            <w:tcBorders>
              <w:top w:val="nil"/>
              <w:left w:val="nil"/>
              <w:bottom w:val="single" w:color="000000" w:sz="4" w:space="0"/>
              <w:right w:val="single" w:color="000000" w:sz="4" w:space="0"/>
            </w:tcBorders>
            <w:shd w:val="clear" w:color="FFFFFF" w:fill="FFFFFF"/>
            <w:tcMar>
              <w:top w:w="15" w:type="dxa"/>
              <w:left w:w="15" w:type="dxa"/>
              <w:bottom w:w="0" w:type="dxa"/>
              <w:right w:w="15" w:type="dxa"/>
            </w:tcMar>
            <w:vAlign w:val="center"/>
          </w:tcPr>
          <w:p>
            <w:pPr>
              <w:rPr>
                <w:color w:val="auto"/>
                <w:sz w:val="20"/>
                <w:szCs w:val="20"/>
                <w:highlight w:val="none"/>
              </w:rPr>
            </w:pPr>
            <w:r>
              <w:rPr>
                <w:rFonts w:hint="eastAsia"/>
                <w:color w:val="auto"/>
                <w:sz w:val="20"/>
                <w:szCs w:val="20"/>
                <w:highlight w:val="none"/>
              </w:rPr>
              <w:t>夜间施工增加费</w:t>
            </w:r>
          </w:p>
        </w:tc>
        <w:tc>
          <w:tcPr>
            <w:tcW w:w="1440" w:type="dxa"/>
            <w:tcBorders>
              <w:top w:val="nil"/>
              <w:left w:val="nil"/>
              <w:bottom w:val="single" w:color="000000" w:sz="4" w:space="0"/>
              <w:right w:val="single" w:color="000000" w:sz="4" w:space="0"/>
            </w:tcBorders>
            <w:shd w:val="clear" w:color="FFFFFF" w:fill="FFFFFF"/>
            <w:tcMar>
              <w:top w:w="15" w:type="dxa"/>
              <w:left w:w="15" w:type="dxa"/>
              <w:bottom w:w="0" w:type="dxa"/>
              <w:right w:w="15" w:type="dxa"/>
            </w:tcMar>
            <w:vAlign w:val="center"/>
          </w:tcPr>
          <w:p>
            <w:pPr>
              <w:jc w:val="center"/>
              <w:rPr>
                <w:color w:val="auto"/>
                <w:sz w:val="20"/>
                <w:szCs w:val="20"/>
                <w:highlight w:val="none"/>
              </w:rPr>
            </w:pPr>
            <w:r>
              <w:rPr>
                <w:rFonts w:hint="eastAsia"/>
                <w:color w:val="auto"/>
                <w:sz w:val="20"/>
                <w:szCs w:val="20"/>
                <w:highlight w:val="none"/>
              </w:rPr>
              <w:t>　</w:t>
            </w:r>
          </w:p>
        </w:tc>
        <w:tc>
          <w:tcPr>
            <w:tcW w:w="820" w:type="dxa"/>
            <w:gridSpan w:val="3"/>
            <w:tcBorders>
              <w:top w:val="single" w:color="000000" w:sz="4" w:space="0"/>
              <w:left w:val="nil"/>
              <w:bottom w:val="single" w:color="000000" w:sz="4" w:space="0"/>
              <w:right w:val="single" w:color="000000" w:sz="4" w:space="0"/>
            </w:tcBorders>
            <w:shd w:val="clear" w:color="FFFFFF" w:fill="FFFFFF"/>
            <w:tcMar>
              <w:top w:w="15" w:type="dxa"/>
              <w:left w:w="15" w:type="dxa"/>
              <w:bottom w:w="0" w:type="dxa"/>
              <w:right w:w="15" w:type="dxa"/>
            </w:tcMar>
            <w:vAlign w:val="center"/>
          </w:tcPr>
          <w:p>
            <w:pPr>
              <w:jc w:val="right"/>
              <w:rPr>
                <w:color w:val="auto"/>
                <w:sz w:val="20"/>
                <w:szCs w:val="20"/>
                <w:highlight w:val="none"/>
              </w:rPr>
            </w:pPr>
            <w:r>
              <w:rPr>
                <w:rFonts w:hint="eastAsia"/>
                <w:color w:val="auto"/>
                <w:sz w:val="20"/>
                <w:szCs w:val="20"/>
                <w:highlight w:val="none"/>
              </w:rPr>
              <w:t>20</w:t>
            </w:r>
          </w:p>
        </w:tc>
        <w:tc>
          <w:tcPr>
            <w:tcW w:w="740" w:type="dxa"/>
            <w:gridSpan w:val="2"/>
            <w:tcBorders>
              <w:top w:val="nil"/>
              <w:left w:val="nil"/>
              <w:bottom w:val="single" w:color="000000" w:sz="4" w:space="0"/>
              <w:right w:val="single" w:color="000000" w:sz="4" w:space="0"/>
            </w:tcBorders>
            <w:shd w:val="clear" w:color="FFFFFF" w:fill="FFFFFF"/>
            <w:tcMar>
              <w:top w:w="15" w:type="dxa"/>
              <w:left w:w="15" w:type="dxa"/>
              <w:bottom w:w="0" w:type="dxa"/>
              <w:right w:w="15" w:type="dxa"/>
            </w:tcMar>
            <w:vAlign w:val="center"/>
          </w:tcPr>
          <w:p>
            <w:pPr>
              <w:jc w:val="right"/>
              <w:rPr>
                <w:color w:val="auto"/>
                <w:sz w:val="20"/>
                <w:szCs w:val="20"/>
                <w:highlight w:val="none"/>
              </w:rPr>
            </w:pPr>
            <w:r>
              <w:rPr>
                <w:rFonts w:hint="eastAsia"/>
                <w:color w:val="auto"/>
                <w:sz w:val="20"/>
                <w:szCs w:val="20"/>
                <w:highlight w:val="none"/>
              </w:rPr>
              <w:t>　</w:t>
            </w:r>
          </w:p>
        </w:tc>
        <w:tc>
          <w:tcPr>
            <w:tcW w:w="940" w:type="dxa"/>
            <w:gridSpan w:val="4"/>
            <w:tcBorders>
              <w:top w:val="single" w:color="000000" w:sz="4" w:space="0"/>
              <w:left w:val="nil"/>
              <w:bottom w:val="single" w:color="000000" w:sz="4" w:space="0"/>
              <w:right w:val="single" w:color="000000" w:sz="4" w:space="0"/>
            </w:tcBorders>
            <w:shd w:val="clear" w:color="FFFFFF" w:fill="FFFFFF"/>
            <w:tcMar>
              <w:top w:w="15" w:type="dxa"/>
              <w:left w:w="15" w:type="dxa"/>
              <w:bottom w:w="0" w:type="dxa"/>
              <w:right w:w="15" w:type="dxa"/>
            </w:tcMar>
            <w:vAlign w:val="center"/>
          </w:tcPr>
          <w:p>
            <w:pPr>
              <w:jc w:val="left"/>
              <w:rPr>
                <w:color w:val="auto"/>
                <w:sz w:val="20"/>
                <w:szCs w:val="20"/>
                <w:highlight w:val="none"/>
              </w:rPr>
            </w:pPr>
            <w:r>
              <w:rPr>
                <w:rFonts w:hint="eastAsia"/>
                <w:color w:val="auto"/>
                <w:sz w:val="20"/>
                <w:szCs w:val="20"/>
                <w:highlight w:val="none"/>
              </w:rPr>
              <w:t>　</w:t>
            </w:r>
          </w:p>
        </w:tc>
        <w:tc>
          <w:tcPr>
            <w:tcW w:w="880" w:type="dxa"/>
            <w:gridSpan w:val="3"/>
            <w:tcBorders>
              <w:top w:val="nil"/>
              <w:left w:val="nil"/>
              <w:bottom w:val="single" w:color="000000" w:sz="4" w:space="0"/>
              <w:right w:val="single" w:color="000000" w:sz="4" w:space="0"/>
            </w:tcBorders>
            <w:shd w:val="clear" w:color="FFFFFF" w:fill="FFFFFF"/>
            <w:tcMar>
              <w:top w:w="15" w:type="dxa"/>
              <w:left w:w="15" w:type="dxa"/>
              <w:bottom w:w="0" w:type="dxa"/>
              <w:right w:w="15" w:type="dxa"/>
            </w:tcMar>
            <w:vAlign w:val="center"/>
          </w:tcPr>
          <w:p>
            <w:pPr>
              <w:rPr>
                <w:color w:val="auto"/>
                <w:sz w:val="20"/>
                <w:szCs w:val="20"/>
                <w:highlight w:val="none"/>
              </w:rPr>
            </w:pPr>
            <w:r>
              <w:rPr>
                <w:rFonts w:hint="eastAsia"/>
                <w:color w:val="auto"/>
                <w:sz w:val="20"/>
                <w:szCs w:val="20"/>
                <w:highlight w:val="none"/>
              </w:rPr>
              <w:t>　</w:t>
            </w:r>
          </w:p>
        </w:tc>
        <w:tc>
          <w:tcPr>
            <w:tcW w:w="1120" w:type="dxa"/>
            <w:gridSpan w:val="3"/>
            <w:tcBorders>
              <w:top w:val="nil"/>
              <w:left w:val="nil"/>
              <w:bottom w:val="single" w:color="000000" w:sz="4" w:space="0"/>
              <w:right w:val="single" w:color="000000" w:sz="8" w:space="0"/>
            </w:tcBorders>
            <w:shd w:val="clear" w:color="FFFFFF" w:fill="FFFFFF"/>
            <w:tcMar>
              <w:top w:w="15" w:type="dxa"/>
              <w:left w:w="15" w:type="dxa"/>
              <w:bottom w:w="0" w:type="dxa"/>
              <w:right w:w="15" w:type="dxa"/>
            </w:tcMar>
            <w:vAlign w:val="center"/>
          </w:tcPr>
          <w:p>
            <w:pPr>
              <w:jc w:val="center"/>
              <w:rPr>
                <w:color w:val="auto"/>
                <w:sz w:val="20"/>
                <w:szCs w:val="20"/>
                <w:highlight w:val="none"/>
              </w:rPr>
            </w:pPr>
            <w:r>
              <w:rPr>
                <w:rFonts w:hint="eastAsia"/>
                <w:color w:val="auto"/>
                <w:sz w:val="20"/>
                <w:szCs w:val="20"/>
                <w:highlight w:val="none"/>
              </w:rPr>
              <w:t>按其夜间施工项目人工费的20%计算</w:t>
            </w:r>
          </w:p>
        </w:tc>
      </w:tr>
      <w:tr>
        <w:tblPrEx>
          <w:tblCellMar>
            <w:top w:w="0" w:type="dxa"/>
            <w:left w:w="0" w:type="dxa"/>
            <w:bottom w:w="0" w:type="dxa"/>
            <w:right w:w="0" w:type="dxa"/>
          </w:tblCellMar>
        </w:tblPrEx>
        <w:trPr>
          <w:trHeight w:val="1080" w:hRule="atLeast"/>
          <w:jc w:val="center"/>
        </w:trPr>
        <w:tc>
          <w:tcPr>
            <w:tcW w:w="580" w:type="dxa"/>
            <w:gridSpan w:val="3"/>
            <w:tcBorders>
              <w:top w:val="nil"/>
              <w:left w:val="single" w:color="000000" w:sz="8" w:space="0"/>
              <w:bottom w:val="single" w:color="000000" w:sz="4" w:space="0"/>
              <w:right w:val="single" w:color="000000" w:sz="4" w:space="0"/>
            </w:tcBorders>
            <w:shd w:val="clear" w:color="FFFFFF" w:fill="FFFFFF"/>
            <w:tcMar>
              <w:top w:w="15" w:type="dxa"/>
              <w:left w:w="15" w:type="dxa"/>
              <w:bottom w:w="0" w:type="dxa"/>
              <w:right w:w="15" w:type="dxa"/>
            </w:tcMar>
            <w:vAlign w:val="center"/>
          </w:tcPr>
          <w:p>
            <w:pPr>
              <w:jc w:val="center"/>
              <w:rPr>
                <w:color w:val="auto"/>
                <w:sz w:val="20"/>
                <w:szCs w:val="20"/>
                <w:highlight w:val="none"/>
              </w:rPr>
            </w:pPr>
            <w:r>
              <w:rPr>
                <w:rFonts w:hint="eastAsia"/>
                <w:color w:val="auto"/>
                <w:sz w:val="20"/>
                <w:szCs w:val="20"/>
                <w:highlight w:val="none"/>
              </w:rPr>
              <w:t>7</w:t>
            </w:r>
          </w:p>
        </w:tc>
        <w:tc>
          <w:tcPr>
            <w:tcW w:w="640" w:type="dxa"/>
            <w:tcBorders>
              <w:top w:val="nil"/>
              <w:left w:val="nil"/>
              <w:bottom w:val="single" w:color="000000" w:sz="4" w:space="0"/>
              <w:right w:val="single" w:color="000000" w:sz="4" w:space="0"/>
            </w:tcBorders>
            <w:shd w:val="clear" w:color="FFFFFF" w:fill="FFFFFF"/>
            <w:tcMar>
              <w:top w:w="15" w:type="dxa"/>
              <w:left w:w="15" w:type="dxa"/>
              <w:bottom w:w="0" w:type="dxa"/>
              <w:right w:w="15" w:type="dxa"/>
            </w:tcMar>
            <w:vAlign w:val="center"/>
          </w:tcPr>
          <w:p>
            <w:pPr>
              <w:jc w:val="left"/>
              <w:rPr>
                <w:color w:val="auto"/>
                <w:sz w:val="20"/>
                <w:szCs w:val="20"/>
                <w:highlight w:val="none"/>
              </w:rPr>
            </w:pPr>
            <w:r>
              <w:rPr>
                <w:rFonts w:hint="eastAsia"/>
                <w:color w:val="auto"/>
                <w:sz w:val="20"/>
                <w:szCs w:val="20"/>
                <w:highlight w:val="none"/>
              </w:rPr>
              <w:t>　</w:t>
            </w:r>
          </w:p>
        </w:tc>
        <w:tc>
          <w:tcPr>
            <w:tcW w:w="1680" w:type="dxa"/>
            <w:gridSpan w:val="3"/>
            <w:tcBorders>
              <w:top w:val="nil"/>
              <w:left w:val="nil"/>
              <w:bottom w:val="single" w:color="000000" w:sz="4" w:space="0"/>
              <w:right w:val="single" w:color="000000" w:sz="4" w:space="0"/>
            </w:tcBorders>
            <w:shd w:val="clear" w:color="FFFFFF" w:fill="FFFFFF"/>
            <w:tcMar>
              <w:top w:w="15" w:type="dxa"/>
              <w:left w:w="15" w:type="dxa"/>
              <w:bottom w:w="0" w:type="dxa"/>
              <w:right w:w="15" w:type="dxa"/>
            </w:tcMar>
            <w:vAlign w:val="center"/>
          </w:tcPr>
          <w:p>
            <w:pPr>
              <w:rPr>
                <w:color w:val="auto"/>
                <w:sz w:val="20"/>
                <w:szCs w:val="20"/>
                <w:highlight w:val="none"/>
              </w:rPr>
            </w:pPr>
            <w:r>
              <w:rPr>
                <w:rFonts w:hint="eastAsia"/>
                <w:color w:val="auto"/>
                <w:sz w:val="20"/>
                <w:szCs w:val="20"/>
                <w:highlight w:val="none"/>
              </w:rPr>
              <w:t>交通干扰工程施工增加费</w:t>
            </w:r>
          </w:p>
        </w:tc>
        <w:tc>
          <w:tcPr>
            <w:tcW w:w="1440" w:type="dxa"/>
            <w:tcBorders>
              <w:top w:val="nil"/>
              <w:left w:val="nil"/>
              <w:bottom w:val="single" w:color="000000" w:sz="4" w:space="0"/>
              <w:right w:val="single" w:color="000000" w:sz="4" w:space="0"/>
            </w:tcBorders>
            <w:shd w:val="clear" w:color="FFFFFF" w:fill="FFFFFF"/>
            <w:tcMar>
              <w:top w:w="15" w:type="dxa"/>
              <w:left w:w="15" w:type="dxa"/>
              <w:bottom w:w="0" w:type="dxa"/>
              <w:right w:w="15" w:type="dxa"/>
            </w:tcMar>
            <w:vAlign w:val="center"/>
          </w:tcPr>
          <w:p>
            <w:pPr>
              <w:jc w:val="center"/>
              <w:rPr>
                <w:color w:val="auto"/>
                <w:sz w:val="20"/>
                <w:szCs w:val="20"/>
                <w:highlight w:val="none"/>
              </w:rPr>
            </w:pPr>
            <w:r>
              <w:rPr>
                <w:rFonts w:hint="eastAsia"/>
                <w:color w:val="auto"/>
                <w:sz w:val="20"/>
                <w:szCs w:val="20"/>
                <w:highlight w:val="none"/>
              </w:rPr>
              <w:t>　</w:t>
            </w:r>
          </w:p>
        </w:tc>
        <w:tc>
          <w:tcPr>
            <w:tcW w:w="820" w:type="dxa"/>
            <w:gridSpan w:val="3"/>
            <w:tcBorders>
              <w:top w:val="single" w:color="000000" w:sz="4" w:space="0"/>
              <w:left w:val="nil"/>
              <w:bottom w:val="single" w:color="000000" w:sz="4" w:space="0"/>
              <w:right w:val="single" w:color="000000" w:sz="4" w:space="0"/>
            </w:tcBorders>
            <w:shd w:val="clear" w:color="FFFFFF" w:fill="FFFFFF"/>
            <w:tcMar>
              <w:top w:w="15" w:type="dxa"/>
              <w:left w:w="15" w:type="dxa"/>
              <w:bottom w:w="0" w:type="dxa"/>
              <w:right w:w="15" w:type="dxa"/>
            </w:tcMar>
            <w:vAlign w:val="center"/>
          </w:tcPr>
          <w:p>
            <w:pPr>
              <w:jc w:val="right"/>
              <w:rPr>
                <w:color w:val="auto"/>
                <w:sz w:val="20"/>
                <w:szCs w:val="20"/>
                <w:highlight w:val="none"/>
              </w:rPr>
            </w:pPr>
            <w:r>
              <w:rPr>
                <w:rFonts w:hint="eastAsia"/>
                <w:color w:val="auto"/>
                <w:sz w:val="20"/>
                <w:szCs w:val="20"/>
                <w:highlight w:val="none"/>
              </w:rPr>
              <w:t>10</w:t>
            </w:r>
          </w:p>
        </w:tc>
        <w:tc>
          <w:tcPr>
            <w:tcW w:w="740" w:type="dxa"/>
            <w:gridSpan w:val="2"/>
            <w:tcBorders>
              <w:top w:val="nil"/>
              <w:left w:val="nil"/>
              <w:bottom w:val="single" w:color="000000" w:sz="4" w:space="0"/>
              <w:right w:val="single" w:color="000000" w:sz="4" w:space="0"/>
            </w:tcBorders>
            <w:shd w:val="clear" w:color="FFFFFF" w:fill="FFFFFF"/>
            <w:tcMar>
              <w:top w:w="15" w:type="dxa"/>
              <w:left w:w="15" w:type="dxa"/>
              <w:bottom w:w="0" w:type="dxa"/>
              <w:right w:w="15" w:type="dxa"/>
            </w:tcMar>
            <w:vAlign w:val="center"/>
          </w:tcPr>
          <w:p>
            <w:pPr>
              <w:jc w:val="right"/>
              <w:rPr>
                <w:color w:val="auto"/>
                <w:sz w:val="20"/>
                <w:szCs w:val="20"/>
                <w:highlight w:val="none"/>
              </w:rPr>
            </w:pPr>
            <w:r>
              <w:rPr>
                <w:rFonts w:hint="eastAsia"/>
                <w:color w:val="auto"/>
                <w:sz w:val="20"/>
                <w:szCs w:val="20"/>
                <w:highlight w:val="none"/>
              </w:rPr>
              <w:t>　</w:t>
            </w:r>
          </w:p>
        </w:tc>
        <w:tc>
          <w:tcPr>
            <w:tcW w:w="940" w:type="dxa"/>
            <w:gridSpan w:val="4"/>
            <w:tcBorders>
              <w:top w:val="single" w:color="000000" w:sz="4" w:space="0"/>
              <w:left w:val="nil"/>
              <w:bottom w:val="single" w:color="000000" w:sz="4" w:space="0"/>
              <w:right w:val="single" w:color="000000" w:sz="4" w:space="0"/>
            </w:tcBorders>
            <w:shd w:val="clear" w:color="FFFFFF" w:fill="FFFFFF"/>
            <w:tcMar>
              <w:top w:w="15" w:type="dxa"/>
              <w:left w:w="15" w:type="dxa"/>
              <w:bottom w:w="0" w:type="dxa"/>
              <w:right w:w="15" w:type="dxa"/>
            </w:tcMar>
            <w:vAlign w:val="center"/>
          </w:tcPr>
          <w:p>
            <w:pPr>
              <w:jc w:val="left"/>
              <w:rPr>
                <w:color w:val="auto"/>
                <w:sz w:val="20"/>
                <w:szCs w:val="20"/>
                <w:highlight w:val="none"/>
              </w:rPr>
            </w:pPr>
            <w:r>
              <w:rPr>
                <w:rFonts w:hint="eastAsia"/>
                <w:color w:val="auto"/>
                <w:sz w:val="20"/>
                <w:szCs w:val="20"/>
                <w:highlight w:val="none"/>
              </w:rPr>
              <w:t>　</w:t>
            </w:r>
          </w:p>
        </w:tc>
        <w:tc>
          <w:tcPr>
            <w:tcW w:w="880" w:type="dxa"/>
            <w:gridSpan w:val="3"/>
            <w:tcBorders>
              <w:top w:val="nil"/>
              <w:left w:val="nil"/>
              <w:bottom w:val="single" w:color="000000" w:sz="4" w:space="0"/>
              <w:right w:val="single" w:color="000000" w:sz="4" w:space="0"/>
            </w:tcBorders>
            <w:shd w:val="clear" w:color="FFFFFF" w:fill="FFFFFF"/>
            <w:tcMar>
              <w:top w:w="15" w:type="dxa"/>
              <w:left w:w="15" w:type="dxa"/>
              <w:bottom w:w="0" w:type="dxa"/>
              <w:right w:w="15" w:type="dxa"/>
            </w:tcMar>
            <w:vAlign w:val="center"/>
          </w:tcPr>
          <w:p>
            <w:pPr>
              <w:rPr>
                <w:color w:val="auto"/>
                <w:sz w:val="20"/>
                <w:szCs w:val="20"/>
                <w:highlight w:val="none"/>
              </w:rPr>
            </w:pPr>
            <w:r>
              <w:rPr>
                <w:rFonts w:hint="eastAsia"/>
                <w:color w:val="auto"/>
                <w:sz w:val="20"/>
                <w:szCs w:val="20"/>
                <w:highlight w:val="none"/>
              </w:rPr>
              <w:t>　</w:t>
            </w:r>
          </w:p>
        </w:tc>
        <w:tc>
          <w:tcPr>
            <w:tcW w:w="1120" w:type="dxa"/>
            <w:gridSpan w:val="3"/>
            <w:tcBorders>
              <w:top w:val="nil"/>
              <w:left w:val="nil"/>
              <w:bottom w:val="single" w:color="000000" w:sz="4" w:space="0"/>
              <w:right w:val="single" w:color="000000" w:sz="8" w:space="0"/>
            </w:tcBorders>
            <w:shd w:val="clear" w:color="FFFFFF" w:fill="FFFFFF"/>
            <w:tcMar>
              <w:top w:w="15" w:type="dxa"/>
              <w:left w:w="15" w:type="dxa"/>
              <w:bottom w:w="0" w:type="dxa"/>
              <w:right w:w="15" w:type="dxa"/>
            </w:tcMar>
            <w:vAlign w:val="center"/>
          </w:tcPr>
          <w:p>
            <w:pPr>
              <w:jc w:val="center"/>
              <w:rPr>
                <w:color w:val="auto"/>
                <w:sz w:val="20"/>
                <w:szCs w:val="20"/>
                <w:highlight w:val="none"/>
              </w:rPr>
            </w:pPr>
            <w:r>
              <w:rPr>
                <w:rFonts w:hint="eastAsia"/>
                <w:color w:val="auto"/>
                <w:sz w:val="20"/>
                <w:szCs w:val="20"/>
                <w:highlight w:val="none"/>
              </w:rPr>
              <w:t>按在市政道路上施工项目人工费的10%计算</w:t>
            </w:r>
          </w:p>
        </w:tc>
      </w:tr>
      <w:tr>
        <w:tblPrEx>
          <w:tblCellMar>
            <w:top w:w="0" w:type="dxa"/>
            <w:left w:w="0" w:type="dxa"/>
            <w:bottom w:w="0" w:type="dxa"/>
            <w:right w:w="0" w:type="dxa"/>
          </w:tblCellMar>
        </w:tblPrEx>
        <w:trPr>
          <w:trHeight w:val="2355" w:hRule="atLeast"/>
          <w:jc w:val="center"/>
        </w:trPr>
        <w:tc>
          <w:tcPr>
            <w:tcW w:w="580" w:type="dxa"/>
            <w:gridSpan w:val="3"/>
            <w:tcBorders>
              <w:top w:val="nil"/>
              <w:left w:val="single" w:color="000000" w:sz="8" w:space="0"/>
              <w:bottom w:val="single" w:color="000000" w:sz="4" w:space="0"/>
              <w:right w:val="single" w:color="000000" w:sz="4" w:space="0"/>
            </w:tcBorders>
            <w:shd w:val="clear" w:color="FFFFFF" w:fill="FFFFFF"/>
            <w:tcMar>
              <w:top w:w="15" w:type="dxa"/>
              <w:left w:w="15" w:type="dxa"/>
              <w:bottom w:w="0" w:type="dxa"/>
              <w:right w:w="15" w:type="dxa"/>
            </w:tcMar>
            <w:vAlign w:val="center"/>
          </w:tcPr>
          <w:p>
            <w:pPr>
              <w:jc w:val="center"/>
              <w:rPr>
                <w:color w:val="auto"/>
                <w:sz w:val="20"/>
                <w:szCs w:val="20"/>
                <w:highlight w:val="none"/>
              </w:rPr>
            </w:pPr>
            <w:r>
              <w:rPr>
                <w:rFonts w:hint="eastAsia"/>
                <w:color w:val="auto"/>
                <w:sz w:val="20"/>
                <w:szCs w:val="20"/>
                <w:highlight w:val="none"/>
              </w:rPr>
              <w:t>8</w:t>
            </w:r>
          </w:p>
        </w:tc>
        <w:tc>
          <w:tcPr>
            <w:tcW w:w="640" w:type="dxa"/>
            <w:tcBorders>
              <w:top w:val="nil"/>
              <w:left w:val="nil"/>
              <w:bottom w:val="single" w:color="000000" w:sz="4" w:space="0"/>
              <w:right w:val="single" w:color="000000" w:sz="4" w:space="0"/>
            </w:tcBorders>
            <w:shd w:val="clear" w:color="FFFFFF" w:fill="FFFFFF"/>
            <w:tcMar>
              <w:top w:w="15" w:type="dxa"/>
              <w:left w:w="15" w:type="dxa"/>
              <w:bottom w:w="0" w:type="dxa"/>
              <w:right w:w="15" w:type="dxa"/>
            </w:tcMar>
            <w:vAlign w:val="center"/>
          </w:tcPr>
          <w:p>
            <w:pPr>
              <w:jc w:val="left"/>
              <w:rPr>
                <w:color w:val="auto"/>
                <w:sz w:val="20"/>
                <w:szCs w:val="20"/>
                <w:highlight w:val="none"/>
              </w:rPr>
            </w:pPr>
            <w:r>
              <w:rPr>
                <w:rFonts w:hint="eastAsia"/>
                <w:color w:val="auto"/>
                <w:sz w:val="20"/>
                <w:szCs w:val="20"/>
                <w:highlight w:val="none"/>
              </w:rPr>
              <w:t>　</w:t>
            </w:r>
          </w:p>
        </w:tc>
        <w:tc>
          <w:tcPr>
            <w:tcW w:w="1680" w:type="dxa"/>
            <w:gridSpan w:val="3"/>
            <w:tcBorders>
              <w:top w:val="nil"/>
              <w:left w:val="nil"/>
              <w:bottom w:val="single" w:color="000000" w:sz="4" w:space="0"/>
              <w:right w:val="single" w:color="000000" w:sz="4" w:space="0"/>
            </w:tcBorders>
            <w:shd w:val="clear" w:color="FFFFFF" w:fill="FFFFFF"/>
            <w:tcMar>
              <w:top w:w="15" w:type="dxa"/>
              <w:left w:w="15" w:type="dxa"/>
              <w:bottom w:w="0" w:type="dxa"/>
              <w:right w:w="15" w:type="dxa"/>
            </w:tcMar>
            <w:vAlign w:val="center"/>
          </w:tcPr>
          <w:p>
            <w:pPr>
              <w:rPr>
                <w:color w:val="auto"/>
                <w:sz w:val="20"/>
                <w:szCs w:val="20"/>
                <w:highlight w:val="none"/>
              </w:rPr>
            </w:pPr>
            <w:r>
              <w:rPr>
                <w:rFonts w:hint="eastAsia"/>
                <w:color w:val="auto"/>
                <w:sz w:val="20"/>
                <w:szCs w:val="20"/>
                <w:highlight w:val="none"/>
              </w:rPr>
              <w:t>文明工地增加费</w:t>
            </w:r>
          </w:p>
        </w:tc>
        <w:tc>
          <w:tcPr>
            <w:tcW w:w="1440" w:type="dxa"/>
            <w:tcBorders>
              <w:top w:val="nil"/>
              <w:left w:val="nil"/>
              <w:bottom w:val="single" w:color="000000" w:sz="4" w:space="0"/>
              <w:right w:val="single" w:color="000000" w:sz="4" w:space="0"/>
            </w:tcBorders>
            <w:shd w:val="clear" w:color="FFFFFF" w:fill="FFFFFF"/>
            <w:tcMar>
              <w:top w:w="15" w:type="dxa"/>
              <w:left w:w="15" w:type="dxa"/>
              <w:bottom w:w="0" w:type="dxa"/>
              <w:right w:w="15" w:type="dxa"/>
            </w:tcMar>
            <w:vAlign w:val="center"/>
          </w:tcPr>
          <w:p>
            <w:pPr>
              <w:jc w:val="center"/>
              <w:rPr>
                <w:color w:val="auto"/>
                <w:sz w:val="20"/>
                <w:szCs w:val="20"/>
                <w:highlight w:val="none"/>
              </w:rPr>
            </w:pPr>
            <w:r>
              <w:rPr>
                <w:rFonts w:hint="eastAsia"/>
                <w:color w:val="auto"/>
                <w:sz w:val="20"/>
                <w:szCs w:val="20"/>
                <w:highlight w:val="none"/>
              </w:rPr>
              <w:t>分部分项人工费+分部分项机具费</w:t>
            </w:r>
          </w:p>
        </w:tc>
        <w:tc>
          <w:tcPr>
            <w:tcW w:w="820" w:type="dxa"/>
            <w:gridSpan w:val="3"/>
            <w:tcBorders>
              <w:top w:val="single" w:color="000000" w:sz="4" w:space="0"/>
              <w:left w:val="nil"/>
              <w:bottom w:val="single" w:color="000000" w:sz="4" w:space="0"/>
              <w:right w:val="single" w:color="000000" w:sz="4" w:space="0"/>
            </w:tcBorders>
            <w:shd w:val="clear" w:color="FFFFFF" w:fill="FFFFFF"/>
            <w:tcMar>
              <w:top w:w="15" w:type="dxa"/>
              <w:left w:w="15" w:type="dxa"/>
              <w:bottom w:w="0" w:type="dxa"/>
              <w:right w:w="15" w:type="dxa"/>
            </w:tcMar>
            <w:vAlign w:val="center"/>
          </w:tcPr>
          <w:p>
            <w:pPr>
              <w:jc w:val="right"/>
              <w:rPr>
                <w:color w:val="auto"/>
                <w:sz w:val="20"/>
                <w:szCs w:val="20"/>
                <w:highlight w:val="none"/>
              </w:rPr>
            </w:pPr>
            <w:r>
              <w:rPr>
                <w:rFonts w:hint="eastAsia"/>
                <w:color w:val="auto"/>
                <w:sz w:val="20"/>
                <w:szCs w:val="20"/>
                <w:highlight w:val="none"/>
              </w:rPr>
              <w:t>0</w:t>
            </w:r>
          </w:p>
        </w:tc>
        <w:tc>
          <w:tcPr>
            <w:tcW w:w="740" w:type="dxa"/>
            <w:gridSpan w:val="2"/>
            <w:tcBorders>
              <w:top w:val="nil"/>
              <w:left w:val="nil"/>
              <w:bottom w:val="single" w:color="000000" w:sz="4" w:space="0"/>
              <w:right w:val="single" w:color="000000" w:sz="4" w:space="0"/>
            </w:tcBorders>
            <w:shd w:val="clear" w:color="FFFFFF" w:fill="FFFFFF"/>
            <w:tcMar>
              <w:top w:w="15" w:type="dxa"/>
              <w:left w:w="15" w:type="dxa"/>
              <w:bottom w:w="0" w:type="dxa"/>
              <w:right w:w="15" w:type="dxa"/>
            </w:tcMar>
            <w:vAlign w:val="center"/>
          </w:tcPr>
          <w:p>
            <w:pPr>
              <w:jc w:val="right"/>
              <w:rPr>
                <w:color w:val="auto"/>
                <w:sz w:val="20"/>
                <w:szCs w:val="20"/>
                <w:highlight w:val="none"/>
              </w:rPr>
            </w:pPr>
            <w:r>
              <w:rPr>
                <w:rFonts w:hint="eastAsia"/>
                <w:color w:val="auto"/>
                <w:sz w:val="20"/>
                <w:szCs w:val="20"/>
                <w:highlight w:val="none"/>
              </w:rPr>
              <w:t>　</w:t>
            </w:r>
          </w:p>
        </w:tc>
        <w:tc>
          <w:tcPr>
            <w:tcW w:w="940" w:type="dxa"/>
            <w:gridSpan w:val="4"/>
            <w:tcBorders>
              <w:top w:val="single" w:color="000000" w:sz="4" w:space="0"/>
              <w:left w:val="nil"/>
              <w:bottom w:val="single" w:color="000000" w:sz="4" w:space="0"/>
              <w:right w:val="single" w:color="000000" w:sz="4" w:space="0"/>
            </w:tcBorders>
            <w:shd w:val="clear" w:color="FFFFFF" w:fill="FFFFFF"/>
            <w:tcMar>
              <w:top w:w="15" w:type="dxa"/>
              <w:left w:w="15" w:type="dxa"/>
              <w:bottom w:w="0" w:type="dxa"/>
              <w:right w:w="15" w:type="dxa"/>
            </w:tcMar>
            <w:vAlign w:val="center"/>
          </w:tcPr>
          <w:p>
            <w:pPr>
              <w:jc w:val="left"/>
              <w:rPr>
                <w:color w:val="auto"/>
                <w:sz w:val="20"/>
                <w:szCs w:val="20"/>
                <w:highlight w:val="none"/>
              </w:rPr>
            </w:pPr>
            <w:r>
              <w:rPr>
                <w:rFonts w:hint="eastAsia"/>
                <w:color w:val="auto"/>
                <w:sz w:val="20"/>
                <w:szCs w:val="20"/>
                <w:highlight w:val="none"/>
              </w:rPr>
              <w:t>　</w:t>
            </w:r>
          </w:p>
        </w:tc>
        <w:tc>
          <w:tcPr>
            <w:tcW w:w="880" w:type="dxa"/>
            <w:gridSpan w:val="3"/>
            <w:tcBorders>
              <w:top w:val="nil"/>
              <w:left w:val="nil"/>
              <w:bottom w:val="single" w:color="000000" w:sz="4" w:space="0"/>
              <w:right w:val="single" w:color="000000" w:sz="4" w:space="0"/>
            </w:tcBorders>
            <w:shd w:val="clear" w:color="FFFFFF" w:fill="FFFFFF"/>
            <w:tcMar>
              <w:top w:w="15" w:type="dxa"/>
              <w:left w:w="15" w:type="dxa"/>
              <w:bottom w:w="0" w:type="dxa"/>
              <w:right w:w="15" w:type="dxa"/>
            </w:tcMar>
            <w:vAlign w:val="center"/>
          </w:tcPr>
          <w:p>
            <w:pPr>
              <w:rPr>
                <w:color w:val="auto"/>
                <w:sz w:val="20"/>
                <w:szCs w:val="20"/>
                <w:highlight w:val="none"/>
              </w:rPr>
            </w:pPr>
            <w:r>
              <w:rPr>
                <w:rFonts w:hint="eastAsia"/>
                <w:color w:val="auto"/>
                <w:sz w:val="20"/>
                <w:szCs w:val="20"/>
                <w:highlight w:val="none"/>
              </w:rPr>
              <w:t>　</w:t>
            </w:r>
          </w:p>
        </w:tc>
        <w:tc>
          <w:tcPr>
            <w:tcW w:w="1120" w:type="dxa"/>
            <w:gridSpan w:val="3"/>
            <w:tcBorders>
              <w:top w:val="nil"/>
              <w:left w:val="nil"/>
              <w:bottom w:val="single" w:color="000000" w:sz="4" w:space="0"/>
              <w:right w:val="single" w:color="000000" w:sz="8" w:space="0"/>
            </w:tcBorders>
            <w:shd w:val="clear" w:color="FFFFFF" w:fill="FFFFFF"/>
            <w:tcMar>
              <w:top w:w="15" w:type="dxa"/>
              <w:left w:w="15" w:type="dxa"/>
              <w:bottom w:w="0" w:type="dxa"/>
              <w:right w:w="15" w:type="dxa"/>
            </w:tcMar>
            <w:vAlign w:val="center"/>
          </w:tcPr>
          <w:p>
            <w:pPr>
              <w:jc w:val="center"/>
              <w:rPr>
                <w:color w:val="auto"/>
                <w:sz w:val="20"/>
                <w:szCs w:val="20"/>
                <w:highlight w:val="none"/>
              </w:rPr>
            </w:pPr>
            <w:r>
              <w:rPr>
                <w:rFonts w:hint="eastAsia"/>
                <w:color w:val="auto"/>
                <w:sz w:val="20"/>
                <w:szCs w:val="20"/>
                <w:highlight w:val="none"/>
              </w:rPr>
              <w:t>以分部分项的人工费与施工机具费之和为计算基础；市级文明工地1.00%；省级文明工地2.00%</w:t>
            </w:r>
          </w:p>
        </w:tc>
      </w:tr>
      <w:tr>
        <w:tblPrEx>
          <w:tblCellMar>
            <w:top w:w="0" w:type="dxa"/>
            <w:left w:w="0" w:type="dxa"/>
            <w:bottom w:w="0" w:type="dxa"/>
            <w:right w:w="0" w:type="dxa"/>
          </w:tblCellMar>
        </w:tblPrEx>
        <w:trPr>
          <w:trHeight w:val="540" w:hRule="atLeast"/>
          <w:jc w:val="center"/>
        </w:trPr>
        <w:tc>
          <w:tcPr>
            <w:tcW w:w="580" w:type="dxa"/>
            <w:gridSpan w:val="3"/>
            <w:tcBorders>
              <w:top w:val="nil"/>
              <w:left w:val="single" w:color="000000" w:sz="8" w:space="0"/>
              <w:bottom w:val="single" w:color="000000" w:sz="8" w:space="0"/>
              <w:right w:val="single" w:color="000000" w:sz="4" w:space="0"/>
            </w:tcBorders>
            <w:shd w:val="clear" w:color="FFFFFF" w:fill="FFFFFF"/>
            <w:tcMar>
              <w:top w:w="15" w:type="dxa"/>
              <w:left w:w="15" w:type="dxa"/>
              <w:bottom w:w="0" w:type="dxa"/>
              <w:right w:w="15" w:type="dxa"/>
            </w:tcMar>
            <w:vAlign w:val="center"/>
          </w:tcPr>
          <w:p>
            <w:pPr>
              <w:jc w:val="center"/>
              <w:rPr>
                <w:color w:val="auto"/>
                <w:sz w:val="20"/>
                <w:szCs w:val="20"/>
                <w:highlight w:val="none"/>
              </w:rPr>
            </w:pPr>
            <w:r>
              <w:rPr>
                <w:rFonts w:hint="eastAsia"/>
                <w:color w:val="auto"/>
                <w:sz w:val="20"/>
                <w:szCs w:val="20"/>
                <w:highlight w:val="none"/>
              </w:rPr>
              <w:t>9</w:t>
            </w:r>
          </w:p>
        </w:tc>
        <w:tc>
          <w:tcPr>
            <w:tcW w:w="640" w:type="dxa"/>
            <w:tcBorders>
              <w:top w:val="nil"/>
              <w:left w:val="nil"/>
              <w:bottom w:val="single" w:color="000000" w:sz="8" w:space="0"/>
              <w:right w:val="single" w:color="000000" w:sz="4" w:space="0"/>
            </w:tcBorders>
            <w:shd w:val="clear" w:color="FFFFFF" w:fill="FFFFFF"/>
            <w:tcMar>
              <w:top w:w="15" w:type="dxa"/>
              <w:left w:w="15" w:type="dxa"/>
              <w:bottom w:w="0" w:type="dxa"/>
              <w:right w:w="15" w:type="dxa"/>
            </w:tcMar>
            <w:vAlign w:val="center"/>
          </w:tcPr>
          <w:p>
            <w:pPr>
              <w:jc w:val="left"/>
              <w:rPr>
                <w:color w:val="auto"/>
                <w:sz w:val="20"/>
                <w:szCs w:val="20"/>
                <w:highlight w:val="none"/>
              </w:rPr>
            </w:pPr>
            <w:r>
              <w:rPr>
                <w:rFonts w:hint="eastAsia"/>
                <w:color w:val="auto"/>
                <w:sz w:val="20"/>
                <w:szCs w:val="20"/>
                <w:highlight w:val="none"/>
              </w:rPr>
              <w:t>　</w:t>
            </w:r>
          </w:p>
        </w:tc>
        <w:tc>
          <w:tcPr>
            <w:tcW w:w="1680" w:type="dxa"/>
            <w:gridSpan w:val="3"/>
            <w:tcBorders>
              <w:top w:val="nil"/>
              <w:left w:val="nil"/>
              <w:bottom w:val="single" w:color="000000" w:sz="8" w:space="0"/>
              <w:right w:val="single" w:color="000000" w:sz="4" w:space="0"/>
            </w:tcBorders>
            <w:shd w:val="clear" w:color="FFFFFF" w:fill="FFFFFF"/>
            <w:tcMar>
              <w:top w:w="15" w:type="dxa"/>
              <w:left w:w="15" w:type="dxa"/>
              <w:bottom w:w="0" w:type="dxa"/>
              <w:right w:w="15" w:type="dxa"/>
            </w:tcMar>
            <w:vAlign w:val="center"/>
          </w:tcPr>
          <w:p>
            <w:pPr>
              <w:rPr>
                <w:color w:val="auto"/>
                <w:sz w:val="20"/>
                <w:szCs w:val="20"/>
                <w:highlight w:val="none"/>
              </w:rPr>
            </w:pPr>
            <w:r>
              <w:rPr>
                <w:rFonts w:hint="eastAsia"/>
                <w:color w:val="auto"/>
                <w:sz w:val="20"/>
                <w:szCs w:val="20"/>
                <w:highlight w:val="none"/>
              </w:rPr>
              <w:t>地下管线交叉降效费</w:t>
            </w:r>
          </w:p>
        </w:tc>
        <w:tc>
          <w:tcPr>
            <w:tcW w:w="1440" w:type="dxa"/>
            <w:tcBorders>
              <w:top w:val="nil"/>
              <w:left w:val="nil"/>
              <w:bottom w:val="single" w:color="000000" w:sz="8" w:space="0"/>
              <w:right w:val="single" w:color="000000" w:sz="4" w:space="0"/>
            </w:tcBorders>
            <w:shd w:val="clear" w:color="FFFFFF" w:fill="FFFFFF"/>
            <w:tcMar>
              <w:top w:w="15" w:type="dxa"/>
              <w:left w:w="15" w:type="dxa"/>
              <w:bottom w:w="0" w:type="dxa"/>
              <w:right w:w="15" w:type="dxa"/>
            </w:tcMar>
            <w:vAlign w:val="center"/>
          </w:tcPr>
          <w:p>
            <w:pPr>
              <w:jc w:val="center"/>
              <w:rPr>
                <w:color w:val="auto"/>
                <w:sz w:val="20"/>
                <w:szCs w:val="20"/>
                <w:highlight w:val="none"/>
              </w:rPr>
            </w:pPr>
            <w:r>
              <w:rPr>
                <w:rFonts w:hint="eastAsia"/>
                <w:color w:val="auto"/>
                <w:sz w:val="20"/>
                <w:szCs w:val="20"/>
                <w:highlight w:val="none"/>
              </w:rPr>
              <w:t>　</w:t>
            </w:r>
          </w:p>
        </w:tc>
        <w:tc>
          <w:tcPr>
            <w:tcW w:w="820" w:type="dxa"/>
            <w:gridSpan w:val="3"/>
            <w:tcBorders>
              <w:top w:val="single" w:color="000000" w:sz="4" w:space="0"/>
              <w:left w:val="nil"/>
              <w:bottom w:val="single" w:color="000000" w:sz="8" w:space="0"/>
              <w:right w:val="single" w:color="000000" w:sz="4" w:space="0"/>
            </w:tcBorders>
            <w:shd w:val="clear" w:color="FFFFFF" w:fill="FFFFFF"/>
            <w:tcMar>
              <w:top w:w="15" w:type="dxa"/>
              <w:left w:w="15" w:type="dxa"/>
              <w:bottom w:w="0" w:type="dxa"/>
              <w:right w:w="15" w:type="dxa"/>
            </w:tcMar>
            <w:vAlign w:val="center"/>
          </w:tcPr>
          <w:p>
            <w:pPr>
              <w:jc w:val="right"/>
              <w:rPr>
                <w:color w:val="auto"/>
                <w:sz w:val="20"/>
                <w:szCs w:val="20"/>
                <w:highlight w:val="none"/>
              </w:rPr>
            </w:pPr>
            <w:r>
              <w:rPr>
                <w:rFonts w:hint="eastAsia"/>
                <w:color w:val="auto"/>
                <w:sz w:val="20"/>
                <w:szCs w:val="20"/>
                <w:highlight w:val="none"/>
              </w:rPr>
              <w:t>　</w:t>
            </w:r>
          </w:p>
        </w:tc>
        <w:tc>
          <w:tcPr>
            <w:tcW w:w="740" w:type="dxa"/>
            <w:gridSpan w:val="2"/>
            <w:tcBorders>
              <w:top w:val="nil"/>
              <w:left w:val="nil"/>
              <w:bottom w:val="single" w:color="000000" w:sz="8" w:space="0"/>
              <w:right w:val="single" w:color="000000" w:sz="4" w:space="0"/>
            </w:tcBorders>
            <w:shd w:val="clear" w:color="FFFFFF" w:fill="FFFFFF"/>
            <w:tcMar>
              <w:top w:w="15" w:type="dxa"/>
              <w:left w:w="15" w:type="dxa"/>
              <w:bottom w:w="0" w:type="dxa"/>
              <w:right w:w="15" w:type="dxa"/>
            </w:tcMar>
            <w:vAlign w:val="center"/>
          </w:tcPr>
          <w:p>
            <w:pPr>
              <w:jc w:val="right"/>
              <w:rPr>
                <w:color w:val="auto"/>
                <w:sz w:val="20"/>
                <w:szCs w:val="20"/>
                <w:highlight w:val="none"/>
              </w:rPr>
            </w:pPr>
            <w:r>
              <w:rPr>
                <w:rFonts w:hint="eastAsia"/>
                <w:color w:val="auto"/>
                <w:sz w:val="20"/>
                <w:szCs w:val="20"/>
                <w:highlight w:val="none"/>
              </w:rPr>
              <w:t>　</w:t>
            </w:r>
          </w:p>
        </w:tc>
        <w:tc>
          <w:tcPr>
            <w:tcW w:w="940" w:type="dxa"/>
            <w:gridSpan w:val="4"/>
            <w:tcBorders>
              <w:top w:val="single" w:color="000000" w:sz="4" w:space="0"/>
              <w:left w:val="nil"/>
              <w:bottom w:val="single" w:color="000000" w:sz="8" w:space="0"/>
              <w:right w:val="single" w:color="000000" w:sz="4" w:space="0"/>
            </w:tcBorders>
            <w:shd w:val="clear" w:color="FFFFFF" w:fill="FFFFFF"/>
            <w:tcMar>
              <w:top w:w="15" w:type="dxa"/>
              <w:left w:w="15" w:type="dxa"/>
              <w:bottom w:w="0" w:type="dxa"/>
              <w:right w:w="15" w:type="dxa"/>
            </w:tcMar>
            <w:vAlign w:val="center"/>
          </w:tcPr>
          <w:p>
            <w:pPr>
              <w:jc w:val="left"/>
              <w:rPr>
                <w:color w:val="auto"/>
                <w:sz w:val="20"/>
                <w:szCs w:val="20"/>
                <w:highlight w:val="none"/>
              </w:rPr>
            </w:pPr>
            <w:r>
              <w:rPr>
                <w:rFonts w:hint="eastAsia"/>
                <w:color w:val="auto"/>
                <w:sz w:val="20"/>
                <w:szCs w:val="20"/>
                <w:highlight w:val="none"/>
              </w:rPr>
              <w:t>　</w:t>
            </w:r>
          </w:p>
        </w:tc>
        <w:tc>
          <w:tcPr>
            <w:tcW w:w="880" w:type="dxa"/>
            <w:gridSpan w:val="3"/>
            <w:tcBorders>
              <w:top w:val="nil"/>
              <w:left w:val="nil"/>
              <w:bottom w:val="single" w:color="000000" w:sz="8" w:space="0"/>
              <w:right w:val="single" w:color="000000" w:sz="4" w:space="0"/>
            </w:tcBorders>
            <w:shd w:val="clear" w:color="FFFFFF" w:fill="FFFFFF"/>
            <w:tcMar>
              <w:top w:w="15" w:type="dxa"/>
              <w:left w:w="15" w:type="dxa"/>
              <w:bottom w:w="0" w:type="dxa"/>
              <w:right w:w="15" w:type="dxa"/>
            </w:tcMar>
            <w:vAlign w:val="center"/>
          </w:tcPr>
          <w:p>
            <w:pPr>
              <w:rPr>
                <w:color w:val="auto"/>
                <w:sz w:val="20"/>
                <w:szCs w:val="20"/>
                <w:highlight w:val="none"/>
              </w:rPr>
            </w:pPr>
            <w:r>
              <w:rPr>
                <w:rFonts w:hint="eastAsia"/>
                <w:color w:val="auto"/>
                <w:sz w:val="20"/>
                <w:szCs w:val="20"/>
                <w:highlight w:val="none"/>
              </w:rPr>
              <w:t>　</w:t>
            </w:r>
          </w:p>
        </w:tc>
        <w:tc>
          <w:tcPr>
            <w:tcW w:w="1120" w:type="dxa"/>
            <w:gridSpan w:val="3"/>
            <w:tcBorders>
              <w:top w:val="nil"/>
              <w:left w:val="nil"/>
              <w:bottom w:val="single" w:color="000000" w:sz="8" w:space="0"/>
              <w:right w:val="single" w:color="000000" w:sz="8" w:space="0"/>
            </w:tcBorders>
            <w:shd w:val="clear" w:color="FFFFFF" w:fill="FFFFFF"/>
            <w:tcMar>
              <w:top w:w="15" w:type="dxa"/>
              <w:left w:w="15" w:type="dxa"/>
              <w:bottom w:w="0" w:type="dxa"/>
              <w:right w:w="15" w:type="dxa"/>
            </w:tcMar>
            <w:vAlign w:val="center"/>
          </w:tcPr>
          <w:p>
            <w:pPr>
              <w:jc w:val="center"/>
              <w:rPr>
                <w:color w:val="auto"/>
                <w:sz w:val="20"/>
                <w:szCs w:val="20"/>
                <w:highlight w:val="none"/>
              </w:rPr>
            </w:pPr>
            <w:r>
              <w:rPr>
                <w:rFonts w:hint="eastAsia"/>
                <w:color w:val="auto"/>
                <w:sz w:val="20"/>
                <w:szCs w:val="20"/>
                <w:highlight w:val="none"/>
              </w:rPr>
              <w:t>按实际发生</w:t>
            </w:r>
          </w:p>
        </w:tc>
      </w:tr>
      <w:tr>
        <w:tblPrEx>
          <w:tblCellMar>
            <w:top w:w="0" w:type="dxa"/>
            <w:left w:w="0" w:type="dxa"/>
            <w:bottom w:w="0" w:type="dxa"/>
            <w:right w:w="0" w:type="dxa"/>
          </w:tblCellMar>
        </w:tblPrEx>
        <w:trPr>
          <w:trHeight w:val="1080" w:hRule="atLeast"/>
          <w:jc w:val="center"/>
        </w:trPr>
        <w:tc>
          <w:tcPr>
            <w:tcW w:w="580"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bottom w:w="0" w:type="dxa"/>
              <w:right w:w="15" w:type="dxa"/>
            </w:tcMar>
            <w:vAlign w:val="center"/>
          </w:tcPr>
          <w:p>
            <w:pPr>
              <w:jc w:val="center"/>
              <w:rPr>
                <w:color w:val="auto"/>
                <w:sz w:val="20"/>
                <w:szCs w:val="20"/>
                <w:highlight w:val="none"/>
              </w:rPr>
            </w:pPr>
            <w:r>
              <w:rPr>
                <w:rFonts w:hint="eastAsia"/>
                <w:color w:val="auto"/>
                <w:sz w:val="20"/>
                <w:szCs w:val="20"/>
                <w:highlight w:val="none"/>
              </w:rPr>
              <w:t>10</w:t>
            </w:r>
          </w:p>
        </w:tc>
        <w:tc>
          <w:tcPr>
            <w:tcW w:w="640" w:type="dxa"/>
            <w:tcBorders>
              <w:top w:val="single" w:color="000000" w:sz="4" w:space="0"/>
              <w:left w:val="nil"/>
              <w:bottom w:val="single" w:color="000000" w:sz="4" w:space="0"/>
              <w:right w:val="single" w:color="000000" w:sz="4" w:space="0"/>
            </w:tcBorders>
            <w:shd w:val="clear" w:color="FFFFFF" w:fill="FFFFFF"/>
            <w:tcMar>
              <w:top w:w="15" w:type="dxa"/>
              <w:left w:w="15" w:type="dxa"/>
              <w:bottom w:w="0" w:type="dxa"/>
              <w:right w:w="15" w:type="dxa"/>
            </w:tcMar>
            <w:vAlign w:val="center"/>
          </w:tcPr>
          <w:p>
            <w:pPr>
              <w:jc w:val="left"/>
              <w:rPr>
                <w:color w:val="auto"/>
                <w:sz w:val="20"/>
                <w:szCs w:val="20"/>
                <w:highlight w:val="none"/>
              </w:rPr>
            </w:pPr>
            <w:r>
              <w:rPr>
                <w:rFonts w:hint="eastAsia"/>
                <w:color w:val="auto"/>
                <w:sz w:val="20"/>
                <w:szCs w:val="20"/>
                <w:highlight w:val="none"/>
              </w:rPr>
              <w:t>　</w:t>
            </w:r>
          </w:p>
        </w:tc>
        <w:tc>
          <w:tcPr>
            <w:tcW w:w="1680" w:type="dxa"/>
            <w:gridSpan w:val="3"/>
            <w:tcBorders>
              <w:top w:val="single" w:color="000000" w:sz="4" w:space="0"/>
              <w:left w:val="nil"/>
              <w:bottom w:val="single" w:color="000000" w:sz="4" w:space="0"/>
              <w:right w:val="single" w:color="000000" w:sz="4" w:space="0"/>
            </w:tcBorders>
            <w:shd w:val="clear" w:color="FFFFFF" w:fill="FFFFFF"/>
            <w:tcMar>
              <w:top w:w="15" w:type="dxa"/>
              <w:left w:w="15" w:type="dxa"/>
              <w:bottom w:w="0" w:type="dxa"/>
              <w:right w:w="15" w:type="dxa"/>
            </w:tcMar>
            <w:vAlign w:val="center"/>
          </w:tcPr>
          <w:p>
            <w:pPr>
              <w:rPr>
                <w:color w:val="auto"/>
                <w:sz w:val="20"/>
                <w:szCs w:val="20"/>
                <w:highlight w:val="none"/>
              </w:rPr>
            </w:pPr>
            <w:r>
              <w:rPr>
                <w:rFonts w:hint="eastAsia"/>
                <w:color w:val="auto"/>
                <w:sz w:val="20"/>
                <w:szCs w:val="20"/>
                <w:highlight w:val="none"/>
              </w:rPr>
              <w:t>其他费用</w:t>
            </w:r>
          </w:p>
        </w:tc>
        <w:tc>
          <w:tcPr>
            <w:tcW w:w="1440" w:type="dxa"/>
            <w:tcBorders>
              <w:top w:val="single" w:color="000000" w:sz="4" w:space="0"/>
              <w:left w:val="nil"/>
              <w:bottom w:val="single" w:color="000000" w:sz="4" w:space="0"/>
              <w:right w:val="single" w:color="000000" w:sz="4" w:space="0"/>
            </w:tcBorders>
            <w:shd w:val="clear" w:color="FFFFFF" w:fill="FFFFFF"/>
            <w:tcMar>
              <w:top w:w="15" w:type="dxa"/>
              <w:left w:w="15" w:type="dxa"/>
              <w:bottom w:w="0" w:type="dxa"/>
              <w:right w:w="15" w:type="dxa"/>
            </w:tcMar>
            <w:vAlign w:val="center"/>
          </w:tcPr>
          <w:p>
            <w:pPr>
              <w:jc w:val="center"/>
              <w:rPr>
                <w:color w:val="auto"/>
                <w:sz w:val="20"/>
                <w:szCs w:val="20"/>
                <w:highlight w:val="none"/>
              </w:rPr>
            </w:pPr>
            <w:r>
              <w:rPr>
                <w:rFonts w:hint="eastAsia"/>
                <w:color w:val="auto"/>
                <w:sz w:val="20"/>
                <w:szCs w:val="20"/>
                <w:highlight w:val="none"/>
              </w:rPr>
              <w:t>　</w:t>
            </w:r>
          </w:p>
        </w:tc>
        <w:tc>
          <w:tcPr>
            <w:tcW w:w="820" w:type="dxa"/>
            <w:gridSpan w:val="3"/>
            <w:tcBorders>
              <w:top w:val="single" w:color="000000" w:sz="4" w:space="0"/>
              <w:left w:val="nil"/>
              <w:bottom w:val="single" w:color="000000" w:sz="4" w:space="0"/>
              <w:right w:val="single" w:color="000000" w:sz="4" w:space="0"/>
            </w:tcBorders>
            <w:shd w:val="clear" w:color="FFFFFF" w:fill="FFFFFF"/>
            <w:tcMar>
              <w:top w:w="15" w:type="dxa"/>
              <w:left w:w="15" w:type="dxa"/>
              <w:bottom w:w="0" w:type="dxa"/>
              <w:right w:w="15" w:type="dxa"/>
            </w:tcMar>
            <w:vAlign w:val="center"/>
          </w:tcPr>
          <w:p>
            <w:pPr>
              <w:jc w:val="right"/>
              <w:rPr>
                <w:color w:val="auto"/>
                <w:sz w:val="20"/>
                <w:szCs w:val="20"/>
                <w:highlight w:val="none"/>
              </w:rPr>
            </w:pPr>
            <w:r>
              <w:rPr>
                <w:rFonts w:hint="eastAsia"/>
                <w:color w:val="auto"/>
                <w:sz w:val="20"/>
                <w:szCs w:val="20"/>
                <w:highlight w:val="none"/>
              </w:rPr>
              <w:t>　</w:t>
            </w:r>
          </w:p>
        </w:tc>
        <w:tc>
          <w:tcPr>
            <w:tcW w:w="740" w:type="dxa"/>
            <w:gridSpan w:val="2"/>
            <w:tcBorders>
              <w:top w:val="single" w:color="000000" w:sz="4" w:space="0"/>
              <w:left w:val="nil"/>
              <w:bottom w:val="single" w:color="000000" w:sz="4" w:space="0"/>
              <w:right w:val="single" w:color="000000" w:sz="4" w:space="0"/>
            </w:tcBorders>
            <w:shd w:val="clear" w:color="FFFFFF" w:fill="FFFFFF"/>
            <w:tcMar>
              <w:top w:w="15" w:type="dxa"/>
              <w:left w:w="15" w:type="dxa"/>
              <w:bottom w:w="0" w:type="dxa"/>
              <w:right w:w="15" w:type="dxa"/>
            </w:tcMar>
            <w:vAlign w:val="center"/>
          </w:tcPr>
          <w:p>
            <w:pPr>
              <w:jc w:val="right"/>
              <w:rPr>
                <w:color w:val="auto"/>
                <w:sz w:val="20"/>
                <w:szCs w:val="20"/>
                <w:highlight w:val="none"/>
              </w:rPr>
            </w:pPr>
            <w:r>
              <w:rPr>
                <w:rFonts w:hint="eastAsia"/>
                <w:color w:val="auto"/>
                <w:sz w:val="20"/>
                <w:szCs w:val="20"/>
                <w:highlight w:val="none"/>
              </w:rPr>
              <w:t>　</w:t>
            </w:r>
          </w:p>
        </w:tc>
        <w:tc>
          <w:tcPr>
            <w:tcW w:w="940" w:type="dxa"/>
            <w:gridSpan w:val="4"/>
            <w:tcBorders>
              <w:top w:val="single" w:color="000000" w:sz="4" w:space="0"/>
              <w:left w:val="nil"/>
              <w:bottom w:val="single" w:color="000000" w:sz="4" w:space="0"/>
              <w:right w:val="single" w:color="000000" w:sz="4" w:space="0"/>
            </w:tcBorders>
            <w:shd w:val="clear" w:color="FFFFFF" w:fill="FFFFFF"/>
            <w:tcMar>
              <w:top w:w="15" w:type="dxa"/>
              <w:left w:w="15" w:type="dxa"/>
              <w:bottom w:w="0" w:type="dxa"/>
              <w:right w:w="15" w:type="dxa"/>
            </w:tcMar>
            <w:vAlign w:val="center"/>
          </w:tcPr>
          <w:p>
            <w:pPr>
              <w:jc w:val="left"/>
              <w:rPr>
                <w:color w:val="auto"/>
                <w:sz w:val="20"/>
                <w:szCs w:val="20"/>
                <w:highlight w:val="none"/>
              </w:rPr>
            </w:pPr>
            <w:r>
              <w:rPr>
                <w:rFonts w:hint="eastAsia"/>
                <w:color w:val="auto"/>
                <w:sz w:val="20"/>
                <w:szCs w:val="20"/>
                <w:highlight w:val="none"/>
              </w:rPr>
              <w:t>　</w:t>
            </w:r>
          </w:p>
        </w:tc>
        <w:tc>
          <w:tcPr>
            <w:tcW w:w="880" w:type="dxa"/>
            <w:gridSpan w:val="3"/>
            <w:tcBorders>
              <w:top w:val="single" w:color="000000" w:sz="4" w:space="0"/>
              <w:left w:val="nil"/>
              <w:bottom w:val="single" w:color="000000" w:sz="4" w:space="0"/>
              <w:right w:val="single" w:color="000000" w:sz="4" w:space="0"/>
            </w:tcBorders>
            <w:shd w:val="clear" w:color="FFFFFF" w:fill="FFFFFF"/>
            <w:tcMar>
              <w:top w:w="15" w:type="dxa"/>
              <w:left w:w="15" w:type="dxa"/>
              <w:bottom w:w="0" w:type="dxa"/>
              <w:right w:w="15" w:type="dxa"/>
            </w:tcMar>
            <w:vAlign w:val="center"/>
          </w:tcPr>
          <w:p>
            <w:pPr>
              <w:rPr>
                <w:color w:val="auto"/>
                <w:sz w:val="20"/>
                <w:szCs w:val="20"/>
                <w:highlight w:val="none"/>
              </w:rPr>
            </w:pPr>
            <w:r>
              <w:rPr>
                <w:rFonts w:hint="eastAsia"/>
                <w:color w:val="auto"/>
                <w:sz w:val="20"/>
                <w:szCs w:val="20"/>
                <w:highlight w:val="none"/>
              </w:rPr>
              <w:t>　</w:t>
            </w:r>
          </w:p>
        </w:tc>
        <w:tc>
          <w:tcPr>
            <w:tcW w:w="1120" w:type="dxa"/>
            <w:gridSpan w:val="3"/>
            <w:tcBorders>
              <w:top w:val="single" w:color="000000" w:sz="4" w:space="0"/>
              <w:left w:val="nil"/>
              <w:bottom w:val="single" w:color="000000" w:sz="4" w:space="0"/>
              <w:right w:val="single" w:color="000000" w:sz="8" w:space="0"/>
            </w:tcBorders>
            <w:shd w:val="clear" w:color="FFFFFF" w:fill="FFFFFF"/>
            <w:tcMar>
              <w:top w:w="15" w:type="dxa"/>
              <w:left w:w="15" w:type="dxa"/>
              <w:bottom w:w="0" w:type="dxa"/>
              <w:right w:w="15" w:type="dxa"/>
            </w:tcMar>
            <w:vAlign w:val="center"/>
          </w:tcPr>
          <w:p>
            <w:pPr>
              <w:jc w:val="center"/>
              <w:rPr>
                <w:color w:val="auto"/>
                <w:sz w:val="20"/>
                <w:szCs w:val="20"/>
                <w:highlight w:val="none"/>
              </w:rPr>
            </w:pPr>
            <w:r>
              <w:rPr>
                <w:rFonts w:hint="eastAsia"/>
                <w:color w:val="auto"/>
                <w:sz w:val="20"/>
                <w:szCs w:val="20"/>
                <w:highlight w:val="none"/>
              </w:rPr>
              <w:t>按实际发生或经批准的施工组织设计方案计算</w:t>
            </w:r>
          </w:p>
        </w:tc>
      </w:tr>
      <w:tr>
        <w:tblPrEx>
          <w:tblCellMar>
            <w:top w:w="0" w:type="dxa"/>
            <w:left w:w="0" w:type="dxa"/>
            <w:bottom w:w="0" w:type="dxa"/>
            <w:right w:w="0" w:type="dxa"/>
          </w:tblCellMar>
        </w:tblPrEx>
        <w:trPr>
          <w:trHeight w:val="360" w:hRule="atLeast"/>
          <w:jc w:val="center"/>
        </w:trPr>
        <w:tc>
          <w:tcPr>
            <w:tcW w:w="580" w:type="dxa"/>
            <w:gridSpan w:val="3"/>
            <w:tcBorders>
              <w:top w:val="nil"/>
              <w:left w:val="single" w:color="000000" w:sz="8" w:space="0"/>
              <w:bottom w:val="single" w:color="000000" w:sz="4" w:space="0"/>
              <w:right w:val="single" w:color="000000" w:sz="4" w:space="0"/>
            </w:tcBorders>
            <w:shd w:val="clear" w:color="FFFFFF" w:fill="FFFFFF"/>
            <w:tcMar>
              <w:top w:w="15" w:type="dxa"/>
              <w:left w:w="15" w:type="dxa"/>
              <w:bottom w:w="0" w:type="dxa"/>
              <w:right w:w="15" w:type="dxa"/>
            </w:tcMar>
            <w:vAlign w:val="center"/>
          </w:tcPr>
          <w:p>
            <w:pPr>
              <w:jc w:val="center"/>
              <w:rPr>
                <w:color w:val="auto"/>
                <w:sz w:val="20"/>
                <w:szCs w:val="20"/>
                <w:highlight w:val="none"/>
              </w:rPr>
            </w:pPr>
            <w:r>
              <w:rPr>
                <w:rFonts w:hint="eastAsia"/>
                <w:color w:val="auto"/>
                <w:sz w:val="20"/>
                <w:szCs w:val="20"/>
                <w:highlight w:val="none"/>
              </w:rPr>
              <w:t>　</w:t>
            </w:r>
          </w:p>
        </w:tc>
        <w:tc>
          <w:tcPr>
            <w:tcW w:w="640" w:type="dxa"/>
            <w:tcBorders>
              <w:top w:val="nil"/>
              <w:left w:val="nil"/>
              <w:bottom w:val="single" w:color="000000" w:sz="4" w:space="0"/>
              <w:right w:val="single" w:color="000000" w:sz="4" w:space="0"/>
            </w:tcBorders>
            <w:shd w:val="clear" w:color="FFFFFF" w:fill="FFFFFF"/>
            <w:tcMar>
              <w:top w:w="15" w:type="dxa"/>
              <w:left w:w="15" w:type="dxa"/>
              <w:bottom w:w="0" w:type="dxa"/>
              <w:right w:w="15" w:type="dxa"/>
            </w:tcMar>
            <w:vAlign w:val="center"/>
          </w:tcPr>
          <w:p>
            <w:pPr>
              <w:jc w:val="left"/>
              <w:rPr>
                <w:color w:val="auto"/>
                <w:sz w:val="20"/>
                <w:szCs w:val="20"/>
                <w:highlight w:val="none"/>
              </w:rPr>
            </w:pPr>
            <w:r>
              <w:rPr>
                <w:rFonts w:hint="eastAsia"/>
                <w:color w:val="auto"/>
                <w:sz w:val="20"/>
                <w:szCs w:val="20"/>
                <w:highlight w:val="none"/>
              </w:rPr>
              <w:t>　</w:t>
            </w:r>
          </w:p>
        </w:tc>
        <w:tc>
          <w:tcPr>
            <w:tcW w:w="1680" w:type="dxa"/>
            <w:gridSpan w:val="3"/>
            <w:tcBorders>
              <w:top w:val="nil"/>
              <w:left w:val="nil"/>
              <w:bottom w:val="single" w:color="000000" w:sz="4" w:space="0"/>
              <w:right w:val="single" w:color="000000" w:sz="4" w:space="0"/>
            </w:tcBorders>
            <w:shd w:val="clear" w:color="FFFFFF" w:fill="FFFFFF"/>
            <w:tcMar>
              <w:top w:w="15" w:type="dxa"/>
              <w:left w:w="15" w:type="dxa"/>
              <w:bottom w:w="0" w:type="dxa"/>
              <w:right w:w="15" w:type="dxa"/>
            </w:tcMar>
            <w:vAlign w:val="center"/>
          </w:tcPr>
          <w:p>
            <w:pPr>
              <w:rPr>
                <w:color w:val="auto"/>
                <w:sz w:val="20"/>
                <w:szCs w:val="20"/>
                <w:highlight w:val="none"/>
              </w:rPr>
            </w:pPr>
            <w:r>
              <w:rPr>
                <w:rFonts w:hint="eastAsia"/>
                <w:color w:val="auto"/>
                <w:sz w:val="20"/>
                <w:szCs w:val="20"/>
                <w:highlight w:val="none"/>
              </w:rPr>
              <w:t>　</w:t>
            </w:r>
          </w:p>
        </w:tc>
        <w:tc>
          <w:tcPr>
            <w:tcW w:w="1440" w:type="dxa"/>
            <w:tcBorders>
              <w:top w:val="nil"/>
              <w:left w:val="nil"/>
              <w:bottom w:val="single" w:color="000000" w:sz="4" w:space="0"/>
              <w:right w:val="single" w:color="000000" w:sz="4" w:space="0"/>
            </w:tcBorders>
            <w:shd w:val="clear" w:color="FFFFFF" w:fill="FFFFFF"/>
            <w:tcMar>
              <w:top w:w="15" w:type="dxa"/>
              <w:left w:w="15" w:type="dxa"/>
              <w:bottom w:w="0" w:type="dxa"/>
              <w:right w:w="15" w:type="dxa"/>
            </w:tcMar>
            <w:vAlign w:val="center"/>
          </w:tcPr>
          <w:p>
            <w:pPr>
              <w:jc w:val="center"/>
              <w:rPr>
                <w:color w:val="auto"/>
                <w:sz w:val="20"/>
                <w:szCs w:val="20"/>
                <w:highlight w:val="none"/>
              </w:rPr>
            </w:pPr>
            <w:r>
              <w:rPr>
                <w:rFonts w:hint="eastAsia"/>
                <w:color w:val="auto"/>
                <w:sz w:val="20"/>
                <w:szCs w:val="20"/>
                <w:highlight w:val="none"/>
              </w:rPr>
              <w:t>　</w:t>
            </w:r>
          </w:p>
        </w:tc>
        <w:tc>
          <w:tcPr>
            <w:tcW w:w="820" w:type="dxa"/>
            <w:gridSpan w:val="3"/>
            <w:tcBorders>
              <w:top w:val="single" w:color="000000" w:sz="4" w:space="0"/>
              <w:left w:val="nil"/>
              <w:bottom w:val="single" w:color="000000" w:sz="4" w:space="0"/>
              <w:right w:val="single" w:color="000000" w:sz="4" w:space="0"/>
            </w:tcBorders>
            <w:shd w:val="clear" w:color="FFFFFF" w:fill="FFFFFF"/>
            <w:tcMar>
              <w:top w:w="15" w:type="dxa"/>
              <w:left w:w="15" w:type="dxa"/>
              <w:bottom w:w="0" w:type="dxa"/>
              <w:right w:w="15" w:type="dxa"/>
            </w:tcMar>
            <w:vAlign w:val="center"/>
          </w:tcPr>
          <w:p>
            <w:pPr>
              <w:jc w:val="right"/>
              <w:rPr>
                <w:color w:val="auto"/>
                <w:sz w:val="20"/>
                <w:szCs w:val="20"/>
                <w:highlight w:val="none"/>
              </w:rPr>
            </w:pPr>
            <w:r>
              <w:rPr>
                <w:rFonts w:hint="eastAsia"/>
                <w:color w:val="auto"/>
                <w:sz w:val="20"/>
                <w:szCs w:val="20"/>
                <w:highlight w:val="none"/>
              </w:rPr>
              <w:t>　</w:t>
            </w:r>
          </w:p>
        </w:tc>
        <w:tc>
          <w:tcPr>
            <w:tcW w:w="740" w:type="dxa"/>
            <w:gridSpan w:val="2"/>
            <w:tcBorders>
              <w:top w:val="nil"/>
              <w:left w:val="nil"/>
              <w:bottom w:val="single" w:color="000000" w:sz="4" w:space="0"/>
              <w:right w:val="single" w:color="000000" w:sz="4" w:space="0"/>
            </w:tcBorders>
            <w:shd w:val="clear" w:color="FFFFFF" w:fill="FFFFFF"/>
            <w:tcMar>
              <w:top w:w="15" w:type="dxa"/>
              <w:left w:w="15" w:type="dxa"/>
              <w:bottom w:w="0" w:type="dxa"/>
              <w:right w:w="15" w:type="dxa"/>
            </w:tcMar>
            <w:vAlign w:val="center"/>
          </w:tcPr>
          <w:p>
            <w:pPr>
              <w:jc w:val="right"/>
              <w:rPr>
                <w:color w:val="auto"/>
                <w:sz w:val="20"/>
                <w:szCs w:val="20"/>
                <w:highlight w:val="none"/>
              </w:rPr>
            </w:pPr>
            <w:r>
              <w:rPr>
                <w:rFonts w:hint="eastAsia"/>
                <w:color w:val="auto"/>
                <w:sz w:val="20"/>
                <w:szCs w:val="20"/>
                <w:highlight w:val="none"/>
              </w:rPr>
              <w:t>　</w:t>
            </w:r>
          </w:p>
        </w:tc>
        <w:tc>
          <w:tcPr>
            <w:tcW w:w="940" w:type="dxa"/>
            <w:gridSpan w:val="4"/>
            <w:tcBorders>
              <w:top w:val="single" w:color="000000" w:sz="4" w:space="0"/>
              <w:left w:val="nil"/>
              <w:bottom w:val="single" w:color="000000" w:sz="4" w:space="0"/>
              <w:right w:val="single" w:color="000000" w:sz="4" w:space="0"/>
            </w:tcBorders>
            <w:shd w:val="clear" w:color="FFFFFF" w:fill="FFFFFF"/>
            <w:tcMar>
              <w:top w:w="15" w:type="dxa"/>
              <w:left w:w="15" w:type="dxa"/>
              <w:bottom w:w="0" w:type="dxa"/>
              <w:right w:w="15" w:type="dxa"/>
            </w:tcMar>
            <w:vAlign w:val="center"/>
          </w:tcPr>
          <w:p>
            <w:pPr>
              <w:jc w:val="left"/>
              <w:rPr>
                <w:color w:val="auto"/>
                <w:sz w:val="20"/>
                <w:szCs w:val="20"/>
                <w:highlight w:val="none"/>
              </w:rPr>
            </w:pPr>
            <w:r>
              <w:rPr>
                <w:rFonts w:hint="eastAsia"/>
                <w:color w:val="auto"/>
                <w:sz w:val="20"/>
                <w:szCs w:val="20"/>
                <w:highlight w:val="none"/>
              </w:rPr>
              <w:t>　</w:t>
            </w:r>
          </w:p>
        </w:tc>
        <w:tc>
          <w:tcPr>
            <w:tcW w:w="880" w:type="dxa"/>
            <w:gridSpan w:val="3"/>
            <w:tcBorders>
              <w:top w:val="nil"/>
              <w:left w:val="nil"/>
              <w:bottom w:val="single" w:color="000000" w:sz="4" w:space="0"/>
              <w:right w:val="single" w:color="000000" w:sz="4" w:space="0"/>
            </w:tcBorders>
            <w:shd w:val="clear" w:color="FFFFFF" w:fill="FFFFFF"/>
            <w:tcMar>
              <w:top w:w="15" w:type="dxa"/>
              <w:left w:w="15" w:type="dxa"/>
              <w:bottom w:w="0" w:type="dxa"/>
              <w:right w:w="15" w:type="dxa"/>
            </w:tcMar>
            <w:vAlign w:val="center"/>
          </w:tcPr>
          <w:p>
            <w:pPr>
              <w:rPr>
                <w:color w:val="auto"/>
                <w:sz w:val="20"/>
                <w:szCs w:val="20"/>
                <w:highlight w:val="none"/>
              </w:rPr>
            </w:pPr>
            <w:r>
              <w:rPr>
                <w:rFonts w:hint="eastAsia"/>
                <w:color w:val="auto"/>
                <w:sz w:val="20"/>
                <w:szCs w:val="20"/>
                <w:highlight w:val="none"/>
              </w:rPr>
              <w:t>　</w:t>
            </w:r>
          </w:p>
        </w:tc>
        <w:tc>
          <w:tcPr>
            <w:tcW w:w="1120" w:type="dxa"/>
            <w:gridSpan w:val="3"/>
            <w:tcBorders>
              <w:top w:val="nil"/>
              <w:left w:val="nil"/>
              <w:bottom w:val="single" w:color="000000" w:sz="4" w:space="0"/>
              <w:right w:val="single" w:color="000000" w:sz="8" w:space="0"/>
            </w:tcBorders>
            <w:shd w:val="clear" w:color="FFFFFF" w:fill="FFFFFF"/>
            <w:tcMar>
              <w:top w:w="15" w:type="dxa"/>
              <w:left w:w="15" w:type="dxa"/>
              <w:bottom w:w="0" w:type="dxa"/>
              <w:right w:w="15" w:type="dxa"/>
            </w:tcMar>
            <w:vAlign w:val="center"/>
          </w:tcPr>
          <w:p>
            <w:pPr>
              <w:jc w:val="center"/>
              <w:rPr>
                <w:color w:val="auto"/>
                <w:sz w:val="20"/>
                <w:szCs w:val="20"/>
                <w:highlight w:val="none"/>
              </w:rPr>
            </w:pPr>
            <w:r>
              <w:rPr>
                <w:rFonts w:hint="eastAsia"/>
                <w:color w:val="auto"/>
                <w:sz w:val="20"/>
                <w:szCs w:val="20"/>
                <w:highlight w:val="none"/>
              </w:rPr>
              <w:t>　</w:t>
            </w:r>
          </w:p>
        </w:tc>
      </w:tr>
      <w:tr>
        <w:tblPrEx>
          <w:tblCellMar>
            <w:top w:w="0" w:type="dxa"/>
            <w:left w:w="0" w:type="dxa"/>
            <w:bottom w:w="0" w:type="dxa"/>
            <w:right w:w="0" w:type="dxa"/>
          </w:tblCellMar>
        </w:tblPrEx>
        <w:trPr>
          <w:trHeight w:val="360" w:hRule="atLeast"/>
          <w:jc w:val="center"/>
        </w:trPr>
        <w:tc>
          <w:tcPr>
            <w:tcW w:w="5160" w:type="dxa"/>
            <w:gridSpan w:val="11"/>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bottom w:w="0" w:type="dxa"/>
              <w:right w:w="15" w:type="dxa"/>
            </w:tcMar>
            <w:vAlign w:val="center"/>
          </w:tcPr>
          <w:p>
            <w:pPr>
              <w:jc w:val="center"/>
              <w:rPr>
                <w:color w:val="auto"/>
                <w:sz w:val="20"/>
                <w:szCs w:val="20"/>
                <w:highlight w:val="none"/>
              </w:rPr>
            </w:pPr>
            <w:r>
              <w:rPr>
                <w:rFonts w:hint="eastAsia"/>
                <w:color w:val="auto"/>
                <w:sz w:val="20"/>
                <w:szCs w:val="20"/>
                <w:highlight w:val="none"/>
              </w:rPr>
              <w:t>合    计</w:t>
            </w:r>
          </w:p>
        </w:tc>
        <w:tc>
          <w:tcPr>
            <w:tcW w:w="740" w:type="dxa"/>
            <w:gridSpan w:val="2"/>
            <w:tcBorders>
              <w:top w:val="nil"/>
              <w:left w:val="nil"/>
              <w:bottom w:val="single" w:color="000000" w:sz="8" w:space="0"/>
              <w:right w:val="single" w:color="000000" w:sz="4" w:space="0"/>
            </w:tcBorders>
            <w:shd w:val="clear" w:color="FFFFFF" w:fill="FFFFFF"/>
            <w:tcMar>
              <w:top w:w="15" w:type="dxa"/>
              <w:left w:w="15" w:type="dxa"/>
              <w:bottom w:w="0" w:type="dxa"/>
              <w:right w:w="15" w:type="dxa"/>
            </w:tcMar>
            <w:vAlign w:val="center"/>
          </w:tcPr>
          <w:p>
            <w:pPr>
              <w:jc w:val="right"/>
              <w:rPr>
                <w:color w:val="auto"/>
                <w:sz w:val="20"/>
                <w:szCs w:val="20"/>
                <w:highlight w:val="none"/>
              </w:rPr>
            </w:pPr>
            <w:r>
              <w:rPr>
                <w:rFonts w:hint="eastAsia"/>
                <w:color w:val="auto"/>
                <w:sz w:val="20"/>
                <w:szCs w:val="20"/>
                <w:highlight w:val="none"/>
              </w:rPr>
              <w:t>　</w:t>
            </w:r>
          </w:p>
        </w:tc>
        <w:tc>
          <w:tcPr>
            <w:tcW w:w="940" w:type="dxa"/>
            <w:gridSpan w:val="4"/>
            <w:tcBorders>
              <w:top w:val="single" w:color="000000" w:sz="4" w:space="0"/>
              <w:left w:val="nil"/>
              <w:bottom w:val="single" w:color="000000" w:sz="8" w:space="0"/>
              <w:right w:val="single" w:color="000000" w:sz="4" w:space="0"/>
            </w:tcBorders>
            <w:shd w:val="clear" w:color="FFFFFF" w:fill="FFFFFF"/>
            <w:tcMar>
              <w:top w:w="15" w:type="dxa"/>
              <w:left w:w="15" w:type="dxa"/>
              <w:bottom w:w="0" w:type="dxa"/>
              <w:right w:w="15" w:type="dxa"/>
            </w:tcMar>
            <w:vAlign w:val="center"/>
          </w:tcPr>
          <w:p>
            <w:pPr>
              <w:jc w:val="left"/>
              <w:rPr>
                <w:color w:val="auto"/>
                <w:sz w:val="20"/>
                <w:szCs w:val="20"/>
                <w:highlight w:val="none"/>
              </w:rPr>
            </w:pPr>
            <w:r>
              <w:rPr>
                <w:rFonts w:hint="eastAsia"/>
                <w:color w:val="auto"/>
                <w:sz w:val="20"/>
                <w:szCs w:val="20"/>
                <w:highlight w:val="none"/>
              </w:rPr>
              <w:t>　</w:t>
            </w:r>
          </w:p>
        </w:tc>
        <w:tc>
          <w:tcPr>
            <w:tcW w:w="880" w:type="dxa"/>
            <w:gridSpan w:val="3"/>
            <w:tcBorders>
              <w:top w:val="nil"/>
              <w:left w:val="nil"/>
              <w:bottom w:val="single" w:color="000000" w:sz="8" w:space="0"/>
              <w:right w:val="single" w:color="000000" w:sz="4" w:space="0"/>
            </w:tcBorders>
            <w:shd w:val="clear" w:color="FFFFFF" w:fill="FFFFFF"/>
            <w:tcMar>
              <w:top w:w="15" w:type="dxa"/>
              <w:left w:w="15" w:type="dxa"/>
              <w:bottom w:w="0" w:type="dxa"/>
              <w:right w:w="15" w:type="dxa"/>
            </w:tcMar>
            <w:vAlign w:val="center"/>
          </w:tcPr>
          <w:p>
            <w:pPr>
              <w:rPr>
                <w:color w:val="auto"/>
                <w:sz w:val="20"/>
                <w:szCs w:val="20"/>
                <w:highlight w:val="none"/>
              </w:rPr>
            </w:pPr>
            <w:r>
              <w:rPr>
                <w:rFonts w:hint="eastAsia"/>
                <w:color w:val="auto"/>
                <w:sz w:val="20"/>
                <w:szCs w:val="20"/>
                <w:highlight w:val="none"/>
              </w:rPr>
              <w:t>　</w:t>
            </w:r>
          </w:p>
        </w:tc>
        <w:tc>
          <w:tcPr>
            <w:tcW w:w="1120" w:type="dxa"/>
            <w:gridSpan w:val="3"/>
            <w:tcBorders>
              <w:top w:val="nil"/>
              <w:left w:val="nil"/>
              <w:bottom w:val="single" w:color="000000" w:sz="8" w:space="0"/>
              <w:right w:val="single" w:color="000000" w:sz="8" w:space="0"/>
            </w:tcBorders>
            <w:shd w:val="clear" w:color="FFFFFF" w:fill="FFFFFF"/>
            <w:tcMar>
              <w:top w:w="15" w:type="dxa"/>
              <w:left w:w="15" w:type="dxa"/>
              <w:bottom w:w="0" w:type="dxa"/>
              <w:right w:w="15" w:type="dxa"/>
            </w:tcMar>
            <w:vAlign w:val="center"/>
          </w:tcPr>
          <w:p>
            <w:pPr>
              <w:rPr>
                <w:color w:val="auto"/>
                <w:sz w:val="20"/>
                <w:szCs w:val="20"/>
                <w:highlight w:val="none"/>
              </w:rPr>
            </w:pPr>
            <w:r>
              <w:rPr>
                <w:rFonts w:hint="eastAsia"/>
                <w:color w:val="auto"/>
                <w:sz w:val="20"/>
                <w:szCs w:val="20"/>
                <w:highlight w:val="none"/>
              </w:rPr>
              <w:t>　</w:t>
            </w:r>
          </w:p>
        </w:tc>
      </w:tr>
    </w:tbl>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p>
    <w:tbl>
      <w:tblPr>
        <w:tblStyle w:val="22"/>
        <w:tblW w:w="8789" w:type="dxa"/>
        <w:tblInd w:w="108" w:type="dxa"/>
        <w:tblLayout w:type="autofit"/>
        <w:tblCellMar>
          <w:top w:w="0" w:type="dxa"/>
          <w:left w:w="108" w:type="dxa"/>
          <w:bottom w:w="0" w:type="dxa"/>
          <w:right w:w="108" w:type="dxa"/>
        </w:tblCellMar>
      </w:tblPr>
      <w:tblGrid>
        <w:gridCol w:w="851"/>
        <w:gridCol w:w="3544"/>
        <w:gridCol w:w="992"/>
        <w:gridCol w:w="567"/>
        <w:gridCol w:w="246"/>
        <w:gridCol w:w="1455"/>
        <w:gridCol w:w="1134"/>
      </w:tblGrid>
      <w:tr>
        <w:tblPrEx>
          <w:tblCellMar>
            <w:top w:w="0" w:type="dxa"/>
            <w:left w:w="108" w:type="dxa"/>
            <w:bottom w:w="0" w:type="dxa"/>
            <w:right w:w="108" w:type="dxa"/>
          </w:tblCellMar>
        </w:tblPrEx>
        <w:trPr>
          <w:trHeight w:val="510" w:hRule="atLeast"/>
        </w:trPr>
        <w:tc>
          <w:tcPr>
            <w:tcW w:w="8789" w:type="dxa"/>
            <w:gridSpan w:val="7"/>
            <w:tcBorders>
              <w:top w:val="nil"/>
              <w:left w:val="nil"/>
              <w:bottom w:val="nil"/>
              <w:right w:val="nil"/>
            </w:tcBorders>
            <w:shd w:val="clear" w:color="FFFFFF" w:fill="FFFFFF"/>
            <w:vAlign w:val="center"/>
          </w:tcPr>
          <w:p>
            <w:pPr>
              <w:widowControl/>
              <w:jc w:val="center"/>
              <w:rPr>
                <w:rFonts w:ascii="宋体" w:hAnsi="宋体" w:eastAsia="宋体" w:cs="宋体"/>
                <w:b/>
                <w:bCs/>
                <w:color w:val="auto"/>
                <w:kern w:val="0"/>
                <w:sz w:val="40"/>
                <w:szCs w:val="40"/>
                <w:highlight w:val="none"/>
              </w:rPr>
            </w:pPr>
            <w:r>
              <w:rPr>
                <w:rFonts w:hint="eastAsia" w:ascii="宋体" w:hAnsi="宋体" w:eastAsia="宋体" w:cs="宋体"/>
                <w:b/>
                <w:bCs/>
                <w:color w:val="auto"/>
                <w:kern w:val="0"/>
                <w:sz w:val="40"/>
                <w:szCs w:val="40"/>
                <w:highlight w:val="none"/>
              </w:rPr>
              <w:t>其他项目清单与计价汇总表</w:t>
            </w:r>
          </w:p>
        </w:tc>
      </w:tr>
      <w:tr>
        <w:tblPrEx>
          <w:tblCellMar>
            <w:top w:w="0" w:type="dxa"/>
            <w:left w:w="108" w:type="dxa"/>
            <w:bottom w:w="0" w:type="dxa"/>
            <w:right w:w="108" w:type="dxa"/>
          </w:tblCellMar>
        </w:tblPrEx>
        <w:trPr>
          <w:trHeight w:val="240" w:hRule="atLeast"/>
        </w:trPr>
        <w:tc>
          <w:tcPr>
            <w:tcW w:w="5387" w:type="dxa"/>
            <w:gridSpan w:val="3"/>
            <w:tcBorders>
              <w:top w:val="nil"/>
              <w:left w:val="nil"/>
              <w:bottom w:val="nil"/>
              <w:right w:val="nil"/>
            </w:tcBorders>
            <w:shd w:val="clear" w:color="FFFFFF" w:fill="FFFFFF"/>
            <w:vAlign w:val="bottom"/>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工程名称：石井净水分公司厂区高压电缆管线优化项目</w:t>
            </w:r>
          </w:p>
        </w:tc>
        <w:tc>
          <w:tcPr>
            <w:tcW w:w="813" w:type="dxa"/>
            <w:gridSpan w:val="2"/>
            <w:tcBorders>
              <w:top w:val="nil"/>
              <w:left w:val="nil"/>
              <w:bottom w:val="nil"/>
              <w:right w:val="nil"/>
            </w:tcBorders>
            <w:shd w:val="clear" w:color="FFFFFF" w:fill="FFFFFF"/>
            <w:vAlign w:val="bottom"/>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标段：</w:t>
            </w:r>
          </w:p>
        </w:tc>
        <w:tc>
          <w:tcPr>
            <w:tcW w:w="2589" w:type="dxa"/>
            <w:gridSpan w:val="2"/>
            <w:tcBorders>
              <w:top w:val="nil"/>
              <w:left w:val="nil"/>
              <w:bottom w:val="nil"/>
              <w:right w:val="nil"/>
            </w:tcBorders>
            <w:shd w:val="clear" w:color="FFFFFF" w:fill="FFFFFF"/>
            <w:vAlign w:val="bottom"/>
          </w:tcPr>
          <w:p>
            <w:pPr>
              <w:widowControl/>
              <w:jc w:val="righ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240" w:hRule="atLeast"/>
        </w:trPr>
        <w:tc>
          <w:tcPr>
            <w:tcW w:w="851"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序号</w:t>
            </w:r>
          </w:p>
        </w:tc>
        <w:tc>
          <w:tcPr>
            <w:tcW w:w="3544" w:type="dxa"/>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项目名称</w:t>
            </w:r>
          </w:p>
        </w:tc>
        <w:tc>
          <w:tcPr>
            <w:tcW w:w="1559" w:type="dxa"/>
            <w:gridSpan w:val="2"/>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金额（元）</w:t>
            </w:r>
          </w:p>
        </w:tc>
        <w:tc>
          <w:tcPr>
            <w:tcW w:w="1701" w:type="dxa"/>
            <w:gridSpan w:val="2"/>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结算金额（元）</w:t>
            </w:r>
          </w:p>
        </w:tc>
        <w:tc>
          <w:tcPr>
            <w:tcW w:w="1134" w:type="dxa"/>
            <w:tcBorders>
              <w:top w:val="single" w:color="000000" w:sz="8" w:space="0"/>
              <w:left w:val="nil"/>
              <w:bottom w:val="single" w:color="000000" w:sz="4" w:space="0"/>
              <w:right w:val="single" w:color="000000" w:sz="8" w:space="0"/>
            </w:tcBorders>
            <w:shd w:val="clear" w:color="FFFFFF" w:fill="FFFFFF"/>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备注</w:t>
            </w:r>
          </w:p>
        </w:tc>
      </w:tr>
      <w:tr>
        <w:tblPrEx>
          <w:tblCellMar>
            <w:top w:w="0" w:type="dxa"/>
            <w:left w:w="108" w:type="dxa"/>
            <w:bottom w:w="0" w:type="dxa"/>
            <w:right w:w="108" w:type="dxa"/>
          </w:tblCellMar>
        </w:tblPrEx>
        <w:trPr>
          <w:trHeight w:val="240" w:hRule="atLeast"/>
        </w:trPr>
        <w:tc>
          <w:tcPr>
            <w:tcW w:w="851"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354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暂列金额</w:t>
            </w:r>
          </w:p>
        </w:tc>
        <w:tc>
          <w:tcPr>
            <w:tcW w:w="1559"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701"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134" w:type="dxa"/>
            <w:tcBorders>
              <w:top w:val="nil"/>
              <w:left w:val="nil"/>
              <w:bottom w:val="single" w:color="000000" w:sz="4" w:space="0"/>
              <w:right w:val="single" w:color="000000" w:sz="8" w:space="0"/>
            </w:tcBorders>
            <w:shd w:val="clear" w:color="FFFFFF" w:fill="FFFFFF"/>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240" w:hRule="atLeast"/>
        </w:trPr>
        <w:tc>
          <w:tcPr>
            <w:tcW w:w="851"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w:t>
            </w:r>
          </w:p>
        </w:tc>
        <w:tc>
          <w:tcPr>
            <w:tcW w:w="354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暂估价</w:t>
            </w:r>
          </w:p>
        </w:tc>
        <w:tc>
          <w:tcPr>
            <w:tcW w:w="1559"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701"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134" w:type="dxa"/>
            <w:tcBorders>
              <w:top w:val="nil"/>
              <w:left w:val="nil"/>
              <w:bottom w:val="single" w:color="000000" w:sz="4" w:space="0"/>
              <w:right w:val="single" w:color="000000" w:sz="8" w:space="0"/>
            </w:tcBorders>
            <w:shd w:val="clear" w:color="FFFFFF" w:fill="FFFFFF"/>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240" w:hRule="atLeast"/>
        </w:trPr>
        <w:tc>
          <w:tcPr>
            <w:tcW w:w="851"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2.1</w:t>
            </w:r>
          </w:p>
        </w:tc>
        <w:tc>
          <w:tcPr>
            <w:tcW w:w="354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材料暂估价</w:t>
            </w:r>
          </w:p>
        </w:tc>
        <w:tc>
          <w:tcPr>
            <w:tcW w:w="1559"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w:t>
            </w:r>
          </w:p>
        </w:tc>
        <w:tc>
          <w:tcPr>
            <w:tcW w:w="1701"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134" w:type="dxa"/>
            <w:tcBorders>
              <w:top w:val="nil"/>
              <w:left w:val="nil"/>
              <w:bottom w:val="single" w:color="000000" w:sz="4" w:space="0"/>
              <w:right w:val="single" w:color="000000" w:sz="8" w:space="0"/>
            </w:tcBorders>
            <w:shd w:val="clear" w:color="FFFFFF" w:fill="FFFFFF"/>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240" w:hRule="atLeast"/>
        </w:trPr>
        <w:tc>
          <w:tcPr>
            <w:tcW w:w="851"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2.2</w:t>
            </w:r>
          </w:p>
        </w:tc>
        <w:tc>
          <w:tcPr>
            <w:tcW w:w="354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专业工程暂估价</w:t>
            </w:r>
          </w:p>
        </w:tc>
        <w:tc>
          <w:tcPr>
            <w:tcW w:w="1559"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701"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134" w:type="dxa"/>
            <w:tcBorders>
              <w:top w:val="nil"/>
              <w:left w:val="nil"/>
              <w:bottom w:val="single" w:color="000000" w:sz="4" w:space="0"/>
              <w:right w:val="single" w:color="000000" w:sz="8" w:space="0"/>
            </w:tcBorders>
            <w:shd w:val="clear" w:color="FFFFFF" w:fill="FFFFFF"/>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240" w:hRule="atLeast"/>
        </w:trPr>
        <w:tc>
          <w:tcPr>
            <w:tcW w:w="851"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w:t>
            </w:r>
          </w:p>
        </w:tc>
        <w:tc>
          <w:tcPr>
            <w:tcW w:w="354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计日工</w:t>
            </w:r>
          </w:p>
        </w:tc>
        <w:tc>
          <w:tcPr>
            <w:tcW w:w="1559"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701"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134" w:type="dxa"/>
            <w:tcBorders>
              <w:top w:val="nil"/>
              <w:left w:val="nil"/>
              <w:bottom w:val="single" w:color="000000" w:sz="4" w:space="0"/>
              <w:right w:val="single" w:color="000000" w:sz="8" w:space="0"/>
            </w:tcBorders>
            <w:shd w:val="clear" w:color="FFFFFF" w:fill="FFFFFF"/>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240" w:hRule="atLeast"/>
        </w:trPr>
        <w:tc>
          <w:tcPr>
            <w:tcW w:w="851"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w:t>
            </w:r>
          </w:p>
        </w:tc>
        <w:tc>
          <w:tcPr>
            <w:tcW w:w="354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总承包服务费</w:t>
            </w:r>
          </w:p>
        </w:tc>
        <w:tc>
          <w:tcPr>
            <w:tcW w:w="1559"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701"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134" w:type="dxa"/>
            <w:tcBorders>
              <w:top w:val="nil"/>
              <w:left w:val="nil"/>
              <w:bottom w:val="single" w:color="000000" w:sz="4" w:space="0"/>
              <w:right w:val="single" w:color="000000" w:sz="8" w:space="0"/>
            </w:tcBorders>
            <w:shd w:val="clear" w:color="FFFFFF" w:fill="FFFFFF"/>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240" w:hRule="atLeast"/>
        </w:trPr>
        <w:tc>
          <w:tcPr>
            <w:tcW w:w="851"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w:t>
            </w:r>
          </w:p>
        </w:tc>
        <w:tc>
          <w:tcPr>
            <w:tcW w:w="354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预算包干费</w:t>
            </w:r>
          </w:p>
        </w:tc>
        <w:tc>
          <w:tcPr>
            <w:tcW w:w="1559"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701"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134" w:type="dxa"/>
            <w:tcBorders>
              <w:top w:val="nil"/>
              <w:left w:val="nil"/>
              <w:bottom w:val="single" w:color="000000" w:sz="4" w:space="0"/>
              <w:right w:val="single" w:color="000000" w:sz="8" w:space="0"/>
            </w:tcBorders>
            <w:shd w:val="clear" w:color="FFFFFF" w:fill="FFFFFF"/>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240" w:hRule="atLeast"/>
        </w:trPr>
        <w:tc>
          <w:tcPr>
            <w:tcW w:w="851"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w:t>
            </w:r>
          </w:p>
        </w:tc>
        <w:tc>
          <w:tcPr>
            <w:tcW w:w="354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工程优质费</w:t>
            </w:r>
          </w:p>
        </w:tc>
        <w:tc>
          <w:tcPr>
            <w:tcW w:w="1559"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701"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134" w:type="dxa"/>
            <w:tcBorders>
              <w:top w:val="nil"/>
              <w:left w:val="nil"/>
              <w:bottom w:val="single" w:color="000000" w:sz="4" w:space="0"/>
              <w:right w:val="single" w:color="000000" w:sz="8" w:space="0"/>
            </w:tcBorders>
            <w:shd w:val="clear" w:color="FFFFFF" w:fill="FFFFFF"/>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240" w:hRule="atLeast"/>
        </w:trPr>
        <w:tc>
          <w:tcPr>
            <w:tcW w:w="851"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7</w:t>
            </w:r>
          </w:p>
        </w:tc>
        <w:tc>
          <w:tcPr>
            <w:tcW w:w="354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概算幅度差</w:t>
            </w:r>
          </w:p>
        </w:tc>
        <w:tc>
          <w:tcPr>
            <w:tcW w:w="1559"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701"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134" w:type="dxa"/>
            <w:tcBorders>
              <w:top w:val="nil"/>
              <w:left w:val="nil"/>
              <w:bottom w:val="single" w:color="000000" w:sz="4" w:space="0"/>
              <w:right w:val="single" w:color="000000" w:sz="8" w:space="0"/>
            </w:tcBorders>
            <w:shd w:val="clear" w:color="FFFFFF" w:fill="FFFFFF"/>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240" w:hRule="atLeast"/>
        </w:trPr>
        <w:tc>
          <w:tcPr>
            <w:tcW w:w="851"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8</w:t>
            </w:r>
          </w:p>
        </w:tc>
        <w:tc>
          <w:tcPr>
            <w:tcW w:w="354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现场签证费用</w:t>
            </w:r>
          </w:p>
        </w:tc>
        <w:tc>
          <w:tcPr>
            <w:tcW w:w="1559"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701"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134" w:type="dxa"/>
            <w:tcBorders>
              <w:top w:val="nil"/>
              <w:left w:val="nil"/>
              <w:bottom w:val="single" w:color="000000" w:sz="4" w:space="0"/>
              <w:right w:val="single" w:color="000000" w:sz="8" w:space="0"/>
            </w:tcBorders>
            <w:shd w:val="clear" w:color="FFFFFF" w:fill="FFFFFF"/>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rPr>
          <w:trHeight w:val="240" w:hRule="atLeast"/>
        </w:trPr>
        <w:tc>
          <w:tcPr>
            <w:tcW w:w="851"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9</w:t>
            </w:r>
          </w:p>
        </w:tc>
        <w:tc>
          <w:tcPr>
            <w:tcW w:w="354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索赔费用</w:t>
            </w:r>
          </w:p>
        </w:tc>
        <w:tc>
          <w:tcPr>
            <w:tcW w:w="1559"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701"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134" w:type="dxa"/>
            <w:tcBorders>
              <w:top w:val="nil"/>
              <w:left w:val="nil"/>
              <w:bottom w:val="single" w:color="000000" w:sz="4" w:space="0"/>
              <w:right w:val="single" w:color="000000" w:sz="8" w:space="0"/>
            </w:tcBorders>
            <w:shd w:val="clear" w:color="FFFFFF" w:fill="FFFFFF"/>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240" w:hRule="atLeast"/>
        </w:trPr>
        <w:tc>
          <w:tcPr>
            <w:tcW w:w="851"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w:t>
            </w:r>
          </w:p>
        </w:tc>
        <w:tc>
          <w:tcPr>
            <w:tcW w:w="354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其他费用</w:t>
            </w:r>
          </w:p>
        </w:tc>
        <w:tc>
          <w:tcPr>
            <w:tcW w:w="1559"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701"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134" w:type="dxa"/>
            <w:tcBorders>
              <w:top w:val="nil"/>
              <w:left w:val="nil"/>
              <w:bottom w:val="single" w:color="000000" w:sz="4" w:space="0"/>
              <w:right w:val="single" w:color="000000" w:sz="8" w:space="0"/>
            </w:tcBorders>
            <w:shd w:val="clear" w:color="FFFFFF" w:fill="FFFFFF"/>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240" w:hRule="atLeast"/>
        </w:trPr>
        <w:tc>
          <w:tcPr>
            <w:tcW w:w="851" w:type="dxa"/>
            <w:tcBorders>
              <w:top w:val="nil"/>
              <w:left w:val="single" w:color="000000" w:sz="8" w:space="0"/>
              <w:bottom w:val="single" w:color="000000" w:sz="8" w:space="0"/>
              <w:right w:val="single" w:color="000000" w:sz="4" w:space="0"/>
            </w:tcBorders>
            <w:shd w:val="clear" w:color="FFFFFF" w:fill="FFFFFF"/>
            <w:vAlign w:val="center"/>
          </w:tcPr>
          <w:p>
            <w:pPr>
              <w:widowControl/>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3544" w:type="dxa"/>
            <w:tcBorders>
              <w:top w:val="nil"/>
              <w:left w:val="nil"/>
              <w:bottom w:val="single" w:color="000000" w:sz="8" w:space="0"/>
              <w:right w:val="single" w:color="000000" w:sz="4" w:space="0"/>
            </w:tcBorders>
            <w:shd w:val="clear" w:color="FFFFFF" w:fill="FFFFFF"/>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合  计</w:t>
            </w:r>
          </w:p>
        </w:tc>
        <w:tc>
          <w:tcPr>
            <w:tcW w:w="1559" w:type="dxa"/>
            <w:gridSpan w:val="2"/>
            <w:tcBorders>
              <w:top w:val="single" w:color="000000" w:sz="4" w:space="0"/>
              <w:left w:val="nil"/>
              <w:bottom w:val="single" w:color="000000" w:sz="8"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701" w:type="dxa"/>
            <w:gridSpan w:val="2"/>
            <w:tcBorders>
              <w:top w:val="single" w:color="000000" w:sz="4" w:space="0"/>
              <w:left w:val="nil"/>
              <w:bottom w:val="single" w:color="000000" w:sz="8" w:space="0"/>
              <w:right w:val="single" w:color="000000" w:sz="4" w:space="0"/>
            </w:tcBorders>
            <w:shd w:val="clear" w:color="FFFFFF" w:fill="FFFFFF"/>
            <w:vAlign w:val="center"/>
          </w:tcPr>
          <w:p>
            <w:pPr>
              <w:widowControl/>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1134" w:type="dxa"/>
            <w:tcBorders>
              <w:top w:val="nil"/>
              <w:left w:val="nil"/>
              <w:bottom w:val="single" w:color="000000" w:sz="8" w:space="0"/>
              <w:right w:val="single" w:color="000000" w:sz="8" w:space="0"/>
            </w:tcBorders>
            <w:shd w:val="clear" w:color="FFFFFF" w:fill="FFFFFF"/>
            <w:vAlign w:val="center"/>
          </w:tcPr>
          <w:p>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r>
      <w:tr>
        <w:trPr>
          <w:trHeight w:val="225" w:hRule="atLeast"/>
        </w:trPr>
        <w:tc>
          <w:tcPr>
            <w:tcW w:w="8789" w:type="dxa"/>
            <w:gridSpan w:val="7"/>
            <w:tcBorders>
              <w:top w:val="nil"/>
              <w:left w:val="nil"/>
              <w:bottom w:val="nil"/>
              <w:right w:val="nil"/>
            </w:tcBorders>
            <w:shd w:val="clear" w:color="FFFFFF" w:fill="FFFFFF"/>
            <w:vAlign w:val="center"/>
          </w:tcPr>
          <w:p>
            <w:pPr>
              <w:widowControl/>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注：材料（工程设备）暂估单价进入清单项目综合单价，此处不汇总。</w:t>
            </w:r>
          </w:p>
        </w:tc>
      </w:tr>
    </w:tbl>
    <w:p>
      <w:pPr>
        <w:pStyle w:val="2"/>
        <w:rPr>
          <w:color w:val="auto"/>
          <w:highlight w:val="none"/>
        </w:rPr>
      </w:pPr>
    </w:p>
    <w:tbl>
      <w:tblPr>
        <w:tblStyle w:val="22"/>
        <w:tblW w:w="8522" w:type="dxa"/>
        <w:tblInd w:w="-34" w:type="dxa"/>
        <w:tblLayout w:type="autofit"/>
        <w:tblCellMar>
          <w:top w:w="0" w:type="dxa"/>
          <w:left w:w="108" w:type="dxa"/>
          <w:bottom w:w="0" w:type="dxa"/>
          <w:right w:w="108" w:type="dxa"/>
        </w:tblCellMar>
      </w:tblPr>
      <w:tblGrid>
        <w:gridCol w:w="693"/>
        <w:gridCol w:w="2885"/>
        <w:gridCol w:w="1667"/>
        <w:gridCol w:w="1795"/>
        <w:gridCol w:w="1482"/>
      </w:tblGrid>
      <w:tr>
        <w:tblPrEx>
          <w:tblCellMar>
            <w:top w:w="0" w:type="dxa"/>
            <w:left w:w="108" w:type="dxa"/>
            <w:bottom w:w="0" w:type="dxa"/>
            <w:right w:w="108" w:type="dxa"/>
          </w:tblCellMar>
        </w:tblPrEx>
        <w:trPr>
          <w:trHeight w:val="510" w:hRule="atLeast"/>
        </w:trPr>
        <w:tc>
          <w:tcPr>
            <w:tcW w:w="8522" w:type="dxa"/>
            <w:gridSpan w:val="5"/>
            <w:tcBorders>
              <w:top w:val="nil"/>
              <w:left w:val="nil"/>
              <w:bottom w:val="nil"/>
              <w:right w:val="nil"/>
            </w:tcBorders>
            <w:shd w:val="clear" w:color="FFFFFF" w:fill="FFFFFF"/>
            <w:vAlign w:val="center"/>
          </w:tcPr>
          <w:p>
            <w:pPr>
              <w:widowControl/>
              <w:jc w:val="center"/>
              <w:rPr>
                <w:rFonts w:ascii="宋体" w:hAnsi="宋体" w:eastAsia="宋体" w:cs="宋体"/>
                <w:b/>
                <w:bCs/>
                <w:color w:val="auto"/>
                <w:kern w:val="0"/>
                <w:sz w:val="40"/>
                <w:szCs w:val="40"/>
                <w:highlight w:val="none"/>
              </w:rPr>
            </w:pPr>
            <w:r>
              <w:rPr>
                <w:rFonts w:hint="eastAsia" w:ascii="宋体" w:hAnsi="宋体" w:eastAsia="宋体" w:cs="宋体"/>
                <w:b/>
                <w:bCs/>
                <w:color w:val="auto"/>
                <w:kern w:val="0"/>
                <w:sz w:val="40"/>
                <w:szCs w:val="40"/>
                <w:highlight w:val="none"/>
              </w:rPr>
              <w:t>暂列金明细表</w:t>
            </w:r>
          </w:p>
        </w:tc>
      </w:tr>
      <w:tr>
        <w:tblPrEx>
          <w:tblCellMar>
            <w:top w:w="0" w:type="dxa"/>
            <w:left w:w="108" w:type="dxa"/>
            <w:bottom w:w="0" w:type="dxa"/>
            <w:right w:w="108" w:type="dxa"/>
          </w:tblCellMar>
        </w:tblPrEx>
        <w:trPr>
          <w:trHeight w:val="240" w:hRule="atLeast"/>
        </w:trPr>
        <w:tc>
          <w:tcPr>
            <w:tcW w:w="5245" w:type="dxa"/>
            <w:gridSpan w:val="3"/>
            <w:tcBorders>
              <w:top w:val="nil"/>
              <w:left w:val="nil"/>
              <w:bottom w:val="nil"/>
              <w:right w:val="nil"/>
            </w:tcBorders>
            <w:shd w:val="clear" w:color="FFFFFF" w:fill="FFFFFF"/>
            <w:vAlign w:val="bottom"/>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工程名称：石井净水分公司厂区高压电缆管线优化项目</w:t>
            </w:r>
          </w:p>
        </w:tc>
        <w:tc>
          <w:tcPr>
            <w:tcW w:w="1795" w:type="dxa"/>
            <w:tcBorders>
              <w:top w:val="nil"/>
              <w:left w:val="nil"/>
              <w:bottom w:val="nil"/>
              <w:right w:val="nil"/>
            </w:tcBorders>
            <w:shd w:val="clear" w:color="FFFFFF" w:fill="FFFFFF"/>
            <w:vAlign w:val="bottom"/>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标段：</w:t>
            </w:r>
          </w:p>
        </w:tc>
        <w:tc>
          <w:tcPr>
            <w:tcW w:w="1482" w:type="dxa"/>
            <w:tcBorders>
              <w:top w:val="nil"/>
              <w:left w:val="nil"/>
              <w:bottom w:val="nil"/>
              <w:right w:val="nil"/>
            </w:tcBorders>
            <w:shd w:val="clear" w:color="FFFFFF" w:fill="FFFFFF"/>
            <w:vAlign w:val="bottom"/>
          </w:tcPr>
          <w:p>
            <w:pPr>
              <w:widowControl/>
              <w:jc w:val="righ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rPr>
          <w:trHeight w:val="480" w:hRule="atLeast"/>
        </w:trPr>
        <w:tc>
          <w:tcPr>
            <w:tcW w:w="693"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序号</w:t>
            </w:r>
          </w:p>
        </w:tc>
        <w:tc>
          <w:tcPr>
            <w:tcW w:w="2885" w:type="dxa"/>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项目名称</w:t>
            </w:r>
          </w:p>
        </w:tc>
        <w:tc>
          <w:tcPr>
            <w:tcW w:w="1667" w:type="dxa"/>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计量单位</w:t>
            </w:r>
          </w:p>
        </w:tc>
        <w:tc>
          <w:tcPr>
            <w:tcW w:w="1795" w:type="dxa"/>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暂定金额（元）</w:t>
            </w:r>
          </w:p>
        </w:tc>
        <w:tc>
          <w:tcPr>
            <w:tcW w:w="1482" w:type="dxa"/>
            <w:tcBorders>
              <w:top w:val="single" w:color="000000" w:sz="8" w:space="0"/>
              <w:left w:val="nil"/>
              <w:bottom w:val="single" w:color="000000" w:sz="4" w:space="0"/>
              <w:right w:val="single" w:color="000000" w:sz="8" w:space="0"/>
            </w:tcBorders>
            <w:shd w:val="clear" w:color="FFFFFF" w:fill="FFFFFF"/>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备注</w:t>
            </w:r>
          </w:p>
        </w:tc>
      </w:tr>
      <w:tr>
        <w:tblPrEx>
          <w:tblCellMar>
            <w:top w:w="0" w:type="dxa"/>
            <w:left w:w="108" w:type="dxa"/>
            <w:bottom w:w="0" w:type="dxa"/>
            <w:right w:w="108" w:type="dxa"/>
          </w:tblCellMar>
        </w:tblPrEx>
        <w:trPr>
          <w:trHeight w:val="240" w:hRule="atLeast"/>
        </w:trPr>
        <w:tc>
          <w:tcPr>
            <w:tcW w:w="693"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2885"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暂列金</w:t>
            </w:r>
          </w:p>
        </w:tc>
        <w:tc>
          <w:tcPr>
            <w:tcW w:w="1667"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元　</w:t>
            </w:r>
          </w:p>
        </w:tc>
        <w:tc>
          <w:tcPr>
            <w:tcW w:w="1795"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66272.98</w:t>
            </w:r>
          </w:p>
        </w:tc>
        <w:tc>
          <w:tcPr>
            <w:tcW w:w="1482"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240" w:hRule="atLeast"/>
        </w:trPr>
        <w:tc>
          <w:tcPr>
            <w:tcW w:w="693"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2885"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67"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795"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482"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240" w:hRule="atLeast"/>
        </w:trPr>
        <w:tc>
          <w:tcPr>
            <w:tcW w:w="7040" w:type="dxa"/>
            <w:gridSpan w:val="4"/>
            <w:tcBorders>
              <w:top w:val="single" w:color="000000" w:sz="4" w:space="0"/>
              <w:left w:val="single" w:color="000000" w:sz="8" w:space="0"/>
              <w:bottom w:val="single" w:color="000000" w:sz="8" w:space="0"/>
              <w:right w:val="single" w:color="000000" w:sz="4" w:space="0"/>
            </w:tcBorders>
            <w:shd w:val="clear" w:color="FFFFFF" w:fill="FFFFFF"/>
            <w:vAlign w:val="center"/>
          </w:tcPr>
          <w:p>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合    计</w:t>
            </w:r>
          </w:p>
        </w:tc>
        <w:tc>
          <w:tcPr>
            <w:tcW w:w="1482" w:type="dxa"/>
            <w:tcBorders>
              <w:top w:val="nil"/>
              <w:left w:val="nil"/>
              <w:bottom w:val="single" w:color="000000" w:sz="8" w:space="0"/>
              <w:right w:val="single" w:color="000000" w:sz="8" w:space="0"/>
            </w:tcBorders>
            <w:shd w:val="clear" w:color="FFFFFF" w:fill="FFFFFF"/>
            <w:vAlign w:val="center"/>
          </w:tcPr>
          <w:p>
            <w:pPr>
              <w:widowControl/>
              <w:jc w:val="righ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bl>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p>
    <w:p>
      <w:pPr>
        <w:pStyle w:val="2"/>
        <w:rPr>
          <w:color w:val="auto"/>
          <w:highlight w:val="none"/>
        </w:rPr>
      </w:pPr>
    </w:p>
    <w:tbl>
      <w:tblPr>
        <w:tblStyle w:val="22"/>
        <w:tblW w:w="8522" w:type="dxa"/>
        <w:tblInd w:w="-34" w:type="dxa"/>
        <w:tblLayout w:type="autofit"/>
        <w:tblCellMar>
          <w:top w:w="0" w:type="dxa"/>
          <w:left w:w="108" w:type="dxa"/>
          <w:bottom w:w="0" w:type="dxa"/>
          <w:right w:w="108" w:type="dxa"/>
        </w:tblCellMar>
      </w:tblPr>
      <w:tblGrid>
        <w:gridCol w:w="693"/>
        <w:gridCol w:w="1037"/>
        <w:gridCol w:w="2098"/>
        <w:gridCol w:w="1417"/>
        <w:gridCol w:w="1795"/>
        <w:gridCol w:w="1482"/>
      </w:tblGrid>
      <w:tr>
        <w:tblPrEx>
          <w:tblCellMar>
            <w:top w:w="0" w:type="dxa"/>
            <w:left w:w="108" w:type="dxa"/>
            <w:bottom w:w="0" w:type="dxa"/>
            <w:right w:w="108" w:type="dxa"/>
          </w:tblCellMar>
        </w:tblPrEx>
        <w:trPr>
          <w:trHeight w:val="510" w:hRule="atLeast"/>
        </w:trPr>
        <w:tc>
          <w:tcPr>
            <w:tcW w:w="8522" w:type="dxa"/>
            <w:gridSpan w:val="6"/>
            <w:tcBorders>
              <w:top w:val="nil"/>
              <w:left w:val="nil"/>
              <w:bottom w:val="nil"/>
              <w:right w:val="nil"/>
            </w:tcBorders>
            <w:shd w:val="clear" w:color="FFFFFF" w:fill="FFFFFF"/>
            <w:vAlign w:val="center"/>
          </w:tcPr>
          <w:p>
            <w:pPr>
              <w:widowControl/>
              <w:jc w:val="center"/>
              <w:rPr>
                <w:rFonts w:ascii="宋体" w:hAnsi="宋体" w:eastAsia="宋体" w:cs="宋体"/>
                <w:b/>
                <w:bCs/>
                <w:color w:val="auto"/>
                <w:kern w:val="0"/>
                <w:sz w:val="40"/>
                <w:szCs w:val="40"/>
                <w:highlight w:val="none"/>
              </w:rPr>
            </w:pPr>
            <w:r>
              <w:rPr>
                <w:rFonts w:hint="eastAsia" w:ascii="宋体" w:hAnsi="宋体" w:eastAsia="宋体" w:cs="宋体"/>
                <w:b/>
                <w:bCs/>
                <w:color w:val="auto"/>
                <w:kern w:val="0"/>
                <w:sz w:val="40"/>
                <w:szCs w:val="40"/>
                <w:highlight w:val="none"/>
              </w:rPr>
              <w:t>规费、税金项目清单与计价表</w:t>
            </w:r>
          </w:p>
        </w:tc>
      </w:tr>
      <w:tr>
        <w:tblPrEx>
          <w:tblCellMar>
            <w:top w:w="0" w:type="dxa"/>
            <w:left w:w="108" w:type="dxa"/>
            <w:bottom w:w="0" w:type="dxa"/>
            <w:right w:w="108" w:type="dxa"/>
          </w:tblCellMar>
        </w:tblPrEx>
        <w:trPr>
          <w:trHeight w:val="240" w:hRule="atLeast"/>
        </w:trPr>
        <w:tc>
          <w:tcPr>
            <w:tcW w:w="5245" w:type="dxa"/>
            <w:gridSpan w:val="4"/>
            <w:tcBorders>
              <w:top w:val="nil"/>
              <w:left w:val="nil"/>
              <w:bottom w:val="nil"/>
              <w:right w:val="nil"/>
            </w:tcBorders>
            <w:shd w:val="clear" w:color="FFFFFF" w:fill="FFFFFF"/>
            <w:vAlign w:val="bottom"/>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工程名称：石井净水分公司厂区高压电缆管线优化项目</w:t>
            </w:r>
          </w:p>
        </w:tc>
        <w:tc>
          <w:tcPr>
            <w:tcW w:w="1795" w:type="dxa"/>
            <w:tcBorders>
              <w:top w:val="nil"/>
              <w:left w:val="nil"/>
              <w:bottom w:val="nil"/>
              <w:right w:val="nil"/>
            </w:tcBorders>
            <w:shd w:val="clear" w:color="FFFFFF" w:fill="FFFFFF"/>
            <w:vAlign w:val="bottom"/>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标段：</w:t>
            </w:r>
          </w:p>
        </w:tc>
        <w:tc>
          <w:tcPr>
            <w:tcW w:w="1482" w:type="dxa"/>
            <w:tcBorders>
              <w:top w:val="nil"/>
              <w:left w:val="nil"/>
              <w:bottom w:val="nil"/>
              <w:right w:val="nil"/>
            </w:tcBorders>
            <w:shd w:val="clear" w:color="FFFFFF" w:fill="FFFFFF"/>
            <w:vAlign w:val="bottom"/>
          </w:tcPr>
          <w:p>
            <w:pPr>
              <w:widowControl/>
              <w:jc w:val="righ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480" w:hRule="atLeast"/>
        </w:trPr>
        <w:tc>
          <w:tcPr>
            <w:tcW w:w="693"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序号</w:t>
            </w:r>
          </w:p>
        </w:tc>
        <w:tc>
          <w:tcPr>
            <w:tcW w:w="1037" w:type="dxa"/>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项目名称</w:t>
            </w:r>
          </w:p>
        </w:tc>
        <w:tc>
          <w:tcPr>
            <w:tcW w:w="2098" w:type="dxa"/>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计算基础</w:t>
            </w:r>
          </w:p>
        </w:tc>
        <w:tc>
          <w:tcPr>
            <w:tcW w:w="1417" w:type="dxa"/>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计算基数</w:t>
            </w:r>
          </w:p>
        </w:tc>
        <w:tc>
          <w:tcPr>
            <w:tcW w:w="1795" w:type="dxa"/>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计算费率(%)</w:t>
            </w:r>
          </w:p>
        </w:tc>
        <w:tc>
          <w:tcPr>
            <w:tcW w:w="1482" w:type="dxa"/>
            <w:tcBorders>
              <w:top w:val="single" w:color="000000" w:sz="8" w:space="0"/>
              <w:left w:val="nil"/>
              <w:bottom w:val="single" w:color="000000" w:sz="4" w:space="0"/>
              <w:right w:val="single" w:color="000000" w:sz="8" w:space="0"/>
            </w:tcBorders>
            <w:shd w:val="clear" w:color="FFFFFF" w:fill="FFFFFF"/>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金额(元)</w:t>
            </w:r>
          </w:p>
        </w:tc>
      </w:tr>
      <w:tr>
        <w:tblPrEx>
          <w:tblCellMar>
            <w:top w:w="0" w:type="dxa"/>
            <w:left w:w="108" w:type="dxa"/>
            <w:bottom w:w="0" w:type="dxa"/>
            <w:right w:w="108" w:type="dxa"/>
          </w:tblCellMar>
        </w:tblPrEx>
        <w:trPr>
          <w:trHeight w:val="240" w:hRule="atLeast"/>
        </w:trPr>
        <w:tc>
          <w:tcPr>
            <w:tcW w:w="693"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103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增值税销项税额</w:t>
            </w:r>
          </w:p>
        </w:tc>
        <w:tc>
          <w:tcPr>
            <w:tcW w:w="2098"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分部分项合计+措施合计+其他项目</w:t>
            </w:r>
          </w:p>
        </w:tc>
        <w:tc>
          <w:tcPr>
            <w:tcW w:w="1417"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795"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9</w:t>
            </w:r>
          </w:p>
        </w:tc>
        <w:tc>
          <w:tcPr>
            <w:tcW w:w="1482"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rPr>
          <w:trHeight w:val="240" w:hRule="atLeast"/>
        </w:trPr>
        <w:tc>
          <w:tcPr>
            <w:tcW w:w="693"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037"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2098"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417"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795"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482"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tblPrEx>
          <w:tblCellMar>
            <w:top w:w="0" w:type="dxa"/>
            <w:left w:w="108" w:type="dxa"/>
            <w:bottom w:w="0" w:type="dxa"/>
            <w:right w:w="108" w:type="dxa"/>
          </w:tblCellMar>
        </w:tblPrEx>
        <w:trPr>
          <w:trHeight w:val="240" w:hRule="atLeast"/>
        </w:trPr>
        <w:tc>
          <w:tcPr>
            <w:tcW w:w="7040" w:type="dxa"/>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合    计</w:t>
            </w:r>
          </w:p>
        </w:tc>
        <w:tc>
          <w:tcPr>
            <w:tcW w:w="1482" w:type="dxa"/>
            <w:tcBorders>
              <w:top w:val="nil"/>
              <w:left w:val="nil"/>
              <w:bottom w:val="single" w:color="000000" w:sz="8" w:space="0"/>
              <w:right w:val="single" w:color="000000" w:sz="8" w:space="0"/>
            </w:tcBorders>
            <w:shd w:val="clear" w:color="FFFFFF" w:fill="FFFFFF"/>
            <w:vAlign w:val="center"/>
          </w:tcPr>
          <w:p>
            <w:pPr>
              <w:widowControl/>
              <w:jc w:val="righ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bl>
    <w:p>
      <w:pPr>
        <w:pStyle w:val="2"/>
        <w:ind w:left="0" w:leftChars="0" w:firstLine="0" w:firstLineChars="0"/>
        <w:rPr>
          <w:rFonts w:hint="eastAsia" w:eastAsiaTheme="majorEastAsia"/>
          <w:color w:val="auto"/>
          <w:highlight w:val="none"/>
        </w:rPr>
      </w:pPr>
    </w:p>
    <w:p>
      <w:pPr>
        <w:pStyle w:val="2"/>
        <w:ind w:left="0" w:leftChars="0" w:firstLine="0" w:firstLineChars="0"/>
        <w:rPr>
          <w:rFonts w:hint="eastAsia" w:eastAsiaTheme="majorEastAsia"/>
          <w:color w:val="auto"/>
          <w:highlight w:val="none"/>
        </w:rPr>
      </w:pPr>
    </w:p>
    <w:p>
      <w:pPr>
        <w:pStyle w:val="2"/>
        <w:ind w:left="0" w:leftChars="0" w:firstLine="0" w:firstLineChars="0"/>
        <w:rPr>
          <w:rFonts w:hint="eastAsia" w:cs="Times New Roman" w:asciiTheme="minorEastAsia" w:hAnsiTheme="minorEastAsia" w:eastAsiaTheme="minorEastAsia"/>
          <w:b/>
          <w:bCs/>
          <w:color w:val="auto"/>
          <w:kern w:val="2"/>
          <w:sz w:val="28"/>
          <w:szCs w:val="28"/>
          <w:highlight w:val="none"/>
          <w:lang w:val="en-US" w:eastAsia="zh-CN" w:bidi="ar-SA"/>
        </w:rPr>
      </w:pPr>
      <w:r>
        <w:rPr>
          <w:rFonts w:hint="eastAsia" w:cs="Times New Roman" w:asciiTheme="minorEastAsia" w:hAnsiTheme="minorEastAsia" w:eastAsiaTheme="minorEastAsia"/>
          <w:b/>
          <w:bCs/>
          <w:color w:val="auto"/>
          <w:kern w:val="2"/>
          <w:sz w:val="28"/>
          <w:szCs w:val="28"/>
          <w:highlight w:val="none"/>
          <w:lang w:val="en-US" w:eastAsia="zh-CN" w:bidi="ar-SA"/>
        </w:rPr>
        <w:t>6.其他资料</w:t>
      </w:r>
      <w:bookmarkEnd w:id="163"/>
      <w:bookmarkEnd w:id="164"/>
      <w:bookmarkEnd w:id="165"/>
      <w:bookmarkEnd w:id="166"/>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footerReference r:id="rId3" w:type="default"/>
      <w:footerReference r:id="rId4"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0288" behindDoc="0" locked="0" layoutInCell="1" allowOverlap="1">
              <wp:simplePos x="0" y="0"/>
              <wp:positionH relativeFrom="margin">
                <wp:posOffset>2668270</wp:posOffset>
              </wp:positionH>
              <wp:positionV relativeFrom="paragraph">
                <wp:posOffset>-1270</wp:posOffset>
              </wp:positionV>
              <wp:extent cx="172720" cy="171450"/>
              <wp:effectExtent l="0" t="0" r="17780" b="0"/>
              <wp:wrapNone/>
              <wp:docPr id="19" name="文本框 3"/>
              <wp:cNvGraphicFramePr/>
              <a:graphic xmlns:a="http://schemas.openxmlformats.org/drawingml/2006/main">
                <a:graphicData uri="http://schemas.microsoft.com/office/word/2010/wordprocessingShape">
                  <wps:wsp>
                    <wps:cNvSpPr txBox="1"/>
                    <wps:spPr>
                      <a:xfrm>
                        <a:off x="0" y="0"/>
                        <a:ext cx="172720" cy="171450"/>
                      </a:xfrm>
                      <a:prstGeom prst="rect">
                        <a:avLst/>
                      </a:prstGeom>
                      <a:noFill/>
                      <a:ln>
                        <a:noFill/>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wrap="square" lIns="0" tIns="0" rIns="0" bIns="0">
                      <a:noAutofit/>
                    </wps:bodyPr>
                  </wps:wsp>
                </a:graphicData>
              </a:graphic>
            </wp:anchor>
          </w:drawing>
        </mc:Choice>
        <mc:Fallback>
          <w:pict>
            <v:shape id="文本框 3" o:spid="_x0000_s1026" o:spt="202" type="#_x0000_t202" style="position:absolute;left:0pt;margin-left:210.1pt;margin-top:-0.1pt;height:13.5pt;width:13.6pt;mso-position-horizontal-relative:margin;z-index:251660288;mso-width-relative:page;mso-height-relative:page;" filled="f" stroked="f" coordsize="21600,21600" o:gfxdata="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49sVb9gAAAAIAQAADwAAAAAAAAABACAAAAAiAAAAZHJzL2Rv&#10;d25yZXYueG1sUEsBAhQAFAAAAAgAh07iQAolv5zIAQAAjgMAAA4AAAAAAAAAAQAgAAAAJwEAAGRy&#10;cy9lMm9Eb2MueG1sUEsFBgAAAAAGAAYAWQEAAGEFAAAAAA==&#10;">
              <v:fill on="f" focussize="0,0"/>
              <v:stroke on="f"/>
              <v:imagedata o:title=""/>
              <o:lock v:ext="edit" aspectratio="f"/>
              <v:textbox inset="0mm,0mm,0mm,0mm">
                <w:txbxContent>
                  <w:p>
                    <w:pPr>
                      <w:pStyle w:val="17"/>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OVzw8IBAACO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TUauAeHdIWHh0k9GHaGmYjimwmhaqbwH/95L1v1v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HDlc8PCAQAAjgMAAA4AAAAAAAAAAQAgAAAAHgEAAGRycy9lMm9Eb2MueG1sUEsF&#10;BgAAAAAGAAYAWQEAAFIFA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F474C9A6"/>
    <w:multiLevelType w:val="singleLevel"/>
    <w:tmpl w:val="F474C9A6"/>
    <w:lvl w:ilvl="0" w:tentative="0">
      <w:start w:val="10"/>
      <w:numFmt w:val="chineseCounting"/>
      <w:suff w:val="space"/>
      <w:lvlText w:val="第%1条"/>
      <w:lvlJc w:val="left"/>
      <w:rPr>
        <w:rFonts w:hint="eastAsia"/>
      </w:r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revisionView w:markup="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UxOWI5ZjY1NzIwMzQ1MWE0MjhiNDMxMDc2MWY2NDkifQ=="/>
  </w:docVars>
  <w:rsids>
    <w:rsidRoot w:val="005D618A"/>
    <w:rsid w:val="000446E8"/>
    <w:rsid w:val="00054D4F"/>
    <w:rsid w:val="000C2E47"/>
    <w:rsid w:val="000D35A1"/>
    <w:rsid w:val="000F043A"/>
    <w:rsid w:val="00156EA9"/>
    <w:rsid w:val="001823A8"/>
    <w:rsid w:val="0029051C"/>
    <w:rsid w:val="00295E9D"/>
    <w:rsid w:val="002B70DA"/>
    <w:rsid w:val="002C4A2E"/>
    <w:rsid w:val="002D713D"/>
    <w:rsid w:val="00304035"/>
    <w:rsid w:val="00305173"/>
    <w:rsid w:val="003A2CD8"/>
    <w:rsid w:val="003A57BA"/>
    <w:rsid w:val="003D60BA"/>
    <w:rsid w:val="003E67F2"/>
    <w:rsid w:val="003F0DC8"/>
    <w:rsid w:val="00411689"/>
    <w:rsid w:val="00416B4D"/>
    <w:rsid w:val="00493AA5"/>
    <w:rsid w:val="004B7717"/>
    <w:rsid w:val="004E0009"/>
    <w:rsid w:val="004E073B"/>
    <w:rsid w:val="00501F4E"/>
    <w:rsid w:val="005322E8"/>
    <w:rsid w:val="005417E9"/>
    <w:rsid w:val="00581CC3"/>
    <w:rsid w:val="005A2D1A"/>
    <w:rsid w:val="005D618A"/>
    <w:rsid w:val="005E4762"/>
    <w:rsid w:val="0065247F"/>
    <w:rsid w:val="00702913"/>
    <w:rsid w:val="00727005"/>
    <w:rsid w:val="00757B54"/>
    <w:rsid w:val="00771D45"/>
    <w:rsid w:val="0077689E"/>
    <w:rsid w:val="007C5DA7"/>
    <w:rsid w:val="008007DF"/>
    <w:rsid w:val="00863D8A"/>
    <w:rsid w:val="00886B24"/>
    <w:rsid w:val="00911ECD"/>
    <w:rsid w:val="00926CFC"/>
    <w:rsid w:val="00965CBF"/>
    <w:rsid w:val="0099022E"/>
    <w:rsid w:val="009B2A98"/>
    <w:rsid w:val="00A042E0"/>
    <w:rsid w:val="00A77378"/>
    <w:rsid w:val="00B137A5"/>
    <w:rsid w:val="00B26BB1"/>
    <w:rsid w:val="00B26E21"/>
    <w:rsid w:val="00B37738"/>
    <w:rsid w:val="00B43367"/>
    <w:rsid w:val="00B85ACF"/>
    <w:rsid w:val="00BB1D96"/>
    <w:rsid w:val="00BE004B"/>
    <w:rsid w:val="00C3336D"/>
    <w:rsid w:val="00C403BD"/>
    <w:rsid w:val="00CC4056"/>
    <w:rsid w:val="00CF644F"/>
    <w:rsid w:val="00D50A34"/>
    <w:rsid w:val="00D6489B"/>
    <w:rsid w:val="00D66682"/>
    <w:rsid w:val="00DE4058"/>
    <w:rsid w:val="00E01245"/>
    <w:rsid w:val="00E302BD"/>
    <w:rsid w:val="00E37CEE"/>
    <w:rsid w:val="00E44FFE"/>
    <w:rsid w:val="00E66530"/>
    <w:rsid w:val="00EB0E1B"/>
    <w:rsid w:val="00ED5DC1"/>
    <w:rsid w:val="00F83B64"/>
    <w:rsid w:val="00F9696F"/>
    <w:rsid w:val="00FA1A0C"/>
    <w:rsid w:val="02090C75"/>
    <w:rsid w:val="02281782"/>
    <w:rsid w:val="02A23A3C"/>
    <w:rsid w:val="02B80C67"/>
    <w:rsid w:val="03AC246A"/>
    <w:rsid w:val="03B23056"/>
    <w:rsid w:val="03DC3EBA"/>
    <w:rsid w:val="03F9794D"/>
    <w:rsid w:val="04465A65"/>
    <w:rsid w:val="046A2461"/>
    <w:rsid w:val="06C64829"/>
    <w:rsid w:val="06FD14AF"/>
    <w:rsid w:val="077D16D2"/>
    <w:rsid w:val="077E2ACF"/>
    <w:rsid w:val="083048C4"/>
    <w:rsid w:val="08675FC8"/>
    <w:rsid w:val="092D6FAA"/>
    <w:rsid w:val="094E30BE"/>
    <w:rsid w:val="09B713FD"/>
    <w:rsid w:val="09EF6ACC"/>
    <w:rsid w:val="0A315056"/>
    <w:rsid w:val="0AAA5C3D"/>
    <w:rsid w:val="0AFB45AD"/>
    <w:rsid w:val="0B351E9B"/>
    <w:rsid w:val="0B4744EA"/>
    <w:rsid w:val="0B4C50D3"/>
    <w:rsid w:val="0B806B92"/>
    <w:rsid w:val="0B827E94"/>
    <w:rsid w:val="0BD070E1"/>
    <w:rsid w:val="0C247926"/>
    <w:rsid w:val="0CFA437E"/>
    <w:rsid w:val="0D4679BD"/>
    <w:rsid w:val="0D794204"/>
    <w:rsid w:val="0E2125D1"/>
    <w:rsid w:val="0E214211"/>
    <w:rsid w:val="0E5F2769"/>
    <w:rsid w:val="0F4D75A3"/>
    <w:rsid w:val="0F5B2DCA"/>
    <w:rsid w:val="0F9D67AA"/>
    <w:rsid w:val="0FED051E"/>
    <w:rsid w:val="0FEE4C29"/>
    <w:rsid w:val="10017F15"/>
    <w:rsid w:val="10046082"/>
    <w:rsid w:val="112B101A"/>
    <w:rsid w:val="119B53FC"/>
    <w:rsid w:val="122711D7"/>
    <w:rsid w:val="12424CDC"/>
    <w:rsid w:val="129A2738"/>
    <w:rsid w:val="12B56BF1"/>
    <w:rsid w:val="12CB1A89"/>
    <w:rsid w:val="131840FB"/>
    <w:rsid w:val="13467417"/>
    <w:rsid w:val="136E76CF"/>
    <w:rsid w:val="15BC6B3C"/>
    <w:rsid w:val="1694429A"/>
    <w:rsid w:val="17635326"/>
    <w:rsid w:val="18236EFD"/>
    <w:rsid w:val="189D5B1F"/>
    <w:rsid w:val="18A34CD0"/>
    <w:rsid w:val="1983449A"/>
    <w:rsid w:val="19B64DBC"/>
    <w:rsid w:val="1A373ACF"/>
    <w:rsid w:val="1A895341"/>
    <w:rsid w:val="1B0D071F"/>
    <w:rsid w:val="1B4568CE"/>
    <w:rsid w:val="1B9015B7"/>
    <w:rsid w:val="1D047D93"/>
    <w:rsid w:val="1D5A79EE"/>
    <w:rsid w:val="1DF25EC0"/>
    <w:rsid w:val="1E0E2CD0"/>
    <w:rsid w:val="1E831280"/>
    <w:rsid w:val="1E8D1F73"/>
    <w:rsid w:val="1EBC4704"/>
    <w:rsid w:val="1F172EB5"/>
    <w:rsid w:val="1F94592D"/>
    <w:rsid w:val="1FB5458A"/>
    <w:rsid w:val="1FB860DE"/>
    <w:rsid w:val="1FD0186E"/>
    <w:rsid w:val="203C5A02"/>
    <w:rsid w:val="209D4C94"/>
    <w:rsid w:val="20C878A0"/>
    <w:rsid w:val="20D05C23"/>
    <w:rsid w:val="20E84705"/>
    <w:rsid w:val="218400BA"/>
    <w:rsid w:val="21AB1E2F"/>
    <w:rsid w:val="21C630C9"/>
    <w:rsid w:val="21D40498"/>
    <w:rsid w:val="22767047"/>
    <w:rsid w:val="23A05588"/>
    <w:rsid w:val="24502BF5"/>
    <w:rsid w:val="25431AEB"/>
    <w:rsid w:val="25BF43FD"/>
    <w:rsid w:val="25F86BCD"/>
    <w:rsid w:val="265E733C"/>
    <w:rsid w:val="269E416A"/>
    <w:rsid w:val="272100D3"/>
    <w:rsid w:val="272C72FC"/>
    <w:rsid w:val="27EB149D"/>
    <w:rsid w:val="27FD3E52"/>
    <w:rsid w:val="28E11370"/>
    <w:rsid w:val="294A756A"/>
    <w:rsid w:val="29D5322D"/>
    <w:rsid w:val="29ED662E"/>
    <w:rsid w:val="2A025DD9"/>
    <w:rsid w:val="2A7C2231"/>
    <w:rsid w:val="2ABB753D"/>
    <w:rsid w:val="2B567F45"/>
    <w:rsid w:val="2B7A49FA"/>
    <w:rsid w:val="2BC27475"/>
    <w:rsid w:val="2C5221A3"/>
    <w:rsid w:val="2C615D26"/>
    <w:rsid w:val="2CB679ED"/>
    <w:rsid w:val="2D173C07"/>
    <w:rsid w:val="2D424A86"/>
    <w:rsid w:val="2E684101"/>
    <w:rsid w:val="2E7B52DB"/>
    <w:rsid w:val="2E8E61A8"/>
    <w:rsid w:val="2F324CFE"/>
    <w:rsid w:val="2FBA09F1"/>
    <w:rsid w:val="2FDF22F5"/>
    <w:rsid w:val="2FEF2ACF"/>
    <w:rsid w:val="301724A2"/>
    <w:rsid w:val="30540211"/>
    <w:rsid w:val="312D7741"/>
    <w:rsid w:val="316F137F"/>
    <w:rsid w:val="31DF525F"/>
    <w:rsid w:val="32324C2E"/>
    <w:rsid w:val="32647150"/>
    <w:rsid w:val="327171DF"/>
    <w:rsid w:val="341E3434"/>
    <w:rsid w:val="34207D0E"/>
    <w:rsid w:val="35A42A3A"/>
    <w:rsid w:val="360B7EBA"/>
    <w:rsid w:val="36141260"/>
    <w:rsid w:val="369C32FD"/>
    <w:rsid w:val="37666E72"/>
    <w:rsid w:val="38167A04"/>
    <w:rsid w:val="382B40F9"/>
    <w:rsid w:val="38E821C3"/>
    <w:rsid w:val="394B167A"/>
    <w:rsid w:val="39925C08"/>
    <w:rsid w:val="3A4E4336"/>
    <w:rsid w:val="3A6007FE"/>
    <w:rsid w:val="3B183D0F"/>
    <w:rsid w:val="3B7C2CE4"/>
    <w:rsid w:val="3C0B5355"/>
    <w:rsid w:val="3CA57600"/>
    <w:rsid w:val="3CD4176B"/>
    <w:rsid w:val="3D1F44D9"/>
    <w:rsid w:val="3D5C38CD"/>
    <w:rsid w:val="3E5070F1"/>
    <w:rsid w:val="3E531055"/>
    <w:rsid w:val="3EB477C0"/>
    <w:rsid w:val="3F6C3589"/>
    <w:rsid w:val="3F850180"/>
    <w:rsid w:val="3F9004D6"/>
    <w:rsid w:val="400E4D5E"/>
    <w:rsid w:val="40E05C18"/>
    <w:rsid w:val="40E1138C"/>
    <w:rsid w:val="412414ED"/>
    <w:rsid w:val="413814BA"/>
    <w:rsid w:val="41872511"/>
    <w:rsid w:val="42466655"/>
    <w:rsid w:val="42C82F57"/>
    <w:rsid w:val="43C76AF7"/>
    <w:rsid w:val="440F6326"/>
    <w:rsid w:val="446828F0"/>
    <w:rsid w:val="45C13B4D"/>
    <w:rsid w:val="46054BCA"/>
    <w:rsid w:val="464C6AFC"/>
    <w:rsid w:val="46894756"/>
    <w:rsid w:val="468B0091"/>
    <w:rsid w:val="46A107C3"/>
    <w:rsid w:val="46B15CE2"/>
    <w:rsid w:val="46BE113D"/>
    <w:rsid w:val="46E44B13"/>
    <w:rsid w:val="4703508A"/>
    <w:rsid w:val="4727512A"/>
    <w:rsid w:val="475023F8"/>
    <w:rsid w:val="475C561F"/>
    <w:rsid w:val="479D361E"/>
    <w:rsid w:val="47B74789"/>
    <w:rsid w:val="480F2B9D"/>
    <w:rsid w:val="48282920"/>
    <w:rsid w:val="485321E0"/>
    <w:rsid w:val="48546AD3"/>
    <w:rsid w:val="48CA4868"/>
    <w:rsid w:val="48F005D3"/>
    <w:rsid w:val="498F4AF1"/>
    <w:rsid w:val="49C05787"/>
    <w:rsid w:val="49CF518D"/>
    <w:rsid w:val="49FE10B9"/>
    <w:rsid w:val="4A5A7603"/>
    <w:rsid w:val="4ADA1F63"/>
    <w:rsid w:val="4AE23D89"/>
    <w:rsid w:val="4B2038D0"/>
    <w:rsid w:val="4B26019A"/>
    <w:rsid w:val="4B296E7D"/>
    <w:rsid w:val="4B4E097C"/>
    <w:rsid w:val="4B642B39"/>
    <w:rsid w:val="4B877F28"/>
    <w:rsid w:val="4D2A171D"/>
    <w:rsid w:val="4D916BA6"/>
    <w:rsid w:val="4DC44169"/>
    <w:rsid w:val="4EF0709E"/>
    <w:rsid w:val="4FD7228A"/>
    <w:rsid w:val="501A0E0B"/>
    <w:rsid w:val="513C6A7B"/>
    <w:rsid w:val="52CB710B"/>
    <w:rsid w:val="5333545B"/>
    <w:rsid w:val="5450213C"/>
    <w:rsid w:val="54D24048"/>
    <w:rsid w:val="54D64CD5"/>
    <w:rsid w:val="55887D69"/>
    <w:rsid w:val="55BA08C7"/>
    <w:rsid w:val="561A0928"/>
    <w:rsid w:val="56423872"/>
    <w:rsid w:val="56B279F0"/>
    <w:rsid w:val="579D710E"/>
    <w:rsid w:val="58017F94"/>
    <w:rsid w:val="581F22F6"/>
    <w:rsid w:val="586E1E17"/>
    <w:rsid w:val="58862C35"/>
    <w:rsid w:val="589B35EE"/>
    <w:rsid w:val="58C14957"/>
    <w:rsid w:val="59FC5D9E"/>
    <w:rsid w:val="5A956813"/>
    <w:rsid w:val="5AE83A50"/>
    <w:rsid w:val="5BAB2917"/>
    <w:rsid w:val="5BFC33FA"/>
    <w:rsid w:val="5C1324AA"/>
    <w:rsid w:val="5C3107A4"/>
    <w:rsid w:val="5C3A62A8"/>
    <w:rsid w:val="5C3B1B93"/>
    <w:rsid w:val="5C812D01"/>
    <w:rsid w:val="5C9220DF"/>
    <w:rsid w:val="5D4A15F3"/>
    <w:rsid w:val="5D69542A"/>
    <w:rsid w:val="5D9C0A2F"/>
    <w:rsid w:val="5E0930EF"/>
    <w:rsid w:val="5E0F2D55"/>
    <w:rsid w:val="5E3D4D53"/>
    <w:rsid w:val="5E4717E6"/>
    <w:rsid w:val="5E55774C"/>
    <w:rsid w:val="60062349"/>
    <w:rsid w:val="60104DDC"/>
    <w:rsid w:val="605C0804"/>
    <w:rsid w:val="6189617B"/>
    <w:rsid w:val="61B52BB6"/>
    <w:rsid w:val="61B749C2"/>
    <w:rsid w:val="61E75269"/>
    <w:rsid w:val="62280D20"/>
    <w:rsid w:val="62CA2457"/>
    <w:rsid w:val="638240A1"/>
    <w:rsid w:val="63A5257B"/>
    <w:rsid w:val="63BD3DCC"/>
    <w:rsid w:val="63C61741"/>
    <w:rsid w:val="64560967"/>
    <w:rsid w:val="652D280F"/>
    <w:rsid w:val="656B1D10"/>
    <w:rsid w:val="66022B28"/>
    <w:rsid w:val="66581E87"/>
    <w:rsid w:val="66FA11D5"/>
    <w:rsid w:val="674302C7"/>
    <w:rsid w:val="674E6335"/>
    <w:rsid w:val="67FB117C"/>
    <w:rsid w:val="680A5986"/>
    <w:rsid w:val="680D5F4B"/>
    <w:rsid w:val="68113F51"/>
    <w:rsid w:val="68DF006B"/>
    <w:rsid w:val="68E94770"/>
    <w:rsid w:val="68F949C9"/>
    <w:rsid w:val="695A4290"/>
    <w:rsid w:val="6A334932"/>
    <w:rsid w:val="6A3353FF"/>
    <w:rsid w:val="6A5D63E6"/>
    <w:rsid w:val="6A5F24D1"/>
    <w:rsid w:val="6AE347EB"/>
    <w:rsid w:val="6AED319D"/>
    <w:rsid w:val="6B434AF0"/>
    <w:rsid w:val="6B57675A"/>
    <w:rsid w:val="6BDD7B4D"/>
    <w:rsid w:val="6CB90E76"/>
    <w:rsid w:val="6DF84988"/>
    <w:rsid w:val="6EBC0B3A"/>
    <w:rsid w:val="6EF51C7D"/>
    <w:rsid w:val="6F2C23A6"/>
    <w:rsid w:val="6F8363E5"/>
    <w:rsid w:val="6FC746F5"/>
    <w:rsid w:val="70161DF0"/>
    <w:rsid w:val="70317AC6"/>
    <w:rsid w:val="70863262"/>
    <w:rsid w:val="70A76ED3"/>
    <w:rsid w:val="713E1BA0"/>
    <w:rsid w:val="71860B17"/>
    <w:rsid w:val="723B27CC"/>
    <w:rsid w:val="72687227"/>
    <w:rsid w:val="72A03FD9"/>
    <w:rsid w:val="73406CFF"/>
    <w:rsid w:val="7383028C"/>
    <w:rsid w:val="73A25E44"/>
    <w:rsid w:val="741F68CF"/>
    <w:rsid w:val="75252DF3"/>
    <w:rsid w:val="75621536"/>
    <w:rsid w:val="75BF3154"/>
    <w:rsid w:val="764A07CF"/>
    <w:rsid w:val="764F6B3D"/>
    <w:rsid w:val="76CD2B7B"/>
    <w:rsid w:val="76D80645"/>
    <w:rsid w:val="76E03371"/>
    <w:rsid w:val="780E5898"/>
    <w:rsid w:val="782642CC"/>
    <w:rsid w:val="7894095E"/>
    <w:rsid w:val="79000679"/>
    <w:rsid w:val="79934438"/>
    <w:rsid w:val="79A416F0"/>
    <w:rsid w:val="79B03EB6"/>
    <w:rsid w:val="7AF37579"/>
    <w:rsid w:val="7AF87F64"/>
    <w:rsid w:val="7B191C07"/>
    <w:rsid w:val="7B1C0C84"/>
    <w:rsid w:val="7B5A62DF"/>
    <w:rsid w:val="7B7A04A8"/>
    <w:rsid w:val="7C0C3F6D"/>
    <w:rsid w:val="7C22163C"/>
    <w:rsid w:val="7C595075"/>
    <w:rsid w:val="7C6B07B2"/>
    <w:rsid w:val="7D133243"/>
    <w:rsid w:val="7D5D0261"/>
    <w:rsid w:val="7D820BCA"/>
    <w:rsid w:val="7DC21422"/>
    <w:rsid w:val="7E394207"/>
    <w:rsid w:val="7E4007A2"/>
    <w:rsid w:val="7E791CAD"/>
    <w:rsid w:val="7EA50DFB"/>
    <w:rsid w:val="7EC86878"/>
    <w:rsid w:val="7F16390D"/>
    <w:rsid w:val="7F671718"/>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0"/>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2"/>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pPr>
    <w:rPr>
      <w:rFonts w:eastAsia="等线"/>
      <w:color w:val="000000"/>
      <w:szCs w:val="24"/>
    </w:rPr>
  </w:style>
  <w:style w:type="paragraph" w:styleId="3">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40"/>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link w:val="47"/>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adjustRightInd w:val="0"/>
      <w:spacing w:after="120" w:line="480" w:lineRule="auto"/>
      <w:ind w:left="420"/>
      <w:textAlignment w:val="baseline"/>
    </w:pPr>
    <w:rPr>
      <w:rFonts w:ascii="Times New Roman" w:hAnsi="Times New Roman" w:cs="Times New Roman"/>
      <w:kern w:val="0"/>
      <w:szCs w:val="20"/>
    </w:rPr>
  </w:style>
  <w:style w:type="paragraph" w:styleId="16">
    <w:name w:val="Balloon Text"/>
    <w:basedOn w:val="1"/>
    <w:link w:val="35"/>
    <w:semiHidden/>
    <w:unhideWhenUsed/>
    <w:qFormat/>
    <w:uiPriority w:val="99"/>
    <w:rPr>
      <w:sz w:val="18"/>
      <w:szCs w:val="18"/>
    </w:rPr>
  </w:style>
  <w:style w:type="paragraph" w:styleId="17">
    <w:name w:val="footer"/>
    <w:basedOn w:val="1"/>
    <w:link w:val="29"/>
    <w:unhideWhenUsed/>
    <w:qFormat/>
    <w:uiPriority w:val="0"/>
    <w:pPr>
      <w:tabs>
        <w:tab w:val="center" w:pos="4153"/>
        <w:tab w:val="right" w:pos="8306"/>
      </w:tabs>
      <w:snapToGrid w:val="0"/>
      <w:jc w:val="left"/>
    </w:pPr>
    <w:rPr>
      <w:sz w:val="18"/>
      <w:szCs w:val="18"/>
    </w:rPr>
  </w:style>
  <w:style w:type="paragraph" w:styleId="18">
    <w:name w:val="header"/>
    <w:basedOn w:val="1"/>
    <w:link w:val="28"/>
    <w:unhideWhenUsed/>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0"/>
    <w:pPr>
      <w:spacing w:before="100" w:beforeAutospacing="1" w:after="100" w:afterAutospacing="1"/>
    </w:pPr>
    <w:rPr>
      <w:rFonts w:ascii="宋体" w:hAnsi="宋体" w:cs="Times New Roman"/>
      <w:kern w:val="0"/>
      <w:sz w:val="24"/>
      <w:szCs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5">
    <w:name w:val="Strong"/>
    <w:qFormat/>
    <w:uiPriority w:val="22"/>
    <w:rPr>
      <w:rFonts w:eastAsia="宋体"/>
      <w:b/>
      <w:bCs/>
      <w:kern w:val="2"/>
      <w:sz w:val="24"/>
      <w:szCs w:val="24"/>
      <w:lang w:val="en-US" w:eastAsia="zh-CN" w:bidi="ar-SA"/>
    </w:rPr>
  </w:style>
  <w:style w:type="character" w:styleId="26">
    <w:name w:val="page number"/>
    <w:basedOn w:val="24"/>
    <w:qFormat/>
    <w:uiPriority w:val="0"/>
  </w:style>
  <w:style w:type="character" w:styleId="27">
    <w:name w:val="Hyperlink"/>
    <w:basedOn w:val="24"/>
    <w:unhideWhenUsed/>
    <w:qFormat/>
    <w:uiPriority w:val="99"/>
    <w:rPr>
      <w:color w:val="0000FF" w:themeColor="hyperlink"/>
      <w:u w:val="single"/>
      <w14:textFill>
        <w14:solidFill>
          <w14:schemeClr w14:val="hlink"/>
        </w14:solidFill>
      </w14:textFill>
    </w:rPr>
  </w:style>
  <w:style w:type="character" w:customStyle="1" w:styleId="28">
    <w:name w:val="页眉 字符"/>
    <w:basedOn w:val="24"/>
    <w:link w:val="18"/>
    <w:semiHidden/>
    <w:qFormat/>
    <w:uiPriority w:val="99"/>
    <w:rPr>
      <w:sz w:val="18"/>
      <w:szCs w:val="18"/>
    </w:rPr>
  </w:style>
  <w:style w:type="character" w:customStyle="1" w:styleId="29">
    <w:name w:val="页脚 字符"/>
    <w:basedOn w:val="24"/>
    <w:link w:val="17"/>
    <w:qFormat/>
    <w:uiPriority w:val="99"/>
    <w:rPr>
      <w:sz w:val="18"/>
      <w:szCs w:val="18"/>
    </w:rPr>
  </w:style>
  <w:style w:type="character" w:customStyle="1" w:styleId="30">
    <w:name w:val="标题 1 字符"/>
    <w:basedOn w:val="24"/>
    <w:link w:val="4"/>
    <w:qFormat/>
    <w:uiPriority w:val="9"/>
    <w:rPr>
      <w:rFonts w:eastAsia="方正小标宋简体"/>
      <w:bCs/>
      <w:kern w:val="44"/>
      <w:sz w:val="44"/>
      <w:szCs w:val="44"/>
    </w:rPr>
  </w:style>
  <w:style w:type="character" w:customStyle="1" w:styleId="31">
    <w:name w:val="标题 2 字符"/>
    <w:basedOn w:val="24"/>
    <w:link w:val="5"/>
    <w:qFormat/>
    <w:uiPriority w:val="9"/>
    <w:rPr>
      <w:rFonts w:eastAsia="方正小标宋简体" w:asciiTheme="majorHAnsi" w:hAnsiTheme="majorHAnsi" w:cstheme="majorBidi"/>
      <w:bCs/>
      <w:sz w:val="36"/>
      <w:szCs w:val="32"/>
    </w:rPr>
  </w:style>
  <w:style w:type="character" w:customStyle="1" w:styleId="32">
    <w:name w:val="标题 3 字符"/>
    <w:basedOn w:val="24"/>
    <w:link w:val="6"/>
    <w:qFormat/>
    <w:uiPriority w:val="9"/>
    <w:rPr>
      <w:rFonts w:ascii="Calibri" w:hAnsi="Calibri" w:eastAsia="宋体" w:cs="Times New Roman"/>
      <w:b/>
      <w:bCs/>
      <w:sz w:val="32"/>
      <w:szCs w:val="32"/>
    </w:rPr>
  </w:style>
  <w:style w:type="paragraph" w:styleId="33">
    <w:name w:val="List Paragraph"/>
    <w:basedOn w:val="1"/>
    <w:link w:val="41"/>
    <w:qFormat/>
    <w:uiPriority w:val="99"/>
    <w:pPr>
      <w:ind w:firstLine="420" w:firstLineChars="200"/>
    </w:pPr>
  </w:style>
  <w:style w:type="paragraph" w:customStyle="1" w:styleId="34">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字符"/>
    <w:basedOn w:val="24"/>
    <w:link w:val="16"/>
    <w:semiHidden/>
    <w:qFormat/>
    <w:uiPriority w:val="99"/>
    <w:rPr>
      <w:sz w:val="18"/>
      <w:szCs w:val="18"/>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CM97"/>
    <w:basedOn w:val="13"/>
    <w:next w:val="13"/>
    <w:qFormat/>
    <w:uiPriority w:val="0"/>
    <w:pPr>
      <w:spacing w:after="373"/>
    </w:pPr>
    <w:rPr>
      <w:color w:val="auto"/>
    </w:rPr>
  </w:style>
  <w:style w:type="paragraph" w:customStyle="1" w:styleId="38">
    <w:name w:val="CM91"/>
    <w:basedOn w:val="13"/>
    <w:next w:val="13"/>
    <w:qFormat/>
    <w:uiPriority w:val="0"/>
    <w:pPr>
      <w:spacing w:after="160"/>
    </w:pPr>
    <w:rPr>
      <w:color w:val="auto"/>
    </w:rPr>
  </w:style>
  <w:style w:type="character" w:customStyle="1" w:styleId="39">
    <w:name w:val="正文文本 3 Char"/>
    <w:qFormat/>
    <w:uiPriority w:val="99"/>
    <w:rPr>
      <w:sz w:val="16"/>
      <w:szCs w:val="16"/>
    </w:rPr>
  </w:style>
  <w:style w:type="character" w:customStyle="1" w:styleId="40">
    <w:name w:val="正文文本 3 字符"/>
    <w:basedOn w:val="24"/>
    <w:link w:val="8"/>
    <w:semiHidden/>
    <w:qFormat/>
    <w:uiPriority w:val="99"/>
    <w:rPr>
      <w:sz w:val="16"/>
      <w:szCs w:val="16"/>
    </w:rPr>
  </w:style>
  <w:style w:type="character" w:customStyle="1" w:styleId="41">
    <w:name w:val="列表段落 字符"/>
    <w:link w:val="33"/>
    <w:qFormat/>
    <w:uiPriority w:val="34"/>
  </w:style>
  <w:style w:type="paragraph" w:customStyle="1" w:styleId="42">
    <w:name w:val="1"/>
    <w:basedOn w:val="1"/>
    <w:next w:val="12"/>
    <w:qFormat/>
    <w:uiPriority w:val="99"/>
    <w:rPr>
      <w:rFonts w:ascii="宋体" w:hAnsi="Courier New"/>
    </w:rPr>
  </w:style>
  <w:style w:type="paragraph" w:customStyle="1" w:styleId="43">
    <w:name w:val="WPSOffice手动目录 1"/>
    <w:qFormat/>
    <w:uiPriority w:val="0"/>
    <w:rPr>
      <w:rFonts w:asciiTheme="minorHAnsi" w:hAnsiTheme="minorHAnsi" w:eastAsiaTheme="minorEastAsia" w:cstheme="minorBidi"/>
      <w:lang w:val="en-US" w:eastAsia="zh-CN" w:bidi="ar-SA"/>
    </w:rPr>
  </w:style>
  <w:style w:type="paragraph" w:customStyle="1" w:styleId="44">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5">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46">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47">
    <w:name w:val="纯文本 字符"/>
    <w:basedOn w:val="24"/>
    <w:link w:val="12"/>
    <w:qFormat/>
    <w:uiPriority w:val="0"/>
    <w:rPr>
      <w:rFonts w:ascii="宋体" w:hAnsi="Courier New" w:eastAsiaTheme="minorEastAsia" w:cstheme="minorBidi"/>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24272</Words>
  <Characters>25533</Characters>
  <Lines>216</Lines>
  <Paragraphs>61</Paragraphs>
  <TotalTime>49</TotalTime>
  <ScaleCrop>false</ScaleCrop>
  <LinksUpToDate>false</LinksUpToDate>
  <CharactersWithSpaces>27912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2022-08-25T08:22:00Z</dcterms:created>
  <dc:creator>陈义春</dc:creator>
  <cp:lastModifiedBy>刘琳</cp:lastModifiedBy>
  <cp:lastPrinted>2022-07-15T04:30:00Z</cp:lastPrinted>
  <dcterms:modified xsi:type="dcterms:W3CDTF">2022-10-20T08:43:56Z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DBB6C9969D0145BCB5DAC2E866829F7D</vt:lpwstr>
  </property>
</Properties>
</file>