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ascii="方正小标宋简体" w:eastAsia="方正小标宋简体"/>
          <w:b/>
          <w:bCs/>
          <w:color w:val="auto"/>
          <w:sz w:val="48"/>
          <w:szCs w:val="48"/>
          <w:highlight w:val="none"/>
        </w:rPr>
      </w:pPr>
      <w:r>
        <w:rPr>
          <w:rFonts w:hint="eastAsia" w:ascii="方正小标宋简体" w:eastAsia="方正小标宋简体"/>
          <w:b/>
          <w:bCs/>
          <w:color w:val="auto"/>
          <w:sz w:val="48"/>
          <w:szCs w:val="48"/>
          <w:highlight w:val="none"/>
          <w:lang w:val="en-US" w:eastAsia="zh-CN"/>
        </w:rPr>
        <w:t>石井净分公司二期紫外消毒支架采购项目</w:t>
      </w:r>
      <w:r>
        <w:rPr>
          <w:rFonts w:hint="eastAsia" w:ascii="方正小标宋简体" w:eastAsia="方正小标宋简体"/>
          <w:b/>
          <w:bCs/>
          <w:color w:val="auto"/>
          <w:sz w:val="48"/>
          <w:szCs w:val="48"/>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7"/>
        <w:numPr>
          <w:ilvl w:val="0"/>
          <w:numId w:val="1"/>
        </w:numPr>
        <w:tabs>
          <w:tab w:val="right" w:pos="8844"/>
        </w:tabs>
        <w:rPr>
          <w:color w:val="auto"/>
          <w:highlight w:val="none"/>
        </w:rPr>
      </w:pPr>
      <w:r>
        <w:rPr>
          <w:rFonts w:hint="eastAsia"/>
          <w:color w:val="auto"/>
          <w:highlight w:val="none"/>
          <w:lang w:val="en-US" w:eastAsia="zh-CN"/>
        </w:rPr>
        <w:t>供应商须知</w:t>
      </w:r>
    </w:p>
    <w:p>
      <w:pPr>
        <w:pStyle w:val="17"/>
        <w:numPr>
          <w:ilvl w:val="0"/>
          <w:numId w:val="1"/>
        </w:numPr>
        <w:tabs>
          <w:tab w:val="right" w:pos="8844"/>
        </w:tabs>
        <w:rPr>
          <w:color w:val="auto"/>
          <w:highlight w:val="none"/>
        </w:rPr>
      </w:pPr>
      <w:r>
        <w:rPr>
          <w:rFonts w:hint="eastAsia"/>
          <w:color w:val="auto"/>
          <w:highlight w:val="none"/>
          <w:lang w:val="en-US" w:eastAsia="zh-CN"/>
        </w:rPr>
        <w:t>采购方法</w:t>
      </w:r>
    </w:p>
    <w:p>
      <w:pPr>
        <w:pStyle w:val="17"/>
        <w:numPr>
          <w:ilvl w:val="0"/>
          <w:numId w:val="1"/>
        </w:numPr>
        <w:tabs>
          <w:tab w:val="right" w:pos="8844"/>
        </w:tabs>
        <w:rPr>
          <w:color w:val="auto"/>
          <w:highlight w:val="none"/>
        </w:rPr>
      </w:pPr>
      <w:r>
        <w:rPr>
          <w:rFonts w:hint="eastAsia"/>
          <w:color w:val="auto"/>
          <w:highlight w:val="none"/>
          <w:lang w:val="en-US" w:eastAsia="zh-CN"/>
        </w:rPr>
        <w:t>评审方法</w:t>
      </w:r>
    </w:p>
    <w:p>
      <w:pPr>
        <w:pStyle w:val="17"/>
        <w:numPr>
          <w:ilvl w:val="0"/>
          <w:numId w:val="1"/>
        </w:numPr>
        <w:tabs>
          <w:tab w:val="right" w:pos="8844"/>
        </w:tabs>
        <w:rPr>
          <w:color w:val="auto"/>
          <w:highlight w:val="none"/>
        </w:rPr>
      </w:pPr>
      <w:r>
        <w:rPr>
          <w:rFonts w:hint="eastAsia"/>
          <w:color w:val="auto"/>
          <w:highlight w:val="none"/>
          <w:lang w:val="en-US" w:eastAsia="zh-CN"/>
        </w:rPr>
        <w:t>采购需求</w:t>
      </w:r>
    </w:p>
    <w:p>
      <w:pPr>
        <w:pStyle w:val="17"/>
        <w:numPr>
          <w:ilvl w:val="0"/>
          <w:numId w:val="1"/>
        </w:numPr>
        <w:tabs>
          <w:tab w:val="right" w:pos="8844"/>
        </w:tabs>
        <w:rPr>
          <w:color w:val="auto"/>
          <w:highlight w:val="none"/>
        </w:rPr>
      </w:pPr>
      <w:r>
        <w:rPr>
          <w:rFonts w:hint="eastAsia"/>
          <w:color w:val="auto"/>
          <w:highlight w:val="none"/>
        </w:rPr>
        <w:t>合同草案</w:t>
      </w:r>
    </w:p>
    <w:p>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jc w:val="both"/>
        <w:rPr>
          <w:rFonts w:hint="eastAsia"/>
          <w:color w:val="auto"/>
          <w:highlight w:val="none"/>
        </w:rPr>
      </w:pPr>
      <w:bookmarkStart w:id="4" w:name="_Toc4275"/>
      <w:bookmarkStart w:id="5" w:name="_Toc17801"/>
      <w:bookmarkStart w:id="6" w:name="_Toc31938"/>
      <w:bookmarkStart w:id="7" w:name="_Toc7519"/>
      <w:bookmarkStart w:id="8" w:name="_Toc1669"/>
      <w:bookmarkStart w:id="9" w:name="_Toc11322"/>
      <w:bookmarkStart w:id="10" w:name="_Toc19609"/>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2364105</wp:posOffset>
                </wp:positionH>
                <wp:positionV relativeFrom="paragraph">
                  <wp:posOffset>76200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15pt;margin-top:6pt;height:0pt;width:75.5pt;z-index:251672576;mso-width-relative:page;mso-height-relative:page;" filled="f" stroked="t" coordsize="21600,21600" o:gfxdata="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cZk1QAAAAk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2348865</wp:posOffset>
                </wp:positionH>
                <wp:positionV relativeFrom="paragraph">
                  <wp:posOffset>475615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7.45pt;height:0pt;width:75.5pt;z-index:251673600;mso-width-relative:page;mso-height-relative:page;" filled="f" stroked="t" coordsize="21600,21600" o:gfxdata="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AZmd1wAAAAk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color w:val="auto"/>
          <w:highlight w:val="none"/>
        </w:rPr>
      </w:pPr>
      <w:bookmarkStart w:id="11" w:name="_Toc26363"/>
      <w:bookmarkStart w:id="12" w:name="_Toc8201"/>
      <w:bookmarkStart w:id="13" w:name="_Toc5230"/>
      <w:bookmarkStart w:id="14" w:name="_Toc88209924"/>
      <w:bookmarkStart w:id="15" w:name="_Toc15709"/>
      <w:bookmarkStart w:id="16" w:name="_Toc28995"/>
      <w:bookmarkStart w:id="17" w:name="_Toc30989"/>
      <w:bookmarkStart w:id="18" w:name="_Toc10122"/>
      <w:bookmarkStart w:id="19" w:name="_Toc30131"/>
      <w:bookmarkStart w:id="20" w:name="_Toc14238"/>
      <w:bookmarkStart w:id="21" w:name="_Toc2659"/>
      <w:bookmarkStart w:id="22" w:name="_Toc99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rFonts w:hint="eastAsia" w:eastAsia="方正小标宋简体"/>
          <w:color w:val="auto"/>
          <w:highlight w:val="none"/>
          <w:u w:val="single"/>
          <w:lang w:eastAsia="zh-CN"/>
        </w:rPr>
      </w:pPr>
      <w:bookmarkStart w:id="23" w:name="_Toc21373"/>
      <w:bookmarkStart w:id="24" w:name="_Toc9680"/>
      <w:r>
        <w:rPr>
          <w:rFonts w:hint="eastAsia"/>
          <w:color w:val="auto"/>
          <w:highlight w:val="none"/>
          <w:u w:val="single"/>
          <w:lang w:eastAsia="zh-CN"/>
        </w:rPr>
        <w:t>石井净分公司二期紫外消毒支架采购项目</w:t>
      </w:r>
    </w:p>
    <w:p>
      <w:pPr>
        <w:pStyle w:val="5"/>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42" w:firstLineChars="200"/>
        <w:jc w:val="left"/>
        <w:rPr>
          <w:rFonts w:ascii="仿宋_GB2312" w:eastAsia="仿宋_GB2312"/>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lang w:eastAsia="zh-CN"/>
        </w:rPr>
        <w:t>石井净分公司二期紫外消毒支架采购项目</w:t>
      </w:r>
      <w:r>
        <w:rPr>
          <w:rFonts w:hint="eastAsia" w:ascii="仿宋_GB2312" w:eastAsia="仿宋_GB2312"/>
          <w:color w:val="auto"/>
          <w:sz w:val="28"/>
          <w:szCs w:val="28"/>
          <w:highlight w:val="none"/>
        </w:rPr>
        <w:t>已具备采购条件，现对该</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石井净分公司二期紫外消毒支架采购项目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XJSJJ-20221020-1</w:t>
      </w:r>
      <w:bookmarkStart w:id="181" w:name="_GoBack"/>
      <w:bookmarkEnd w:id="181"/>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49500.00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ind w:left="271" w:hanging="271" w:hangingChars="100"/>
        <w:rPr>
          <w:rFonts w:hint="default" w:ascii="仿宋" w:hAnsi="仿宋" w:eastAsia="仿宋" w:cs="仿宋"/>
          <w:color w:val="auto"/>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二期紫外消毒系统在使用中出现支架漏水现象，多套支架出现不同程度漏水导致保险丝烧断。为确保排架维修时的紫外消毒剂量能维持原有参数，满足检修更换需求，保障营运生产运行，拟需采购采购</w:t>
      </w:r>
      <w:r>
        <w:rPr>
          <w:rFonts w:hint="eastAsia" w:ascii="仿宋_GB2312" w:eastAsia="仿宋_GB2312"/>
          <w:color w:val="auto"/>
          <w:sz w:val="28"/>
          <w:szCs w:val="28"/>
          <w:highlight w:val="none"/>
          <w:u w:val="single"/>
          <w:lang w:val="en-US" w:eastAsia="zh-CN"/>
        </w:rPr>
        <w:t>紫外消毒支架3</w:t>
      </w:r>
      <w:r>
        <w:rPr>
          <w:rFonts w:hint="eastAsia" w:ascii="仿宋_GB2312" w:eastAsia="仿宋_GB2312"/>
          <w:color w:val="auto"/>
          <w:sz w:val="28"/>
          <w:szCs w:val="28"/>
          <w:highlight w:val="none"/>
          <w:u w:val="single"/>
        </w:rPr>
        <w:t>套。</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numPr>
          <w:ilvl w:val="0"/>
          <w:numId w:val="0"/>
        </w:numPr>
        <w:adjustRightInd/>
        <w:snapToGrid/>
        <w:spacing w:line="360" w:lineRule="auto"/>
        <w:ind w:left="271" w:hanging="271" w:hangingChars="1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 w:hAnsi="仿宋" w:eastAsia="仿宋" w:cs="仿宋"/>
          <w:color w:val="auto"/>
          <w:sz w:val="28"/>
          <w:szCs w:val="28"/>
          <w:highlight w:val="none"/>
          <w:u w:val="single"/>
          <w:lang w:val="en-US" w:eastAsia="zh-CN"/>
        </w:rPr>
        <w:t>广州市白云区石槎路695号广州市净水有限公司石井净水分公司。</w:t>
      </w:r>
    </w:p>
    <w:p>
      <w:pPr>
        <w:adjustRightInd w:val="0"/>
        <w:snapToGrid w:val="0"/>
        <w:spacing w:line="600" w:lineRule="exact"/>
        <w:ind w:left="420" w:right="-353" w:rightChars="-176" w:hanging="407"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仿宋_GB2312" w:eastAsia="仿宋_GB2312"/>
          <w:color w:val="auto"/>
          <w:sz w:val="28"/>
          <w:szCs w:val="28"/>
          <w:highlight w:val="none"/>
          <w:u w:val="single"/>
          <w:lang w:eastAsia="zh-CN"/>
        </w:rPr>
        <w:t>。</w:t>
      </w:r>
    </w:p>
    <w:p>
      <w:pPr>
        <w:adjustRightInd w:val="0"/>
        <w:snapToGrid w:val="0"/>
        <w:spacing w:line="600" w:lineRule="exact"/>
        <w:ind w:left="420" w:right="-353" w:rightChars="-176" w:hanging="407"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1参与本项目采购活动的供应商应当依法设立且满足如下要求：</w:t>
      </w:r>
    </w:p>
    <w:p>
      <w:pPr>
        <w:ind w:firstLine="0" w:firstLineChars="0"/>
        <w:rPr>
          <w:rFonts w:ascii="仿宋" w:hAnsi="仿宋" w:eastAsia="仿宋" w:cs="仿宋_GB2312"/>
          <w:color w:val="auto"/>
          <w:sz w:val="28"/>
          <w:szCs w:val="28"/>
          <w:highlight w:val="none"/>
          <w:u w:val="none"/>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rPr>
        <w:t>报价单位须是中华人民共和国境内的法人或者其他组织，具有独立法人资格，</w:t>
      </w:r>
      <w:r>
        <w:rPr>
          <w:rFonts w:hint="eastAsia" w:ascii="仿宋" w:hAnsi="仿宋" w:eastAsia="仿宋" w:cs="仿宋_GB2312"/>
          <w:color w:val="auto"/>
          <w:sz w:val="28"/>
          <w:szCs w:val="28"/>
          <w:highlight w:val="none"/>
          <w:u w:val="none"/>
          <w:lang w:val="en-US" w:eastAsia="zh-CN"/>
        </w:rPr>
        <w:t>持有工商行政管理部门核发的营业执照，</w:t>
      </w:r>
      <w:r>
        <w:rPr>
          <w:rFonts w:hint="eastAsia" w:ascii="仿宋" w:hAnsi="仿宋" w:eastAsia="仿宋" w:cs="仿宋_GB2312"/>
          <w:color w:val="auto"/>
          <w:sz w:val="28"/>
          <w:szCs w:val="28"/>
          <w:highlight w:val="none"/>
          <w:u w:val="none"/>
        </w:rPr>
        <w:t>且能开具增值税专用发票。</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rPr>
        <w:t>销售业绩要求：</w:t>
      </w:r>
      <w:r>
        <w:rPr>
          <w:rFonts w:ascii="仿宋" w:hAnsi="仿宋" w:eastAsia="仿宋" w:cs="仿宋_GB2312"/>
          <w:color w:val="auto"/>
          <w:sz w:val="28"/>
          <w:szCs w:val="28"/>
          <w:highlight w:val="none"/>
          <w:u w:val="none"/>
        </w:rPr>
        <w:t>201</w:t>
      </w:r>
      <w:r>
        <w:rPr>
          <w:rFonts w:hint="eastAsia" w:ascii="仿宋" w:hAnsi="仿宋" w:eastAsia="仿宋" w:cs="仿宋_GB2312"/>
          <w:color w:val="auto"/>
          <w:sz w:val="28"/>
          <w:szCs w:val="28"/>
          <w:highlight w:val="none"/>
          <w:u w:val="none"/>
          <w:lang w:val="en-US" w:eastAsia="zh-CN"/>
        </w:rPr>
        <w:t>9</w:t>
      </w:r>
      <w:r>
        <w:rPr>
          <w:rFonts w:ascii="仿宋" w:hAnsi="仿宋" w:eastAsia="仿宋" w:cs="仿宋_GB2312"/>
          <w:color w:val="auto"/>
          <w:sz w:val="28"/>
          <w:szCs w:val="28"/>
          <w:highlight w:val="none"/>
          <w:u w:val="none"/>
        </w:rPr>
        <w:t>年1月1日至今</w:t>
      </w:r>
      <w:r>
        <w:rPr>
          <w:rFonts w:hint="eastAsia" w:ascii="仿宋" w:hAnsi="仿宋" w:eastAsia="仿宋" w:cs="仿宋_GB2312"/>
          <w:color w:val="auto"/>
          <w:sz w:val="28"/>
          <w:szCs w:val="28"/>
          <w:highlight w:val="none"/>
          <w:u w:val="none"/>
          <w:lang w:eastAsia="zh-CN"/>
        </w:rPr>
        <w:t>，</w:t>
      </w:r>
      <w:r>
        <w:rPr>
          <w:rFonts w:hint="eastAsia" w:ascii="仿宋" w:hAnsi="仿宋" w:eastAsia="仿宋" w:cs="仿宋_GB2312"/>
          <w:color w:val="auto"/>
          <w:sz w:val="28"/>
          <w:szCs w:val="28"/>
          <w:highlight w:val="none"/>
          <w:u w:val="none"/>
          <w:lang w:val="en-US" w:eastAsia="zh-CN"/>
        </w:rPr>
        <w:t>最少</w:t>
      </w:r>
      <w:r>
        <w:rPr>
          <w:rFonts w:ascii="仿宋" w:hAnsi="仿宋" w:eastAsia="仿宋" w:cs="仿宋_GB2312"/>
          <w:color w:val="auto"/>
          <w:sz w:val="28"/>
          <w:szCs w:val="28"/>
          <w:highlight w:val="none"/>
          <w:u w:val="none"/>
        </w:rPr>
        <w:t>具有一项</w:t>
      </w:r>
      <w:r>
        <w:rPr>
          <w:rFonts w:hint="eastAsia" w:ascii="仿宋" w:hAnsi="仿宋" w:eastAsia="仿宋" w:cs="仿宋_GB2312"/>
          <w:color w:val="auto"/>
          <w:sz w:val="28"/>
          <w:szCs w:val="28"/>
          <w:highlight w:val="none"/>
          <w:u w:val="none"/>
          <w:lang w:val="en-US" w:eastAsia="zh-CN"/>
        </w:rPr>
        <w:t>紫外</w:t>
      </w:r>
      <w:r>
        <w:rPr>
          <w:rFonts w:hint="eastAsia" w:ascii="仿宋" w:hAnsi="仿宋" w:eastAsia="仿宋" w:cs="仿宋_GB2312"/>
          <w:color w:val="auto"/>
          <w:sz w:val="28"/>
          <w:szCs w:val="28"/>
          <w:highlight w:val="none"/>
          <w:u w:val="none"/>
        </w:rPr>
        <w:t>设备的供货业绩（提供合同复印件证明，包括但不限于项目名称、金额及实施内容、合同双方签字盖章、签订日期，并加盖单位公章）；</w:t>
      </w:r>
    </w:p>
    <w:p>
      <w:pPr>
        <w:ind w:firstLine="0" w:firstLineChars="0"/>
        <w:rPr>
          <w:rFonts w:hint="eastAsia" w:ascii="仿宋" w:hAnsi="仿宋" w:eastAsia="仿宋" w:cs="仿宋_GB2312"/>
          <w:color w:val="auto"/>
          <w:sz w:val="28"/>
          <w:szCs w:val="28"/>
          <w:highlight w:val="none"/>
          <w:u w:val="none"/>
          <w:lang w:val="en-US"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w:t>
      </w:r>
      <w:r>
        <w:rPr>
          <w:rFonts w:hint="eastAsia" w:ascii="仿宋" w:hAnsi="仿宋" w:eastAsia="仿宋" w:cs="仿宋_GB2312"/>
          <w:color w:val="auto"/>
          <w:sz w:val="28"/>
          <w:szCs w:val="28"/>
          <w:highlight w:val="none"/>
          <w:u w:val="none"/>
        </w:rPr>
        <w:t>报价时由报价单位自行出具承诺函（制造商除外），</w:t>
      </w:r>
      <w:r>
        <w:rPr>
          <w:rFonts w:hint="eastAsia" w:ascii="仿宋_GB2312" w:hAnsi="仿宋_GB2312" w:eastAsia="仿宋_GB2312" w:cs="仿宋_GB2312"/>
          <w:color w:val="auto"/>
          <w:sz w:val="28"/>
          <w:szCs w:val="28"/>
          <w:highlight w:val="none"/>
          <w:u w:val="none"/>
        </w:rPr>
        <w:t>承诺所提供报价设备均为制造商</w:t>
      </w:r>
      <w:r>
        <w:rPr>
          <w:rFonts w:hint="eastAsia" w:ascii="仿宋_GB2312" w:hAnsi="仿宋_GB2312" w:eastAsia="仿宋_GB2312" w:cs="仿宋_GB2312"/>
          <w:color w:val="auto"/>
          <w:sz w:val="28"/>
          <w:szCs w:val="28"/>
          <w:highlight w:val="none"/>
          <w:u w:val="none"/>
          <w:lang w:val="en-US" w:eastAsia="zh-CN"/>
        </w:rPr>
        <w:t>全新</w:t>
      </w:r>
      <w:r>
        <w:rPr>
          <w:rFonts w:hint="eastAsia" w:ascii="仿宋_GB2312" w:hAnsi="仿宋_GB2312" w:eastAsia="仿宋_GB2312" w:cs="仿宋_GB2312"/>
          <w:color w:val="auto"/>
          <w:sz w:val="28"/>
          <w:szCs w:val="28"/>
          <w:highlight w:val="none"/>
          <w:u w:val="none"/>
        </w:rPr>
        <w:t>原装产品</w:t>
      </w:r>
      <w:r>
        <w:rPr>
          <w:rFonts w:hint="eastAsia" w:ascii="仿宋_GB2312" w:hAnsi="仿宋_GB2312" w:eastAsia="仿宋_GB2312" w:cs="仿宋_GB2312"/>
          <w:color w:val="auto"/>
          <w:sz w:val="28"/>
          <w:szCs w:val="28"/>
          <w:highlight w:val="none"/>
          <w:u w:val="none"/>
          <w:lang w:eastAsia="zh-CN"/>
        </w:rPr>
        <w:t>。</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07"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07"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p>
    <w:p>
      <w:pPr>
        <w:adjustRightInd w:val="0"/>
        <w:snapToGrid w:val="0"/>
        <w:spacing w:line="600" w:lineRule="exact"/>
        <w:ind w:firstLine="542"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广州市白云区石槎路695号石井净水厂。</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防疫要求：基于目前疫情防控形势，我公司仅接受快递或自行送达形式递交响应文件，响应文件须于递交截止时间前送达，并放置于公司东门保安处。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599"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42"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000000"/>
                <w:kern w:val="0"/>
                <w:sz w:val="28"/>
                <w:szCs w:val="28"/>
                <w:lang w:val="en-US" w:eastAsia="zh-CN"/>
              </w:rPr>
              <w:t>广州市白云区石槎路695号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17875130325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168"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20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4"/>
        <w:rPr>
          <w:rFonts w:hint="eastAsia"/>
          <w:color w:val="auto"/>
          <w:highlight w:val="none"/>
        </w:rPr>
      </w:pPr>
      <w:bookmarkStart w:id="25" w:name="_Toc10891"/>
    </w:p>
    <w:p>
      <w:pPr>
        <w:pStyle w:val="4"/>
        <w:rPr>
          <w:color w:val="auto"/>
          <w:highlight w:val="none"/>
        </w:rPr>
      </w:pPr>
      <w:bookmarkStart w:id="26" w:name="_Toc2331"/>
      <w:bookmarkStart w:id="27" w:name="_Toc16557"/>
      <w:bookmarkStart w:id="28" w:name="_Toc9448"/>
      <w:bookmarkStart w:id="29" w:name="_Toc16705"/>
      <w:bookmarkStart w:id="30" w:name="_Toc25603"/>
      <w:bookmarkStart w:id="31" w:name="_Toc7340"/>
      <w:bookmarkStart w:id="32" w:name="_Toc32588"/>
      <w:bookmarkStart w:id="33" w:name="_Toc19295"/>
      <w:bookmarkStart w:id="34" w:name="_Toc2324"/>
      <w:bookmarkStart w:id="35" w:name="_Toc23749"/>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2300605</wp:posOffset>
                </wp:positionH>
                <wp:positionV relativeFrom="paragraph">
                  <wp:posOffset>451485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15pt;margin-top:35.55pt;height:0pt;width:75.5pt;z-index:251675648;mso-width-relative:page;mso-height-relative:page;" filled="f" stroked="t" coordsize="21600,21600" o:gfxdata="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644c2CpR/cfvnx///Hu07e7r5/ZZJ41GgLW5Lpym3ja&#10;YdjETHjfRpv/RIXti66Hs65qn5igw2ez+XxG6ouHq+oxLkRMz5W3LBsNxxRBd31aeeeoeT5Oiqyw&#10;e4GJMlPgQ0BOahwbMvx0RuBA49MaSGTaQITQdSUWvdHyVhuTIzB225WJbAd5IMqX+RHuL245yRqw&#10;P/qVq+Oo9Arkj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qsGTWAAAACQEAAA8AAAAAAAAA&#10;AQAgAAAAIgAAAGRycy9kb3ducmV2LnhtbFBLAQIUABQAAAAIAIdO4kCnS+a02gEAAJYDAAAOAAAA&#10;AAAAAAEAIAAAACUBAABkcnMvZTJvRG9jLnhtbFBLBQYAAAAABgAGAFkBAABx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2308225</wp:posOffset>
                </wp:positionH>
                <wp:positionV relativeFrom="paragraph">
                  <wp:posOffset>76200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1.75pt;margin-top:6pt;height:0pt;width:75.5pt;z-index:251674624;mso-width-relative:page;mso-height-relative:page;" filled="f" stroked="t" coordsize="21600,21600" o:gfxdata="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weMVn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5"/>
      <w:bookmarkEnd w:id="26"/>
      <w:bookmarkEnd w:id="27"/>
      <w:bookmarkEnd w:id="28"/>
      <w:bookmarkEnd w:id="29"/>
      <w:bookmarkEnd w:id="30"/>
      <w:bookmarkEnd w:id="31"/>
      <w:bookmarkEnd w:id="32"/>
      <w:bookmarkEnd w:id="33"/>
      <w:bookmarkEnd w:id="34"/>
      <w:bookmarkEnd w:id="35"/>
    </w:p>
    <w:p>
      <w:pPr>
        <w:pStyle w:val="5"/>
        <w:rPr>
          <w:rFonts w:hint="eastAsia"/>
          <w:color w:val="auto"/>
          <w:highlight w:val="none"/>
        </w:rPr>
      </w:pPr>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7"/>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22"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62"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62"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62"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07"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22"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72"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607"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607"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607"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439"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439"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439"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580"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317"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607"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276"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38" w:name="_Toc2867"/>
      <w:bookmarkStart w:id="39"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8"/>
      <w:bookmarkEnd w:id="39"/>
    </w:p>
    <w:p>
      <w:pPr>
        <w:pStyle w:val="37"/>
        <w:rPr>
          <w:color w:val="auto"/>
          <w:highlight w:val="none"/>
        </w:rPr>
      </w:pPr>
    </w:p>
    <w:p>
      <w:pPr>
        <w:pStyle w:val="5"/>
        <w:rPr>
          <w:color w:val="auto"/>
          <w:highlight w:val="none"/>
        </w:rPr>
      </w:pPr>
      <w:bookmarkStart w:id="40" w:name="_Toc88209934"/>
      <w:bookmarkStart w:id="41" w:name="_Toc7303"/>
      <w:bookmarkStart w:id="42" w:name="_Toc87616371"/>
      <w:bookmarkStart w:id="43" w:name="_Toc7040"/>
      <w:r>
        <w:rPr>
          <w:rFonts w:hint="eastAsia"/>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44" w:name="_Toc24895"/>
      <w:bookmarkStart w:id="45" w:name="_Toc3789"/>
      <w:r>
        <w:rPr>
          <w:rFonts w:hint="eastAsia"/>
          <w:color w:val="auto"/>
          <w:highlight w:val="none"/>
        </w:rPr>
        <w:t>询比采购</w:t>
      </w:r>
      <w:bookmarkEnd w:id="44"/>
      <w:bookmarkEnd w:id="4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62"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3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广州市白云区石槎路695号石井净水厂</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47"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42" w:firstLineChars="200"/>
        <w:jc w:val="left"/>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42" w:firstLineChars="200"/>
        <w:jc w:val="left"/>
        <w:rPr>
          <w:rFonts w:ascii="仿宋_GB2312" w:eastAsia="仿宋_GB2312"/>
          <w:color w:val="auto"/>
          <w:sz w:val="28"/>
          <w:szCs w:val="28"/>
          <w:highlight w:val="none"/>
        </w:rPr>
      </w:pPr>
    </w:p>
    <w:p>
      <w:pPr>
        <w:pStyle w:val="4"/>
        <w:rPr>
          <w:color w:val="auto"/>
          <w:highlight w:val="none"/>
        </w:rPr>
      </w:pPr>
      <w:bookmarkStart w:id="46" w:name="_Toc7437"/>
      <w:bookmarkStart w:id="47" w:name="_Toc19050"/>
      <w:bookmarkStart w:id="48" w:name="_Toc23581"/>
      <w:bookmarkStart w:id="49" w:name="_Toc14552"/>
      <w:bookmarkStart w:id="50" w:name="_Toc4952"/>
      <w:bookmarkStart w:id="51" w:name="_Toc14870"/>
      <w:bookmarkStart w:id="52" w:name="_Toc19759"/>
      <w:bookmarkStart w:id="53" w:name="_Toc7118"/>
      <w:bookmarkStart w:id="54" w:name="_Toc10930"/>
      <w:bookmarkStart w:id="55" w:name="_Toc20594"/>
      <w:bookmarkStart w:id="56"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6"/>
      <w:bookmarkEnd w:id="47"/>
      <w:bookmarkEnd w:id="48"/>
      <w:bookmarkEnd w:id="49"/>
      <w:bookmarkEnd w:id="50"/>
      <w:bookmarkEnd w:id="51"/>
      <w:bookmarkEnd w:id="52"/>
      <w:bookmarkEnd w:id="53"/>
      <w:bookmarkEnd w:id="54"/>
      <w:bookmarkEnd w:id="55"/>
      <w:bookmarkEnd w:id="56"/>
    </w:p>
    <w:p>
      <w:pPr>
        <w:pStyle w:val="37"/>
        <w:rPr>
          <w:color w:val="auto"/>
          <w:highlight w:val="none"/>
        </w:rPr>
      </w:pPr>
    </w:p>
    <w:p>
      <w:pPr>
        <w:pStyle w:val="4"/>
        <w:rPr>
          <w:color w:val="auto"/>
          <w:highlight w:val="none"/>
        </w:rPr>
      </w:pPr>
      <w:bookmarkStart w:id="57" w:name="_Toc88209941"/>
      <w:bookmarkStart w:id="58" w:name="_Toc29345"/>
      <w:bookmarkStart w:id="59" w:name="_Toc21840"/>
      <w:bookmarkStart w:id="60" w:name="_Toc30530"/>
      <w:bookmarkStart w:id="61" w:name="_Toc32607"/>
      <w:bookmarkStart w:id="62" w:name="_Toc87616378"/>
      <w:bookmarkStart w:id="63" w:name="_Toc12177"/>
      <w:bookmarkStart w:id="64" w:name="_Toc22212"/>
      <w:bookmarkStart w:id="65" w:name="_Toc7831"/>
      <w:bookmarkStart w:id="66" w:name="_Toc6308"/>
      <w:bookmarkStart w:id="67" w:name="_Toc29484"/>
      <w:bookmarkStart w:id="68" w:name="_Toc13898"/>
      <w:bookmarkStart w:id="69" w:name="_Toc21079"/>
      <w:r>
        <w:rPr>
          <w:rFonts w:hint="eastAsia"/>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70" w:name="_Toc23033"/>
      <w:bookmarkStart w:id="71" w:name="_Toc26826"/>
      <w:r>
        <w:rPr>
          <w:rFonts w:hint="eastAsia"/>
          <w:color w:val="auto"/>
          <w:highlight w:val="none"/>
        </w:rPr>
        <w:t>经评审的最低价法</w:t>
      </w:r>
      <w:bookmarkEnd w:id="70"/>
      <w:bookmarkEnd w:id="7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07"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07"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07"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07"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72"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2388235</wp:posOffset>
                </wp:positionH>
                <wp:positionV relativeFrom="paragraph">
                  <wp:posOffset>459740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8.05pt;margin-top:36.2pt;height:0pt;width:75.5pt;z-index:251677696;mso-width-relative:page;mso-height-relative:page;" filled="f" stroked="t" coordsize="21600,21600" o:gfxdata="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sEe01wAAAAk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2372360</wp:posOffset>
                </wp:positionH>
                <wp:positionV relativeFrom="paragraph">
                  <wp:posOffset>36195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6.8pt;margin-top:2.85pt;height:0pt;width:75.5pt;z-index:251676672;mso-width-relative:page;mso-height-relative:page;" filled="f" stroked="t" coordsize="21600,21600" o:gfxdata="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z4is9QAAAAHAQAADwAAAAAAAAABACAA&#10;AAAiAAAAZHJzL2Rvd25yZXYueG1sUEsBAhQAFAAAAAgAh07iQGwnBjHYAQAAlgMAAA4AAAAAAAAA&#10;AQAgAAAAIwEAAGRycy9lMm9Eb2MueG1sUEsFBgAAAAAGAAYAWQEAAG0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bookmarkEnd w:id="72"/>
    <w:p>
      <w:pPr>
        <w:pStyle w:val="12"/>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2"/>
        <w:adjustRightInd w:val="0"/>
        <w:snapToGrid w:val="0"/>
        <w:spacing w:line="300" w:lineRule="auto"/>
        <w:ind w:firstLine="542" w:firstLineChars="200"/>
        <w:rPr>
          <w:rFonts w:ascii="仿宋" w:hAnsi="仿宋" w:eastAsia="仿宋" w:cs="仿宋_GB2312"/>
          <w:b/>
          <w:color w:val="auto"/>
          <w:sz w:val="28"/>
          <w:szCs w:val="28"/>
          <w:highlight w:val="none"/>
        </w:rPr>
      </w:pPr>
      <w:r>
        <w:rPr>
          <w:rFonts w:hint="eastAsia" w:ascii="仿宋" w:hAnsi="仿宋" w:eastAsia="仿宋" w:cs="仿宋"/>
          <w:b w:val="0"/>
          <w:color w:val="auto"/>
          <w:sz w:val="28"/>
          <w:szCs w:val="28"/>
          <w:highlight w:val="none"/>
        </w:rPr>
        <w:t>二期紫外消毒系统在使用中出现支架漏水现象，多套支架出现不同程度漏水导致保险丝烧断。为确保排架维修时的紫外消毒剂量能维持原有参数，需有足够的排架备件更换来保证出水水质，方便漏水排架送修，拟需采购采</w:t>
      </w:r>
      <w:r>
        <w:rPr>
          <w:rFonts w:hint="eastAsia" w:ascii="仿宋" w:hAnsi="仿宋" w:eastAsia="仿宋" w:cs="仿宋"/>
          <w:b w:val="0"/>
          <w:color w:val="auto"/>
          <w:sz w:val="28"/>
          <w:szCs w:val="28"/>
          <w:highlight w:val="none"/>
          <w:lang w:val="en-US" w:eastAsia="zh-CN"/>
        </w:rPr>
        <w:t>购紫外支架3</w:t>
      </w:r>
      <w:r>
        <w:rPr>
          <w:rFonts w:hint="eastAsia" w:ascii="仿宋" w:hAnsi="仿宋" w:eastAsia="仿宋" w:cs="仿宋"/>
          <w:b w:val="0"/>
          <w:color w:val="auto"/>
          <w:sz w:val="28"/>
          <w:szCs w:val="28"/>
          <w:highlight w:val="none"/>
        </w:rPr>
        <w:t>套。</w:t>
      </w:r>
    </w:p>
    <w:p>
      <w:pPr>
        <w:pStyle w:val="12"/>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12"/>
        <w:adjustRightInd w:val="0"/>
        <w:snapToGrid w:val="0"/>
        <w:spacing w:line="300" w:lineRule="auto"/>
        <w:rPr>
          <w:rFonts w:hint="eastAsia" w:ascii="宋体" w:hAnsi="宋体" w:eastAsia="宋体" w:cs="宋体"/>
          <w:i w:val="0"/>
          <w:color w:val="auto"/>
          <w:kern w:val="0"/>
          <w:sz w:val="22"/>
          <w:szCs w:val="22"/>
          <w:highlight w:val="none"/>
          <w:u w:val="none"/>
          <w:lang w:val="en-US" w:eastAsia="zh-CN" w:bidi="ar"/>
        </w:rPr>
      </w:pPr>
    </w:p>
    <w:tbl>
      <w:tblPr>
        <w:tblStyle w:val="21"/>
        <w:tblW w:w="8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52"/>
        <w:gridCol w:w="3178"/>
        <w:gridCol w:w="738"/>
        <w:gridCol w:w="650"/>
        <w:gridCol w:w="2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在用型号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故障及维护情况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8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安力斯紫外消毒模块机架</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WTHI-15000-AHO</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2021.12.10二期紫外线大修2022.1.10中标单位领一个支架返厂维修。</w:t>
            </w:r>
          </w:p>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目前3A有7个支架渗漏。4A有2个支架渗漏。长时间积累会导致镇流器、灯管、保险丝损坏。</w:t>
            </w:r>
          </w:p>
        </w:tc>
      </w:tr>
    </w:tbl>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需满足能与安力斯紫外设备兼容的支架。</w:t>
      </w: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adjustRightInd/>
        <w:snapToGrid/>
        <w:spacing w:line="360" w:lineRule="auto"/>
        <w:jc w:val="left"/>
        <w:rPr>
          <w:rFonts w:hint="eastAsia" w:ascii="仿宋" w:hAnsi="仿宋" w:eastAsia="仿宋" w:cs="仿宋"/>
          <w:bCs/>
          <w:color w:val="auto"/>
          <w:sz w:val="28"/>
          <w:szCs w:val="28"/>
          <w:highlight w:val="none"/>
          <w:lang w:val="en-US" w:eastAsia="zh-CN"/>
        </w:rPr>
      </w:pPr>
    </w:p>
    <w:p>
      <w:pPr>
        <w:spacing w:line="360" w:lineRule="auto"/>
        <w:ind w:firstLine="0" w:firstLineChars="0"/>
        <w:rPr>
          <w:rFonts w:ascii="仿宋_GB2312" w:eastAsia="仿宋_GB2312"/>
          <w:color w:val="auto"/>
          <w:sz w:val="28"/>
          <w:szCs w:val="28"/>
          <w:highlight w:val="none"/>
        </w:rPr>
      </w:pPr>
    </w:p>
    <w:p>
      <w:pPr>
        <w:pStyle w:val="2"/>
        <w:rPr>
          <w:rFonts w:ascii="仿宋_GB2312" w:eastAsia="仿宋_GB2312" w:hAnsiTheme="minorEastAsia"/>
          <w:color w:val="auto"/>
          <w:szCs w:val="21"/>
          <w:highlight w:val="none"/>
        </w:rPr>
      </w:pPr>
    </w:p>
    <w:p>
      <w:pPr>
        <w:pStyle w:val="2"/>
        <w:ind w:firstLine="0"/>
        <w:rPr>
          <w:color w:val="auto"/>
          <w:highlight w:val="none"/>
        </w:rPr>
      </w:pPr>
    </w:p>
    <w:p>
      <w:pPr>
        <w:pStyle w:val="4"/>
        <w:rPr>
          <w:rFonts w:hint="eastAsia"/>
          <w:color w:val="auto"/>
          <w:highlight w:val="none"/>
        </w:rPr>
      </w:pPr>
      <w:bookmarkStart w:id="73" w:name="_Toc23353"/>
      <w:bookmarkStart w:id="74" w:name="_Toc4680"/>
      <w:bookmarkStart w:id="75" w:name="_Toc18538"/>
      <w:bookmarkStart w:id="76" w:name="_Toc29835"/>
      <w:bookmarkStart w:id="77" w:name="_Toc25925"/>
      <w:bookmarkStart w:id="78" w:name="_Toc537"/>
      <w:bookmarkStart w:id="79" w:name="_Toc15570"/>
      <w:bookmarkStart w:id="80" w:name="_Toc12135"/>
      <w:bookmarkStart w:id="81" w:name="_Toc23330"/>
      <w:bookmarkStart w:id="82" w:name="_Toc1496"/>
      <w:bookmarkStart w:id="83" w:name="_Toc1284"/>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2329815</wp:posOffset>
                </wp:positionH>
                <wp:positionV relativeFrom="paragraph">
                  <wp:posOffset>441960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45pt;margin-top:34.8pt;height:0pt;width:75.5pt;z-index:251667456;mso-width-relative:page;mso-height-relative:page;" filled="f" stroked="t" coordsize="21600,21600" o:gfxdata="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jfcF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2317115</wp:posOffset>
                </wp:positionH>
                <wp:positionV relativeFrom="paragraph">
                  <wp:posOffset>72390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45pt;margin-top:5.7pt;height:0pt;width:75.5pt;z-index:251666432;mso-width-relative:page;mso-height-relative:page;" filled="f" stroked="t" coordsize="21600,21600" o:gfxdata="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LYp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ognIdYAAAAJAQAADwAAAAAAAAABACAA&#10;AAAiAAAAZHJzL2Rvd25yZXYueG1sUEsBAhQAFAAAAAgAh07iQMsrk/vWAQAAlAMAAA4AAAAAAAAA&#10;AQAgAAAAJQEAAGRycy9lMm9Eb2MueG1sUEsFBgAAAAAGAAYAWQEAAG0FAAAAAA==&#10;">
                <v:fill on="f" focussize="0,0"/>
                <v:stroke color="#000000" joinstyle="round"/>
                <v:imagedata o:title=""/>
                <o:lock v:ext="edit" aspectratio="f"/>
              </v:shape>
            </w:pict>
          </mc:Fallback>
        </mc:AlternateContent>
      </w:r>
      <w:r>
        <w:rPr>
          <w:rFonts w:hint="eastAsia"/>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color w:val="auto"/>
          <w:highlight w:val="none"/>
        </w:rPr>
      </w:pPr>
    </w:p>
    <w:p>
      <w:pPr>
        <w:pStyle w:val="4"/>
        <w:rPr>
          <w:color w:val="auto"/>
          <w:highlight w:val="none"/>
        </w:rPr>
      </w:pPr>
      <w:bookmarkStart w:id="84" w:name="_Toc12968"/>
      <w:bookmarkStart w:id="85" w:name="_Toc88209949"/>
      <w:bookmarkStart w:id="86" w:name="_Toc12721"/>
      <w:bookmarkStart w:id="87" w:name="_Toc87616386"/>
      <w:bookmarkStart w:id="88" w:name="_Toc323"/>
      <w:bookmarkStart w:id="89" w:name="_Toc8183"/>
      <w:bookmarkStart w:id="90" w:name="_Toc22501"/>
      <w:bookmarkStart w:id="91" w:name="_Toc19686"/>
      <w:bookmarkStart w:id="92" w:name="_Toc1375"/>
      <w:bookmarkStart w:id="93" w:name="_Toc19088"/>
      <w:bookmarkStart w:id="94" w:name="_Toc13309"/>
      <w:bookmarkStart w:id="95" w:name="_Toc12980"/>
      <w:bookmarkStart w:id="96" w:name="_Toc22797"/>
      <w:r>
        <w:rPr>
          <w:rFonts w:hint="eastAsia"/>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ind w:firstLine="2710" w:firstLineChars="1000"/>
        <w:jc w:val="both"/>
        <w:rPr>
          <w:rFonts w:hint="eastAsia" w:ascii="仿宋" w:hAnsi="仿宋" w:eastAsia="仿宋" w:cs="仿宋_GB2312"/>
          <w:b/>
          <w:color w:val="auto"/>
          <w:sz w:val="28"/>
          <w:szCs w:val="28"/>
          <w:highlight w:val="none"/>
        </w:rPr>
      </w:pPr>
    </w:p>
    <w:p>
      <w:pPr>
        <w:pStyle w:val="27"/>
        <w:rPr>
          <w:rFonts w:hint="eastAsia" w:ascii="仿宋" w:hAnsi="仿宋" w:eastAsia="仿宋" w:cs="仿宋_GB2312"/>
          <w:b/>
          <w:color w:val="auto"/>
          <w:sz w:val="28"/>
          <w:szCs w:val="28"/>
          <w:highlight w:val="none"/>
        </w:rPr>
      </w:pPr>
    </w:p>
    <w:p>
      <w:pPr>
        <w:pStyle w:val="27"/>
        <w:rPr>
          <w:rFonts w:hint="eastAsia" w:ascii="仿宋" w:hAnsi="仿宋" w:eastAsia="仿宋" w:cs="仿宋_GB2312"/>
          <w:b/>
          <w:color w:val="auto"/>
          <w:sz w:val="28"/>
          <w:szCs w:val="28"/>
          <w:highlight w:val="none"/>
        </w:rPr>
      </w:pPr>
    </w:p>
    <w:p>
      <w:pPr>
        <w:pStyle w:val="27"/>
        <w:rPr>
          <w:rFonts w:hint="eastAsia" w:ascii="仿宋" w:hAnsi="仿宋" w:eastAsia="仿宋" w:cs="仿宋_GB2312"/>
          <w:b/>
          <w:color w:val="auto"/>
          <w:sz w:val="28"/>
          <w:szCs w:val="28"/>
          <w:highlight w:val="none"/>
        </w:rPr>
      </w:pPr>
    </w:p>
    <w:p>
      <w:pPr>
        <w:ind w:firstLine="2710" w:firstLineChars="1000"/>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after="0" w:line="240" w:lineRule="auto"/>
        <w:rPr>
          <w:rFonts w:ascii="宋体" w:hAnsi="宋体" w:cs="Times New Roman"/>
          <w:b/>
          <w:color w:val="auto"/>
          <w:sz w:val="44"/>
          <w:highlight w:val="none"/>
        </w:rPr>
      </w:pP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t>货物采购合同</w:t>
      </w:r>
    </w:p>
    <w:p>
      <w:pPr>
        <w:jc w:val="center"/>
        <w:rPr>
          <w:color w:val="auto"/>
          <w:sz w:val="30"/>
          <w:highlight w:val="none"/>
        </w:rPr>
      </w:pPr>
    </w:p>
    <w:p>
      <w:pPr>
        <w:pStyle w:val="2"/>
        <w:rPr>
          <w:color w:val="auto"/>
          <w:highlight w:val="none"/>
        </w:rPr>
      </w:pPr>
    </w:p>
    <w:p>
      <w:pPr>
        <w:rPr>
          <w:b/>
          <w:bCs/>
          <w:color w:val="auto"/>
          <w:sz w:val="30"/>
          <w:highlight w:val="none"/>
        </w:rPr>
      </w:pPr>
    </w:p>
    <w:p>
      <w:pPr>
        <w:spacing w:line="480" w:lineRule="auto"/>
        <w:ind w:left="4365" w:hanging="4365" w:hangingChars="1500"/>
        <w:jc w:val="both"/>
        <w:rPr>
          <w:rFonts w:hint="eastAsia" w:asciiTheme="minorEastAsia" w:hAnsiTheme="minorEastAsia" w:eastAsiaTheme="minorEastAsia" w:cstheme="minorEastAsia"/>
          <w:b/>
          <w:bCs/>
          <w:color w:val="auto"/>
          <w:sz w:val="30"/>
          <w:szCs w:val="30"/>
          <w:highlight w:val="none"/>
          <w:u w:val="none"/>
          <w:lang w:val="en-US"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val="en-US" w:eastAsia="zh-CN"/>
        </w:rPr>
        <w:t xml:space="preserve"> </w:t>
      </w:r>
      <w:r>
        <w:rPr>
          <w:rFonts w:hint="eastAsia" w:ascii="宋体" w:hAnsi="宋体" w:cs="宋体"/>
          <w:b/>
          <w:bCs/>
          <w:color w:val="auto"/>
          <w:sz w:val="30"/>
          <w:highlight w:val="none"/>
          <w:lang w:eastAsia="zh-CN"/>
        </w:rPr>
        <w:t>石井净分公司二期紫外消毒支架采购项目</w:t>
      </w:r>
    </w:p>
    <w:p>
      <w:pPr>
        <w:pStyle w:val="27"/>
        <w:rPr>
          <w:rFonts w:hint="eastAsia"/>
          <w:color w:val="auto"/>
          <w:highlight w:val="none"/>
          <w:lang w:val="en-US" w:eastAsia="zh-CN"/>
        </w:rPr>
      </w:pP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甲方（买方）：广州市净水有限公司</w:t>
      </w:r>
    </w:p>
    <w:p>
      <w:pPr>
        <w:spacing w:line="480" w:lineRule="auto"/>
        <w:rPr>
          <w:rFonts w:hint="eastAsia"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乙方（卖方）：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hint="eastAsia"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p>
    <w:p>
      <w:pPr>
        <w:spacing w:line="480" w:lineRule="auto"/>
        <w:rPr>
          <w:rFonts w:hint="eastAsia" w:ascii="宋体" w:hAnsi="宋体" w:cs="宋体"/>
          <w:color w:val="auto"/>
          <w:sz w:val="24"/>
          <w:szCs w:val="24"/>
          <w:highlight w:val="none"/>
        </w:rPr>
      </w:pPr>
      <w:r>
        <w:rPr>
          <w:rFonts w:hint="eastAsia" w:ascii="宋体" w:hAnsi="宋体" w:cs="宋体"/>
          <w:b/>
          <w:bCs/>
          <w:color w:val="auto"/>
          <w:sz w:val="30"/>
          <w:highlight w:val="none"/>
        </w:rPr>
        <w:t>签约地点：广州市</w:t>
      </w:r>
    </w:p>
    <w:p>
      <w:pPr>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hint="eastAsia" w:ascii="宋体" w:hAnsi="宋体" w:cs="宋体"/>
          <w:color w:val="auto"/>
          <w:sz w:val="24"/>
          <w:szCs w:val="24"/>
          <w:highlight w:val="none"/>
        </w:rPr>
        <w:t xml:space="preserve"> （以下简称“甲方”）与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（以下简称“乙方”）就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采购事宜，遵循平等、自愿、公平和诚实信用的原则，双方协商一致，订立本合同。</w:t>
      </w:r>
      <w:bookmarkStart w:id="97" w:name="_Toc183666512"/>
      <w:bookmarkStart w:id="98" w:name="_Toc520190025"/>
      <w:bookmarkStart w:id="99" w:name="_Toc10888"/>
      <w:bookmarkStart w:id="100" w:name="_Toc474245209"/>
      <w:bookmarkStart w:id="101" w:name="_Toc518992985"/>
      <w:r>
        <w:rPr>
          <w:rFonts w:hint="eastAsia" w:ascii="宋体" w:hAnsi="宋体" w:cs="宋体"/>
          <w:color w:val="auto"/>
          <w:sz w:val="24"/>
          <w:szCs w:val="24"/>
          <w:highlight w:val="none"/>
        </w:rPr>
        <w:t xml:space="preserve"> </w:t>
      </w:r>
      <w:bookmarkEnd w:id="97"/>
      <w:bookmarkEnd w:id="98"/>
      <w:bookmarkEnd w:id="99"/>
      <w:bookmarkEnd w:id="100"/>
      <w:bookmarkEnd w:id="101"/>
      <w:bookmarkStart w:id="102" w:name="_Toc1018"/>
      <w:bookmarkStart w:id="103" w:name="_Toc518992986"/>
      <w:bookmarkStart w:id="104" w:name="_Toc474245210"/>
      <w:bookmarkStart w:id="105" w:name="_Toc183666513"/>
      <w:bookmarkStart w:id="106" w:name="_Toc520190026"/>
    </w:p>
    <w:p>
      <w:pPr>
        <w:pStyle w:val="9"/>
        <w:tabs>
          <w:tab w:val="left" w:pos="720"/>
        </w:tabs>
        <w:spacing w:line="440" w:lineRule="exact"/>
        <w:ind w:firstLine="462" w:firstLineChars="200"/>
        <w:rPr>
          <w:rFonts w:hAnsi="宋体" w:cs="宋体"/>
          <w:color w:val="auto"/>
          <w:sz w:val="24"/>
          <w:szCs w:val="24"/>
          <w:highlight w:val="none"/>
        </w:rPr>
      </w:pPr>
      <w:r>
        <w:rPr>
          <w:rFonts w:hint="eastAsia" w:hAnsi="宋体" w:cs="宋体"/>
          <w:b/>
          <w:bCs/>
          <w:color w:val="auto"/>
          <w:sz w:val="24"/>
          <w:szCs w:val="24"/>
          <w:highlight w:val="none"/>
        </w:rPr>
        <w:t>第一条</w:t>
      </w:r>
      <w:r>
        <w:rPr>
          <w:rFonts w:hint="eastAsia" w:hAnsi="宋体" w:cs="宋体"/>
          <w:color w:val="auto"/>
          <w:sz w:val="24"/>
          <w:szCs w:val="24"/>
          <w:highlight w:val="none"/>
        </w:rPr>
        <w:t xml:space="preserve"> </w:t>
      </w:r>
      <w:r>
        <w:rPr>
          <w:rFonts w:hint="eastAsia" w:hAnsi="宋体" w:cs="宋体"/>
          <w:b/>
          <w:bCs/>
          <w:color w:val="auto"/>
          <w:sz w:val="24"/>
          <w:szCs w:val="24"/>
          <w:highlight w:val="none"/>
        </w:rPr>
        <w:t>组成合同的文件及优先顺序</w:t>
      </w:r>
    </w:p>
    <w:p>
      <w:pPr>
        <w:pStyle w:val="9"/>
        <w:tabs>
          <w:tab w:val="left" w:pos="720"/>
        </w:tabs>
        <w:spacing w:line="440" w:lineRule="exact"/>
        <w:ind w:firstLine="462" w:firstLineChars="200"/>
        <w:rPr>
          <w:rFonts w:hAnsi="宋体" w:cs="宋体"/>
          <w:color w:val="auto"/>
          <w:kern w:val="2"/>
          <w:sz w:val="24"/>
          <w:szCs w:val="24"/>
          <w:highlight w:val="none"/>
        </w:rPr>
      </w:pPr>
      <w:r>
        <w:rPr>
          <w:rFonts w:hint="eastAsia" w:hAnsi="宋体" w:cs="宋体"/>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在本合同实施过程双方签署的补充与修正文件；</w:t>
      </w:r>
    </w:p>
    <w:p>
      <w:pPr>
        <w:spacing w:line="32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本合同书；</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响应文件；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2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widowControl w:val="0"/>
        <w:numPr>
          <w:ilvl w:val="255"/>
          <w:numId w:val="0"/>
        </w:numPr>
        <w:spacing w:after="0" w:line="320" w:lineRule="exact"/>
        <w:ind w:firstLine="462" w:firstLineChars="200"/>
        <w:jc w:val="both"/>
        <w:rPr>
          <w:rFonts w:ascii="宋体" w:hAnsi="宋体" w:cs="宋体"/>
          <w:b/>
          <w:color w:val="auto"/>
          <w:sz w:val="24"/>
          <w:szCs w:val="24"/>
          <w:highlight w:val="none"/>
        </w:rPr>
      </w:pPr>
      <w:r>
        <w:rPr>
          <w:rFonts w:hint="eastAsia" w:ascii="宋体" w:hAnsi="宋体" w:cs="宋体"/>
          <w:bCs/>
          <w:color w:val="auto"/>
          <w:sz w:val="24"/>
          <w:highlight w:val="none"/>
        </w:rPr>
        <w:t>⑼ 本合同其他附件；</w:t>
      </w:r>
    </w:p>
    <w:p>
      <w:pPr>
        <w:widowControl w:val="0"/>
        <w:numPr>
          <w:ilvl w:val="255"/>
          <w:numId w:val="0"/>
        </w:numPr>
        <w:spacing w:after="0" w:line="460" w:lineRule="exact"/>
        <w:ind w:firstLine="462"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 xml:space="preserve">第二条 </w:t>
      </w:r>
      <w:bookmarkEnd w:id="102"/>
      <w:bookmarkEnd w:id="103"/>
      <w:bookmarkEnd w:id="104"/>
      <w:bookmarkEnd w:id="105"/>
      <w:bookmarkEnd w:id="106"/>
      <w:r>
        <w:rPr>
          <w:rFonts w:hint="eastAsia" w:ascii="宋体" w:hAnsi="宋体" w:cs="宋体"/>
          <w:b/>
          <w:color w:val="auto"/>
          <w:sz w:val="24"/>
          <w:szCs w:val="24"/>
          <w:highlight w:val="none"/>
        </w:rPr>
        <w:t>合同标的</w:t>
      </w:r>
    </w:p>
    <w:tbl>
      <w:tblPr>
        <w:tblStyle w:val="21"/>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en-US" w:bidi="ar"/>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05" w:leftChars="152" w:firstLine="1866" w:firstLineChars="600"/>
              <w:rPr>
                <w:rFonts w:hint="default"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全</w:t>
            </w:r>
            <w:r>
              <w:rPr>
                <w:rFonts w:hint="eastAsia" w:ascii="宋体" w:hAnsi="宋体" w:eastAsia="宋体" w:cs="宋体"/>
                <w:i w:val="0"/>
                <w:color w:val="000000"/>
                <w:kern w:val="0"/>
                <w:sz w:val="22"/>
                <w:szCs w:val="22"/>
                <w:u w:val="none"/>
                <w:lang w:val="en-US" w:eastAsia="zh-CN" w:bidi="ar"/>
              </w:rPr>
              <w:t>紫外消毒模块机架</w:t>
            </w:r>
          </w:p>
          <w:p>
            <w:pPr>
              <w:widowControl/>
              <w:autoSpaceDE/>
              <w:autoSpaceDN/>
              <w:adjustRightInd/>
              <w:spacing w:line="240" w:lineRule="auto"/>
              <w:jc w:val="center"/>
              <w:rPr>
                <w:rFonts w:hint="default" w:ascii="宋体" w:hAnsi="宋体" w:eastAsia="宋体" w:cs="宋体"/>
                <w:color w:val="auto"/>
                <w:kern w:val="0"/>
                <w:sz w:val="21"/>
                <w:szCs w:val="21"/>
                <w:highlight w:val="none"/>
                <w:lang w:val="zh-CN" w:eastAsia="zh-CN" w:bidi="ar"/>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zh-CN" w:eastAsia="zh-CN" w:bidi="ar"/>
              </w:rPr>
            </w:pPr>
            <w:r>
              <w:rPr>
                <w:rFonts w:hint="eastAsia" w:ascii="宋体" w:hAnsi="宋体" w:cs="宋体"/>
                <w:color w:val="auto"/>
                <w:kern w:val="0"/>
                <w:sz w:val="21"/>
                <w:szCs w:val="21"/>
                <w:highlight w:val="none"/>
                <w:lang w:val="en-US" w:eastAsia="zh-CN" w:bidi="ar"/>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auto"/>
                <w:kern w:val="0"/>
                <w:sz w:val="21"/>
                <w:szCs w:val="21"/>
                <w:highlight w:val="none"/>
                <w:lang w:val="zh-CN" w:eastAsia="zh-CN" w:bidi="ar"/>
              </w:rPr>
            </w:pPr>
            <w:r>
              <w:rPr>
                <w:rFonts w:hint="eastAsia" w:ascii="宋体" w:hAnsi="宋体" w:cs="宋体"/>
                <w:color w:val="auto"/>
                <w:kern w:val="0"/>
                <w:sz w:val="21"/>
                <w:szCs w:val="21"/>
                <w:highlight w:val="none"/>
                <w:lang w:val="en-US" w:eastAsia="zh-CN" w:bidi="ar"/>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line="46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w:t>
      </w:r>
      <w:r>
        <w:rPr>
          <w:rFonts w:hint="eastAsia" w:ascii="宋体" w:hAnsi="宋体" w:cs="宋体"/>
          <w:color w:val="auto"/>
          <w:kern w:val="0"/>
          <w:sz w:val="24"/>
          <w:szCs w:val="24"/>
          <w:highlight w:val="none"/>
        </w:rPr>
        <w:t>采购</w:t>
      </w:r>
      <w:r>
        <w:rPr>
          <w:rFonts w:hint="eastAsia" w:ascii="宋体" w:hAnsi="宋体" w:cs="宋体"/>
          <w:color w:val="auto"/>
          <w:kern w:val="0"/>
          <w:sz w:val="24"/>
          <w:szCs w:val="24"/>
          <w:highlight w:val="none"/>
          <w:lang w:val="zh-CN"/>
        </w:rPr>
        <w:t>需求见附件（如</w:t>
      </w:r>
      <w:r>
        <w:rPr>
          <w:rFonts w:hint="eastAsia" w:ascii="宋体" w:hAnsi="宋体" w:cs="宋体"/>
          <w:color w:val="auto"/>
          <w:kern w:val="0"/>
          <w:sz w:val="24"/>
          <w:szCs w:val="24"/>
          <w:highlight w:val="none"/>
        </w:rPr>
        <w:t>有</w:t>
      </w:r>
      <w:r>
        <w:rPr>
          <w:rFonts w:hint="eastAsia" w:ascii="宋体" w:hAnsi="宋体" w:cs="宋体"/>
          <w:color w:val="auto"/>
          <w:kern w:val="0"/>
          <w:sz w:val="24"/>
          <w:szCs w:val="24"/>
          <w:highlight w:val="none"/>
          <w:lang w:val="zh-CN"/>
        </w:rPr>
        <w:t>）。</w:t>
      </w:r>
    </w:p>
    <w:p>
      <w:pPr>
        <w:adjustRightInd w:val="0"/>
        <w:snapToGrid w:val="0"/>
        <w:spacing w:line="460" w:lineRule="exact"/>
        <w:ind w:firstLine="462" w:firstLineChars="200"/>
        <w:rPr>
          <w:rFonts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第三条 交货日期及地点</w:t>
      </w:r>
    </w:p>
    <w:p>
      <w:pPr>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3.1乙方按以下第</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种供货期供货。</w:t>
      </w:r>
    </w:p>
    <w:p>
      <w:pPr>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开箱/试运行验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after="120"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3.2</w:t>
      </w:r>
      <w:r>
        <w:rPr>
          <w:rFonts w:hint="eastAsia" w:ascii="宋体" w:hAnsi="宋体" w:cs="宋体"/>
          <w:bCs/>
          <w:color w:val="auto"/>
          <w:sz w:val="24"/>
          <w:szCs w:val="24"/>
          <w:highlight w:val="none"/>
        </w:rPr>
        <w:t>交货地点：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广州市净水有限公司石井净水分公司</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（包括甲方指定的任一收货点），最终具体交货地点以甲方通知为准。</w:t>
      </w:r>
      <w:r>
        <w:rPr>
          <w:rFonts w:hint="eastAsia" w:ascii="宋体" w:hAnsi="宋体" w:cs="宋体"/>
          <w:color w:val="auto"/>
          <w:sz w:val="24"/>
          <w:szCs w:val="24"/>
          <w:highlight w:val="none"/>
        </w:rPr>
        <w:t xml:space="preserve"> </w:t>
      </w:r>
    </w:p>
    <w:p>
      <w:pPr>
        <w:numPr>
          <w:ilvl w:val="0"/>
          <w:numId w:val="6"/>
        </w:numPr>
        <w:adjustRightInd w:val="0"/>
        <w:snapToGrid w:val="0"/>
        <w:spacing w:line="460" w:lineRule="exact"/>
        <w:ind w:firstLine="462"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rPr>
        <w:t>合同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highlight w:val="none"/>
        </w:rPr>
        <w:t>（具体按“采购需求”）</w:t>
      </w:r>
      <w:r>
        <w:rPr>
          <w:rFonts w:hint="eastAsia" w:ascii="宋体" w:hAnsi="宋体" w:cs="宋体"/>
          <w:color w:val="auto"/>
          <w:sz w:val="24"/>
          <w:szCs w:val="24"/>
          <w:highlight w:val="none"/>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578" w:firstLineChars="25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7" w:name="_Toc474245212"/>
      <w:bookmarkStart w:id="108" w:name="_Toc27425"/>
      <w:bookmarkStart w:id="109" w:name="_Toc518992988"/>
      <w:bookmarkStart w:id="110" w:name="_Toc520190028"/>
      <w:bookmarkStart w:id="111" w:name="_Toc107447236"/>
      <w:bookmarkStart w:id="112" w:name="_Toc107446843"/>
    </w:p>
    <w:bookmarkEnd w:id="107"/>
    <w:bookmarkEnd w:id="108"/>
    <w:bookmarkEnd w:id="109"/>
    <w:bookmarkEnd w:id="110"/>
    <w:p>
      <w:pPr>
        <w:autoSpaceDE w:val="0"/>
        <w:autoSpaceDN w:val="0"/>
        <w:adjustRightInd w:val="0"/>
        <w:spacing w:line="460" w:lineRule="exact"/>
        <w:ind w:left="420"/>
        <w:rPr>
          <w:rFonts w:ascii="宋体" w:hAnsi="宋体" w:cs="宋体"/>
          <w:bCs/>
          <w:color w:val="auto"/>
          <w:sz w:val="24"/>
          <w:szCs w:val="24"/>
          <w:highlight w:val="none"/>
        </w:rPr>
      </w:pPr>
      <w:bookmarkStart w:id="113" w:name="_Toc520190029"/>
      <w:bookmarkStart w:id="114" w:name="_Toc474245213"/>
      <w:bookmarkStart w:id="115" w:name="_Toc518992989"/>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w:t>
      </w:r>
      <w:bookmarkEnd w:id="113"/>
      <w:bookmarkEnd w:id="114"/>
      <w:bookmarkEnd w:id="115"/>
      <w:r>
        <w:rPr>
          <w:rFonts w:hint="eastAsia" w:ascii="宋体" w:hAnsi="宋体" w:cs="宋体"/>
          <w:b/>
          <w:color w:val="auto"/>
          <w:sz w:val="24"/>
          <w:szCs w:val="24"/>
          <w:highlight w:val="none"/>
        </w:rPr>
        <w:t>方式</w:t>
      </w:r>
    </w:p>
    <w:bookmarkEnd w:id="111"/>
    <w:bookmarkEnd w:id="112"/>
    <w:p>
      <w:pPr>
        <w:spacing w:line="460" w:lineRule="exact"/>
        <w:ind w:firstLine="462" w:firstLineChars="200"/>
        <w:rPr>
          <w:rFonts w:ascii="宋体" w:hAnsi="宋体" w:cs="宋体"/>
          <w:color w:val="auto"/>
          <w:sz w:val="24"/>
          <w:szCs w:val="24"/>
          <w:highlight w:val="none"/>
          <w:u w:val="single"/>
        </w:rPr>
      </w:pPr>
      <w:bookmarkStart w:id="116" w:name="_Toc183666516"/>
      <w:bookmarkStart w:id="117"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预付款支付：</w:t>
      </w:r>
      <w:r>
        <w:rPr>
          <w:rFonts w:ascii="宋体" w:hAnsi="宋体" w:cs="宋体"/>
          <w:bCs/>
          <w:color w:val="auto"/>
          <w:sz w:val="24"/>
          <w:szCs w:val="24"/>
          <w:highlight w:val="none"/>
        </w:rPr>
        <w:sym w:font="Wingdings" w:char="00FE"/>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bCs/>
          <w:color w:val="auto"/>
          <w:sz w:val="24"/>
          <w:szCs w:val="24"/>
          <w:highlight w:val="none"/>
        </w:rPr>
        <w:sym w:font="Wingdings" w:char="00A8"/>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highlight w:val="none"/>
        </w:rPr>
        <w:t>合同签订后，乙方开具</w:t>
      </w:r>
      <w:r>
        <w:rPr>
          <w:rFonts w:hint="eastAsia" w:ascii="宋体" w:hAnsi="宋体" w:cs="宋体"/>
          <w:color w:val="auto"/>
          <w:sz w:val="24"/>
          <w:szCs w:val="24"/>
          <w:highlight w:val="none"/>
        </w:rPr>
        <w:t>等额</w:t>
      </w:r>
      <w:r>
        <w:rPr>
          <w:rFonts w:hint="eastAsia" w:ascii="宋体" w:hAnsi="宋体" w:cs="宋体"/>
          <w:bCs/>
          <w:color w:val="auto"/>
          <w:sz w:val="24"/>
          <w:szCs w:val="24"/>
          <w:highlight w:val="none"/>
        </w:rPr>
        <w:t>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w:t>
      </w:r>
      <w:r>
        <w:rPr>
          <w:rFonts w:hint="eastAsia" w:ascii="宋体" w:hAnsi="宋体" w:cs="宋体"/>
          <w:color w:val="auto"/>
          <w:sz w:val="24"/>
          <w:szCs w:val="24"/>
          <w:highlight w:val="none"/>
          <w:u w:val="single"/>
        </w:rPr>
        <w:t>合同暂定总价</w:t>
      </w:r>
      <w:r>
        <w:rPr>
          <w:rFonts w:hint="eastAsia" w:ascii="宋体" w:hAnsi="宋体" w:cs="宋体"/>
          <w:bCs/>
          <w:color w:val="auto"/>
          <w:sz w:val="24"/>
          <w:szCs w:val="24"/>
          <w:highlight w:val="none"/>
          <w:u w:val="single"/>
        </w:rPr>
        <w:t>的</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w:t>
      </w:r>
      <w:r>
        <w:rPr>
          <w:rFonts w:hint="eastAsia" w:ascii="宋体" w:hAnsi="宋体" w:cs="宋体"/>
          <w:bCs/>
          <w:color w:val="auto"/>
          <w:kern w:val="0"/>
          <w:sz w:val="24"/>
          <w:szCs w:val="24"/>
          <w:highlight w:val="none"/>
        </w:rPr>
        <w:t>（无息）</w:t>
      </w:r>
      <w:r>
        <w:rPr>
          <w:rFonts w:hint="eastAsia" w:ascii="宋体" w:hAnsi="宋体" w:cs="宋体"/>
          <w:color w:val="auto"/>
          <w:sz w:val="24"/>
          <w:szCs w:val="24"/>
          <w:highlight w:val="none"/>
        </w:rPr>
        <w:t>。</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adjustRightInd w:val="0"/>
        <w:snapToGrid w:val="0"/>
        <w:spacing w:line="460" w:lineRule="exact"/>
        <w:ind w:firstLine="347" w:firstLineChars="1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rPr>
        <w:t>支付方式：本合同款项按以下第</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种方式支付。</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）本合同生效后，甲方支付乙方</w:t>
      </w:r>
      <w:r>
        <w:rPr>
          <w:rFonts w:hint="eastAsia" w:ascii="宋体" w:hAnsi="宋体" w:cs="宋体"/>
          <w:color w:val="auto"/>
          <w:sz w:val="24"/>
          <w:szCs w:val="24"/>
          <w:highlight w:val="none"/>
          <w:u w:val="single"/>
        </w:rPr>
        <w:t>合同暂定总价</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预付款，乙方按时供货，货物到齐且经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验收合格，经甲方相关部门结算且乙方提交请款资料及等额增值税专用发票后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个工作日内，甲方向乙方支付至结算审定价总额的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（含预付款），余款</w:t>
      </w:r>
      <w:r>
        <w:rPr>
          <w:rFonts w:ascii="宋体" w:hAnsi="宋体" w:cs="宋体"/>
          <w:color w:val="auto"/>
          <w:sz w:val="24"/>
          <w:szCs w:val="24"/>
          <w:highlight w:val="none"/>
        </w:rPr>
        <w:t>5%</w:t>
      </w:r>
      <w:r>
        <w:rPr>
          <w:rFonts w:hint="eastAsia" w:ascii="宋体" w:hAnsi="宋体" w:cs="宋体"/>
          <w:color w:val="auto"/>
          <w:sz w:val="24"/>
          <w:szCs w:val="24"/>
          <w:highlight w:val="none"/>
        </w:rPr>
        <w:t>作为质量保证金。质保期自</w:t>
      </w:r>
      <w:r>
        <w:rPr>
          <w:rFonts w:hint="eastAsia" w:ascii="宋体" w:hAnsi="宋体" w:cs="宋体"/>
          <w:color w:val="auto"/>
          <w:sz w:val="24"/>
          <w:szCs w:val="24"/>
          <w:highlight w:val="none"/>
          <w:u w:val="single"/>
        </w:rPr>
        <w:t>货物开箱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个工作日内，甲方支付质保金（无息）（适用于需支付预付款采购）。</w:t>
      </w:r>
    </w:p>
    <w:p>
      <w:pPr>
        <w:adjustRightInd w:val="0"/>
        <w:snapToGrid w:val="0"/>
        <w:spacing w:line="460" w:lineRule="exact"/>
        <w:ind w:firstLine="347" w:firstLineChars="150"/>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）本合同生效后，乙方按时供货，货物到达现场，经</w:t>
      </w:r>
      <w:r>
        <w:rPr>
          <w:rFonts w:hint="eastAsia" w:ascii="宋体" w:hAnsi="宋体" w:cs="宋体"/>
          <w:color w:val="auto"/>
          <w:sz w:val="24"/>
          <w:szCs w:val="24"/>
          <w:highlight w:val="none"/>
          <w:u w:val="single"/>
        </w:rPr>
        <w:t>开箱验收合格</w:t>
      </w:r>
      <w:r>
        <w:rPr>
          <w:rFonts w:hint="eastAsia" w:ascii="宋体" w:hAnsi="宋体" w:cs="宋体"/>
          <w:color w:val="auto"/>
          <w:sz w:val="24"/>
          <w:szCs w:val="24"/>
          <w:highlight w:val="none"/>
        </w:rPr>
        <w:t>，乙方提交请款资料及等额增值税专用发票后，甲方支付至合同暂定价的85%（含预付款），</w:t>
      </w:r>
      <w:r>
        <w:rPr>
          <w:rFonts w:hint="eastAsia" w:ascii="宋体" w:hAnsi="宋体" w:cs="宋体"/>
          <w:color w:val="auto"/>
          <w:sz w:val="24"/>
          <w:szCs w:val="24"/>
          <w:highlight w:val="none"/>
          <w:u w:val="single"/>
        </w:rPr>
        <w:t>安装调试</w:t>
      </w:r>
      <w:r>
        <w:rPr>
          <w:rFonts w:hint="eastAsia" w:ascii="宋体" w:hAnsi="宋体" w:cs="宋体"/>
          <w:color w:val="auto"/>
          <w:sz w:val="24"/>
          <w:szCs w:val="24"/>
          <w:highlight w:val="none"/>
          <w:u w:val="single"/>
          <w:lang w:val="en-US" w:eastAsia="zh-CN"/>
        </w:rPr>
        <w:t>运行合格后</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乙方提交请款资料及等额增值税专用发票，经甲方结算审核后15个工作日内，支付至合同结算价的95%，若审核价低于合同暂定总价，则以审核价作为合同结算价，否则以合同暂定总价为合同结算价，合同结算价的5%作为质保金。质保期自</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年。质保期满后，乙方申请退还质保金并提供相关资料后的</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个工作日内，甲方支付质保金（无息）</w:t>
      </w:r>
      <w:r>
        <w:rPr>
          <w:rFonts w:hint="eastAsia" w:ascii="宋体" w:hAnsi="宋体" w:cs="宋体"/>
          <w:color w:val="auto"/>
          <w:sz w:val="24"/>
          <w:szCs w:val="24"/>
          <w:highlight w:val="none"/>
          <w:lang w:eastAsia="zh-CN"/>
        </w:rPr>
        <w:t>。</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）本合同生效后，乙方按时供货，货物到齐且经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（适用于即时结清采购）。</w:t>
      </w:r>
    </w:p>
    <w:p>
      <w:pPr>
        <w:adjustRightInd w:val="0"/>
        <w:snapToGrid w:val="0"/>
        <w:spacing w:line="460" w:lineRule="exact"/>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）本合同生效后，乙方按时分批供货，每批货物到齐且经</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验收合格后，甲方在收到乙方提交的请款资料及等额增值税专用发票后</w:t>
      </w:r>
      <w:r>
        <w:rPr>
          <w:rFonts w:ascii="宋体" w:hAnsi="宋体" w:cs="宋体"/>
          <w:color w:val="auto"/>
          <w:sz w:val="24"/>
          <w:szCs w:val="24"/>
          <w:highlight w:val="none"/>
          <w:u w:val="single"/>
        </w:rPr>
        <w:t>15</w:t>
      </w:r>
      <w:r>
        <w:rPr>
          <w:rFonts w:hint="eastAsia" w:ascii="宋体" w:hAnsi="宋体" w:cs="宋体"/>
          <w:color w:val="auto"/>
          <w:sz w:val="24"/>
          <w:szCs w:val="24"/>
          <w:highlight w:val="none"/>
        </w:rPr>
        <w:t>个工作日内向乙方支付至该批货款总额的</w:t>
      </w:r>
      <w:r>
        <w:rPr>
          <w:rFonts w:ascii="宋体" w:hAnsi="宋体" w:cs="宋体"/>
          <w:color w:val="auto"/>
          <w:sz w:val="24"/>
          <w:szCs w:val="24"/>
          <w:highlight w:val="none"/>
        </w:rPr>
        <w:t>100%</w:t>
      </w:r>
      <w:r>
        <w:rPr>
          <w:rFonts w:hint="eastAsia" w:ascii="宋体" w:hAnsi="宋体" w:cs="宋体"/>
          <w:color w:val="auto"/>
          <w:sz w:val="24"/>
          <w:szCs w:val="24"/>
          <w:highlight w:val="none"/>
        </w:rPr>
        <w:t>（适用于分批供货且即时结清采购）。</w:t>
      </w:r>
    </w:p>
    <w:p>
      <w:pPr>
        <w:adjustRightInd w:val="0"/>
        <w:snapToGrid w:val="0"/>
        <w:spacing w:line="460" w:lineRule="exact"/>
        <w:ind w:firstLine="231" w:firstLineChars="1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）其它支付方式：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24" w:firstLineChars="4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924" w:firstLineChars="4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乙方在收款前需向甲方提交等额增值税专用发票，增值税专用发票信息：</w:t>
      </w:r>
    </w:p>
    <w:p>
      <w:pPr>
        <w:spacing w:line="20" w:lineRule="atLeast"/>
        <w:ind w:firstLine="924"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20" w:lineRule="atLeast"/>
        <w:ind w:firstLine="924"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91440101755584729Q</w:t>
      </w:r>
      <w:r>
        <w:rPr>
          <w:rFonts w:ascii="宋体" w:hAnsi="宋体" w:cs="宋体"/>
          <w:color w:val="auto"/>
          <w:sz w:val="24"/>
          <w:highlight w:val="none"/>
          <w:u w:val="single"/>
        </w:rPr>
        <w:t xml:space="preserve">                         </w:t>
      </w:r>
    </w:p>
    <w:p>
      <w:pPr>
        <w:spacing w:line="20" w:lineRule="atLeast"/>
        <w:ind w:firstLine="924" w:firstLineChars="4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color w:val="auto"/>
          <w:sz w:val="24"/>
          <w:highlight w:val="none"/>
        </w:rPr>
        <w:t>地址：</w:t>
      </w:r>
      <w:r>
        <w:rPr>
          <w:rFonts w:hint="eastAsia" w:ascii="宋体" w:hAnsi="宋体" w:eastAsia="宋体" w:cs="宋体"/>
          <w:color w:val="auto"/>
          <w:kern w:val="2"/>
          <w:sz w:val="24"/>
          <w:szCs w:val="24"/>
          <w:highlight w:val="none"/>
          <w:u w:val="single"/>
          <w:lang w:val="en-US" w:eastAsia="zh-CN" w:bidi="ar-SA"/>
        </w:rPr>
        <w:t>广州市天河区临江大道501号 020-38890283</w:t>
      </w:r>
    </w:p>
    <w:p>
      <w:pPr>
        <w:pStyle w:val="2"/>
        <w:spacing w:line="20" w:lineRule="atLeast"/>
        <w:ind w:firstLine="924" w:firstLineChars="400"/>
        <w:rPr>
          <w:rFonts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开户行及账号：</w:t>
      </w:r>
      <w:r>
        <w:rPr>
          <w:rFonts w:hint="eastAsia" w:ascii="宋体" w:hAnsi="宋体" w:eastAsia="宋体" w:cs="宋体"/>
          <w:color w:val="auto"/>
          <w:kern w:val="2"/>
          <w:sz w:val="24"/>
          <w:szCs w:val="24"/>
          <w:highlight w:val="none"/>
          <w:u w:val="single"/>
          <w:lang w:val="en-US" w:eastAsia="zh-CN" w:bidi="ar-SA"/>
        </w:rPr>
        <w:t>民生银行广州分行 0301014140006932</w:t>
      </w:r>
      <w:r>
        <w:rPr>
          <w:rFonts w:ascii="宋体" w:hAnsi="宋体" w:cs="宋体"/>
          <w:color w:val="auto"/>
          <w:sz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5.4</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bookmarkEnd w:id="116"/>
    <w:bookmarkEnd w:id="117"/>
    <w:p>
      <w:pPr>
        <w:adjustRightInd w:val="0"/>
        <w:snapToGrid w:val="0"/>
        <w:spacing w:line="460" w:lineRule="exact"/>
        <w:ind w:firstLine="462" w:firstLineChars="200"/>
        <w:rPr>
          <w:rFonts w:ascii="宋体" w:hAnsi="宋体" w:cs="宋体"/>
          <w:color w:val="auto"/>
          <w:sz w:val="24"/>
          <w:szCs w:val="24"/>
          <w:highlight w:val="none"/>
        </w:rPr>
      </w:pPr>
      <w:bookmarkStart w:id="118" w:name="_Toc107446860"/>
      <w:bookmarkStart w:id="119" w:name="_Toc306350465"/>
      <w:bookmarkStart w:id="120" w:name="_Toc518992998"/>
      <w:bookmarkStart w:id="121" w:name="_Toc107447253"/>
      <w:bookmarkStart w:id="122" w:name="_Toc474245224"/>
      <w:bookmarkStart w:id="123" w:name="_Toc5166"/>
      <w:bookmarkStart w:id="124" w:name="_Toc520190038"/>
      <w:bookmarkStart w:id="125" w:name="_Toc183666529"/>
      <w:bookmarkStart w:id="126" w:name="_Toc107446861"/>
      <w:bookmarkStart w:id="127" w:name="_Toc118086592"/>
      <w:bookmarkStart w:id="128" w:name="_Toc183666534"/>
      <w:bookmarkStart w:id="129" w:name="_Toc107447254"/>
      <w:bookmarkStart w:id="130" w:name="_Toc257"/>
      <w:r>
        <w:rPr>
          <w:rFonts w:hint="eastAsia" w:ascii="宋体" w:hAnsi="宋体" w:cs="宋体"/>
          <w:b/>
          <w:bCs/>
          <w:color w:val="auto"/>
          <w:sz w:val="24"/>
          <w:szCs w:val="24"/>
          <w:highlight w:val="none"/>
        </w:rPr>
        <w:t>第六条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违约责任</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6.1</w:t>
      </w:r>
      <w:r>
        <w:rPr>
          <w:rFonts w:hint="eastAsia" w:ascii="宋体" w:hAnsi="宋体" w:cs="宋体"/>
          <w:color w:val="auto"/>
          <w:sz w:val="24"/>
          <w:szCs w:val="24"/>
          <w:highlight w:val="none"/>
        </w:rPr>
        <w:t>单方面取消合同：任意一方未经对方同意单方面取消合同，应按</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30%</w:t>
      </w:r>
      <w:r>
        <w:rPr>
          <w:rFonts w:hint="eastAsia" w:ascii="宋体" w:hAnsi="宋体" w:cs="宋体"/>
          <w:color w:val="auto"/>
          <w:sz w:val="24"/>
          <w:szCs w:val="24"/>
          <w:highlight w:val="none"/>
        </w:rPr>
        <w:t>向对方赔偿。</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6.2</w:t>
      </w:r>
      <w:r>
        <w:rPr>
          <w:rFonts w:hint="eastAsia" w:ascii="宋体" w:hAnsi="宋体" w:cs="宋体"/>
          <w:color w:val="auto"/>
          <w:sz w:val="24"/>
          <w:szCs w:val="24"/>
          <w:highlight w:val="none"/>
        </w:rPr>
        <w:t>乙方不能按时交货的，每逾期</w:t>
      </w:r>
      <w:r>
        <w:rPr>
          <w:rFonts w:ascii="宋体" w:hAnsi="宋体" w:cs="宋体"/>
          <w:color w:val="auto"/>
          <w:sz w:val="24"/>
          <w:szCs w:val="24"/>
          <w:highlight w:val="none"/>
        </w:rPr>
        <w:t>1</w:t>
      </w:r>
      <w:r>
        <w:rPr>
          <w:rFonts w:hint="eastAsia" w:ascii="宋体" w:hAnsi="宋体" w:cs="宋体"/>
          <w:color w:val="auto"/>
          <w:sz w:val="24"/>
          <w:szCs w:val="24"/>
          <w:highlight w:val="none"/>
        </w:rPr>
        <w:t>日，按</w:t>
      </w:r>
      <w:r>
        <w:rPr>
          <w:rFonts w:hint="eastAsia" w:ascii="宋体" w:hAnsi="宋体" w:cs="宋体"/>
          <w:color w:val="auto"/>
          <w:sz w:val="24"/>
          <w:szCs w:val="24"/>
          <w:highlight w:val="none"/>
          <w:u w:val="single"/>
        </w:rPr>
        <w:t>迟交货物总价的</w:t>
      </w:r>
      <w:r>
        <w:rPr>
          <w:rFonts w:ascii="宋体" w:hAnsi="宋体" w:cs="宋体"/>
          <w:color w:val="auto"/>
          <w:sz w:val="24"/>
          <w:szCs w:val="24"/>
          <w:highlight w:val="none"/>
          <w:u w:val="single"/>
        </w:rPr>
        <w:t xml:space="preserve"> 1%支付违约金</w:t>
      </w:r>
      <w:r>
        <w:rPr>
          <w:rFonts w:hint="eastAsia" w:ascii="宋体" w:hAnsi="宋体" w:cs="宋体"/>
          <w:color w:val="auto"/>
          <w:sz w:val="24"/>
          <w:szCs w:val="24"/>
          <w:highlight w:val="none"/>
        </w:rPr>
        <w:t>，逾期达到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天及以上的，甲方有权解除合同。</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6.3 </w:t>
      </w:r>
      <w:r>
        <w:rPr>
          <w:rFonts w:hint="eastAsia" w:ascii="宋体" w:hAnsi="宋体" w:cs="宋体"/>
          <w:color w:val="auto"/>
          <w:sz w:val="24"/>
          <w:szCs w:val="24"/>
          <w:highlight w:val="none"/>
        </w:rPr>
        <w:t>货物</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试运行</w:t>
      </w:r>
      <w:r>
        <w:rPr>
          <w:rFonts w:hint="eastAsia" w:ascii="宋体" w:hAnsi="宋体" w:cs="宋体"/>
          <w:color w:val="auto"/>
          <w:sz w:val="24"/>
          <w:szCs w:val="24"/>
          <w:highlight w:val="none"/>
        </w:rPr>
        <w:t>验收后发现乙方所供货物不合格的，甲方有权退货或要求更换。甲方要求退货的，乙方应在收到甲方退货要求的</w:t>
      </w:r>
      <w:r>
        <w:rPr>
          <w:rFonts w:ascii="宋体" w:hAnsi="宋体" w:cs="宋体"/>
          <w:color w:val="auto"/>
          <w:sz w:val="24"/>
          <w:szCs w:val="24"/>
          <w:highlight w:val="none"/>
        </w:rPr>
        <w:t>3</w:t>
      </w:r>
      <w:r>
        <w:rPr>
          <w:rFonts w:hint="eastAsia" w:ascii="宋体" w:hAnsi="宋体" w:cs="宋体"/>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color w:val="auto"/>
          <w:sz w:val="24"/>
          <w:szCs w:val="24"/>
          <w:highlight w:val="none"/>
        </w:rPr>
        <w:t>3</w:t>
      </w:r>
      <w:r>
        <w:rPr>
          <w:rFonts w:hint="eastAsia" w:ascii="宋体" w:hAnsi="宋体" w:cs="宋体"/>
          <w:color w:val="auto"/>
          <w:sz w:val="24"/>
          <w:szCs w:val="24"/>
          <w:highlight w:val="none"/>
        </w:rPr>
        <w:t>日内重新交货并按</w:t>
      </w:r>
      <w:r>
        <w:rPr>
          <w:rFonts w:hint="eastAsia" w:ascii="宋体" w:hAnsi="宋体" w:cs="宋体"/>
          <w:color w:val="auto"/>
          <w:sz w:val="24"/>
          <w:szCs w:val="24"/>
          <w:highlight w:val="none"/>
          <w:u w:val="single"/>
        </w:rPr>
        <w:t>更换货物总价的</w:t>
      </w:r>
      <w:r>
        <w:rPr>
          <w:rFonts w:ascii="宋体" w:hAnsi="宋体" w:cs="宋体"/>
          <w:color w:val="auto"/>
          <w:sz w:val="24"/>
          <w:szCs w:val="24"/>
          <w:highlight w:val="none"/>
          <w:u w:val="single"/>
        </w:rPr>
        <w:t>10%</w:t>
      </w:r>
      <w:r>
        <w:rPr>
          <w:rFonts w:hint="eastAsia" w:ascii="宋体" w:hAnsi="宋体" w:cs="宋体"/>
          <w:color w:val="auto"/>
          <w:sz w:val="24"/>
          <w:szCs w:val="24"/>
          <w:highlight w:val="none"/>
        </w:rPr>
        <w:t>支付违约金，乙方承担由此产生的一切损失和费用。</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6.4 </w:t>
      </w:r>
      <w:r>
        <w:rPr>
          <w:rFonts w:hint="eastAsia" w:ascii="宋体" w:hAnsi="宋体" w:cs="宋体"/>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highlight w:val="none"/>
        </w:rPr>
        <w:t>1日支付违约金人民币1万元，超过</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日，甲方有权解除合同并要求乙方支付</w:t>
      </w:r>
      <w:r>
        <w:rPr>
          <w:rFonts w:hint="eastAsia" w:ascii="宋体" w:hAnsi="宋体" w:cs="宋体"/>
          <w:color w:val="auto"/>
          <w:sz w:val="24"/>
          <w:szCs w:val="24"/>
          <w:highlight w:val="none"/>
          <w:u w:val="single"/>
        </w:rPr>
        <w:t>合同暂定总价的</w:t>
      </w:r>
      <w:r>
        <w:rPr>
          <w:rFonts w:ascii="宋体" w:hAnsi="宋体" w:cs="宋体"/>
          <w:color w:val="auto"/>
          <w:sz w:val="24"/>
          <w:szCs w:val="24"/>
          <w:highlight w:val="none"/>
          <w:u w:val="single"/>
        </w:rPr>
        <w:t>20%</w:t>
      </w:r>
      <w:r>
        <w:rPr>
          <w:rFonts w:ascii="宋体" w:hAnsi="宋体" w:cs="宋体"/>
          <w:color w:val="auto"/>
          <w:sz w:val="24"/>
          <w:szCs w:val="24"/>
          <w:highlight w:val="none"/>
        </w:rPr>
        <w:t>作为违约金</w:t>
      </w:r>
      <w:r>
        <w:rPr>
          <w:rFonts w:hint="eastAsia" w:ascii="宋体" w:hAnsi="宋体" w:cs="宋体"/>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color w:val="auto"/>
          <w:sz w:val="24"/>
          <w:szCs w:val="24"/>
          <w:highlight w:val="none"/>
        </w:rPr>
        <w:t>）</w:t>
      </w:r>
      <w:r>
        <w:rPr>
          <w:rFonts w:ascii="宋体" w:hAnsi="宋体" w:cs="宋体"/>
          <w:color w:val="auto"/>
          <w:sz w:val="24"/>
          <w:szCs w:val="24"/>
          <w:highlight w:val="none"/>
        </w:rPr>
        <w:t>。</w:t>
      </w:r>
    </w:p>
    <w:p>
      <w:pPr>
        <w:topLinePunct/>
        <w:spacing w:line="500" w:lineRule="exact"/>
        <w:ind w:firstLine="462"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bCs/>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color w:val="auto"/>
          <w:sz w:val="24"/>
          <w:highlight w:val="none"/>
          <w:lang w:val="en-US" w:eastAsia="zh-CN"/>
        </w:rPr>
        <w:t>具体处理标准详见附件3。</w:t>
      </w:r>
    </w:p>
    <w:p>
      <w:pPr>
        <w:adjustRightInd w:val="0"/>
        <w:snapToGrid w:val="0"/>
        <w:spacing w:line="460" w:lineRule="exact"/>
        <w:ind w:firstLine="46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第七条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7.1 </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7.2 </w:t>
      </w:r>
      <w:r>
        <w:rPr>
          <w:rFonts w:hint="eastAsia" w:ascii="宋体" w:hAnsi="宋体" w:cs="宋体"/>
          <w:color w:val="auto"/>
          <w:sz w:val="24"/>
          <w:szCs w:val="24"/>
          <w:highlight w:val="none"/>
        </w:rPr>
        <w:t>声称受到不可抗力影响的一方，应在发生不可抗力或知道发生不可抗力之后</w:t>
      </w:r>
      <w:r>
        <w:rPr>
          <w:rFonts w:ascii="宋体" w:hAnsi="宋体" w:cs="宋体"/>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7.3 </w:t>
      </w:r>
      <w:r>
        <w:rPr>
          <w:rFonts w:hint="eastAsia" w:ascii="宋体" w:hAnsi="宋体" w:cs="宋体"/>
          <w:color w:val="auto"/>
          <w:sz w:val="24"/>
          <w:szCs w:val="24"/>
          <w:highlight w:val="none"/>
        </w:rPr>
        <w:t>因不可抗力导致合同无法履行的时间自该不可抗力发生日起连续超过玖拾</w:t>
      </w:r>
      <w:r>
        <w:rPr>
          <w:rFonts w:ascii="宋体" w:hAnsi="宋体" w:cs="宋体"/>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7.4 </w:t>
      </w:r>
      <w:r>
        <w:rPr>
          <w:rFonts w:hint="eastAsia" w:ascii="宋体" w:hAnsi="宋体" w:cs="宋体"/>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62" w:firstLineChars="200"/>
        <w:rPr>
          <w:rFonts w:ascii="宋体" w:hAnsi="宋体" w:cs="宋体"/>
          <w:bCs/>
          <w:color w:val="auto"/>
          <w:sz w:val="24"/>
          <w:szCs w:val="24"/>
          <w:highlight w:val="none"/>
        </w:rPr>
      </w:pPr>
      <w:r>
        <w:rPr>
          <w:rFonts w:hint="eastAsia" w:ascii="宋体" w:hAnsi="宋体" w:cs="宋体"/>
          <w:b/>
          <w:bCs/>
          <w:color w:val="auto"/>
          <w:sz w:val="24"/>
          <w:szCs w:val="24"/>
          <w:highlight w:val="none"/>
        </w:rPr>
        <w:t>第八条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争议解决</w:t>
      </w:r>
    </w:p>
    <w:p>
      <w:pPr>
        <w:spacing w:line="460" w:lineRule="exact"/>
        <w:ind w:firstLine="693" w:firstLineChars="300"/>
        <w:rPr>
          <w:rFonts w:ascii="宋体" w:hAnsi="宋体" w:cs="宋体"/>
          <w:color w:val="auto"/>
          <w:sz w:val="24"/>
          <w:szCs w:val="24"/>
          <w:highlight w:val="none"/>
        </w:rPr>
      </w:pPr>
      <w:r>
        <w:rPr>
          <w:rFonts w:ascii="宋体" w:hAnsi="宋体" w:cs="宋体"/>
          <w:bCs/>
          <w:color w:val="auto"/>
          <w:sz w:val="24"/>
          <w:szCs w:val="24"/>
          <w:highlight w:val="none"/>
        </w:rPr>
        <w:t>8.1</w:t>
      </w:r>
      <w:r>
        <w:rPr>
          <w:rFonts w:hint="eastAsia" w:ascii="宋体" w:hAnsi="宋体" w:cs="宋体"/>
          <w:bCs/>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Cs/>
          <w:color w:val="auto"/>
          <w:sz w:val="24"/>
          <w:szCs w:val="24"/>
          <w:highlight w:val="none"/>
          <w:u w:val="single"/>
        </w:rPr>
        <w:t>人民法院</w:t>
      </w:r>
      <w:r>
        <w:rPr>
          <w:rFonts w:hint="eastAsia" w:ascii="宋体" w:hAnsi="宋体" w:cs="宋体"/>
          <w:bCs/>
          <w:color w:val="auto"/>
          <w:sz w:val="24"/>
          <w:szCs w:val="24"/>
          <w:highlight w:val="none"/>
        </w:rPr>
        <w:t>提起诉讼</w:t>
      </w:r>
      <w:r>
        <w:rPr>
          <w:rFonts w:hint="eastAsia" w:ascii="宋体" w:hAnsi="宋体" w:cs="宋体"/>
          <w:color w:val="auto"/>
          <w:sz w:val="24"/>
          <w:szCs w:val="24"/>
          <w:highlight w:val="none"/>
        </w:rPr>
        <w:t>。</w:t>
      </w:r>
    </w:p>
    <w:p>
      <w:pPr>
        <w:spacing w:line="460" w:lineRule="exact"/>
        <w:ind w:firstLine="693" w:firstLineChars="300"/>
        <w:rPr>
          <w:rFonts w:ascii="宋体" w:hAnsi="宋体" w:cs="宋体"/>
          <w:color w:val="auto"/>
          <w:sz w:val="24"/>
          <w:szCs w:val="24"/>
          <w:highlight w:val="none"/>
        </w:rPr>
      </w:pPr>
      <w:r>
        <w:rPr>
          <w:rFonts w:ascii="宋体" w:hAnsi="宋体" w:cs="宋体"/>
          <w:color w:val="auto"/>
          <w:sz w:val="24"/>
          <w:szCs w:val="24"/>
          <w:highlight w:val="none"/>
        </w:rPr>
        <w:t>8.2</w:t>
      </w:r>
      <w:r>
        <w:rPr>
          <w:rFonts w:hint="eastAsia" w:ascii="宋体" w:hAnsi="宋体" w:cs="宋体"/>
          <w:color w:val="auto"/>
          <w:sz w:val="24"/>
          <w:szCs w:val="24"/>
          <w:highlight w:val="none"/>
        </w:rPr>
        <w:t>在甲方同意的情况下，除有争端之外的合同其它部分在争端解决前应继续执行。</w:t>
      </w:r>
    </w:p>
    <w:p>
      <w:pPr>
        <w:numPr>
          <w:ilvl w:val="255"/>
          <w:numId w:val="0"/>
        </w:numPr>
        <w:spacing w:line="460" w:lineRule="exact"/>
        <w:ind w:firstLine="46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其他</w:t>
      </w:r>
    </w:p>
    <w:p>
      <w:pPr>
        <w:spacing w:line="460" w:lineRule="exact"/>
        <w:ind w:firstLine="615" w:firstLineChars="266"/>
        <w:rPr>
          <w:rFonts w:ascii="宋体" w:hAnsi="宋体" w:cs="宋体"/>
          <w:b/>
          <w:color w:val="auto"/>
          <w:sz w:val="24"/>
          <w:szCs w:val="24"/>
          <w:highlight w:val="none"/>
        </w:rPr>
      </w:pPr>
      <w:r>
        <w:rPr>
          <w:rFonts w:ascii="宋体" w:hAnsi="宋体" w:cs="宋体"/>
          <w:color w:val="auto"/>
          <w:sz w:val="24"/>
          <w:szCs w:val="24"/>
          <w:highlight w:val="none"/>
        </w:rPr>
        <w:t>9.1</w:t>
      </w:r>
      <w:r>
        <w:rPr>
          <w:rFonts w:hint="eastAsia" w:ascii="宋体" w:hAnsi="宋体" w:cs="宋体"/>
          <w:color w:val="auto"/>
          <w:sz w:val="24"/>
          <w:szCs w:val="24"/>
          <w:highlight w:val="none"/>
        </w:rPr>
        <w:t>本协议未尽事宜，可由甲乙双方另行签订补充协议。补充协议与本合同具有同等法律效力。</w:t>
      </w:r>
    </w:p>
    <w:p>
      <w:pPr>
        <w:spacing w:line="460" w:lineRule="exact"/>
        <w:ind w:firstLine="615" w:firstLineChars="266"/>
        <w:rPr>
          <w:rFonts w:ascii="宋体" w:hAnsi="宋体" w:cs="宋体"/>
          <w:color w:val="auto"/>
          <w:sz w:val="24"/>
          <w:szCs w:val="24"/>
          <w:highlight w:val="none"/>
        </w:rPr>
      </w:pPr>
      <w:r>
        <w:rPr>
          <w:rFonts w:ascii="宋体" w:hAnsi="宋体" w:cs="宋体"/>
          <w:color w:val="auto"/>
          <w:sz w:val="24"/>
          <w:szCs w:val="24"/>
          <w:highlight w:val="none"/>
        </w:rPr>
        <w:t>9.2</w:t>
      </w:r>
      <w:r>
        <w:rPr>
          <w:rFonts w:hint="eastAsia" w:ascii="宋体" w:hAnsi="宋体" w:cs="宋体"/>
          <w:color w:val="auto"/>
          <w:sz w:val="24"/>
          <w:szCs w:val="24"/>
          <w:highlight w:val="none"/>
        </w:rPr>
        <w:t>本合同自甲乙双方法定代表人或授权代理人签字并加盖公章之日起生效。</w:t>
      </w:r>
    </w:p>
    <w:p>
      <w:pPr>
        <w:spacing w:line="460" w:lineRule="exact"/>
        <w:ind w:firstLine="615" w:firstLineChars="266"/>
        <w:rPr>
          <w:rFonts w:ascii="宋体" w:hAnsi="宋体" w:cs="宋体"/>
          <w:color w:val="auto"/>
          <w:sz w:val="24"/>
          <w:szCs w:val="24"/>
          <w:highlight w:val="none"/>
        </w:rPr>
      </w:pPr>
      <w:r>
        <w:rPr>
          <w:rFonts w:ascii="宋体" w:hAnsi="宋体" w:cs="宋体"/>
          <w:color w:val="auto"/>
          <w:sz w:val="24"/>
          <w:szCs w:val="24"/>
          <w:highlight w:val="none"/>
        </w:rPr>
        <w:t>9.3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val="0"/>
        <w:snapToGrid w:val="0"/>
        <w:spacing w:line="460" w:lineRule="exact"/>
        <w:ind w:right="498" w:rightChars="248" w:firstLine="693" w:firstLineChars="300"/>
        <w:rPr>
          <w:rFonts w:ascii="宋体" w:hAnsi="宋体" w:cs="宋体"/>
          <w:color w:val="auto"/>
          <w:sz w:val="24"/>
          <w:szCs w:val="24"/>
          <w:highlight w:val="none"/>
        </w:rPr>
      </w:pPr>
      <w:r>
        <w:rPr>
          <w:rFonts w:ascii="宋体" w:hAnsi="宋体" w:cs="宋体"/>
          <w:color w:val="auto"/>
          <w:sz w:val="24"/>
          <w:szCs w:val="24"/>
          <w:highlight w:val="none"/>
        </w:rPr>
        <w:t>9.4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.发包通知书</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委托函（如有）</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廉洁协议</w:t>
      </w:r>
    </w:p>
    <w:p>
      <w:pPr>
        <w:numPr>
          <w:ilvl w:val="0"/>
          <w:numId w:val="7"/>
        </w:numPr>
        <w:spacing w:line="460" w:lineRule="exact"/>
        <w:ind w:left="1200" w:leftChars="0" w:firstLine="0" w:firstLineChars="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7"/>
        </w:numPr>
        <w:spacing w:line="460" w:lineRule="exact"/>
        <w:ind w:left="120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防疫</w:t>
      </w:r>
      <w:r>
        <w:rPr>
          <w:rFonts w:hint="eastAsia" w:ascii="宋体" w:hAnsi="宋体" w:eastAsia="宋体" w:cs="宋体"/>
          <w:color w:val="auto"/>
          <w:sz w:val="24"/>
          <w:szCs w:val="24"/>
          <w:highlight w:val="none"/>
        </w:rPr>
        <w:t>管理协议书</w:t>
      </w:r>
    </w:p>
    <w:p>
      <w:pPr>
        <w:numPr>
          <w:ilvl w:val="0"/>
          <w:numId w:val="7"/>
        </w:numPr>
        <w:spacing w:line="460" w:lineRule="exact"/>
        <w:ind w:left="1200" w:leftChars="0" w:firstLine="0" w:firstLineChars="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货物</w:t>
      </w:r>
      <w:r>
        <w:rPr>
          <w:rFonts w:hint="eastAsia" w:ascii="宋体" w:hAnsi="宋体" w:cs="宋体"/>
          <w:color w:val="auto"/>
          <w:kern w:val="0"/>
          <w:sz w:val="24"/>
          <w:szCs w:val="24"/>
          <w:highlight w:val="none"/>
          <w:lang w:val="zh-CN"/>
        </w:rPr>
        <w:t>采购安全协议书</w:t>
      </w:r>
    </w:p>
    <w:p>
      <w:pPr>
        <w:pStyle w:val="2"/>
        <w:rPr>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p>
      <w:pPr>
        <w:pStyle w:val="2"/>
        <w:rPr>
          <w:rFonts w:hint="eastAsia" w:ascii="宋体" w:hAnsi="宋体" w:cs="宋体"/>
          <w:color w:val="auto"/>
          <w:kern w:val="0"/>
          <w:sz w:val="24"/>
          <w:szCs w:val="24"/>
          <w:highlight w:val="none"/>
          <w:lang w:val="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31"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pStyle w:val="27"/>
        <w:rPr>
          <w:rFonts w:hint="eastAsia" w:ascii="宋体" w:hAnsi="宋体" w:cs="宋体"/>
          <w:b/>
          <w:bCs/>
          <w:color w:val="auto"/>
          <w:szCs w:val="21"/>
          <w:highlight w:val="none"/>
        </w:rPr>
      </w:pPr>
    </w:p>
    <w:p>
      <w:pPr>
        <w:pStyle w:val="27"/>
        <w:rPr>
          <w:rFonts w:hint="eastAsia" w:ascii="宋体" w:hAnsi="宋体" w:cs="宋体"/>
          <w:b/>
          <w:bCs/>
          <w:color w:val="auto"/>
          <w:szCs w:val="21"/>
          <w:highlight w:val="none"/>
        </w:rPr>
      </w:pPr>
    </w:p>
    <w:p>
      <w:pPr>
        <w:pStyle w:val="27"/>
        <w:rPr>
          <w:rFonts w:hint="eastAsia" w:ascii="宋体" w:hAnsi="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pStyle w:val="2"/>
        <w:rPr>
          <w:rFonts w:hint="eastAsia" w:ascii="宋体" w:hAnsi="宋体" w:eastAsia="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pStyle w:val="2"/>
        <w:rPr>
          <w:rFonts w:ascii="宋体" w:hAnsi="宋体" w:cs="宋体"/>
          <w:b/>
          <w:bCs/>
          <w:color w:val="auto"/>
          <w:szCs w:val="21"/>
          <w:highlight w:val="none"/>
        </w:rPr>
      </w:pP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广净（</w:t>
      </w:r>
      <w:r>
        <w:rPr>
          <w:rFonts w:hint="eastAsia" w:ascii="仿宋_GB2312" w:hAnsi="STSong-Light" w:eastAsia="仿宋_GB2312" w:cs="STSong-Light"/>
          <w:color w:val="auto"/>
          <w:kern w:val="0"/>
          <w:sz w:val="32"/>
          <w:szCs w:val="32"/>
          <w:highlight w:val="none"/>
          <w:lang w:val="en-US" w:eastAsia="zh-CN"/>
        </w:rPr>
        <w:t>非公招</w:t>
      </w:r>
      <w:r>
        <w:rPr>
          <w:rFonts w:hint="eastAsia" w:ascii="仿宋_GB2312" w:hAnsi="STSong-Light" w:eastAsia="仿宋_GB2312" w:cs="STSong-Light"/>
          <w:color w:val="auto"/>
          <w:kern w:val="0"/>
          <w:sz w:val="32"/>
          <w:szCs w:val="32"/>
          <w:highlight w:val="none"/>
        </w:rPr>
        <w:t>）字 [20</w:t>
      </w:r>
      <w:r>
        <w:rPr>
          <w:rFonts w:hint="eastAsia" w:ascii="仿宋_GB2312" w:hAnsi="宋体" w:eastAsia="仿宋_GB2312" w:cs="STSong-Light"/>
          <w:color w:val="auto"/>
          <w:kern w:val="0"/>
          <w:sz w:val="32"/>
          <w:szCs w:val="32"/>
          <w:highlight w:val="none"/>
          <w:lang w:val="en-US" w:eastAsia="zh-CN"/>
        </w:rPr>
        <w:t>21</w:t>
      </w:r>
      <w:r>
        <w:rPr>
          <w:rFonts w:hint="eastAsia" w:ascii="仿宋_GB2312" w:hAnsi="STSong-Light" w:eastAsia="仿宋_GB2312" w:cs="STSong-Light"/>
          <w:color w:val="auto"/>
          <w:kern w:val="0"/>
          <w:sz w:val="32"/>
          <w:szCs w:val="32"/>
          <w:highlight w:val="none"/>
        </w:rPr>
        <w:t>] 第 [</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 号</w:t>
      </w:r>
    </w:p>
    <w:p>
      <w:pPr>
        <w:pStyle w:val="27"/>
        <w:rPr>
          <w:color w:val="auto"/>
          <w:highlight w:val="none"/>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autoSpaceDE w:val="0"/>
        <w:autoSpaceDN w:val="0"/>
        <w:adjustRightInd w:val="0"/>
        <w:spacing w:after="200"/>
        <w:jc w:val="left"/>
        <w:rPr>
          <w:rFonts w:hint="eastAsia" w:ascii="STSong-Light" w:hAnsi="STSong-Light" w:eastAsia="仿宋_GB2312" w:cs="STSong-Light"/>
          <w:color w:val="auto"/>
          <w:kern w:val="0"/>
          <w:sz w:val="24"/>
          <w:highlight w:val="none"/>
          <w:lang w:val="en-US" w:eastAsia="zh-CN"/>
        </w:rPr>
        <w:sectPr>
          <w:footerReference r:id="rId6" w:type="default"/>
          <w:pgSz w:w="11906" w:h="16838"/>
          <w:pgMar w:top="1701" w:right="1531" w:bottom="1701" w:left="1531" w:header="851" w:footer="1418" w:gutter="0"/>
          <w:pgNumType w:fmt="numberInDash" w:start="1"/>
          <w:cols w:space="425" w:num="1"/>
          <w:docGrid w:type="linesAndChars" w:linePitch="289" w:charSpace="-1844"/>
        </w:sectPr>
      </w:pPr>
      <w:r>
        <w:rPr>
          <w:rFonts w:hint="eastAsia" w:ascii="仿宋_GB2312" w:hAnsi="STSong-Light" w:eastAsia="仿宋_GB2312" w:cs="STSong-Light"/>
          <w:color w:val="auto"/>
          <w:kern w:val="0"/>
          <w:sz w:val="32"/>
          <w:szCs w:val="32"/>
          <w:highlight w:val="none"/>
        </w:rPr>
        <w:t xml:space="preserve">                                        年  月  </w:t>
      </w:r>
      <w:r>
        <w:rPr>
          <w:rFonts w:hint="eastAsia" w:ascii="仿宋_GB2312" w:hAnsi="STSong-Light" w:eastAsia="仿宋_GB2312" w:cs="STSong-Light"/>
          <w:color w:val="auto"/>
          <w:kern w:val="0"/>
          <w:sz w:val="32"/>
          <w:szCs w:val="32"/>
          <w:highlight w:val="none"/>
          <w:lang w:val="en-US" w:eastAsia="zh-CN"/>
        </w:rPr>
        <w:t>日</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ind w:left="0" w:leftChars="0" w:firstLine="0" w:firstLineChars="0"/>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spacing w:line="360" w:lineRule="auto"/>
        <w:rPr>
          <w:rFonts w:ascii="宋体" w:hAnsi="宋体" w:cs="宋体"/>
          <w:color w:val="auto"/>
          <w:sz w:val="24"/>
          <w:szCs w:val="24"/>
          <w:highlight w:val="none"/>
        </w:rPr>
      </w:pPr>
    </w:p>
    <w:p>
      <w:pPr>
        <w:spacing w:line="360" w:lineRule="auto"/>
        <w:jc w:val="center"/>
        <w:rPr>
          <w:rFonts w:ascii="宋体" w:hAnsi="宋体" w:cs="宋体"/>
          <w:color w:val="auto"/>
          <w:sz w:val="24"/>
          <w:szCs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2"/>
        <w:ind w:left="0" w:leftChars="0" w:firstLine="0" w:firstLineChars="0"/>
        <w:rPr>
          <w:color w:val="auto"/>
          <w:highlight w:val="none"/>
        </w:rPr>
      </w:pPr>
    </w:p>
    <w:p>
      <w:pPr>
        <w:pStyle w:val="2"/>
        <w:spacing w:line="560" w:lineRule="exact"/>
        <w:ind w:firstLine="0" w:firstLineChars="0"/>
        <w:rPr>
          <w:rFonts w:hint="eastAsia" w:ascii="宋体" w:hAnsi="宋体" w:cs="宋体"/>
          <w:b/>
          <w:bCs/>
          <w:color w:val="auto"/>
          <w:szCs w:val="21"/>
          <w:highlight w:val="none"/>
        </w:rPr>
      </w:pPr>
    </w:p>
    <w:p>
      <w:pPr>
        <w:pStyle w:val="2"/>
        <w:spacing w:line="560" w:lineRule="exact"/>
        <w:ind w:firstLine="0" w:firstLineChars="0"/>
        <w:rPr>
          <w:rFonts w:hint="eastAsia" w:ascii="宋体" w:hAnsi="宋体" w:cs="宋体"/>
          <w:b/>
          <w:bCs/>
          <w:color w:val="auto"/>
          <w:szCs w:val="21"/>
          <w:highlight w:val="none"/>
        </w:rPr>
      </w:pPr>
    </w:p>
    <w:p>
      <w:pPr>
        <w:spacing w:line="560" w:lineRule="exact"/>
        <w:ind w:firstLine="105" w:firstLineChars="50"/>
        <w:rPr>
          <w:rFonts w:ascii="仿宋_GB2312" w:eastAsia="仿宋_GB2312"/>
          <w:b/>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防疫</w:t>
      </w:r>
      <w:r>
        <w:rPr>
          <w:rFonts w:hint="eastAsia" w:ascii="宋体" w:hAnsi="宋体" w:cs="宋体"/>
          <w:b/>
          <w:bCs/>
          <w:color w:val="auto"/>
          <w:szCs w:val="21"/>
          <w:highlight w:val="none"/>
        </w:rPr>
        <w:t>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lang w:val="en-US" w:eastAsia="zh-CN"/>
        </w:rPr>
        <w:t>份</w:t>
      </w:r>
      <w:r>
        <w:rPr>
          <w:rFonts w:hint="eastAsia" w:ascii="仿宋" w:hAnsi="仿宋" w:eastAsia="仿宋" w:cs="仿宋"/>
          <w:color w:val="auto"/>
          <w:sz w:val="24"/>
          <w:highlight w:val="none"/>
        </w:rPr>
        <w:t>乙</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rPr>
        <w:t>份。</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7"/>
        <w:rPr>
          <w:rFonts w:cs="仿宋_GB2312" w:asciiTheme="minorEastAsia" w:hAnsiTheme="minorEastAsia" w:eastAsiaTheme="minorEastAsia"/>
          <w:color w:val="auto"/>
          <w:sz w:val="24"/>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
        <w:ind w:left="0" w:leftChars="0" w:firstLine="0" w:firstLineChars="0"/>
        <w:rPr>
          <w:rFonts w:ascii="宋体" w:hAnsi="宋体" w:cs="宋体"/>
          <w:b/>
          <w:bCs/>
          <w:color w:val="auto"/>
          <w:szCs w:val="21"/>
          <w:highlight w:val="none"/>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b/>
          <w:bCs/>
          <w:color w:val="auto"/>
          <w:kern w:val="2"/>
          <w:sz w:val="21"/>
          <w:szCs w:val="21"/>
          <w:highlight w:val="none"/>
          <w:lang w:val="en-US"/>
        </w:rPr>
      </w:pPr>
      <w:r>
        <w:rPr>
          <w:rFonts w:hint="eastAsia" w:hAnsi="宋体" w:eastAsia="宋体" w:cs="宋体"/>
          <w:b/>
          <w:bCs/>
          <w:color w:val="auto"/>
          <w:kern w:val="2"/>
          <w:sz w:val="21"/>
          <w:szCs w:val="21"/>
          <w:highlight w:val="none"/>
          <w:lang w:val="en-US" w:eastAsia="zh-CN"/>
        </w:rPr>
        <w:t>5.货物采购安全协议</w:t>
      </w:r>
    </w:p>
    <w:p>
      <w:pPr>
        <w:spacing w:line="560" w:lineRule="exact"/>
        <w:rPr>
          <w:rFonts w:ascii="黑体" w:hAnsi="黑体" w:eastAsia="黑体"/>
          <w:color w:val="auto"/>
          <w:sz w:val="32"/>
          <w:szCs w:val="32"/>
          <w:highlight w:val="none"/>
        </w:rPr>
      </w:pP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lang w:val="en-US" w:eastAsia="zh-CN"/>
        </w:rPr>
        <w:t>货物</w:t>
      </w:r>
      <w:r>
        <w:rPr>
          <w:rFonts w:hint="eastAsia" w:ascii="黑体" w:hAnsi="宋体" w:eastAsia="黑体" w:cs="宋体"/>
          <w:bCs/>
          <w:color w:val="auto"/>
          <w:kern w:val="0"/>
          <w:sz w:val="44"/>
          <w:szCs w:val="44"/>
          <w:highlight w:val="none"/>
        </w:rPr>
        <w:t>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pStyle w:val="2"/>
        <w:rPr>
          <w:rFonts w:ascii="仿宋_GB2312" w:eastAsia="仿宋_GB2312"/>
          <w:color w:val="auto"/>
          <w:sz w:val="28"/>
          <w:szCs w:val="28"/>
          <w:highlight w:val="none"/>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2"/>
        <w:ind w:firstLine="0"/>
        <w:rPr>
          <w:rFonts w:hint="eastAsia" w:ascii="仿宋_GB2312" w:eastAsia="仿宋_GB2312"/>
          <w:color w:val="auto"/>
          <w:sz w:val="28"/>
          <w:szCs w:val="28"/>
          <w:highlight w:val="none"/>
          <w:lang w:eastAsia="zh-CN"/>
        </w:rPr>
      </w:pPr>
    </w:p>
    <w:p>
      <w:pPr>
        <w:pStyle w:val="4"/>
        <w:rPr>
          <w:color w:val="auto"/>
          <w:highlight w:val="none"/>
        </w:rPr>
      </w:pPr>
      <w:bookmarkStart w:id="131" w:name="_Toc30824"/>
      <w:bookmarkStart w:id="132" w:name="_Toc3723"/>
      <w:bookmarkStart w:id="133" w:name="_Toc16552"/>
      <w:bookmarkStart w:id="134" w:name="_Toc21847"/>
      <w:bookmarkStart w:id="135" w:name="_Toc28358"/>
      <w:bookmarkStart w:id="136" w:name="_Toc23515"/>
      <w:bookmarkStart w:id="137" w:name="_Toc5129"/>
      <w:bookmarkStart w:id="138" w:name="_Toc1563"/>
      <w:bookmarkStart w:id="139" w:name="_Toc6230"/>
      <w:bookmarkStart w:id="140" w:name="_Toc8147"/>
      <w:bookmarkStart w:id="141" w:name="_Toc12169"/>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88265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6.95pt;height:0pt;width:75.5pt;z-index:251668480;mso-width-relative:page;mso-height-relative:page;" filled="f" stroked="t" coordsize="21600,21600" o:gfxdata="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6G7wdYAAAAJAQAADwAAAAAAAAABACAA&#10;AAAiAAAAZHJzL2Rvd25yZXYueG1sUEsBAhQAFAAAAAgAh07iQNUWKkHWAQAAlQMAAA4AAAAAAAAA&#10;AQAgAAAAJQEAAGRycy9lMm9Eb2MueG1sUEsFBgAAAAAGAAYAWQEAAG0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2313940</wp:posOffset>
                </wp:positionH>
                <wp:positionV relativeFrom="paragraph">
                  <wp:posOffset>481965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2pt;margin-top:37.95pt;height:0pt;width:75.5pt;z-index:251669504;mso-width-relative:page;mso-height-relative:page;" filled="f" stroked="t" coordsize="21600,21600" o:gfxdata="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icoQ9cAAAAJ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第七章</w:t>
      </w:r>
      <w:bookmarkEnd w:id="131"/>
      <w:bookmarkEnd w:id="132"/>
      <w:bookmarkEnd w:id="133"/>
      <w:bookmarkEnd w:id="134"/>
      <w:bookmarkEnd w:id="135"/>
      <w:bookmarkEnd w:id="136"/>
      <w:bookmarkEnd w:id="137"/>
      <w:bookmarkEnd w:id="138"/>
      <w:bookmarkEnd w:id="139"/>
      <w:bookmarkEnd w:id="140"/>
      <w:bookmarkEnd w:id="141"/>
    </w:p>
    <w:p>
      <w:pPr>
        <w:pStyle w:val="37"/>
        <w:rPr>
          <w:color w:val="auto"/>
          <w:highlight w:val="none"/>
        </w:rPr>
      </w:pPr>
    </w:p>
    <w:p>
      <w:pPr>
        <w:pStyle w:val="4"/>
        <w:rPr>
          <w:color w:val="auto"/>
          <w:highlight w:val="none"/>
        </w:rPr>
      </w:pPr>
      <w:bookmarkStart w:id="142" w:name="_Toc17119"/>
      <w:bookmarkStart w:id="143" w:name="_Toc21675"/>
      <w:bookmarkStart w:id="144" w:name="_Toc31564"/>
      <w:bookmarkStart w:id="145" w:name="_Toc12610"/>
      <w:bookmarkStart w:id="146" w:name="_Toc24815"/>
      <w:bookmarkStart w:id="147" w:name="_Toc22764"/>
      <w:bookmarkStart w:id="148" w:name="_Toc5342"/>
      <w:bookmarkStart w:id="149" w:name="_Toc30157"/>
      <w:bookmarkStart w:id="150" w:name="_Toc24490"/>
      <w:bookmarkStart w:id="151" w:name="_Toc87616388"/>
      <w:bookmarkStart w:id="152" w:name="_Toc10840"/>
      <w:bookmarkStart w:id="153" w:name="_Toc12769"/>
      <w:bookmarkStart w:id="154" w:name="_Toc88209951"/>
      <w:r>
        <w:rPr>
          <w:rFonts w:hint="eastAsia"/>
          <w:color w:val="auto"/>
          <w:highlight w:val="none"/>
        </w:rPr>
        <w:t>响应文件</w:t>
      </w:r>
      <w:r>
        <w:rPr>
          <w:rFonts w:hint="eastAsia"/>
          <w:color w:val="auto"/>
          <w:highlight w:val="none"/>
          <w:lang w:val="en-US" w:eastAsia="zh-CN"/>
        </w:rPr>
        <w:t>格式要求</w:t>
      </w:r>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宋体" w:hAnsi="宋体" w:eastAsia="仿宋_GB2312" w:cs="宋体"/>
          <w:b/>
          <w:bCs/>
          <w:color w:val="auto"/>
          <w:sz w:val="30"/>
          <w:highlight w:val="none"/>
          <w:lang w:eastAsia="zh-CN"/>
        </w:rPr>
        <w:t>石井净分公司二期紫外消毒支架采购项目</w:t>
      </w: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7"/>
        <w:rPr>
          <w:color w:val="auto"/>
          <w:highlight w:val="none"/>
        </w:rPr>
      </w:pPr>
    </w:p>
    <w:p>
      <w:pPr>
        <w:pStyle w:val="2"/>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5" w:name="_Toc88209952"/>
      <w:bookmarkStart w:id="156" w:name="_Toc87616389"/>
      <w:r>
        <w:rPr>
          <w:rFonts w:hint="eastAsia" w:ascii="仿宋_GB2312" w:eastAsia="仿宋_GB2312"/>
          <w:color w:val="auto"/>
          <w:sz w:val="28"/>
          <w:szCs w:val="28"/>
          <w:highlight w:val="none"/>
        </w:rPr>
        <w:t>1.响应函</w:t>
      </w:r>
      <w:bookmarkEnd w:id="155"/>
      <w:bookmarkEnd w:id="156"/>
    </w:p>
    <w:p>
      <w:pPr>
        <w:spacing w:line="600" w:lineRule="exact"/>
        <w:rPr>
          <w:rFonts w:hint="eastAsia" w:ascii="仿宋_GB2312" w:eastAsia="仿宋_GB2312"/>
          <w:color w:val="auto"/>
          <w:sz w:val="28"/>
          <w:szCs w:val="28"/>
          <w:highlight w:val="none"/>
        </w:rPr>
      </w:pPr>
      <w:bookmarkStart w:id="157" w:name="_Toc88209953"/>
      <w:bookmarkStart w:id="158" w:name="_Toc87616390"/>
      <w:r>
        <w:rPr>
          <w:rFonts w:hint="eastAsia" w:ascii="仿宋_GB2312" w:eastAsia="仿宋_GB2312"/>
          <w:color w:val="auto"/>
          <w:sz w:val="28"/>
          <w:szCs w:val="28"/>
          <w:highlight w:val="none"/>
        </w:rPr>
        <w:t>2.法定代表人证明或授权委托书</w:t>
      </w:r>
      <w:bookmarkEnd w:id="157"/>
      <w:bookmarkEnd w:id="158"/>
      <w:bookmarkStart w:id="159" w:name="_Toc88209956"/>
      <w:bookmarkStart w:id="16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59"/>
      <w:bookmarkEnd w:id="16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61" w:name="_Toc88209957"/>
      <w:bookmarkStart w:id="162" w:name="_Toc87616394"/>
      <w:bookmarkStart w:id="163" w:name="_Toc12665"/>
      <w:bookmarkStart w:id="164" w:name="_Toc6313"/>
      <w:bookmarkStart w:id="165" w:name="_Toc28619645"/>
      <w:r>
        <w:rPr>
          <w:rFonts w:hint="eastAsia" w:asciiTheme="minorEastAsia" w:hAnsiTheme="minorEastAsia" w:eastAsiaTheme="minorEastAsia"/>
          <w:color w:val="auto"/>
          <w:sz w:val="28"/>
          <w:szCs w:val="28"/>
          <w:highlight w:val="none"/>
        </w:rPr>
        <w:t>1.响应函</w:t>
      </w:r>
      <w:bookmarkEnd w:id="161"/>
      <w:bookmarkEnd w:id="162"/>
      <w:bookmarkEnd w:id="163"/>
      <w:bookmarkEnd w:id="164"/>
      <w:bookmarkEnd w:id="165"/>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27"/>
        <w:rPr>
          <w:rFonts w:hint="eastAsia" w:ascii="仿宋_GB2312" w:eastAsia="仿宋_GB2312" w:hAnsiTheme="minorEastAsia"/>
          <w:color w:val="auto"/>
          <w:sz w:val="28"/>
          <w:szCs w:val="28"/>
          <w:highlight w:val="none"/>
        </w:rPr>
      </w:pPr>
    </w:p>
    <w:p>
      <w:pPr>
        <w:pStyle w:val="27"/>
        <w:rPr>
          <w:rFonts w:hint="eastAsia" w:ascii="仿宋_GB2312" w:eastAsia="仿宋_GB2312" w:hAnsiTheme="minorEastAsia"/>
          <w:color w:val="auto"/>
          <w:sz w:val="28"/>
          <w:szCs w:val="28"/>
          <w:highlight w:val="none"/>
        </w:rPr>
      </w:pP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66" w:name="_Toc29833"/>
      <w:bookmarkStart w:id="167" w:name="_Toc87616395"/>
      <w:bookmarkStart w:id="168" w:name="_Toc22527"/>
      <w:bookmarkStart w:id="169" w:name="_Toc88209958"/>
    </w:p>
    <w:p>
      <w:pPr>
        <w:pStyle w:val="6"/>
        <w:keepNext/>
        <w:keepLines/>
        <w:pageBreakBefore w:val="0"/>
        <w:widowControl w:val="0"/>
        <w:kinsoku/>
        <w:wordWrap/>
        <w:overflowPunct/>
        <w:topLinePunct w:val="0"/>
        <w:autoSpaceDE/>
        <w:autoSpaceDN/>
        <w:bidi w:val="0"/>
        <w:adjustRightInd/>
        <w:snapToGrid/>
        <w:spacing w:before="0" w:line="400" w:lineRule="exact"/>
        <w:textAlignment w:val="auto"/>
        <w:rPr>
          <w:rFonts w:hint="eastAsia" w:asciiTheme="minorEastAsia" w:hAnsiTheme="minorEastAsia" w:eastAsiaTheme="minorEastAsia"/>
          <w:color w:val="auto"/>
          <w:sz w:val="28"/>
          <w:szCs w:val="28"/>
          <w:highlight w:val="none"/>
        </w:rPr>
      </w:pPr>
    </w:p>
    <w:p>
      <w:pPr>
        <w:pStyle w:val="6"/>
        <w:keepNext/>
        <w:keepLines/>
        <w:pageBreakBefore w:val="0"/>
        <w:widowControl w:val="0"/>
        <w:kinsoku/>
        <w:wordWrap/>
        <w:overflowPunct/>
        <w:topLinePunct w:val="0"/>
        <w:autoSpaceDE/>
        <w:autoSpaceDN/>
        <w:bidi w:val="0"/>
        <w:adjustRightInd/>
        <w:snapToGrid/>
        <w:spacing w:before="0" w:line="400" w:lineRule="exac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66"/>
      <w:bookmarkEnd w:id="167"/>
      <w:bookmarkEnd w:id="168"/>
      <w:bookmarkEnd w:id="169"/>
    </w:p>
    <w:p>
      <w:pPr>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keepNext w:val="0"/>
        <w:keepLines w:val="0"/>
        <w:pageBreakBefore w:val="0"/>
        <w:widowControl w:val="0"/>
        <w:kinsoku/>
        <w:wordWrap/>
        <w:overflowPunct/>
        <w:topLinePunct w:val="0"/>
        <w:autoSpaceDE w:val="0"/>
        <w:autoSpaceDN w:val="0"/>
        <w:bidi w:val="0"/>
        <w:adjustRightInd w:val="0"/>
        <w:snapToGrid w:val="0"/>
        <w:spacing w:after="0" w:line="50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autoSpaceDE w:val="0"/>
        <w:autoSpaceDN w:val="0"/>
        <w:bidi w:val="0"/>
        <w:adjustRightInd w:val="0"/>
        <w:snapToGrid w:val="0"/>
        <w:spacing w:after="0" w:line="50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8"/>
        <w:keepNext w:val="0"/>
        <w:keepLines w:val="0"/>
        <w:pageBreakBefore w:val="0"/>
        <w:widowControl w:val="0"/>
        <w:kinsoku/>
        <w:wordWrap/>
        <w:overflowPunct/>
        <w:topLinePunct w:val="0"/>
        <w:autoSpaceDE w:val="0"/>
        <w:autoSpaceDN w:val="0"/>
        <w:bidi w:val="0"/>
        <w:adjustRightInd w:val="0"/>
        <w:snapToGrid w:val="0"/>
        <w:spacing w:line="50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color w:val="auto"/>
          <w:sz w:val="32"/>
          <w:szCs w:val="32"/>
          <w:highlight w:val="none"/>
        </w:rPr>
      </w:pPr>
    </w:p>
    <w:p>
      <w:pPr>
        <w:pStyle w:val="28"/>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0" w:name="_Toc19830"/>
      <w:bookmarkStart w:id="171" w:name="_Toc8086"/>
      <w:bookmarkStart w:id="172" w:name="_Toc87616400"/>
      <w:bookmarkStart w:id="173"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0"/>
      <w:bookmarkEnd w:id="171"/>
      <w:bookmarkEnd w:id="172"/>
      <w:bookmarkEnd w:id="1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石井净分公司二期紫外消毒支架采购项目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eastAsia"/>
          <w:color w:val="auto"/>
          <w:highlight w:val="none"/>
          <w:lang w:val="en-GB"/>
        </w:rPr>
      </w:pPr>
    </w:p>
    <w:p>
      <w:pPr>
        <w:pStyle w:val="2"/>
        <w:rPr>
          <w:rFonts w:hint="eastAsia"/>
          <w:color w:val="auto"/>
          <w:highlight w:val="none"/>
          <w:lang w:val="en-GB"/>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75" w:name="_Toc32430"/>
      <w:bookmarkStart w:id="17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75"/>
      <w:bookmarkEnd w:id="176"/>
    </w:p>
    <w:p>
      <w:pPr>
        <w:spacing w:line="600" w:lineRule="exact"/>
        <w:ind w:firstLine="570"/>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报价表</w:t>
      </w:r>
      <w:r>
        <w:rPr>
          <w:rFonts w:hint="eastAsia" w:ascii="仿宋_GB2312" w:eastAsia="仿宋_GB2312" w:hAnsiTheme="minorEastAsia"/>
          <w:color w:val="auto"/>
          <w:sz w:val="28"/>
          <w:szCs w:val="28"/>
          <w:highlight w:val="none"/>
          <w:lang w:eastAsia="zh-CN"/>
        </w:rPr>
        <w:t>：</w:t>
      </w:r>
    </w:p>
    <w:p>
      <w:pPr>
        <w:pStyle w:val="27"/>
        <w:ind w:firstLine="480" w:firstLineChars="200"/>
        <w:rPr>
          <w:rFonts w:hint="eastAsia" w:ascii="仿宋_GB2312" w:hAnsiTheme="minorEastAsia"/>
          <w:color w:val="auto"/>
          <w:sz w:val="24"/>
          <w:szCs w:val="24"/>
          <w:highlight w:val="none"/>
          <w:lang w:val="en-US" w:eastAsia="zh-CN"/>
        </w:rPr>
      </w:pPr>
    </w:p>
    <w:p>
      <w:pPr>
        <w:pStyle w:val="27"/>
        <w:ind w:firstLine="480" w:firstLineChars="200"/>
        <w:rPr>
          <w:rFonts w:hint="eastAsia" w:ascii="仿宋_GB2312" w:eastAsia="仿宋_GB2312" w:hAnsiTheme="minorEastAsia"/>
          <w:color w:val="auto"/>
          <w:sz w:val="28"/>
          <w:szCs w:val="28"/>
          <w:highlight w:val="none"/>
          <w:lang w:val="en-US" w:eastAsia="zh-CN"/>
        </w:rPr>
      </w:pPr>
      <w:r>
        <w:rPr>
          <w:rFonts w:hint="eastAsia" w:ascii="仿宋_GB2312" w:hAnsiTheme="minorEastAsia"/>
          <w:color w:val="auto"/>
          <w:sz w:val="24"/>
          <w:szCs w:val="24"/>
          <w:highlight w:val="none"/>
          <w:lang w:val="en-US" w:eastAsia="zh-CN"/>
        </w:rPr>
        <w:t>项目名称：</w:t>
      </w:r>
      <w:r>
        <w:rPr>
          <w:rFonts w:hint="eastAsia" w:ascii="仿宋_GB2312" w:hAnsiTheme="minorEastAsia"/>
          <w:color w:val="auto"/>
          <w:highlight w:val="none"/>
          <w:lang w:eastAsia="zh-CN"/>
        </w:rPr>
        <w:t>石井净分公司二期紫外消毒支架采购项目</w:t>
      </w:r>
    </w:p>
    <w:p>
      <w:pPr>
        <w:pStyle w:val="27"/>
        <w:ind w:firstLine="1200" w:firstLineChars="500"/>
        <w:rPr>
          <w:rFonts w:hint="default"/>
          <w:color w:val="auto"/>
          <w:highlight w:val="none"/>
          <w:lang w:val="en-US" w:eastAsia="zh-CN"/>
        </w:rPr>
      </w:pPr>
    </w:p>
    <w:tbl>
      <w:tblPr>
        <w:tblStyle w:val="21"/>
        <w:tblW w:w="0" w:type="auto"/>
        <w:jc w:val="center"/>
        <w:tblLayout w:type="fixed"/>
        <w:tblCellMar>
          <w:top w:w="0" w:type="dxa"/>
          <w:left w:w="108" w:type="dxa"/>
          <w:bottom w:w="0" w:type="dxa"/>
          <w:right w:w="108" w:type="dxa"/>
        </w:tblCellMar>
      </w:tblPr>
      <w:tblGrid>
        <w:gridCol w:w="502"/>
        <w:gridCol w:w="1187"/>
        <w:gridCol w:w="1281"/>
        <w:gridCol w:w="546"/>
        <w:gridCol w:w="696"/>
        <w:gridCol w:w="809"/>
        <w:gridCol w:w="1065"/>
        <w:gridCol w:w="840"/>
        <w:gridCol w:w="1165"/>
        <w:gridCol w:w="940"/>
      </w:tblGrid>
      <w:tr>
        <w:tblPrEx>
          <w:tblCellMar>
            <w:top w:w="0" w:type="dxa"/>
            <w:left w:w="108" w:type="dxa"/>
            <w:bottom w:w="0" w:type="dxa"/>
            <w:right w:w="108" w:type="dxa"/>
          </w:tblCellMar>
        </w:tblPrEx>
        <w:trPr>
          <w:trHeight w:val="517" w:hRule="atLeast"/>
          <w:jc w:val="center"/>
        </w:trPr>
        <w:tc>
          <w:tcPr>
            <w:tcW w:w="502"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序号</w:t>
            </w:r>
          </w:p>
        </w:tc>
        <w:tc>
          <w:tcPr>
            <w:tcW w:w="118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名称</w:t>
            </w:r>
          </w:p>
        </w:tc>
        <w:tc>
          <w:tcPr>
            <w:tcW w:w="128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生产厂家及品牌</w:t>
            </w:r>
          </w:p>
        </w:tc>
        <w:tc>
          <w:tcPr>
            <w:tcW w:w="54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单位</w:t>
            </w:r>
          </w:p>
        </w:tc>
        <w:tc>
          <w:tcPr>
            <w:tcW w:w="69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数量</w:t>
            </w:r>
          </w:p>
        </w:tc>
        <w:tc>
          <w:tcPr>
            <w:tcW w:w="187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备注</w:t>
            </w:r>
          </w:p>
        </w:tc>
      </w:tr>
      <w:tr>
        <w:tblPrEx>
          <w:tblCellMar>
            <w:top w:w="0" w:type="dxa"/>
            <w:left w:w="108" w:type="dxa"/>
            <w:bottom w:w="0" w:type="dxa"/>
            <w:right w:w="108" w:type="dxa"/>
          </w:tblCellMar>
        </w:tblPrEx>
        <w:trPr>
          <w:trHeight w:val="552" w:hRule="atLeast"/>
          <w:jc w:val="center"/>
        </w:trPr>
        <w:tc>
          <w:tcPr>
            <w:tcW w:w="502"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118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128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54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69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1"/>
                <w:szCs w:val="21"/>
                <w:highlight w:val="none"/>
              </w:rPr>
            </w:pPr>
          </w:p>
        </w:tc>
        <w:tc>
          <w:tcPr>
            <w:tcW w:w="8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r>
      <w:tr>
        <w:tblPrEx>
          <w:tblCellMar>
            <w:top w:w="0" w:type="dxa"/>
            <w:left w:w="108" w:type="dxa"/>
            <w:bottom w:w="0" w:type="dxa"/>
            <w:right w:w="108" w:type="dxa"/>
          </w:tblCellMar>
        </w:tblPrEx>
        <w:trPr>
          <w:trHeight w:val="314" w:hRule="atLeast"/>
          <w:jc w:val="center"/>
        </w:trPr>
        <w:tc>
          <w:tcPr>
            <w:tcW w:w="50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bidi="ar"/>
              </w:rPr>
              <w:t>1</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both"/>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i w:val="0"/>
                <w:color w:val="000000"/>
                <w:kern w:val="0"/>
                <w:sz w:val="22"/>
                <w:szCs w:val="22"/>
                <w:u w:val="none"/>
                <w:lang w:val="en-US" w:eastAsia="zh-CN" w:bidi="ar"/>
              </w:rPr>
              <w:t>紫外消毒模块机架</w:t>
            </w:r>
          </w:p>
        </w:tc>
        <w:tc>
          <w:tcPr>
            <w:tcW w:w="128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eastAsia="zh-CN" w:bidi="ar"/>
              </w:rPr>
            </w:pPr>
          </w:p>
        </w:tc>
        <w:tc>
          <w:tcPr>
            <w:tcW w:w="5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69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8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bidi="ar"/>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231" w:hRule="atLeast"/>
          <w:jc w:val="center"/>
        </w:trPr>
        <w:tc>
          <w:tcPr>
            <w:tcW w:w="4212"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合同暂定总价（万元）</w:t>
            </w:r>
          </w:p>
        </w:tc>
        <w:tc>
          <w:tcPr>
            <w:tcW w:w="8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p>
        </w:tc>
      </w:tr>
    </w:tbl>
    <w:p>
      <w:pPr>
        <w:spacing w:line="600" w:lineRule="exact"/>
        <w:ind w:firstLine="570"/>
        <w:rPr>
          <w:rFonts w:hint="eastAsia" w:eastAsia="仿宋_GB2312"/>
          <w:color w:val="auto"/>
          <w:highlight w:val="none"/>
          <w:lang w:eastAsia="zh-CN"/>
        </w:rPr>
      </w:pPr>
    </w:p>
    <w:p>
      <w:pPr>
        <w:pStyle w:val="6"/>
        <w:rPr>
          <w:rFonts w:hint="eastAsia" w:eastAsiaTheme="majorEastAsia"/>
          <w:color w:val="auto"/>
          <w:highlight w:val="none"/>
          <w:lang w:val="en-US" w:eastAsia="zh-CN"/>
        </w:rPr>
      </w:pPr>
      <w:bookmarkStart w:id="177" w:name="_Toc87616402"/>
      <w:bookmarkStart w:id="178" w:name="_Toc6058"/>
      <w:bookmarkStart w:id="179" w:name="_Toc88209965"/>
      <w:bookmarkStart w:id="180" w:name="_Toc16386"/>
    </w:p>
    <w:p>
      <w:pPr>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2"/>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rPr>
          <w:rFonts w:hint="eastAsia"/>
          <w:lang w:val="en-US" w:eastAsia="zh-CN"/>
        </w:rPr>
      </w:pPr>
    </w:p>
    <w:p>
      <w:pPr>
        <w:pStyle w:val="6"/>
        <w:rPr>
          <w:rFonts w:hint="eastAsia" w:asciiTheme="majorEastAsia" w:hAnsiTheme="majorEastAsia" w:eastAsiaTheme="majorEastAsia"/>
          <w:color w:val="auto"/>
          <w:sz w:val="28"/>
          <w:szCs w:val="28"/>
          <w:highlight w:val="none"/>
          <w:lang w:val="en-US" w:eastAsia="zh-CN"/>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bookmarkEnd w:id="177"/>
      <w:bookmarkEnd w:id="178"/>
      <w:bookmarkEnd w:id="179"/>
      <w:bookmarkEnd w:id="180"/>
      <w:r>
        <w:rPr>
          <w:rFonts w:hint="eastAsia" w:asciiTheme="majorEastAsia" w:hAnsiTheme="majorEastAsia" w:eastAsiaTheme="majorEastAsia"/>
          <w:color w:val="auto"/>
          <w:sz w:val="28"/>
          <w:szCs w:val="28"/>
          <w:highlight w:val="none"/>
          <w:lang w:val="en-US" w:eastAsia="zh-CN"/>
        </w:rPr>
        <w:t>承诺函</w:t>
      </w: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广州市净水有限公司：</w:t>
      </w:r>
    </w:p>
    <w:p>
      <w:pPr>
        <w:adjustRightInd w:val="0"/>
        <w:snapToGrid w:val="0"/>
        <w:spacing w:line="600" w:lineRule="exact"/>
        <w:ind w:firstLine="570"/>
        <w:rPr>
          <w:rFonts w:hint="eastAsia"/>
          <w:color w:val="auto"/>
          <w:highlight w:val="none"/>
          <w:lang w:val="en-US" w:eastAsia="zh-CN"/>
        </w:rPr>
      </w:pPr>
      <w:r>
        <w:rPr>
          <w:rFonts w:hint="default" w:ascii="仿宋_GB2312" w:eastAsia="仿宋_GB2312" w:hAnsiTheme="minorEastAsia"/>
          <w:color w:val="auto"/>
          <w:sz w:val="28"/>
          <w:szCs w:val="28"/>
          <w:highlight w:val="none"/>
          <w:lang w:val="en-US" w:eastAsia="zh-CN"/>
        </w:rPr>
        <w:t xml:space="preserve">我方承诺所提供报价备品备件均为符合询价文件的全新原装产品，且能适配原设备使用，货物在质保期(为自供货验收合格之日起1年内）如有质量问题或未能适配原有设备时，24小时内派技术人员到现场免费进行维修。     </w:t>
      </w:r>
      <w:r>
        <w:rPr>
          <w:rFonts w:hint="eastAsia"/>
          <w:color w:val="auto"/>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color w:val="auto"/>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color w:val="auto"/>
          <w:sz w:val="28"/>
          <w:szCs w:val="28"/>
          <w:highlight w:val="none"/>
          <w:u w:val="single"/>
          <w:lang w:val="en-US" w:eastAsia="zh-CN"/>
        </w:rPr>
        <w:t>）</w:t>
      </w:r>
      <w:r>
        <w:rPr>
          <w:rFonts w:hint="eastAsia" w:ascii="仿宋_GB2312" w:eastAsia="仿宋_GB2312" w:hAnsiTheme="minorEastAsia" w:cstheme="minorBidi"/>
          <w:b w:val="0"/>
          <w:bCs w:val="0"/>
          <w:color w:val="auto"/>
          <w:sz w:val="28"/>
          <w:szCs w:val="28"/>
          <w:highlight w:val="none"/>
          <w:u w:val="none"/>
          <w:lang w:val="en-US" w:eastAsia="zh-CN"/>
        </w:rPr>
        <w:t xml:space="preserve"> 盖章</w:t>
      </w:r>
    </w:p>
    <w:p>
      <w:pPr>
        <w:pStyle w:val="2"/>
        <w:rPr>
          <w:rFonts w:hint="default" w:ascii="宋体" w:hAnsi="宋体" w:eastAsia="等线" w:cs="Times New Roman"/>
          <w:b w:val="0"/>
          <w:bCs w:val="0"/>
          <w:color w:val="auto"/>
          <w:sz w:val="24"/>
          <w:szCs w:val="24"/>
          <w:highlight w:val="none"/>
          <w:lang w:val="en-US" w:eastAsia="zh-CN"/>
        </w:rPr>
      </w:pPr>
      <w:r>
        <w:rPr>
          <w:rFonts w:hint="eastAsia" w:ascii="仿宋_GB2312" w:eastAsia="仿宋_GB2312" w:hAnsiTheme="minorEastAsia" w:cstheme="minorBidi"/>
          <w:b w:val="0"/>
          <w:bCs w:val="0"/>
          <w:color w:val="auto"/>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p>
    <w:p>
      <w:pPr>
        <w:pStyle w:val="2"/>
        <w:rPr>
          <w:rFonts w:hint="eastAsia"/>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rSUk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3StJSRoCAAAj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172A27"/>
    <w:rsid w:val="003D60BA"/>
    <w:rsid w:val="00411689"/>
    <w:rsid w:val="005D618A"/>
    <w:rsid w:val="005F66A2"/>
    <w:rsid w:val="00911ECD"/>
    <w:rsid w:val="00A042E0"/>
    <w:rsid w:val="00B26BB1"/>
    <w:rsid w:val="00B26E21"/>
    <w:rsid w:val="00F83B64"/>
    <w:rsid w:val="01826D93"/>
    <w:rsid w:val="02090C75"/>
    <w:rsid w:val="02A23A3C"/>
    <w:rsid w:val="03AC246A"/>
    <w:rsid w:val="03B23056"/>
    <w:rsid w:val="03DC3EBA"/>
    <w:rsid w:val="03F9794D"/>
    <w:rsid w:val="046A2461"/>
    <w:rsid w:val="04A1710E"/>
    <w:rsid w:val="060F5D5A"/>
    <w:rsid w:val="06AF2780"/>
    <w:rsid w:val="06C64829"/>
    <w:rsid w:val="077D16D2"/>
    <w:rsid w:val="07BB3311"/>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E956C64"/>
    <w:rsid w:val="0F4D75A3"/>
    <w:rsid w:val="0F5B2DCA"/>
    <w:rsid w:val="0FED051E"/>
    <w:rsid w:val="0FEE4C29"/>
    <w:rsid w:val="10046082"/>
    <w:rsid w:val="105D5692"/>
    <w:rsid w:val="112B101A"/>
    <w:rsid w:val="119B53FC"/>
    <w:rsid w:val="12424CDC"/>
    <w:rsid w:val="129A2738"/>
    <w:rsid w:val="12B56BF1"/>
    <w:rsid w:val="12CB1A89"/>
    <w:rsid w:val="12DA0A20"/>
    <w:rsid w:val="131840FB"/>
    <w:rsid w:val="13467417"/>
    <w:rsid w:val="136E76CF"/>
    <w:rsid w:val="143838AE"/>
    <w:rsid w:val="15147935"/>
    <w:rsid w:val="156A1544"/>
    <w:rsid w:val="15BC6B3C"/>
    <w:rsid w:val="164964AF"/>
    <w:rsid w:val="1694429A"/>
    <w:rsid w:val="17635326"/>
    <w:rsid w:val="176B68E7"/>
    <w:rsid w:val="17CF5E76"/>
    <w:rsid w:val="18236EFD"/>
    <w:rsid w:val="189D5B1F"/>
    <w:rsid w:val="18A34CD0"/>
    <w:rsid w:val="19B64DBC"/>
    <w:rsid w:val="1A373ACF"/>
    <w:rsid w:val="1A895341"/>
    <w:rsid w:val="1AD1184D"/>
    <w:rsid w:val="1B0D071F"/>
    <w:rsid w:val="1B4568CE"/>
    <w:rsid w:val="1B9015B7"/>
    <w:rsid w:val="1D192588"/>
    <w:rsid w:val="1D316CFF"/>
    <w:rsid w:val="1D5A79EE"/>
    <w:rsid w:val="1E0E2CD0"/>
    <w:rsid w:val="1E807B52"/>
    <w:rsid w:val="1E831280"/>
    <w:rsid w:val="1EBC4704"/>
    <w:rsid w:val="1F172EB5"/>
    <w:rsid w:val="1F94592D"/>
    <w:rsid w:val="1FB860DE"/>
    <w:rsid w:val="1FC70142"/>
    <w:rsid w:val="203C5A02"/>
    <w:rsid w:val="209D4C94"/>
    <w:rsid w:val="20E84705"/>
    <w:rsid w:val="214A4296"/>
    <w:rsid w:val="214D7461"/>
    <w:rsid w:val="218400BA"/>
    <w:rsid w:val="21AB1E2F"/>
    <w:rsid w:val="21D40498"/>
    <w:rsid w:val="22390CB6"/>
    <w:rsid w:val="22767047"/>
    <w:rsid w:val="23A05588"/>
    <w:rsid w:val="23DC7DC2"/>
    <w:rsid w:val="25291CB2"/>
    <w:rsid w:val="25431AEB"/>
    <w:rsid w:val="25BF43FD"/>
    <w:rsid w:val="25F86BCD"/>
    <w:rsid w:val="2605748B"/>
    <w:rsid w:val="269E416A"/>
    <w:rsid w:val="272100D3"/>
    <w:rsid w:val="272C72FC"/>
    <w:rsid w:val="27EB149D"/>
    <w:rsid w:val="27FD3E52"/>
    <w:rsid w:val="28D23308"/>
    <w:rsid w:val="28E11370"/>
    <w:rsid w:val="28EA007E"/>
    <w:rsid w:val="294A756A"/>
    <w:rsid w:val="29D5322D"/>
    <w:rsid w:val="2A025DD9"/>
    <w:rsid w:val="2A6B54CF"/>
    <w:rsid w:val="2A7C2231"/>
    <w:rsid w:val="2ABB753D"/>
    <w:rsid w:val="2B7A49FA"/>
    <w:rsid w:val="2C615D26"/>
    <w:rsid w:val="2CB679ED"/>
    <w:rsid w:val="2D173C07"/>
    <w:rsid w:val="2D424A86"/>
    <w:rsid w:val="2E7B52DB"/>
    <w:rsid w:val="2F324CFE"/>
    <w:rsid w:val="2FBA09F1"/>
    <w:rsid w:val="2FEF2ACF"/>
    <w:rsid w:val="30540211"/>
    <w:rsid w:val="30FA58CF"/>
    <w:rsid w:val="31000D25"/>
    <w:rsid w:val="312D7741"/>
    <w:rsid w:val="316F137F"/>
    <w:rsid w:val="31DF525F"/>
    <w:rsid w:val="32324C2E"/>
    <w:rsid w:val="327171DF"/>
    <w:rsid w:val="341E3434"/>
    <w:rsid w:val="34FE798B"/>
    <w:rsid w:val="360B7EBA"/>
    <w:rsid w:val="369C32FD"/>
    <w:rsid w:val="37666E72"/>
    <w:rsid w:val="378C25BC"/>
    <w:rsid w:val="38167A04"/>
    <w:rsid w:val="394B167A"/>
    <w:rsid w:val="3A4E4336"/>
    <w:rsid w:val="3A6007FE"/>
    <w:rsid w:val="3B5B3596"/>
    <w:rsid w:val="3B6A0725"/>
    <w:rsid w:val="3B7C2CE4"/>
    <w:rsid w:val="3C0B5355"/>
    <w:rsid w:val="3C407FEB"/>
    <w:rsid w:val="3CD4176B"/>
    <w:rsid w:val="3CFF18CC"/>
    <w:rsid w:val="3D1F44D9"/>
    <w:rsid w:val="3D5C38CD"/>
    <w:rsid w:val="3DB007B7"/>
    <w:rsid w:val="3E2B3CBB"/>
    <w:rsid w:val="3E5070F1"/>
    <w:rsid w:val="3F6C3589"/>
    <w:rsid w:val="3F850180"/>
    <w:rsid w:val="3F9004D6"/>
    <w:rsid w:val="400E4D5E"/>
    <w:rsid w:val="40373C5A"/>
    <w:rsid w:val="40E1138C"/>
    <w:rsid w:val="413814BA"/>
    <w:rsid w:val="41872511"/>
    <w:rsid w:val="42466655"/>
    <w:rsid w:val="42C82F57"/>
    <w:rsid w:val="43C76AF7"/>
    <w:rsid w:val="446828F0"/>
    <w:rsid w:val="453407A6"/>
    <w:rsid w:val="45920EF7"/>
    <w:rsid w:val="45C13B4D"/>
    <w:rsid w:val="46054BCA"/>
    <w:rsid w:val="464C6AFC"/>
    <w:rsid w:val="46795D3F"/>
    <w:rsid w:val="468B0091"/>
    <w:rsid w:val="46A107C3"/>
    <w:rsid w:val="46B15CE2"/>
    <w:rsid w:val="46BE113D"/>
    <w:rsid w:val="46E44B13"/>
    <w:rsid w:val="4703508A"/>
    <w:rsid w:val="475023F8"/>
    <w:rsid w:val="479D361E"/>
    <w:rsid w:val="47B74789"/>
    <w:rsid w:val="47D91C35"/>
    <w:rsid w:val="480F2B9D"/>
    <w:rsid w:val="48282920"/>
    <w:rsid w:val="485321E0"/>
    <w:rsid w:val="48546AD3"/>
    <w:rsid w:val="48CA4868"/>
    <w:rsid w:val="48E91A6D"/>
    <w:rsid w:val="48F005D3"/>
    <w:rsid w:val="49857B98"/>
    <w:rsid w:val="498F4AF1"/>
    <w:rsid w:val="49C05787"/>
    <w:rsid w:val="49CF518D"/>
    <w:rsid w:val="4ADA1F63"/>
    <w:rsid w:val="4AE23D89"/>
    <w:rsid w:val="4B2038D0"/>
    <w:rsid w:val="4B296E7D"/>
    <w:rsid w:val="4B877F28"/>
    <w:rsid w:val="4D916BA6"/>
    <w:rsid w:val="4DC44169"/>
    <w:rsid w:val="4EDA4BF5"/>
    <w:rsid w:val="4EF0709E"/>
    <w:rsid w:val="4FD14AB0"/>
    <w:rsid w:val="513C6A7B"/>
    <w:rsid w:val="52423D8C"/>
    <w:rsid w:val="5310246F"/>
    <w:rsid w:val="5333545B"/>
    <w:rsid w:val="53704905"/>
    <w:rsid w:val="5450213C"/>
    <w:rsid w:val="54D24048"/>
    <w:rsid w:val="54D64CD5"/>
    <w:rsid w:val="55887D69"/>
    <w:rsid w:val="55D20978"/>
    <w:rsid w:val="561A0928"/>
    <w:rsid w:val="56423872"/>
    <w:rsid w:val="56B279F0"/>
    <w:rsid w:val="57517E70"/>
    <w:rsid w:val="579D710E"/>
    <w:rsid w:val="57AD0169"/>
    <w:rsid w:val="581F22F6"/>
    <w:rsid w:val="582525E2"/>
    <w:rsid w:val="586E1E17"/>
    <w:rsid w:val="58862C35"/>
    <w:rsid w:val="58C14957"/>
    <w:rsid w:val="5AE83A50"/>
    <w:rsid w:val="5BAB2917"/>
    <w:rsid w:val="5BFC33FA"/>
    <w:rsid w:val="5C3107A4"/>
    <w:rsid w:val="5C3B1B93"/>
    <w:rsid w:val="5C9220DF"/>
    <w:rsid w:val="5D4A15F3"/>
    <w:rsid w:val="5D69542A"/>
    <w:rsid w:val="5D833EFE"/>
    <w:rsid w:val="5E0930EF"/>
    <w:rsid w:val="5E3D4D53"/>
    <w:rsid w:val="5E4717E6"/>
    <w:rsid w:val="5E55774C"/>
    <w:rsid w:val="60104DDC"/>
    <w:rsid w:val="60471154"/>
    <w:rsid w:val="605C0804"/>
    <w:rsid w:val="6189617B"/>
    <w:rsid w:val="61B06DAC"/>
    <w:rsid w:val="61B52BB6"/>
    <w:rsid w:val="61B749C2"/>
    <w:rsid w:val="62280D20"/>
    <w:rsid w:val="62CA2457"/>
    <w:rsid w:val="638240A1"/>
    <w:rsid w:val="63A5257B"/>
    <w:rsid w:val="63BD3DCC"/>
    <w:rsid w:val="63C61741"/>
    <w:rsid w:val="64560967"/>
    <w:rsid w:val="656B1D10"/>
    <w:rsid w:val="66022B28"/>
    <w:rsid w:val="66581E87"/>
    <w:rsid w:val="66FA11D5"/>
    <w:rsid w:val="674302C7"/>
    <w:rsid w:val="675A5E68"/>
    <w:rsid w:val="680A5986"/>
    <w:rsid w:val="680D5F4B"/>
    <w:rsid w:val="68113F51"/>
    <w:rsid w:val="68E94770"/>
    <w:rsid w:val="68F27AFE"/>
    <w:rsid w:val="68F949C9"/>
    <w:rsid w:val="695A4290"/>
    <w:rsid w:val="69FB618E"/>
    <w:rsid w:val="6A334932"/>
    <w:rsid w:val="6A3353FF"/>
    <w:rsid w:val="6A5D63E6"/>
    <w:rsid w:val="6A5F24D1"/>
    <w:rsid w:val="6AE347EB"/>
    <w:rsid w:val="6B434AF0"/>
    <w:rsid w:val="6B57675A"/>
    <w:rsid w:val="6B5D68D0"/>
    <w:rsid w:val="6BA46ACC"/>
    <w:rsid w:val="6BDD7B4D"/>
    <w:rsid w:val="6D511876"/>
    <w:rsid w:val="6E424D6C"/>
    <w:rsid w:val="6EBC0B3A"/>
    <w:rsid w:val="6EF51C7D"/>
    <w:rsid w:val="6F2A1944"/>
    <w:rsid w:val="6F8363E5"/>
    <w:rsid w:val="6F8C441E"/>
    <w:rsid w:val="6FC746F5"/>
    <w:rsid w:val="70317AC6"/>
    <w:rsid w:val="70863262"/>
    <w:rsid w:val="70A76ED3"/>
    <w:rsid w:val="710C5A49"/>
    <w:rsid w:val="71860B17"/>
    <w:rsid w:val="723B27CC"/>
    <w:rsid w:val="72687227"/>
    <w:rsid w:val="72A03FD9"/>
    <w:rsid w:val="731654D8"/>
    <w:rsid w:val="73406CFF"/>
    <w:rsid w:val="7383028C"/>
    <w:rsid w:val="738A6B8D"/>
    <w:rsid w:val="73A25E44"/>
    <w:rsid w:val="73E3444F"/>
    <w:rsid w:val="741F68CF"/>
    <w:rsid w:val="744F7DAC"/>
    <w:rsid w:val="74C87442"/>
    <w:rsid w:val="75252DF3"/>
    <w:rsid w:val="75621536"/>
    <w:rsid w:val="75BF3154"/>
    <w:rsid w:val="764A07CF"/>
    <w:rsid w:val="764F6B3D"/>
    <w:rsid w:val="76CD2B7B"/>
    <w:rsid w:val="76D80645"/>
    <w:rsid w:val="76E03371"/>
    <w:rsid w:val="77EA7742"/>
    <w:rsid w:val="780E5898"/>
    <w:rsid w:val="782642CC"/>
    <w:rsid w:val="7894095E"/>
    <w:rsid w:val="79000679"/>
    <w:rsid w:val="79A416F0"/>
    <w:rsid w:val="79B03EB6"/>
    <w:rsid w:val="7AA869CA"/>
    <w:rsid w:val="7AF37579"/>
    <w:rsid w:val="7AF87F64"/>
    <w:rsid w:val="7AFA0A78"/>
    <w:rsid w:val="7B1C0C84"/>
    <w:rsid w:val="7B5A62DF"/>
    <w:rsid w:val="7B7A04A8"/>
    <w:rsid w:val="7C0C3F6D"/>
    <w:rsid w:val="7C22163C"/>
    <w:rsid w:val="7C595075"/>
    <w:rsid w:val="7C6B07B2"/>
    <w:rsid w:val="7D133243"/>
    <w:rsid w:val="7E394207"/>
    <w:rsid w:val="7E4007A2"/>
    <w:rsid w:val="7E791CAD"/>
    <w:rsid w:val="7E9F314F"/>
    <w:rsid w:val="7EA50DFB"/>
    <w:rsid w:val="7EC86878"/>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3"/>
    <w:link w:val="16"/>
    <w:semiHidden/>
    <w:qFormat/>
    <w:uiPriority w:val="99"/>
    <w:rPr>
      <w:sz w:val="18"/>
      <w:szCs w:val="18"/>
    </w:rPr>
  </w:style>
  <w:style w:type="character" w:customStyle="1" w:styleId="30">
    <w:name w:val="页脚 Char"/>
    <w:basedOn w:val="23"/>
    <w:link w:val="15"/>
    <w:qFormat/>
    <w:uiPriority w:val="99"/>
    <w:rPr>
      <w:sz w:val="18"/>
      <w:szCs w:val="18"/>
    </w:rPr>
  </w:style>
  <w:style w:type="character" w:customStyle="1" w:styleId="31">
    <w:name w:val="标题 1 Char"/>
    <w:basedOn w:val="23"/>
    <w:link w:val="4"/>
    <w:qFormat/>
    <w:uiPriority w:val="9"/>
    <w:rPr>
      <w:rFonts w:eastAsia="方正小标宋简体"/>
      <w:bCs/>
      <w:kern w:val="44"/>
      <w:sz w:val="44"/>
      <w:szCs w:val="44"/>
    </w:rPr>
  </w:style>
  <w:style w:type="character" w:customStyle="1" w:styleId="32">
    <w:name w:val="标题 2 Char"/>
    <w:basedOn w:val="23"/>
    <w:link w:val="5"/>
    <w:qFormat/>
    <w:uiPriority w:val="9"/>
    <w:rPr>
      <w:rFonts w:eastAsia="方正小标宋简体" w:asciiTheme="majorHAnsi" w:hAnsiTheme="majorHAnsi" w:cstheme="majorBidi"/>
      <w:bCs/>
      <w:sz w:val="36"/>
      <w:szCs w:val="32"/>
    </w:rPr>
  </w:style>
  <w:style w:type="character" w:customStyle="1" w:styleId="33">
    <w:name w:val="标题 3 Char"/>
    <w:basedOn w:val="23"/>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4"/>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3"/>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普通正文"/>
    <w:basedOn w:val="1"/>
    <w:qFormat/>
    <w:uiPriority w:val="99"/>
    <w:pPr>
      <w:spacing w:line="360" w:lineRule="auto"/>
      <w:ind w:left="34" w:firstLine="480" w:firstLineChars="200"/>
    </w:pPr>
    <w:rPr>
      <w:sz w:val="24"/>
    </w:rPr>
  </w:style>
  <w:style w:type="paragraph" w:customStyle="1" w:styleId="48">
    <w:name w:val="Char"/>
    <w:basedOn w:val="1"/>
    <w:qFormat/>
    <w:uiPriority w:val="0"/>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17951</Words>
  <Characters>18696</Characters>
  <Lines>300</Lines>
  <Paragraphs>84</Paragraphs>
  <TotalTime>6</TotalTime>
  <ScaleCrop>false</ScaleCrop>
  <LinksUpToDate>false</LinksUpToDate>
  <CharactersWithSpaces>20814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鲍俊乾</cp:lastModifiedBy>
  <cp:lastPrinted>2022-09-30T04:12:00Z</cp:lastPrinted>
  <dcterms:modified xsi:type="dcterms:W3CDTF">2022-10-20T09:12:12Z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30E311208F7D411BB61342F70BEF1AED</vt:lpwstr>
  </property>
</Properties>
</file>