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default" w:ascii="方正小标宋简体" w:eastAsia="方正小标宋简体"/>
          <w:color w:val="auto"/>
          <w:sz w:val="52"/>
          <w:szCs w:val="52"/>
          <w:highlight w:val="none"/>
          <w:lang w:val="en-US" w:eastAsia="zh-CN"/>
        </w:rPr>
      </w:pPr>
      <w:bookmarkStart w:id="196" w:name="_GoBack"/>
      <w:bookmarkEnd w:id="196"/>
      <w:r>
        <w:rPr>
          <w:rFonts w:hint="eastAsia" w:ascii="方正小标宋简体" w:eastAsia="方正小标宋简体"/>
          <w:color w:val="auto"/>
          <w:sz w:val="52"/>
          <w:szCs w:val="52"/>
          <w:highlight w:val="none"/>
          <w:lang w:val="en-US" w:eastAsia="zh-CN"/>
        </w:rPr>
        <w:t>广州市净水有限公司西朗二期分公司安全教育VR体验系统采购项目</w:t>
      </w: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both"/>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w:t>
      </w:r>
      <w:r>
        <w:rPr>
          <w:rFonts w:hint="eastAsia" w:ascii="黑体" w:hAnsi="黑体" w:eastAsia="黑体" w:cs="仿宋_GB2312"/>
          <w:color w:val="auto"/>
          <w:sz w:val="32"/>
          <w:szCs w:val="32"/>
          <w:highlight w:val="none"/>
        </w:rPr>
        <w:t>月</w:t>
      </w:r>
    </w:p>
    <w:p>
      <w:pPr>
        <w:rPr>
          <w:color w:val="auto"/>
          <w:highlight w:val="none"/>
        </w:rPr>
        <w:sectPr>
          <w:footerReference r:id="rId4" w:type="default"/>
          <w:headerReference r:id="rId3" w:type="even"/>
          <w:footerReference r:id="rId5" w:type="even"/>
          <w:pgSz w:w="11907" w:h="16840"/>
          <w:pgMar w:top="1701" w:right="1701" w:bottom="1701" w:left="1701" w:header="851" w:footer="992" w:gutter="0"/>
          <w:pgNumType w:fmt="decimal"/>
          <w:cols w:space="0" w:num="1"/>
          <w:docGrid w:type="linesAndChars" w:linePitch="381" w:charSpace="0"/>
        </w:sectPr>
      </w:pPr>
    </w:p>
    <w:p>
      <w:pPr>
        <w:pStyle w:val="2"/>
        <w:rPr>
          <w:color w:val="auto"/>
          <w:highlight w:val="none"/>
        </w:rPr>
      </w:pPr>
    </w:p>
    <w:p>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1"/>
        </w:numPr>
        <w:tabs>
          <w:tab w:val="right" w:pos="8844"/>
        </w:tabs>
        <w:rPr>
          <w:color w:val="auto"/>
          <w:highlight w:val="none"/>
        </w:rPr>
      </w:pPr>
      <w:r>
        <w:rPr>
          <w:rFonts w:hint="eastAsia"/>
          <w:color w:val="auto"/>
          <w:highlight w:val="none"/>
          <w:lang w:val="en-US" w:eastAsia="zh-CN"/>
        </w:rPr>
        <w:t>供应商须知</w:t>
      </w:r>
    </w:p>
    <w:p>
      <w:pPr>
        <w:pStyle w:val="18"/>
        <w:numPr>
          <w:ilvl w:val="0"/>
          <w:numId w:val="1"/>
        </w:numPr>
        <w:tabs>
          <w:tab w:val="right" w:pos="8844"/>
        </w:tabs>
        <w:rPr>
          <w:color w:val="auto"/>
          <w:highlight w:val="none"/>
        </w:rPr>
      </w:pPr>
      <w:r>
        <w:rPr>
          <w:rFonts w:hint="eastAsia"/>
          <w:color w:val="auto"/>
          <w:highlight w:val="none"/>
          <w:lang w:val="en-US" w:eastAsia="zh-CN"/>
        </w:rPr>
        <w:t>采购方法</w:t>
      </w:r>
    </w:p>
    <w:p>
      <w:pPr>
        <w:pStyle w:val="18"/>
        <w:numPr>
          <w:ilvl w:val="0"/>
          <w:numId w:val="1"/>
        </w:numPr>
        <w:tabs>
          <w:tab w:val="right" w:pos="8844"/>
        </w:tabs>
        <w:rPr>
          <w:color w:val="auto"/>
          <w:highlight w:val="none"/>
        </w:rPr>
      </w:pPr>
      <w:r>
        <w:rPr>
          <w:rFonts w:hint="eastAsia"/>
          <w:color w:val="auto"/>
          <w:highlight w:val="none"/>
          <w:lang w:val="en-US" w:eastAsia="zh-CN"/>
        </w:rPr>
        <w:t>评审方法</w:t>
      </w:r>
    </w:p>
    <w:p>
      <w:pPr>
        <w:pStyle w:val="18"/>
        <w:numPr>
          <w:ilvl w:val="0"/>
          <w:numId w:val="1"/>
        </w:numPr>
        <w:tabs>
          <w:tab w:val="right" w:pos="8844"/>
        </w:tabs>
        <w:rPr>
          <w:color w:val="auto"/>
          <w:highlight w:val="none"/>
        </w:rPr>
      </w:pPr>
      <w:r>
        <w:rPr>
          <w:rFonts w:hint="eastAsia"/>
          <w:color w:val="auto"/>
          <w:highlight w:val="none"/>
          <w:lang w:val="en-US" w:eastAsia="zh-CN"/>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3"/>
        <w:rPr>
          <w:rFonts w:hint="eastAsia"/>
          <w:color w:val="auto"/>
          <w:highlight w:val="none"/>
        </w:rPr>
      </w:pPr>
      <w:bookmarkStart w:id="4" w:name="_Toc11322"/>
      <w:bookmarkStart w:id="5" w:name="_Toc31938"/>
      <w:bookmarkStart w:id="6" w:name="_Toc17801"/>
      <w:bookmarkStart w:id="7" w:name="_Toc1669"/>
      <w:bookmarkStart w:id="8" w:name="_Toc19609"/>
      <w:bookmarkStart w:id="9" w:name="_Toc7519"/>
      <w:bookmarkStart w:id="10" w:name="_Toc4275"/>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2362835</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6.05pt;margin-top:40.85pt;height:0pt;width:75.5pt;z-index:251673600;mso-width-relative:page;mso-height-relative:page;" filled="f" stroked="t" coordsize="21600,21600" o:gfxdata="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6AmO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8"/>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eastAsia="zh-CN"/>
        </w:rPr>
        <w:t>西朗二期分公司安全教育VR体验系统采购项目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eastAsia="zh-CN"/>
        </w:rPr>
        <w:t>广州市净水有限公司西朗二期分公司安全教育VR体验系统采购项目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XJ-20221019-1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57915.00</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single"/>
          <w:lang w:val="en-US" w:eastAsia="zh-CN"/>
        </w:rPr>
        <w:t>人民币。</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20"/>
        <w:gridCol w:w="4677"/>
        <w:gridCol w:w="67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序号</w:t>
            </w:r>
          </w:p>
        </w:tc>
        <w:tc>
          <w:tcPr>
            <w:tcW w:w="1620" w:type="dxa"/>
            <w:vAlign w:val="center"/>
          </w:tcPr>
          <w:p>
            <w:pPr>
              <w:numPr>
                <w:ilvl w:val="0"/>
                <w:numId w:val="0"/>
              </w:numPr>
              <w:spacing w:line="360" w:lineRule="auto"/>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项目</w:t>
            </w:r>
          </w:p>
        </w:tc>
        <w:tc>
          <w:tcPr>
            <w:tcW w:w="4677" w:type="dxa"/>
            <w:vAlign w:val="center"/>
          </w:tcPr>
          <w:p>
            <w:pPr>
              <w:numPr>
                <w:ilvl w:val="0"/>
                <w:numId w:val="0"/>
              </w:numPr>
              <w:spacing w:line="360" w:lineRule="auto"/>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参数</w:t>
            </w:r>
          </w:p>
        </w:tc>
        <w:tc>
          <w:tcPr>
            <w:tcW w:w="678" w:type="dxa"/>
          </w:tcPr>
          <w:p>
            <w:pPr>
              <w:numPr>
                <w:ilvl w:val="0"/>
                <w:numId w:val="0"/>
              </w:numPr>
              <w:spacing w:line="360" w:lineRule="auto"/>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单位</w:t>
            </w:r>
          </w:p>
        </w:tc>
        <w:tc>
          <w:tcPr>
            <w:tcW w:w="627" w:type="dxa"/>
          </w:tcPr>
          <w:p>
            <w:pPr>
              <w:numPr>
                <w:ilvl w:val="0"/>
                <w:numId w:val="0"/>
              </w:numPr>
              <w:spacing w:line="360" w:lineRule="auto"/>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VR主机</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 xml:space="preserve"> CPU INTEL：i5-6500- Intel USA   主板：B250M-GIGABYTE   显卡：1660 – GALAX   内存：8GB DDR4  硬盘：SSD 240G -GALAX   电源：航嘉电源Jumper500  CPU风扇：酷冷I50风扇   CPU风扇：酷冷I50风扇  USB一分二：USB2.0/双口  USB扩展挡板：USB2.0/双口  主机箱：方形电脑机箱</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2</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显示器</w:t>
            </w:r>
          </w:p>
        </w:tc>
        <w:tc>
          <w:tcPr>
            <w:tcW w:w="4677" w:type="dxa"/>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55寸显示屏</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3</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VR头盔</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头显套装+ HTC99HARL028-00，头显*1；手柄*2</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4</w:t>
            </w:r>
          </w:p>
        </w:tc>
        <w:tc>
          <w:tcPr>
            <w:tcW w:w="1620" w:type="dxa"/>
            <w:vAlign w:val="center"/>
          </w:tcPr>
          <w:p>
            <w:pPr>
              <w:numPr>
                <w:ilvl w:val="0"/>
                <w:numId w:val="0"/>
              </w:numPr>
              <w:spacing w:line="360" w:lineRule="auto"/>
              <w:ind w:firstLine="507"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音箱</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定制六寸喇叭</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5</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鼠标+键盘</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有线套装</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6</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无线路由器</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双千兆路由器：传输频段：2.4GHz频段；5GHz频段；尺寸（mm）30mm*144mm*37mm；工作温度：0℃ 到 40℃</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7</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网线</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2米定制超五类网线</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8</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显示器高清线</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HDMI连接线15米 优越者 15米</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9</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行走平台HTC</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钣金行走平台尺寸约3m*3m*2.57m，内置氛围灯带。</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10</w:t>
            </w:r>
          </w:p>
        </w:tc>
        <w:tc>
          <w:tcPr>
            <w:tcW w:w="1620"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高空坠落（培训软件）</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高处作业是建筑施工中出现频率最高的危险性作业，事故率也最高，无论是临边、屋面、外架、攀登等都会遇到。此次事故就是由于在进行攀登作业时，没有严格按照要求进行，导致在攀爬时不慎坠落。此场景能够提高体验者施工安全意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11</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VR消防（培训软件）</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在工厂内办公作业，电脑长时间未关闭，电器温度过高，导致线路发生短路从而引发火灾，本款软件可以让体验者学习面对此类火灾逃跑的技巧，提升逃生技能。</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12</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VR消防（考核软件）</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系统随机从10个火场中抽取4个场景进行考核，每个场景设置的初始分为100分，实行扣分制，最终得分为4个场景的平均分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bl>
    <w:p>
      <w:pPr>
        <w:pStyle w:val="2"/>
        <w:rPr>
          <w:rFonts w:hint="eastAsia"/>
          <w:color w:val="auto"/>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计划工期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交货期  □服务期为</w:t>
      </w:r>
      <w:r>
        <w:rPr>
          <w:rFonts w:hint="eastAsia" w:ascii="仿宋_GB2312" w:eastAsia="仿宋_GB2312"/>
          <w:color w:val="auto"/>
          <w:sz w:val="28"/>
          <w:szCs w:val="28"/>
          <w:highlight w:val="none"/>
          <w:u w:val="single"/>
          <w:lang w:val="en-US" w:eastAsia="zh-CN"/>
        </w:rPr>
        <w:t>30个日历日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建设地点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广州市净水有限公司西朗二期分公司                                 </w:t>
      </w:r>
      <w:r>
        <w:rPr>
          <w:rFonts w:hint="eastAsia" w:ascii="仿宋_GB2312" w:eastAsia="仿宋_GB2312"/>
          <w:color w:val="auto"/>
          <w:sz w:val="28"/>
          <w:szCs w:val="28"/>
          <w:highlight w:val="none"/>
          <w:u w:val="single"/>
        </w:rPr>
        <w:t xml:space="preserve">        </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jc w:val="both"/>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施工质量要求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详见第五章采购需求</w:t>
      </w:r>
    </w:p>
    <w:p>
      <w:pPr>
        <w:adjustRightInd w:val="0"/>
        <w:snapToGrid w:val="0"/>
        <w:spacing w:line="600" w:lineRule="exact"/>
        <w:ind w:left="0" w:right="-369" w:rightChars="-176" w:firstLine="0" w:firstLineChars="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u w:val="none"/>
          <w:lang w:val="en-US" w:eastAsia="zh-CN"/>
        </w:rPr>
        <w:t>应当具备</w:t>
      </w:r>
      <w:r>
        <w:rPr>
          <w:rFonts w:hint="eastAsia" w:ascii="仿宋_GB2312" w:eastAsia="仿宋_GB2312"/>
          <w:color w:val="auto"/>
          <w:sz w:val="28"/>
          <w:szCs w:val="28"/>
          <w:highlight w:val="none"/>
          <w:u w:val="single"/>
          <w:lang w:val="en-US" w:eastAsia="zh-CN"/>
        </w:rPr>
        <w:t xml:space="preserve">        \        资质</w:t>
      </w:r>
      <w:r>
        <w:rPr>
          <w:rFonts w:hint="eastAsia" w:ascii="仿宋_GB2312" w:hAnsi="仿宋" w:eastAsia="仿宋_GB2312" w:cs="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 w:hAnsi="仿宋" w:eastAsia="仿宋" w:cs="仿宋"/>
          <w:color w:val="auto"/>
          <w:kern w:val="0"/>
          <w:sz w:val="28"/>
          <w:szCs w:val="28"/>
          <w:highlight w:val="none"/>
          <w:u w:val="none"/>
        </w:rPr>
        <w:t>201</w:t>
      </w:r>
      <w:r>
        <w:rPr>
          <w:rFonts w:hint="eastAsia" w:ascii="仿宋" w:hAnsi="仿宋" w:eastAsia="仿宋" w:cs="仿宋"/>
          <w:color w:val="auto"/>
          <w:kern w:val="0"/>
          <w:sz w:val="28"/>
          <w:szCs w:val="28"/>
          <w:highlight w:val="none"/>
          <w:u w:val="none"/>
          <w:lang w:val="en-US" w:eastAsia="zh-CN"/>
        </w:rPr>
        <w:t>9</w:t>
      </w:r>
      <w:r>
        <w:rPr>
          <w:rFonts w:hint="eastAsia" w:ascii="仿宋" w:hAnsi="仿宋" w:eastAsia="仿宋" w:cs="仿宋"/>
          <w:color w:val="auto"/>
          <w:kern w:val="0"/>
          <w:sz w:val="28"/>
          <w:szCs w:val="28"/>
          <w:highlight w:val="none"/>
          <w:u w:val="none"/>
        </w:rPr>
        <w:t>年1月1日至今</w:t>
      </w:r>
      <w:r>
        <w:rPr>
          <w:rFonts w:hint="eastAsia" w:ascii="仿宋" w:hAnsi="仿宋" w:eastAsia="仿宋" w:cs="仿宋"/>
          <w:color w:val="auto"/>
          <w:kern w:val="0"/>
          <w:sz w:val="28"/>
          <w:szCs w:val="28"/>
          <w:highlight w:val="none"/>
          <w:u w:val="none"/>
          <w:lang w:eastAsia="zh-CN"/>
        </w:rPr>
        <w:t>，</w:t>
      </w:r>
      <w:r>
        <w:rPr>
          <w:rFonts w:hint="eastAsia" w:ascii="仿宋" w:hAnsi="仿宋" w:eastAsia="仿宋" w:cs="仿宋"/>
          <w:color w:val="auto"/>
          <w:kern w:val="0"/>
          <w:sz w:val="28"/>
          <w:szCs w:val="28"/>
          <w:highlight w:val="none"/>
          <w:u w:val="none"/>
          <w:lang w:val="en-US" w:eastAsia="zh-CN"/>
        </w:rPr>
        <w:t>最少</w:t>
      </w:r>
      <w:r>
        <w:rPr>
          <w:rFonts w:hint="eastAsia" w:ascii="仿宋" w:hAnsi="仿宋" w:eastAsia="仿宋" w:cs="仿宋"/>
          <w:color w:val="auto"/>
          <w:kern w:val="0"/>
          <w:sz w:val="28"/>
          <w:szCs w:val="28"/>
          <w:highlight w:val="none"/>
          <w:u w:val="none"/>
        </w:rPr>
        <w:t>具有</w:t>
      </w:r>
      <w:r>
        <w:rPr>
          <w:rFonts w:hint="eastAsia" w:ascii="仿宋" w:hAnsi="仿宋" w:eastAsia="仿宋" w:cs="仿宋"/>
          <w:color w:val="auto"/>
          <w:kern w:val="0"/>
          <w:sz w:val="28"/>
          <w:szCs w:val="28"/>
          <w:highlight w:val="none"/>
          <w:u w:val="none"/>
          <w:lang w:val="en-US" w:eastAsia="zh-CN"/>
        </w:rPr>
        <w:t>一项类似VR</w:t>
      </w:r>
      <w:r>
        <w:rPr>
          <w:rFonts w:hint="eastAsia" w:ascii="仿宋" w:hAnsi="仿宋" w:eastAsia="仿宋" w:cs="仿宋"/>
          <w:color w:val="auto"/>
          <w:kern w:val="0"/>
          <w:sz w:val="28"/>
          <w:szCs w:val="28"/>
          <w:highlight w:val="none"/>
          <w:u w:val="none"/>
        </w:rPr>
        <w:t>系统</w:t>
      </w:r>
      <w:r>
        <w:rPr>
          <w:rFonts w:hint="eastAsia" w:ascii="仿宋" w:hAnsi="仿宋" w:eastAsia="仿宋" w:cs="仿宋"/>
          <w:color w:val="auto"/>
          <w:kern w:val="0"/>
          <w:sz w:val="28"/>
          <w:szCs w:val="28"/>
          <w:highlight w:val="none"/>
          <w:u w:val="none"/>
          <w:lang w:val="en-US" w:eastAsia="zh-CN"/>
        </w:rPr>
        <w:t>销售或</w:t>
      </w:r>
      <w:r>
        <w:rPr>
          <w:rFonts w:hint="eastAsia" w:ascii="仿宋" w:hAnsi="仿宋" w:eastAsia="仿宋" w:cs="仿宋"/>
          <w:color w:val="auto"/>
          <w:kern w:val="0"/>
          <w:sz w:val="28"/>
          <w:szCs w:val="28"/>
          <w:highlight w:val="none"/>
          <w:u w:val="none"/>
        </w:rPr>
        <w:t>安装业绩</w:t>
      </w:r>
      <w:r>
        <w:rPr>
          <w:rFonts w:hint="eastAsia" w:ascii="仿宋_GB2312" w:eastAsia="仿宋_GB2312"/>
          <w:color w:val="auto"/>
          <w:sz w:val="28"/>
          <w:szCs w:val="28"/>
          <w:highlight w:val="none"/>
        </w:rPr>
        <w:t>。（提供合同复印件证明，包括但不限于项目名称、金额及实施内容、合同盖章、签订日期，加盖单位公章）</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需出具承诺函，承诺所供应软件是正版软件；或提供正版软件的授权函\书</w:t>
      </w:r>
      <w:r>
        <w:rPr>
          <w:rFonts w:hint="eastAsia" w:ascii="仿宋_GB2312" w:hAnsi="仿宋" w:eastAsia="仿宋_GB2312" w:cs="仿宋_GB2312"/>
          <w:color w:val="auto"/>
          <w:sz w:val="28"/>
          <w:szCs w:val="28"/>
          <w:highlight w:val="none"/>
          <w:u w:val="none"/>
          <w:lang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20</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24</w:t>
      </w:r>
      <w:r>
        <w:rPr>
          <w:rFonts w:hint="eastAsia" w:ascii="仿宋" w:hAnsi="仿宋" w:eastAsia="仿宋" w:cs="仿宋"/>
          <w:color w:val="auto"/>
          <w:sz w:val="28"/>
          <w:szCs w:val="28"/>
          <w:highlight w:val="none"/>
        </w:rPr>
        <w:t>日</w:t>
      </w:r>
      <w:r>
        <w:rPr>
          <w:rFonts w:hint="eastAsia" w:ascii="仿宋_GB2312" w:eastAsia="仿宋_GB2312"/>
          <w:color w:val="auto"/>
          <w:sz w:val="28"/>
          <w:szCs w:val="28"/>
          <w:highlight w:val="none"/>
        </w:rPr>
        <w:t>（北京时间）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color w:val="auto"/>
          <w:sz w:val="28"/>
          <w:szCs w:val="28"/>
          <w:highlight w:val="none"/>
          <w:lang w:val="zh-CN"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供应商可</w:t>
      </w:r>
      <w:r>
        <w:rPr>
          <w:rFonts w:hint="eastAsia" w:ascii="仿宋_GB2312" w:eastAsia="仿宋_GB2312"/>
          <w:color w:val="auto"/>
          <w:sz w:val="28"/>
          <w:szCs w:val="28"/>
          <w:highlight w:val="none"/>
          <w:lang w:val="zh-CN" w:eastAsia="zh-CN"/>
        </w:rPr>
        <w:t>自行</w:t>
      </w:r>
      <w:r>
        <w:rPr>
          <w:rFonts w:hint="eastAsia" w:ascii="仿宋_GB2312" w:eastAsia="仿宋_GB2312"/>
          <w:color w:val="auto"/>
          <w:sz w:val="28"/>
          <w:szCs w:val="28"/>
          <w:highlight w:val="none"/>
          <w:lang w:val="en-US" w:eastAsia="zh-CN"/>
        </w:rPr>
        <w:t>选择是否前往现场踏勘</w:t>
      </w:r>
      <w:r>
        <w:rPr>
          <w:rFonts w:hint="eastAsia" w:ascii="仿宋_GB2312" w:eastAsia="仿宋_GB2312"/>
          <w:color w:val="auto"/>
          <w:sz w:val="28"/>
          <w:szCs w:val="28"/>
          <w:highlight w:val="none"/>
          <w:lang w:val="zh-CN" w:eastAsia="zh-CN"/>
        </w:rPr>
        <w:t>，</w:t>
      </w:r>
      <w:r>
        <w:rPr>
          <w:rFonts w:hint="eastAsia" w:ascii="仿宋_GB2312" w:eastAsia="仿宋_GB2312"/>
          <w:color w:val="auto"/>
          <w:sz w:val="28"/>
          <w:szCs w:val="28"/>
          <w:highlight w:val="none"/>
          <w:lang w:val="en-US" w:eastAsia="zh-CN"/>
        </w:rPr>
        <w:t>若前往现场踏勘须在规定时间内到达集中地点，逾期不再接待</w:t>
      </w:r>
      <w:r>
        <w:rPr>
          <w:rFonts w:hint="eastAsia" w:ascii="仿宋_GB2312" w:eastAsia="仿宋_GB2312"/>
          <w:color w:val="auto"/>
          <w:sz w:val="28"/>
          <w:szCs w:val="28"/>
          <w:highlight w:val="none"/>
          <w:lang w:val="zh-CN" w:eastAsia="zh-CN"/>
        </w:rPr>
        <w:t>。</w:t>
      </w:r>
    </w:p>
    <w:p>
      <w:pPr>
        <w:numPr>
          <w:ilvl w:val="-1"/>
          <w:numId w:val="0"/>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eastAsiaTheme="minorEastAsia"/>
          <w:b/>
          <w:color w:val="auto"/>
          <w:sz w:val="32"/>
          <w:szCs w:val="32"/>
          <w:highlight w:val="none"/>
          <w:lang w:val="en-US" w:eastAsia="zh-CN"/>
        </w:rPr>
        <w:t>6.</w:t>
      </w:r>
      <w:r>
        <w:rPr>
          <w:rFonts w:hint="eastAsia" w:asciiTheme="minorEastAsia" w:hAnsiTheme="minorEastAsia"/>
          <w:b/>
          <w:color w:val="auto"/>
          <w:sz w:val="32"/>
          <w:szCs w:val="32"/>
          <w:highlight w:val="none"/>
        </w:rPr>
        <w:t>响</w:t>
      </w:r>
      <w:r>
        <w:rPr>
          <w:rFonts w:hint="eastAsia" w:asciiTheme="minorEastAsia" w:hAnsiTheme="minorEastAsia"/>
          <w:b/>
          <w:color w:val="auto"/>
          <w:sz w:val="32"/>
          <w:szCs w:val="32"/>
          <w:highlight w:val="none"/>
        </w:rPr>
        <w:t>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 w:hAnsi="仿宋" w:eastAsia="仿宋" w:cs="仿宋"/>
          <w:color w:val="auto"/>
          <w:sz w:val="28"/>
          <w:szCs w:val="28"/>
          <w:highlight w:val="none"/>
          <w:u w:val="single"/>
        </w:rPr>
        <w:t>2022</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u w:val="single"/>
        </w:rPr>
        <w:t>10</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u w:val="single"/>
        </w:rPr>
        <w:t>00</w:t>
      </w:r>
      <w:r>
        <w:rPr>
          <w:rFonts w:hint="eastAsia" w:ascii="仿宋" w:hAnsi="仿宋" w:eastAsia="仿宋" w:cs="仿宋"/>
          <w:color w:val="auto"/>
          <w:sz w:val="28"/>
          <w:szCs w:val="28"/>
          <w:highlight w:val="none"/>
        </w:rPr>
        <w:t>分前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1"/>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张工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10</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19</w:t>
            </w:r>
            <w:r>
              <w:rPr>
                <w:rFonts w:hint="eastAsia" w:ascii="仿宋_GB2312" w:eastAsia="仿宋_GB2312"/>
                <w:color w:val="auto"/>
                <w:sz w:val="28"/>
                <w:szCs w:val="28"/>
                <w:highlight w:val="none"/>
              </w:rPr>
              <w:t>日</w:t>
            </w:r>
          </w:p>
        </w:tc>
      </w:tr>
    </w:tbl>
    <w:p>
      <w:pPr>
        <w:pStyle w:val="2"/>
        <w:ind w:left="0" w:leftChars="0" w:firstLine="0" w:firstLineChars="0"/>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2"/>
        <w:ind w:left="0" w:leftChars="0" w:firstLine="0" w:firstLineChars="0"/>
        <w:rPr>
          <w:rFonts w:hint="eastAsia"/>
          <w:color w:val="auto"/>
          <w:highlight w:val="none"/>
        </w:rPr>
      </w:pPr>
      <w:bookmarkStart w:id="13" w:name="_Toc16557"/>
      <w:bookmarkStart w:id="14" w:name="_Toc32588"/>
      <w:bookmarkStart w:id="15" w:name="_Toc9448"/>
      <w:bookmarkStart w:id="16" w:name="_Toc10891"/>
      <w:bookmarkStart w:id="17" w:name="_Toc7340"/>
      <w:bookmarkStart w:id="18" w:name="_Toc23749"/>
      <w:bookmarkStart w:id="19" w:name="_Toc19295"/>
      <w:bookmarkStart w:id="20" w:name="_Toc16705"/>
      <w:bookmarkStart w:id="21" w:name="_Toc25603"/>
      <w:bookmarkStart w:id="22" w:name="_Toc2324"/>
      <w:bookmarkStart w:id="23" w:name="_Toc2331"/>
    </w:p>
    <w:p>
      <w:pPr>
        <w:pStyle w:val="2"/>
        <w:ind w:left="0" w:leftChars="0" w:firstLine="0" w:firstLineChars="0"/>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2377440</wp:posOffset>
                </wp:positionH>
                <wp:positionV relativeFrom="paragraph">
                  <wp:posOffset>562610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7.2pt;margin-top:44.3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rFonts w:hint="eastAsia"/>
          <w:color w:val="auto"/>
          <w:highlight w:val="none"/>
        </w:rPr>
      </w:pPr>
      <w:bookmarkStart w:id="24" w:name="_Toc3416"/>
      <w:bookmarkStart w:id="25" w:name="_Toc2339"/>
      <w:r>
        <w:rPr>
          <w:rFonts w:hint="eastAsia"/>
          <w:color w:val="auto"/>
          <w:highlight w:val="none"/>
          <w:lang w:val="en-US" w:eastAsia="zh-CN"/>
        </w:rPr>
        <w:t xml:space="preserve">  </w:t>
      </w:r>
      <w:r>
        <w:rPr>
          <w:rFonts w:hint="eastAsia"/>
          <w:color w:val="auto"/>
          <w:highlight w:val="none"/>
        </w:rPr>
        <w:t>供应商须知</w:t>
      </w:r>
      <w:bookmarkEnd w:id="24"/>
      <w:bookmarkEnd w:id="25"/>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pStyle w:val="21"/>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8"/>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8"/>
        <w:rPr>
          <w:color w:val="auto"/>
          <w:highlight w:val="none"/>
        </w:rPr>
      </w:pPr>
    </w:p>
    <w:p>
      <w:pPr>
        <w:pStyle w:val="4"/>
        <w:rPr>
          <w:color w:val="auto"/>
          <w:highlight w:val="none"/>
        </w:rPr>
      </w:pPr>
      <w:bookmarkStart w:id="28" w:name="_Toc87616371"/>
      <w:bookmarkStart w:id="29" w:name="_Toc7040"/>
      <w:bookmarkStart w:id="30" w:name="_Toc88209934"/>
      <w:bookmarkStart w:id="31" w:name="_Toc7303"/>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jc w:val="both"/>
        <w:rPr>
          <w:rFonts w:hint="eastAsia"/>
          <w:color w:val="auto"/>
          <w:highlight w:val="none"/>
        </w:rPr>
      </w:pPr>
      <w:bookmarkStart w:id="32" w:name="_Toc24895"/>
      <w:bookmarkStart w:id="33" w:name="_Toc3789"/>
    </w:p>
    <w:p>
      <w:pPr>
        <w:pStyle w:val="2"/>
        <w:ind w:left="0" w:leftChars="0" w:firstLine="0" w:firstLineChars="0"/>
        <w:rPr>
          <w:rFonts w:hint="eastAsia"/>
          <w:color w:val="auto"/>
          <w:highlight w:val="none"/>
        </w:rPr>
      </w:pPr>
    </w:p>
    <w:p>
      <w:pPr>
        <w:pStyle w:val="4"/>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7437"/>
      <w:bookmarkStart w:id="35" w:name="_Toc19050"/>
      <w:bookmarkStart w:id="36" w:name="_Toc23581"/>
      <w:bookmarkStart w:id="37" w:name="_Toc7118"/>
      <w:bookmarkStart w:id="38" w:name="_Toc4952"/>
      <w:bookmarkStart w:id="39" w:name="_Toc20594"/>
      <w:bookmarkStart w:id="40" w:name="_Toc19759"/>
      <w:bookmarkStart w:id="41" w:name="_Toc14552"/>
      <w:bookmarkStart w:id="42" w:name="_Toc14870"/>
      <w:bookmarkStart w:id="43" w:name="_Toc10930"/>
      <w:bookmarkStart w:id="44" w:name="_Toc315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8"/>
        <w:rPr>
          <w:color w:val="auto"/>
          <w:highlight w:val="none"/>
        </w:rPr>
      </w:pPr>
    </w:p>
    <w:p>
      <w:pPr>
        <w:pStyle w:val="3"/>
        <w:rPr>
          <w:color w:val="auto"/>
          <w:highlight w:val="none"/>
        </w:rPr>
      </w:pPr>
      <w:bookmarkStart w:id="45" w:name="_Toc88209941"/>
      <w:bookmarkStart w:id="46" w:name="_Toc12177"/>
      <w:bookmarkStart w:id="47" w:name="_Toc87616378"/>
      <w:bookmarkStart w:id="48" w:name="_Toc29345"/>
      <w:bookmarkStart w:id="49" w:name="_Toc29484"/>
      <w:bookmarkStart w:id="50" w:name="_Toc32607"/>
      <w:bookmarkStart w:id="51" w:name="_Toc7831"/>
      <w:bookmarkStart w:id="52" w:name="_Toc22212"/>
      <w:bookmarkStart w:id="53" w:name="_Toc6308"/>
      <w:bookmarkStart w:id="54" w:name="_Toc21079"/>
      <w:bookmarkStart w:id="55" w:name="_Toc21840"/>
      <w:bookmarkStart w:id="56" w:name="_Toc30530"/>
      <w:bookmarkStart w:id="57" w:name="_Toc13898"/>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2399665</wp:posOffset>
                </wp:positionH>
                <wp:positionV relativeFrom="paragraph">
                  <wp:posOffset>262255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8.95pt;margin-top:20.6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2384425</wp:posOffset>
                </wp:positionH>
                <wp:positionV relativeFrom="paragraph">
                  <wp:posOffset>716280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7.75pt;margin-top:56.4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lang w:val="en-US" w:eastAsia="zh-CN"/>
        </w:rPr>
        <w:t xml:space="preserve">   </w:t>
      </w: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pStyle w:val="29"/>
        <w:rPr>
          <w:rFonts w:ascii="仿宋_GB2312" w:eastAsia="仿宋_GB2312"/>
          <w:color w:val="auto"/>
          <w:sz w:val="28"/>
          <w:szCs w:val="28"/>
          <w:highlight w:val="none"/>
        </w:rPr>
      </w:pP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实施方案</w:t>
      </w:r>
    </w:p>
    <w:p>
      <w:pPr>
        <w:numPr>
          <w:ilvl w:val="0"/>
          <w:numId w:val="0"/>
        </w:numPr>
        <w:spacing w:line="360" w:lineRule="auto"/>
        <w:ind w:leftChars="0" w:firstLine="6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VR体验系统是一个 C/ S 架构的体验平台， 支持 HTC VIVE 、大屏显示器等多种VR智能设备、传感设备。采用3Dmax、Maya建模，以UE4引擎实现全交互式三维实训仿真场景；结合配套VR设备，打造一个虚拟的作业环境，解决传统实训过程中，实训难、危险性高、材料消耗大、时间周期长等一系列难点。</w:t>
      </w:r>
    </w:p>
    <w:p>
      <w:pPr>
        <w:numPr>
          <w:ilvl w:val="0"/>
          <w:numId w:val="0"/>
        </w:numPr>
        <w:spacing w:line="360" w:lineRule="auto"/>
        <w:ind w:leftChars="0" w:firstLine="6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设备通过采购后由供货单位进行调试，完成调试后安全教育VR体验室建立完成，员工进入实验室进行虚拟现场环境的学习。在虚拟场景学习中系统对作业步骤进行提示及讲解，在虚拟环境中慢慢熟悉作业流程。</w:t>
      </w:r>
    </w:p>
    <w:p>
      <w:pPr>
        <w:numPr>
          <w:ilvl w:val="0"/>
          <w:numId w:val="4"/>
        </w:numPr>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设备规格参数需求</w:t>
      </w:r>
    </w:p>
    <w:p>
      <w:pPr>
        <w:spacing w:line="360" w:lineRule="auto"/>
        <w:ind w:firstLine="645"/>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项目采用的硬件必须符合或由于以下参数，软件需提供正版证明或正版授权，设备清单及参数如下：</w:t>
      </w:r>
    </w:p>
    <w:tbl>
      <w:tblPr>
        <w:tblStyle w:val="23"/>
        <w:tblW w:w="8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620"/>
        <w:gridCol w:w="4677"/>
        <w:gridCol w:w="678"/>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序号</w:t>
            </w:r>
          </w:p>
        </w:tc>
        <w:tc>
          <w:tcPr>
            <w:tcW w:w="1620" w:type="dxa"/>
            <w:vAlign w:val="center"/>
          </w:tcPr>
          <w:p>
            <w:pPr>
              <w:numPr>
                <w:ilvl w:val="0"/>
                <w:numId w:val="0"/>
              </w:numPr>
              <w:spacing w:line="360" w:lineRule="auto"/>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项目</w:t>
            </w:r>
          </w:p>
        </w:tc>
        <w:tc>
          <w:tcPr>
            <w:tcW w:w="4677" w:type="dxa"/>
            <w:vAlign w:val="center"/>
          </w:tcPr>
          <w:p>
            <w:pPr>
              <w:numPr>
                <w:ilvl w:val="0"/>
                <w:numId w:val="0"/>
              </w:numPr>
              <w:spacing w:line="360" w:lineRule="auto"/>
              <w:jc w:val="center"/>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参数</w:t>
            </w:r>
          </w:p>
        </w:tc>
        <w:tc>
          <w:tcPr>
            <w:tcW w:w="678" w:type="dxa"/>
          </w:tcPr>
          <w:p>
            <w:pPr>
              <w:numPr>
                <w:ilvl w:val="0"/>
                <w:numId w:val="0"/>
              </w:numPr>
              <w:spacing w:line="360" w:lineRule="auto"/>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单位</w:t>
            </w:r>
          </w:p>
        </w:tc>
        <w:tc>
          <w:tcPr>
            <w:tcW w:w="627" w:type="dxa"/>
          </w:tcPr>
          <w:p>
            <w:pPr>
              <w:numPr>
                <w:ilvl w:val="0"/>
                <w:numId w:val="0"/>
              </w:numPr>
              <w:spacing w:line="360" w:lineRule="auto"/>
              <w:rPr>
                <w:rFonts w:hint="default" w:ascii="仿宋_GB2312" w:hAnsi="仿宋_GB2312" w:eastAsia="仿宋_GB2312" w:cs="仿宋_GB2312"/>
                <w:color w:val="auto"/>
                <w:kern w:val="0"/>
                <w:sz w:val="28"/>
                <w:szCs w:val="28"/>
                <w:highlight w:val="none"/>
                <w:vertAlign w:val="baseline"/>
                <w:lang w:val="en-US" w:eastAsia="zh-CN" w:bidi="ar-SA"/>
              </w:rPr>
            </w:pPr>
            <w:r>
              <w:rPr>
                <w:rFonts w:hint="eastAsia" w:ascii="仿宋_GB2312" w:hAnsi="仿宋_GB2312" w:eastAsia="仿宋_GB2312" w:cs="仿宋_GB2312"/>
                <w:color w:val="auto"/>
                <w:kern w:val="0"/>
                <w:sz w:val="28"/>
                <w:szCs w:val="28"/>
                <w:highlight w:val="none"/>
                <w:vertAlign w:val="baseline"/>
                <w:lang w:val="en-US" w:eastAsia="zh-CN" w:bidi="ar-S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VR主机</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 xml:space="preserve"> CPU INTEL：i5-6500- Intel USA   主板：B250M-GIGABYTE   显卡：1660 – GALAX   内存：8GB DDR4  硬盘：SSD 240G -GALAX   电源：航嘉电源Jumper500  CPU风扇：酷冷I50风扇   CPU风扇：酷冷I50风扇  USB一分二：USB2.0/双口  USB扩展挡板：USB2.0/双口  主机箱：方形电脑机箱</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2</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显示器</w:t>
            </w:r>
          </w:p>
        </w:tc>
        <w:tc>
          <w:tcPr>
            <w:tcW w:w="4677" w:type="dxa"/>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55寸显示屏</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3</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VR头盔</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头显套装+ HTC99HARL028-00，头显*1；手柄*2</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4</w:t>
            </w:r>
          </w:p>
        </w:tc>
        <w:tc>
          <w:tcPr>
            <w:tcW w:w="1620" w:type="dxa"/>
            <w:vAlign w:val="center"/>
          </w:tcPr>
          <w:p>
            <w:pPr>
              <w:numPr>
                <w:ilvl w:val="0"/>
                <w:numId w:val="0"/>
              </w:numPr>
              <w:spacing w:line="360" w:lineRule="auto"/>
              <w:ind w:firstLine="507"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音箱</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定制六寸喇叭</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5</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鼠标+键盘</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有线套装</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6</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无线路由器</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双千兆路由器：传输频段：2.4GHz频段；5GHz频段；尺寸（mm）30mm*144mm*37mm；工作温度：0℃ 到 40℃</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7</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网线</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2米定制超五类网线</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8</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显示器高清线</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HDMI连接线15米 优越者 15米</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9</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行走平台HTC</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钣金行走平台尺寸约3m*3m*2.57m，内置氛围灯带。</w:t>
            </w:r>
          </w:p>
        </w:tc>
        <w:tc>
          <w:tcPr>
            <w:tcW w:w="678"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10</w:t>
            </w:r>
          </w:p>
        </w:tc>
        <w:tc>
          <w:tcPr>
            <w:tcW w:w="1620"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高空坠落（培训软件）</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高处作业是建筑施工中出现频率最高的危险性作业，事故率也最高，无论是临边、屋面、外架、攀登等都会遇到。此次事故就是由于在进行攀登作业时，没有严格按照要求进行，导致在攀爬时不慎坠落。此场景能够提高体验者施工安全意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11</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VR消防（培训软件）</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在工厂内办公作业，电脑长时间未关闭，电器温度过高，导致线路发生短路从而引发火灾，本款软件可以让体验者学习面对此类火灾逃跑的技巧，提升逃生技能。</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5" w:type="dxa"/>
            <w:vAlign w:val="center"/>
          </w:tcPr>
          <w:p>
            <w:pPr>
              <w:numPr>
                <w:ilvl w:val="0"/>
                <w:numId w:val="0"/>
              </w:numPr>
              <w:spacing w:line="360" w:lineRule="auto"/>
              <w:jc w:val="center"/>
              <w:rPr>
                <w:rFonts w:hint="default"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12</w:t>
            </w:r>
          </w:p>
        </w:tc>
        <w:tc>
          <w:tcPr>
            <w:tcW w:w="1620" w:type="dxa"/>
            <w:vAlign w:val="center"/>
          </w:tcPr>
          <w:p>
            <w:pPr>
              <w:numPr>
                <w:ilvl w:val="0"/>
                <w:numId w:val="0"/>
              </w:numPr>
              <w:spacing w:line="360" w:lineRule="auto"/>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VR消防（考核软件）</w:t>
            </w:r>
          </w:p>
        </w:tc>
        <w:tc>
          <w:tcPr>
            <w:tcW w:w="4677" w:type="dxa"/>
          </w:tcPr>
          <w:p>
            <w:pPr>
              <w:numPr>
                <w:ilvl w:val="0"/>
                <w:numId w:val="0"/>
              </w:numPr>
              <w:spacing w:line="360" w:lineRule="auto"/>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系统随机从10个火场中抽取4个场景进行考核，每个场景设置的初始分为100分，实行扣分制，最终得分为4个场景的平均分</w:t>
            </w:r>
          </w:p>
        </w:tc>
        <w:tc>
          <w:tcPr>
            <w:tcW w:w="678"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1"/>
                <w:szCs w:val="21"/>
                <w:highlight w:val="none"/>
                <w:vertAlign w:val="baseline"/>
                <w:lang w:val="en-US" w:eastAsia="zh-CN" w:bidi="ar-SA"/>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27" w:type="dxa"/>
            <w:vAlign w:val="center"/>
          </w:tcPr>
          <w:p>
            <w:pPr>
              <w:numPr>
                <w:ilvl w:val="0"/>
                <w:numId w:val="0"/>
              </w:numPr>
              <w:spacing w:line="360" w:lineRule="auto"/>
              <w:ind w:left="0" w:leftChars="0" w:firstLine="0" w:firstLineChars="0"/>
              <w:jc w:val="center"/>
              <w:rPr>
                <w:rFonts w:hint="eastAsia"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1</w:t>
            </w:r>
          </w:p>
        </w:tc>
      </w:tr>
    </w:tbl>
    <w:p>
      <w:pPr>
        <w:pStyle w:val="2"/>
        <w:rPr>
          <w:rFonts w:hint="default"/>
          <w:color w:val="auto"/>
          <w:highlight w:val="none"/>
          <w:lang w:val="en-US" w:eastAsia="zh-CN"/>
        </w:rPr>
      </w:pPr>
    </w:p>
    <w:p>
      <w:pPr>
        <w:pStyle w:val="11"/>
        <w:adjustRightInd w:val="0"/>
        <w:snapToGrid w:val="0"/>
        <w:spacing w:line="300" w:lineRule="auto"/>
        <w:rPr>
          <w:rFonts w:hint="eastAsia" w:ascii="仿宋" w:hAnsi="仿宋" w:eastAsia="仿宋" w:cs="仿宋"/>
          <w:b/>
          <w:color w:val="auto"/>
          <w:sz w:val="28"/>
          <w:szCs w:val="28"/>
          <w:highlight w:val="none"/>
          <w:lang w:val="zh-CN"/>
        </w:rPr>
      </w:pPr>
      <w:r>
        <w:rPr>
          <w:rFonts w:hint="eastAsia" w:ascii="仿宋" w:hAnsi="仿宋" w:eastAsia="仿宋" w:cs="仿宋"/>
          <w:b/>
          <w:color w:val="auto"/>
          <w:sz w:val="28"/>
          <w:szCs w:val="28"/>
          <w:highlight w:val="none"/>
          <w:lang w:val="en-US" w:eastAsia="zh-CN"/>
        </w:rPr>
        <w:t>三、</w:t>
      </w:r>
      <w:r>
        <w:rPr>
          <w:rFonts w:hint="eastAsia" w:ascii="仿宋" w:hAnsi="仿宋" w:eastAsia="仿宋" w:cs="仿宋"/>
          <w:b/>
          <w:color w:val="auto"/>
          <w:sz w:val="28"/>
          <w:szCs w:val="28"/>
          <w:highlight w:val="none"/>
          <w:lang w:val="zh-CN"/>
        </w:rPr>
        <w:t>项目技术要求</w:t>
      </w:r>
    </w:p>
    <w:p>
      <w:pPr>
        <w:pStyle w:val="20"/>
        <w:widowControl/>
        <w:numPr>
          <w:ilvl w:val="0"/>
          <w:numId w:val="0"/>
        </w:numPr>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firstLine="560" w:firstLineChars="200"/>
        <w:jc w:val="both"/>
        <w:rPr>
          <w:rFonts w:hint="eastAsia" w:ascii="仿宋" w:hAnsi="仿宋" w:eastAsia="仿宋" w:cs="仿宋"/>
          <w:color w:val="auto"/>
          <w:kern w:val="2"/>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1、本项目所需材料必须符合国家、地方及行业有关规范及要求。</w:t>
      </w:r>
    </w:p>
    <w:p>
      <w:pPr>
        <w:pStyle w:val="2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leftChars="0" w:right="0" w:rightChars="0" w:firstLine="560"/>
        <w:jc w:val="both"/>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2、所有设备需提供产品质量证明文件、操作维修手册等（手册应包含设备情况、系统和主要部件常见故障、保养要求、紧急维修电话等内容）。</w:t>
      </w:r>
    </w:p>
    <w:p>
      <w:pPr>
        <w:numPr>
          <w:ilvl w:val="0"/>
          <w:numId w:val="0"/>
        </w:numPr>
        <w:autoSpaceDE w:val="0"/>
        <w:autoSpaceDN w:val="0"/>
        <w:ind w:firstLine="560" w:firstLineChars="200"/>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3、质保期内，需</w:t>
      </w:r>
      <w:r>
        <w:rPr>
          <w:rFonts w:hint="eastAsia" w:ascii="仿宋" w:hAnsi="仿宋" w:eastAsia="仿宋" w:cs="仿宋"/>
          <w:i w:val="0"/>
          <w:caps w:val="0"/>
          <w:color w:val="auto"/>
          <w:spacing w:val="0"/>
          <w:sz w:val="28"/>
          <w:szCs w:val="28"/>
          <w:highlight w:val="none"/>
          <w:shd w:val="clear" w:color="auto" w:fill="FFFFFF"/>
        </w:rPr>
        <w:t>提供24小时的系统维护服务，及时解决故障问题，</w:t>
      </w:r>
      <w:r>
        <w:rPr>
          <w:rFonts w:hint="eastAsia" w:ascii="仿宋" w:hAnsi="仿宋" w:eastAsia="仿宋" w:cs="仿宋"/>
          <w:i w:val="0"/>
          <w:caps w:val="0"/>
          <w:color w:val="auto"/>
          <w:spacing w:val="0"/>
          <w:sz w:val="28"/>
          <w:szCs w:val="28"/>
          <w:highlight w:val="none"/>
          <w:shd w:val="clear" w:color="auto" w:fill="FFFFFF"/>
          <w:lang w:val="en-US" w:eastAsia="zh-CN"/>
        </w:rPr>
        <w:t>质保期</w:t>
      </w:r>
      <w:r>
        <w:rPr>
          <w:rFonts w:hint="eastAsia" w:ascii="仿宋" w:hAnsi="仿宋" w:eastAsia="仿宋" w:cs="仿宋"/>
          <w:i w:val="0"/>
          <w:caps w:val="0"/>
          <w:color w:val="auto"/>
          <w:spacing w:val="0"/>
          <w:sz w:val="28"/>
          <w:szCs w:val="28"/>
          <w:highlight w:val="none"/>
          <w:shd w:val="clear" w:color="auto" w:fill="FFFFFF"/>
        </w:rPr>
        <w:t>为1年。</w:t>
      </w: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rPr>
      </w:pPr>
      <w:r>
        <w:rPr>
          <w:rFonts w:hint="eastAsia" w:ascii="仿宋" w:hAnsi="仿宋" w:eastAsia="仿宋" w:cs="仿宋"/>
          <w:i w:val="0"/>
          <w:caps w:val="0"/>
          <w:color w:val="auto"/>
          <w:spacing w:val="0"/>
          <w:sz w:val="28"/>
          <w:szCs w:val="28"/>
          <w:highlight w:val="none"/>
          <w:shd w:val="clear" w:color="auto" w:fill="FFFFFF"/>
          <w:lang w:val="en-US" w:eastAsia="zh-CN"/>
        </w:rPr>
        <w:t>4、</w:t>
      </w:r>
      <w:r>
        <w:rPr>
          <w:rFonts w:hint="eastAsia" w:ascii="仿宋" w:hAnsi="仿宋" w:eastAsia="仿宋" w:cs="仿宋"/>
          <w:i w:val="0"/>
          <w:caps w:val="0"/>
          <w:color w:val="auto"/>
          <w:spacing w:val="0"/>
          <w:sz w:val="28"/>
          <w:szCs w:val="28"/>
          <w:highlight w:val="none"/>
          <w:shd w:val="clear" w:color="auto" w:fill="FFFFFF"/>
        </w:rPr>
        <w:t>本项目开展期间，承包方必须整理好本项目的所有的技术资料，不限于项目</w:t>
      </w:r>
      <w:r>
        <w:rPr>
          <w:rFonts w:hint="eastAsia" w:ascii="仿宋" w:hAnsi="仿宋" w:eastAsia="仿宋" w:cs="仿宋"/>
          <w:i w:val="0"/>
          <w:caps w:val="0"/>
          <w:color w:val="auto"/>
          <w:spacing w:val="0"/>
          <w:sz w:val="28"/>
          <w:szCs w:val="28"/>
          <w:highlight w:val="none"/>
          <w:shd w:val="clear" w:color="auto" w:fill="FFFFFF"/>
          <w:lang w:val="en-US" w:eastAsia="zh-CN"/>
        </w:rPr>
        <w:t>安装图</w:t>
      </w:r>
      <w:r>
        <w:rPr>
          <w:rFonts w:hint="eastAsia" w:ascii="仿宋" w:hAnsi="仿宋" w:eastAsia="仿宋" w:cs="仿宋"/>
          <w:i w:val="0"/>
          <w:caps w:val="0"/>
          <w:color w:val="auto"/>
          <w:spacing w:val="0"/>
          <w:sz w:val="28"/>
          <w:szCs w:val="28"/>
          <w:highlight w:val="none"/>
          <w:shd w:val="clear" w:color="auto" w:fill="FFFFFF"/>
        </w:rPr>
        <w:t>、设备说明书</w:t>
      </w:r>
      <w:r>
        <w:rPr>
          <w:rFonts w:hint="eastAsia" w:ascii="仿宋" w:hAnsi="仿宋" w:eastAsia="仿宋" w:cs="仿宋"/>
          <w:i w:val="0"/>
          <w:caps w:val="0"/>
          <w:color w:val="auto"/>
          <w:spacing w:val="0"/>
          <w:sz w:val="28"/>
          <w:szCs w:val="28"/>
          <w:highlight w:val="none"/>
          <w:shd w:val="clear" w:color="auto" w:fill="FFFFFF"/>
          <w:lang w:eastAsia="zh-CN"/>
        </w:rPr>
        <w:t>、</w:t>
      </w:r>
      <w:r>
        <w:rPr>
          <w:rFonts w:hint="eastAsia" w:ascii="仿宋" w:hAnsi="仿宋" w:eastAsia="仿宋" w:cs="仿宋"/>
          <w:i w:val="0"/>
          <w:caps w:val="0"/>
          <w:color w:val="auto"/>
          <w:spacing w:val="0"/>
          <w:sz w:val="28"/>
          <w:szCs w:val="28"/>
          <w:highlight w:val="none"/>
          <w:shd w:val="clear" w:color="auto" w:fill="FFFFFF"/>
          <w:lang w:val="en-US" w:eastAsia="zh-CN"/>
        </w:rPr>
        <w:t>拓扑图、端口连接情况、交换机配置文件、软件安装包、软件授权、系统备份及相关用户密码</w:t>
      </w:r>
      <w:r>
        <w:rPr>
          <w:rFonts w:hint="eastAsia" w:ascii="仿宋" w:hAnsi="仿宋" w:eastAsia="仿宋" w:cs="仿宋"/>
          <w:i w:val="0"/>
          <w:caps w:val="0"/>
          <w:color w:val="auto"/>
          <w:spacing w:val="0"/>
          <w:sz w:val="28"/>
          <w:szCs w:val="28"/>
          <w:highlight w:val="none"/>
          <w:shd w:val="clear" w:color="auto" w:fill="FFFFFF"/>
        </w:rPr>
        <w:t>等。项目竣工后，承包方将所有关于本项目的技术资料整理好并交至项目承办单位。</w:t>
      </w: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r>
        <w:rPr>
          <w:rFonts w:hint="eastAsia" w:ascii="仿宋" w:hAnsi="仿宋" w:eastAsia="仿宋" w:cs="仿宋"/>
          <w:i w:val="0"/>
          <w:caps w:val="0"/>
          <w:color w:val="auto"/>
          <w:spacing w:val="0"/>
          <w:sz w:val="28"/>
          <w:szCs w:val="28"/>
          <w:highlight w:val="none"/>
          <w:shd w:val="clear" w:color="auto" w:fill="FFFFFF"/>
          <w:lang w:val="en-US" w:eastAsia="zh-CN"/>
        </w:rPr>
        <w:t>5、所有涉及的设备必须为全新，且出厂时间不得多于半年。</w:t>
      </w: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ind w:firstLine="560" w:firstLineChars="200"/>
        <w:rPr>
          <w:rFonts w:hint="eastAsia" w:ascii="仿宋" w:hAnsi="仿宋" w:eastAsia="仿宋" w:cs="仿宋"/>
          <w:i w:val="0"/>
          <w:caps w:val="0"/>
          <w:color w:val="auto"/>
          <w:spacing w:val="0"/>
          <w:sz w:val="28"/>
          <w:szCs w:val="28"/>
          <w:highlight w:val="none"/>
          <w:shd w:val="clear" w:color="auto" w:fill="FFFFFF"/>
          <w:lang w:val="en-US" w:eastAsia="zh-CN"/>
        </w:rPr>
      </w:pPr>
    </w:p>
    <w:p>
      <w:pPr>
        <w:pStyle w:val="29"/>
        <w:rPr>
          <w:rFonts w:hint="eastAsia" w:ascii="仿宋" w:hAnsi="仿宋" w:eastAsia="仿宋" w:cs="仿宋"/>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rPr>
          <w:rFonts w:hint="eastAsia"/>
          <w:color w:val="auto"/>
          <w:highlight w:val="none"/>
        </w:rPr>
      </w:pPr>
      <w:bookmarkStart w:id="61" w:name="_Toc1284"/>
      <w:bookmarkStart w:id="62" w:name="_Toc25925"/>
      <w:bookmarkStart w:id="63" w:name="_Toc537"/>
      <w:bookmarkStart w:id="64" w:name="_Toc1496"/>
      <w:bookmarkStart w:id="65" w:name="_Toc23353"/>
      <w:bookmarkStart w:id="66" w:name="_Toc12135"/>
      <w:bookmarkStart w:id="67" w:name="_Toc18538"/>
      <w:bookmarkStart w:id="68" w:name="_Toc4680"/>
      <w:bookmarkStart w:id="69" w:name="_Toc23330"/>
      <w:bookmarkStart w:id="70" w:name="_Toc15570"/>
      <w:bookmarkStart w:id="71" w:name="_Toc29835"/>
    </w:p>
    <w:p>
      <w:pPr>
        <w:pStyle w:val="3"/>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8"/>
        <w:rPr>
          <w:color w:val="auto"/>
          <w:highlight w:val="none"/>
        </w:rPr>
      </w:pPr>
    </w:p>
    <w:p>
      <w:pPr>
        <w:pStyle w:val="3"/>
        <w:rPr>
          <w:color w:val="auto"/>
          <w:highlight w:val="none"/>
        </w:rPr>
      </w:pPr>
      <w:bookmarkStart w:id="72" w:name="_Toc13309"/>
      <w:bookmarkStart w:id="73" w:name="_Toc12968"/>
      <w:bookmarkStart w:id="74" w:name="_Toc19088"/>
      <w:bookmarkStart w:id="75" w:name="_Toc22797"/>
      <w:bookmarkStart w:id="76" w:name="_Toc1375"/>
      <w:bookmarkStart w:id="77" w:name="_Toc8183"/>
      <w:bookmarkStart w:id="78" w:name="_Toc12980"/>
      <w:bookmarkStart w:id="79" w:name="_Toc87616386"/>
      <w:bookmarkStart w:id="80" w:name="_Toc22501"/>
      <w:bookmarkStart w:id="81" w:name="_Toc88209949"/>
      <w:bookmarkStart w:id="82" w:name="_Toc12721"/>
      <w:bookmarkStart w:id="83" w:name="_Toc323"/>
      <w:bookmarkStart w:id="84" w:name="_Toc19686"/>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snapToGrid/>
        <w:spacing w:beforeLines="-2147483648" w:afterLines="-2147483648" w:line="240" w:lineRule="auto"/>
        <w:jc w:val="left"/>
        <w:rPr>
          <w:rFonts w:hint="eastAsia" w:ascii="方正小标宋简体" w:eastAsia="方正小标宋简体"/>
          <w:color w:val="auto"/>
          <w:sz w:val="28"/>
          <w:szCs w:val="28"/>
          <w:highlight w:val="none"/>
        </w:rPr>
      </w:pPr>
      <w:r>
        <w:rPr>
          <w:rFonts w:hint="eastAsia" w:ascii="方正小标宋简体" w:eastAsia="方正小标宋简体"/>
          <w:color w:val="auto"/>
          <w:sz w:val="28"/>
          <w:szCs w:val="28"/>
          <w:highlight w:val="none"/>
        </w:rPr>
        <w:br w:type="page"/>
      </w:r>
    </w:p>
    <w:p>
      <w:pPr>
        <w:jc w:val="both"/>
        <w:rPr>
          <w:b/>
          <w:color w:val="auto"/>
          <w:sz w:val="52"/>
          <w:szCs w:val="84"/>
          <w:highlight w:val="none"/>
        </w:rPr>
      </w:pPr>
      <w:bookmarkStart w:id="85" w:name="_Toc8147"/>
      <w:bookmarkStart w:id="86" w:name="_Toc16552"/>
      <w:bookmarkStart w:id="87" w:name="_Toc12169"/>
      <w:bookmarkStart w:id="88" w:name="_Toc30824"/>
      <w:bookmarkStart w:id="89" w:name="_Toc28358"/>
      <w:bookmarkStart w:id="90" w:name="_Toc21847"/>
      <w:bookmarkStart w:id="91" w:name="_Toc1563"/>
      <w:bookmarkStart w:id="92" w:name="_Toc23515"/>
      <w:bookmarkStart w:id="93" w:name="_Toc6230"/>
      <w:bookmarkStart w:id="94" w:name="_Toc5129"/>
      <w:bookmarkStart w:id="95" w:name="_Toc3723"/>
      <w:r>
        <w:rPr>
          <w:rFonts w:hint="eastAsia" w:ascii="宋体" w:hAnsi="宋体"/>
          <w:b/>
          <w:color w:val="auto"/>
          <w:sz w:val="28"/>
          <w:szCs w:val="28"/>
          <w:highlight w:val="none"/>
          <w14:shadow w14:blurRad="50800" w14:dist="38100" w14:dir="2700000" w14:sx="100000" w14:sy="100000" w14:kx="0" w14:ky="0" w14:algn="tl">
            <w14:srgbClr w14:val="000000">
              <w14:alpha w14:val="60000"/>
            </w14:srgbClr>
          </w14:shadow>
        </w:rPr>
        <w:t xml:space="preserve">                                            </w:t>
      </w:r>
    </w:p>
    <w:p>
      <w:pPr>
        <w:jc w:val="center"/>
        <w:rPr>
          <w:b/>
          <w:color w:val="auto"/>
          <w:sz w:val="48"/>
          <w:szCs w:val="48"/>
          <w:highlight w:val="none"/>
        </w:rPr>
      </w:pPr>
      <w:r>
        <w:rPr>
          <w:rFonts w:hint="eastAsia"/>
          <w:b/>
          <w:color w:val="auto"/>
          <w:sz w:val="48"/>
          <w:szCs w:val="48"/>
          <w:highlight w:val="none"/>
        </w:rPr>
        <w:t>广州市净水有限公司</w:t>
      </w:r>
    </w:p>
    <w:p>
      <w:pPr>
        <w:jc w:val="center"/>
        <w:rPr>
          <w:b/>
          <w:color w:val="auto"/>
          <w:sz w:val="48"/>
          <w:szCs w:val="48"/>
          <w:highlight w:val="none"/>
        </w:rPr>
      </w:pPr>
      <w:r>
        <w:rPr>
          <w:rFonts w:hint="eastAsia"/>
          <w:b/>
          <w:color w:val="auto"/>
          <w:sz w:val="48"/>
          <w:szCs w:val="48"/>
          <w:highlight w:val="none"/>
        </w:rPr>
        <w:t>设备采购合同</w:t>
      </w:r>
    </w:p>
    <w:p>
      <w:pPr>
        <w:jc w:val="center"/>
        <w:rPr>
          <w:bCs/>
          <w:color w:val="auto"/>
          <w:sz w:val="28"/>
          <w:szCs w:val="28"/>
          <w:highlight w:val="none"/>
        </w:rPr>
      </w:pPr>
    </w:p>
    <w:p>
      <w:pPr>
        <w:jc w:val="center"/>
        <w:rPr>
          <w:color w:val="auto"/>
          <w:sz w:val="30"/>
          <w:highlight w:val="none"/>
        </w:rPr>
      </w:pPr>
    </w:p>
    <w:p>
      <w:pPr>
        <w:rPr>
          <w:rFonts w:hint="eastAsia"/>
          <w:color w:val="auto"/>
          <w:sz w:val="30"/>
          <w:highlight w:val="none"/>
        </w:rPr>
      </w:pPr>
      <w:r>
        <w:rPr>
          <w:rFonts w:hint="eastAsia"/>
          <w:color w:val="auto"/>
          <w:sz w:val="30"/>
          <w:highlight w:val="none"/>
        </w:rPr>
        <w:t>项目名称：</w:t>
      </w:r>
      <w:r>
        <w:rPr>
          <w:rFonts w:hint="eastAsia" w:asciiTheme="minorHAnsi" w:eastAsiaTheme="minorEastAsia"/>
          <w:color w:val="auto"/>
          <w:sz w:val="30"/>
          <w:szCs w:val="22"/>
          <w:highlight w:val="none"/>
          <w:u w:val="none"/>
          <w:lang w:val="en-US" w:eastAsia="zh-CN"/>
        </w:rPr>
        <w:t>广州市净水有限公司西朗二期分公司安全教育VR体验系统采购项目</w:t>
      </w:r>
    </w:p>
    <w:p>
      <w:pPr>
        <w:rPr>
          <w:rFonts w:hint="eastAsia"/>
          <w:color w:val="auto"/>
          <w:sz w:val="30"/>
          <w:highlight w:val="none"/>
          <w:lang w:val="en-US" w:eastAsia="zh-CN"/>
        </w:rPr>
      </w:pPr>
      <w:r>
        <w:rPr>
          <w:rFonts w:hint="eastAsia"/>
          <w:color w:val="auto"/>
          <w:sz w:val="30"/>
          <w:highlight w:val="none"/>
          <w:lang w:val="en-US" w:eastAsia="zh-CN"/>
        </w:rPr>
        <w:t>项目编号：</w:t>
      </w:r>
    </w:p>
    <w:p>
      <w:pPr>
        <w:rPr>
          <w:rFonts w:hint="eastAsia"/>
          <w:color w:val="auto"/>
          <w:sz w:val="30"/>
          <w:highlight w:val="none"/>
          <w:lang w:val="en-US" w:eastAsia="zh-CN"/>
        </w:rPr>
      </w:pPr>
    </w:p>
    <w:p>
      <w:pPr>
        <w:rPr>
          <w:color w:val="auto"/>
          <w:sz w:val="30"/>
          <w:szCs w:val="30"/>
          <w:highlight w:val="none"/>
        </w:rPr>
      </w:pPr>
      <w:r>
        <w:rPr>
          <w:rFonts w:hint="eastAsia"/>
          <w:color w:val="auto"/>
          <w:sz w:val="30"/>
          <w:highlight w:val="none"/>
        </w:rPr>
        <w:t>合同编号：</w:t>
      </w:r>
      <w:r>
        <w:rPr>
          <w:rFonts w:hint="eastAsia" w:ascii="宋体" w:hAnsi="宋体" w:cs="宋体"/>
          <w:b/>
          <w:bCs/>
          <w:color w:val="auto"/>
          <w:sz w:val="30"/>
          <w:szCs w:val="30"/>
          <w:highlight w:val="none"/>
        </w:rPr>
        <w:t>穗净水合</w:t>
      </w:r>
      <w:r>
        <w:rPr>
          <w:rFonts w:ascii="宋体" w:hAnsi="宋体" w:cs="宋体"/>
          <w:b/>
          <w:bCs/>
          <w:color w:val="auto"/>
          <w:sz w:val="30"/>
          <w:szCs w:val="30"/>
          <w:highlight w:val="none"/>
        </w:rPr>
        <w:t xml:space="preserve">[     ]    </w:t>
      </w:r>
      <w:r>
        <w:rPr>
          <w:rFonts w:hint="eastAsia" w:ascii="宋体" w:hAnsi="宋体" w:cs="宋体"/>
          <w:b/>
          <w:bCs/>
          <w:color w:val="auto"/>
          <w:sz w:val="30"/>
          <w:szCs w:val="30"/>
          <w:highlight w:val="none"/>
        </w:rPr>
        <w:t>号</w:t>
      </w:r>
    </w:p>
    <w:p>
      <w:pPr>
        <w:rPr>
          <w:color w:val="auto"/>
          <w:sz w:val="30"/>
          <w:szCs w:val="30"/>
          <w:highlight w:val="none"/>
        </w:rPr>
      </w:pPr>
    </w:p>
    <w:p>
      <w:pPr>
        <w:rPr>
          <w:color w:val="auto"/>
          <w:sz w:val="30"/>
          <w:highlight w:val="none"/>
          <w:u w:val="single"/>
        </w:rPr>
      </w:pPr>
      <w:r>
        <w:rPr>
          <w:rFonts w:hint="eastAsia"/>
          <w:color w:val="auto"/>
          <w:sz w:val="30"/>
          <w:highlight w:val="none"/>
        </w:rPr>
        <w:t>甲方（买方）：</w:t>
      </w:r>
      <w:r>
        <w:rPr>
          <w:rFonts w:hint="eastAsia"/>
          <w:color w:val="auto"/>
          <w:sz w:val="30"/>
          <w:highlight w:val="none"/>
          <w:u w:val="single"/>
        </w:rPr>
        <w:t>广州市净水有限公司</w:t>
      </w:r>
    </w:p>
    <w:p>
      <w:pPr>
        <w:rPr>
          <w:color w:val="auto"/>
          <w:sz w:val="30"/>
          <w:highlight w:val="none"/>
        </w:rPr>
      </w:pPr>
      <w:r>
        <w:rPr>
          <w:rFonts w:hint="eastAsia"/>
          <w:color w:val="auto"/>
          <w:sz w:val="30"/>
          <w:highlight w:val="none"/>
        </w:rPr>
        <w:t>乙方（卖方）：</w:t>
      </w:r>
      <w:r>
        <w:rPr>
          <w:color w:val="auto"/>
          <w:sz w:val="30"/>
          <w:highlight w:val="none"/>
          <w:u w:val="single"/>
        </w:rPr>
        <w:t xml:space="preserve">                                        </w:t>
      </w:r>
      <w:r>
        <w:rPr>
          <w:color w:val="auto"/>
          <w:sz w:val="30"/>
          <w:highlight w:val="none"/>
        </w:rPr>
        <w:t xml:space="preserve"> </w:t>
      </w:r>
    </w:p>
    <w:p>
      <w:pPr>
        <w:rPr>
          <w:color w:val="auto"/>
          <w:sz w:val="30"/>
          <w:highlight w:val="none"/>
        </w:rPr>
      </w:pPr>
      <w:r>
        <w:rPr>
          <w:rFonts w:hint="eastAsia"/>
          <w:color w:val="auto"/>
          <w:sz w:val="30"/>
          <w:highlight w:val="none"/>
        </w:rPr>
        <w:t>签订日期：</w:t>
      </w:r>
      <w:r>
        <w:rPr>
          <w:color w:val="auto"/>
          <w:sz w:val="30"/>
          <w:highlight w:val="none"/>
        </w:rPr>
        <w:t xml:space="preserve">           </w:t>
      </w:r>
      <w:r>
        <w:rPr>
          <w:rFonts w:hint="eastAsia"/>
          <w:color w:val="auto"/>
          <w:sz w:val="30"/>
          <w:highlight w:val="none"/>
        </w:rPr>
        <w:t>年</w:t>
      </w:r>
      <w:r>
        <w:rPr>
          <w:color w:val="auto"/>
          <w:sz w:val="30"/>
          <w:highlight w:val="none"/>
        </w:rPr>
        <w:t xml:space="preserve">       </w:t>
      </w:r>
      <w:r>
        <w:rPr>
          <w:rFonts w:hint="eastAsia"/>
          <w:color w:val="auto"/>
          <w:sz w:val="30"/>
          <w:highlight w:val="none"/>
        </w:rPr>
        <w:t>月</w:t>
      </w:r>
      <w:r>
        <w:rPr>
          <w:color w:val="auto"/>
          <w:sz w:val="30"/>
          <w:highlight w:val="none"/>
        </w:rPr>
        <w:t xml:space="preserve">     </w:t>
      </w:r>
      <w:r>
        <w:rPr>
          <w:rFonts w:hint="eastAsia"/>
          <w:color w:val="auto"/>
          <w:sz w:val="30"/>
          <w:highlight w:val="none"/>
        </w:rPr>
        <w:t>日</w:t>
      </w:r>
    </w:p>
    <w:p>
      <w:pPr>
        <w:rPr>
          <w:color w:val="auto"/>
          <w:sz w:val="30"/>
          <w:highlight w:val="none"/>
        </w:rPr>
      </w:pPr>
      <w:r>
        <w:rPr>
          <w:rFonts w:hint="eastAsia"/>
          <w:color w:val="auto"/>
          <w:sz w:val="30"/>
          <w:highlight w:val="none"/>
        </w:rPr>
        <w:t>签约地点：广州市</w:t>
      </w:r>
    </w:p>
    <w:p>
      <w:pPr>
        <w:pStyle w:val="48"/>
        <w:spacing w:line="500" w:lineRule="exact"/>
        <w:jc w:val="center"/>
        <w:rPr>
          <w:rFonts w:ascii="宋体" w:hAnsi="宋体" w:eastAsia="宋体" w:cs="宋体"/>
          <w:b/>
          <w:bCs/>
          <w:color w:val="auto"/>
          <w:sz w:val="36"/>
          <w:szCs w:val="36"/>
          <w:highlight w:val="none"/>
          <w:lang w:val="zh-CN" w:eastAsia="zh-CN"/>
        </w:rPr>
      </w:pPr>
    </w:p>
    <w:p>
      <w:pPr>
        <w:rPr>
          <w:rFonts w:ascii="宋体" w:hAnsi="宋体" w:eastAsia="宋体" w:cs="宋体"/>
          <w:b/>
          <w:bCs/>
          <w:color w:val="auto"/>
          <w:sz w:val="36"/>
          <w:szCs w:val="36"/>
          <w:highlight w:val="none"/>
          <w:lang w:val="zh-CN" w:eastAsia="zh-CN"/>
        </w:rPr>
      </w:pPr>
    </w:p>
    <w:p>
      <w:pPr>
        <w:pStyle w:val="21"/>
        <w:rPr>
          <w:rFonts w:ascii="宋体" w:hAnsi="宋体" w:eastAsia="宋体" w:cs="宋体"/>
          <w:b/>
          <w:bCs/>
          <w:color w:val="auto"/>
          <w:sz w:val="36"/>
          <w:szCs w:val="36"/>
          <w:highlight w:val="none"/>
          <w:lang w:val="zh-CN" w:eastAsia="zh-CN"/>
        </w:rPr>
      </w:pPr>
    </w:p>
    <w:p>
      <w:pPr>
        <w:pStyle w:val="21"/>
        <w:rPr>
          <w:rFonts w:ascii="宋体" w:hAnsi="宋体" w:eastAsia="宋体" w:cs="宋体"/>
          <w:b/>
          <w:bCs/>
          <w:color w:val="auto"/>
          <w:sz w:val="36"/>
          <w:szCs w:val="36"/>
          <w:highlight w:val="none"/>
          <w:lang w:val="zh-CN" w:eastAsia="zh-CN"/>
        </w:rPr>
      </w:pPr>
    </w:p>
    <w:p>
      <w:pPr>
        <w:pStyle w:val="21"/>
        <w:rPr>
          <w:rFonts w:ascii="宋体" w:hAnsi="宋体" w:eastAsia="宋体" w:cs="宋体"/>
          <w:b/>
          <w:bCs/>
          <w:color w:val="auto"/>
          <w:sz w:val="36"/>
          <w:szCs w:val="36"/>
          <w:highlight w:val="none"/>
          <w:lang w:val="zh-CN" w:eastAsia="zh-CN"/>
        </w:rPr>
      </w:pPr>
    </w:p>
    <w:p>
      <w:pPr>
        <w:pStyle w:val="48"/>
        <w:spacing w:line="500" w:lineRule="exact"/>
        <w:jc w:val="center"/>
        <w:rPr>
          <w:rFonts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zh-CN" w:eastAsia="zh-CN"/>
        </w:rPr>
        <w:t>说</w:t>
      </w:r>
      <w:r>
        <w:rPr>
          <w:rFonts w:ascii="宋体" w:hAnsi="宋体" w:eastAsia="宋体" w:cs="宋体"/>
          <w:b/>
          <w:bCs/>
          <w:color w:val="auto"/>
          <w:sz w:val="21"/>
          <w:szCs w:val="21"/>
          <w:highlight w:val="none"/>
          <w:lang w:eastAsia="zh-CN"/>
        </w:rPr>
        <w:t xml:space="preserve">    </w:t>
      </w:r>
      <w:r>
        <w:rPr>
          <w:rFonts w:hint="eastAsia" w:ascii="宋体" w:hAnsi="宋体" w:eastAsia="宋体" w:cs="宋体"/>
          <w:b/>
          <w:bCs/>
          <w:color w:val="auto"/>
          <w:sz w:val="21"/>
          <w:szCs w:val="21"/>
          <w:highlight w:val="none"/>
          <w:lang w:val="zh-CN" w:eastAsia="zh-CN"/>
        </w:rPr>
        <w:t>明</w:t>
      </w:r>
    </w:p>
    <w:p>
      <w:pPr>
        <w:spacing w:line="560" w:lineRule="exact"/>
        <w:rPr>
          <w:rFonts w:ascii="宋体" w:hAnsi="宋体" w:cs="宋体"/>
          <w:color w:val="auto"/>
          <w:sz w:val="24"/>
          <w:highlight w:val="none"/>
        </w:rPr>
      </w:pPr>
    </w:p>
    <w:p>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为指导广州市净水有限公司合同承办部门（单位）的签约行为，维护公司的合法权益，依据《中华人民共和国</w:t>
      </w:r>
      <w:r>
        <w:rPr>
          <w:rFonts w:hint="eastAsia" w:ascii="宋体" w:hAnsi="宋体" w:cs="宋体"/>
          <w:color w:val="auto"/>
          <w:szCs w:val="21"/>
          <w:highlight w:val="none"/>
          <w:lang w:val="en-US" w:eastAsia="zh-CN"/>
        </w:rPr>
        <w:t>民法典</w:t>
      </w:r>
      <w:r>
        <w:rPr>
          <w:rFonts w:hint="eastAsia" w:ascii="宋体" w:hAnsi="宋体" w:cs="宋体"/>
          <w:color w:val="auto"/>
          <w:szCs w:val="21"/>
          <w:highlight w:val="none"/>
        </w:rPr>
        <w:t>》以及相关法律法规，制定《</w:t>
      </w:r>
      <w:r>
        <w:rPr>
          <w:rFonts w:hint="eastAsia" w:ascii="宋体" w:hAnsi="宋体" w:cs="宋体"/>
          <w:color w:val="auto"/>
          <w:szCs w:val="21"/>
          <w:highlight w:val="none"/>
          <w:u w:val="single"/>
        </w:rPr>
        <w:t>广州市净水有限公司设备采购合同（示范文本）</w:t>
      </w:r>
      <w:r>
        <w:rPr>
          <w:rFonts w:hint="eastAsia" w:ascii="宋体" w:hAnsi="宋体" w:cs="宋体"/>
          <w:color w:val="auto"/>
          <w:szCs w:val="21"/>
          <w:highlight w:val="none"/>
        </w:rPr>
        <w:t>》（以下简称《设备采购合同》），现就有关问题说明如下：</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一、适用范围</w:t>
      </w:r>
    </w:p>
    <w:p>
      <w:pPr>
        <w:spacing w:after="0" w:line="360" w:lineRule="auto"/>
        <w:rPr>
          <w:rFonts w:ascii="宋体" w:hAnsi="宋体" w:cs="宋体"/>
          <w:color w:val="auto"/>
          <w:szCs w:val="21"/>
          <w:highlight w:val="none"/>
        </w:rPr>
      </w:pPr>
      <w:r>
        <w:rPr>
          <w:rFonts w:hint="eastAsia" w:ascii="宋体" w:hAnsi="宋体" w:cs="宋体"/>
          <w:color w:val="auto"/>
          <w:szCs w:val="21"/>
          <w:highlight w:val="none"/>
        </w:rPr>
        <w:t>《设备采购合同》适用于广州市净水有限公司小型设备采购（已另行印发专项合同示范文本的除外）。</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二、组成及使用说明</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（一）《设备采购合同》由合同条款、附件两部分组成。</w:t>
      </w:r>
    </w:p>
    <w:p>
      <w:pPr>
        <w:spacing w:after="0"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（二）文本中以“</w:t>
      </w:r>
      <w:r>
        <w:rPr>
          <w:rFonts w:ascii="宋体" w:hAnsi="宋体" w:cs="宋体"/>
          <w:color w:val="auto"/>
          <w:szCs w:val="21"/>
          <w:highlight w:val="none"/>
          <w:u w:val="single"/>
        </w:rPr>
        <w:t xml:space="preserve">       </w:t>
      </w:r>
      <w:r>
        <w:rPr>
          <w:rFonts w:hint="eastAsia" w:ascii="宋体" w:hAnsi="宋体" w:cs="宋体"/>
          <w:color w:val="auto"/>
          <w:szCs w:val="21"/>
          <w:highlight w:val="none"/>
        </w:rPr>
        <w:t>”标示及表格（已填写具体内容的仅供参考），由合同承办部门（单位）根据采购项目的具体特点和实际情况进行细化、完善、补充、修改或另行约定，但不得与公司制度相违背，如无需填写的，则填写“无”或划“</w:t>
      </w:r>
      <w:r>
        <w:rPr>
          <w:rFonts w:ascii="宋体" w:hAnsi="宋体" w:cs="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pPr>
        <w:spacing w:after="0"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（三）文本开头带“□”的条款为选择性条款，由合同承办部门（单位）根据采购项目的具体特点和实际情况在相应“□”内打“√”。</w:t>
      </w:r>
    </w:p>
    <w:p>
      <w:pPr>
        <w:rPr>
          <w:rFonts w:ascii="宋体" w:hAnsi="宋体"/>
          <w:color w:val="auto"/>
          <w:highlight w:val="none"/>
        </w:rPr>
      </w:pPr>
    </w:p>
    <w:p>
      <w:pPr>
        <w:rPr>
          <w:color w:val="auto"/>
          <w:highlight w:val="none"/>
        </w:rPr>
        <w:sectPr>
          <w:footerReference r:id="rId6" w:type="default"/>
          <w:pgSz w:w="11907" w:h="16840"/>
          <w:pgMar w:top="1701" w:right="1701" w:bottom="1701" w:left="1701" w:header="851" w:footer="992" w:gutter="0"/>
          <w:pgNumType w:fmt="decimal" w:start="1"/>
          <w:cols w:space="0" w:num="1"/>
          <w:docGrid w:type="linesAndChars" w:linePitch="381" w:charSpace="0"/>
        </w:sectPr>
      </w:pP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根据《中华人民共和国</w:t>
      </w:r>
      <w:r>
        <w:rPr>
          <w:rFonts w:hint="eastAsia" w:ascii="宋体" w:hAnsi="宋体" w:cs="宋体"/>
          <w:color w:val="auto"/>
          <w:sz w:val="24"/>
          <w:szCs w:val="24"/>
          <w:highlight w:val="none"/>
          <w:lang w:val="en-US" w:eastAsia="zh-CN"/>
        </w:rPr>
        <w:t>民法典</w:t>
      </w:r>
      <w:r>
        <w:rPr>
          <w:rFonts w:hint="eastAsia" w:ascii="宋体" w:hAnsi="宋体" w:cs="宋体"/>
          <w:color w:val="auto"/>
          <w:sz w:val="24"/>
          <w:szCs w:val="24"/>
          <w:highlight w:val="none"/>
        </w:rPr>
        <w:t>》及其他有关法律、行政法规，</w:t>
      </w:r>
      <w:r>
        <w:rPr>
          <w:rFonts w:hint="eastAsia" w:ascii="宋体" w:hAnsi="宋体" w:cs="宋体"/>
          <w:color w:val="auto"/>
          <w:sz w:val="24"/>
          <w:szCs w:val="24"/>
          <w:highlight w:val="none"/>
          <w:u w:val="single"/>
        </w:rPr>
        <w:t>广州市净水有限公司</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（以下简称“甲方”）与</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（以下简称“乙方”）就</w:t>
      </w:r>
      <w:r>
        <w:rPr>
          <w:rFonts w:ascii="宋体" w:hAnsi="宋体" w:cs="宋体"/>
          <w:color w:val="auto"/>
          <w:sz w:val="24"/>
          <w:szCs w:val="24"/>
          <w:highlight w:val="none"/>
        </w:rPr>
        <w:t xml:space="preserve"> </w:t>
      </w:r>
      <w:r>
        <w:rPr>
          <w:rFonts w:hint="eastAsia" w:ascii="方正小标宋简体" w:eastAsia="方正小标宋简体"/>
          <w:color w:val="auto"/>
          <w:sz w:val="30"/>
          <w:szCs w:val="30"/>
          <w:highlight w:val="none"/>
          <w:u w:val="none"/>
          <w:lang w:val="en-US" w:eastAsia="zh-CN"/>
        </w:rPr>
        <w:t>广州市净水有限公司</w:t>
      </w:r>
      <w:r>
        <w:rPr>
          <w:rFonts w:ascii="宋体" w:hAnsi="宋体" w:cs="宋体"/>
          <w:color w:val="auto"/>
          <w:sz w:val="24"/>
          <w:szCs w:val="24"/>
          <w:highlight w:val="none"/>
          <w:u w:val="single"/>
        </w:rPr>
        <w:t xml:space="preserve"> </w:t>
      </w:r>
      <w:r>
        <w:rPr>
          <w:rFonts w:hint="eastAsia" w:ascii="宋体" w:hAnsi="宋体" w:cs="宋体" w:eastAsiaTheme="minorEastAsia"/>
          <w:color w:val="auto"/>
          <w:sz w:val="24"/>
          <w:szCs w:val="24"/>
          <w:highlight w:val="none"/>
          <w:lang w:val="en-US" w:eastAsia="zh-CN"/>
        </w:rPr>
        <w:t>西朗二期分公司安全教育VR体验系统</w:t>
      </w:r>
      <w:r>
        <w:rPr>
          <w:rFonts w:hint="eastAsia" w:ascii="宋体" w:hAnsi="宋体" w:cs="宋体"/>
          <w:color w:val="auto"/>
          <w:sz w:val="24"/>
          <w:szCs w:val="24"/>
          <w:highlight w:val="none"/>
          <w:u w:val="none"/>
          <w:lang w:val="en-US" w:eastAsia="zh-CN"/>
        </w:rPr>
        <w:t xml:space="preserve"> </w:t>
      </w:r>
      <w:r>
        <w:rPr>
          <w:rFonts w:hint="eastAsia" w:ascii="宋体" w:hAnsi="宋体" w:cs="宋体"/>
          <w:color w:val="auto"/>
          <w:sz w:val="24"/>
          <w:szCs w:val="24"/>
          <w:highlight w:val="none"/>
        </w:rPr>
        <w:t>采购</w:t>
      </w:r>
      <w:r>
        <w:rPr>
          <w:rFonts w:hint="eastAsia" w:ascii="宋体" w:hAnsi="宋体" w:cs="宋体"/>
          <w:color w:val="auto"/>
          <w:sz w:val="24"/>
          <w:szCs w:val="24"/>
          <w:highlight w:val="none"/>
        </w:rPr>
        <w:t>和相应技术服务事宜，遵循平等、自愿、公平和诚实信用的原则，双方协商一致，订立本合同。</w:t>
      </w:r>
      <w:bookmarkStart w:id="96" w:name="_Toc474245210"/>
      <w:bookmarkStart w:id="97" w:name="_Toc520190026"/>
      <w:bookmarkStart w:id="98" w:name="_Toc1018"/>
      <w:bookmarkStart w:id="99" w:name="_Toc518992986"/>
      <w:bookmarkStart w:id="100" w:name="_Toc183666513"/>
    </w:p>
    <w:p>
      <w:pPr>
        <w:spacing w:line="360" w:lineRule="auto"/>
        <w:ind w:firstLine="540"/>
        <w:rPr>
          <w:rFonts w:ascii="宋体" w:hAnsi="宋体" w:cs="宋体"/>
          <w:b/>
          <w:bCs/>
          <w:color w:val="auto"/>
          <w:sz w:val="24"/>
          <w:szCs w:val="24"/>
          <w:highlight w:val="none"/>
        </w:rPr>
      </w:pPr>
      <w:r>
        <w:rPr>
          <w:rFonts w:ascii="宋体" w:hAnsi="宋体" w:cs="宋体"/>
          <w:b/>
          <w:bCs/>
          <w:color w:val="auto"/>
          <w:sz w:val="24"/>
          <w:szCs w:val="24"/>
          <w:highlight w:val="none"/>
        </w:rPr>
        <w:t>第一条 组成合同的文件及优先顺序</w:t>
      </w:r>
    </w:p>
    <w:p>
      <w:pPr>
        <w:spacing w:line="360" w:lineRule="auto"/>
        <w:ind w:firstLine="480" w:firstLineChars="200"/>
        <w:rPr>
          <w:rFonts w:ascii="宋体" w:hAnsi="宋体" w:cs="宋体"/>
          <w:color w:val="auto"/>
          <w:sz w:val="24"/>
          <w:szCs w:val="24"/>
          <w:highlight w:val="none"/>
        </w:rPr>
      </w:pP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⑴</w:t>
      </w:r>
      <w:r>
        <w:rPr>
          <w:rFonts w:ascii="宋体" w:hAnsi="宋体" w:cs="宋体"/>
          <w:bCs/>
          <w:color w:val="auto"/>
          <w:sz w:val="24"/>
          <w:highlight w:val="none"/>
        </w:rPr>
        <w:t xml:space="preserve">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⑵</w:t>
      </w:r>
      <w:r>
        <w:rPr>
          <w:rFonts w:ascii="宋体" w:hAnsi="宋体" w:cs="宋体"/>
          <w:bCs/>
          <w:color w:val="auto"/>
          <w:sz w:val="24"/>
          <w:highlight w:val="none"/>
        </w:rPr>
        <w:t xml:space="preserve"> </w:t>
      </w:r>
      <w:r>
        <w:rPr>
          <w:rFonts w:hint="eastAsia" w:ascii="宋体" w:hAnsi="宋体" w:cs="宋体"/>
          <w:bCs/>
          <w:color w:val="auto"/>
          <w:sz w:val="24"/>
          <w:highlight w:val="none"/>
        </w:rPr>
        <w:t>本合同书；</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⑶</w:t>
      </w:r>
      <w:r>
        <w:rPr>
          <w:rFonts w:ascii="宋体" w:hAnsi="宋体" w:cs="宋体"/>
          <w:bCs/>
          <w:color w:val="auto"/>
          <w:sz w:val="24"/>
          <w:highlight w:val="none"/>
        </w:rPr>
        <w:t xml:space="preserve"> </w:t>
      </w:r>
      <w:r>
        <w:rPr>
          <w:rFonts w:hint="eastAsia" w:ascii="宋体" w:hAnsi="宋体" w:cs="宋体"/>
          <w:bCs/>
          <w:color w:val="auto"/>
          <w:sz w:val="24"/>
          <w:highlight w:val="none"/>
        </w:rPr>
        <w:t>中标通知书</w:t>
      </w:r>
      <w:r>
        <w:rPr>
          <w:rFonts w:ascii="宋体" w:hAnsi="宋体" w:cs="宋体"/>
          <w:bCs/>
          <w:color w:val="auto"/>
          <w:sz w:val="24"/>
          <w:highlight w:val="none"/>
        </w:rPr>
        <w:t>/</w:t>
      </w:r>
      <w:r>
        <w:rPr>
          <w:rFonts w:hint="eastAsia" w:ascii="宋体" w:hAnsi="宋体" w:cs="宋体"/>
          <w:bCs/>
          <w:color w:val="auto"/>
          <w:sz w:val="24"/>
          <w:highlight w:val="none"/>
        </w:rPr>
        <w:t>发包通知书</w:t>
      </w:r>
      <w:r>
        <w:rPr>
          <w:rFonts w:ascii="宋体" w:hAnsi="宋体" w:cs="宋体"/>
          <w:bCs/>
          <w:color w:val="auto"/>
          <w:sz w:val="24"/>
          <w:highlight w:val="none"/>
        </w:rPr>
        <w:t>/</w:t>
      </w:r>
      <w:r>
        <w:rPr>
          <w:rFonts w:hint="eastAsia" w:ascii="宋体" w:hAnsi="宋体" w:cs="宋体"/>
          <w:bCs/>
          <w:color w:val="auto"/>
          <w:sz w:val="24"/>
          <w:highlight w:val="none"/>
          <w:lang w:val="en-US" w:eastAsia="zh-CN"/>
        </w:rPr>
        <w:t>成交通知书/</w:t>
      </w:r>
      <w:r>
        <w:rPr>
          <w:rFonts w:hint="eastAsia" w:ascii="宋体" w:hAnsi="宋体" w:cs="宋体"/>
          <w:bCs/>
          <w:color w:val="auto"/>
          <w:sz w:val="24"/>
          <w:highlight w:val="none"/>
        </w:rPr>
        <w:t>委托函；</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⑷</w:t>
      </w:r>
      <w:r>
        <w:rPr>
          <w:rFonts w:ascii="宋体" w:hAnsi="宋体" w:cs="宋体"/>
          <w:bCs/>
          <w:color w:val="auto"/>
          <w:sz w:val="24"/>
          <w:highlight w:val="none"/>
        </w:rPr>
        <w:t xml:space="preserve"> </w:t>
      </w:r>
      <w:r>
        <w:rPr>
          <w:rFonts w:hint="eastAsia" w:ascii="宋体" w:hAnsi="宋体" w:cs="宋体"/>
          <w:bCs/>
          <w:color w:val="auto"/>
          <w:sz w:val="24"/>
          <w:highlight w:val="none"/>
        </w:rPr>
        <w:t>招标文件</w:t>
      </w:r>
      <w:r>
        <w:rPr>
          <w:rFonts w:ascii="宋体" w:hAnsi="宋体" w:cs="宋体"/>
          <w:bCs/>
          <w:color w:val="auto"/>
          <w:sz w:val="24"/>
          <w:highlight w:val="none"/>
        </w:rPr>
        <w:t>/</w:t>
      </w:r>
      <w:r>
        <w:rPr>
          <w:rFonts w:hint="eastAsia" w:ascii="宋体" w:hAnsi="宋体" w:cs="宋体"/>
          <w:bCs/>
          <w:color w:val="auto"/>
          <w:sz w:val="24"/>
          <w:highlight w:val="none"/>
        </w:rPr>
        <w:t>询价文件；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⑸</w:t>
      </w:r>
      <w:r>
        <w:rPr>
          <w:rFonts w:ascii="宋体" w:hAnsi="宋体" w:cs="宋体"/>
          <w:bCs/>
          <w:color w:val="auto"/>
          <w:sz w:val="24"/>
          <w:highlight w:val="none"/>
        </w:rPr>
        <w:t xml:space="preserve"> </w:t>
      </w:r>
      <w:r>
        <w:rPr>
          <w:rFonts w:hint="eastAsia" w:ascii="宋体" w:hAnsi="宋体" w:cs="宋体"/>
          <w:bCs/>
          <w:color w:val="auto"/>
          <w:sz w:val="24"/>
          <w:highlight w:val="none"/>
        </w:rPr>
        <w:t>投标文件</w:t>
      </w:r>
      <w:r>
        <w:rPr>
          <w:rFonts w:ascii="宋体" w:hAnsi="宋体" w:cs="宋体"/>
          <w:bCs/>
          <w:color w:val="auto"/>
          <w:sz w:val="24"/>
          <w:highlight w:val="none"/>
        </w:rPr>
        <w:t>/</w:t>
      </w:r>
      <w:r>
        <w:rPr>
          <w:rFonts w:hint="eastAsia" w:ascii="宋体" w:hAnsi="宋体" w:cs="宋体"/>
          <w:bCs/>
          <w:color w:val="auto"/>
          <w:sz w:val="24"/>
          <w:highlight w:val="none"/>
        </w:rPr>
        <w:t>响应文件；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⑹</w:t>
      </w:r>
      <w:r>
        <w:rPr>
          <w:rFonts w:ascii="宋体" w:hAnsi="宋体" w:cs="宋体"/>
          <w:bCs/>
          <w:color w:val="auto"/>
          <w:sz w:val="24"/>
          <w:highlight w:val="none"/>
        </w:rPr>
        <w:t xml:space="preserve"> </w:t>
      </w:r>
      <w:r>
        <w:rPr>
          <w:rFonts w:hint="eastAsia" w:ascii="宋体" w:hAnsi="宋体" w:cs="宋体"/>
          <w:bCs/>
          <w:color w:val="auto"/>
          <w:sz w:val="24"/>
          <w:highlight w:val="none"/>
        </w:rPr>
        <w:t>标准、规范及有关技术性文件；</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⑺</w:t>
      </w:r>
      <w:r>
        <w:rPr>
          <w:rFonts w:ascii="宋体" w:hAnsi="宋体" w:cs="宋体"/>
          <w:bCs/>
          <w:color w:val="auto"/>
          <w:sz w:val="24"/>
          <w:highlight w:val="none"/>
        </w:rPr>
        <w:t xml:space="preserve"> </w:t>
      </w:r>
      <w:r>
        <w:rPr>
          <w:rFonts w:hint="eastAsia" w:ascii="宋体" w:hAnsi="宋体" w:cs="宋体"/>
          <w:bCs/>
          <w:color w:val="auto"/>
          <w:sz w:val="24"/>
          <w:highlight w:val="none"/>
        </w:rPr>
        <w:t>图纸；</w:t>
      </w:r>
    </w:p>
    <w:p>
      <w:pPr>
        <w:spacing w:line="384" w:lineRule="auto"/>
        <w:ind w:firstLine="482"/>
        <w:rPr>
          <w:rFonts w:ascii="宋体" w:hAnsi="宋体" w:cs="宋体"/>
          <w:bCs/>
          <w:color w:val="auto"/>
          <w:sz w:val="24"/>
          <w:highlight w:val="none"/>
        </w:rPr>
      </w:pPr>
      <w:r>
        <w:rPr>
          <w:rFonts w:hint="eastAsia" w:ascii="宋体" w:hAnsi="宋体" w:cs="宋体"/>
          <w:bCs/>
          <w:color w:val="auto"/>
          <w:sz w:val="24"/>
          <w:highlight w:val="none"/>
        </w:rPr>
        <w:t>⑻</w:t>
      </w:r>
      <w:r>
        <w:rPr>
          <w:rFonts w:ascii="宋体" w:hAnsi="宋体" w:cs="宋体"/>
          <w:bCs/>
          <w:color w:val="auto"/>
          <w:sz w:val="24"/>
          <w:highlight w:val="none"/>
        </w:rPr>
        <w:t xml:space="preserve"> </w:t>
      </w:r>
      <w:r>
        <w:rPr>
          <w:rFonts w:hint="eastAsia" w:ascii="宋体" w:hAnsi="宋体" w:cs="宋体"/>
          <w:bCs/>
          <w:color w:val="auto"/>
          <w:sz w:val="24"/>
          <w:highlight w:val="none"/>
        </w:rPr>
        <w:t>工程量清单</w:t>
      </w:r>
      <w:r>
        <w:rPr>
          <w:rFonts w:ascii="宋体" w:hAnsi="宋体" w:cs="宋体"/>
          <w:bCs/>
          <w:color w:val="auto"/>
          <w:sz w:val="24"/>
          <w:highlight w:val="none"/>
        </w:rPr>
        <w:t>/</w:t>
      </w:r>
      <w:r>
        <w:rPr>
          <w:rFonts w:hint="eastAsia" w:ascii="宋体" w:hAnsi="宋体" w:cs="宋体"/>
          <w:color w:val="auto"/>
          <w:sz w:val="24"/>
          <w:highlight w:val="none"/>
        </w:rPr>
        <w:t>工程报价单或预算书；</w:t>
      </w:r>
    </w:p>
    <w:p>
      <w:pPr>
        <w:spacing w:line="360" w:lineRule="auto"/>
        <w:ind w:firstLine="480" w:firstLineChars="200"/>
        <w:rPr>
          <w:rFonts w:ascii="宋体" w:hAnsi="宋体" w:cs="宋体"/>
          <w:color w:val="auto"/>
          <w:sz w:val="24"/>
          <w:szCs w:val="24"/>
          <w:highlight w:val="none"/>
        </w:rPr>
      </w:pPr>
      <w:r>
        <w:rPr>
          <w:rFonts w:hint="eastAsia" w:ascii="宋体" w:hAnsi="宋体" w:cs="宋体"/>
          <w:bCs/>
          <w:color w:val="auto"/>
          <w:sz w:val="24"/>
          <w:highlight w:val="none"/>
        </w:rPr>
        <w:t>⑼</w:t>
      </w:r>
      <w:r>
        <w:rPr>
          <w:rFonts w:ascii="宋体" w:hAnsi="宋体" w:cs="宋体"/>
          <w:bCs/>
          <w:color w:val="auto"/>
          <w:sz w:val="24"/>
          <w:highlight w:val="none"/>
        </w:rPr>
        <w:t xml:space="preserve"> </w:t>
      </w:r>
      <w:r>
        <w:rPr>
          <w:rFonts w:hint="eastAsia" w:ascii="宋体" w:hAnsi="宋体" w:cs="宋体"/>
          <w:bCs/>
          <w:color w:val="auto"/>
          <w:sz w:val="24"/>
          <w:highlight w:val="none"/>
        </w:rPr>
        <w:t>本合同其他附件；</w:t>
      </w:r>
    </w:p>
    <w:p>
      <w:pPr>
        <w:spacing w:line="360" w:lineRule="auto"/>
        <w:rPr>
          <w:rFonts w:ascii="宋体" w:hAnsi="宋体" w:cs="宋体"/>
          <w:bCs/>
          <w:color w:val="auto"/>
          <w:sz w:val="24"/>
          <w:szCs w:val="24"/>
          <w:highlight w:val="none"/>
        </w:rPr>
      </w:pPr>
      <w:r>
        <w:rPr>
          <w:rFonts w:ascii="宋体" w:hAnsi="宋体" w:cs="宋体"/>
          <w:color w:val="auto"/>
          <w:sz w:val="24"/>
          <w:szCs w:val="24"/>
          <w:highlight w:val="none"/>
        </w:rPr>
        <w:t xml:space="preserve">   </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第二条</w:t>
      </w:r>
      <w:r>
        <w:rPr>
          <w:rFonts w:ascii="宋体" w:hAnsi="宋体" w:cs="宋体"/>
          <w:b/>
          <w:bCs/>
          <w:color w:val="auto"/>
          <w:sz w:val="24"/>
          <w:szCs w:val="24"/>
          <w:highlight w:val="none"/>
        </w:rPr>
        <w:t xml:space="preserve"> </w:t>
      </w:r>
      <w:bookmarkEnd w:id="96"/>
      <w:bookmarkEnd w:id="97"/>
      <w:bookmarkEnd w:id="98"/>
      <w:bookmarkEnd w:id="99"/>
      <w:bookmarkEnd w:id="100"/>
      <w:r>
        <w:rPr>
          <w:rFonts w:hint="eastAsia" w:ascii="宋体" w:hAnsi="宋体" w:cs="宋体"/>
          <w:b/>
          <w:color w:val="auto"/>
          <w:sz w:val="24"/>
          <w:szCs w:val="24"/>
          <w:highlight w:val="none"/>
        </w:rPr>
        <w:t>合同标的</w:t>
      </w:r>
    </w:p>
    <w:p>
      <w:pPr>
        <w:autoSpaceDE w:val="0"/>
        <w:autoSpaceDN w:val="0"/>
        <w:adjustRightInd w:val="0"/>
        <w:spacing w:line="360" w:lineRule="auto"/>
        <w:ind w:firstLine="480" w:firstLineChars="2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本合同所指设备为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全新的原装产品，原产地为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hint="eastAsia" w:ascii="宋体" w:hAnsi="宋体" w:cs="宋体"/>
          <w:color w:val="auto"/>
          <w:kern w:val="0"/>
          <w:sz w:val="24"/>
          <w:szCs w:val="24"/>
          <w:highlight w:val="none"/>
        </w:rPr>
        <w:t>其</w:t>
      </w:r>
      <w:r>
        <w:rPr>
          <w:rFonts w:hint="eastAsia" w:ascii="宋体" w:hAnsi="宋体" w:cs="宋体"/>
          <w:color w:val="auto"/>
          <w:kern w:val="0"/>
          <w:sz w:val="24"/>
          <w:szCs w:val="24"/>
          <w:highlight w:val="none"/>
          <w:lang w:val="zh-CN"/>
        </w:rPr>
        <w:t>名称、型号、规格、数量、金额详见下表：</w:t>
      </w:r>
    </w:p>
    <w:tbl>
      <w:tblPr>
        <w:tblStyle w:val="22"/>
        <w:tblW w:w="0" w:type="auto"/>
        <w:tblInd w:w="0" w:type="dxa"/>
        <w:tblLayout w:type="fixed"/>
        <w:tblCellMar>
          <w:top w:w="0" w:type="dxa"/>
          <w:left w:w="108" w:type="dxa"/>
          <w:bottom w:w="0" w:type="dxa"/>
          <w:right w:w="108" w:type="dxa"/>
        </w:tblCellMar>
      </w:tblPr>
      <w:tblGrid>
        <w:gridCol w:w="603"/>
        <w:gridCol w:w="1028"/>
        <w:gridCol w:w="1076"/>
        <w:gridCol w:w="709"/>
        <w:gridCol w:w="690"/>
        <w:gridCol w:w="2362"/>
        <w:gridCol w:w="1170"/>
        <w:gridCol w:w="1393"/>
      </w:tblGrid>
      <w:tr>
        <w:tblPrEx>
          <w:tblCellMar>
            <w:top w:w="0" w:type="dxa"/>
            <w:left w:w="108" w:type="dxa"/>
            <w:bottom w:w="0" w:type="dxa"/>
            <w:right w:w="108" w:type="dxa"/>
          </w:tblCellMar>
        </w:tblPrEx>
        <w:trPr>
          <w:trHeight w:val="621" w:hRule="atLeast"/>
        </w:trPr>
        <w:tc>
          <w:tcPr>
            <w:tcW w:w="60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28"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rPr>
              <w:t>品牌</w:t>
            </w:r>
            <w:r>
              <w:rPr>
                <w:rFonts w:hint="eastAsia" w:ascii="宋体" w:hAnsi="宋体" w:cs="宋体"/>
                <w:color w:val="auto"/>
                <w:kern w:val="0"/>
                <w:sz w:val="24"/>
                <w:szCs w:val="24"/>
                <w:highlight w:val="none"/>
                <w:lang w:val="en-US" w:eastAsia="zh-CN"/>
              </w:rPr>
              <w:t>及型号</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353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金额（元）</w:t>
            </w:r>
          </w:p>
        </w:tc>
        <w:tc>
          <w:tcPr>
            <w:tcW w:w="139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0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28"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236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39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VR主机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显示器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VR头盔</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音箱</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鼠标+键盘</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无线路由器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网线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显示器高清线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行走平台HTC</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高空坠落（培训软件）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VR消防（培训软件）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VR消防（考核软件）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31" w:hRule="atLeast"/>
        </w:trPr>
        <w:tc>
          <w:tcPr>
            <w:tcW w:w="6468" w:type="dxa"/>
            <w:gridSpan w:val="6"/>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rPr>
              <w:t>合同暂定总价</w:t>
            </w:r>
          </w:p>
        </w:tc>
        <w:tc>
          <w:tcPr>
            <w:tcW w:w="2563" w:type="dxa"/>
            <w:gridSpan w:val="2"/>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w:t>
            </w:r>
          </w:p>
        </w:tc>
      </w:tr>
    </w:tbl>
    <w:p>
      <w:pPr>
        <w:spacing w:after="120" w:afterLines="50" w:line="360" w:lineRule="auto"/>
        <w:ind w:firstLine="480" w:firstLineChars="200"/>
        <w:rPr>
          <w:rFonts w:ascii="宋体" w:hAnsi="宋体" w:cs="宋体"/>
          <w:color w:val="auto"/>
          <w:kern w:val="0"/>
          <w:sz w:val="24"/>
          <w:szCs w:val="24"/>
          <w:highlight w:val="none"/>
        </w:rPr>
      </w:pPr>
      <w:bookmarkStart w:id="101" w:name="_Toc17140"/>
      <w:bookmarkStart w:id="102" w:name="_Toc474245211"/>
      <w:bookmarkStart w:id="103" w:name="_Toc518992987"/>
      <w:bookmarkStart w:id="104" w:name="_Toc520190027"/>
    </w:p>
    <w:p>
      <w:pPr>
        <w:spacing w:after="120" w:afterLines="50" w:line="360" w:lineRule="auto"/>
        <w:ind w:firstLine="480" w:firstLineChars="200"/>
        <w:rPr>
          <w:color w:val="auto"/>
          <w:highlight w:val="none"/>
          <w:lang w:val="zh-CN"/>
        </w:rPr>
      </w:pPr>
      <w:r>
        <w:rPr>
          <w:rFonts w:hint="eastAsia" w:ascii="宋体" w:hAnsi="宋体" w:cs="宋体"/>
          <w:color w:val="auto"/>
          <w:kern w:val="0"/>
          <w:sz w:val="24"/>
          <w:szCs w:val="24"/>
          <w:highlight w:val="none"/>
          <w:lang w:val="zh-CN"/>
        </w:rPr>
        <w:t>其他技术需求见附件（如需）。</w:t>
      </w:r>
      <w:bookmarkEnd w:id="101"/>
      <w:bookmarkStart w:id="105" w:name="_Toc183666514"/>
      <w:bookmarkStart w:id="106" w:name="_Toc26357"/>
      <w:bookmarkStart w:id="107" w:name="_Toc107446842"/>
      <w:bookmarkStart w:id="108" w:name="_Toc107447235"/>
    </w:p>
    <w:p>
      <w:pPr>
        <w:spacing w:after="120" w:afterLines="50" w:line="360" w:lineRule="auto"/>
        <w:ind w:firstLine="482" w:firstLineChars="200"/>
        <w:rPr>
          <w:rFonts w:ascii="宋体" w:hAnsi="宋体" w:cs="宋体"/>
          <w:color w:val="auto"/>
          <w:sz w:val="24"/>
          <w:szCs w:val="24"/>
          <w:highlight w:val="none"/>
        </w:rPr>
      </w:pPr>
      <w:r>
        <w:rPr>
          <w:rFonts w:hint="eastAsia" w:ascii="宋体" w:hAnsi="宋体" w:cs="宋体"/>
          <w:b/>
          <w:color w:val="auto"/>
          <w:sz w:val="24"/>
          <w:szCs w:val="24"/>
          <w:highlight w:val="none"/>
        </w:rPr>
        <w:t>第三条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交货日期及地点</w:t>
      </w:r>
    </w:p>
    <w:p>
      <w:pPr>
        <w:spacing w:after="120" w:afterLines="5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3.1 </w:t>
      </w:r>
      <w:r>
        <w:rPr>
          <w:rFonts w:hint="eastAsia" w:ascii="宋体" w:hAnsi="宋体" w:cs="宋体"/>
          <w:color w:val="auto"/>
          <w:sz w:val="24"/>
          <w:szCs w:val="24"/>
          <w:highlight w:val="none"/>
        </w:rPr>
        <w:t>交货日期</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lang w:val="en-US" w:eastAsia="zh-CN"/>
        </w:rPr>
        <w:t>自合同签订之日起30日历天</w:t>
      </w:r>
      <w:r>
        <w:rPr>
          <w:rFonts w:hint="eastAsia" w:ascii="宋体" w:hAnsi="宋体" w:cs="宋体"/>
          <w:color w:val="auto"/>
          <w:sz w:val="24"/>
          <w:szCs w:val="24"/>
          <w:highlight w:val="none"/>
          <w:lang w:val="en-US" w:eastAsia="zh-CN"/>
        </w:rPr>
        <w:t>内</w:t>
      </w:r>
      <w:r>
        <w:rPr>
          <w:rFonts w:hint="eastAsia" w:ascii="宋体" w:hAnsi="宋体" w:cs="宋体"/>
          <w:color w:val="auto"/>
          <w:sz w:val="24"/>
          <w:szCs w:val="24"/>
          <w:highlight w:val="none"/>
        </w:rPr>
        <w:t>完成供货（如需有不同交货时间注明）</w:t>
      </w:r>
      <w:r>
        <w:rPr>
          <w:rFonts w:ascii="宋体" w:hAnsi="宋体" w:cs="宋体"/>
          <w:color w:val="auto"/>
          <w:sz w:val="24"/>
          <w:szCs w:val="24"/>
          <w:highlight w:val="none"/>
        </w:rPr>
        <w:t>,</w:t>
      </w:r>
      <w:r>
        <w:rPr>
          <w:rFonts w:hint="eastAsia" w:ascii="宋体" w:hAnsi="宋体" w:cs="宋体"/>
          <w:color w:val="auto"/>
          <w:sz w:val="24"/>
          <w:szCs w:val="24"/>
          <w:highlight w:val="none"/>
        </w:rPr>
        <w:t>具体交货时间以甲方通知为准。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3.2</w:t>
      </w:r>
      <w:r>
        <w:rPr>
          <w:rFonts w:hint="eastAsia" w:ascii="宋体" w:hAnsi="宋体" w:cs="宋体"/>
          <w:bCs/>
          <w:color w:val="auto"/>
          <w:sz w:val="24"/>
          <w:szCs w:val="24"/>
          <w:highlight w:val="none"/>
        </w:rPr>
        <w:t>交货地点：</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广州市荔湾区喜闻路1号，西朗净水厂二期</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w:t>
      </w:r>
      <w:r>
        <w:rPr>
          <w:rFonts w:hint="eastAsia" w:ascii="宋体" w:hAnsi="宋体" w:cs="宋体"/>
          <w:bCs/>
          <w:color w:val="auto"/>
          <w:sz w:val="24"/>
          <w:szCs w:val="24"/>
          <w:highlight w:val="none"/>
        </w:rPr>
        <w:t>最终具体交货地点以甲方通知为准。</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3.3 </w:t>
      </w:r>
      <w:r>
        <w:rPr>
          <w:rFonts w:hint="eastAsia" w:ascii="宋体" w:hAnsi="宋体" w:cs="宋体"/>
          <w:bCs/>
          <w:color w:val="auto"/>
          <w:sz w:val="24"/>
          <w:szCs w:val="24"/>
          <w:highlight w:val="none"/>
        </w:rPr>
        <w:t>交货方式：乙方在设备运至交货地</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3</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个工作日前通知甲方。</w:t>
      </w:r>
    </w:p>
    <w:p>
      <w:pPr>
        <w:spacing w:after="0" w:line="360" w:lineRule="auto"/>
        <w:ind w:firstLine="480" w:firstLineChars="200"/>
        <w:rPr>
          <w:rFonts w:ascii="宋体" w:hAnsi="宋体" w:cs="宋体"/>
          <w:b/>
          <w:color w:val="auto"/>
          <w:sz w:val="24"/>
          <w:szCs w:val="24"/>
          <w:highlight w:val="none"/>
        </w:rPr>
      </w:pPr>
      <w:r>
        <w:rPr>
          <w:rFonts w:ascii="宋体" w:hAnsi="宋体" w:cs="宋体"/>
          <w:bCs/>
          <w:color w:val="auto"/>
          <w:sz w:val="24"/>
          <w:szCs w:val="24"/>
          <w:highlight w:val="none"/>
        </w:rPr>
        <w:t>3.4</w:t>
      </w:r>
      <w:r>
        <w:rPr>
          <w:rFonts w:hint="eastAsia" w:ascii="宋体" w:hAnsi="宋体" w:cs="宋体"/>
          <w:bCs/>
          <w:color w:val="auto"/>
          <w:sz w:val="24"/>
          <w:szCs w:val="24"/>
          <w:highlight w:val="none"/>
        </w:rPr>
        <w:t>其他：</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w:t>
      </w:r>
    </w:p>
    <w:p>
      <w:pPr>
        <w:spacing w:after="0" w:line="360" w:lineRule="auto"/>
        <w:ind w:firstLine="482" w:firstLineChars="200"/>
        <w:rPr>
          <w:rFonts w:ascii="宋体" w:hAnsi="宋体" w:cs="宋体"/>
          <w:color w:val="auto"/>
          <w:kern w:val="0"/>
          <w:sz w:val="24"/>
          <w:szCs w:val="24"/>
          <w:highlight w:val="none"/>
          <w:lang w:val="zh-CN"/>
        </w:rPr>
      </w:pPr>
      <w:r>
        <w:rPr>
          <w:rFonts w:hint="eastAsia" w:ascii="宋体" w:hAnsi="宋体" w:cs="宋体"/>
          <w:b/>
          <w:color w:val="auto"/>
          <w:sz w:val="24"/>
          <w:szCs w:val="24"/>
          <w:highlight w:val="none"/>
        </w:rPr>
        <w:t>第四条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合同价格</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 xml:space="preserve">4.1 </w:t>
      </w:r>
      <w:r>
        <w:rPr>
          <w:rFonts w:hint="eastAsia" w:ascii="宋体" w:hAnsi="宋体" w:cs="宋体"/>
          <w:color w:val="auto"/>
          <w:kern w:val="0"/>
          <w:sz w:val="24"/>
          <w:szCs w:val="24"/>
          <w:highlight w:val="none"/>
          <w:lang w:val="zh-CN"/>
        </w:rPr>
        <w:t>本合同</w:t>
      </w:r>
      <w:r>
        <w:rPr>
          <w:rFonts w:hint="eastAsia" w:ascii="宋体" w:hAnsi="宋体" w:cs="宋体"/>
          <w:color w:val="auto"/>
          <w:kern w:val="0"/>
          <w:sz w:val="24"/>
          <w:szCs w:val="24"/>
          <w:highlight w:val="none"/>
        </w:rPr>
        <w:t>暂定</w:t>
      </w:r>
      <w:r>
        <w:rPr>
          <w:rFonts w:hint="eastAsia" w:ascii="宋体" w:hAnsi="宋体" w:cs="宋体"/>
          <w:color w:val="auto"/>
          <w:kern w:val="0"/>
          <w:sz w:val="24"/>
          <w:szCs w:val="24"/>
          <w:highlight w:val="none"/>
          <w:lang w:val="zh-CN"/>
        </w:rPr>
        <w:t>总价为</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万元，（人民币）大写：</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u w:val="single"/>
          <w:lang w:val="zh-CN"/>
        </w:rPr>
        <w:t>…</w:t>
      </w:r>
      <w:r>
        <w:rPr>
          <w:rFonts w:ascii="宋体" w:hAnsi="宋体" w:cs="宋体"/>
          <w:color w:val="auto"/>
          <w:kern w:val="0"/>
          <w:sz w:val="24"/>
          <w:szCs w:val="24"/>
          <w:highlight w:val="none"/>
          <w:u w:val="single"/>
          <w:lang w:val="zh-CN"/>
        </w:rPr>
        <w:t xml:space="preserve"> </w:t>
      </w:r>
      <w:r>
        <w:rPr>
          <w:rFonts w:hint="eastAsia" w:ascii="宋体" w:hAnsi="宋体" w:cs="宋体"/>
          <w:color w:val="auto"/>
          <w:kern w:val="0"/>
          <w:sz w:val="24"/>
          <w:szCs w:val="24"/>
          <w:highlight w:val="none"/>
          <w:lang w:val="zh-CN"/>
        </w:rPr>
        <w:t>。</w:t>
      </w:r>
      <w:r>
        <w:rPr>
          <w:rFonts w:ascii="宋体" w:hAnsi="宋体" w:cs="宋体"/>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ascii="宋体" w:hAnsi="宋体" w:cs="宋体"/>
          <w:color w:val="auto"/>
          <w:kern w:val="0"/>
          <w:sz w:val="24"/>
          <w:szCs w:val="24"/>
          <w:highlight w:val="none"/>
          <w:lang w:val="zh-CN"/>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zh-CN"/>
        </w:rPr>
        <w:t>设备价格</w:t>
      </w:r>
      <w:r>
        <w:rPr>
          <w:rFonts w:hint="eastAsia" w:ascii="宋体" w:hAnsi="宋体" w:cs="宋体"/>
          <w:color w:val="auto"/>
          <w:kern w:val="0"/>
          <w:sz w:val="24"/>
          <w:szCs w:val="24"/>
          <w:highlight w:val="none"/>
          <w:u w:val="none"/>
          <w:lang w:val="zh-CN"/>
        </w:rPr>
        <w:t>包括工艺设计、设备及随机附件的制造、包装、运输（设备运输过程中所需的相关手续</w:t>
      </w:r>
      <w:r>
        <w:rPr>
          <w:rFonts w:hint="eastAsia" w:ascii="宋体" w:hAnsi="宋体" w:cs="宋体"/>
          <w:color w:val="auto"/>
          <w:kern w:val="0"/>
          <w:sz w:val="24"/>
          <w:szCs w:val="24"/>
          <w:highlight w:val="none"/>
          <w:u w:val="none"/>
        </w:rPr>
        <w:t>及费用</w:t>
      </w:r>
      <w:r>
        <w:rPr>
          <w:rFonts w:hint="eastAsia" w:ascii="宋体" w:hAnsi="宋体" w:cs="宋体"/>
          <w:color w:val="auto"/>
          <w:kern w:val="0"/>
          <w:sz w:val="24"/>
          <w:szCs w:val="24"/>
          <w:highlight w:val="none"/>
          <w:u w:val="none"/>
          <w:lang w:val="zh-CN"/>
        </w:rPr>
        <w:t>）、装卸、安装调试</w:t>
      </w:r>
      <w:r>
        <w:rPr>
          <w:rFonts w:hint="eastAsia" w:ascii="宋体" w:hAnsi="宋体" w:cs="宋体"/>
          <w:color w:val="auto"/>
          <w:kern w:val="0"/>
          <w:sz w:val="24"/>
          <w:szCs w:val="24"/>
          <w:highlight w:val="none"/>
          <w:u w:val="none"/>
          <w:lang w:val="en-US" w:eastAsia="zh-CN"/>
        </w:rPr>
        <w:t>或者指导安装调试</w:t>
      </w:r>
      <w:r>
        <w:rPr>
          <w:rFonts w:hint="eastAsia" w:ascii="宋体" w:hAnsi="宋体" w:cs="宋体"/>
          <w:color w:val="auto"/>
          <w:kern w:val="0"/>
          <w:sz w:val="24"/>
          <w:szCs w:val="24"/>
          <w:highlight w:val="none"/>
          <w:u w:val="non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宋体" w:hAnsi="宋体" w:cs="宋体"/>
          <w:color w:val="auto"/>
          <w:kern w:val="0"/>
          <w:sz w:val="24"/>
          <w:szCs w:val="24"/>
          <w:highlight w:val="none"/>
        </w:rPr>
      </w:pPr>
      <w:r>
        <w:rPr>
          <w:rFonts w:ascii="宋体" w:hAnsi="宋体" w:cs="宋体"/>
          <w:color w:val="auto"/>
          <w:kern w:val="0"/>
          <w:sz w:val="24"/>
          <w:szCs w:val="24"/>
          <w:highlight w:val="none"/>
        </w:rPr>
        <w:t>4</w:t>
      </w:r>
      <w:r>
        <w:rPr>
          <w:rFonts w:ascii="宋体" w:hAnsi="宋体" w:cs="宋体"/>
          <w:color w:val="auto"/>
          <w:kern w:val="0"/>
          <w:sz w:val="24"/>
          <w:szCs w:val="24"/>
          <w:highlight w:val="none"/>
          <w:lang w:val="zh-CN"/>
        </w:rPr>
        <w:t>.3</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本合同约定的价格为含税价价格</w:t>
      </w:r>
      <w:r>
        <w:rPr>
          <w:rFonts w:hint="eastAsia" w:ascii="宋体" w:hAnsi="宋体" w:cs="宋体"/>
          <w:color w:val="auto"/>
          <w:sz w:val="24"/>
          <w:szCs w:val="24"/>
          <w:highlight w:val="none"/>
        </w:rPr>
        <w:t>（税率</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ascii="宋体" w:hAnsi="宋体" w:cs="宋体"/>
          <w:b/>
          <w:color w:val="auto"/>
          <w:sz w:val="24"/>
          <w:szCs w:val="24"/>
          <w:highlight w:val="none"/>
        </w:rPr>
      </w:pPr>
      <w:bookmarkStart w:id="109" w:name="_Toc520190029"/>
      <w:bookmarkStart w:id="110" w:name="_Toc474245213"/>
      <w:bookmarkStart w:id="111" w:name="_Toc518992989"/>
      <w:bookmarkStart w:id="112" w:name="_Toc107446843"/>
      <w:bookmarkStart w:id="113" w:name="_Toc107447236"/>
      <w:r>
        <w:rPr>
          <w:rFonts w:hint="eastAsia" w:ascii="宋体" w:hAnsi="宋体" w:cs="宋体"/>
          <w:b/>
          <w:color w:val="auto"/>
          <w:sz w:val="24"/>
          <w:szCs w:val="24"/>
          <w:highlight w:val="none"/>
        </w:rPr>
        <w:t>第五条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支付方式</w:t>
      </w:r>
      <w:bookmarkEnd w:id="109"/>
      <w:bookmarkEnd w:id="110"/>
      <w:bookmarkEnd w:id="111"/>
    </w:p>
    <w:bookmarkEnd w:id="112"/>
    <w:bookmarkEnd w:id="113"/>
    <w:p>
      <w:pPr>
        <w:tabs>
          <w:tab w:val="left" w:pos="851"/>
        </w:tabs>
        <w:adjustRightInd w:val="0"/>
        <w:snapToGrid w:val="0"/>
        <w:spacing w:after="0" w:line="360" w:lineRule="auto"/>
        <w:ind w:firstLine="480" w:firstLineChars="200"/>
        <w:rPr>
          <w:rFonts w:ascii="宋体" w:hAnsi="宋体" w:cs="宋体"/>
          <w:color w:val="auto"/>
          <w:sz w:val="24"/>
          <w:szCs w:val="24"/>
          <w:highlight w:val="none"/>
        </w:rPr>
      </w:pPr>
      <w:bookmarkStart w:id="114" w:name="_Toc183666516"/>
      <w:bookmarkStart w:id="115" w:name="_Toc14703"/>
      <w:r>
        <w:rPr>
          <w:rFonts w:ascii="宋体" w:hAnsi="宋体" w:cs="宋体"/>
          <w:color w:val="auto"/>
          <w:sz w:val="24"/>
          <w:szCs w:val="24"/>
          <w:highlight w:val="none"/>
        </w:rPr>
        <w:t>5.1</w:t>
      </w:r>
      <w:r>
        <w:rPr>
          <w:rFonts w:hint="eastAsia" w:ascii="宋体" w:hAnsi="宋体" w:cs="宋体"/>
          <w:bCs/>
          <w:color w:val="auto"/>
          <w:sz w:val="24"/>
          <w:szCs w:val="24"/>
          <w:highlight w:val="none"/>
        </w:rPr>
        <w:t>预付款的支付：</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sym w:font="Wingdings 2" w:char="00A3"/>
      </w:r>
      <w:r>
        <w:rPr>
          <w:rFonts w:hint="eastAsia" w:ascii="宋体" w:hAnsi="宋体" w:cs="宋体"/>
          <w:color w:val="auto"/>
          <w:szCs w:val="21"/>
          <w:highlight w:val="none"/>
          <w:lang w:val="en-US" w:eastAsia="zh-CN"/>
        </w:rPr>
        <w:t>有，</w:t>
      </w:r>
      <w:r>
        <w:rPr>
          <w:rFonts w:hint="eastAsia" w:ascii="宋体" w:hAnsi="宋体" w:cs="宋体"/>
          <w:bCs/>
          <w:color w:val="auto"/>
          <w:sz w:val="24"/>
          <w:szCs w:val="24"/>
          <w:highlight w:val="none"/>
        </w:rPr>
        <w:t>合同签订后，乙方开具等额的增值税专用发票及提交履约担保（如有）后</w:t>
      </w:r>
      <w:r>
        <w:rPr>
          <w:rFonts w:ascii="宋体" w:hAnsi="宋体" w:cs="宋体"/>
          <w:bCs/>
          <w:color w:val="auto"/>
          <w:sz w:val="24"/>
          <w:szCs w:val="24"/>
          <w:highlight w:val="none"/>
          <w:u w:val="single"/>
        </w:rPr>
        <w:t>10</w:t>
      </w:r>
      <w:r>
        <w:rPr>
          <w:rFonts w:hint="eastAsia" w:ascii="宋体" w:hAnsi="宋体" w:cs="宋体"/>
          <w:bCs/>
          <w:color w:val="auto"/>
          <w:sz w:val="24"/>
          <w:szCs w:val="24"/>
          <w:highlight w:val="none"/>
        </w:rPr>
        <w:t>个工作日内，甲方支付合同暂定总价的</w:t>
      </w:r>
      <w:r>
        <w:rPr>
          <w:rFonts w:ascii="宋体" w:hAnsi="宋体" w:cs="宋体"/>
          <w:bCs/>
          <w:color w:val="auto"/>
          <w:sz w:val="24"/>
          <w:szCs w:val="24"/>
          <w:highlight w:val="none"/>
        </w:rPr>
        <w:t xml:space="preserve"> </w:t>
      </w:r>
      <w:r>
        <w:rPr>
          <w:rFonts w:ascii="宋体" w:hAnsi="宋体" w:cs="宋体"/>
          <w:bCs/>
          <w:color w:val="auto"/>
          <w:sz w:val="24"/>
          <w:szCs w:val="24"/>
          <w:highlight w:val="none"/>
          <w:u w:val="single"/>
        </w:rPr>
        <w:t xml:space="preserve">  30%  </w:t>
      </w:r>
      <w:r>
        <w:rPr>
          <w:rFonts w:hint="eastAsia" w:ascii="宋体" w:hAnsi="宋体" w:cs="宋体"/>
          <w:color w:val="auto"/>
          <w:sz w:val="24"/>
          <w:szCs w:val="24"/>
          <w:highlight w:val="none"/>
        </w:rPr>
        <w:t>即</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元，（大写：</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u w:val="single"/>
        </w:rPr>
        <w:t xml:space="preserve">  </w:t>
      </w:r>
      <w:r>
        <w:rPr>
          <w:rFonts w:hint="eastAsia" w:ascii="宋体" w:hAnsi="宋体" w:cs="宋体"/>
          <w:bCs/>
          <w:color w:val="auto"/>
          <w:sz w:val="24"/>
          <w:szCs w:val="24"/>
          <w:highlight w:val="none"/>
        </w:rPr>
        <w:t>作为预付款。</w:t>
      </w:r>
      <w:r>
        <w:rPr>
          <w:rFonts w:hint="eastAsia" w:ascii="宋体" w:hAnsi="宋体" w:cs="宋体"/>
          <w:color w:val="auto"/>
          <w:sz w:val="24"/>
          <w:szCs w:val="24"/>
          <w:highlight w:val="none"/>
        </w:rPr>
        <w:t>若合同解除或终止，乙方在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个工作日内返还预付款（无息）。</w:t>
      </w:r>
      <w:r>
        <w:rPr>
          <w:rFonts w:hint="eastAsia" w:ascii="宋体" w:hAnsi="宋体" w:cs="宋体"/>
          <w:bCs/>
          <w:color w:val="auto"/>
          <w:kern w:val="0"/>
          <w:sz w:val="24"/>
          <w:szCs w:val="24"/>
          <w:highlight w:val="none"/>
        </w:rPr>
        <w:t>逾期未返还，每逾期一天，乙方应按合同暂定总价的</w:t>
      </w:r>
      <w:r>
        <w:rPr>
          <w:rFonts w:hint="eastAsia" w:ascii="宋体" w:hAnsi="宋体" w:cs="宋体"/>
          <w:bCs/>
          <w:color w:val="auto"/>
          <w:kern w:val="0"/>
          <w:sz w:val="24"/>
          <w:szCs w:val="24"/>
          <w:highlight w:val="none"/>
          <w:u w:val="single"/>
        </w:rPr>
        <w:t>万分之五</w:t>
      </w:r>
      <w:r>
        <w:rPr>
          <w:rFonts w:ascii="宋体" w:hAnsi="宋体" w:cs="宋体"/>
          <w:bCs/>
          <w:color w:val="auto"/>
          <w:kern w:val="0"/>
          <w:sz w:val="24"/>
          <w:szCs w:val="24"/>
          <w:highlight w:val="none"/>
          <w:u w:val="single"/>
        </w:rPr>
        <w:t>/</w:t>
      </w:r>
      <w:r>
        <w:rPr>
          <w:rFonts w:hint="eastAsia" w:ascii="宋体" w:hAnsi="宋体" w:cs="宋体"/>
          <w:bCs/>
          <w:color w:val="auto"/>
          <w:kern w:val="0"/>
          <w:sz w:val="24"/>
          <w:szCs w:val="24"/>
          <w:highlight w:val="none"/>
          <w:u w:val="single"/>
        </w:rPr>
        <w:t>天</w:t>
      </w:r>
      <w:r>
        <w:rPr>
          <w:rFonts w:hint="eastAsia" w:ascii="宋体" w:hAnsi="宋体" w:cs="宋体"/>
          <w:bCs/>
          <w:color w:val="auto"/>
          <w:kern w:val="0"/>
          <w:sz w:val="24"/>
          <w:szCs w:val="24"/>
          <w:highlight w:val="none"/>
        </w:rPr>
        <w:t>支付违约金</w:t>
      </w:r>
      <w:r>
        <w:rPr>
          <w:rFonts w:hint="eastAsia" w:ascii="宋体" w:hAnsi="宋体" w:cs="宋体"/>
          <w:color w:val="auto"/>
          <w:sz w:val="24"/>
          <w:szCs w:val="24"/>
          <w:highlight w:val="none"/>
        </w:rPr>
        <w:t>。</w:t>
      </w:r>
    </w:p>
    <w:p>
      <w:pPr>
        <w:tabs>
          <w:tab w:val="left" w:pos="851"/>
        </w:tabs>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 xml:space="preserve">5.2 </w:t>
      </w:r>
      <w:r>
        <w:rPr>
          <w:rFonts w:hint="eastAsia" w:ascii="宋体" w:hAnsi="宋体" w:cs="宋体"/>
          <w:color w:val="auto"/>
          <w:sz w:val="24"/>
          <w:szCs w:val="24"/>
          <w:highlight w:val="none"/>
        </w:rPr>
        <w:t>支付方式：</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5.2.1</w:t>
      </w:r>
      <w:r>
        <w:rPr>
          <w:rFonts w:hint="eastAsia" w:ascii="宋体" w:hAnsi="宋体" w:cs="宋体"/>
          <w:color w:val="auto"/>
          <w:sz w:val="24"/>
          <w:szCs w:val="24"/>
          <w:highlight w:val="none"/>
        </w:rPr>
        <w:t>设备到达现场，经开箱验收合格并全部调试完毕，乙方提交请款资料及等额增值税专用发票，经甲方结算审核后</w:t>
      </w:r>
      <w:r>
        <w:rPr>
          <w:rFonts w:ascii="宋体" w:hAnsi="宋体" w:cs="宋体"/>
          <w:color w:val="auto"/>
          <w:sz w:val="24"/>
          <w:szCs w:val="24"/>
          <w:highlight w:val="none"/>
          <w:u w:val="single"/>
        </w:rPr>
        <w:t xml:space="preserve"> 15 </w:t>
      </w:r>
      <w:r>
        <w:rPr>
          <w:rFonts w:hint="eastAsia" w:ascii="宋体" w:hAnsi="宋体" w:cs="宋体"/>
          <w:color w:val="auto"/>
          <w:sz w:val="24"/>
          <w:szCs w:val="24"/>
          <w:highlight w:val="none"/>
        </w:rPr>
        <w:t>个工作日内，支付至合同结算价的</w:t>
      </w:r>
      <w:r>
        <w:rPr>
          <w:rFonts w:ascii="宋体" w:hAnsi="宋体" w:cs="宋体"/>
          <w:color w:val="auto"/>
          <w:sz w:val="24"/>
          <w:szCs w:val="24"/>
          <w:highlight w:val="none"/>
        </w:rPr>
        <w:t>95%</w:t>
      </w:r>
      <w:r>
        <w:rPr>
          <w:rFonts w:hint="eastAsia" w:ascii="宋体" w:hAnsi="宋体" w:cs="宋体"/>
          <w:color w:val="auto"/>
          <w:sz w:val="24"/>
          <w:szCs w:val="24"/>
          <w:highlight w:val="none"/>
        </w:rPr>
        <w:t>（含预付款）（若审核价低于合同暂定总价，则以审核价作为合同结算价，否则以合同暂定总价为合同结算价），合同结算价的</w:t>
      </w:r>
      <w:r>
        <w:rPr>
          <w:rFonts w:ascii="宋体" w:hAnsi="宋体" w:cs="宋体"/>
          <w:color w:val="auto"/>
          <w:sz w:val="24"/>
          <w:szCs w:val="24"/>
          <w:highlight w:val="none"/>
        </w:rPr>
        <w:t>5%</w:t>
      </w:r>
      <w:r>
        <w:rPr>
          <w:rFonts w:hint="eastAsia" w:ascii="宋体" w:hAnsi="宋体" w:cs="宋体"/>
          <w:color w:val="auto"/>
          <w:sz w:val="24"/>
          <w:szCs w:val="24"/>
          <w:highlight w:val="none"/>
        </w:rPr>
        <w:t>作为质保金留存。</w:t>
      </w:r>
    </w:p>
    <w:p>
      <w:pPr>
        <w:pStyle w:val="11"/>
        <w:spacing w:line="360" w:lineRule="auto"/>
        <w:ind w:firstLine="600" w:firstLineChars="250"/>
        <w:outlineLvl w:val="1"/>
        <w:rPr>
          <w:rFonts w:hAnsi="宋体" w:cs="宋体"/>
          <w:color w:val="auto"/>
          <w:sz w:val="24"/>
          <w:szCs w:val="24"/>
          <w:highlight w:val="none"/>
        </w:rPr>
      </w:pPr>
      <w:r>
        <w:rPr>
          <w:rFonts w:hAnsi="宋体" w:cs="宋体"/>
          <w:color w:val="auto"/>
          <w:sz w:val="24"/>
          <w:szCs w:val="24"/>
          <w:highlight w:val="none"/>
        </w:rPr>
        <w:t>5.2.2</w:t>
      </w:r>
      <w:r>
        <w:rPr>
          <w:rFonts w:hint="default" w:hAnsi="宋体" w:cs="宋体"/>
          <w:color w:val="auto"/>
          <w:sz w:val="24"/>
          <w:szCs w:val="24"/>
          <w:highlight w:val="none"/>
        </w:rPr>
        <w:t>质保期按合同第</w:t>
      </w:r>
      <w:r>
        <w:rPr>
          <w:rFonts w:hint="eastAsia" w:hAnsi="宋体" w:cs="宋体"/>
          <w:color w:val="auto"/>
          <w:sz w:val="24"/>
          <w:szCs w:val="24"/>
          <w:highlight w:val="none"/>
          <w:lang w:val="en-US" w:eastAsia="zh-CN"/>
        </w:rPr>
        <w:t>十</w:t>
      </w:r>
      <w:r>
        <w:rPr>
          <w:rFonts w:hint="default" w:hAnsi="宋体" w:cs="宋体"/>
          <w:color w:val="auto"/>
          <w:sz w:val="24"/>
          <w:szCs w:val="24"/>
          <w:highlight w:val="none"/>
        </w:rPr>
        <w:t>条规定执行，质保期满且乙方不存在违约情形，乙方提交请款资料及等额增值税专用发票，甲方审核无误后在</w:t>
      </w:r>
      <w:r>
        <w:rPr>
          <w:rFonts w:hAnsi="宋体" w:cs="宋体"/>
          <w:color w:val="auto"/>
          <w:sz w:val="24"/>
          <w:szCs w:val="24"/>
          <w:highlight w:val="none"/>
          <w:u w:val="none"/>
        </w:rPr>
        <w:t xml:space="preserve"> 15 </w:t>
      </w:r>
      <w:r>
        <w:rPr>
          <w:rFonts w:hint="default" w:hAnsi="宋体" w:cs="宋体"/>
          <w:color w:val="auto"/>
          <w:sz w:val="24"/>
          <w:szCs w:val="24"/>
          <w:highlight w:val="none"/>
        </w:rPr>
        <w:t>个工作日内支付合同结算价的</w:t>
      </w:r>
      <w:r>
        <w:rPr>
          <w:rFonts w:hAnsi="宋体" w:cs="宋体"/>
          <w:color w:val="auto"/>
          <w:sz w:val="24"/>
          <w:szCs w:val="24"/>
          <w:highlight w:val="none"/>
        </w:rPr>
        <w:t>5</w:t>
      </w:r>
      <w:r>
        <w:rPr>
          <w:rFonts w:hint="default" w:hAnsi="宋体" w:cs="宋体"/>
          <w:color w:val="auto"/>
          <w:sz w:val="24"/>
          <w:szCs w:val="24"/>
          <w:highlight w:val="none"/>
        </w:rPr>
        <w:t>％（质保金）给乙方</w:t>
      </w:r>
      <w:r>
        <w:rPr>
          <w:rFonts w:hAnsi="宋体" w:cs="宋体"/>
          <w:color w:val="auto"/>
          <w:sz w:val="24"/>
          <w:szCs w:val="24"/>
          <w:highlight w:val="none"/>
        </w:rPr>
        <w:t>(</w:t>
      </w:r>
      <w:r>
        <w:rPr>
          <w:rFonts w:hint="default" w:hAnsi="宋体" w:cs="宋体"/>
          <w:color w:val="auto"/>
          <w:sz w:val="24"/>
          <w:szCs w:val="24"/>
          <w:highlight w:val="none"/>
        </w:rPr>
        <w:t>无息</w:t>
      </w:r>
      <w:r>
        <w:rPr>
          <w:rFonts w:hAnsi="宋体" w:cs="宋体"/>
          <w:color w:val="auto"/>
          <w:sz w:val="24"/>
          <w:szCs w:val="24"/>
          <w:highlight w:val="none"/>
        </w:rPr>
        <w:t>)</w:t>
      </w:r>
      <w:r>
        <w:rPr>
          <w:rFonts w:hint="default" w:hAnsi="宋体" w:cs="宋体"/>
          <w:color w:val="auto"/>
          <w:sz w:val="24"/>
          <w:szCs w:val="24"/>
          <w:highlight w:val="none"/>
        </w:rPr>
        <w:t>。</w:t>
      </w:r>
    </w:p>
    <w:p>
      <w:pPr>
        <w:pStyle w:val="2"/>
        <w:rPr>
          <w:color w:val="auto"/>
          <w:highlight w:val="none"/>
        </w:rPr>
      </w:pP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乙方收款账户：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收款账号：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1200" w:firstLineChars="500"/>
        <w:rPr>
          <w:rFonts w:ascii="宋体" w:hAnsi="宋体" w:cs="宋体"/>
          <w:color w:val="auto"/>
          <w:sz w:val="24"/>
          <w:szCs w:val="24"/>
          <w:highlight w:val="none"/>
        </w:rPr>
      </w:pPr>
      <w:r>
        <w:rPr>
          <w:rFonts w:hint="eastAsia" w:ascii="宋体" w:hAnsi="宋体" w:cs="宋体"/>
          <w:color w:val="auto"/>
          <w:sz w:val="24"/>
          <w:szCs w:val="24"/>
          <w:highlight w:val="none"/>
        </w:rPr>
        <w:t>开户行：</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 xml:space="preserve">   </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5.2.</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乙方在收款前需向甲方提交等额增值税专用发票，增值税专用发票信息：</w:t>
      </w:r>
    </w:p>
    <w:p>
      <w:pPr>
        <w:spacing w:line="360" w:lineRule="auto"/>
        <w:ind w:firstLine="1200" w:firstLineChars="500"/>
        <w:rPr>
          <w:rFonts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pPr>
        <w:tabs>
          <w:tab w:val="left" w:pos="851"/>
        </w:tabs>
        <w:adjustRightInd w:val="0"/>
        <w:snapToGrid w:val="0"/>
        <w:spacing w:line="360" w:lineRule="auto"/>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lang w:val="en-US" w:eastAsia="zh-CN"/>
        </w:rPr>
        <w:t xml:space="preserve">3 </w:t>
      </w:r>
      <w:r>
        <w:rPr>
          <w:rFonts w:hint="eastAsia" w:ascii="宋体" w:hAnsi="宋体" w:cs="宋体"/>
          <w:color w:val="auto"/>
          <w:sz w:val="24"/>
          <w:szCs w:val="24"/>
          <w:highlight w:val="none"/>
        </w:rPr>
        <w:t>付款方式：</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FE"/>
      </w:r>
      <w:r>
        <w:rPr>
          <w:rFonts w:hint="eastAsia" w:ascii="宋体" w:hAnsi="宋体" w:cs="宋体"/>
          <w:color w:val="auto"/>
          <w:sz w:val="24"/>
          <w:szCs w:val="24"/>
          <w:highlight w:val="none"/>
        </w:rPr>
        <w:t>网银支付；</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支票；</w:t>
      </w:r>
      <w:r>
        <w:rPr>
          <w:rFonts w:ascii="宋体" w:hAnsi="宋体" w:cs="宋体"/>
          <w:color w:val="auto"/>
          <w:sz w:val="24"/>
          <w:szCs w:val="24"/>
          <w:highlight w:val="none"/>
        </w:rPr>
        <w:t xml:space="preserve">   </w:t>
      </w:r>
      <w:r>
        <w:rPr>
          <w:rFonts w:ascii="宋体" w:hAnsi="宋体" w:cs="宋体"/>
          <w:color w:val="auto"/>
          <w:sz w:val="24"/>
          <w:szCs w:val="24"/>
          <w:highlight w:val="none"/>
        </w:rPr>
        <w:sym w:font="Wingdings" w:char="00A8"/>
      </w:r>
      <w:r>
        <w:rPr>
          <w:rFonts w:hint="eastAsia" w:ascii="宋体" w:hAnsi="宋体" w:cs="宋体"/>
          <w:color w:val="auto"/>
          <w:sz w:val="24"/>
          <w:szCs w:val="24"/>
          <w:highlight w:val="none"/>
        </w:rPr>
        <w:t>其他：</w:t>
      </w:r>
      <w:r>
        <w:rPr>
          <w:rFonts w:ascii="宋体" w:hAnsi="宋体" w:cs="宋体"/>
          <w:color w:val="auto"/>
          <w:sz w:val="24"/>
          <w:szCs w:val="24"/>
          <w:highlight w:val="none"/>
        </w:rPr>
        <w:t xml:space="preserve">       </w:t>
      </w:r>
    </w:p>
    <w:p>
      <w:pPr>
        <w:autoSpaceDE w:val="0"/>
        <w:autoSpaceDN w:val="0"/>
        <w:adjustRightInd w:val="0"/>
        <w:spacing w:after="0" w:line="360" w:lineRule="auto"/>
        <w:ind w:firstLine="482" w:firstLineChars="200"/>
        <w:rPr>
          <w:rFonts w:ascii="宋体" w:hAnsi="宋体" w:cs="宋体"/>
          <w:bCs/>
          <w:color w:val="auto"/>
          <w:sz w:val="24"/>
          <w:szCs w:val="24"/>
          <w:highlight w:val="none"/>
        </w:rPr>
      </w:pPr>
      <w:r>
        <w:rPr>
          <w:rFonts w:hint="eastAsia" w:ascii="宋体" w:hAnsi="宋体" w:cs="宋体"/>
          <w:b/>
          <w:color w:val="auto"/>
          <w:sz w:val="24"/>
          <w:szCs w:val="24"/>
          <w:highlight w:val="none"/>
        </w:rPr>
        <w:t>第六条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履约担保</w:t>
      </w:r>
    </w:p>
    <w:p>
      <w:pPr>
        <w:spacing w:after="0" w:line="360" w:lineRule="auto"/>
        <w:ind w:firstLine="480" w:firstLineChars="200"/>
        <w:outlineLvl w:val="0"/>
        <w:rPr>
          <w:rFonts w:ascii="宋体" w:hAnsi="宋体" w:cs="宋体"/>
          <w:color w:val="auto"/>
          <w:sz w:val="24"/>
          <w:szCs w:val="24"/>
          <w:highlight w:val="none"/>
          <w:u w:val="single"/>
        </w:rPr>
      </w:pPr>
      <w:r>
        <w:rPr>
          <w:rFonts w:ascii="宋体" w:hAnsi="宋体" w:cs="宋体"/>
          <w:color w:val="auto"/>
          <w:sz w:val="24"/>
          <w:szCs w:val="24"/>
          <w:highlight w:val="none"/>
        </w:rPr>
        <w:t>6.1</w:t>
      </w:r>
      <w:r>
        <w:rPr>
          <w:rFonts w:hint="eastAsia" w:ascii="宋体" w:hAnsi="宋体" w:cs="宋体"/>
          <w:color w:val="auto"/>
          <w:sz w:val="24"/>
          <w:szCs w:val="24"/>
          <w:highlight w:val="none"/>
        </w:rPr>
        <w:t>履约担保：</w:t>
      </w:r>
      <w:r>
        <w:rPr>
          <w:rFonts w:hint="eastAsia" w:ascii="宋体" w:hAnsi="宋体" w:cs="宋体"/>
          <w:color w:val="auto"/>
          <w:szCs w:val="21"/>
          <w:highlight w:val="none"/>
        </w:rPr>
        <w:sym w:font="Wingdings 2" w:char="0052"/>
      </w:r>
      <w:r>
        <w:rPr>
          <w:rFonts w:hint="eastAsia" w:ascii="宋体" w:hAnsi="宋体" w:cs="宋体"/>
          <w:bCs/>
          <w:color w:val="auto"/>
          <w:sz w:val="24"/>
          <w:szCs w:val="24"/>
          <w:highlight w:val="none"/>
        </w:rPr>
        <w:t>无；</w:t>
      </w:r>
      <w:r>
        <w:rPr>
          <w:rFonts w:ascii="宋体" w:hAnsi="宋体" w:cs="宋体"/>
          <w:bCs/>
          <w:color w:val="auto"/>
          <w:sz w:val="24"/>
          <w:szCs w:val="24"/>
          <w:highlight w:val="none"/>
        </w:rPr>
        <w:t xml:space="preserve">   </w:t>
      </w:r>
      <w:r>
        <w:rPr>
          <w:rFonts w:hint="eastAsia" w:ascii="宋体" w:hAnsi="宋体" w:cs="宋体"/>
          <w:color w:val="auto"/>
          <w:szCs w:val="21"/>
          <w:highlight w:val="none"/>
        </w:rPr>
        <w:t>□</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lang w:val="en-US" w:eastAsia="zh-CN"/>
        </w:rPr>
        <w:t>有，</w:t>
      </w:r>
      <w:r>
        <w:rPr>
          <w:rFonts w:hint="eastAsia" w:ascii="宋体" w:hAnsi="宋体" w:cs="宋体"/>
          <w:color w:val="auto"/>
          <w:sz w:val="24"/>
          <w:szCs w:val="24"/>
          <w:highlight w:val="none"/>
        </w:rPr>
        <w:t>本合同签订后</w:t>
      </w:r>
      <w:r>
        <w:rPr>
          <w:rFonts w:ascii="宋体" w:hAnsi="宋体" w:cs="宋体"/>
          <w:color w:val="auto"/>
          <w:sz w:val="24"/>
          <w:szCs w:val="24"/>
          <w:highlight w:val="none"/>
        </w:rPr>
        <w:t>10</w:t>
      </w:r>
      <w:r>
        <w:rPr>
          <w:rFonts w:hint="eastAsia" w:ascii="宋体" w:hAnsi="宋体" w:cs="宋体"/>
          <w:color w:val="auto"/>
          <w:sz w:val="24"/>
          <w:szCs w:val="24"/>
          <w:highlight w:val="none"/>
        </w:rPr>
        <w:t>日内</w:t>
      </w:r>
      <w:r>
        <w:rPr>
          <w:rFonts w:hint="eastAsia" w:ascii="宋体" w:hAnsi="宋体" w:cs="宋体"/>
          <w:color w:val="auto"/>
          <w:sz w:val="24"/>
          <w:szCs w:val="24"/>
          <w:highlight w:val="none"/>
          <w:u w:val="single"/>
        </w:rPr>
        <w:t>以合同暂定总价的</w:t>
      </w:r>
      <w:r>
        <w:rPr>
          <w:rFonts w:ascii="宋体" w:hAnsi="宋体" w:cs="宋体"/>
          <w:color w:val="auto"/>
          <w:sz w:val="24"/>
          <w:szCs w:val="24"/>
          <w:highlight w:val="none"/>
          <w:u w:val="single"/>
        </w:rPr>
        <w:t>10%作为履约保证金</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金额为：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rPr>
        <w:t>（大写人民币：</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p>
    <w:p>
      <w:pPr>
        <w:pStyle w:val="20"/>
        <w:spacing w:before="0" w:beforeAutospacing="0" w:after="0" w:afterAutospacing="0" w:line="360" w:lineRule="auto"/>
        <w:ind w:firstLine="480"/>
        <w:rPr>
          <w:rFonts w:cs="宋体"/>
          <w:color w:val="auto"/>
          <w:highlight w:val="none"/>
        </w:rPr>
      </w:pPr>
      <w:r>
        <w:rPr>
          <w:rFonts w:cs="宋体"/>
          <w:color w:val="auto"/>
          <w:highlight w:val="none"/>
        </w:rPr>
        <w:t>6.2履约担保</w:t>
      </w:r>
      <w:r>
        <w:rPr>
          <w:rFonts w:hint="eastAsia" w:cs="宋体"/>
          <w:color w:val="auto"/>
          <w:highlight w:val="none"/>
        </w:rPr>
        <w:t>按以下任一种形式提供</w:t>
      </w:r>
      <w:r>
        <w:rPr>
          <w:rFonts w:cs="宋体"/>
          <w:color w:val="auto"/>
          <w:highlight w:val="none"/>
        </w:rPr>
        <w:t>：</w:t>
      </w:r>
    </w:p>
    <w:p>
      <w:pPr>
        <w:pStyle w:val="20"/>
        <w:spacing w:before="0" w:beforeAutospacing="0" w:after="0" w:afterAutospacing="0" w:line="360" w:lineRule="auto"/>
        <w:ind w:firstLine="480"/>
        <w:rPr>
          <w:rFonts w:cs="宋体"/>
          <w:color w:val="auto"/>
          <w:highlight w:val="none"/>
        </w:rPr>
      </w:pPr>
      <w:r>
        <w:rPr>
          <w:rFonts w:hint="eastAsia" w:cs="宋体"/>
          <w:color w:val="auto"/>
          <w:highlight w:val="none"/>
        </w:rPr>
        <w:t>1、符合甲方要求（详见附件6保函格式）的银行独立保函，</w:t>
      </w:r>
    </w:p>
    <w:p>
      <w:pPr>
        <w:pStyle w:val="20"/>
        <w:spacing w:before="0" w:beforeAutospacing="0" w:after="0" w:afterAutospacing="0" w:line="360" w:lineRule="auto"/>
        <w:ind w:firstLine="480"/>
        <w:rPr>
          <w:rFonts w:cs="宋体"/>
          <w:color w:val="auto"/>
          <w:highlight w:val="none"/>
        </w:rPr>
      </w:pPr>
      <w:r>
        <w:rPr>
          <w:rFonts w:hint="eastAsia" w:cs="宋体"/>
          <w:color w:val="auto"/>
          <w:highlight w:val="none"/>
        </w:rPr>
        <w:t>2、现金转账至甲方以下指定账户：</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户名：广州市净水有限公司</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账号：</w:t>
      </w:r>
      <w:r>
        <w:rPr>
          <w:rFonts w:ascii="宋体" w:hAnsi="宋体" w:cs="宋体"/>
          <w:bCs/>
          <w:color w:val="auto"/>
          <w:sz w:val="24"/>
          <w:szCs w:val="24"/>
          <w:highlight w:val="none"/>
        </w:rPr>
        <w:t>82010154900000342</w:t>
      </w:r>
    </w:p>
    <w:p>
      <w:pPr>
        <w:tabs>
          <w:tab w:val="left" w:pos="1995"/>
        </w:tabs>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开户行：浦发银行广州分行</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w:t>
      </w:r>
      <w:r>
        <w:rPr>
          <w:rFonts w:hint="eastAsia" w:ascii="宋体" w:hAnsi="宋体" w:cs="宋体"/>
          <w:color w:val="auto"/>
          <w:sz w:val="24"/>
          <w:szCs w:val="24"/>
          <w:highlight w:val="none"/>
        </w:rPr>
        <w:t>履约担保的担保期限和返还</w:t>
      </w:r>
    </w:p>
    <w:p>
      <w:pPr>
        <w:spacing w:line="360" w:lineRule="auto"/>
        <w:ind w:firstLine="480"/>
        <w:outlineLvl w:val="0"/>
        <w:rPr>
          <w:rFonts w:ascii="宋体" w:hAnsi="宋体" w:cs="宋体"/>
          <w:color w:val="auto"/>
          <w:sz w:val="24"/>
          <w:szCs w:val="24"/>
          <w:highlight w:val="none"/>
        </w:rPr>
      </w:pPr>
      <w:r>
        <w:rPr>
          <w:rFonts w:ascii="宋体" w:hAnsi="宋体" w:cs="宋体"/>
          <w:color w:val="auto"/>
          <w:sz w:val="24"/>
          <w:szCs w:val="24"/>
          <w:highlight w:val="none"/>
        </w:rPr>
        <w:t>6.3.1</w:t>
      </w:r>
      <w:r>
        <w:rPr>
          <w:rFonts w:hint="eastAsia" w:ascii="宋体" w:hAnsi="宋体" w:cs="宋体"/>
          <w:color w:val="auto"/>
          <w:sz w:val="24"/>
          <w:highlight w:val="none"/>
        </w:rPr>
        <w:t>履约银行保函（或现金履约保证金）的担保期限：从提供履约担保（或转账成功）之日起至合同履行完成。</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6.3.2</w:t>
      </w:r>
      <w:r>
        <w:rPr>
          <w:rFonts w:hint="eastAsia" w:ascii="宋体" w:hAnsi="宋体" w:cs="宋体"/>
          <w:color w:val="auto"/>
          <w:sz w:val="24"/>
          <w:highlight w:val="none"/>
        </w:rPr>
        <w:t>履约银行保函在合同履行完成后，由乙方提出申请，甲方在28日内返还，不支付利息；</w:t>
      </w:r>
      <w:r>
        <w:rPr>
          <w:rFonts w:ascii="宋体" w:hAnsi="宋体" w:cs="宋体"/>
          <w:color w:val="auto"/>
          <w:sz w:val="24"/>
          <w:szCs w:val="24"/>
          <w:highlight w:val="none"/>
        </w:rPr>
        <w:t xml:space="preserve"> </w:t>
      </w:r>
    </w:p>
    <w:p>
      <w:pPr>
        <w:spacing w:line="360" w:lineRule="auto"/>
        <w:ind w:firstLine="480" w:firstLineChars="200"/>
        <w:outlineLvl w:val="0"/>
        <w:rPr>
          <w:rFonts w:ascii="宋体" w:hAnsi="宋体" w:cs="宋体"/>
          <w:color w:val="auto"/>
          <w:sz w:val="24"/>
          <w:szCs w:val="24"/>
          <w:highlight w:val="none"/>
        </w:rPr>
      </w:pPr>
      <w:r>
        <w:rPr>
          <w:rFonts w:ascii="宋体" w:hAnsi="宋体" w:cs="宋体"/>
          <w:color w:val="auto"/>
          <w:sz w:val="24"/>
          <w:szCs w:val="24"/>
          <w:highlight w:val="none"/>
        </w:rPr>
        <w:t>6.3.3</w:t>
      </w:r>
      <w:r>
        <w:rPr>
          <w:rFonts w:hint="eastAsia" w:ascii="宋体" w:hAnsi="宋体" w:cs="宋体"/>
          <w:color w:val="auto"/>
          <w:sz w:val="24"/>
          <w:szCs w:val="24"/>
          <w:highlight w:val="none"/>
        </w:rPr>
        <w:t>延长担保期限。履约银行保函形式提交履约保证金的，在银行保函到期前，乙方应提前</w:t>
      </w:r>
      <w:r>
        <w:rPr>
          <w:rFonts w:ascii="宋体" w:hAnsi="宋体" w:cs="宋体"/>
          <w:color w:val="auto"/>
          <w:sz w:val="24"/>
          <w:szCs w:val="24"/>
          <w:highlight w:val="none"/>
          <w:u w:val="single"/>
        </w:rPr>
        <w:t xml:space="preserve"> 7 </w:t>
      </w:r>
      <w:r>
        <w:rPr>
          <w:rFonts w:ascii="宋体" w:hAnsi="宋体" w:cs="宋体"/>
          <w:color w:val="auto"/>
          <w:sz w:val="24"/>
          <w:szCs w:val="24"/>
          <w:highlight w:val="none"/>
        </w:rPr>
        <w:t>天向甲方提交新的保函以替换即将到期的保函</w:t>
      </w:r>
      <w:r>
        <w:rPr>
          <w:rFonts w:hint="eastAsia" w:ascii="宋体" w:hAnsi="宋体" w:cs="宋体"/>
          <w:color w:val="auto"/>
          <w:sz w:val="24"/>
          <w:szCs w:val="24"/>
          <w:highlight w:val="none"/>
        </w:rPr>
        <w:t>。如乙方未及时提交的，甲方有权直接要求担保银行支付其担保的全部金额并解除合同。</w:t>
      </w:r>
    </w:p>
    <w:p>
      <w:pPr>
        <w:pStyle w:val="20"/>
        <w:spacing w:before="0" w:beforeAutospacing="0" w:after="0" w:afterAutospacing="0" w:line="360" w:lineRule="auto"/>
        <w:ind w:firstLine="525"/>
        <w:rPr>
          <w:rFonts w:cs="宋体"/>
          <w:color w:val="auto"/>
          <w:highlight w:val="none"/>
        </w:rPr>
      </w:pPr>
      <w:r>
        <w:rPr>
          <w:rFonts w:cs="宋体"/>
          <w:color w:val="auto"/>
          <w:highlight w:val="none"/>
        </w:rPr>
        <w:t>6.3.4</w:t>
      </w:r>
      <w:r>
        <w:rPr>
          <w:rFonts w:hint="eastAsia" w:cs="宋体"/>
          <w:color w:val="auto"/>
          <w:highlight w:val="none"/>
        </w:rPr>
        <w:t>现金履约保证金的退还：合同履行完成后，由乙方提出申请，甲方在</w:t>
      </w:r>
      <w:r>
        <w:rPr>
          <w:rFonts w:cs="宋体"/>
          <w:color w:val="auto"/>
          <w:highlight w:val="none"/>
        </w:rPr>
        <w:t>28</w:t>
      </w:r>
      <w:r>
        <w:rPr>
          <w:rFonts w:hint="eastAsia" w:cs="宋体"/>
          <w:color w:val="auto"/>
          <w:highlight w:val="none"/>
        </w:rPr>
        <w:t>天</w:t>
      </w:r>
      <w:r>
        <w:rPr>
          <w:rFonts w:cs="宋体"/>
          <w:color w:val="auto"/>
          <w:highlight w:val="none"/>
        </w:rPr>
        <w:t>内</w:t>
      </w:r>
      <w:r>
        <w:rPr>
          <w:rFonts w:hint="eastAsia" w:cs="宋体"/>
          <w:color w:val="auto"/>
          <w:highlight w:val="none"/>
        </w:rPr>
        <w:t>将剩余履约保证金（无息）返还。</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6.3.5</w:t>
      </w:r>
      <w:r>
        <w:rPr>
          <w:rFonts w:hint="eastAsia" w:ascii="宋体" w:hAnsi="宋体" w:cs="宋体"/>
          <w:color w:val="auto"/>
          <w:sz w:val="24"/>
          <w:szCs w:val="24"/>
          <w:highlight w:val="none"/>
        </w:rPr>
        <w:t>甲方按合同约定提取履约担保金额后，乙方应在收到甲方通知后</w:t>
      </w:r>
      <w:r>
        <w:rPr>
          <w:rFonts w:ascii="宋体" w:hAnsi="宋体" w:cs="宋体"/>
          <w:color w:val="auto"/>
          <w:sz w:val="24"/>
          <w:szCs w:val="24"/>
          <w:highlight w:val="none"/>
          <w:u w:val="single"/>
        </w:rPr>
        <w:t xml:space="preserve"> 7 </w:t>
      </w:r>
      <w:r>
        <w:rPr>
          <w:rFonts w:hint="eastAsia" w:ascii="宋体" w:hAnsi="宋体" w:cs="宋体"/>
          <w:color w:val="auto"/>
          <w:sz w:val="24"/>
          <w:szCs w:val="24"/>
          <w:highlight w:val="none"/>
        </w:rPr>
        <w:t>天内补足数额，逾期未补足，则甲方有权提取履约担保的全部余额并解除合同。</w:t>
      </w:r>
    </w:p>
    <w:bookmarkEnd w:id="114"/>
    <w:bookmarkEnd w:id="115"/>
    <w:p>
      <w:pPr>
        <w:spacing w:after="0" w:line="360" w:lineRule="auto"/>
        <w:ind w:firstLine="482" w:firstLineChars="200"/>
        <w:rPr>
          <w:rFonts w:ascii="宋体" w:hAnsi="宋体" w:cs="宋体"/>
          <w:b/>
          <w:color w:val="auto"/>
          <w:sz w:val="24"/>
          <w:szCs w:val="24"/>
          <w:highlight w:val="none"/>
        </w:rPr>
      </w:pPr>
      <w:r>
        <w:rPr>
          <w:rFonts w:hint="eastAsia" w:ascii="宋体" w:hAnsi="宋体" w:cs="宋体"/>
          <w:b/>
          <w:bCs/>
          <w:color w:val="auto"/>
          <w:kern w:val="0"/>
          <w:sz w:val="24"/>
          <w:szCs w:val="24"/>
          <w:highlight w:val="none"/>
        </w:rPr>
        <w:t>第七条</w:t>
      </w:r>
      <w:r>
        <w:rPr>
          <w:rFonts w:ascii="宋体" w:hAnsi="宋体" w:cs="宋体"/>
          <w:b/>
          <w:bCs/>
          <w:color w:val="auto"/>
          <w:kern w:val="0"/>
          <w:sz w:val="24"/>
          <w:szCs w:val="24"/>
          <w:highlight w:val="none"/>
        </w:rPr>
        <w:t xml:space="preserve"> </w:t>
      </w:r>
      <w:r>
        <w:rPr>
          <w:rFonts w:hint="eastAsia" w:ascii="宋体" w:hAnsi="宋体" w:cs="宋体"/>
          <w:b/>
          <w:color w:val="auto"/>
          <w:sz w:val="24"/>
          <w:szCs w:val="24"/>
          <w:highlight w:val="none"/>
        </w:rPr>
        <w:t>交货及检验要求</w:t>
      </w:r>
    </w:p>
    <w:p>
      <w:pPr>
        <w:autoSpaceDE w:val="0"/>
        <w:autoSpaceDN w:val="0"/>
        <w:adjustRightIn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7.1 </w:t>
      </w:r>
      <w:r>
        <w:rPr>
          <w:rFonts w:hint="eastAsia" w:ascii="宋体" w:hAnsi="宋体" w:cs="宋体"/>
          <w:bCs/>
          <w:color w:val="auto"/>
          <w:sz w:val="24"/>
          <w:szCs w:val="24"/>
          <w:highlight w:val="none"/>
        </w:rPr>
        <w:t>交货要求：乙方应在交货时向甲方提供出厂合格证、产品质量证明文件、操作维修手册等（手册应包含设备情况、系统和主要部件常见故障、保养要求、紧急维修电话等内容）。施工图、竣工图、设备技术说明书</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拓扑图、端口连接情况、交换机配置文件、软件安装包、软件授权、系统备份及相关用户密码</w:t>
      </w:r>
      <w:r>
        <w:rPr>
          <w:rFonts w:hint="eastAsia" w:ascii="宋体" w:hAnsi="宋体" w:cs="宋体"/>
          <w:bCs/>
          <w:color w:val="auto"/>
          <w:sz w:val="24"/>
          <w:szCs w:val="24"/>
          <w:highlight w:val="none"/>
        </w:rPr>
        <w:t>等。项目竣工后，承包方将所有关于本项目的技术资料整理好并交至项目承办单位。</w:t>
      </w:r>
    </w:p>
    <w:p>
      <w:pPr>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7.2</w:t>
      </w:r>
      <w:r>
        <w:rPr>
          <w:rFonts w:hint="eastAsia" w:ascii="宋体" w:hAnsi="宋体" w:cs="宋体"/>
          <w:bCs/>
          <w:color w:val="auto"/>
          <w:sz w:val="24"/>
          <w:szCs w:val="24"/>
          <w:highlight w:val="none"/>
        </w:rPr>
        <w:t>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ascii="宋体" w:hAnsi="宋体" w:cs="宋体"/>
          <w:color w:val="auto"/>
          <w:sz w:val="24"/>
          <w:szCs w:val="24"/>
          <w:highlight w:val="none"/>
        </w:rPr>
      </w:pPr>
      <w:r>
        <w:rPr>
          <w:rFonts w:ascii="宋体" w:hAnsi="宋体" w:cs="宋体"/>
          <w:bCs/>
          <w:color w:val="auto"/>
          <w:sz w:val="24"/>
          <w:szCs w:val="24"/>
          <w:highlight w:val="none"/>
        </w:rPr>
        <w:t xml:space="preserve">7.3 </w:t>
      </w:r>
      <w:r>
        <w:rPr>
          <w:rFonts w:hint="eastAsia" w:ascii="宋体" w:hAnsi="宋体" w:cs="宋体"/>
          <w:bCs/>
          <w:color w:val="auto"/>
          <w:sz w:val="24"/>
          <w:szCs w:val="24"/>
          <w:highlight w:val="none"/>
        </w:rPr>
        <w:t>开箱验收：开箱检验在合同设备交付地点进行，</w:t>
      </w:r>
      <w:r>
        <w:rPr>
          <w:rFonts w:hint="eastAsia" w:ascii="宋体" w:hAnsi="宋体" w:cs="宋体"/>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7.4</w:t>
      </w:r>
      <w:r>
        <w:rPr>
          <w:rFonts w:hint="eastAsia" w:ascii="宋体" w:hAnsi="宋体" w:cs="宋体"/>
          <w:color w:val="auto"/>
          <w:sz w:val="24"/>
          <w:szCs w:val="24"/>
          <w:highlight w:val="none"/>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7.5</w:t>
      </w:r>
      <w:r>
        <w:rPr>
          <w:rFonts w:hint="eastAsia" w:ascii="宋体" w:hAnsi="宋体" w:cs="宋体"/>
          <w:color w:val="auto"/>
          <w:sz w:val="24"/>
          <w:szCs w:val="24"/>
          <w:highlight w:val="none"/>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color w:val="auto"/>
          <w:sz w:val="24"/>
          <w:szCs w:val="24"/>
          <w:highlight w:val="none"/>
        </w:rPr>
        <w:t>7.4</w:t>
      </w:r>
      <w:r>
        <w:rPr>
          <w:rFonts w:hint="eastAsia" w:ascii="宋体" w:hAnsi="宋体" w:cs="宋体"/>
          <w:color w:val="auto"/>
          <w:sz w:val="24"/>
          <w:szCs w:val="24"/>
          <w:highlight w:val="none"/>
        </w:rPr>
        <w:t>条执行，交货时间不顺延。</w:t>
      </w:r>
    </w:p>
    <w:p>
      <w:pPr>
        <w:spacing w:after="0" w:line="360" w:lineRule="auto"/>
        <w:rPr>
          <w:rFonts w:ascii="宋体" w:hAnsi="宋体" w:cs="宋体"/>
          <w:color w:val="auto"/>
          <w:sz w:val="24"/>
          <w:szCs w:val="24"/>
          <w:highlight w:val="none"/>
        </w:rPr>
      </w:pPr>
      <w:r>
        <w:rPr>
          <w:rFonts w:ascii="宋体" w:hAnsi="宋体" w:cs="宋体"/>
          <w:color w:val="auto"/>
          <w:sz w:val="24"/>
          <w:szCs w:val="24"/>
          <w:highlight w:val="none"/>
        </w:rPr>
        <w:t xml:space="preserve">    7.6 </w:t>
      </w:r>
      <w:r>
        <w:rPr>
          <w:rFonts w:hint="eastAsia" w:ascii="宋体" w:hAnsi="宋体" w:cs="宋体"/>
          <w:color w:val="auto"/>
          <w:sz w:val="24"/>
          <w:szCs w:val="24"/>
          <w:highlight w:val="none"/>
        </w:rPr>
        <w:t>甲方有权对合同设备进行原厂正品验证，若合同设备无法获原厂验证，甲方有权退回设备，要求乙方在</w:t>
      </w:r>
      <w:r>
        <w:rPr>
          <w:rFonts w:ascii="宋体" w:hAnsi="宋体" w:cs="宋体"/>
          <w:color w:val="auto"/>
          <w:sz w:val="24"/>
          <w:szCs w:val="24"/>
          <w:highlight w:val="none"/>
          <w:u w:val="single"/>
        </w:rPr>
        <w:t xml:space="preserve"> 5 </w:t>
      </w:r>
      <w:r>
        <w:rPr>
          <w:rFonts w:hint="eastAsia" w:ascii="宋体" w:hAnsi="宋体" w:cs="宋体"/>
          <w:color w:val="auto"/>
          <w:sz w:val="24"/>
          <w:szCs w:val="24"/>
          <w:highlight w:val="none"/>
        </w:rPr>
        <w:t>个工作日内退回已支付款项并按设备价格</w:t>
      </w:r>
      <w:r>
        <w:rPr>
          <w:rFonts w:hint="eastAsia" w:ascii="宋体" w:hAnsi="宋体" w:cs="宋体"/>
          <w:color w:val="auto"/>
          <w:sz w:val="24"/>
          <w:szCs w:val="24"/>
          <w:highlight w:val="none"/>
        </w:rPr>
        <w:t>的</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lang w:val="en-US" w:eastAsia="zh-CN"/>
        </w:rPr>
        <w:t>0</w:t>
      </w:r>
      <w:r>
        <w:rPr>
          <w:rFonts w:ascii="宋体" w:hAnsi="宋体" w:cs="宋体"/>
          <w:color w:val="auto"/>
          <w:sz w:val="24"/>
          <w:szCs w:val="24"/>
          <w:highlight w:val="none"/>
          <w:u w:val="single"/>
        </w:rPr>
        <w:t xml:space="preserve">  </w:t>
      </w:r>
      <w:r>
        <w:rPr>
          <w:rFonts w:ascii="宋体" w:hAnsi="宋体" w:cs="宋体"/>
          <w:color w:val="auto"/>
          <w:sz w:val="24"/>
          <w:szCs w:val="24"/>
          <w:highlight w:val="none"/>
        </w:rPr>
        <w:t>%</w:t>
      </w:r>
      <w:r>
        <w:rPr>
          <w:rFonts w:hint="eastAsia" w:ascii="宋体" w:hAnsi="宋体" w:cs="宋体"/>
          <w:color w:val="auto"/>
          <w:sz w:val="24"/>
          <w:szCs w:val="24"/>
          <w:highlight w:val="none"/>
        </w:rPr>
        <w:t>支</w:t>
      </w:r>
      <w:r>
        <w:rPr>
          <w:rFonts w:hint="eastAsia" w:ascii="宋体" w:hAnsi="宋体" w:cs="宋体"/>
          <w:color w:val="auto"/>
          <w:sz w:val="24"/>
          <w:szCs w:val="24"/>
          <w:highlight w:val="none"/>
        </w:rPr>
        <w:t>付违约金。</w:t>
      </w:r>
    </w:p>
    <w:bookmarkEnd w:id="102"/>
    <w:bookmarkEnd w:id="103"/>
    <w:bookmarkEnd w:id="104"/>
    <w:bookmarkEnd w:id="105"/>
    <w:bookmarkEnd w:id="106"/>
    <w:bookmarkEnd w:id="107"/>
    <w:bookmarkEnd w:id="108"/>
    <w:p>
      <w:pPr>
        <w:spacing w:before="120" w:after="120" w:line="360" w:lineRule="auto"/>
        <w:ind w:firstLine="482" w:firstLineChars="200"/>
        <w:rPr>
          <w:rFonts w:ascii="宋体" w:hAnsi="宋体" w:cs="宋体"/>
          <w:b/>
          <w:color w:val="auto"/>
          <w:sz w:val="24"/>
          <w:szCs w:val="24"/>
          <w:highlight w:val="none"/>
        </w:rPr>
      </w:pPr>
      <w:bookmarkStart w:id="116" w:name="_Toc518992990"/>
      <w:bookmarkStart w:id="117" w:name="_Toc520190030"/>
      <w:bookmarkStart w:id="118" w:name="_Toc474245215"/>
      <w:bookmarkStart w:id="119" w:name="_Toc257"/>
      <w:bookmarkStart w:id="120" w:name="_Toc183666534"/>
      <w:r>
        <w:rPr>
          <w:rFonts w:hint="eastAsia" w:ascii="宋体" w:hAnsi="宋体" w:cs="宋体"/>
          <w:b/>
          <w:color w:val="auto"/>
          <w:sz w:val="24"/>
          <w:szCs w:val="24"/>
          <w:highlight w:val="none"/>
        </w:rPr>
        <w:t>第八条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包装</w:t>
      </w:r>
      <w:bookmarkEnd w:id="116"/>
      <w:bookmarkEnd w:id="117"/>
      <w:bookmarkEnd w:id="118"/>
      <w:r>
        <w:rPr>
          <w:rFonts w:hint="eastAsia" w:ascii="宋体" w:hAnsi="宋体" w:cs="宋体"/>
          <w:b/>
          <w:color w:val="auto"/>
          <w:sz w:val="24"/>
          <w:szCs w:val="24"/>
          <w:highlight w:val="none"/>
        </w:rPr>
        <w:t>、标示及运输要求</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8.1 </w:t>
      </w:r>
      <w:r>
        <w:rPr>
          <w:rFonts w:hint="eastAsia" w:ascii="宋体" w:hAnsi="宋体" w:cs="宋体"/>
          <w:bCs/>
          <w:color w:val="auto"/>
          <w:sz w:val="24"/>
          <w:szCs w:val="24"/>
          <w:highlight w:val="none"/>
        </w:rPr>
        <w:t>包装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8.1.1</w:t>
      </w:r>
      <w:r>
        <w:rPr>
          <w:rFonts w:hint="eastAsia" w:ascii="宋体" w:hAnsi="宋体" w:cs="宋体"/>
          <w:bCs/>
          <w:color w:val="auto"/>
          <w:sz w:val="24"/>
          <w:szCs w:val="24"/>
          <w:highlight w:val="none"/>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8.1.2</w:t>
      </w:r>
      <w:r>
        <w:rPr>
          <w:rFonts w:hint="eastAsia" w:ascii="宋体" w:hAnsi="宋体" w:cs="宋体"/>
          <w:bCs/>
          <w:color w:val="auto"/>
          <w:sz w:val="24"/>
          <w:szCs w:val="24"/>
          <w:highlight w:val="none"/>
        </w:rPr>
        <w:t>超限设备的包装要求：</w:t>
      </w:r>
      <w:r>
        <w:rPr>
          <w:rFonts w:ascii="宋体" w:hAnsi="宋体" w:cs="宋体"/>
          <w:bCs/>
          <w:color w:val="auto"/>
          <w:sz w:val="24"/>
          <w:szCs w:val="24"/>
          <w:highlight w:val="none"/>
          <w:u w:val="single"/>
        </w:rPr>
        <w:t xml:space="preserve">  /  </w:t>
      </w:r>
      <w:r>
        <w:rPr>
          <w:rFonts w:hint="eastAsia" w:ascii="宋体" w:hAnsi="宋体" w:cs="宋体"/>
          <w:bCs/>
          <w:color w:val="auto"/>
          <w:sz w:val="24"/>
          <w:szCs w:val="24"/>
          <w:highlight w:val="none"/>
        </w:rPr>
        <w:t>。</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8.2 </w:t>
      </w:r>
      <w:bookmarkStart w:id="121" w:name="_Toc107446851"/>
      <w:bookmarkStart w:id="122" w:name="_Toc107447244"/>
      <w:r>
        <w:rPr>
          <w:rFonts w:hint="eastAsia" w:ascii="宋体" w:hAnsi="宋体" w:cs="宋体"/>
          <w:bCs/>
          <w:color w:val="auto"/>
          <w:sz w:val="24"/>
          <w:szCs w:val="24"/>
          <w:highlight w:val="none"/>
        </w:rPr>
        <w:t>标志</w:t>
      </w:r>
    </w:p>
    <w:bookmarkEnd w:id="121"/>
    <w:bookmarkEnd w:id="122"/>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8.2.1</w:t>
      </w:r>
      <w:r>
        <w:rPr>
          <w:rFonts w:hint="eastAsia" w:ascii="宋体" w:hAnsi="宋体" w:cs="宋体"/>
          <w:bCs/>
          <w:color w:val="auto"/>
          <w:sz w:val="24"/>
          <w:szCs w:val="24"/>
          <w:highlight w:val="none"/>
        </w:rPr>
        <w:t>乙方应按照国家标准对设备的外包装进行标志。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color w:val="auto"/>
          <w:sz w:val="24"/>
          <w:szCs w:val="24"/>
          <w:highlight w:val="none"/>
        </w:rPr>
        <w:t>8.2.2</w:t>
      </w:r>
      <w:r>
        <w:rPr>
          <w:rFonts w:hint="eastAsia" w:ascii="宋体" w:hAnsi="宋体" w:cs="宋体"/>
          <w:color w:val="auto"/>
          <w:sz w:val="24"/>
          <w:szCs w:val="24"/>
          <w:highlight w:val="none"/>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8.2.3  </w:t>
      </w:r>
      <w:r>
        <w:rPr>
          <w:rFonts w:hint="eastAsia" w:ascii="宋体" w:hAnsi="宋体" w:cs="宋体"/>
          <w:bCs/>
          <w:color w:val="auto"/>
          <w:sz w:val="24"/>
          <w:szCs w:val="24"/>
          <w:highlight w:val="none"/>
        </w:rPr>
        <w:t>如由于包装不当或包装箱内部保护措施不符合要求而导致在装车或运输中发生设备或其任何部件的损坏或遗失，乙方应自费对缺损的设备、部件进行修理、更换或补供。</w:t>
      </w:r>
      <w:bookmarkStart w:id="123" w:name="_Toc9269"/>
      <w:bookmarkStart w:id="124" w:name="_Toc474245218"/>
      <w:bookmarkStart w:id="125" w:name="_Toc306350457"/>
      <w:bookmarkStart w:id="126" w:name="_Toc518992992"/>
      <w:bookmarkStart w:id="127" w:name="_Toc183666521"/>
      <w:bookmarkStart w:id="128" w:name="_Toc520190032"/>
    </w:p>
    <w:p>
      <w:pPr>
        <w:adjustRightInd w:val="0"/>
        <w:snapToGrid w:val="0"/>
        <w:spacing w:after="0"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w:t>
      </w:r>
      <w:r>
        <w:rPr>
          <w:rFonts w:hint="eastAsia" w:ascii="宋体" w:hAnsi="宋体" w:cs="宋体"/>
          <w:color w:val="auto"/>
          <w:sz w:val="24"/>
          <w:szCs w:val="24"/>
          <w:highlight w:val="none"/>
        </w:rPr>
        <w:t>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8.3.1</w:t>
      </w:r>
      <w:r>
        <w:rPr>
          <w:rFonts w:hint="eastAsia" w:ascii="宋体" w:hAnsi="宋体" w:cs="宋体"/>
          <w:color w:val="auto"/>
          <w:sz w:val="24"/>
          <w:szCs w:val="24"/>
          <w:highlight w:val="none"/>
        </w:rPr>
        <w:t>乙方应自行选择适宜的运输工具及线路安排合同设备运输。</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8.3.2 </w:t>
      </w:r>
      <w:r>
        <w:rPr>
          <w:rFonts w:hint="eastAsia" w:ascii="宋体" w:hAnsi="宋体" w:cs="宋体"/>
          <w:color w:val="auto"/>
          <w:sz w:val="24"/>
          <w:szCs w:val="24"/>
          <w:highlight w:val="none"/>
        </w:rPr>
        <w:t>除合同条款另有约定外，每件设备的备品备件应整套装运。</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8.3.3 </w:t>
      </w:r>
      <w:r>
        <w:rPr>
          <w:rFonts w:hint="eastAsia" w:ascii="宋体" w:hAnsi="宋体" w:cs="宋体"/>
          <w:color w:val="auto"/>
          <w:sz w:val="24"/>
          <w:szCs w:val="24"/>
          <w:highlight w:val="none"/>
        </w:rPr>
        <w:t>除合同条款另有约定外，乙方应在合同设备预计启运</w:t>
      </w:r>
      <w:r>
        <w:rPr>
          <w:rFonts w:ascii="宋体" w:hAnsi="宋体" w:cs="宋体"/>
          <w:color w:val="auto"/>
          <w:sz w:val="24"/>
          <w:szCs w:val="24"/>
          <w:highlight w:val="none"/>
        </w:rPr>
        <w:t>7</w:t>
      </w:r>
      <w:r>
        <w:rPr>
          <w:rFonts w:hint="eastAsia" w:ascii="宋体" w:hAnsi="宋体" w:cs="宋体"/>
          <w:color w:val="auto"/>
          <w:sz w:val="24"/>
          <w:szCs w:val="24"/>
          <w:highlight w:val="none"/>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color w:val="auto"/>
          <w:sz w:val="24"/>
          <w:szCs w:val="24"/>
          <w:highlight w:val="none"/>
        </w:rPr>
        <w:t xml:space="preserve"> 24 </w:t>
      </w:r>
      <w:r>
        <w:rPr>
          <w:rFonts w:hint="eastAsia" w:ascii="宋体" w:hAnsi="宋体" w:cs="宋体"/>
          <w:color w:val="auto"/>
          <w:sz w:val="24"/>
          <w:szCs w:val="24"/>
          <w:highlight w:val="none"/>
        </w:rPr>
        <w:t>小时之内正式通知甲方。</w:t>
      </w:r>
    </w:p>
    <w:bookmarkEnd w:id="123"/>
    <w:bookmarkEnd w:id="124"/>
    <w:bookmarkEnd w:id="125"/>
    <w:bookmarkEnd w:id="126"/>
    <w:bookmarkEnd w:id="127"/>
    <w:bookmarkEnd w:id="128"/>
    <w:p>
      <w:pPr>
        <w:adjustRightInd w:val="0"/>
        <w:snapToGrid w:val="0"/>
        <w:spacing w:before="120" w:beforeLines="50" w:after="120" w:afterLines="50" w:line="360" w:lineRule="auto"/>
        <w:ind w:firstLine="482" w:firstLineChars="200"/>
        <w:rPr>
          <w:rFonts w:ascii="宋体" w:hAnsi="宋体" w:cs="宋体"/>
          <w:color w:val="auto"/>
          <w:sz w:val="24"/>
          <w:szCs w:val="24"/>
          <w:highlight w:val="none"/>
        </w:rPr>
      </w:pPr>
      <w:bookmarkStart w:id="129" w:name="_Toc183666522"/>
      <w:bookmarkStart w:id="130" w:name="_Toc18496"/>
      <w:bookmarkStart w:id="131" w:name="_Toc306350458"/>
      <w:r>
        <w:rPr>
          <w:rFonts w:hint="eastAsia" w:ascii="宋体" w:hAnsi="宋体" w:cs="宋体"/>
          <w:b/>
          <w:color w:val="auto"/>
          <w:sz w:val="24"/>
          <w:szCs w:val="24"/>
          <w:highlight w:val="none"/>
        </w:rPr>
        <w:t>第九条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9.1  </w:t>
      </w:r>
      <w:r>
        <w:rPr>
          <w:rFonts w:hint="eastAsia" w:ascii="宋体" w:hAnsi="宋体" w:cs="宋体"/>
          <w:color w:val="auto"/>
          <w:sz w:val="24"/>
          <w:szCs w:val="24"/>
          <w:highlight w:val="none"/>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9.2  </w:t>
      </w:r>
      <w:r>
        <w:rPr>
          <w:rFonts w:hint="eastAsia" w:ascii="宋体" w:hAnsi="宋体" w:cs="宋体"/>
          <w:color w:val="auto"/>
          <w:sz w:val="24"/>
          <w:szCs w:val="24"/>
          <w:highlight w:val="none"/>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9.3  </w:t>
      </w:r>
      <w:r>
        <w:rPr>
          <w:rFonts w:hint="eastAsia" w:ascii="宋体" w:hAnsi="宋体" w:cs="宋体"/>
          <w:color w:val="auto"/>
          <w:sz w:val="24"/>
          <w:szCs w:val="24"/>
          <w:highlight w:val="none"/>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9.4  </w:t>
      </w:r>
      <w:r>
        <w:rPr>
          <w:rFonts w:hint="eastAsia" w:ascii="宋体" w:hAnsi="宋体" w:cs="宋体"/>
          <w:color w:val="auto"/>
          <w:sz w:val="24"/>
          <w:szCs w:val="24"/>
          <w:highlight w:val="none"/>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29"/>
    <w:bookmarkEnd w:id="130"/>
    <w:bookmarkEnd w:id="131"/>
    <w:p>
      <w:pPr>
        <w:autoSpaceDE w:val="0"/>
        <w:autoSpaceDN w:val="0"/>
        <w:adjustRightInd w:val="0"/>
        <w:spacing w:line="360" w:lineRule="auto"/>
        <w:ind w:firstLine="482" w:firstLineChars="200"/>
        <w:rPr>
          <w:rFonts w:ascii="宋体" w:hAnsi="宋体" w:cs="宋体"/>
          <w:b/>
          <w:color w:val="auto"/>
          <w:sz w:val="24"/>
          <w:szCs w:val="24"/>
          <w:highlight w:val="none"/>
        </w:rPr>
      </w:pPr>
      <w:bookmarkStart w:id="132" w:name="_Toc518992994"/>
      <w:bookmarkStart w:id="133" w:name="_Toc474245220"/>
      <w:bookmarkStart w:id="134" w:name="_Toc520190034"/>
      <w:bookmarkStart w:id="135" w:name="_Toc4682"/>
      <w:bookmarkStart w:id="136" w:name="_Toc306350459"/>
      <w:bookmarkStart w:id="137" w:name="_Toc183666523"/>
      <w:r>
        <w:rPr>
          <w:rFonts w:hint="eastAsia" w:ascii="宋体" w:hAnsi="宋体" w:cs="宋体"/>
          <w:b/>
          <w:color w:val="auto"/>
          <w:sz w:val="24"/>
          <w:szCs w:val="24"/>
          <w:highlight w:val="none"/>
        </w:rPr>
        <w:t>第十条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质量保</w:t>
      </w:r>
      <w:bookmarkEnd w:id="132"/>
      <w:bookmarkEnd w:id="133"/>
      <w:bookmarkEnd w:id="134"/>
      <w:r>
        <w:rPr>
          <w:rFonts w:hint="eastAsia" w:ascii="宋体" w:hAnsi="宋体" w:cs="宋体"/>
          <w:b/>
          <w:color w:val="auto"/>
          <w:sz w:val="24"/>
          <w:szCs w:val="24"/>
          <w:highlight w:val="none"/>
        </w:rPr>
        <w:t>修</w:t>
      </w:r>
    </w:p>
    <w:p>
      <w:pPr>
        <w:tabs>
          <w:tab w:val="left" w:pos="851"/>
        </w:tabs>
        <w:adjustRightInd w:val="0"/>
        <w:snapToGrid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10.1</w:t>
      </w:r>
      <w:r>
        <w:rPr>
          <w:rFonts w:hint="eastAsia" w:ascii="宋体" w:hAnsi="宋体" w:cs="宋体"/>
          <w:color w:val="auto"/>
          <w:sz w:val="24"/>
          <w:szCs w:val="24"/>
          <w:highlight w:val="none"/>
        </w:rPr>
        <w:t>保修期：自</w:t>
      </w:r>
      <w:r>
        <w:rPr>
          <w:rFonts w:hint="eastAsia" w:ascii="宋体" w:hAnsi="宋体" w:cs="宋体"/>
          <w:color w:val="auto"/>
          <w:kern w:val="0"/>
          <w:sz w:val="24"/>
          <w:szCs w:val="24"/>
          <w:highlight w:val="none"/>
          <w:lang w:val="zh-CN"/>
        </w:rPr>
        <w:t>设备</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验收合格之</w:t>
      </w:r>
      <w:r>
        <w:rPr>
          <w:rFonts w:hint="eastAsia" w:ascii="宋体" w:hAnsi="宋体" w:cs="宋体"/>
          <w:color w:val="auto"/>
          <w:kern w:val="0"/>
          <w:sz w:val="24"/>
          <w:szCs w:val="24"/>
          <w:highlight w:val="none"/>
          <w:lang w:val="zh-CN"/>
        </w:rPr>
        <w:t>日起</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1</w:t>
      </w:r>
      <w:r>
        <w:rPr>
          <w:rFonts w:hint="eastAsia" w:ascii="宋体" w:hAnsi="宋体" w:cs="宋体"/>
          <w:color w:val="auto"/>
          <w:sz w:val="24"/>
          <w:szCs w:val="24"/>
          <w:highlight w:val="none"/>
          <w:u w:val="single"/>
        </w:rPr>
        <w:t>年</w:t>
      </w:r>
      <w:r>
        <w:rPr>
          <w:rFonts w:hint="eastAsia" w:ascii="宋体" w:hAnsi="宋体" w:cs="宋体"/>
          <w:color w:val="auto"/>
          <w:sz w:val="24"/>
          <w:szCs w:val="24"/>
          <w:highlight w:val="none"/>
        </w:rPr>
        <w:t>。</w:t>
      </w:r>
      <w:r>
        <w:rPr>
          <w:rFonts w:hint="eastAsia" w:ascii="宋体" w:hAnsi="宋体" w:cs="宋体"/>
          <w:color w:val="auto"/>
          <w:sz w:val="24"/>
          <w:szCs w:val="24"/>
          <w:highlight w:val="none"/>
        </w:rPr>
        <w:t>保修期内乙方应免费对设备进行日常维护保养及质量缺陷修复。</w:t>
      </w:r>
      <w:r>
        <w:rPr>
          <w:rFonts w:ascii="宋体" w:hAnsi="宋体" w:cs="宋体"/>
          <w:color w:val="auto"/>
          <w:sz w:val="24"/>
          <w:szCs w:val="24"/>
          <w:highlight w:val="none"/>
        </w:rPr>
        <w:t xml:space="preserve">                                          </w:t>
      </w:r>
    </w:p>
    <w:p>
      <w:pPr>
        <w:tabs>
          <w:tab w:val="left" w:pos="851"/>
        </w:tabs>
        <w:adjustRightInd w:val="0"/>
        <w:snapToGrid w:val="0"/>
        <w:spacing w:line="360" w:lineRule="auto"/>
        <w:ind w:firstLine="480" w:firstLineChars="200"/>
        <w:rPr>
          <w:rFonts w:ascii="宋体" w:hAnsi="宋体" w:cs="宋体"/>
          <w:color w:val="auto"/>
          <w:kern w:val="0"/>
          <w:sz w:val="24"/>
          <w:szCs w:val="24"/>
          <w:highlight w:val="none"/>
          <w:lang w:val="zh-CN"/>
        </w:rPr>
      </w:pPr>
      <w:r>
        <w:rPr>
          <w:rFonts w:ascii="宋体" w:hAnsi="宋体" w:cs="宋体"/>
          <w:color w:val="auto"/>
          <w:sz w:val="24"/>
          <w:szCs w:val="24"/>
          <w:highlight w:val="none"/>
        </w:rPr>
        <w:t>10.2</w:t>
      </w:r>
      <w:r>
        <w:rPr>
          <w:rFonts w:hint="eastAsia" w:ascii="宋体" w:hAnsi="宋体" w:cs="宋体"/>
          <w:color w:val="auto"/>
          <w:kern w:val="0"/>
          <w:sz w:val="24"/>
          <w:szCs w:val="24"/>
          <w:highlight w:val="none"/>
        </w:rPr>
        <w:t>保修</w:t>
      </w:r>
      <w:r>
        <w:rPr>
          <w:rFonts w:hint="eastAsia" w:ascii="宋体" w:hAnsi="宋体" w:cs="宋体"/>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宋体" w:hAnsi="宋体" w:cs="宋体"/>
          <w:color w:val="auto"/>
          <w:kern w:val="0"/>
          <w:sz w:val="24"/>
          <w:szCs w:val="24"/>
          <w:highlight w:val="none"/>
          <w:u w:val="single"/>
          <w:lang w:val="zh-CN"/>
        </w:rPr>
        <w:t>同暂定总价的</w:t>
      </w:r>
      <w:r>
        <w:rPr>
          <w:rFonts w:ascii="宋体" w:hAnsi="宋体" w:cs="宋体"/>
          <w:color w:val="auto"/>
          <w:kern w:val="0"/>
          <w:sz w:val="24"/>
          <w:szCs w:val="24"/>
          <w:highlight w:val="none"/>
          <w:u w:val="single"/>
          <w:lang w:val="zh-CN"/>
        </w:rPr>
        <w:t>10%</w:t>
      </w:r>
      <w:r>
        <w:rPr>
          <w:rFonts w:hint="eastAsia" w:ascii="宋体" w:hAnsi="宋体" w:cs="宋体"/>
          <w:color w:val="auto"/>
          <w:kern w:val="0"/>
          <w:sz w:val="24"/>
          <w:szCs w:val="24"/>
          <w:highlight w:val="none"/>
          <w:u w:val="single"/>
          <w:lang w:val="zh-CN"/>
        </w:rPr>
        <w:t>作为</w:t>
      </w:r>
      <w:r>
        <w:rPr>
          <w:rFonts w:hint="eastAsia" w:ascii="宋体" w:hAnsi="宋体" w:cs="宋体"/>
          <w:color w:val="auto"/>
          <w:kern w:val="0"/>
          <w:sz w:val="24"/>
          <w:szCs w:val="24"/>
          <w:highlight w:val="none"/>
          <w:lang w:val="zh-CN"/>
        </w:rPr>
        <w:t>违约金，</w:t>
      </w:r>
      <w:r>
        <w:rPr>
          <w:rFonts w:hint="eastAsia" w:ascii="宋体" w:hAnsi="宋体" w:cs="宋体"/>
          <w:color w:val="auto"/>
          <w:kern w:val="0"/>
          <w:sz w:val="24"/>
          <w:szCs w:val="24"/>
          <w:highlight w:val="none"/>
        </w:rPr>
        <w:t>由此产生的</w:t>
      </w:r>
      <w:r>
        <w:rPr>
          <w:rFonts w:hint="eastAsia" w:ascii="宋体" w:hAnsi="宋体" w:cs="宋体"/>
          <w:color w:val="auto"/>
          <w:kern w:val="0"/>
          <w:sz w:val="24"/>
          <w:szCs w:val="24"/>
          <w:highlight w:val="none"/>
          <w:lang w:val="zh-CN"/>
        </w:rPr>
        <w:t>费用由乙方承担。对涉及运营费用，乙方应保证在</w:t>
      </w:r>
      <w:r>
        <w:rPr>
          <w:rFonts w:hint="eastAsia" w:ascii="宋体" w:hAnsi="宋体" w:cs="宋体"/>
          <w:color w:val="auto"/>
          <w:kern w:val="0"/>
          <w:sz w:val="24"/>
          <w:szCs w:val="24"/>
          <w:highlight w:val="none"/>
        </w:rPr>
        <w:t>开箱</w:t>
      </w:r>
      <w:r>
        <w:rPr>
          <w:rFonts w:hint="eastAsia" w:ascii="宋体" w:hAnsi="宋体" w:cs="宋体"/>
          <w:color w:val="auto"/>
          <w:kern w:val="0"/>
          <w:sz w:val="24"/>
          <w:szCs w:val="24"/>
          <w:highlight w:val="none"/>
          <w:lang w:val="zh-CN"/>
        </w:rPr>
        <w:t>验收</w:t>
      </w:r>
      <w:r>
        <w:rPr>
          <w:rFonts w:hint="eastAsia" w:ascii="宋体" w:hAnsi="宋体" w:cs="宋体"/>
          <w:color w:val="auto"/>
          <w:kern w:val="0"/>
          <w:sz w:val="24"/>
          <w:szCs w:val="24"/>
          <w:highlight w:val="none"/>
        </w:rPr>
        <w:t>合格</w:t>
      </w:r>
      <w:r>
        <w:rPr>
          <w:rFonts w:hint="eastAsia" w:ascii="宋体" w:hAnsi="宋体" w:cs="宋体"/>
          <w:color w:val="auto"/>
          <w:kern w:val="0"/>
          <w:sz w:val="24"/>
          <w:szCs w:val="24"/>
          <w:highlight w:val="none"/>
          <w:lang w:val="zh-CN"/>
        </w:rPr>
        <w:t>后三年内，</w:t>
      </w:r>
      <w:r>
        <w:rPr>
          <w:rFonts w:hint="eastAsia" w:ascii="宋体" w:hAnsi="宋体" w:cs="宋体"/>
          <w:color w:val="auto"/>
          <w:kern w:val="0"/>
          <w:sz w:val="24"/>
          <w:szCs w:val="24"/>
          <w:highlight w:val="none"/>
        </w:rPr>
        <w:t>设备</w:t>
      </w:r>
      <w:r>
        <w:rPr>
          <w:rFonts w:hint="eastAsia" w:ascii="宋体" w:hAnsi="宋体" w:cs="宋体"/>
          <w:color w:val="auto"/>
          <w:kern w:val="0"/>
          <w:sz w:val="24"/>
          <w:szCs w:val="24"/>
          <w:highlight w:val="none"/>
          <w:lang w:val="zh-CN"/>
        </w:rPr>
        <w:t>运行费用不高于投标文件</w:t>
      </w:r>
      <w:r>
        <w:rPr>
          <w:rFonts w:ascii="宋体" w:hAnsi="宋体" w:cs="宋体"/>
          <w:color w:val="auto"/>
          <w:kern w:val="0"/>
          <w:sz w:val="24"/>
          <w:szCs w:val="24"/>
          <w:highlight w:val="none"/>
          <w:lang w:val="zh-CN"/>
        </w:rPr>
        <w:t>/</w:t>
      </w:r>
      <w:r>
        <w:rPr>
          <w:rFonts w:hint="eastAsia" w:ascii="宋体" w:hAnsi="宋体" w:cs="宋体"/>
          <w:color w:val="auto"/>
          <w:kern w:val="0"/>
          <w:sz w:val="24"/>
          <w:szCs w:val="24"/>
          <w:highlight w:val="none"/>
          <w:lang w:val="zh-CN"/>
        </w:rPr>
        <w:t>响应文件的承诺指标，</w:t>
      </w:r>
      <w:r>
        <w:rPr>
          <w:rFonts w:hint="eastAsia" w:ascii="宋体" w:hAnsi="宋体" w:cs="宋体"/>
          <w:color w:val="auto"/>
          <w:kern w:val="0"/>
          <w:sz w:val="24"/>
          <w:szCs w:val="24"/>
          <w:highlight w:val="none"/>
        </w:rPr>
        <w:t>否则，</w:t>
      </w:r>
      <w:r>
        <w:rPr>
          <w:rFonts w:hint="eastAsia" w:ascii="宋体" w:hAnsi="宋体" w:cs="宋体"/>
          <w:color w:val="auto"/>
          <w:kern w:val="0"/>
          <w:sz w:val="24"/>
          <w:szCs w:val="24"/>
          <w:highlight w:val="none"/>
          <w:lang w:val="zh-CN"/>
        </w:rPr>
        <w:t>乙方需无条件免费更换设备</w:t>
      </w:r>
      <w:r>
        <w:rPr>
          <w:rFonts w:hint="eastAsia" w:ascii="宋体" w:hAnsi="宋体" w:cs="宋体"/>
          <w:color w:val="auto"/>
          <w:kern w:val="0"/>
          <w:sz w:val="24"/>
          <w:szCs w:val="24"/>
          <w:highlight w:val="none"/>
        </w:rPr>
        <w:t>并支付违约</w:t>
      </w:r>
      <w:r>
        <w:rPr>
          <w:rFonts w:hint="eastAsia" w:ascii="宋体" w:hAnsi="宋体" w:cs="宋体"/>
          <w:color w:val="auto"/>
          <w:kern w:val="0"/>
          <w:sz w:val="24"/>
          <w:szCs w:val="24"/>
          <w:highlight w:val="none"/>
        </w:rPr>
        <w:t>金</w:t>
      </w:r>
      <w:r>
        <w:rPr>
          <w:rFonts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eastAsia="zh-CN"/>
        </w:rPr>
        <w:t>3</w:t>
      </w:r>
      <w:r>
        <w:rPr>
          <w:rFonts w:hint="eastAsia" w:ascii="宋体" w:hAnsi="宋体" w:cs="宋体"/>
          <w:color w:val="auto"/>
          <w:kern w:val="0"/>
          <w:sz w:val="24"/>
          <w:szCs w:val="24"/>
          <w:highlight w:val="none"/>
          <w:u w:val="single"/>
          <w:lang w:val="en-US" w:eastAsia="zh-CN"/>
        </w:rPr>
        <w:t>0000</w:t>
      </w:r>
      <w:r>
        <w:rPr>
          <w:rFonts w:hint="eastAsia" w:ascii="宋体" w:hAnsi="宋体" w:cs="宋体"/>
          <w:color w:val="auto"/>
          <w:kern w:val="0"/>
          <w:sz w:val="24"/>
          <w:szCs w:val="24"/>
          <w:highlight w:val="none"/>
        </w:rPr>
        <w:t>元</w:t>
      </w:r>
      <w:r>
        <w:rPr>
          <w:rFonts w:hint="eastAsia" w:ascii="宋体" w:hAnsi="宋体" w:cs="宋体"/>
          <w:color w:val="auto"/>
          <w:kern w:val="0"/>
          <w:sz w:val="24"/>
          <w:szCs w:val="24"/>
          <w:highlight w:val="none"/>
          <w:lang w:val="zh-CN"/>
        </w:rPr>
        <w:t>（如</w:t>
      </w:r>
      <w:r>
        <w:rPr>
          <w:rFonts w:hint="eastAsia" w:ascii="宋体" w:hAnsi="宋体" w:cs="宋体"/>
          <w:color w:val="auto"/>
          <w:kern w:val="0"/>
          <w:sz w:val="24"/>
          <w:szCs w:val="24"/>
          <w:highlight w:val="none"/>
          <w:lang w:val="zh-CN"/>
        </w:rPr>
        <w:t>有）。</w:t>
      </w:r>
    </w:p>
    <w:p>
      <w:pPr>
        <w:tabs>
          <w:tab w:val="left" w:pos="851"/>
        </w:tabs>
        <w:adjustRightInd w:val="0"/>
        <w:snapToGrid w:val="0"/>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10.3 </w:t>
      </w:r>
      <w:r>
        <w:rPr>
          <w:rFonts w:hint="eastAsia" w:ascii="宋体" w:hAnsi="宋体" w:cs="宋体"/>
          <w:bCs/>
          <w:color w:val="auto"/>
          <w:sz w:val="24"/>
          <w:szCs w:val="24"/>
          <w:highlight w:val="none"/>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10.4 </w:t>
      </w:r>
      <w:r>
        <w:rPr>
          <w:rFonts w:hint="eastAsia" w:ascii="宋体" w:hAnsi="宋体" w:cs="宋体"/>
          <w:bCs/>
          <w:color w:val="auto"/>
          <w:sz w:val="24"/>
          <w:szCs w:val="24"/>
          <w:highlight w:val="none"/>
        </w:rPr>
        <w:t>质量保修期间，如合同设备出现故障，乙方应在接到甲方通知后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ascii="宋体" w:hAnsi="宋体" w:cs="宋体"/>
          <w:bCs/>
          <w:color w:val="auto"/>
          <w:sz w:val="24"/>
          <w:szCs w:val="24"/>
          <w:highlight w:val="none"/>
          <w:u w:val="single"/>
        </w:rPr>
        <w:t xml:space="preserve"> </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小时内通过电话、网络等提供远程技术指导，如甲方需要乙方到场的，乙方应在收到甲方通知</w:t>
      </w:r>
      <w:r>
        <w:rPr>
          <w:rFonts w:hint="eastAsia" w:ascii="宋体" w:hAnsi="宋体" w:cs="宋体"/>
          <w:bCs/>
          <w:color w:val="auto"/>
          <w:sz w:val="24"/>
          <w:szCs w:val="24"/>
          <w:highlight w:val="none"/>
        </w:rPr>
        <w:t>后</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小时内</w:t>
      </w:r>
      <w:r>
        <w:rPr>
          <w:rFonts w:hint="eastAsia" w:ascii="宋体" w:hAnsi="宋体" w:cs="宋体"/>
          <w:bCs/>
          <w:color w:val="auto"/>
          <w:sz w:val="24"/>
          <w:szCs w:val="24"/>
          <w:highlight w:val="none"/>
        </w:rPr>
        <w:t>派专业技术人员到场负责解决及维修故障。</w:t>
      </w:r>
      <w:bookmarkEnd w:id="135"/>
      <w:bookmarkEnd w:id="136"/>
      <w:bookmarkEnd w:id="137"/>
      <w:bookmarkStart w:id="138" w:name="_Toc107446857"/>
      <w:bookmarkStart w:id="139" w:name="_Toc474245223"/>
      <w:bookmarkStart w:id="140" w:name="_Toc107447250"/>
      <w:bookmarkStart w:id="141" w:name="_Toc183666528"/>
      <w:bookmarkStart w:id="142" w:name="_Toc306350464"/>
      <w:bookmarkStart w:id="143" w:name="_Toc27734"/>
      <w:bookmarkStart w:id="144" w:name="_Toc518992997"/>
      <w:bookmarkStart w:id="145" w:name="_Toc520190037"/>
      <w:r>
        <w:rPr>
          <w:rFonts w:hint="eastAsia" w:ascii="宋体" w:hAnsi="宋体" w:cs="宋体"/>
          <w:bCs/>
          <w:color w:val="auto"/>
          <w:sz w:val="24"/>
          <w:szCs w:val="24"/>
          <w:highlight w:val="none"/>
        </w:rPr>
        <w:t>如果乙方不按时到场维修或到场后不能修复的，甲方有权委托他人予以维修，乙方承担由此发生的费用并支付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10%/次</w:t>
      </w:r>
      <w:r>
        <w:rPr>
          <w:rFonts w:hint="eastAsia" w:ascii="宋体" w:hAnsi="宋体" w:cs="宋体"/>
          <w:bCs/>
          <w:color w:val="auto"/>
          <w:sz w:val="24"/>
          <w:szCs w:val="24"/>
          <w:highlight w:val="none"/>
        </w:rPr>
        <w:t>作为违约金。</w:t>
      </w:r>
    </w:p>
    <w:p>
      <w:pPr>
        <w:spacing w:line="360" w:lineRule="auto"/>
        <w:ind w:firstLine="482"/>
        <w:rPr>
          <w:rFonts w:ascii="宋体" w:hAnsi="宋体" w:cs="宋体"/>
          <w:bCs/>
          <w:color w:val="auto"/>
          <w:sz w:val="24"/>
          <w:szCs w:val="24"/>
          <w:highlight w:val="none"/>
        </w:rPr>
      </w:pPr>
      <w:r>
        <w:rPr>
          <w:rFonts w:hint="eastAsia" w:ascii="宋体" w:hAnsi="宋体" w:cs="宋体"/>
          <w:b/>
          <w:color w:val="auto"/>
          <w:sz w:val="24"/>
          <w:szCs w:val="24"/>
          <w:highlight w:val="none"/>
        </w:rPr>
        <w:t>第十一条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违约责任</w:t>
      </w:r>
      <w:bookmarkEnd w:id="138"/>
      <w:bookmarkEnd w:id="139"/>
      <w:bookmarkEnd w:id="140"/>
      <w:bookmarkEnd w:id="141"/>
      <w:bookmarkEnd w:id="142"/>
      <w:bookmarkEnd w:id="143"/>
      <w:bookmarkEnd w:id="144"/>
      <w:bookmarkEnd w:id="145"/>
    </w:p>
    <w:p>
      <w:pPr>
        <w:spacing w:line="360" w:lineRule="auto"/>
        <w:ind w:firstLine="482"/>
        <w:rPr>
          <w:rFonts w:ascii="宋体" w:hAnsi="宋体" w:cs="宋体"/>
          <w:bCs/>
          <w:color w:val="auto"/>
          <w:sz w:val="24"/>
          <w:szCs w:val="24"/>
          <w:highlight w:val="none"/>
        </w:rPr>
      </w:pPr>
      <w:bookmarkStart w:id="146" w:name="_Toc306350465"/>
      <w:bookmarkStart w:id="147" w:name="_Toc5166"/>
      <w:bookmarkStart w:id="148" w:name="_Toc183666529"/>
      <w:r>
        <w:rPr>
          <w:rFonts w:ascii="宋体" w:hAnsi="宋体" w:cs="宋体"/>
          <w:bCs/>
          <w:color w:val="auto"/>
          <w:sz w:val="24"/>
          <w:szCs w:val="24"/>
          <w:highlight w:val="none"/>
        </w:rPr>
        <w:t xml:space="preserve">11.1 </w:t>
      </w:r>
      <w:r>
        <w:rPr>
          <w:rFonts w:hint="eastAsia" w:ascii="宋体" w:hAnsi="宋体" w:cs="宋体"/>
          <w:bCs/>
          <w:color w:val="auto"/>
          <w:sz w:val="24"/>
          <w:szCs w:val="24"/>
          <w:highlight w:val="none"/>
        </w:rPr>
        <w:t>延期交货的违约责任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11.1.1 </w:t>
      </w:r>
      <w:r>
        <w:rPr>
          <w:rFonts w:hint="eastAsia" w:ascii="宋体" w:hAnsi="宋体" w:cs="宋体"/>
          <w:bCs/>
          <w:color w:val="auto"/>
          <w:sz w:val="24"/>
          <w:szCs w:val="24"/>
          <w:highlight w:val="none"/>
        </w:rPr>
        <w:t>乙方应按照本合同约定的时间交货。如乙方因客观情况导致无法按时交货，乙方应在交货期</w:t>
      </w:r>
      <w:r>
        <w:rPr>
          <w:rFonts w:hint="eastAsia" w:ascii="宋体" w:hAnsi="宋体" w:cs="宋体"/>
          <w:bCs/>
          <w:color w:val="auto"/>
          <w:sz w:val="24"/>
          <w:szCs w:val="24"/>
          <w:highlight w:val="none"/>
        </w:rPr>
        <w:t>前</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7</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日</w:t>
      </w:r>
      <w:r>
        <w:rPr>
          <w:rFonts w:hint="eastAsia" w:ascii="宋体" w:hAnsi="宋体" w:cs="宋体"/>
          <w:bCs/>
          <w:color w:val="auto"/>
          <w:sz w:val="24"/>
          <w:szCs w:val="24"/>
          <w:highlight w:val="none"/>
        </w:rPr>
        <w:t>，以书面形式将原因及预计拖延的时间通知甲方。经甲方同意后，交货期顺延。</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11.1.2</w:t>
      </w:r>
      <w:r>
        <w:rPr>
          <w:rFonts w:hint="eastAsia" w:ascii="宋体" w:hAnsi="宋体" w:cs="宋体"/>
          <w:bCs/>
          <w:color w:val="auto"/>
          <w:sz w:val="24"/>
          <w:szCs w:val="24"/>
          <w:highlight w:val="none"/>
        </w:rPr>
        <w:t>乙方未能在合同规定期限内交货并交付完整技术资料的，每逾期一天，甲方有权按迟</w:t>
      </w:r>
      <w:r>
        <w:rPr>
          <w:rFonts w:hint="eastAsia" w:ascii="宋体" w:hAnsi="宋体" w:cs="宋体"/>
          <w:bCs/>
          <w:color w:val="auto"/>
          <w:sz w:val="24"/>
          <w:szCs w:val="24"/>
          <w:highlight w:val="none"/>
          <w:u w:val="single"/>
        </w:rPr>
        <w:t>交货设备价格的</w:t>
      </w:r>
      <w:r>
        <w:rPr>
          <w:rFonts w:ascii="宋体" w:hAnsi="宋体" w:cs="宋体"/>
          <w:bCs/>
          <w:color w:val="auto"/>
          <w:sz w:val="24"/>
          <w:szCs w:val="24"/>
          <w:highlight w:val="none"/>
          <w:u w:val="single"/>
        </w:rPr>
        <w:t>1%/</w:t>
      </w:r>
      <w:r>
        <w:rPr>
          <w:rFonts w:hint="eastAsia" w:ascii="宋体" w:hAnsi="宋体" w:cs="宋体"/>
          <w:bCs/>
          <w:color w:val="auto"/>
          <w:sz w:val="24"/>
          <w:szCs w:val="24"/>
          <w:highlight w:val="none"/>
          <w:u w:val="single"/>
        </w:rPr>
        <w:t>天</w:t>
      </w:r>
      <w:r>
        <w:rPr>
          <w:rFonts w:hint="eastAsia" w:ascii="宋体" w:hAnsi="宋体" w:cs="宋体"/>
          <w:bCs/>
          <w:color w:val="auto"/>
          <w:sz w:val="24"/>
          <w:szCs w:val="24"/>
          <w:highlight w:val="none"/>
        </w:rPr>
        <w:t>要求乙方支付违约金。逾期超过</w:t>
      </w:r>
      <w:r>
        <w:rPr>
          <w:rFonts w:ascii="宋体" w:hAnsi="宋体" w:cs="宋体"/>
          <w:bCs/>
          <w:color w:val="auto"/>
          <w:sz w:val="24"/>
          <w:szCs w:val="24"/>
          <w:highlight w:val="none"/>
          <w:u w:val="single"/>
        </w:rPr>
        <w:t xml:space="preserve"> 15 </w:t>
      </w:r>
      <w:r>
        <w:rPr>
          <w:rFonts w:hint="eastAsia" w:ascii="宋体" w:hAnsi="宋体" w:cs="宋体"/>
          <w:bCs/>
          <w:color w:val="auto"/>
          <w:sz w:val="24"/>
          <w:szCs w:val="24"/>
          <w:highlight w:val="none"/>
        </w:rPr>
        <w:t>天，甲方有权解除合同，要求乙方支付迟延违约金并在</w:t>
      </w:r>
      <w:r>
        <w:rPr>
          <w:rFonts w:ascii="宋体" w:hAnsi="宋体" w:cs="宋体"/>
          <w:bCs/>
          <w:color w:val="auto"/>
          <w:sz w:val="24"/>
          <w:szCs w:val="24"/>
          <w:highlight w:val="none"/>
        </w:rPr>
        <w:t>3</w:t>
      </w:r>
      <w:r>
        <w:rPr>
          <w:rFonts w:hint="eastAsia" w:ascii="宋体" w:hAnsi="宋体" w:cs="宋体"/>
          <w:bCs/>
          <w:color w:val="auto"/>
          <w:sz w:val="24"/>
          <w:szCs w:val="24"/>
          <w:highlight w:val="none"/>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 </w:t>
      </w:r>
      <w:r>
        <w:rPr>
          <w:rFonts w:hint="eastAsia" w:ascii="宋体" w:hAnsi="宋体" w:cs="宋体"/>
          <w:bCs/>
          <w:color w:val="auto"/>
          <w:sz w:val="24"/>
          <w:szCs w:val="24"/>
          <w:highlight w:val="none"/>
        </w:rPr>
        <w:t>质量问题的违约责任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11.2.1 </w:t>
      </w:r>
      <w:r>
        <w:rPr>
          <w:rFonts w:hint="eastAsia" w:ascii="宋体" w:hAnsi="宋体" w:cs="宋体"/>
          <w:bCs/>
          <w:color w:val="auto"/>
          <w:sz w:val="24"/>
          <w:szCs w:val="24"/>
          <w:highlight w:val="none"/>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1</w:t>
      </w:r>
      <w:r>
        <w:rPr>
          <w:rFonts w:hint="eastAsia" w:ascii="宋体" w:hAnsi="宋体" w:cs="宋体"/>
          <w:bCs/>
          <w:color w:val="auto"/>
          <w:sz w:val="24"/>
          <w:szCs w:val="24"/>
          <w:highlight w:val="none"/>
        </w:rPr>
        <w:t>）乙方承担费用，用合格的新设备更换有缺陷的设备或修补缺陷部分；</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2</w:t>
      </w:r>
      <w:r>
        <w:rPr>
          <w:rFonts w:hint="eastAsia" w:ascii="宋体" w:hAnsi="宋体" w:cs="宋体"/>
          <w:bCs/>
          <w:color w:val="auto"/>
          <w:sz w:val="24"/>
          <w:szCs w:val="24"/>
          <w:highlight w:val="none"/>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3</w:t>
      </w:r>
      <w:r>
        <w:rPr>
          <w:rFonts w:hint="eastAsia" w:ascii="宋体" w:hAnsi="宋体" w:cs="宋体"/>
          <w:bCs/>
          <w:color w:val="auto"/>
          <w:sz w:val="24"/>
          <w:szCs w:val="24"/>
          <w:highlight w:val="none"/>
        </w:rPr>
        <w:t>）按不合格设备价格的</w:t>
      </w:r>
      <w:r>
        <w:rPr>
          <w:rFonts w:ascii="宋体" w:hAnsi="宋体" w:cs="宋体"/>
          <w:bCs/>
          <w:color w:val="auto"/>
          <w:sz w:val="24"/>
          <w:szCs w:val="24"/>
          <w:highlight w:val="none"/>
          <w:u w:val="single"/>
        </w:rPr>
        <w:t>50</w:t>
      </w:r>
      <w:r>
        <w:rPr>
          <w:rFonts w:ascii="宋体" w:hAnsi="宋体" w:cs="宋体"/>
          <w:bCs/>
          <w:color w:val="auto"/>
          <w:sz w:val="24"/>
          <w:szCs w:val="24"/>
          <w:highlight w:val="none"/>
        </w:rPr>
        <w:t>%</w:t>
      </w:r>
      <w:r>
        <w:rPr>
          <w:rFonts w:hint="eastAsia" w:ascii="宋体" w:hAnsi="宋体" w:cs="宋体"/>
          <w:bCs/>
          <w:color w:val="auto"/>
          <w:sz w:val="24"/>
          <w:szCs w:val="24"/>
          <w:highlight w:val="none"/>
        </w:rPr>
        <w:t>支付违约金。</w:t>
      </w:r>
    </w:p>
    <w:p>
      <w:pPr>
        <w:numPr>
          <w:ilvl w:val="255"/>
          <w:numId w:val="0"/>
        </w:numPr>
        <w:spacing w:line="360" w:lineRule="auto"/>
        <w:ind w:firstLine="480" w:firstLineChars="200"/>
        <w:rPr>
          <w:rFonts w:ascii="宋体" w:hAnsi="宋体" w:cs="宋体"/>
          <w:bCs/>
          <w:color w:val="auto"/>
          <w:sz w:val="24"/>
          <w:szCs w:val="24"/>
          <w:highlight w:val="none"/>
        </w:rPr>
      </w:pPr>
      <w:r>
        <w:rPr>
          <w:rFonts w:hint="eastAsia" w:ascii="宋体" w:hAnsi="宋体" w:cs="宋体"/>
          <w:bCs/>
          <w:color w:val="auto"/>
          <w:sz w:val="24"/>
          <w:szCs w:val="24"/>
          <w:highlight w:val="none"/>
        </w:rPr>
        <w:t>（</w:t>
      </w:r>
      <w:r>
        <w:rPr>
          <w:rFonts w:ascii="宋体" w:hAnsi="宋体" w:cs="宋体"/>
          <w:bCs/>
          <w:color w:val="auto"/>
          <w:sz w:val="24"/>
          <w:szCs w:val="24"/>
          <w:highlight w:val="none"/>
        </w:rPr>
        <w:t>4</w:t>
      </w:r>
      <w:r>
        <w:rPr>
          <w:rFonts w:hint="eastAsia" w:ascii="宋体" w:hAnsi="宋体" w:cs="宋体"/>
          <w:bCs/>
          <w:color w:val="auto"/>
          <w:sz w:val="24"/>
          <w:szCs w:val="24"/>
          <w:highlight w:val="none"/>
        </w:rPr>
        <w:t>）赔偿甲方因设备质量问题导致的一切损失。</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11.2.2 </w:t>
      </w:r>
      <w:r>
        <w:rPr>
          <w:rFonts w:hint="eastAsia" w:ascii="宋体" w:hAnsi="宋体" w:cs="宋体"/>
          <w:bCs/>
          <w:color w:val="auto"/>
          <w:sz w:val="24"/>
          <w:szCs w:val="24"/>
          <w:highlight w:val="none"/>
        </w:rPr>
        <w:t>如果乙方提供的技术资料有错误，或者由于乙方技术人员原因造成设备安装、调试不成功和（或）造成合同设备损坏的情况，乙方应</w:t>
      </w:r>
      <w:r>
        <w:rPr>
          <w:rFonts w:hint="eastAsia" w:ascii="宋体" w:hAnsi="宋体" w:cs="宋体"/>
          <w:bCs/>
          <w:color w:val="auto"/>
          <w:sz w:val="24"/>
          <w:szCs w:val="24"/>
          <w:highlight w:val="none"/>
        </w:rPr>
        <w:t>在</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eastAsia="zh-CN"/>
        </w:rPr>
        <w:t>2</w:t>
      </w:r>
      <w:r>
        <w:rPr>
          <w:rFonts w:hint="eastAsia" w:ascii="宋体" w:hAnsi="宋体" w:cs="宋体"/>
          <w:bCs/>
          <w:color w:val="auto"/>
          <w:sz w:val="24"/>
          <w:szCs w:val="24"/>
          <w:highlight w:val="none"/>
          <w:u w:val="single"/>
          <w:lang w:val="en-US" w:eastAsia="zh-CN"/>
        </w:rPr>
        <w:t>4</w:t>
      </w:r>
      <w:r>
        <w:rPr>
          <w:rFonts w:ascii="宋体" w:hAnsi="宋体" w:cs="宋体"/>
          <w:bCs/>
          <w:color w:val="auto"/>
          <w:sz w:val="24"/>
          <w:szCs w:val="24"/>
          <w:highlight w:val="none"/>
          <w:u w:val="single"/>
        </w:rPr>
        <w:t xml:space="preserve"> </w:t>
      </w:r>
      <w:r>
        <w:rPr>
          <w:rFonts w:hint="eastAsia" w:ascii="宋体" w:hAnsi="宋体" w:cs="宋体"/>
          <w:bCs/>
          <w:color w:val="auto"/>
          <w:sz w:val="24"/>
          <w:szCs w:val="24"/>
          <w:highlight w:val="none"/>
        </w:rPr>
        <w:t>小时</w:t>
      </w:r>
      <w:r>
        <w:rPr>
          <w:rFonts w:hint="eastAsia" w:ascii="宋体" w:hAnsi="宋体" w:cs="宋体"/>
          <w:bCs/>
          <w:color w:val="auto"/>
          <w:sz w:val="24"/>
          <w:szCs w:val="24"/>
          <w:highlight w:val="none"/>
        </w:rPr>
        <w:t>内采取修理、更换、退货等补救措施并负担因此发生的费用，同时需向甲方支付</w:t>
      </w:r>
      <w:r>
        <w:rPr>
          <w:rFonts w:hint="eastAsia" w:ascii="宋体" w:hAnsi="宋体" w:cs="宋体"/>
          <w:bCs/>
          <w:color w:val="auto"/>
          <w:sz w:val="24"/>
          <w:szCs w:val="24"/>
          <w:highlight w:val="none"/>
          <w:u w:val="single"/>
        </w:rPr>
        <w:t>不合格设备价格的</w:t>
      </w:r>
      <w:r>
        <w:rPr>
          <w:rFonts w:ascii="宋体" w:hAnsi="宋体" w:cs="宋体"/>
          <w:bCs/>
          <w:color w:val="auto"/>
          <w:sz w:val="24"/>
          <w:szCs w:val="24"/>
          <w:highlight w:val="none"/>
          <w:u w:val="single"/>
        </w:rPr>
        <w:t xml:space="preserve"> 50 </w:t>
      </w:r>
      <w:r>
        <w:rPr>
          <w:rFonts w:ascii="宋体" w:hAnsi="宋体" w:cs="宋体"/>
          <w:bCs/>
          <w:color w:val="auto"/>
          <w:sz w:val="24"/>
          <w:szCs w:val="24"/>
          <w:highlight w:val="none"/>
        </w:rPr>
        <w:t>%</w:t>
      </w:r>
      <w:r>
        <w:rPr>
          <w:rFonts w:hint="eastAsia" w:ascii="宋体" w:hAnsi="宋体" w:cs="宋体"/>
          <w:bCs/>
          <w:color w:val="auto"/>
          <w:sz w:val="24"/>
          <w:szCs w:val="24"/>
          <w:highlight w:val="none"/>
        </w:rPr>
        <w:t>作为违约金。</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11.2.3 </w:t>
      </w:r>
      <w:r>
        <w:rPr>
          <w:rFonts w:hint="eastAsia" w:ascii="宋体" w:hAnsi="宋体" w:cs="宋体"/>
          <w:bCs/>
          <w:color w:val="auto"/>
          <w:sz w:val="24"/>
          <w:szCs w:val="24"/>
          <w:highlight w:val="none"/>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 xml:space="preserve"> 100 %</w:t>
      </w:r>
      <w:r>
        <w:rPr>
          <w:rFonts w:hint="eastAsia" w:ascii="宋体" w:hAnsi="宋体" w:cs="宋体"/>
          <w:bCs/>
          <w:color w:val="auto"/>
          <w:sz w:val="24"/>
          <w:szCs w:val="24"/>
          <w:highlight w:val="none"/>
        </w:rPr>
        <w:t>支付违约金。</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 xml:space="preserve">11.2.4 </w:t>
      </w:r>
      <w:r>
        <w:rPr>
          <w:rFonts w:hint="eastAsia" w:ascii="宋体" w:hAnsi="宋体" w:cs="宋体"/>
          <w:color w:val="auto"/>
          <w:sz w:val="24"/>
          <w:szCs w:val="24"/>
          <w:highlight w:val="none"/>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11.3 </w:t>
      </w:r>
      <w:r>
        <w:rPr>
          <w:rFonts w:hint="eastAsia" w:ascii="宋体" w:hAnsi="宋体" w:cs="宋体"/>
          <w:bCs/>
          <w:color w:val="auto"/>
          <w:sz w:val="24"/>
          <w:szCs w:val="24"/>
          <w:highlight w:val="none"/>
        </w:rPr>
        <w:t>如乙方未按合同六条约定递交履约保证金，甲方有权解除合同并要求乙方支付</w:t>
      </w:r>
      <w:r>
        <w:rPr>
          <w:rFonts w:hint="eastAsia" w:ascii="宋体" w:hAnsi="宋体" w:cs="宋体"/>
          <w:bCs/>
          <w:color w:val="auto"/>
          <w:sz w:val="24"/>
          <w:szCs w:val="24"/>
          <w:highlight w:val="none"/>
          <w:u w:val="single"/>
        </w:rPr>
        <w:t>合同暂定总价的</w:t>
      </w:r>
      <w:r>
        <w:rPr>
          <w:rFonts w:ascii="宋体" w:hAnsi="宋体" w:cs="宋体"/>
          <w:bCs/>
          <w:color w:val="auto"/>
          <w:sz w:val="24"/>
          <w:szCs w:val="24"/>
          <w:highlight w:val="none"/>
          <w:u w:val="single"/>
        </w:rPr>
        <w:t>20%</w:t>
      </w:r>
      <w:r>
        <w:rPr>
          <w:rFonts w:hint="eastAsia" w:ascii="宋体" w:hAnsi="宋体" w:cs="宋体"/>
          <w:bCs/>
          <w:color w:val="auto"/>
          <w:sz w:val="24"/>
          <w:szCs w:val="24"/>
          <w:highlight w:val="none"/>
        </w:rPr>
        <w:t>作为违约金。</w:t>
      </w:r>
      <w:r>
        <w:rPr>
          <w:rFonts w:ascii="宋体" w:hAnsi="宋体" w:cs="宋体"/>
          <w:bCs/>
          <w:color w:val="auto"/>
          <w:sz w:val="24"/>
          <w:szCs w:val="24"/>
          <w:highlight w:val="none"/>
        </w:rPr>
        <w:t xml:space="preserve"> </w:t>
      </w:r>
    </w:p>
    <w:p>
      <w:pPr>
        <w:spacing w:line="360" w:lineRule="auto"/>
        <w:ind w:firstLine="482"/>
        <w:rPr>
          <w:rFonts w:ascii="宋体" w:hAnsi="宋体" w:cs="宋体"/>
          <w:color w:val="auto"/>
          <w:sz w:val="24"/>
          <w:szCs w:val="24"/>
          <w:highlight w:val="none"/>
        </w:rPr>
      </w:pPr>
      <w:r>
        <w:rPr>
          <w:rFonts w:ascii="宋体" w:hAnsi="宋体" w:cs="宋体"/>
          <w:bCs/>
          <w:color w:val="auto"/>
          <w:sz w:val="24"/>
          <w:szCs w:val="24"/>
          <w:highlight w:val="none"/>
        </w:rPr>
        <w:t xml:space="preserve">11.4 </w:t>
      </w:r>
      <w:r>
        <w:rPr>
          <w:rFonts w:hint="eastAsia" w:ascii="宋体" w:hAnsi="宋体" w:cs="宋体"/>
          <w:bCs/>
          <w:color w:val="auto"/>
          <w:sz w:val="24"/>
          <w:szCs w:val="24"/>
          <w:highlight w:val="none"/>
        </w:rPr>
        <w:t>如双方对质量责任认定有争议，</w:t>
      </w:r>
      <w:r>
        <w:rPr>
          <w:rFonts w:hint="eastAsia" w:ascii="宋体" w:hAnsi="宋体" w:cs="宋体"/>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w:t>
      </w:r>
      <w:r>
        <w:rPr>
          <w:rFonts w:ascii="宋体" w:hAnsi="宋体" w:cs="宋体"/>
          <w:bCs/>
          <w:color w:val="auto"/>
          <w:sz w:val="24"/>
          <w:szCs w:val="24"/>
          <w:highlight w:val="none"/>
        </w:rPr>
        <w:t>过</w:t>
      </w:r>
      <w:r>
        <w:rPr>
          <w:rFonts w:ascii="宋体" w:hAnsi="宋体" w:cs="宋体"/>
          <w:bCs/>
          <w:color w:val="auto"/>
          <w:sz w:val="24"/>
          <w:szCs w:val="24"/>
          <w:highlight w:val="none"/>
          <w:u w:val="single"/>
        </w:rPr>
        <w:t>_</w:t>
      </w:r>
      <w:r>
        <w:rPr>
          <w:rFonts w:hint="eastAsia" w:ascii="宋体" w:hAnsi="宋体" w:cs="宋体"/>
          <w:bCs/>
          <w:color w:val="auto"/>
          <w:sz w:val="24"/>
          <w:szCs w:val="24"/>
          <w:highlight w:val="none"/>
          <w:u w:val="single"/>
          <w:lang w:eastAsia="zh-CN"/>
        </w:rPr>
        <w:t>3</w:t>
      </w:r>
      <w:r>
        <w:rPr>
          <w:rFonts w:hint="eastAsia" w:ascii="宋体" w:hAnsi="宋体" w:cs="宋体"/>
          <w:bCs/>
          <w:color w:val="auto"/>
          <w:sz w:val="24"/>
          <w:szCs w:val="24"/>
          <w:highlight w:val="none"/>
          <w:u w:val="single"/>
          <w:lang w:val="en-US" w:eastAsia="zh-CN"/>
        </w:rPr>
        <w:t>0</w:t>
      </w:r>
      <w:r>
        <w:rPr>
          <w:rFonts w:ascii="宋体" w:hAnsi="宋体" w:cs="宋体"/>
          <w:bCs/>
          <w:color w:val="auto"/>
          <w:sz w:val="24"/>
          <w:szCs w:val="24"/>
          <w:highlight w:val="none"/>
          <w:u w:val="single"/>
        </w:rPr>
        <w:t xml:space="preserve">  _</w:t>
      </w:r>
      <w:r>
        <w:rPr>
          <w:rFonts w:ascii="宋体" w:hAnsi="宋体" w:cs="宋体"/>
          <w:bCs/>
          <w:color w:val="auto"/>
          <w:sz w:val="24"/>
          <w:szCs w:val="24"/>
          <w:highlight w:val="none"/>
        </w:rPr>
        <w:t>日，甲方</w:t>
      </w:r>
      <w:r>
        <w:rPr>
          <w:rFonts w:ascii="宋体" w:hAnsi="宋体" w:cs="宋体"/>
          <w:bCs/>
          <w:color w:val="auto"/>
          <w:sz w:val="24"/>
          <w:szCs w:val="24"/>
          <w:highlight w:val="none"/>
        </w:rPr>
        <w:t>有权解除合同并要求乙方支付</w:t>
      </w:r>
      <w:r>
        <w:rPr>
          <w:rFonts w:hint="eastAsia" w:ascii="宋体" w:hAnsi="宋体" w:cs="宋体"/>
          <w:bCs/>
          <w:color w:val="auto"/>
          <w:sz w:val="24"/>
          <w:szCs w:val="24"/>
          <w:highlight w:val="none"/>
          <w:u w:val="single"/>
        </w:rPr>
        <w:t>合同暂定总价</w:t>
      </w:r>
      <w:r>
        <w:rPr>
          <w:rFonts w:ascii="宋体" w:hAnsi="宋体" w:cs="宋体"/>
          <w:bCs/>
          <w:color w:val="auto"/>
          <w:sz w:val="24"/>
          <w:szCs w:val="24"/>
          <w:highlight w:val="none"/>
          <w:u w:val="single"/>
        </w:rPr>
        <w:t>的20%</w:t>
      </w:r>
      <w:r>
        <w:rPr>
          <w:rFonts w:ascii="宋体" w:hAnsi="宋体" w:cs="宋体"/>
          <w:bCs/>
          <w:color w:val="auto"/>
          <w:sz w:val="24"/>
          <w:szCs w:val="24"/>
          <w:highlight w:val="none"/>
        </w:rPr>
        <w:t>作为违约金</w:t>
      </w:r>
      <w:r>
        <w:rPr>
          <w:rFonts w:hint="eastAsia" w:ascii="宋体" w:hAnsi="宋体" w:cs="宋体"/>
          <w:bCs/>
          <w:color w:val="auto"/>
          <w:sz w:val="24"/>
          <w:szCs w:val="24"/>
          <w:highlight w:val="none"/>
        </w:rPr>
        <w:t>（</w:t>
      </w:r>
      <w:r>
        <w:rPr>
          <w:rFonts w:hint="eastAsia" w:cs="宋体"/>
          <w:color w:val="auto"/>
          <w:sz w:val="24"/>
          <w:highlight w:val="none"/>
        </w:rPr>
        <w:t>如合同另行约定违约责任，从其约定</w:t>
      </w:r>
      <w:r>
        <w:rPr>
          <w:rFonts w:hint="eastAsia" w:ascii="宋体" w:hAnsi="宋体" w:cs="宋体"/>
          <w:bCs/>
          <w:color w:val="auto"/>
          <w:sz w:val="24"/>
          <w:szCs w:val="24"/>
          <w:highlight w:val="none"/>
        </w:rPr>
        <w:t>）</w:t>
      </w:r>
      <w:r>
        <w:rPr>
          <w:rFonts w:ascii="宋体" w:hAnsi="宋体" w:cs="宋体"/>
          <w:bCs/>
          <w:color w:val="auto"/>
          <w:sz w:val="24"/>
          <w:szCs w:val="24"/>
          <w:highlight w:val="none"/>
        </w:rPr>
        <w:t xml:space="preserve">。 </w:t>
      </w:r>
    </w:p>
    <w:p>
      <w:pPr>
        <w:spacing w:line="360" w:lineRule="auto"/>
        <w:ind w:firstLine="482"/>
        <w:rPr>
          <w:rFonts w:hint="default" w:ascii="宋体" w:hAnsi="宋体" w:eastAsia="宋体" w:cs="宋体"/>
          <w:color w:val="auto"/>
          <w:sz w:val="24"/>
          <w:szCs w:val="24"/>
          <w:highlight w:val="none"/>
          <w:lang w:val="en-US"/>
        </w:rPr>
      </w:pPr>
      <w:r>
        <w:rPr>
          <w:rFonts w:hint="eastAsia" w:ascii="宋体" w:hAnsi="宋体" w:cs="宋体"/>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color w:val="auto"/>
          <w:sz w:val="24"/>
          <w:szCs w:val="24"/>
          <w:highlight w:val="none"/>
        </w:rPr>
      </w:pPr>
      <w:bookmarkStart w:id="149" w:name="_Toc107446860"/>
      <w:bookmarkStart w:id="150" w:name="_Toc474245224"/>
      <w:bookmarkStart w:id="151" w:name="_Toc107447253"/>
      <w:bookmarkStart w:id="152" w:name="_Toc107447254"/>
      <w:bookmarkStart w:id="153" w:name="_Toc520190038"/>
      <w:bookmarkStart w:id="154" w:name="_Toc518992998"/>
      <w:bookmarkStart w:id="155" w:name="_Toc107446861"/>
      <w:bookmarkStart w:id="156" w:name="_Toc118086592"/>
      <w:r>
        <w:rPr>
          <w:rFonts w:hint="eastAsia" w:ascii="宋体" w:hAnsi="宋体" w:cs="宋体"/>
          <w:b/>
          <w:color w:val="auto"/>
          <w:sz w:val="24"/>
          <w:szCs w:val="24"/>
          <w:highlight w:val="none"/>
        </w:rPr>
        <w:t>第十二条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变更或解除</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 </w:t>
      </w:r>
      <w:r>
        <w:rPr>
          <w:rFonts w:hint="eastAsia" w:ascii="宋体" w:hAnsi="宋体" w:cs="宋体"/>
          <w:bCs/>
          <w:color w:val="auto"/>
          <w:sz w:val="24"/>
          <w:szCs w:val="24"/>
          <w:highlight w:val="none"/>
        </w:rPr>
        <w:t>甲方解除合同</w:t>
      </w:r>
    </w:p>
    <w:p>
      <w:pPr>
        <w:spacing w:line="360" w:lineRule="auto"/>
        <w:ind w:firstLine="482"/>
        <w:rPr>
          <w:rFonts w:ascii="宋体" w:hAnsi="宋体" w:cs="宋体"/>
          <w:bCs/>
          <w:color w:val="auto"/>
          <w:sz w:val="24"/>
          <w:szCs w:val="24"/>
          <w:highlight w:val="none"/>
        </w:rPr>
      </w:pPr>
      <w:r>
        <w:rPr>
          <w:rFonts w:hint="eastAsia" w:ascii="宋体" w:hAnsi="宋体" w:cs="宋体"/>
          <w:bCs/>
          <w:color w:val="auto"/>
          <w:sz w:val="24"/>
          <w:szCs w:val="24"/>
          <w:highlight w:val="none"/>
        </w:rPr>
        <w:t>如乙方存在下述情况之一，甲方有权向乙方发出书面通知，全部或部分解除本合同：</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12.1.1 </w:t>
      </w:r>
      <w:r>
        <w:rPr>
          <w:rFonts w:hint="eastAsia" w:ascii="宋体" w:hAnsi="宋体" w:cs="宋体"/>
          <w:bCs/>
          <w:color w:val="auto"/>
          <w:sz w:val="24"/>
          <w:szCs w:val="24"/>
          <w:highlight w:val="none"/>
        </w:rPr>
        <w:t>乙方未能在本合同约定或甲方另行指定的期限内提供部分或全部设备或提供技术服务，并经甲方催告后仍未提供；</w:t>
      </w:r>
      <w:r>
        <w:rPr>
          <w:rFonts w:ascii="宋体" w:hAnsi="宋体" w:cs="宋体"/>
          <w:bCs/>
          <w:color w:val="auto"/>
          <w:sz w:val="24"/>
          <w:szCs w:val="24"/>
          <w:highlight w:val="none"/>
        </w:rPr>
        <w:t xml:space="preserve"> </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12.1.2</w:t>
      </w:r>
      <w:r>
        <w:rPr>
          <w:rFonts w:hint="eastAsia" w:ascii="宋体" w:hAnsi="宋体" w:cs="宋体"/>
          <w:bCs/>
          <w:color w:val="auto"/>
          <w:sz w:val="24"/>
          <w:szCs w:val="24"/>
          <w:highlight w:val="none"/>
        </w:rPr>
        <w:t>乙方交付的设备存在严重的质量问题，导致本合同目的不能实现；</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12.1.3 </w:t>
      </w:r>
      <w:r>
        <w:rPr>
          <w:rFonts w:hint="eastAsia" w:ascii="宋体" w:hAnsi="宋体" w:cs="宋体"/>
          <w:bCs/>
          <w:color w:val="auto"/>
          <w:sz w:val="24"/>
          <w:szCs w:val="24"/>
          <w:highlight w:val="none"/>
        </w:rPr>
        <w:t>乙方存在违反合同义务的其他情形，经甲方催告后仍未作出补救或完成整改；</w:t>
      </w:r>
    </w:p>
    <w:p>
      <w:pPr>
        <w:spacing w:line="360" w:lineRule="auto"/>
        <w:ind w:firstLine="480" w:firstLineChars="200"/>
        <w:rPr>
          <w:rFonts w:ascii="宋体" w:hAnsi="宋体" w:cs="宋体"/>
          <w:bCs/>
          <w:color w:val="auto"/>
          <w:sz w:val="24"/>
          <w:szCs w:val="24"/>
          <w:highlight w:val="none"/>
        </w:rPr>
      </w:pPr>
      <w:r>
        <w:rPr>
          <w:rFonts w:ascii="宋体" w:hAnsi="宋体" w:cs="宋体"/>
          <w:bCs/>
          <w:color w:val="auto"/>
          <w:sz w:val="24"/>
          <w:szCs w:val="24"/>
          <w:highlight w:val="none"/>
        </w:rPr>
        <w:t xml:space="preserve">12.1.4 </w:t>
      </w:r>
      <w:r>
        <w:rPr>
          <w:rFonts w:hint="eastAsia" w:ascii="宋体" w:hAnsi="宋体" w:cs="宋体"/>
          <w:bCs/>
          <w:color w:val="auto"/>
          <w:sz w:val="24"/>
          <w:szCs w:val="24"/>
          <w:highlight w:val="none"/>
        </w:rPr>
        <w:t>乙方投标时提交的资料不真实，或任何时候发现乙方有违反投标时的承诺和（或）声明的情况；</w:t>
      </w:r>
    </w:p>
    <w:p>
      <w:pPr>
        <w:spacing w:line="360" w:lineRule="auto"/>
        <w:ind w:firstLine="482"/>
        <w:rPr>
          <w:rFonts w:ascii="宋体" w:hAnsi="宋体" w:cs="宋体"/>
          <w:bCs/>
          <w:color w:val="auto"/>
          <w:sz w:val="24"/>
          <w:szCs w:val="24"/>
          <w:highlight w:val="none"/>
        </w:rPr>
      </w:pPr>
      <w:r>
        <w:rPr>
          <w:rFonts w:ascii="宋体" w:hAnsi="宋体" w:cs="宋体"/>
          <w:bCs/>
          <w:color w:val="auto"/>
          <w:sz w:val="24"/>
          <w:szCs w:val="24"/>
          <w:highlight w:val="none"/>
        </w:rPr>
        <w:t xml:space="preserve">12.2 </w:t>
      </w:r>
      <w:r>
        <w:rPr>
          <w:rFonts w:hint="eastAsia" w:ascii="宋体" w:hAnsi="宋体" w:cs="宋体"/>
          <w:bCs/>
          <w:color w:val="auto"/>
          <w:sz w:val="24"/>
          <w:szCs w:val="24"/>
          <w:highlight w:val="none"/>
        </w:rPr>
        <w:t>乙方解除合同</w:t>
      </w:r>
    </w:p>
    <w:p>
      <w:pPr>
        <w:spacing w:line="360" w:lineRule="auto"/>
        <w:ind w:firstLine="482"/>
        <w:rPr>
          <w:rFonts w:hint="eastAsia" w:ascii="宋体" w:hAnsi="宋体" w:cs="宋体" w:eastAsiaTheme="minorEastAsia"/>
          <w:color w:val="auto"/>
          <w:sz w:val="24"/>
          <w:szCs w:val="24"/>
          <w:highlight w:val="none"/>
          <w:lang w:eastAsia="zh-CN"/>
        </w:rPr>
      </w:pPr>
      <w:r>
        <w:rPr>
          <w:rFonts w:hint="eastAsia" w:ascii="宋体" w:hAnsi="宋体" w:cs="宋体"/>
          <w:bCs/>
          <w:color w:val="auto"/>
          <w:sz w:val="24"/>
          <w:szCs w:val="24"/>
          <w:highlight w:val="none"/>
        </w:rPr>
        <w:t>如甲方无正当理由未能按本合同约定期限向乙方支付合同款，并经乙方催告后超过</w:t>
      </w:r>
      <w:r>
        <w:rPr>
          <w:rFonts w:ascii="宋体" w:hAnsi="宋体" w:cs="宋体"/>
          <w:bCs/>
          <w:color w:val="auto"/>
          <w:sz w:val="24"/>
          <w:szCs w:val="24"/>
          <w:highlight w:val="none"/>
        </w:rPr>
        <w:t xml:space="preserve">   </w:t>
      </w:r>
      <w:r>
        <w:rPr>
          <w:rFonts w:hint="eastAsia" w:ascii="宋体" w:hAnsi="宋体" w:cs="宋体"/>
          <w:bCs/>
          <w:color w:val="auto"/>
          <w:sz w:val="24"/>
          <w:szCs w:val="24"/>
          <w:highlight w:val="none"/>
        </w:rPr>
        <w:t>天仍未支付，乙方有权以书面通知解除本合同。</w:t>
      </w:r>
    </w:p>
    <w:p>
      <w:pPr>
        <w:spacing w:line="360" w:lineRule="auto"/>
        <w:ind w:firstLine="482"/>
        <w:rPr>
          <w:rFonts w:ascii="宋体" w:hAnsi="宋体" w:cs="宋体"/>
          <w:color w:val="auto"/>
          <w:sz w:val="24"/>
          <w:szCs w:val="24"/>
          <w:highlight w:val="none"/>
        </w:rPr>
      </w:pPr>
      <w:r>
        <w:rPr>
          <w:rFonts w:hint="eastAsia" w:ascii="宋体" w:hAnsi="宋体" w:cs="宋体"/>
          <w:color w:val="auto"/>
          <w:sz w:val="24"/>
          <w:szCs w:val="24"/>
          <w:highlight w:val="none"/>
        </w:rPr>
        <w:t> </w:t>
      </w:r>
      <w:r>
        <w:rPr>
          <w:rFonts w:ascii="宋体" w:hAnsi="宋体" w:cs="宋体"/>
          <w:color w:val="auto"/>
          <w:sz w:val="24"/>
          <w:szCs w:val="24"/>
          <w:highlight w:val="none"/>
        </w:rPr>
        <w:t xml:space="preserve">  12.3</w:t>
      </w:r>
      <w:r>
        <w:rPr>
          <w:rFonts w:hint="eastAsia" w:ascii="宋体" w:hAnsi="宋体" w:cs="宋体"/>
          <w:color w:val="auto"/>
          <w:sz w:val="24"/>
          <w:szCs w:val="24"/>
          <w:highlight w:val="none"/>
        </w:rPr>
        <w:t>甲乙双方经协商一致后解除合同。</w:t>
      </w:r>
    </w:p>
    <w:p>
      <w:pPr>
        <w:spacing w:line="480" w:lineRule="exact"/>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第十三条</w:t>
      </w:r>
      <w:r>
        <w:rPr>
          <w:rFonts w:ascii="宋体" w:hAnsi="宋体" w:cs="宋体"/>
          <w:b/>
          <w:bCs/>
          <w:color w:val="auto"/>
          <w:sz w:val="24"/>
          <w:szCs w:val="24"/>
          <w:highlight w:val="none"/>
        </w:rPr>
        <w:t xml:space="preserve"> </w:t>
      </w:r>
      <w:r>
        <w:rPr>
          <w:rFonts w:hint="eastAsia" w:ascii="宋体" w:hAnsi="宋体" w:cs="宋体"/>
          <w:b/>
          <w:bCs/>
          <w:color w:val="auto"/>
          <w:sz w:val="24"/>
          <w:szCs w:val="24"/>
          <w:highlight w:val="none"/>
        </w:rPr>
        <w:t>不可抗力</w:t>
      </w:r>
    </w:p>
    <w:p>
      <w:pPr>
        <w:widowControl w:val="0"/>
        <w:numPr>
          <w:ilvl w:val="255"/>
          <w:numId w:val="0"/>
        </w:numPr>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13.1</w:t>
      </w:r>
      <w:r>
        <w:rPr>
          <w:rFonts w:hint="eastAsia" w:ascii="宋体" w:hAnsi="宋体" w:cs="宋体"/>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2）战争行为、入侵、武装冲突或外敌行为、封锁、暴乱、恐怖行为或军事演习；</w:t>
      </w:r>
    </w:p>
    <w:p>
      <w:pPr>
        <w:widowControl w:val="0"/>
        <w:spacing w:line="48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color w:val="auto"/>
          <w:sz w:val="24"/>
          <w:szCs w:val="24"/>
          <w:highlight w:val="none"/>
        </w:rPr>
      </w:pPr>
      <w:r>
        <w:rPr>
          <w:rFonts w:ascii="宋体" w:hAnsi="宋体" w:cs="宋体"/>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第十四条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争议解决方式：</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14.1 </w:t>
      </w:r>
      <w:r>
        <w:rPr>
          <w:rFonts w:hint="eastAsia" w:ascii="宋体" w:hAnsi="宋体" w:cs="宋体"/>
          <w:color w:val="auto"/>
          <w:sz w:val="24"/>
          <w:szCs w:val="24"/>
          <w:highlight w:val="none"/>
        </w:rPr>
        <w:t>因本合同引起的或与本合同有关的任何争议，甲乙双方应友好协商解决，如协商不成，任何一方均可依法向</w:t>
      </w:r>
      <w:r>
        <w:rPr>
          <w:rFonts w:hint="eastAsia" w:ascii="宋体" w:hAnsi="宋体" w:cs="宋体"/>
          <w:color w:val="auto"/>
          <w:sz w:val="24"/>
          <w:szCs w:val="24"/>
          <w:highlight w:val="none"/>
          <w:u w:val="single"/>
        </w:rPr>
        <w:t>甲方所在地人民法院</w:t>
      </w:r>
      <w:r>
        <w:rPr>
          <w:rFonts w:hint="eastAsia" w:ascii="宋体" w:hAnsi="宋体" w:cs="宋体"/>
          <w:color w:val="auto"/>
          <w:sz w:val="24"/>
          <w:szCs w:val="24"/>
          <w:highlight w:val="none"/>
        </w:rPr>
        <w:t>提起诉讼。</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 xml:space="preserve">14.2 </w:t>
      </w:r>
      <w:r>
        <w:rPr>
          <w:rFonts w:hint="eastAsia" w:ascii="宋体" w:hAnsi="宋体" w:cs="宋体"/>
          <w:color w:val="auto"/>
          <w:sz w:val="24"/>
          <w:szCs w:val="24"/>
          <w:highlight w:val="none"/>
        </w:rPr>
        <w:t>在甲方同意的情况下，除有争端之外的合同其它部分在争端解决前应继续执行。</w:t>
      </w:r>
    </w:p>
    <w:p>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第十五条</w:t>
      </w:r>
      <w:r>
        <w:rPr>
          <w:rFonts w:ascii="宋体" w:hAnsi="宋体" w:cs="宋体"/>
          <w:b/>
          <w:color w:val="auto"/>
          <w:sz w:val="24"/>
          <w:szCs w:val="24"/>
          <w:highlight w:val="none"/>
        </w:rPr>
        <w:t xml:space="preserve"> </w:t>
      </w:r>
      <w:r>
        <w:rPr>
          <w:rFonts w:hint="eastAsia" w:ascii="宋体" w:hAnsi="宋体" w:cs="宋体"/>
          <w:b/>
          <w:color w:val="auto"/>
          <w:sz w:val="24"/>
          <w:szCs w:val="24"/>
          <w:highlight w:val="none"/>
        </w:rPr>
        <w:t>其他：</w:t>
      </w:r>
    </w:p>
    <w:p>
      <w:pPr>
        <w:spacing w:line="360" w:lineRule="auto"/>
        <w:ind w:firstLine="595" w:firstLineChars="248"/>
        <w:rPr>
          <w:rFonts w:ascii="宋体" w:hAnsi="宋体" w:cs="宋体"/>
          <w:b/>
          <w:color w:val="auto"/>
          <w:sz w:val="24"/>
          <w:szCs w:val="24"/>
          <w:highlight w:val="none"/>
        </w:rPr>
      </w:pPr>
      <w:r>
        <w:rPr>
          <w:rFonts w:ascii="宋体" w:hAnsi="宋体" w:cs="宋体"/>
          <w:bCs/>
          <w:color w:val="auto"/>
          <w:sz w:val="24"/>
          <w:szCs w:val="24"/>
          <w:highlight w:val="none"/>
        </w:rPr>
        <w:t>15.1</w:t>
      </w:r>
      <w:r>
        <w:rPr>
          <w:rFonts w:hint="eastAsia" w:ascii="宋体" w:hAnsi="宋体" w:cs="宋体"/>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15.2</w:t>
      </w:r>
      <w:r>
        <w:rPr>
          <w:rFonts w:hint="eastAsia" w:ascii="宋体" w:hAnsi="宋体" w:cs="宋体"/>
          <w:color w:val="auto"/>
          <w:sz w:val="24"/>
          <w:szCs w:val="24"/>
          <w:highlight w:val="none"/>
        </w:rPr>
        <w:t>本合同自甲乙双方法定代表人或授权代理人签字并加盖公章之日起生效。</w:t>
      </w:r>
    </w:p>
    <w:p>
      <w:pPr>
        <w:spacing w:line="360" w:lineRule="auto"/>
        <w:ind w:firstLine="600" w:firstLineChars="250"/>
        <w:rPr>
          <w:rFonts w:ascii="宋体" w:hAnsi="宋体" w:cs="宋体"/>
          <w:color w:val="auto"/>
          <w:sz w:val="24"/>
          <w:szCs w:val="24"/>
          <w:highlight w:val="none"/>
        </w:rPr>
      </w:pPr>
      <w:r>
        <w:rPr>
          <w:rFonts w:ascii="宋体" w:hAnsi="宋体" w:cs="宋体"/>
          <w:color w:val="auto"/>
          <w:sz w:val="24"/>
          <w:szCs w:val="24"/>
          <w:highlight w:val="none"/>
        </w:rPr>
        <w:t>15.3</w:t>
      </w:r>
      <w:r>
        <w:rPr>
          <w:rFonts w:hint="eastAsia" w:ascii="宋体" w:hAnsi="宋体" w:cs="宋体"/>
          <w:color w:val="auto"/>
          <w:sz w:val="24"/>
          <w:szCs w:val="24"/>
          <w:highlight w:val="none"/>
        </w:rPr>
        <w:t>本合同一式</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份，甲方执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份，乙方执</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份。均具有同等法律效力。</w:t>
      </w:r>
    </w:p>
    <w:p>
      <w:pPr>
        <w:spacing w:line="360" w:lineRule="auto"/>
        <w:ind w:firstLine="720" w:firstLineChars="300"/>
        <w:rPr>
          <w:rFonts w:ascii="宋体" w:hAnsi="宋体" w:cs="宋体"/>
          <w:color w:val="auto"/>
          <w:sz w:val="24"/>
          <w:szCs w:val="24"/>
          <w:highlight w:val="none"/>
        </w:rPr>
      </w:pPr>
      <w:r>
        <w:rPr>
          <w:rFonts w:ascii="宋体" w:hAnsi="宋体" w:cs="宋体"/>
          <w:color w:val="auto"/>
          <w:sz w:val="24"/>
          <w:szCs w:val="24"/>
          <w:highlight w:val="none"/>
        </w:rPr>
        <w:t>15.4</w:t>
      </w:r>
      <w:r>
        <w:rPr>
          <w:rFonts w:hint="eastAsia" w:ascii="宋体" w:hAnsi="宋体" w:cs="宋体"/>
          <w:color w:val="auto"/>
          <w:sz w:val="24"/>
          <w:szCs w:val="24"/>
          <w:highlight w:val="none"/>
        </w:rPr>
        <w:t>补充条款：</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eastAsia="zh-CN"/>
        </w:rPr>
        <w:t>…</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w:t>
      </w:r>
      <w:r>
        <w:rPr>
          <w:rFonts w:ascii="宋体" w:hAnsi="宋体" w:cs="宋体"/>
          <w:color w:val="auto"/>
          <w:sz w:val="24"/>
          <w:szCs w:val="24"/>
          <w:highlight w:val="none"/>
        </w:rPr>
        <w:t xml:space="preserve">     </w:t>
      </w:r>
      <w:bookmarkEnd w:id="119"/>
      <w:bookmarkEnd w:id="120"/>
      <w:bookmarkEnd w:id="146"/>
      <w:bookmarkEnd w:id="147"/>
      <w:bookmarkEnd w:id="148"/>
      <w:bookmarkEnd w:id="149"/>
      <w:bookmarkEnd w:id="150"/>
      <w:bookmarkEnd w:id="151"/>
      <w:bookmarkEnd w:id="152"/>
      <w:bookmarkEnd w:id="153"/>
      <w:bookmarkEnd w:id="154"/>
      <w:bookmarkEnd w:id="155"/>
      <w:bookmarkEnd w:id="156"/>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附件：</w:t>
      </w:r>
      <w:r>
        <w:rPr>
          <w:rFonts w:ascii="宋体" w:hAnsi="宋体" w:cs="宋体"/>
          <w:color w:val="auto"/>
          <w:sz w:val="24"/>
          <w:szCs w:val="24"/>
          <w:highlight w:val="none"/>
        </w:rPr>
        <w:t>1</w:t>
      </w:r>
      <w:r>
        <w:rPr>
          <w:rFonts w:hint="eastAsia" w:ascii="宋体" w:hAnsi="宋体" w:cs="宋体"/>
          <w:color w:val="auto"/>
          <w:sz w:val="24"/>
          <w:szCs w:val="24"/>
          <w:highlight w:val="none"/>
        </w:rPr>
        <w:t>.中标通知书</w:t>
      </w:r>
      <w:r>
        <w:rPr>
          <w:rFonts w:ascii="宋体" w:hAnsi="宋体" w:cs="宋体"/>
          <w:color w:val="auto"/>
          <w:sz w:val="24"/>
          <w:szCs w:val="24"/>
          <w:highlight w:val="none"/>
        </w:rPr>
        <w:t>/</w:t>
      </w:r>
      <w:r>
        <w:rPr>
          <w:rFonts w:hint="eastAsia" w:ascii="宋体" w:hAnsi="宋体" w:cs="宋体"/>
          <w:color w:val="auto"/>
          <w:sz w:val="24"/>
          <w:szCs w:val="24"/>
          <w:highlight w:val="none"/>
        </w:rPr>
        <w:t>发包通知书</w:t>
      </w:r>
      <w:r>
        <w:rPr>
          <w:rFonts w:hint="eastAsia" w:ascii="宋体" w:hAnsi="宋体" w:cs="宋体"/>
          <w:color w:val="auto"/>
          <w:sz w:val="24"/>
          <w:szCs w:val="24"/>
          <w:highlight w:val="none"/>
          <w:lang w:val="en-US" w:eastAsia="zh-CN"/>
        </w:rPr>
        <w:t>/成交通知书</w:t>
      </w:r>
      <w:r>
        <w:rPr>
          <w:rFonts w:hint="eastAsia" w:ascii="宋体" w:hAnsi="宋体" w:cs="宋体"/>
          <w:color w:val="auto"/>
          <w:sz w:val="24"/>
          <w:szCs w:val="24"/>
          <w:highlight w:val="none"/>
        </w:rPr>
        <w:t>（如有）</w:t>
      </w:r>
    </w:p>
    <w:p>
      <w:pPr>
        <w:numPr>
          <w:ilvl w:val="0"/>
          <w:numId w:val="0"/>
        </w:numPr>
        <w:spacing w:line="460" w:lineRule="exact"/>
        <w:ind w:left="1200" w:leftChars="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廉洁协议</w:t>
      </w:r>
    </w:p>
    <w:p>
      <w:pPr>
        <w:numPr>
          <w:ilvl w:val="0"/>
          <w:numId w:val="0"/>
        </w:numPr>
        <w:spacing w:line="460" w:lineRule="exact"/>
        <w:ind w:firstLine="1200" w:firstLineChars="500"/>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不诚信行为的情形及相应被暂停参与投标活动的处理标准</w:t>
      </w:r>
    </w:p>
    <w:p>
      <w:pPr>
        <w:spacing w:line="360" w:lineRule="auto"/>
        <w:ind w:firstLine="1200" w:firstLineChars="5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物品采购</w:t>
      </w:r>
      <w:r>
        <w:rPr>
          <w:rFonts w:hint="eastAsia" w:ascii="宋体" w:hAnsi="宋体" w:cs="宋体"/>
          <w:color w:val="auto"/>
          <w:sz w:val="24"/>
          <w:szCs w:val="24"/>
          <w:highlight w:val="none"/>
        </w:rPr>
        <w:t>安全协议书</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具体以安全办通知为准）</w:t>
      </w:r>
    </w:p>
    <w:p>
      <w:pPr>
        <w:spacing w:line="360" w:lineRule="auto"/>
        <w:ind w:firstLine="1200" w:firstLineChars="500"/>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en-US" w:eastAsia="zh-CN"/>
        </w:rPr>
        <w:t>5</w:t>
      </w:r>
      <w:r>
        <w:rPr>
          <w:rFonts w:hint="eastAsia" w:ascii="宋体" w:hAnsi="宋体" w:cs="宋体"/>
          <w:color w:val="auto"/>
          <w:kern w:val="0"/>
          <w:sz w:val="24"/>
          <w:szCs w:val="24"/>
          <w:highlight w:val="none"/>
          <w:lang w:val="zh-CN"/>
        </w:rPr>
        <w:t>.技术需求（如需）</w:t>
      </w:r>
    </w:p>
    <w:p>
      <w:pPr>
        <w:spacing w:line="360" w:lineRule="auto"/>
        <w:ind w:firstLine="1200" w:firstLineChars="500"/>
        <w:rPr>
          <w:rFonts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.授权委托证明（如需）</w:t>
      </w:r>
    </w:p>
    <w:p>
      <w:pPr>
        <w:spacing w:line="360" w:lineRule="auto"/>
        <w:ind w:firstLine="1200" w:firstLineChars="5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7</w:t>
      </w:r>
      <w:r>
        <w:rPr>
          <w:rFonts w:hint="eastAsia" w:ascii="宋体" w:hAnsi="宋体" w:cs="宋体"/>
          <w:color w:val="auto"/>
          <w:kern w:val="0"/>
          <w:sz w:val="24"/>
          <w:szCs w:val="24"/>
          <w:highlight w:val="none"/>
        </w:rPr>
        <w:t>.履约保函（模板）</w:t>
      </w:r>
    </w:p>
    <w:p>
      <w:pPr>
        <w:spacing w:line="360" w:lineRule="auto"/>
        <w:ind w:firstLine="1200" w:firstLineChars="500"/>
        <w:rPr>
          <w:rFonts w:hint="default" w:ascii="宋体" w:hAnsi="宋体" w:eastAsia="宋体" w:cs="宋体"/>
          <w:b w:val="0"/>
          <w:bCs w:val="0"/>
          <w:color w:val="auto"/>
          <w:kern w:val="0"/>
          <w:sz w:val="24"/>
          <w:szCs w:val="24"/>
          <w:highlight w:val="none"/>
          <w:lang w:val="en-US" w:eastAsia="zh-CN"/>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甲方</w:t>
            </w:r>
            <w:r>
              <w:rPr>
                <w:rFonts w:hint="eastAsia" w:ascii="宋体" w:hAnsi="宋体" w:cs="宋体"/>
                <w:color w:val="auto"/>
                <w:sz w:val="24"/>
                <w:szCs w:val="24"/>
                <w:highlight w:val="none"/>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b/>
                <w:color w:val="auto"/>
                <w:sz w:val="24"/>
                <w:szCs w:val="24"/>
                <w:highlight w:val="none"/>
              </w:rPr>
              <w:t>乙方</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r>
              <w:rPr>
                <w:rFonts w:hint="eastAsia" w:ascii="宋体" w:hAnsi="宋体" w:cs="宋体"/>
                <w:color w:val="auto"/>
                <w:sz w:val="24"/>
                <w:szCs w:val="24"/>
                <w:highlight w:val="none"/>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c>
          <w:tcPr>
            <w:tcW w:w="4696" w:type="dxa"/>
            <w:tcBorders>
              <w:top w:val="nil"/>
              <w:left w:val="nil"/>
              <w:bottom w:val="nil"/>
              <w:right w:val="nil"/>
            </w:tcBorders>
          </w:tcPr>
          <w:p>
            <w:pPr>
              <w:adjustRightInd w:val="0"/>
              <w:snapToGrid w:val="0"/>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jc w:val="both"/>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color w:val="auto"/>
                <w:sz w:val="24"/>
                <w:szCs w:val="24"/>
                <w:highlight w:val="none"/>
              </w:rPr>
            </w:pPr>
            <w:r>
              <w:rPr>
                <w:rFonts w:hint="eastAsia" w:ascii="宋体" w:hAnsi="宋体" w:cs="宋体"/>
                <w:color w:val="auto"/>
                <w:sz w:val="24"/>
                <w:szCs w:val="24"/>
                <w:highlight w:val="none"/>
              </w:rPr>
              <w:t>签订日期</w:t>
            </w:r>
            <w:r>
              <w:rPr>
                <w:rFonts w:ascii="宋体" w:hAnsi="宋体" w:cs="宋体"/>
                <w:color w:val="auto"/>
                <w:sz w:val="24"/>
                <w:szCs w:val="24"/>
                <w:highlight w:val="none"/>
              </w:rPr>
              <w:t>:</w:t>
            </w:r>
          </w:p>
        </w:tc>
      </w:tr>
    </w:tbl>
    <w:p>
      <w:pPr>
        <w:spacing w:line="360" w:lineRule="auto"/>
        <w:rPr>
          <w:rFonts w:ascii="宋体" w:hAnsi="宋体" w:cs="宋体"/>
          <w:color w:val="auto"/>
          <w:sz w:val="24"/>
          <w:szCs w:val="24"/>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p>
    <w:p>
      <w:pPr>
        <w:spacing w:line="360" w:lineRule="auto"/>
        <w:jc w:val="both"/>
        <w:rPr>
          <w:rFonts w:hint="eastAsia" w:ascii="宋体" w:hAnsi="宋体" w:cs="宋体"/>
          <w:b/>
          <w:bCs/>
          <w:color w:val="auto"/>
          <w:szCs w:val="21"/>
          <w:highlight w:val="none"/>
        </w:rPr>
      </w:pPr>
      <w:r>
        <w:rPr>
          <w:rFonts w:hint="eastAsia" w:ascii="宋体" w:hAnsi="宋体" w:cs="宋体"/>
          <w:b/>
          <w:bCs/>
          <w:color w:val="auto"/>
          <w:szCs w:val="21"/>
          <w:highlight w:val="none"/>
        </w:rPr>
        <w:t>附件</w:t>
      </w:r>
      <w:r>
        <w:rPr>
          <w:rFonts w:ascii="宋体" w:hAnsi="宋体" w:cs="宋体"/>
          <w:b/>
          <w:bCs/>
          <w:color w:val="auto"/>
          <w:szCs w:val="21"/>
          <w:highlight w:val="none"/>
        </w:rPr>
        <w:t>2</w:t>
      </w:r>
      <w:r>
        <w:rPr>
          <w:rFonts w:hint="eastAsia" w:ascii="宋体" w:hAnsi="宋体" w:cs="宋体"/>
          <w:b/>
          <w:bCs/>
          <w:color w:val="auto"/>
          <w:szCs w:val="21"/>
          <w:highlight w:val="none"/>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5"/>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pStyle w:val="21"/>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2"/>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numPr>
          <w:ilvl w:val="0"/>
          <w:numId w:val="0"/>
        </w:numPr>
        <w:ind w:firstLine="0" w:firstLineChars="0"/>
        <w:contextualSpacing/>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auto"/>
          <w:sz w:val="24"/>
          <w:szCs w:val="24"/>
          <w:highlight w:val="none"/>
        </w:rPr>
        <w:t>《广州市净水有限公司经营建设项目参建企业不诚信行为管理办法》</w:t>
      </w:r>
      <w:r>
        <w:rPr>
          <w:rFonts w:hint="eastAsia" w:ascii="仿宋_GB2312" w:hAnsi="仿宋_GB2312" w:eastAsia="仿宋_GB2312" w:cs="仿宋_GB2312"/>
          <w:color w:val="auto"/>
          <w:sz w:val="24"/>
          <w:szCs w:val="24"/>
          <w:highlight w:val="none"/>
          <w:lang w:eastAsia="zh-CN"/>
        </w:rPr>
        <w:t>。</w:t>
      </w:r>
    </w:p>
    <w:p>
      <w:pPr>
        <w:spacing w:line="360" w:lineRule="auto"/>
        <w:rPr>
          <w:rFonts w:ascii="宋体" w:hAnsi="宋体"/>
          <w:b/>
          <w:color w:val="auto"/>
          <w:sz w:val="24"/>
          <w:highlight w:val="none"/>
        </w:rPr>
      </w:pPr>
    </w:p>
    <w:p>
      <w:pPr>
        <w:pStyle w:val="21"/>
        <w:rPr>
          <w:rFonts w:ascii="宋体" w:hAnsi="宋体"/>
          <w:b/>
          <w:color w:val="auto"/>
          <w:sz w:val="24"/>
          <w:highlight w:val="none"/>
        </w:rPr>
      </w:pPr>
    </w:p>
    <w:p>
      <w:pPr>
        <w:pStyle w:val="21"/>
        <w:rPr>
          <w:rFonts w:ascii="宋体" w:hAnsi="宋体"/>
          <w:b/>
          <w:color w:val="auto"/>
          <w:sz w:val="24"/>
          <w:highlight w:val="none"/>
        </w:rPr>
      </w:pPr>
    </w:p>
    <w:p>
      <w:pPr>
        <w:pStyle w:val="21"/>
        <w:rPr>
          <w:rFonts w:ascii="宋体" w:hAnsi="宋体"/>
          <w:b/>
          <w:color w:val="auto"/>
          <w:sz w:val="24"/>
          <w:highlight w:val="none"/>
        </w:rPr>
      </w:pPr>
    </w:p>
    <w:p>
      <w:pPr>
        <w:pStyle w:val="21"/>
        <w:rPr>
          <w:rFonts w:ascii="宋体" w:hAnsi="宋体"/>
          <w:b/>
          <w:color w:val="auto"/>
          <w:sz w:val="24"/>
          <w:highlight w:val="none"/>
        </w:rPr>
      </w:pPr>
    </w:p>
    <w:p>
      <w:pPr>
        <w:pStyle w:val="21"/>
        <w:rPr>
          <w:rFonts w:ascii="宋体" w:hAnsi="宋体"/>
          <w:b/>
          <w:color w:val="auto"/>
          <w:sz w:val="24"/>
          <w:highlight w:val="none"/>
        </w:rPr>
      </w:pPr>
    </w:p>
    <w:p>
      <w:pPr>
        <w:pStyle w:val="21"/>
        <w:rPr>
          <w:rFonts w:ascii="宋体" w:hAnsi="宋体"/>
          <w:b/>
          <w:color w:val="auto"/>
          <w:sz w:val="24"/>
          <w:highlight w:val="none"/>
        </w:rPr>
      </w:pPr>
    </w:p>
    <w:p>
      <w:pPr>
        <w:pStyle w:val="21"/>
        <w:rPr>
          <w:rFonts w:ascii="宋体" w:hAnsi="宋体"/>
          <w:b/>
          <w:color w:val="auto"/>
          <w:sz w:val="24"/>
          <w:highlight w:val="none"/>
        </w:rPr>
      </w:pP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附件</w:t>
      </w:r>
      <w:r>
        <w:rPr>
          <w:rFonts w:hint="eastAsia" w:ascii="宋体" w:hAnsi="宋体" w:cs="宋体"/>
          <w:b/>
          <w:color w:val="auto"/>
          <w:szCs w:val="21"/>
          <w:highlight w:val="none"/>
          <w:lang w:val="en-US" w:eastAsia="zh-CN"/>
        </w:rPr>
        <w:t>4</w:t>
      </w:r>
      <w:r>
        <w:rPr>
          <w:rFonts w:hint="eastAsia" w:ascii="宋体" w:hAnsi="宋体" w:cs="宋体"/>
          <w:b/>
          <w:color w:val="auto"/>
          <w:szCs w:val="21"/>
          <w:highlight w:val="none"/>
        </w:rPr>
        <w:t>：安全管理协议书</w:t>
      </w:r>
    </w:p>
    <w:p>
      <w:pPr>
        <w:spacing w:line="560" w:lineRule="exact"/>
        <w:jc w:val="center"/>
        <w:rPr>
          <w:rFonts w:ascii="黑体" w:hAnsi="宋体" w:eastAsia="黑体" w:cs="宋体"/>
          <w:bCs/>
          <w:color w:val="auto"/>
          <w:kern w:val="0"/>
          <w:sz w:val="44"/>
          <w:szCs w:val="44"/>
          <w:highlight w:val="none"/>
        </w:rPr>
      </w:pPr>
      <w:r>
        <w:rPr>
          <w:rFonts w:hint="eastAsia" w:ascii="黑体" w:hAnsi="宋体" w:eastAsia="黑体" w:cs="宋体"/>
          <w:bCs/>
          <w:color w:val="auto"/>
          <w:kern w:val="0"/>
          <w:sz w:val="44"/>
          <w:szCs w:val="44"/>
          <w:highlight w:val="none"/>
        </w:rPr>
        <w:t>物品采购</w:t>
      </w:r>
      <w:r>
        <w:rPr>
          <w:rFonts w:hint="eastAsia" w:ascii="黑体" w:hAnsi="Batang" w:eastAsia="黑体" w:cs="Batang"/>
          <w:bCs/>
          <w:color w:val="auto"/>
          <w:kern w:val="0"/>
          <w:sz w:val="44"/>
          <w:szCs w:val="44"/>
          <w:highlight w:val="none"/>
        </w:rPr>
        <w:t>安全协议</w:t>
      </w:r>
      <w:r>
        <w:rPr>
          <w:rFonts w:hint="eastAsia" w:ascii="黑体" w:hAnsi="宋体" w:eastAsia="黑体" w:cs="宋体"/>
          <w:bCs/>
          <w:color w:val="auto"/>
          <w:kern w:val="0"/>
          <w:sz w:val="44"/>
          <w:szCs w:val="44"/>
          <w:highlight w:val="none"/>
        </w:rPr>
        <w:t>书</w:t>
      </w:r>
    </w:p>
    <w:p>
      <w:pPr>
        <w:spacing w:line="560" w:lineRule="exact"/>
        <w:rPr>
          <w:rFonts w:ascii="宋体" w:hAnsi="宋体" w:cs="Arial"/>
          <w:color w:val="auto"/>
          <w:kern w:val="0"/>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 xml:space="preserve">乙方： </w:t>
      </w:r>
    </w:p>
    <w:p>
      <w:pPr>
        <w:spacing w:line="560" w:lineRule="exact"/>
        <w:rPr>
          <w:rFonts w:ascii="宋体" w:hAnsi="宋体" w:cs="Arial"/>
          <w:color w:val="auto"/>
          <w:kern w:val="0"/>
          <w:sz w:val="24"/>
          <w:highlight w:val="none"/>
        </w:rPr>
      </w:pP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为加强物品采购过程安全管理，根据《中华人民共和国安全生产法》、《生产安全事故报告和调查处理条例》等国家及地方有关安全生产法律法规</w:t>
      </w:r>
      <w:r>
        <w:rPr>
          <w:rFonts w:ascii="宋体" w:hAnsi="宋体" w:cs="Arial"/>
          <w:color w:val="auto"/>
          <w:kern w:val="0"/>
          <w:sz w:val="24"/>
          <w:highlight w:val="none"/>
        </w:rPr>
        <w:t>，甲乙双方就</w:t>
      </w:r>
      <w:r>
        <w:rPr>
          <w:rFonts w:hint="eastAsia" w:ascii="宋体" w:hAnsi="宋体" w:cs="Arial"/>
          <w:color w:val="auto"/>
          <w:kern w:val="0"/>
          <w:sz w:val="24"/>
          <w:highlight w:val="none"/>
        </w:rPr>
        <w:t>物品采购的安全</w:t>
      </w:r>
      <w:r>
        <w:rPr>
          <w:rFonts w:ascii="宋体" w:hAnsi="宋体" w:cs="Arial"/>
          <w:color w:val="auto"/>
          <w:kern w:val="0"/>
          <w:sz w:val="24"/>
          <w:highlight w:val="none"/>
        </w:rPr>
        <w:t>事宜，</w:t>
      </w:r>
      <w:r>
        <w:rPr>
          <w:rFonts w:ascii="宋体" w:hAnsi="宋体" w:cs="Arial"/>
          <w:color w:val="auto"/>
          <w:sz w:val="24"/>
          <w:highlight w:val="none"/>
        </w:rPr>
        <w:t>经双方友好协商，达成如下协议</w:t>
      </w:r>
      <w:r>
        <w:rPr>
          <w:rFonts w:ascii="宋体" w:hAnsi="宋体" w:cs="Arial"/>
          <w:color w:val="auto"/>
          <w:kern w:val="0"/>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的组成部分，与主合同具有同等法律效力。</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二、甲方权责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（五）告知乙方在甲方应当遵守的安全管理要求。</w:t>
      </w:r>
    </w:p>
    <w:p>
      <w:pPr>
        <w:spacing w:line="560" w:lineRule="exact"/>
        <w:ind w:firstLine="482" w:firstLineChars="200"/>
        <w:rPr>
          <w:rFonts w:ascii="宋体" w:hAnsi="宋体" w:cs="Arial"/>
          <w:b/>
          <w:color w:val="auto"/>
          <w:kern w:val="0"/>
          <w:sz w:val="24"/>
          <w:highlight w:val="none"/>
        </w:rPr>
      </w:pPr>
      <w:r>
        <w:rPr>
          <w:rFonts w:hint="eastAsia" w:ascii="宋体" w:hAnsi="宋体" w:cs="Arial"/>
          <w:b/>
          <w:color w:val="auto"/>
          <w:kern w:val="0"/>
          <w:sz w:val="24"/>
          <w:highlight w:val="none"/>
        </w:rPr>
        <w:t>三、乙方权责</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（二）</w:t>
      </w:r>
      <w:r>
        <w:rPr>
          <w:rFonts w:hint="eastAsia" w:ascii="宋体" w:hAnsi="宋体" w:cs="宋体"/>
          <w:color w:val="auto"/>
          <w:kern w:val="0"/>
          <w:sz w:val="24"/>
          <w:highlight w:val="none"/>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安全运输责任人，负责安全运输和装卸及安全教育工作，同时督促检查，确保</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的安全送运。</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（三）乙方应承诺所售</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质量符合现行国家规范要求，保证</w:t>
      </w:r>
      <w:r>
        <w:rPr>
          <w:rFonts w:hint="eastAsia" w:ascii="宋体" w:hAnsi="宋体" w:cs="Arial"/>
          <w:color w:val="auto"/>
          <w:kern w:val="0"/>
          <w:sz w:val="24"/>
          <w:highlight w:val="none"/>
        </w:rPr>
        <w:t>所售物品为正品。设备类物品应提供与设备型号一致的使用说明书（进口设备应有中文说明书），如物品有保质期要求的应在保质期范围内，</w:t>
      </w:r>
      <w:r>
        <w:rPr>
          <w:rFonts w:hint="eastAsia" w:ascii="宋体" w:hAnsi="宋体" w:cs="宋体"/>
          <w:color w:val="auto"/>
          <w:kern w:val="0"/>
          <w:sz w:val="24"/>
          <w:highlight w:val="none"/>
        </w:rPr>
        <w:t>特殊设备应在运输前做好定检工作，包装要完整完好。</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（四）乙方对</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（五）乙方须加强物品运输车辆的安全管理，用于运输</w:t>
      </w:r>
      <w:r>
        <w:rPr>
          <w:rFonts w:hint="eastAsia" w:ascii="宋体" w:hAnsi="宋体" w:cs="Arial"/>
          <w:color w:val="auto"/>
          <w:kern w:val="0"/>
          <w:sz w:val="24"/>
          <w:highlight w:val="none"/>
        </w:rPr>
        <w:t>物品</w:t>
      </w:r>
      <w:r>
        <w:rPr>
          <w:rFonts w:hint="eastAsia" w:ascii="宋体" w:hAnsi="宋体" w:cs="宋体"/>
          <w:color w:val="auto"/>
          <w:kern w:val="0"/>
          <w:sz w:val="24"/>
          <w:highlight w:val="none"/>
        </w:rPr>
        <w:t>的车辆必须车况良好、外观整洁、证照齐全，严格执行车辆安全检验制度，确保车辆性能符合安全技术标准。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（六）人员管理</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乙方聘请其他单位运输的，乙方应对运输单位的安全管理负责。</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color w:val="auto"/>
          <w:kern w:val="0"/>
          <w:sz w:val="24"/>
          <w:highlight w:val="none"/>
          <w:u w:val="single"/>
        </w:rPr>
        <w:t xml:space="preserve">      </w:t>
      </w:r>
      <w:r>
        <w:rPr>
          <w:rFonts w:hint="eastAsia" w:ascii="宋体" w:hAnsi="宋体" w:cs="宋体"/>
          <w:color w:val="auto"/>
          <w:kern w:val="0"/>
          <w:sz w:val="24"/>
          <w:highlight w:val="none"/>
        </w:rPr>
        <w:t>元/次。</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（十）乙方委托的第三方运输单位或个人，违反本协议的，全部责任均由乙方承担。</w:t>
      </w:r>
    </w:p>
    <w:p>
      <w:pPr>
        <w:pStyle w:val="38"/>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四、补充条款：</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color w:val="auto"/>
          <w:sz w:val="24"/>
          <w:highlight w:val="none"/>
          <w:u w:val="single"/>
          <w:lang w:val="en-US" w:eastAsia="zh-CN"/>
        </w:rPr>
        <w:t>/</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ind w:firstLine="240" w:firstLineChars="100"/>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widowControl w:val="0"/>
              <w:adjustRightInd w:val="0"/>
              <w:snapToGrid w:val="0"/>
              <w:spacing w:line="560" w:lineRule="exact"/>
              <w:jc w:val="both"/>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widowControl w:val="0"/>
              <w:adjustRightInd w:val="0"/>
              <w:snapToGrid w:val="0"/>
              <w:spacing w:line="560" w:lineRule="exact"/>
              <w:jc w:val="right"/>
              <w:textAlignment w:val="baseline"/>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spacing w:line="360" w:lineRule="auto"/>
        <w:rPr>
          <w:rFonts w:ascii="宋体" w:hAnsi="宋体" w:cs="宋体"/>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cs="宋体"/>
          <w:b/>
          <w:bCs/>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ascii="宋体" w:hAnsi="宋体"/>
          <w:b/>
          <w:color w:val="auto"/>
          <w:sz w:val="24"/>
          <w:szCs w:val="24"/>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 xml:space="preserve">7                            </w:t>
      </w:r>
      <w:r>
        <w:rPr>
          <w:rFonts w:hint="eastAsia" w:ascii="宋体" w:hAnsi="宋体"/>
          <w:b/>
          <w:color w:val="auto"/>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宋体" w:hAnsi="宋体" w:eastAsiaTheme="minorEastAsia"/>
          <w:color w:val="auto"/>
          <w:sz w:val="24"/>
          <w:szCs w:val="24"/>
          <w:highlight w:val="none"/>
          <w:lang w:eastAsia="zh-CN"/>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 xml:space="preserve">               （受益人）</w:t>
      </w:r>
    </w:p>
    <w:p>
      <w:pPr>
        <w:pStyle w:val="2"/>
        <w:rPr>
          <w:rFonts w:hint="eastAsia"/>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鉴于</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（以下简称“委托人”）与贵方于</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签订了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一、我行保证在收到贵单位于保函有效期内送达的依本保函约定的索赔申请后，在个</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工作日内无条件和不可改变地向贵单位支付最高金额不超过人民币元</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（大写：</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三、本保函自签发之日起生效，有效期至</w:t>
      </w:r>
      <w:r>
        <w:rPr>
          <w:rFonts w:hint="eastAsia" w:ascii="宋体" w:hAnsi="宋体"/>
          <w:color w:val="auto"/>
          <w:sz w:val="24"/>
          <w:szCs w:val="24"/>
          <w:highlight w:val="none"/>
          <w:u w:val="single"/>
        </w:rPr>
        <w:t xml:space="preserve">  年  月  日</w:t>
      </w:r>
      <w:r>
        <w:rPr>
          <w:rFonts w:hint="eastAsia" w:ascii="宋体" w:hAnsi="宋体"/>
          <w:color w:val="auto"/>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ascii="宋体" w:hAnsi="宋体"/>
          <w:color w:val="auto"/>
          <w:sz w:val="24"/>
          <w:szCs w:val="24"/>
          <w:highlight w:val="none"/>
        </w:rPr>
      </w:pPr>
      <w:r>
        <w:rPr>
          <w:rFonts w:hint="eastAsia" w:ascii="宋体" w:hAnsi="宋体"/>
          <w:color w:val="auto"/>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olor w:val="auto"/>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s="仿宋_GB2312"/>
          <w:color w:val="auto"/>
          <w:sz w:val="24"/>
          <w:szCs w:val="24"/>
          <w:highlight w:val="none"/>
        </w:rPr>
      </w:pPr>
      <w:r>
        <w:rPr>
          <w:rFonts w:hint="eastAsia" w:ascii="宋体" w:hAnsi="宋体" w:cs="仿宋_GB2312"/>
          <w:color w:val="auto"/>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ascii="宋体" w:hAnsi="宋体"/>
          <w:color w:val="auto"/>
          <w:sz w:val="24"/>
          <w:szCs w:val="24"/>
          <w:highlight w:val="none"/>
        </w:rPr>
      </w:pPr>
      <w:r>
        <w:rPr>
          <w:rFonts w:hint="eastAsia" w:ascii="宋体" w:hAnsi="宋体" w:cs="仿宋_GB2312"/>
          <w:color w:val="auto"/>
          <w:sz w:val="24"/>
          <w:szCs w:val="24"/>
          <w:highlight w:val="none"/>
        </w:rPr>
        <w:t>5.受益人请求付款的请款单据包含法院裁判文书、仲裁裁决、第三方单位出具的鉴定书等申请人违约的证明材料。</w:t>
      </w:r>
    </w:p>
    <w:p>
      <w:pPr>
        <w:jc w:val="center"/>
        <w:rPr>
          <w:rFonts w:ascii="宋体" w:hAnsi="宋体" w:cs="宋体"/>
          <w:color w:val="auto"/>
          <w:sz w:val="24"/>
          <w:szCs w:val="24"/>
          <w:highlight w:val="none"/>
        </w:rPr>
      </w:pPr>
    </w:p>
    <w:p>
      <w:pPr>
        <w:spacing w:before="156" w:beforeLines="50" w:line="580" w:lineRule="exact"/>
        <w:outlineLvl w:val="1"/>
        <w:rPr>
          <w:rFonts w:hint="eastAsia" w:ascii="宋体" w:hAnsi="宋体"/>
          <w:b/>
          <w:color w:val="auto"/>
          <w:sz w:val="24"/>
          <w:highlight w:val="none"/>
        </w:rPr>
      </w:pPr>
    </w:p>
    <w:p>
      <w:pPr>
        <w:spacing w:before="156" w:beforeLines="50" w:line="580" w:lineRule="exact"/>
        <w:outlineLvl w:val="1"/>
        <w:rPr>
          <w:rFonts w:hint="eastAsia" w:ascii="宋体" w:hAnsi="宋体"/>
          <w:b/>
          <w:color w:val="auto"/>
          <w:sz w:val="24"/>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lang w:eastAsia="zh-CN"/>
        </w:rPr>
      </w:pPr>
    </w:p>
    <w:p>
      <w:pPr>
        <w:pStyle w:val="21"/>
        <w:ind w:left="0" w:leftChars="0" w:firstLine="0" w:firstLineChars="0"/>
        <w:rPr>
          <w:rFonts w:hint="eastAsia" w:ascii="宋体" w:hAnsi="宋体" w:cs="宋体"/>
          <w:b/>
          <w:bCs/>
          <w:color w:val="auto"/>
          <w:sz w:val="24"/>
          <w:szCs w:val="24"/>
          <w:highlight w:val="none"/>
          <w:lang w:val="en-US" w:eastAsia="zh-CN"/>
        </w:rPr>
      </w:pPr>
    </w:p>
    <w:p>
      <w:pPr>
        <w:pStyle w:val="2"/>
        <w:ind w:firstLine="0"/>
        <w:rPr>
          <w:color w:val="auto"/>
          <w:highlight w:val="none"/>
        </w:rPr>
      </w:pPr>
    </w:p>
    <w:p>
      <w:pPr>
        <w:pStyle w:val="2"/>
        <w:rPr>
          <w:color w:val="auto"/>
          <w:highlight w:val="none"/>
        </w:rPr>
      </w:pPr>
    </w:p>
    <w:p>
      <w:pPr>
        <w:pStyle w:val="2"/>
        <w:ind w:left="0" w:leftChars="0" w:firstLine="0" w:firstLineChars="0"/>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2320925</wp:posOffset>
                </wp:positionH>
                <wp:positionV relativeFrom="paragraph">
                  <wp:posOffset>581025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75pt;margin-top:45.75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2318385</wp:posOffset>
                </wp:positionH>
                <wp:positionV relativeFrom="paragraph">
                  <wp:posOffset>175260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2.55pt;margin-top:13.8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38"/>
        <w:rPr>
          <w:color w:val="auto"/>
          <w:highlight w:val="none"/>
        </w:rPr>
      </w:pPr>
    </w:p>
    <w:p>
      <w:pPr>
        <w:pStyle w:val="3"/>
        <w:rPr>
          <w:color w:val="auto"/>
          <w:highlight w:val="none"/>
        </w:rPr>
      </w:pPr>
      <w:bookmarkStart w:id="157" w:name="_Toc17119"/>
      <w:bookmarkStart w:id="158" w:name="_Toc24490"/>
      <w:bookmarkStart w:id="159" w:name="_Toc21675"/>
      <w:bookmarkStart w:id="160" w:name="_Toc10840"/>
      <w:bookmarkStart w:id="161" w:name="_Toc87616388"/>
      <w:bookmarkStart w:id="162" w:name="_Toc88209951"/>
      <w:bookmarkStart w:id="163" w:name="_Toc31564"/>
      <w:bookmarkStart w:id="164" w:name="_Toc12769"/>
      <w:bookmarkStart w:id="165" w:name="_Toc12610"/>
      <w:bookmarkStart w:id="166" w:name="_Toc22764"/>
      <w:bookmarkStart w:id="167" w:name="_Toc5342"/>
      <w:bookmarkStart w:id="168" w:name="_Toc30157"/>
      <w:bookmarkStart w:id="169" w:name="_Toc24815"/>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7616389"/>
      <w:bookmarkStart w:id="171" w:name="_Toc88209952"/>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7616390"/>
      <w:bookmarkStart w:id="173" w:name="_Toc88209953"/>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9"/>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76" w:name="_Toc87616394"/>
      <w:bookmarkStart w:id="177" w:name="_Toc28619645"/>
      <w:bookmarkStart w:id="178" w:name="_Toc6313"/>
      <w:bookmarkStart w:id="179" w:name="_Toc88209957"/>
      <w:bookmarkStart w:id="180" w:name="_Toc1266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88209958"/>
      <w:bookmarkStart w:id="182" w:name="_Toc87616395"/>
      <w:bookmarkStart w:id="183" w:name="_Toc29833"/>
      <w:bookmarkStart w:id="184" w:name="_Toc22527"/>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783590"/>
                <wp:effectExtent l="4445" t="5080" r="14605" b="1143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78359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61.7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NQ3thzYAAAACQEAAA8AAAAAAAAAAQAg&#10;AAAAIgAAAGRycy9kb3ducmV2LnhtbFBLAQIUABQAAAAIAIdO4kBYSo1JRwIAAJUEAAAOAAAAAAAA&#10;AAEAIAAAACcBAABkcnMvZTJvRG9jLnhtbFBLBQYAAAAABgAGAFkBAADg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8"/>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5"/>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5" w:name="_Toc19830"/>
      <w:bookmarkStart w:id="186" w:name="_Toc8086"/>
      <w:bookmarkStart w:id="187" w:name="_Toc87616400"/>
      <w:bookmarkStart w:id="188"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广州市净水有限公司西朗二期分公司安全教育VR体验系统采购项目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rPr>
          <w:rFonts w:hint="eastAsia" w:ascii="宋体" w:hAnsi="宋体" w:eastAsia="宋体" w:cs="宋体"/>
          <w:b/>
          <w:color w:val="auto"/>
          <w:sz w:val="24"/>
          <w:szCs w:val="24"/>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12"/>
        <w:snapToGrid w:val="0"/>
        <w:spacing w:line="600" w:lineRule="exact"/>
        <w:ind w:firstLine="0" w:firstLineChars="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pStyle w:val="21"/>
        <w:ind w:firstLine="0"/>
        <w:rPr>
          <w:rFonts w:hint="default" w:ascii="仿宋_GB2312" w:eastAsia="仿宋_GB2312" w:hAnsiTheme="minorEastAsia"/>
          <w:color w:val="auto"/>
          <w:sz w:val="28"/>
          <w:szCs w:val="28"/>
          <w:highlight w:val="none"/>
          <w:lang w:val="en-US" w:eastAsia="zh-CN"/>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rPr>
          <w:rFonts w:hint="eastAsia" w:asciiTheme="minorEastAsia" w:hAnsiTheme="minorEastAsia" w:eastAsiaTheme="minorEastAsia"/>
          <w:color w:val="auto"/>
          <w:sz w:val="28"/>
          <w:szCs w:val="28"/>
          <w:highlight w:val="none"/>
        </w:rPr>
      </w:pPr>
      <w:bookmarkStart w:id="190" w:name="_Toc19423"/>
      <w:bookmarkStart w:id="191" w:name="_Toc32430"/>
      <w:r>
        <w:rPr>
          <w:rFonts w:hint="eastAsia" w:ascii="仿宋_GB2312" w:eastAsia="仿宋_GB2312" w:hAnsiTheme="minorEastAsia"/>
          <w:color w:val="auto"/>
          <w:sz w:val="28"/>
          <w:szCs w:val="28"/>
          <w:highlight w:val="none"/>
          <w:lang w:val="en-US" w:eastAsia="zh-CN"/>
        </w:rPr>
        <w:br w:type="page"/>
      </w:r>
    </w:p>
    <w:p>
      <w:pPr>
        <w:pStyle w:val="5"/>
        <w:numPr>
          <w:ilvl w:val="0"/>
          <w:numId w:val="5"/>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90"/>
      <w:bookmarkEnd w:id="191"/>
    </w:p>
    <w:tbl>
      <w:tblPr>
        <w:tblStyle w:val="22"/>
        <w:tblW w:w="9031" w:type="dxa"/>
        <w:tblInd w:w="0" w:type="dxa"/>
        <w:tblLayout w:type="fixed"/>
        <w:tblCellMar>
          <w:top w:w="0" w:type="dxa"/>
          <w:left w:w="108" w:type="dxa"/>
          <w:bottom w:w="0" w:type="dxa"/>
          <w:right w:w="108" w:type="dxa"/>
        </w:tblCellMar>
      </w:tblPr>
      <w:tblGrid>
        <w:gridCol w:w="603"/>
        <w:gridCol w:w="1028"/>
        <w:gridCol w:w="1076"/>
        <w:gridCol w:w="709"/>
        <w:gridCol w:w="690"/>
        <w:gridCol w:w="2362"/>
        <w:gridCol w:w="1170"/>
        <w:gridCol w:w="1393"/>
      </w:tblGrid>
      <w:tr>
        <w:tblPrEx>
          <w:tblCellMar>
            <w:top w:w="0" w:type="dxa"/>
            <w:left w:w="108" w:type="dxa"/>
            <w:bottom w:w="0" w:type="dxa"/>
            <w:right w:w="108" w:type="dxa"/>
          </w:tblCellMar>
        </w:tblPrEx>
        <w:trPr>
          <w:trHeight w:val="621" w:hRule="atLeast"/>
        </w:trPr>
        <w:tc>
          <w:tcPr>
            <w:tcW w:w="60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序号</w:t>
            </w:r>
          </w:p>
        </w:tc>
        <w:tc>
          <w:tcPr>
            <w:tcW w:w="1028"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hint="default" w:ascii="宋体" w:hAnsi="宋体" w:cs="宋体" w:eastAsiaTheme="minorEastAsia"/>
                <w:color w:val="auto"/>
                <w:kern w:val="0"/>
                <w:sz w:val="24"/>
                <w:szCs w:val="24"/>
                <w:highlight w:val="none"/>
                <w:lang w:val="en-US" w:eastAsia="zh-CN"/>
              </w:rPr>
            </w:pPr>
            <w:r>
              <w:rPr>
                <w:rFonts w:hint="eastAsia" w:ascii="宋体" w:hAnsi="宋体" w:cs="宋体"/>
                <w:color w:val="auto"/>
                <w:kern w:val="0"/>
                <w:sz w:val="24"/>
                <w:szCs w:val="24"/>
                <w:highlight w:val="none"/>
                <w:lang w:val="zh-CN"/>
              </w:rPr>
              <w:t>品牌</w:t>
            </w:r>
            <w:r>
              <w:rPr>
                <w:rFonts w:hint="eastAsia" w:ascii="宋体" w:hAnsi="宋体" w:cs="宋体"/>
                <w:color w:val="auto"/>
                <w:kern w:val="0"/>
                <w:sz w:val="24"/>
                <w:szCs w:val="24"/>
                <w:highlight w:val="none"/>
                <w:lang w:val="en-US" w:eastAsia="zh-CN"/>
              </w:rPr>
              <w:t>及型号</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数量</w:t>
            </w:r>
          </w:p>
        </w:tc>
        <w:tc>
          <w:tcPr>
            <w:tcW w:w="3532"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金额（元）</w:t>
            </w:r>
          </w:p>
        </w:tc>
        <w:tc>
          <w:tcPr>
            <w:tcW w:w="139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备注</w:t>
            </w:r>
          </w:p>
        </w:tc>
      </w:tr>
      <w:tr>
        <w:tblPrEx>
          <w:tblCellMar>
            <w:top w:w="0" w:type="dxa"/>
            <w:left w:w="108" w:type="dxa"/>
            <w:bottom w:w="0" w:type="dxa"/>
            <w:right w:w="108" w:type="dxa"/>
          </w:tblCellMar>
        </w:tblPrEx>
        <w:trPr>
          <w:trHeight w:val="347" w:hRule="atLeast"/>
        </w:trPr>
        <w:tc>
          <w:tcPr>
            <w:tcW w:w="60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28"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sz w:val="24"/>
                <w:szCs w:val="24"/>
                <w:highlight w:val="none"/>
              </w:rPr>
            </w:pPr>
          </w:p>
        </w:tc>
        <w:tc>
          <w:tcPr>
            <w:tcW w:w="236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含税</w:t>
            </w:r>
          </w:p>
        </w:tc>
        <w:tc>
          <w:tcPr>
            <w:tcW w:w="117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color w:val="auto"/>
                <w:kern w:val="0"/>
                <w:sz w:val="24"/>
                <w:szCs w:val="24"/>
                <w:highlight w:val="none"/>
                <w:lang w:val="zh-CN"/>
              </w:rPr>
            </w:pPr>
            <w:r>
              <w:rPr>
                <w:rFonts w:hint="eastAsia" w:ascii="宋体" w:hAnsi="宋体" w:cs="宋体"/>
                <w:color w:val="auto"/>
                <w:kern w:val="0"/>
                <w:sz w:val="24"/>
                <w:szCs w:val="24"/>
                <w:highlight w:val="none"/>
                <w:lang w:val="zh-CN"/>
              </w:rPr>
              <w:t>不含税</w:t>
            </w:r>
          </w:p>
        </w:tc>
        <w:tc>
          <w:tcPr>
            <w:tcW w:w="139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1</w:t>
            </w: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VR主机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2</w:t>
            </w: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显示器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r>
              <w:rPr>
                <w:rFonts w:ascii="宋体" w:hAnsi="宋体" w:cs="宋体"/>
                <w:color w:val="auto"/>
                <w:kern w:val="0"/>
                <w:sz w:val="24"/>
                <w:szCs w:val="24"/>
                <w:highlight w:val="none"/>
                <w:lang w:val="zh-CN"/>
              </w:rPr>
              <w:t>3</w:t>
            </w: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VR头盔</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音箱</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770"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鼠标+键盘</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897"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无线路由器</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台</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网线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显示器高清线</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条</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行走平台HTC</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高空坠落（培训软件）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VR消防（培训软件）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10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VR消防（考核软件）</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1"/>
                <w:szCs w:val="21"/>
                <w:highlight w:val="none"/>
                <w:vertAlign w:val="baseline"/>
                <w:lang w:val="en-US" w:eastAsia="zh-CN" w:bidi="ar-SA"/>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ascii="宋体" w:hAnsi="宋体" w:cs="宋体"/>
                <w:color w:val="auto"/>
                <w:kern w:val="0"/>
                <w:sz w:val="24"/>
                <w:szCs w:val="24"/>
                <w:highlight w:val="none"/>
                <w:lang w:val="zh-CN"/>
              </w:rPr>
            </w:pPr>
            <w:r>
              <w:rPr>
                <w:rFonts w:hint="eastAsia" w:ascii="仿宋_GB2312" w:hAnsi="仿宋_GB2312" w:eastAsia="仿宋_GB2312" w:cs="仿宋_GB2312"/>
                <w:color w:val="auto"/>
                <w:kern w:val="0"/>
                <w:sz w:val="24"/>
                <w:szCs w:val="24"/>
                <w:highlight w:val="none"/>
                <w:vertAlign w:val="baseline"/>
                <w:lang w:val="en-US" w:eastAsia="zh-CN" w:bidi="ar-SA"/>
              </w:rPr>
              <w:t>1</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60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c>
          <w:tcPr>
            <w:tcW w:w="3503" w:type="dxa"/>
            <w:gridSpan w:val="4"/>
            <w:tcBorders>
              <w:top w:val="single" w:color="000000" w:sz="2" w:space="0"/>
              <w:left w:val="single" w:color="000000" w:sz="2" w:space="0"/>
              <w:bottom w:val="single" w:color="000000" w:sz="2" w:space="0"/>
              <w:right w:val="single" w:color="000000" w:sz="2" w:space="0"/>
            </w:tcBorders>
            <w:shd w:val="clear" w:color="000000" w:fill="FFFFFF"/>
            <w:vAlign w:val="center"/>
          </w:tcPr>
          <w:p>
            <w:pPr>
              <w:numPr>
                <w:ilvl w:val="0"/>
                <w:numId w:val="0"/>
              </w:numPr>
              <w:spacing w:line="360" w:lineRule="auto"/>
              <w:ind w:left="0" w:leftChars="0" w:firstLine="0" w:firstLineChars="0"/>
              <w:jc w:val="center"/>
              <w:rPr>
                <w:rFonts w:hint="default" w:ascii="仿宋_GB2312" w:hAnsi="仿宋_GB2312" w:eastAsia="仿宋_GB2312" w:cs="仿宋_GB2312"/>
                <w:color w:val="auto"/>
                <w:kern w:val="0"/>
                <w:sz w:val="24"/>
                <w:szCs w:val="24"/>
                <w:highlight w:val="none"/>
                <w:vertAlign w:val="baseline"/>
                <w:lang w:val="en-US" w:eastAsia="zh-CN" w:bidi="ar-SA"/>
              </w:rPr>
            </w:pPr>
            <w:r>
              <w:rPr>
                <w:rFonts w:hint="eastAsia" w:ascii="仿宋_GB2312" w:hAnsi="仿宋_GB2312" w:eastAsia="仿宋_GB2312" w:cs="仿宋_GB2312"/>
                <w:color w:val="auto"/>
                <w:kern w:val="0"/>
                <w:sz w:val="24"/>
                <w:szCs w:val="24"/>
                <w:highlight w:val="none"/>
                <w:vertAlign w:val="baseline"/>
                <w:lang w:val="en-US" w:eastAsia="zh-CN" w:bidi="ar-SA"/>
              </w:rPr>
              <w:t>总价（元）</w:t>
            </w:r>
          </w:p>
        </w:tc>
        <w:tc>
          <w:tcPr>
            <w:tcW w:w="236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17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color w:val="auto"/>
                <w:kern w:val="0"/>
                <w:sz w:val="24"/>
                <w:szCs w:val="24"/>
                <w:highlight w:val="none"/>
                <w:lang w:val="zh-CN"/>
              </w:rPr>
            </w:pPr>
          </w:p>
        </w:tc>
        <w:tc>
          <w:tcPr>
            <w:tcW w:w="1393"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color w:val="auto"/>
                <w:kern w:val="0"/>
                <w:sz w:val="24"/>
                <w:szCs w:val="24"/>
                <w:highlight w:val="none"/>
                <w:lang w:val="zh-CN"/>
              </w:rPr>
            </w:pPr>
          </w:p>
        </w:tc>
      </w:tr>
    </w:tbl>
    <w:p>
      <w:pPr>
        <w:rPr>
          <w:rFonts w:hint="eastAsia"/>
          <w:color w:val="auto"/>
          <w:highlight w:val="none"/>
        </w:rPr>
      </w:pPr>
    </w:p>
    <w:p>
      <w:pPr>
        <w:numPr>
          <w:ilvl w:val="-1"/>
          <w:numId w:val="0"/>
        </w:numPr>
        <w:rPr>
          <w:color w:val="auto"/>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5"/>
        <w:rPr>
          <w:rFonts w:hint="eastAsia" w:asciiTheme="majorEastAsia" w:hAnsiTheme="majorEastAsia" w:eastAsiaTheme="majorEastAsia"/>
          <w:color w:val="auto"/>
          <w:sz w:val="28"/>
          <w:szCs w:val="28"/>
          <w:highlight w:val="none"/>
          <w:lang w:val="en-US" w:eastAsia="zh-CN"/>
        </w:rPr>
      </w:pPr>
      <w:bookmarkStart w:id="192" w:name="_Toc6058"/>
      <w:bookmarkStart w:id="193" w:name="_Toc87616402"/>
      <w:bookmarkStart w:id="194" w:name="_Toc16386"/>
      <w:bookmarkStart w:id="195" w:name="_Toc88209965"/>
      <w:r>
        <w:rPr>
          <w:rFonts w:hint="eastAsia" w:asciiTheme="majorEastAsia" w:hAnsiTheme="majorEastAsia" w:eastAsiaTheme="majorEastAsia"/>
          <w:color w:val="auto"/>
          <w:sz w:val="28"/>
          <w:szCs w:val="28"/>
          <w:highlight w:val="none"/>
          <w:lang w:val="en-US" w:eastAsia="zh-CN"/>
        </w:rPr>
        <w:t>6、承诺函</w:t>
      </w:r>
    </w:p>
    <w:p>
      <w:pPr>
        <w:adjustRightInd w:val="0"/>
        <w:snapToGrid w:val="0"/>
        <w:spacing w:line="600" w:lineRule="exact"/>
        <w:ind w:firstLine="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广州市净水有限公司：</w:t>
      </w:r>
    </w:p>
    <w:p>
      <w:pPr>
        <w:adjustRightInd w:val="0"/>
        <w:snapToGrid w:val="0"/>
        <w:spacing w:line="600" w:lineRule="exact"/>
        <w:ind w:firstLine="570"/>
        <w:rPr>
          <w:rFonts w:hint="eastAsia"/>
          <w:color w:val="auto"/>
          <w:highlight w:val="none"/>
          <w:lang w:val="en-US" w:eastAsia="zh-CN"/>
        </w:rPr>
      </w:pPr>
      <w:r>
        <w:rPr>
          <w:rFonts w:hint="default" w:ascii="仿宋_GB2312" w:eastAsia="仿宋_GB2312" w:hAnsiTheme="minorEastAsia"/>
          <w:color w:val="auto"/>
          <w:sz w:val="28"/>
          <w:szCs w:val="28"/>
          <w:highlight w:val="none"/>
          <w:lang w:val="en-US" w:eastAsia="zh-CN"/>
        </w:rPr>
        <w:t>我方承诺所提供报价</w:t>
      </w:r>
      <w:r>
        <w:rPr>
          <w:rFonts w:hint="eastAsia" w:ascii="仿宋_GB2312" w:eastAsia="仿宋_GB2312" w:hAnsiTheme="minorEastAsia"/>
          <w:color w:val="auto"/>
          <w:sz w:val="28"/>
          <w:szCs w:val="28"/>
          <w:highlight w:val="none"/>
          <w:lang w:val="en-US" w:eastAsia="zh-CN"/>
        </w:rPr>
        <w:t>的设备所应用的软件</w:t>
      </w:r>
      <w:r>
        <w:rPr>
          <w:rFonts w:hint="eastAsia" w:ascii="仿宋_GB2312" w:eastAsia="仿宋_GB2312"/>
          <w:color w:val="auto"/>
          <w:sz w:val="28"/>
          <w:szCs w:val="28"/>
          <w:highlight w:val="none"/>
          <w:lang w:val="en-US" w:eastAsia="zh-CN"/>
        </w:rPr>
        <w:t>是正版软件</w:t>
      </w:r>
      <w:r>
        <w:rPr>
          <w:rFonts w:hint="default" w:ascii="仿宋_GB2312" w:eastAsia="仿宋_GB2312" w:hAnsiTheme="minorEastAsia"/>
          <w:color w:val="auto"/>
          <w:sz w:val="28"/>
          <w:szCs w:val="28"/>
          <w:highlight w:val="none"/>
          <w:lang w:val="en-US" w:eastAsia="zh-CN"/>
        </w:rPr>
        <w:t xml:space="preserve">，且能适配设备使用，货物在质保期(为自供货验收合格之日起1年内）如有质量问题时，24小时内派技术人员到现场免费进行维修。     </w:t>
      </w:r>
      <w:r>
        <w:rPr>
          <w:rFonts w:hint="eastAsia"/>
          <w:color w:val="auto"/>
          <w:highlight w:val="none"/>
          <w:lang w:val="en-US" w:eastAsia="zh-CN"/>
        </w:rPr>
        <w:t xml:space="preserve">  </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p>
    <w:p>
      <w:pPr>
        <w:adjustRightInd w:val="0"/>
        <w:snapToGrid w:val="0"/>
        <w:spacing w:line="360" w:lineRule="auto"/>
        <w:jc w:val="left"/>
        <w:outlineLvl w:val="9"/>
        <w:rPr>
          <w:rFonts w:hint="eastAsia" w:ascii="仿宋_GB2312" w:eastAsia="仿宋_GB2312" w:hAnsiTheme="minorEastAsia" w:cstheme="minorBidi"/>
          <w:b w:val="0"/>
          <w:bCs w:val="0"/>
          <w:color w:val="auto"/>
          <w:sz w:val="28"/>
          <w:szCs w:val="28"/>
          <w:highlight w:val="none"/>
          <w:u w:val="none"/>
          <w:lang w:val="en-US" w:eastAsia="zh-CN"/>
        </w:rPr>
      </w:pPr>
      <w:r>
        <w:rPr>
          <w:rFonts w:hint="eastAsia" w:cs="Times New Roman" w:asciiTheme="minorEastAsia" w:hAnsiTheme="minorEastAsia"/>
          <w:b/>
          <w:bCs/>
          <w:color w:val="auto"/>
          <w:sz w:val="28"/>
          <w:szCs w:val="28"/>
          <w:highlight w:val="none"/>
          <w:lang w:val="en-US" w:eastAsia="zh-CN"/>
        </w:rPr>
        <w:t xml:space="preserve">                                            </w:t>
      </w:r>
      <w:r>
        <w:rPr>
          <w:rFonts w:hint="eastAsia" w:cs="Times New Roman" w:asciiTheme="minorEastAsia" w:hAnsiTheme="minorEastAsia"/>
          <w:b w:val="0"/>
          <w:bCs w:val="0"/>
          <w:color w:val="auto"/>
          <w:sz w:val="28"/>
          <w:szCs w:val="28"/>
          <w:highlight w:val="none"/>
          <w:u w:val="single"/>
          <w:lang w:val="en-US" w:eastAsia="zh-CN"/>
        </w:rPr>
        <w:t>（</w:t>
      </w:r>
      <w:r>
        <w:rPr>
          <w:rFonts w:hint="default" w:ascii="仿宋_GB2312" w:eastAsia="仿宋_GB2312" w:hAnsiTheme="minorEastAsia" w:cstheme="minorBidi"/>
          <w:b w:val="0"/>
          <w:bCs w:val="0"/>
          <w:color w:val="auto"/>
          <w:sz w:val="28"/>
          <w:szCs w:val="28"/>
          <w:highlight w:val="none"/>
          <w:u w:val="single"/>
          <w:lang w:val="en-US" w:eastAsia="zh-CN"/>
        </w:rPr>
        <w:t>报价单位</w:t>
      </w:r>
      <w:r>
        <w:rPr>
          <w:rFonts w:hint="eastAsia" w:ascii="仿宋_GB2312" w:eastAsia="仿宋_GB2312" w:hAnsiTheme="minorEastAsia" w:cstheme="minorBidi"/>
          <w:b w:val="0"/>
          <w:bCs w:val="0"/>
          <w:color w:val="auto"/>
          <w:sz w:val="28"/>
          <w:szCs w:val="28"/>
          <w:highlight w:val="none"/>
          <w:u w:val="single"/>
          <w:lang w:val="en-US" w:eastAsia="zh-CN"/>
        </w:rPr>
        <w:t>）</w:t>
      </w:r>
      <w:r>
        <w:rPr>
          <w:rFonts w:hint="eastAsia" w:ascii="仿宋_GB2312" w:eastAsia="仿宋_GB2312" w:hAnsiTheme="minorEastAsia" w:cstheme="minorBidi"/>
          <w:b w:val="0"/>
          <w:bCs w:val="0"/>
          <w:color w:val="auto"/>
          <w:sz w:val="28"/>
          <w:szCs w:val="28"/>
          <w:highlight w:val="none"/>
          <w:u w:val="none"/>
          <w:lang w:val="en-US" w:eastAsia="zh-CN"/>
        </w:rPr>
        <w:t xml:space="preserve"> 盖章</w:t>
      </w:r>
    </w:p>
    <w:p>
      <w:pPr>
        <w:pStyle w:val="21"/>
        <w:rPr>
          <w:rFonts w:hint="default" w:ascii="宋体" w:hAnsi="宋体" w:eastAsia="等线" w:cs="Times New Roman"/>
          <w:b w:val="0"/>
          <w:bCs w:val="0"/>
          <w:color w:val="auto"/>
          <w:sz w:val="24"/>
          <w:szCs w:val="24"/>
          <w:highlight w:val="none"/>
          <w:lang w:val="en-US" w:eastAsia="zh-CN"/>
        </w:rPr>
      </w:pPr>
      <w:r>
        <w:rPr>
          <w:rFonts w:hint="eastAsia" w:ascii="仿宋_GB2312" w:eastAsia="仿宋_GB2312" w:hAnsiTheme="minorEastAsia" w:cstheme="minorBidi"/>
          <w:b w:val="0"/>
          <w:bCs w:val="0"/>
          <w:color w:val="auto"/>
          <w:sz w:val="28"/>
          <w:szCs w:val="28"/>
          <w:highlight w:val="none"/>
          <w:u w:val="none"/>
          <w:lang w:val="en-US" w:eastAsia="zh-CN"/>
        </w:rPr>
        <w:t xml:space="preserve">                                         年   月   日</w:t>
      </w: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hint="eastAsia" w:eastAsiaTheme="majorEastAsia"/>
          <w:color w:val="auto"/>
          <w:highlight w:val="none"/>
          <w:lang w:val="en-US" w:eastAsia="zh-CN"/>
        </w:rPr>
      </w:pPr>
    </w:p>
    <w:p>
      <w:pPr>
        <w:pStyle w:val="5"/>
        <w:rPr>
          <w:rFonts w:asciiTheme="majorEastAsia" w:hAnsiTheme="majorEastAsia" w:eastAsiaTheme="majorEastAsia"/>
          <w:color w:val="auto"/>
          <w:sz w:val="28"/>
          <w:szCs w:val="28"/>
          <w:highlight w:val="none"/>
        </w:rPr>
      </w:pPr>
      <w:r>
        <w:rPr>
          <w:rFonts w:hint="eastAsia" w:eastAsiaTheme="majorEastAsia"/>
          <w:color w:val="auto"/>
          <w:highlight w:val="none"/>
          <w:lang w:val="en-US" w:eastAsia="zh-CN"/>
        </w:rPr>
        <w:t>7</w:t>
      </w:r>
      <w:r>
        <w:rPr>
          <w:rFonts w:hint="eastAsia" w:asciiTheme="majorEastAsia" w:hAnsiTheme="majorEastAsia" w:eastAsiaTheme="majorEastAsia"/>
          <w:color w:val="auto"/>
          <w:sz w:val="28"/>
          <w:szCs w:val="28"/>
          <w:highlight w:val="none"/>
        </w:rPr>
        <w:t>.其他资料</w:t>
      </w:r>
      <w:bookmarkEnd w:id="192"/>
      <w:bookmarkEnd w:id="193"/>
      <w:bookmarkEnd w:id="194"/>
      <w:bookmarkEnd w:id="19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6"/>
                                <w:ind w:left="2250" w:hanging="1200"/>
                                <w:jc w:val="center"/>
                              </w:pP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sdt>
                    <w:sdtPr>
                      <w:id w:val="-298923801"/>
                    </w:sdtPr>
                    <w:sdtContent>
                      <w:p>
                        <w:pPr>
                          <w:pStyle w:val="16"/>
                          <w:ind w:left="2250" w:hanging="1200"/>
                          <w:jc w:val="center"/>
                        </w:pPr>
                      </w:p>
                    </w:sdtContent>
                  </w:sdt>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sdt>
                    <w:sdtPr>
                      <w:id w:val="-298923801"/>
                    </w:sdtPr>
                    <w:sdtContent>
                      <w:p>
                        <w:pPr>
                          <w:pStyle w:val="16"/>
                          <w:ind w:left="2250" w:hanging="1200"/>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D16D9F"/>
    <w:multiLevelType w:val="multilevel"/>
    <w:tmpl w:val="00D16D9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EF2DBFF"/>
    <w:multiLevelType w:val="singleLevel"/>
    <w:tmpl w:val="5EF2DBFF"/>
    <w:lvl w:ilvl="0" w:tentative="0">
      <w:start w:val="5"/>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855987"/>
    <w:rsid w:val="00911ECD"/>
    <w:rsid w:val="00A042E0"/>
    <w:rsid w:val="00B26BB1"/>
    <w:rsid w:val="00B26E21"/>
    <w:rsid w:val="00D022FB"/>
    <w:rsid w:val="00F83B64"/>
    <w:rsid w:val="013E3461"/>
    <w:rsid w:val="01B81E8C"/>
    <w:rsid w:val="02090C75"/>
    <w:rsid w:val="0253516A"/>
    <w:rsid w:val="02787383"/>
    <w:rsid w:val="02A23A3C"/>
    <w:rsid w:val="035D130A"/>
    <w:rsid w:val="039110A9"/>
    <w:rsid w:val="03AC246A"/>
    <w:rsid w:val="03B23056"/>
    <w:rsid w:val="03DC3EBA"/>
    <w:rsid w:val="03F9794D"/>
    <w:rsid w:val="046A2461"/>
    <w:rsid w:val="051C2970"/>
    <w:rsid w:val="060C3611"/>
    <w:rsid w:val="06427EF5"/>
    <w:rsid w:val="06C64829"/>
    <w:rsid w:val="077D16D2"/>
    <w:rsid w:val="082A69F3"/>
    <w:rsid w:val="08675FC8"/>
    <w:rsid w:val="09B713FD"/>
    <w:rsid w:val="09EF6ACC"/>
    <w:rsid w:val="0A315056"/>
    <w:rsid w:val="0AA213B4"/>
    <w:rsid w:val="0AF61C7E"/>
    <w:rsid w:val="0AFB45AD"/>
    <w:rsid w:val="0B351E9B"/>
    <w:rsid w:val="0B4C50D3"/>
    <w:rsid w:val="0B806B92"/>
    <w:rsid w:val="0B827E94"/>
    <w:rsid w:val="0B842F76"/>
    <w:rsid w:val="0BD070E1"/>
    <w:rsid w:val="0C247926"/>
    <w:rsid w:val="0D232081"/>
    <w:rsid w:val="0D794204"/>
    <w:rsid w:val="0DC01E1E"/>
    <w:rsid w:val="0E2125D1"/>
    <w:rsid w:val="0E214211"/>
    <w:rsid w:val="0E5F2769"/>
    <w:rsid w:val="0F4D75A3"/>
    <w:rsid w:val="0F5B2DCA"/>
    <w:rsid w:val="0F6F6B4A"/>
    <w:rsid w:val="0F81026D"/>
    <w:rsid w:val="0FED051E"/>
    <w:rsid w:val="0FEE4C29"/>
    <w:rsid w:val="0FF53A40"/>
    <w:rsid w:val="10031608"/>
    <w:rsid w:val="10046082"/>
    <w:rsid w:val="111703D2"/>
    <w:rsid w:val="112B101A"/>
    <w:rsid w:val="119B53FC"/>
    <w:rsid w:val="12424CDC"/>
    <w:rsid w:val="129A2738"/>
    <w:rsid w:val="12B56BF1"/>
    <w:rsid w:val="12BA32A1"/>
    <w:rsid w:val="12CB1A89"/>
    <w:rsid w:val="131840FB"/>
    <w:rsid w:val="13467417"/>
    <w:rsid w:val="136E76CF"/>
    <w:rsid w:val="145F08C6"/>
    <w:rsid w:val="14BF7278"/>
    <w:rsid w:val="151D4BD4"/>
    <w:rsid w:val="15776308"/>
    <w:rsid w:val="15BC6B3C"/>
    <w:rsid w:val="164D40B0"/>
    <w:rsid w:val="1694429A"/>
    <w:rsid w:val="171C6DCE"/>
    <w:rsid w:val="17635326"/>
    <w:rsid w:val="17C02276"/>
    <w:rsid w:val="18236EFD"/>
    <w:rsid w:val="18430166"/>
    <w:rsid w:val="189D5B1F"/>
    <w:rsid w:val="18A34CD0"/>
    <w:rsid w:val="19A53EA8"/>
    <w:rsid w:val="19B64DBC"/>
    <w:rsid w:val="1A373ACF"/>
    <w:rsid w:val="1A895341"/>
    <w:rsid w:val="1B0D071F"/>
    <w:rsid w:val="1B4568CE"/>
    <w:rsid w:val="1B9015B7"/>
    <w:rsid w:val="1BF54245"/>
    <w:rsid w:val="1C673A86"/>
    <w:rsid w:val="1C71652B"/>
    <w:rsid w:val="1CB7105C"/>
    <w:rsid w:val="1D0E6976"/>
    <w:rsid w:val="1D5A79EE"/>
    <w:rsid w:val="1E0E2CD0"/>
    <w:rsid w:val="1E831280"/>
    <w:rsid w:val="1EBC4704"/>
    <w:rsid w:val="1EE1348B"/>
    <w:rsid w:val="1F172EB5"/>
    <w:rsid w:val="1F6856FC"/>
    <w:rsid w:val="1F6B2B1D"/>
    <w:rsid w:val="1F94592D"/>
    <w:rsid w:val="1FB860DE"/>
    <w:rsid w:val="203C5A02"/>
    <w:rsid w:val="209D4C94"/>
    <w:rsid w:val="20E84705"/>
    <w:rsid w:val="218400BA"/>
    <w:rsid w:val="21AB1E2F"/>
    <w:rsid w:val="21D40498"/>
    <w:rsid w:val="22267096"/>
    <w:rsid w:val="22767047"/>
    <w:rsid w:val="23A05588"/>
    <w:rsid w:val="23DE3F1D"/>
    <w:rsid w:val="240476A1"/>
    <w:rsid w:val="25431AEB"/>
    <w:rsid w:val="25BF43FD"/>
    <w:rsid w:val="25F86BCD"/>
    <w:rsid w:val="2605748B"/>
    <w:rsid w:val="269E416A"/>
    <w:rsid w:val="272100D3"/>
    <w:rsid w:val="272C72FC"/>
    <w:rsid w:val="275131CB"/>
    <w:rsid w:val="27D40952"/>
    <w:rsid w:val="27D52A50"/>
    <w:rsid w:val="27EB149D"/>
    <w:rsid w:val="27FD3E52"/>
    <w:rsid w:val="280E1928"/>
    <w:rsid w:val="28E11370"/>
    <w:rsid w:val="294A756A"/>
    <w:rsid w:val="29781BF8"/>
    <w:rsid w:val="29C33ED0"/>
    <w:rsid w:val="29D5322D"/>
    <w:rsid w:val="2A025DD9"/>
    <w:rsid w:val="2A2619CB"/>
    <w:rsid w:val="2A7C2231"/>
    <w:rsid w:val="2ABB753D"/>
    <w:rsid w:val="2B3B10DE"/>
    <w:rsid w:val="2B7A49FA"/>
    <w:rsid w:val="2B914169"/>
    <w:rsid w:val="2C615D26"/>
    <w:rsid w:val="2CB679ED"/>
    <w:rsid w:val="2D173C07"/>
    <w:rsid w:val="2D424A86"/>
    <w:rsid w:val="2DA845B3"/>
    <w:rsid w:val="2E7B52DB"/>
    <w:rsid w:val="2EBD2620"/>
    <w:rsid w:val="2F324CFE"/>
    <w:rsid w:val="2FBA09F1"/>
    <w:rsid w:val="2FEF2ACF"/>
    <w:rsid w:val="302A68C6"/>
    <w:rsid w:val="30540211"/>
    <w:rsid w:val="30CA7098"/>
    <w:rsid w:val="31112A0D"/>
    <w:rsid w:val="311F4B20"/>
    <w:rsid w:val="312D7741"/>
    <w:rsid w:val="316F137F"/>
    <w:rsid w:val="31DF525F"/>
    <w:rsid w:val="31EC162B"/>
    <w:rsid w:val="32324C2E"/>
    <w:rsid w:val="327171DF"/>
    <w:rsid w:val="341E3434"/>
    <w:rsid w:val="34BB4442"/>
    <w:rsid w:val="360B7EBA"/>
    <w:rsid w:val="36116865"/>
    <w:rsid w:val="36227026"/>
    <w:rsid w:val="369C32FD"/>
    <w:rsid w:val="37666E72"/>
    <w:rsid w:val="38081EA3"/>
    <w:rsid w:val="38167A04"/>
    <w:rsid w:val="394B167A"/>
    <w:rsid w:val="39DA2868"/>
    <w:rsid w:val="3A46522D"/>
    <w:rsid w:val="3A4E4336"/>
    <w:rsid w:val="3A6007FE"/>
    <w:rsid w:val="3AF93D6C"/>
    <w:rsid w:val="3B7C2CE4"/>
    <w:rsid w:val="3BAF716B"/>
    <w:rsid w:val="3BB749A7"/>
    <w:rsid w:val="3C0B5355"/>
    <w:rsid w:val="3C1B3365"/>
    <w:rsid w:val="3CD4176B"/>
    <w:rsid w:val="3D1F44D9"/>
    <w:rsid w:val="3D5C38CD"/>
    <w:rsid w:val="3E5070F1"/>
    <w:rsid w:val="3F6C3589"/>
    <w:rsid w:val="3F850180"/>
    <w:rsid w:val="3F9004D6"/>
    <w:rsid w:val="3FD371E4"/>
    <w:rsid w:val="400E4D5E"/>
    <w:rsid w:val="40E1138C"/>
    <w:rsid w:val="413814BA"/>
    <w:rsid w:val="41872511"/>
    <w:rsid w:val="424236D9"/>
    <w:rsid w:val="42466655"/>
    <w:rsid w:val="42C82F57"/>
    <w:rsid w:val="435707E5"/>
    <w:rsid w:val="43C76AF7"/>
    <w:rsid w:val="443661F9"/>
    <w:rsid w:val="446828F0"/>
    <w:rsid w:val="45093E85"/>
    <w:rsid w:val="45C13B4D"/>
    <w:rsid w:val="46054BCA"/>
    <w:rsid w:val="464C6AFC"/>
    <w:rsid w:val="468B0091"/>
    <w:rsid w:val="46A107C3"/>
    <w:rsid w:val="46B15CE2"/>
    <w:rsid w:val="46BE113D"/>
    <w:rsid w:val="46E44B13"/>
    <w:rsid w:val="4703508A"/>
    <w:rsid w:val="47381FE0"/>
    <w:rsid w:val="475023F8"/>
    <w:rsid w:val="479D361E"/>
    <w:rsid w:val="47B74789"/>
    <w:rsid w:val="480F2B9D"/>
    <w:rsid w:val="48282920"/>
    <w:rsid w:val="485321E0"/>
    <w:rsid w:val="48546AD3"/>
    <w:rsid w:val="48CA4868"/>
    <w:rsid w:val="48F005D3"/>
    <w:rsid w:val="49547ADD"/>
    <w:rsid w:val="49732351"/>
    <w:rsid w:val="498F4AF1"/>
    <w:rsid w:val="49C05787"/>
    <w:rsid w:val="49CF518D"/>
    <w:rsid w:val="4ADA1F63"/>
    <w:rsid w:val="4AE23D89"/>
    <w:rsid w:val="4B2038D0"/>
    <w:rsid w:val="4B296E7D"/>
    <w:rsid w:val="4B79394E"/>
    <w:rsid w:val="4B877F28"/>
    <w:rsid w:val="4C9C17E3"/>
    <w:rsid w:val="4D916BA6"/>
    <w:rsid w:val="4DC44169"/>
    <w:rsid w:val="4DE24E21"/>
    <w:rsid w:val="4E1B19A3"/>
    <w:rsid w:val="4EF0709E"/>
    <w:rsid w:val="4F0469A4"/>
    <w:rsid w:val="513C6A7B"/>
    <w:rsid w:val="524A0D14"/>
    <w:rsid w:val="529B324A"/>
    <w:rsid w:val="532D486F"/>
    <w:rsid w:val="5333545B"/>
    <w:rsid w:val="538D0E89"/>
    <w:rsid w:val="5450213C"/>
    <w:rsid w:val="54D24048"/>
    <w:rsid w:val="54D64CD5"/>
    <w:rsid w:val="55887D69"/>
    <w:rsid w:val="561A0928"/>
    <w:rsid w:val="56423872"/>
    <w:rsid w:val="56B279F0"/>
    <w:rsid w:val="579D710E"/>
    <w:rsid w:val="581F22F6"/>
    <w:rsid w:val="586E1E17"/>
    <w:rsid w:val="58862C35"/>
    <w:rsid w:val="58C14957"/>
    <w:rsid w:val="58CC23D2"/>
    <w:rsid w:val="5A49692D"/>
    <w:rsid w:val="5AE83A50"/>
    <w:rsid w:val="5B353193"/>
    <w:rsid w:val="5BAB2917"/>
    <w:rsid w:val="5BFC33FA"/>
    <w:rsid w:val="5C3107A4"/>
    <w:rsid w:val="5C3B1B93"/>
    <w:rsid w:val="5C9220DF"/>
    <w:rsid w:val="5CC979AE"/>
    <w:rsid w:val="5D4A15F3"/>
    <w:rsid w:val="5D69542A"/>
    <w:rsid w:val="5D783B72"/>
    <w:rsid w:val="5E0930EF"/>
    <w:rsid w:val="5E3D4D53"/>
    <w:rsid w:val="5E4717E6"/>
    <w:rsid w:val="5E55774C"/>
    <w:rsid w:val="60045F96"/>
    <w:rsid w:val="60104DDC"/>
    <w:rsid w:val="605C0804"/>
    <w:rsid w:val="61880C00"/>
    <w:rsid w:val="6189617B"/>
    <w:rsid w:val="61B52BB6"/>
    <w:rsid w:val="61B749C2"/>
    <w:rsid w:val="61FA4799"/>
    <w:rsid w:val="62280D20"/>
    <w:rsid w:val="62A065CE"/>
    <w:rsid w:val="62CA2457"/>
    <w:rsid w:val="638240A1"/>
    <w:rsid w:val="63833423"/>
    <w:rsid w:val="63A5257B"/>
    <w:rsid w:val="63BD3DCC"/>
    <w:rsid w:val="63C61741"/>
    <w:rsid w:val="64560967"/>
    <w:rsid w:val="64E15548"/>
    <w:rsid w:val="650773BF"/>
    <w:rsid w:val="656B1D10"/>
    <w:rsid w:val="65B841F9"/>
    <w:rsid w:val="66022B28"/>
    <w:rsid w:val="66120F31"/>
    <w:rsid w:val="664A38E2"/>
    <w:rsid w:val="66581E87"/>
    <w:rsid w:val="66FA11D5"/>
    <w:rsid w:val="674302C7"/>
    <w:rsid w:val="6752413A"/>
    <w:rsid w:val="680A5986"/>
    <w:rsid w:val="680D5F4B"/>
    <w:rsid w:val="68113F51"/>
    <w:rsid w:val="683F2572"/>
    <w:rsid w:val="68E94770"/>
    <w:rsid w:val="68F949C9"/>
    <w:rsid w:val="695A4290"/>
    <w:rsid w:val="6A334932"/>
    <w:rsid w:val="6A3353FF"/>
    <w:rsid w:val="6A5D63E6"/>
    <w:rsid w:val="6A5F24D1"/>
    <w:rsid w:val="6AE347EB"/>
    <w:rsid w:val="6B434AF0"/>
    <w:rsid w:val="6B57675A"/>
    <w:rsid w:val="6BDD7B4D"/>
    <w:rsid w:val="6D5D3FF8"/>
    <w:rsid w:val="6EA560E4"/>
    <w:rsid w:val="6EBC0B3A"/>
    <w:rsid w:val="6EF51C7D"/>
    <w:rsid w:val="6F8363E5"/>
    <w:rsid w:val="6FAC3CC5"/>
    <w:rsid w:val="6FC746F5"/>
    <w:rsid w:val="70317AC6"/>
    <w:rsid w:val="704B26F7"/>
    <w:rsid w:val="70863262"/>
    <w:rsid w:val="70A76ED3"/>
    <w:rsid w:val="70E77EB4"/>
    <w:rsid w:val="71860B17"/>
    <w:rsid w:val="72210D74"/>
    <w:rsid w:val="723B27CC"/>
    <w:rsid w:val="72687227"/>
    <w:rsid w:val="72A03FD9"/>
    <w:rsid w:val="73406CFF"/>
    <w:rsid w:val="7383028C"/>
    <w:rsid w:val="73A25E44"/>
    <w:rsid w:val="741F68CF"/>
    <w:rsid w:val="75252DF3"/>
    <w:rsid w:val="75621536"/>
    <w:rsid w:val="75BF3154"/>
    <w:rsid w:val="75D70EE2"/>
    <w:rsid w:val="764A07CF"/>
    <w:rsid w:val="764F6B3D"/>
    <w:rsid w:val="76CD2B7B"/>
    <w:rsid w:val="76D80645"/>
    <w:rsid w:val="76E03371"/>
    <w:rsid w:val="77FC3C10"/>
    <w:rsid w:val="780E5898"/>
    <w:rsid w:val="782642CC"/>
    <w:rsid w:val="7894095E"/>
    <w:rsid w:val="78964555"/>
    <w:rsid w:val="78CF4963"/>
    <w:rsid w:val="79000679"/>
    <w:rsid w:val="79110E56"/>
    <w:rsid w:val="79A416F0"/>
    <w:rsid w:val="79B03EB6"/>
    <w:rsid w:val="7AE15A5C"/>
    <w:rsid w:val="7AF37579"/>
    <w:rsid w:val="7AF87F64"/>
    <w:rsid w:val="7B1C0C84"/>
    <w:rsid w:val="7B5A62DF"/>
    <w:rsid w:val="7B7A04A8"/>
    <w:rsid w:val="7C0C3F6D"/>
    <w:rsid w:val="7C22163C"/>
    <w:rsid w:val="7C457B4B"/>
    <w:rsid w:val="7C595075"/>
    <w:rsid w:val="7C6B07B2"/>
    <w:rsid w:val="7D133243"/>
    <w:rsid w:val="7D945420"/>
    <w:rsid w:val="7DE7560A"/>
    <w:rsid w:val="7E394207"/>
    <w:rsid w:val="7E4007A2"/>
    <w:rsid w:val="7E791CAD"/>
    <w:rsid w:val="7EA50DFB"/>
    <w:rsid w:val="7EC86878"/>
    <w:rsid w:val="7ECE30F0"/>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42"/>
    <w:unhideWhenUsed/>
    <w:qFormat/>
    <w:uiPriority w:val="99"/>
    <w:pPr>
      <w:spacing w:after="120"/>
    </w:pPr>
    <w:rPr>
      <w:sz w:val="16"/>
      <w:szCs w:val="16"/>
    </w:rPr>
  </w:style>
  <w:style w:type="paragraph" w:styleId="7">
    <w:name w:val="Body Text"/>
    <w:basedOn w:val="1"/>
    <w:next w:val="8"/>
    <w:qFormat/>
    <w:uiPriority w:val="99"/>
    <w:pPr>
      <w:spacing w:after="120"/>
    </w:pPr>
  </w:style>
  <w:style w:type="paragraph" w:styleId="8">
    <w:name w:val="Body Text 2"/>
    <w:basedOn w:val="1"/>
    <w:qFormat/>
    <w:uiPriority w:val="0"/>
    <w:pPr>
      <w:spacing w:after="120" w:line="480" w:lineRule="auto"/>
    </w:pPr>
  </w:style>
  <w:style w:type="paragraph" w:styleId="9">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qFormat/>
    <w:uiPriority w:val="0"/>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21">
    <w:name w:val="Body Text First Indent 2"/>
    <w:basedOn w:val="9"/>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Strong"/>
    <w:basedOn w:val="24"/>
    <w:qFormat/>
    <w:uiPriority w:val="22"/>
    <w:rPr>
      <w:rFonts w:eastAsia="宋体"/>
      <w:b/>
      <w:bCs/>
      <w:kern w:val="2"/>
      <w:sz w:val="24"/>
      <w:szCs w:val="24"/>
      <w:lang w:val="en-US" w:eastAsia="zh-CN" w:bidi="ar-SA"/>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30">
    <w:name w:val="页眉 Char"/>
    <w:basedOn w:val="24"/>
    <w:link w:val="17"/>
    <w:semiHidden/>
    <w:qFormat/>
    <w:uiPriority w:val="99"/>
    <w:rPr>
      <w:sz w:val="18"/>
      <w:szCs w:val="18"/>
    </w:rPr>
  </w:style>
  <w:style w:type="character" w:customStyle="1" w:styleId="31">
    <w:name w:val="页脚 Char"/>
    <w:basedOn w:val="24"/>
    <w:link w:val="16"/>
    <w:qFormat/>
    <w:uiPriority w:val="99"/>
    <w:rPr>
      <w:sz w:val="18"/>
      <w:szCs w:val="18"/>
    </w:rPr>
  </w:style>
  <w:style w:type="character" w:customStyle="1" w:styleId="32">
    <w:name w:val="标题 1 Char"/>
    <w:basedOn w:val="24"/>
    <w:link w:val="3"/>
    <w:qFormat/>
    <w:uiPriority w:val="9"/>
    <w:rPr>
      <w:rFonts w:eastAsia="方正小标宋简体"/>
      <w:bCs/>
      <w:kern w:val="44"/>
      <w:sz w:val="44"/>
      <w:szCs w:val="44"/>
    </w:rPr>
  </w:style>
  <w:style w:type="character" w:customStyle="1" w:styleId="33">
    <w:name w:val="标题 2 Char"/>
    <w:basedOn w:val="24"/>
    <w:link w:val="4"/>
    <w:qFormat/>
    <w:uiPriority w:val="9"/>
    <w:rPr>
      <w:rFonts w:eastAsia="方正小标宋简体" w:asciiTheme="majorHAnsi" w:hAnsiTheme="majorHAnsi" w:cstheme="majorBidi"/>
      <w:bCs/>
      <w:sz w:val="36"/>
      <w:szCs w:val="32"/>
    </w:rPr>
  </w:style>
  <w:style w:type="character" w:customStyle="1" w:styleId="34">
    <w:name w:val="标题 3 Char"/>
    <w:basedOn w:val="24"/>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4"/>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2"/>
    <w:next w:val="12"/>
    <w:qFormat/>
    <w:uiPriority w:val="0"/>
    <w:pPr>
      <w:spacing w:after="373"/>
    </w:pPr>
    <w:rPr>
      <w:color w:val="auto"/>
    </w:rPr>
  </w:style>
  <w:style w:type="paragraph" w:customStyle="1" w:styleId="40">
    <w:name w:val="CM91"/>
    <w:basedOn w:val="12"/>
    <w:next w:val="12"/>
    <w:qFormat/>
    <w:uiPriority w:val="0"/>
    <w:pPr>
      <w:spacing w:after="160"/>
    </w:pPr>
    <w:rPr>
      <w:color w:val="auto"/>
    </w:rPr>
  </w:style>
  <w:style w:type="character" w:customStyle="1" w:styleId="41">
    <w:name w:val="正文文本 3 Char"/>
    <w:link w:val="6"/>
    <w:qFormat/>
    <w:uiPriority w:val="99"/>
    <w:rPr>
      <w:sz w:val="16"/>
      <w:szCs w:val="16"/>
    </w:rPr>
  </w:style>
  <w:style w:type="character" w:customStyle="1" w:styleId="42">
    <w:name w:val="正文文本 3 Char1"/>
    <w:basedOn w:val="24"/>
    <w:link w:val="6"/>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1"/>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paragraph" w:customStyle="1" w:styleId="48">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49">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22403</Words>
  <Characters>23488</Characters>
  <Lines>300</Lines>
  <Paragraphs>84</Paragraphs>
  <TotalTime>1</TotalTime>
  <ScaleCrop>false</ScaleCrop>
  <LinksUpToDate>false</LinksUpToDate>
  <CharactersWithSpaces>25796</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2022-09-29T06:11:00Z</cp:lastPrinted>
  <dcterms:modified xsi:type="dcterms:W3CDTF">2022-10-19T02:02:58Z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7E09EA4995C14D028F88FCE6D8C2BD17</vt:lpwstr>
  </property>
</Properties>
</file>