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50" w:name="_GoBack"/>
      <w:bookmarkEnd w:id="150"/>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广州市净水有限公司猎德污水处理系统管网工程--猎德涌片区一期广园东路污水管工程（粤垦路～省消防总队）树木保护专章编制服务</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3" w:type="default"/>
          <w:footerReference r:id="rId4" w:type="default"/>
          <w:pgSz w:w="11906" w:h="16838"/>
          <w:pgMar w:top="1644" w:right="1701" w:bottom="1644" w:left="1701" w:header="851" w:footer="992" w:gutter="0"/>
          <w:pgNumType w:fmt="numberInDash"/>
          <w:cols w:space="720" w:num="1"/>
          <w:docGrid w:type="lines" w:linePitch="312" w:charSpace="0"/>
        </w:sectPr>
      </w:pPr>
    </w:p>
    <w:p>
      <w:pPr>
        <w:pStyle w:val="2"/>
        <w:rPr>
          <w:color w:val="auto"/>
          <w:highlight w:val="none"/>
        </w:rPr>
      </w:pPr>
    </w:p>
    <w:p>
      <w:pPr>
        <w:pStyle w:val="39"/>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7519"/>
      <w:bookmarkStart w:id="5" w:name="_Toc4275"/>
      <w:bookmarkStart w:id="6" w:name="_Toc11322"/>
      <w:bookmarkStart w:id="7" w:name="_Toc1669"/>
      <w:bookmarkStart w:id="8" w:name="_Toc31938"/>
      <w:bookmarkStart w:id="9" w:name="_Toc19609"/>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4"/>
        <w:rPr>
          <w:color w:val="auto"/>
          <w:highlight w:val="none"/>
        </w:rPr>
      </w:pPr>
      <w:bookmarkStart w:id="11" w:name="_Toc28995"/>
      <w:bookmarkStart w:id="12" w:name="_Toc14238"/>
      <w:bookmarkStart w:id="13" w:name="_Toc5230"/>
      <w:bookmarkStart w:id="14" w:name="_Toc15709"/>
      <w:bookmarkStart w:id="15" w:name="_Toc999"/>
      <w:bookmarkStart w:id="16" w:name="_Toc26363"/>
      <w:bookmarkStart w:id="17" w:name="_Toc88209924"/>
      <w:bookmarkStart w:id="18" w:name="_Toc8201"/>
      <w:bookmarkStart w:id="19" w:name="_Toc10122"/>
      <w:bookmarkStart w:id="20" w:name="_Toc2659"/>
      <w:bookmarkStart w:id="21" w:name="_Toc30131"/>
      <w:bookmarkStart w:id="22" w:name="_Toc3098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9680"/>
      <w:bookmarkStart w:id="24" w:name="_Toc21373"/>
      <w:r>
        <w:rPr>
          <w:rFonts w:hint="eastAsia"/>
          <w:color w:val="auto"/>
          <w:highlight w:val="none"/>
          <w:u w:val="single"/>
          <w:lang w:val="en-US" w:eastAsia="zh-CN"/>
        </w:rPr>
        <w:t xml:space="preserve">广州市净水有限公司猎德污水处理系统管网工程--猎德涌片区一期广园东路污水管工程（粤垦路～省消防总队）树木保护专章编制服务 </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广州市净水有限公司猎德污水处理系统管网工程--猎德涌片区一期广园东路污水管工程（粤垦路～省消防总队）树木保护专章编制服务</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w:t>
      </w:r>
      <w:bookmarkStart w:id="25" w:name="采购公告"/>
      <w:bookmarkEnd w:id="25"/>
      <w:r>
        <w:rPr>
          <w:rFonts w:hint="eastAsia" w:ascii="仿宋_GB2312" w:eastAsia="仿宋_GB2312"/>
          <w:color w:val="auto"/>
          <w:sz w:val="28"/>
          <w:szCs w:val="28"/>
          <w:highlight w:val="none"/>
        </w:rPr>
        <w:t>活动，采用</w:t>
      </w:r>
      <w:r>
        <w:rPr>
          <w:rFonts w:hint="eastAsia" w:ascii="仿宋_GB2312" w:eastAsia="仿宋_GB2312"/>
          <w:color w:val="auto"/>
          <w:sz w:val="28"/>
          <w:szCs w:val="28"/>
          <w:highlight w:val="none"/>
          <w:u w:val="non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广州市净水有限公司猎德污水处理系统管网工程--猎德涌片区一期广园东路污水管工程（粤垦路～省消防总队）树木保护专章编制服务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XJ-20221017-1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财政资金</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 xml:space="preserve">158564.70 </w:t>
      </w:r>
      <w:r>
        <w:rPr>
          <w:rFonts w:hint="eastAsia" w:ascii="仿宋_GB2312" w:eastAsia="仿宋_GB2312"/>
          <w:color w:val="auto"/>
          <w:sz w:val="28"/>
          <w:szCs w:val="28"/>
          <w:highlight w:val="none"/>
          <w:u w:val="single"/>
        </w:rPr>
        <w:t xml:space="preserve">元 </w:t>
      </w:r>
      <w:r>
        <w:rPr>
          <w:rFonts w:hint="eastAsia" w:ascii="仿宋_GB2312" w:eastAsia="仿宋_GB2312"/>
          <w:color w:val="auto"/>
          <w:sz w:val="28"/>
          <w:szCs w:val="28"/>
          <w:highlight w:val="none"/>
          <w:u w:val="single"/>
          <w:lang w:val="en-US" w:eastAsia="zh-CN"/>
        </w:rPr>
        <w:t>。</w:t>
      </w:r>
    </w:p>
    <w:p>
      <w:pPr>
        <w:pStyle w:val="2"/>
        <w:ind w:firstLine="562" w:firstLineChars="200"/>
        <w:rPr>
          <w:rFonts w:hint="eastAsia"/>
          <w:color w:val="auto"/>
          <w:highlight w:val="none"/>
          <w:lang w:val="en-US" w:eastAsia="zh-CN"/>
        </w:rPr>
      </w:pPr>
      <w:r>
        <w:rPr>
          <w:rFonts w:hint="eastAsia" w:ascii="仿宋" w:hAnsi="仿宋" w:eastAsia="仿宋" w:cs="仿宋"/>
          <w:b/>
          <w:bCs/>
          <w:color w:val="auto"/>
          <w:sz w:val="28"/>
          <w:szCs w:val="28"/>
          <w:highlight w:val="none"/>
          <w:lang w:val="zh-CN"/>
        </w:rPr>
        <w:t>专家论证费、场地租赁费为非竞争性费用，在报价时须按询价文件规定的金额填写，不得参与竞争，否则按无效报价处理。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val="en-US" w:eastAsia="zh-CN"/>
        </w:rPr>
        <w:t>猎德污水处理系统管网工程--猎德涌片区一期广园东路污水管工程（粤垦路～省消防总队）施工工法为明挖和顶管施工，开挖深度约5～9米，长度约900米，管径为DN1200～1350，沿线涉及树木总数约206棵（其中粤垦路～省消防总队人行道约94棵，中央绿化带约112棵），需进行部分修剪树枝和树木保护，具体以实施方案为准。对项目场地范围内胸径20cm（不含）以下树木树种及其数量进行调查记录；对项目场地范围内胸径20cm（含）以上树木的基本信息（树种、科属、拉丁名、地理位置）、生长状况（长势、株高、胸径、冠幅、存在问题）、立地环境进行调查记录；编写树木保护专章（不限于树木保护、修剪树枝和保护，最终以实施方案为准），按相关部门要求组织专家论证，完善树木保护专章，并配合完成树木绿化相关申报，最终获得相关部门审批。</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30天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广州市天河区</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按合同条款和有关技术标准规范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以及树木绿化行政主管部门有关要求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 w:hAnsi="仿宋" w:eastAsia="仿宋" w:cs="仿宋"/>
          <w:color w:val="auto"/>
          <w:kern w:val="2"/>
          <w:sz w:val="28"/>
          <w:szCs w:val="28"/>
          <w:highlight w:val="none"/>
          <w:u w:val="single"/>
          <w:lang w:val="en-US" w:eastAsia="zh-CN" w:bidi="ar-SA"/>
        </w:rPr>
        <w:t>报价单位须具有林业调查规划设计资质乙级（或以上）证书，并配备生态、林业、园林、园艺、植保等绿化相关专业高级以上专业技术职称人员不少于三人。</w:t>
      </w:r>
      <w:r>
        <w:rPr>
          <w:rFonts w:hint="eastAsia" w:ascii="仿宋" w:hAnsi="仿宋" w:eastAsia="仿宋" w:cs="仿宋"/>
          <w:color w:val="auto"/>
          <w:kern w:val="2"/>
          <w:sz w:val="28"/>
          <w:szCs w:val="28"/>
          <w:highlight w:val="none"/>
          <w:u w:val="single"/>
          <w:lang w:val="en-US" w:eastAsia="zh-CN" w:bidi="ar-SA"/>
        </w:rPr>
        <w:br w:type="textWrapping"/>
      </w:r>
      <w:r>
        <w:rPr>
          <w:rFonts w:hint="eastAsia" w:ascii="仿宋" w:hAnsi="仿宋" w:eastAsia="仿宋" w:cs="仿宋"/>
          <w:color w:val="auto"/>
          <w:sz w:val="28"/>
          <w:szCs w:val="28"/>
          <w:highlight w:val="none"/>
        </w:rPr>
        <w:t>备注：提供以上人员资格证书复印件及在本单位</w:t>
      </w:r>
      <w:r>
        <w:rPr>
          <w:rFonts w:hint="eastAsia" w:ascii="仿宋" w:hAnsi="仿宋" w:eastAsia="仿宋" w:cs="仿宋"/>
          <w:color w:val="auto"/>
          <w:sz w:val="28"/>
          <w:szCs w:val="28"/>
          <w:highlight w:val="none"/>
          <w:lang w:val="en-US" w:eastAsia="zh-CN"/>
        </w:rPr>
        <w:t>购买</w:t>
      </w:r>
      <w:r>
        <w:rPr>
          <w:rFonts w:hint="eastAsia" w:ascii="仿宋" w:hAnsi="仿宋" w:eastAsia="仿宋" w:cs="仿宋"/>
          <w:color w:val="auto"/>
          <w:sz w:val="28"/>
          <w:szCs w:val="28"/>
          <w:highlight w:val="none"/>
        </w:rPr>
        <w:t>社保记录，以加盖社会保险基金管理中心印章的《缴费历史明细表》或《社会保险参保人员证明》为准，并加盖单位公章。</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树木保护类</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lang w:val="en-US" w:eastAsia="zh-CN"/>
        </w:rPr>
        <w:t xml:space="preserve">       资质。</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其他要求：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18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23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jc w:val="left"/>
        <w:rPr>
          <w:rFonts w:hint="eastAsia" w:asciiTheme="minorEastAsia" w:hAnsiTheme="minorEastAsia" w:eastAsiaTheme="minorEastAsia"/>
          <w:b/>
          <w:color w:val="auto"/>
          <w:sz w:val="32"/>
          <w:szCs w:val="32"/>
          <w:highlight w:val="none"/>
          <w:lang w:val="en-US" w:eastAsia="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17 </w:t>
            </w:r>
            <w:r>
              <w:rPr>
                <w:rFonts w:hint="eastAsia" w:ascii="仿宋_GB2312" w:eastAsia="仿宋_GB2312"/>
                <w:color w:val="auto"/>
                <w:sz w:val="28"/>
                <w:szCs w:val="28"/>
                <w:highlight w:val="none"/>
              </w:rPr>
              <w:t>日</w:t>
            </w:r>
          </w:p>
        </w:tc>
      </w:tr>
    </w:tbl>
    <w:p>
      <w:pPr>
        <w:pStyle w:val="2"/>
        <w:ind w:left="0" w:leftChars="0" w:firstLine="0" w:firstLineChars="0"/>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bidi w:val="0"/>
        <w:rPr>
          <w:rFonts w:asciiTheme="minorHAnsi" w:hAnsiTheme="minorHAnsi" w:eastAsiaTheme="minorEastAsia" w:cstheme="minorBidi"/>
          <w:color w:val="auto"/>
          <w:kern w:val="2"/>
          <w:sz w:val="21"/>
          <w:szCs w:val="22"/>
          <w:highlight w:val="none"/>
          <w:lang w:val="en-US" w:eastAsia="zh-CN" w:bidi="ar-SA"/>
        </w:rPr>
      </w:pPr>
    </w:p>
    <w:p>
      <w:pPr>
        <w:bidi w:val="0"/>
        <w:rPr>
          <w:color w:val="auto"/>
          <w:highlight w:val="none"/>
          <w:lang w:val="en-US" w:eastAsia="zh-CN"/>
        </w:rPr>
      </w:pPr>
    </w:p>
    <w:p>
      <w:pPr>
        <w:bidi w:val="0"/>
        <w:rPr>
          <w:color w:val="auto"/>
          <w:highlight w:val="none"/>
          <w:lang w:val="en-US" w:eastAsia="zh-CN"/>
        </w:rPr>
      </w:pPr>
    </w:p>
    <w:p>
      <w:pPr>
        <w:bidi w:val="0"/>
        <w:rPr>
          <w:color w:val="auto"/>
          <w:highlight w:val="none"/>
          <w:lang w:val="en-US" w:eastAsia="zh-CN"/>
        </w:rPr>
      </w:pPr>
    </w:p>
    <w:p>
      <w:pPr>
        <w:bidi w:val="0"/>
        <w:rPr>
          <w:color w:val="auto"/>
          <w:highlight w:val="none"/>
          <w:lang w:val="en-US" w:eastAsia="zh-CN"/>
        </w:rPr>
      </w:pPr>
    </w:p>
    <w:p>
      <w:pPr>
        <w:tabs>
          <w:tab w:val="left" w:pos="2774"/>
        </w:tabs>
        <w:jc w:val="left"/>
        <w:rPr>
          <w:rFonts w:hint="eastAsia"/>
          <w:color w:val="auto"/>
          <w:highlight w:val="none"/>
        </w:rPr>
      </w:pPr>
      <w:bookmarkStart w:id="26" w:name="_Toc10891"/>
    </w:p>
    <w:p>
      <w:pPr>
        <w:pStyle w:val="4"/>
        <w:rPr>
          <w:color w:val="auto"/>
          <w:highlight w:val="none"/>
        </w:rPr>
      </w:pPr>
      <w:bookmarkStart w:id="27" w:name="_Toc2331"/>
      <w:bookmarkStart w:id="28" w:name="_Toc7340"/>
      <w:bookmarkStart w:id="29" w:name="_Toc16705"/>
      <w:bookmarkStart w:id="30" w:name="_Toc2324"/>
      <w:bookmarkStart w:id="31" w:name="_Toc19295"/>
      <w:bookmarkStart w:id="32" w:name="_Toc25603"/>
      <w:bookmarkStart w:id="33" w:name="_Toc23749"/>
      <w:bookmarkStart w:id="34" w:name="_Toc16557"/>
      <w:bookmarkStart w:id="35" w:name="_Toc9448"/>
      <w:bookmarkStart w:id="36" w:name="_Toc32588"/>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6"/>
      <w:bookmarkEnd w:id="27"/>
      <w:bookmarkEnd w:id="28"/>
      <w:bookmarkEnd w:id="29"/>
      <w:bookmarkEnd w:id="30"/>
      <w:bookmarkEnd w:id="31"/>
      <w:bookmarkEnd w:id="32"/>
      <w:bookmarkEnd w:id="33"/>
      <w:bookmarkEnd w:id="34"/>
      <w:bookmarkEnd w:id="35"/>
      <w:bookmarkEnd w:id="36"/>
    </w:p>
    <w:p>
      <w:pPr>
        <w:pStyle w:val="5"/>
        <w:rPr>
          <w:rFonts w:hint="eastAsia"/>
          <w:color w:val="auto"/>
          <w:highlight w:val="none"/>
        </w:rPr>
      </w:pPr>
    </w:p>
    <w:p>
      <w:pPr>
        <w:pStyle w:val="5"/>
        <w:rPr>
          <w:color w:val="auto"/>
          <w:highlight w:val="none"/>
        </w:rPr>
      </w:pPr>
      <w:bookmarkStart w:id="37" w:name="_Toc2339"/>
      <w:bookmarkStart w:id="38" w:name="_Toc3416"/>
      <w:r>
        <w:rPr>
          <w:rFonts w:hint="eastAsia"/>
          <w:color w:val="auto"/>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9" w:name="_Toc21455"/>
      <w:bookmarkStart w:id="40"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9"/>
      <w:bookmarkEnd w:id="40"/>
    </w:p>
    <w:p>
      <w:pPr>
        <w:pStyle w:val="41"/>
        <w:rPr>
          <w:color w:val="auto"/>
          <w:highlight w:val="none"/>
        </w:rPr>
      </w:pPr>
    </w:p>
    <w:p>
      <w:pPr>
        <w:pStyle w:val="5"/>
        <w:rPr>
          <w:color w:val="auto"/>
          <w:highlight w:val="none"/>
        </w:rPr>
      </w:pPr>
      <w:bookmarkStart w:id="41" w:name="_Toc87616371"/>
      <w:bookmarkStart w:id="42" w:name="_Toc7303"/>
      <w:bookmarkStart w:id="43" w:name="_Toc7040"/>
      <w:bookmarkStart w:id="44" w:name="_Toc88209934"/>
      <w:r>
        <w:rPr>
          <w:rFonts w:hint="eastAsia"/>
          <w:color w:val="auto"/>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5" w:name="_Toc24895"/>
      <w:bookmarkStart w:id="46" w:name="_Toc3789"/>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7" w:name="_Toc7437"/>
      <w:bookmarkStart w:id="48" w:name="_Toc4952"/>
      <w:bookmarkStart w:id="49" w:name="_Toc20594"/>
      <w:bookmarkStart w:id="50" w:name="_Toc23581"/>
      <w:bookmarkStart w:id="51" w:name="_Toc10930"/>
      <w:bookmarkStart w:id="52" w:name="_Toc19050"/>
      <w:bookmarkStart w:id="53" w:name="_Toc14870"/>
      <w:bookmarkStart w:id="54" w:name="_Toc19759"/>
      <w:bookmarkStart w:id="55" w:name="_Toc3156"/>
      <w:bookmarkStart w:id="56" w:name="_Toc14552"/>
      <w:bookmarkStart w:id="57"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7"/>
      <w:bookmarkEnd w:id="48"/>
      <w:bookmarkEnd w:id="49"/>
      <w:bookmarkEnd w:id="50"/>
      <w:bookmarkEnd w:id="51"/>
      <w:bookmarkEnd w:id="52"/>
      <w:bookmarkEnd w:id="53"/>
      <w:bookmarkEnd w:id="54"/>
      <w:bookmarkEnd w:id="55"/>
      <w:bookmarkEnd w:id="56"/>
      <w:bookmarkEnd w:id="57"/>
    </w:p>
    <w:p>
      <w:pPr>
        <w:pStyle w:val="41"/>
        <w:rPr>
          <w:color w:val="auto"/>
          <w:highlight w:val="none"/>
        </w:rPr>
      </w:pPr>
    </w:p>
    <w:p>
      <w:pPr>
        <w:pStyle w:val="4"/>
        <w:rPr>
          <w:color w:val="auto"/>
          <w:highlight w:val="none"/>
        </w:rPr>
      </w:pPr>
      <w:bookmarkStart w:id="58" w:name="_Toc13898"/>
      <w:bookmarkStart w:id="59" w:name="_Toc12177"/>
      <w:bookmarkStart w:id="60" w:name="_Toc30530"/>
      <w:bookmarkStart w:id="61" w:name="_Toc7831"/>
      <w:bookmarkStart w:id="62" w:name="_Toc21079"/>
      <w:bookmarkStart w:id="63" w:name="_Toc29484"/>
      <w:bookmarkStart w:id="64" w:name="_Toc6308"/>
      <w:bookmarkStart w:id="65" w:name="_Toc88209941"/>
      <w:bookmarkStart w:id="66" w:name="_Toc22212"/>
      <w:bookmarkStart w:id="67" w:name="_Toc87616378"/>
      <w:bookmarkStart w:id="68" w:name="_Toc32607"/>
      <w:bookmarkStart w:id="69" w:name="_Toc29345"/>
      <w:bookmarkStart w:id="70" w:name="_Toc21840"/>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1" w:name="_Toc26826"/>
      <w:bookmarkStart w:id="72" w:name="_Toc23033"/>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73" w:name="_Toc88209947"/>
    </w:p>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2347595</wp:posOffset>
                </wp:positionH>
                <wp:positionV relativeFrom="paragraph">
                  <wp:posOffset>500380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85pt;margin-top:39.4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jc w:val="both"/>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13"/>
        <w:numPr>
          <w:ilvl w:val="0"/>
          <w:numId w:val="4"/>
        </w:numPr>
        <w:adjustRightInd w:val="0"/>
        <w:snapToGrid w:val="0"/>
        <w:spacing w:line="360" w:lineRule="auto"/>
        <w:ind w:firstLine="562" w:firstLineChars="200"/>
        <w:rPr>
          <w:rFonts w:hint="eastAsia" w:ascii="仿宋" w:hAnsi="仿宋" w:eastAsia="仿宋" w:cs="仿宋_GB2312"/>
          <w:b/>
          <w:bCs/>
          <w:color w:val="auto"/>
          <w:kern w:val="0"/>
          <w:sz w:val="28"/>
          <w:szCs w:val="28"/>
          <w:highlight w:val="none"/>
          <w:lang w:val="en-US" w:eastAsia="zh-CN"/>
        </w:rPr>
      </w:pPr>
      <w:r>
        <w:rPr>
          <w:rFonts w:hint="eastAsia" w:ascii="仿宋" w:hAnsi="仿宋" w:eastAsia="仿宋" w:cs="仿宋_GB2312"/>
          <w:b/>
          <w:bCs/>
          <w:color w:val="auto"/>
          <w:kern w:val="0"/>
          <w:sz w:val="28"/>
          <w:szCs w:val="28"/>
          <w:highlight w:val="none"/>
          <w:lang w:val="en-US" w:eastAsia="zh-CN"/>
        </w:rPr>
        <w:t>项目内容及需求</w:t>
      </w:r>
    </w:p>
    <w:p>
      <w:pPr>
        <w:pStyle w:val="14"/>
        <w:ind w:firstLine="560" w:firstLineChars="200"/>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猎德污水处理系统管网工程--猎德涌片区一期广园东路污水管工程（粤垦路～省消防总队）施工工法为明挖和顶管施工，开挖深度约5～9米，长度约900米，管径为DN1200～1350，沿线涉及树木总数约206棵（其中粤垦路～省消防总队人行道约94棵，中央绿化带约112棵），需进行部分修剪树枝和树木保护，具体以实施方案为准。对项目场地范围内胸径20cm（不含）以下树木树种及其数量进行调查记录；对项目场地范围内胸径20cm（含）以上树木的基本信息（树种、科属、拉丁名、地理位置）、生长状况（长势、株高、胸径、冠幅、存在问题）、立地环境进行调查记录；编写树木保护专章（不限于树木保护、修剪树枝和保护，最终以实施方案为准），按相关部门要求组织专家论证，完善树木保护专章，并配合完成树木绿化相关申报，最终获得相关部门审批。</w:t>
      </w:r>
    </w:p>
    <w:p>
      <w:pPr>
        <w:pStyle w:val="13"/>
        <w:adjustRightInd w:val="0"/>
        <w:snapToGrid w:val="0"/>
        <w:spacing w:line="300" w:lineRule="auto"/>
        <w:rPr>
          <w:rFonts w:hint="eastAsia" w:ascii="仿宋" w:hAnsi="仿宋" w:eastAsia="仿宋" w:cs="仿宋"/>
          <w:color w:val="auto"/>
          <w:highlight w:val="none"/>
          <w:lang w:val="en-US" w:eastAsia="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1.本次项目包含现场树木调查、综合评估及报告编制三个方面。项目需符合以下规范：</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-《中华人民共和国环境保护法》（2014年修订）；</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-《中华人民共和国森林法》（2019年修订） ；</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-《中华人民共和国刑法》（2020年修正）；</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-《城市古树名木保护管理办法》（2000年实施）；</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-《广东省城市绿化条例》（2014年修正）；</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-《广州市历史文化名城保护条例》（2020年修正）；</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-《城市绿化条例》（2017年修订）；</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-《广州市绿化条例》（2020年修正）；</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-《广州市古树名木迁移管理办法》（2020年实施）；</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-《广州市城市树木保护管理规定（试行）》（穗林业园林规字[2022]1号）；</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-《住房城乡建设部关于促进城市园林绿化事业健康发展的指导意见》（建城〔2012〕166号）；</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-《全国绿化委员会关于进一步加强古树名木保护管理的意见》（全绿字〔2016〕1号）；</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-《国务院办公厅关于科学绿化的指导意见》（国办发〔2021〕19号）；</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-《关于在城乡建设中加强历史文化保护传承的意见》（厅字〔2021〕36号）；</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-《住房和城乡建设部关于在实施城市更新行动中防止大拆大建问题的通知》（建科〔2021〕63号）；</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-《广东省人民政府办公厅关于科学绿化的实施意见》（粤府办〔2021〕48号）；</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-《广州市关于科学绿化的实施意见》（穂办〔2021〕11号）；</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-《广州市城市规划管理技术标准与准则》（修建性详细规划篇）；</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-《广州市关于在城市更新行动中防止大拆大建问题的实施意见（试行）》（建科[2021]63号）；</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-《广州市园林事业发展“十四五”规划》（2021年9月正式发布）；</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-《广州市绿地系统规划》（2020-2035年）；</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-《绿化工程施工及验收规范（CJJ-82-2012）》；</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-《城市古树名木养护和复壮工程技术规范（GB/T 51168-2016）》；</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-《园林绿化工程项目规范（GB 55014-2021）》；</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-《古树名木复壮技术规程（LY∕T 2494-2015）》；</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-《古树名木鉴定规范（LY/T 2737-2016）》；</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-《古树名木普查技术规范（LY/T 2738-2016）》；</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-《古树名木管护技术规程（LY/T 3073-2018）》；</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-《古树名木生长与环境监测技术规程（LY/T 2970-2018）》；</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-《园林植物保护技术规范(DB44/T 968-2011)》；</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-《园林绿地养护管理技术规范(B4401/T 6-2018)》；</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-《园林树木安全性评价技术规范（DB4401/T 17-2019）》；</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-《园林种植土（DB4401/T 36-2019）》；</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-《古树名木保护技术规范（DB4401/T 52-2020）》；</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-《古树名木健康巡查技术规范（DB4401/T 126-2021）》；</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-《广州市树木修剪技术指引（试行）》（2021.9）；</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-《广州市城市道路绿化改造行道树处理技术指引》（2020.3）。</w:t>
      </w:r>
    </w:p>
    <w:p>
      <w:pPr>
        <w:pStyle w:val="14"/>
        <w:rPr>
          <w:rFonts w:hint="eastAsia"/>
          <w:color w:val="auto"/>
          <w:highlight w:val="none"/>
          <w:lang w:val="en-US" w:eastAsia="zh-CN"/>
        </w:rPr>
      </w:pP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rPr>
        <w:t>见合同书格式。</w:t>
      </w:r>
    </w:p>
    <w:p>
      <w:pPr>
        <w:autoSpaceDE w:val="0"/>
        <w:autoSpaceDN w:val="0"/>
        <w:ind w:left="279" w:leftChars="133"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2.质量要求</w:t>
      </w:r>
    </w:p>
    <w:p>
      <w:pPr>
        <w:autoSpaceDE w:val="0"/>
        <w:autoSpaceDN w:val="0"/>
        <w:ind w:left="56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编写树木保护专章（不限于树木保护、修剪树枝和保护，最终以实施方案为准），按相关部门要求组织专家论证，完善树木保护专章，并配合完成树木绿化相关申报，最终获得相关部门审批。</w:t>
      </w:r>
    </w:p>
    <w:bookmarkEnd w:id="73"/>
    <w:p>
      <w:pPr>
        <w:autoSpaceDE w:val="0"/>
        <w:autoSpaceDN w:val="0"/>
        <w:ind w:left="560" w:firstLine="560" w:firstLineChars="200"/>
        <w:rPr>
          <w:rFonts w:hint="eastAsia" w:ascii="仿宋" w:hAnsi="仿宋" w:eastAsia="仿宋" w:cs="仿宋"/>
          <w:color w:val="auto"/>
          <w:sz w:val="28"/>
          <w:szCs w:val="28"/>
          <w:highlight w:val="none"/>
        </w:rPr>
      </w:pPr>
      <w:bookmarkStart w:id="74" w:name="_Toc4680"/>
      <w:bookmarkStart w:id="75" w:name="_Toc1496"/>
      <w:bookmarkStart w:id="76" w:name="_Toc15570"/>
      <w:bookmarkStart w:id="77" w:name="_Toc29835"/>
      <w:bookmarkStart w:id="78" w:name="_Toc23330"/>
      <w:bookmarkStart w:id="79" w:name="_Toc23353"/>
      <w:bookmarkStart w:id="80" w:name="_Toc25925"/>
      <w:bookmarkStart w:id="81" w:name="_Toc537"/>
      <w:bookmarkStart w:id="82" w:name="_Toc1284"/>
      <w:bookmarkStart w:id="83" w:name="_Toc12135"/>
      <w:bookmarkStart w:id="84" w:name="_Toc18538"/>
      <w:r>
        <w:rPr>
          <w:rFonts w:hint="eastAsia" w:ascii="仿宋" w:hAnsi="仿宋" w:eastAsia="仿宋" w:cs="仿宋"/>
          <w:color w:val="auto"/>
          <w:sz w:val="28"/>
          <w:szCs w:val="28"/>
          <w:highlight w:val="none"/>
        </w:rPr>
        <w:t>3、付款方式：见合同书格式。</w:t>
      </w:r>
    </w:p>
    <w:p>
      <w:pPr>
        <w:autoSpaceDE w:val="0"/>
        <w:autoSpaceDN w:val="0"/>
        <w:ind w:left="56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4、承包方式：总价包干。（其中专家论证费</w:t>
      </w:r>
      <w:r>
        <w:rPr>
          <w:rFonts w:hint="eastAsia" w:ascii="仿宋" w:hAnsi="仿宋" w:eastAsia="仿宋" w:cs="仿宋"/>
          <w:color w:val="auto"/>
          <w:sz w:val="28"/>
          <w:szCs w:val="28"/>
          <w:highlight w:val="none"/>
          <w:lang w:val="en-US" w:eastAsia="zh-CN"/>
        </w:rPr>
        <w:t>含税</w:t>
      </w:r>
      <w:r>
        <w:rPr>
          <w:rFonts w:hint="eastAsia" w:ascii="仿宋" w:hAnsi="仿宋" w:eastAsia="仿宋" w:cs="仿宋"/>
          <w:color w:val="auto"/>
          <w:sz w:val="28"/>
          <w:szCs w:val="28"/>
          <w:highlight w:val="none"/>
        </w:rPr>
        <w:t>5940元和论证会场地租赁费用</w:t>
      </w:r>
      <w:r>
        <w:rPr>
          <w:rFonts w:hint="eastAsia" w:ascii="仿宋" w:hAnsi="仿宋" w:eastAsia="仿宋" w:cs="仿宋"/>
          <w:color w:val="auto"/>
          <w:sz w:val="28"/>
          <w:szCs w:val="28"/>
          <w:highlight w:val="none"/>
          <w:lang w:val="en-US" w:eastAsia="zh-CN"/>
        </w:rPr>
        <w:t>含税</w:t>
      </w:r>
      <w:r>
        <w:rPr>
          <w:rFonts w:hint="eastAsia" w:ascii="仿宋" w:hAnsi="仿宋" w:eastAsia="仿宋" w:cs="仿宋"/>
          <w:color w:val="auto"/>
          <w:sz w:val="28"/>
          <w:szCs w:val="28"/>
          <w:highlight w:val="none"/>
        </w:rPr>
        <w:t>2700元包干，如无发生则扣除该费用）</w:t>
      </w:r>
    </w:p>
    <w:p>
      <w:pPr>
        <w:autoSpaceDE w:val="0"/>
        <w:autoSpaceDN w:val="0"/>
        <w:ind w:left="560" w:firstLine="560" w:firstLineChars="200"/>
        <w:rPr>
          <w:rFonts w:hint="eastAsia" w:ascii="仿宋" w:hAnsi="仿宋" w:eastAsia="仿宋" w:cs="仿宋"/>
          <w:color w:val="auto"/>
          <w:sz w:val="28"/>
          <w:szCs w:val="28"/>
          <w:highlight w:val="none"/>
        </w:rPr>
      </w:pPr>
    </w:p>
    <w:p>
      <w:pPr>
        <w:autoSpaceDE w:val="0"/>
        <w:autoSpaceDN w:val="0"/>
        <w:ind w:left="560" w:firstLine="560" w:firstLineChars="200"/>
        <w:rPr>
          <w:rFonts w:hint="eastAsia" w:ascii="仿宋" w:hAnsi="仿宋" w:eastAsia="仿宋" w:cs="仿宋"/>
          <w:color w:val="auto"/>
          <w:sz w:val="28"/>
          <w:szCs w:val="28"/>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4"/>
        <w:jc w:val="center"/>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74"/>
      <w:bookmarkEnd w:id="75"/>
      <w:bookmarkEnd w:id="76"/>
      <w:bookmarkEnd w:id="77"/>
      <w:bookmarkEnd w:id="78"/>
      <w:bookmarkEnd w:id="79"/>
      <w:bookmarkEnd w:id="80"/>
      <w:bookmarkEnd w:id="81"/>
      <w:bookmarkEnd w:id="82"/>
      <w:bookmarkEnd w:id="83"/>
      <w:bookmarkEnd w:id="84"/>
    </w:p>
    <w:p>
      <w:pPr>
        <w:pStyle w:val="41"/>
        <w:rPr>
          <w:color w:val="auto"/>
          <w:highlight w:val="none"/>
        </w:rPr>
      </w:pPr>
    </w:p>
    <w:p>
      <w:pPr>
        <w:pStyle w:val="4"/>
        <w:rPr>
          <w:color w:val="auto"/>
          <w:highlight w:val="none"/>
        </w:rPr>
      </w:pPr>
      <w:bookmarkStart w:id="85" w:name="_Toc8183"/>
      <w:bookmarkStart w:id="86" w:name="_Toc19088"/>
      <w:bookmarkStart w:id="87" w:name="_Toc12721"/>
      <w:bookmarkStart w:id="88" w:name="_Toc22797"/>
      <w:bookmarkStart w:id="89" w:name="_Toc87616386"/>
      <w:bookmarkStart w:id="90" w:name="_Toc13309"/>
      <w:bookmarkStart w:id="91" w:name="_Toc12968"/>
      <w:bookmarkStart w:id="92" w:name="_Toc19686"/>
      <w:bookmarkStart w:id="93" w:name="_Toc1375"/>
      <w:bookmarkStart w:id="94" w:name="_Toc22501"/>
      <w:bookmarkStart w:id="95" w:name="_Toc88209949"/>
      <w:bookmarkStart w:id="96" w:name="_Toc12980"/>
      <w:bookmarkStart w:id="97" w:name="_Toc323"/>
      <w:r>
        <w:rPr>
          <w:rFonts w:hint="eastAsia"/>
          <w:color w:val="auto"/>
          <w:highlight w:val="none"/>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jc w:val="center"/>
        <w:rPr>
          <w:rFonts w:hint="eastAsia" w:ascii="宋体" w:hAnsi="宋体" w:eastAsia="宋体" w:cs="宋体"/>
          <w:b/>
          <w:bCs/>
          <w:color w:val="auto"/>
          <w:sz w:val="48"/>
          <w:szCs w:val="48"/>
          <w:highlight w:val="none"/>
          <w:lang w:val="en-GB"/>
        </w:rPr>
      </w:pPr>
      <w:r>
        <w:rPr>
          <w:rFonts w:hint="eastAsia" w:ascii="宋体" w:hAnsi="宋体" w:eastAsia="宋体" w:cs="宋体"/>
          <w:b/>
          <w:bCs/>
          <w:color w:val="auto"/>
          <w:sz w:val="48"/>
          <w:szCs w:val="48"/>
          <w:highlight w:val="none"/>
          <w:lang w:val="en-GB"/>
        </w:rPr>
        <w:t>广州市净水有限公司</w:t>
      </w:r>
    </w:p>
    <w:p>
      <w:pPr>
        <w:jc w:val="center"/>
        <w:rPr>
          <w:b/>
          <w:bCs/>
          <w:color w:val="auto"/>
          <w:sz w:val="48"/>
          <w:szCs w:val="48"/>
          <w:highlight w:val="none"/>
          <w:lang w:val="en-GB"/>
        </w:rPr>
      </w:pPr>
      <w:r>
        <w:rPr>
          <w:rFonts w:hint="eastAsia" w:ascii="宋体" w:hAnsi="宋体" w:eastAsia="宋体" w:cs="宋体"/>
          <w:b/>
          <w:bCs/>
          <w:color w:val="auto"/>
          <w:sz w:val="48"/>
          <w:szCs w:val="48"/>
          <w:highlight w:val="none"/>
          <w:lang w:val="en-GB"/>
        </w:rPr>
        <w:t>树木保护专章编制服务合同</w:t>
      </w: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pStyle w:val="13"/>
        <w:snapToGrid w:val="0"/>
        <w:spacing w:line="400" w:lineRule="exact"/>
        <w:ind w:right="84" w:rightChars="40" w:firstLine="193" w:firstLineChars="80"/>
        <w:rPr>
          <w:rFonts w:hint="eastAsia" w:hAnsi="宋体" w:eastAsia="宋体"/>
          <w:b/>
          <w:color w:val="auto"/>
          <w:sz w:val="24"/>
          <w:highlight w:val="none"/>
        </w:rPr>
      </w:pPr>
    </w:p>
    <w:p>
      <w:pPr>
        <w:pStyle w:val="13"/>
        <w:snapToGrid w:val="0"/>
        <w:spacing w:line="400" w:lineRule="exact"/>
        <w:ind w:right="84" w:rightChars="40" w:firstLine="192" w:firstLineChars="80"/>
        <w:rPr>
          <w:rFonts w:hint="eastAsia" w:hAnsi="宋体" w:eastAsia="宋体"/>
          <w:bCs/>
          <w:color w:val="auto"/>
          <w:sz w:val="24"/>
          <w:highlight w:val="none"/>
        </w:rPr>
      </w:pPr>
    </w:p>
    <w:p>
      <w:pPr>
        <w:spacing w:line="360" w:lineRule="auto"/>
        <w:ind w:left="1506"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广州市净水有限公司猎德污水处理系统管网工程--猎德涌片区一期广园东路污水管工程（粤垦路～省消防总队）树木保护专章编制服务</w:t>
      </w:r>
    </w:p>
    <w:p>
      <w:pPr>
        <w:pStyle w:val="51"/>
        <w:spacing w:line="360" w:lineRule="auto"/>
        <w:rPr>
          <w:color w:val="auto"/>
          <w:highlight w:val="none"/>
        </w:rPr>
      </w:pPr>
    </w:p>
    <w:p>
      <w:pPr>
        <w:spacing w:line="400" w:lineRule="atLeast"/>
        <w:rPr>
          <w:rFonts w:hint="eastAsia"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bookmarkStart w:id="98" w:name="合同"/>
      <w:bookmarkEnd w:id="98"/>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jc w:val="both"/>
        <w:rPr>
          <w:rFonts w:hint="eastAsia" w:hAnsi="宋体"/>
          <w:b/>
          <w:color w:val="auto"/>
          <w:sz w:val="24"/>
          <w:szCs w:val="24"/>
          <w:highlight w:val="none"/>
        </w:rPr>
      </w:pPr>
    </w:p>
    <w:p>
      <w:pPr>
        <w:rPr>
          <w:rFonts w:hint="eastAsia" w:ascii="宋体" w:hAnsi="宋体" w:eastAsia="宋体"/>
          <w:b/>
          <w:color w:val="auto"/>
          <w:sz w:val="44"/>
          <w:szCs w:val="44"/>
          <w:highlight w:val="none"/>
        </w:rPr>
        <w:sectPr>
          <w:footerReference r:id="rId5" w:type="default"/>
          <w:pgSz w:w="11906" w:h="16838"/>
          <w:pgMar w:top="1644" w:right="1701" w:bottom="1644" w:left="1701" w:header="851" w:footer="992" w:gutter="0"/>
          <w:pgNumType w:fmt="numberInDash" w:start="1"/>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val="0"/>
        <w:snapToGrid w:val="0"/>
        <w:spacing w:after="0" w:line="50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（以下简称“甲方”）与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（以下简称“乙方”）依照《中华人民共和国建筑法》及其它有关法律、行政法规，就</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施工/修缮项目遵循平等、自愿、公平和诚实信用的原则，经双方协商一致，特订立本合同。</w:t>
      </w:r>
    </w:p>
    <w:p>
      <w:pPr>
        <w:pStyle w:val="10"/>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w:t>
      </w:r>
      <w:r>
        <w:rPr>
          <w:rFonts w:hint="eastAsia" w:ascii="宋体" w:hAnsi="宋体" w:eastAsia="宋体" w:cs="宋体"/>
          <w:bCs/>
          <w:color w:val="auto"/>
          <w:sz w:val="24"/>
          <w:szCs w:val="24"/>
          <w:highlight w:val="none"/>
          <w:lang w:val="en-US" w:eastAsia="zh-CN"/>
        </w:rPr>
        <w:t>成交通知书/</w:t>
      </w:r>
      <w:r>
        <w:rPr>
          <w:rFonts w:hint="eastAsia" w:ascii="宋体" w:hAnsi="宋体" w:eastAsia="宋体" w:cs="宋体"/>
          <w:bCs/>
          <w:color w:val="auto"/>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⑼ 本合同其他附件；</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第二条  编制依据</w:t>
      </w:r>
    </w:p>
    <w:p>
      <w:pPr>
        <w:overflowPunct w:val="0"/>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2.1甲方给乙方的发包通知书</w:t>
      </w:r>
    </w:p>
    <w:p>
      <w:pPr>
        <w:overflowPunct w:val="0"/>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2.2甲方提交的基础资料</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2.3 乙方采用的主要技术标准包括但不限于：</w:t>
      </w:r>
      <w:r>
        <w:rPr>
          <w:rFonts w:hint="eastAsia" w:ascii="宋体" w:hAnsi="宋体" w:cs="宋体"/>
          <w:color w:val="auto"/>
          <w:sz w:val="24"/>
          <w:highlight w:val="none"/>
        </w:rPr>
        <w:t>《中华人民共和国环境保护法》（2014年修订）；《中华人民共和国森林法》（2019年修订） ；《中华人民共和国刑法》（2020年修正）；《城市古树名木保护管理办法》（2000年实施）；《广东省城市绿化条例》（2014年修正）；《广州市历史文化名城保护条例》（2020年修正）；《城市绿化条例》（2017年修订）；《广州市绿化条例》（2020年修正）；《广州市古树名木迁移管理办法》（2020年实施）；《广州市城市树木保护管理规定（试行）》（穗林业园林规字[2022]1号）；《住房城乡建设部关于促进城市园林绿化事业健康发展的指导意见》（建城〔2012〕166号）；《全国绿化委员会关于进一步加强古树名木保护管理的意见》（全绿字〔2016〕1号）；《国务院办公厅关于科学绿化的指导意见》（国办发〔2021〕19号）；《关于在城乡建设中加强历史文化保护传承的意见》（厅字〔2021〕36号）；《住房和城乡建设部关于在实施城市更新行动中防止大拆大建问题的通知》（建科〔2021〕63号）；《广东省人民政府办公厅关于科学绿化的实施意见》（粤府办〔2021〕48号）；《广州市关于科学绿化的实施意见》（穂办〔2021〕11号）；《广州市城市规划管理技术标准与准则》（修建性详细规划篇）；《广州市关于在城市更新行动中防止大拆大建问题的实施意见（试行）》（建科[2021]63号）；《广州市园林事业发展“十四五”规划》（2021年9月正式发布）；《广州市绿地系统规划》（2020-2035年）；《绿化工程施工及验收规范（CJJ-82-2012）》；《城市古树名木养护和复壮工程技术规范（GB/T 51168-2016）》；《园林绿化工程项目规范（GB 55014-2021）》；《古树名木复壮技术规程（LY∕T 2494-2015）》；《古树名木鉴定规范（LY/T 2737-2016）》；《古树名木普查技术规范（LY/T 2738-2016）》；《古树名木管护技术规程（LY/T 3073-2018）》；《古树名木生长与环境监测技术规程（LY/T 2970-2018）》；《古树名木管护技术规程（LY/T 3073-2018）》；《园林植物保护技术规范(DB44/T 968-2011)》；《园林绿地养护管理技术规范(B4401/T 6-2018)》；《园林树木安全性评价技术规范（DB4401/T 17-2019）》；《园林种植土（DB4401/T 36-2019）》；《古树名木保护技术规范（DB4401/T 52-2020）》；《古树名木健康巡查技术规范（DB4401/T 126-2021）》；《广州市树木修剪技术指引（试行）》（2021.9）；《广州市城市道路绿化改造行道树处理技术指引》（2020.3）。</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上述规范如有更新的，以最新版本为准。</w:t>
      </w:r>
    </w:p>
    <w:p>
      <w:pPr>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第三条  项目概况</w:t>
      </w:r>
    </w:p>
    <w:p>
      <w:pPr>
        <w:adjustRightInd w:val="0"/>
        <w:spacing w:line="360" w:lineRule="auto"/>
        <w:ind w:left="1"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项目名称：广州市净水有限公司猎德污水处理系统管网工程--猎德涌片区一期广园东路污水管工程（粤垦路～省消防总队）树木保护专章编制服务。</w:t>
      </w:r>
    </w:p>
    <w:p>
      <w:pPr>
        <w:adjustRightInd w:val="0"/>
        <w:spacing w:line="360" w:lineRule="auto"/>
        <w:ind w:left="1"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项目地点：</w:t>
      </w:r>
      <w:r>
        <w:rPr>
          <w:rFonts w:hint="eastAsia" w:ascii="宋体" w:hAnsi="宋体" w:cs="宋体"/>
          <w:color w:val="auto"/>
          <w:sz w:val="24"/>
          <w:highlight w:val="none"/>
          <w:u w:val="single"/>
        </w:rPr>
        <w:t>位于广州市</w:t>
      </w:r>
      <w:r>
        <w:rPr>
          <w:rFonts w:hint="eastAsia" w:ascii="宋体" w:hAnsi="宋体" w:cs="宋体"/>
          <w:color w:val="auto"/>
          <w:sz w:val="24"/>
          <w:highlight w:val="none"/>
          <w:u w:val="single"/>
          <w:lang w:val="en-US" w:eastAsia="zh-CN"/>
        </w:rPr>
        <w:t>天河</w:t>
      </w:r>
      <w:r>
        <w:rPr>
          <w:rFonts w:hint="eastAsia" w:ascii="宋体" w:hAnsi="宋体" w:cs="宋体"/>
          <w:color w:val="auto"/>
          <w:sz w:val="24"/>
          <w:highlight w:val="none"/>
          <w:u w:val="single"/>
        </w:rPr>
        <w:t>区。</w:t>
      </w:r>
    </w:p>
    <w:p>
      <w:pPr>
        <w:adjustRightInd w:val="0"/>
        <w:spacing w:line="360" w:lineRule="auto"/>
        <w:ind w:left="1"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主要工作内容包括：猎德污水处理系统管网工程--猎德涌片区一期广园东路污水管工程（粤垦路～省消防总队）施工工法为明挖和顶管施工，开挖深度约5～9米，长度约900米，管径为DN1200～1350，沿线涉及树木总数约206棵（其中粤垦路～省消防总队人行道约94棵，中央绿化带约112棵），需进行部分修剪树枝和树木保护，具体以实施方案为准。对项目场地范围内胸径20cm（不含）以下树木树种及其数量进行调查记录；对项目场地范围内胸径20cm（含）以上树木的基本信息（树种、科属、拉丁名、地理位置）、生长状况（长势、株高、胸径、冠幅、存在问题）、立地环境进行调查记录；编写树木保护专章（不限于树木</w:t>
      </w:r>
      <w:r>
        <w:rPr>
          <w:rFonts w:hint="eastAsia" w:ascii="宋体" w:hAnsi="宋体" w:cs="宋体"/>
          <w:color w:val="auto"/>
          <w:sz w:val="24"/>
          <w:highlight w:val="none"/>
          <w:lang w:val="en-US" w:eastAsia="zh-CN"/>
        </w:rPr>
        <w:t>迁移</w:t>
      </w:r>
      <w:r>
        <w:rPr>
          <w:rFonts w:hint="eastAsia" w:ascii="宋体" w:hAnsi="宋体" w:cs="宋体"/>
          <w:color w:val="auto"/>
          <w:sz w:val="24"/>
          <w:highlight w:val="none"/>
        </w:rPr>
        <w:t>、修剪树枝和保护，最终以实施方案为准），按相关部门要求组织专家论证，完善树木保护专章，并配合完成树木绿化相关申报，最终获得相关部门审批。</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条 乙方向甲方交付资料及文件</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.1本合同签订后，乙方应在3个工作日内提交编制计划及参编人员名单并征得甲方同意。合同执行中，乙方如需更换设计人员的，需征得甲方书面同意。</w:t>
      </w:r>
    </w:p>
    <w:p>
      <w:pPr>
        <w:adjustRightInd w:val="0"/>
        <w:spacing w:line="360" w:lineRule="auto"/>
        <w:ind w:left="1"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乙方应在合同签订后5个工作日内完成猎德污水处理系统管网工程--猎德涌片区一期广园东路污水管工程（粤垦路～省消防总队）树木保护专章编制工作。编写树木保护专章（不限于树木</w:t>
      </w:r>
      <w:r>
        <w:rPr>
          <w:rFonts w:hint="eastAsia" w:ascii="宋体" w:hAnsi="宋体" w:cs="宋体"/>
          <w:color w:val="auto"/>
          <w:sz w:val="24"/>
          <w:highlight w:val="none"/>
          <w:lang w:val="en-US" w:eastAsia="zh-CN"/>
        </w:rPr>
        <w:t>迁移</w:t>
      </w:r>
      <w:r>
        <w:rPr>
          <w:rFonts w:hint="eastAsia" w:ascii="宋体" w:hAnsi="宋体" w:cs="宋体"/>
          <w:color w:val="auto"/>
          <w:sz w:val="24"/>
          <w:highlight w:val="none"/>
        </w:rPr>
        <w:t>、修剪树枝和保护，最终以实施方案为准），按相关部门要求组织专家论证，完善树木保护专章，并配合完成树木绿化相关申报，最终获得相关部门审批。成果书暂定一式十份，电子光盘2份（未加密且可编辑格式），具体以甲方通知为准。</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.3乙方应配合甲方开展结算工作并提交结算的相关资料,若乙方在接到甲方通知后逾期超过30天未提交完整的结算资料和结算报告等，甲方有权单方自行结算，由此产生的一切责任由乙方承担。</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 xml:space="preserve">条 费用 </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.1本合同总价包干暂定为人民币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万元（大写：人民币    ，税率  %）（其中专家论证费</w:t>
      </w:r>
      <w:r>
        <w:rPr>
          <w:rFonts w:hint="eastAsia" w:ascii="宋体" w:hAnsi="宋体" w:cs="宋体"/>
          <w:color w:val="auto"/>
          <w:sz w:val="24"/>
          <w:highlight w:val="none"/>
          <w:lang w:val="en-US" w:eastAsia="zh-CN"/>
        </w:rPr>
        <w:t>含税</w:t>
      </w:r>
      <w:r>
        <w:rPr>
          <w:rFonts w:hint="eastAsia" w:ascii="宋体" w:hAnsi="宋体" w:cs="宋体"/>
          <w:color w:val="auto"/>
          <w:sz w:val="24"/>
          <w:highlight w:val="none"/>
        </w:rPr>
        <w:t>5940元和论证会场地租赁费用</w:t>
      </w:r>
      <w:r>
        <w:rPr>
          <w:rFonts w:hint="eastAsia" w:ascii="宋体" w:hAnsi="宋体" w:cs="宋体"/>
          <w:color w:val="auto"/>
          <w:sz w:val="24"/>
          <w:highlight w:val="none"/>
          <w:lang w:val="en-US" w:eastAsia="zh-CN"/>
        </w:rPr>
        <w:t>含税</w:t>
      </w:r>
      <w:r>
        <w:rPr>
          <w:rFonts w:hint="eastAsia" w:ascii="宋体" w:hAnsi="宋体" w:cs="宋体"/>
          <w:color w:val="auto"/>
          <w:sz w:val="24"/>
          <w:highlight w:val="none"/>
        </w:rPr>
        <w:t>2700元包干，如无发生则扣除该费用）。甲、乙双方同意，对属于《广州市财政投资评审管理办法》评审范围的财政性资金投资项目，财政投资评审结果作为该项目价款结算的依据。</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.2本合同采用总价包干，工作内容包括完成本合同项下的所有工作（包含但不限于成果编制和报审、修改完善及公示期间相关工作的配合）。</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条 支付方式</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.1.1支付办法：</w:t>
      </w:r>
      <w:r>
        <w:rPr>
          <w:rFonts w:hint="eastAsia" w:ascii="宋体" w:hAnsi="宋体"/>
          <w:color w:val="auto"/>
          <w:sz w:val="24"/>
          <w:highlight w:val="none"/>
        </w:rPr>
        <w:t>本合同生效后，甲方按照</w:t>
      </w:r>
      <w:r>
        <w:rPr>
          <w:rFonts w:hint="eastAsia" w:ascii="宋体" w:hAnsi="宋体" w:cs="宋体"/>
          <w:color w:val="auto"/>
          <w:sz w:val="24"/>
          <w:highlight w:val="none"/>
          <w:u w:val="single"/>
        </w:rPr>
        <w:t>《广州市净水有限公司资金集中支付管理办法》</w:t>
      </w:r>
      <w:r>
        <w:rPr>
          <w:rFonts w:hint="eastAsia" w:ascii="宋体" w:hAnsi="宋体"/>
          <w:color w:val="auto"/>
          <w:sz w:val="24"/>
          <w:highlight w:val="none"/>
        </w:rPr>
        <w:t>，向乙方支付项目费用。</w:t>
      </w:r>
    </w:p>
    <w:p>
      <w:pPr>
        <w:pStyle w:val="51"/>
        <w:ind w:firstLine="480" w:firstLineChars="200"/>
        <w:rPr>
          <w:rFonts w:hAnsi="宋体" w:eastAsia="宋体"/>
          <w:color w:val="auto"/>
          <w:highlight w:val="none"/>
        </w:rPr>
      </w:pPr>
      <w:r>
        <w:rPr>
          <w:rFonts w:hint="eastAsia" w:hAnsi="宋体"/>
          <w:color w:val="auto"/>
          <w:highlight w:val="none"/>
          <w:lang w:val="en-US" w:eastAsia="zh-CN"/>
        </w:rPr>
        <w:t>6</w:t>
      </w:r>
      <w:r>
        <w:rPr>
          <w:rFonts w:hint="eastAsia" w:hAnsi="宋体"/>
          <w:color w:val="auto"/>
          <w:highlight w:val="none"/>
        </w:rPr>
        <w:t xml:space="preserve">.1.2 </w:t>
      </w:r>
      <w:r>
        <w:rPr>
          <w:rFonts w:hint="eastAsia" w:hAnsi="宋体" w:eastAsia="宋体"/>
          <w:color w:val="auto"/>
          <w:highlight w:val="none"/>
        </w:rPr>
        <w:t>乙方收款账号资料</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乙方收款账户：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乙方在收款前需提交等额增值税专用发票给甲方。增值税专用发票信息：</w:t>
      </w:r>
    </w:p>
    <w:p>
      <w:pPr>
        <w:spacing w:line="384"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 xml:space="preserve">名称： </w:t>
      </w:r>
    </w:p>
    <w:p>
      <w:pPr>
        <w:spacing w:line="384" w:lineRule="auto"/>
        <w:ind w:firstLine="960" w:firstLineChars="400"/>
        <w:rPr>
          <w:rFonts w:ascii="宋体" w:hAnsi="宋体" w:cs="宋体"/>
          <w:color w:val="auto"/>
          <w:sz w:val="24"/>
          <w:highlight w:val="none"/>
          <w:u w:val="single"/>
        </w:rPr>
      </w:pPr>
      <w:r>
        <w:rPr>
          <w:rFonts w:hint="eastAsia" w:ascii="宋体" w:hAnsi="宋体" w:cs="宋体"/>
          <w:color w:val="auto"/>
          <w:sz w:val="24"/>
          <w:highlight w:val="none"/>
        </w:rPr>
        <w:t xml:space="preserve">税号： </w:t>
      </w:r>
    </w:p>
    <w:p>
      <w:pPr>
        <w:spacing w:line="384"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地址：。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.1.3付款方式：</w:t>
      </w:r>
      <w:r>
        <w:rPr>
          <w:rFonts w:hint="eastAsia" w:ascii="宋体" w:hAnsi="宋体" w:cs="宋体"/>
          <w:color w:val="auto"/>
          <w:sz w:val="24"/>
          <w:highlight w:val="none"/>
        </w:rPr>
        <w:sym w:font="Wingdings" w:char="00FE"/>
      </w:r>
      <w:r>
        <w:rPr>
          <w:rFonts w:hint="eastAsia" w:ascii="宋体" w:hAnsi="宋体" w:cs="宋体"/>
          <w:color w:val="auto"/>
          <w:sz w:val="24"/>
          <w:highlight w:val="none"/>
        </w:rPr>
        <w:t>网银支付；</w:t>
      </w:r>
      <w:r>
        <w:rPr>
          <w:rFonts w:hint="eastAsia" w:ascii="宋体" w:hAnsi="宋体" w:cs="宋体"/>
          <w:color w:val="auto"/>
          <w:sz w:val="24"/>
          <w:highlight w:val="none"/>
        </w:rPr>
        <w:sym w:font="Wingdings" w:char="00A8"/>
      </w:r>
      <w:r>
        <w:rPr>
          <w:rFonts w:hint="eastAsia" w:ascii="宋体" w:hAnsi="宋体" w:cs="宋体"/>
          <w:color w:val="auto"/>
          <w:sz w:val="24"/>
          <w:highlight w:val="none"/>
        </w:rPr>
        <w:t>支票；</w:t>
      </w:r>
      <w:r>
        <w:rPr>
          <w:rFonts w:hint="eastAsia" w:ascii="宋体" w:hAnsi="宋体" w:cs="宋体"/>
          <w:color w:val="auto"/>
          <w:sz w:val="24"/>
          <w:highlight w:val="none"/>
        </w:rPr>
        <w:sym w:font="Wingdings" w:char="00A8"/>
      </w:r>
      <w:r>
        <w:rPr>
          <w:rFonts w:hint="eastAsia" w:ascii="宋体" w:hAnsi="宋体" w:cs="宋体"/>
          <w:color w:val="auto"/>
          <w:sz w:val="24"/>
          <w:highlight w:val="none"/>
        </w:rPr>
        <w:t>其他：/</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本合同生效后，乙方向甲方提出定金支付申请，甲方向乙方支付合同包干价的20％作为定金，计 万元。</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 乙方应于当月20日前将工程支付申请书一式四份报送给甲方，费用按照以下方式予以支付：</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 xml:space="preserve">.3.1 </w:t>
      </w:r>
      <w:r>
        <w:rPr>
          <w:rFonts w:hint="eastAsia" w:ascii="宋体" w:hAnsi="宋体" w:cs="宋体"/>
          <w:color w:val="auto"/>
          <w:sz w:val="24"/>
          <w:highlight w:val="none"/>
        </w:rPr>
        <w:t>乙方提交树木保护专章，经甲方确认后，甲方向乙方支付至合同包干价的</w:t>
      </w:r>
      <w:r>
        <w:rPr>
          <w:rFonts w:ascii="宋体" w:hAnsi="宋体" w:cs="宋体"/>
          <w:color w:val="auto"/>
          <w:sz w:val="24"/>
          <w:highlight w:val="none"/>
        </w:rPr>
        <w:t>60%（含定金）。</w:t>
      </w:r>
    </w:p>
    <w:p>
      <w:pPr>
        <w:overflowPunct w:val="0"/>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 xml:space="preserve">.3.2 </w:t>
      </w:r>
      <w:r>
        <w:rPr>
          <w:rFonts w:hint="eastAsia" w:ascii="宋体" w:hAnsi="宋体" w:cs="宋体"/>
          <w:color w:val="auto"/>
          <w:sz w:val="24"/>
          <w:highlight w:val="none"/>
        </w:rPr>
        <w:t>乙方提交树木保护专章，</w:t>
      </w:r>
      <w:r>
        <w:rPr>
          <w:rFonts w:hint="eastAsia"/>
          <w:color w:val="auto"/>
          <w:sz w:val="24"/>
          <w:highlight w:val="none"/>
        </w:rPr>
        <w:t>作为控制性规划调整方案配套文件，</w:t>
      </w:r>
      <w:r>
        <w:rPr>
          <w:rFonts w:hint="eastAsia" w:ascii="宋体" w:hAnsi="宋体" w:cs="宋体"/>
          <w:color w:val="auto"/>
          <w:sz w:val="24"/>
          <w:highlight w:val="none"/>
        </w:rPr>
        <w:t>取得市规委会书面同意意见后，甲方向乙方支付至合同包干价的</w:t>
      </w:r>
      <w:r>
        <w:rPr>
          <w:rFonts w:ascii="宋体" w:hAnsi="宋体" w:cs="宋体"/>
          <w:color w:val="auto"/>
          <w:sz w:val="24"/>
          <w:highlight w:val="none"/>
        </w:rPr>
        <w:t>80%（含定金）。</w:t>
      </w:r>
    </w:p>
    <w:p>
      <w:pPr>
        <w:overflowPunct w:val="0"/>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.3.3</w:t>
      </w:r>
      <w:r>
        <w:rPr>
          <w:rFonts w:hint="eastAsia" w:ascii="宋体" w:hAnsi="宋体"/>
          <w:color w:val="auto"/>
          <w:sz w:val="24"/>
          <w:highlight w:val="none"/>
        </w:rPr>
        <w:t>待相关部门终审结算后，甲方支付至合同结算价的100% 。</w:t>
      </w:r>
    </w:p>
    <w:p>
      <w:pPr>
        <w:adjustRightInd w:val="0"/>
        <w:spacing w:line="360" w:lineRule="auto"/>
        <w:ind w:firstLine="480" w:firstLineChars="200"/>
        <w:jc w:val="left"/>
        <w:textAlignment w:val="baseline"/>
        <w:rPr>
          <w:color w:val="auto"/>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.4乙方</w:t>
      </w:r>
      <w:r>
        <w:rPr>
          <w:rFonts w:hint="eastAsia" w:ascii="宋体" w:hAnsi="宋体"/>
          <w:color w:val="auto"/>
          <w:sz w:val="24"/>
          <w:highlight w:val="none"/>
        </w:rPr>
        <w:t>在收取每一笔合同费用前，需向甲方提供等额有效的增值税专用发票。</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条 双方责任</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.1甲方责任</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.1.1</w:t>
      </w:r>
      <w:r>
        <w:rPr>
          <w:rFonts w:hint="eastAsia" w:ascii="宋体" w:hAnsi="宋体"/>
          <w:color w:val="auto"/>
          <w:sz w:val="24"/>
          <w:highlight w:val="none"/>
        </w:rPr>
        <w:t>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.1.2 合同生效后，</w:t>
      </w:r>
      <w:r>
        <w:rPr>
          <w:rFonts w:hint="eastAsia" w:ascii="宋体" w:hAnsi="宋体"/>
          <w:color w:val="auto"/>
          <w:sz w:val="24"/>
          <w:highlight w:val="none"/>
        </w:rPr>
        <w:t>由于甲方原因</w:t>
      </w:r>
      <w:r>
        <w:rPr>
          <w:rFonts w:hint="eastAsia" w:ascii="宋体" w:hAnsi="宋体"/>
          <w:color w:val="auto"/>
          <w:sz w:val="24"/>
          <w:highlight w:val="none"/>
        </w:rPr>
        <w:t xml:space="preserve">要求终止或解除合同，乙方未开始项目工作的，不退还甲方已付的定金。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.1.3在合同履行期间，已开始编制工作，非乙方原因甲方要求终止或解除合同的，甲方根据乙方已进行的实际工作量按实进行结算，最高支付至合同包干价的六成。</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.1.4甲方要求乙方比合同规定时间提前交付编制文件时，需提前通知乙方，且征得乙方同意，不得严重背离合理编制周期。</w:t>
      </w:r>
    </w:p>
    <w:p>
      <w:pPr>
        <w:pStyle w:val="6"/>
        <w:keepNext w:val="0"/>
        <w:keepLines w:val="0"/>
        <w:spacing w:before="0" w:after="0" w:line="360" w:lineRule="auto"/>
        <w:ind w:firstLine="482" w:firstLineChars="200"/>
        <w:rPr>
          <w:rFonts w:ascii="宋体" w:hAnsi="宋体" w:cs="宋体"/>
          <w:bCs w:val="0"/>
          <w:color w:val="auto"/>
          <w:sz w:val="24"/>
          <w:szCs w:val="24"/>
          <w:highlight w:val="none"/>
        </w:rPr>
      </w:pPr>
      <w:r>
        <w:rPr>
          <w:rFonts w:hint="eastAsia" w:ascii="宋体" w:hAnsi="宋体" w:cs="宋体"/>
          <w:bCs w:val="0"/>
          <w:color w:val="auto"/>
          <w:sz w:val="24"/>
          <w:szCs w:val="24"/>
          <w:highlight w:val="none"/>
          <w:lang w:val="en-US" w:eastAsia="zh-CN"/>
        </w:rPr>
        <w:t>7</w:t>
      </w:r>
      <w:r>
        <w:rPr>
          <w:rFonts w:hint="eastAsia" w:ascii="宋体" w:hAnsi="宋体" w:cs="宋体"/>
          <w:bCs w:val="0"/>
          <w:color w:val="auto"/>
          <w:sz w:val="24"/>
          <w:szCs w:val="24"/>
          <w:highlight w:val="none"/>
        </w:rPr>
        <w:t>.2乙方责任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.2.1乙方按合同约定时间向甲方提交有关工作成果，乙方保证具备相应的资质并对提交的文件、报告及所出的结论负责。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.2.2因文件质量问题引起返工，除由乙方继续完善外，并视造成损失大小，减收直至免收编制费。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.2.3乙方提交的文件不符合合同约定，经修改后仍未达到要求的，甲方有权解除合同，要求乙方赔偿损失并返还已收到的全部合同价款，如逾期未返还，应按同期银行贷款利率支付相应利息。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.2.4由于乙方自身原因，延误了按本合同第五条规定的成果交付时间，每延误一天应减收该项目合同价的2‰，逾期超过30天，甲方有权解除合同。由此给甲方造成损失的，乙方应承担赔偿责任。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.2.6若标准或计划变更，经甲方同意，乙方可顺延期限。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.2.7合同生效后，非甲方原因乙方要求解除合同的，应赔偿甲方的损失，并双倍退还定金。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ascii="宋体" w:hAnsi="宋体" w:cs="宋体"/>
          <w:color w:val="auto"/>
          <w:sz w:val="24"/>
          <w:highlight w:val="none"/>
        </w:rPr>
        <w:t>.2.8如甲方选择适用定金罚则，定金不足以弥补乙方违约造成的损失的，甲方可以</w:t>
      </w:r>
      <w:r>
        <w:rPr>
          <w:rFonts w:hint="eastAsia" w:ascii="宋体" w:hAnsi="宋体" w:cs="宋体"/>
          <w:color w:val="auto"/>
          <w:sz w:val="24"/>
          <w:highlight w:val="none"/>
        </w:rPr>
        <w:t>请求赔偿超过定金数额的损失。</w:t>
      </w:r>
    </w:p>
    <w:p>
      <w:pPr>
        <w:pStyle w:val="2"/>
        <w:ind w:firstLine="480" w:firstLineChars="200"/>
        <w:rPr>
          <w:color w:val="auto"/>
          <w:highlight w:val="none"/>
        </w:rPr>
      </w:pPr>
      <w:r>
        <w:rPr>
          <w:rFonts w:hint="eastAsia" w:cs="宋体"/>
          <w:color w:val="auto"/>
          <w:sz w:val="24"/>
          <w:highlight w:val="none"/>
          <w:lang w:val="en-US" w:eastAsia="zh-CN"/>
        </w:rPr>
        <w:t>7</w:t>
      </w:r>
      <w:r>
        <w:rPr>
          <w:rFonts w:hint="eastAsia" w:ascii="宋体" w:hAnsi="宋体" w:cs="宋体"/>
          <w:color w:val="auto"/>
          <w:sz w:val="24"/>
          <w:highlight w:val="none"/>
        </w:rPr>
        <w:t>.2.9</w:t>
      </w:r>
      <w:r>
        <w:rPr>
          <w:rFonts w:hint="eastAsia" w:ascii="宋体" w:hAnsi="宋体" w:eastAsia="宋体" w:cs="宋体"/>
          <w:color w:val="auto"/>
          <w:sz w:val="24"/>
          <w:highlight w:val="none"/>
        </w:rPr>
        <w:t>在合同有效期内，若乙方发生不诚信行为情形的，乙方自愿接受甲方按《广州市净水有限公司经营建设项目参建企业不诚信行为管理办法》处理，具体处理标准详见附件4。</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条  知识产权</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条  争议解决</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（一）提交广州仲裁委员会仲裁；</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（二）依法向甲方所在地的人民法院起诉。</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第十条  合同生效及其他</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.1合同生效的条件：合同签订盖章。</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.4由于不可抗力因素致使合同无法履行时，双方应及时协商解决。</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.5本合同正本一式</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份，乙方执</w:t>
      </w:r>
      <w:r>
        <w:rPr>
          <w:rFonts w:hint="eastAsia" w:ascii="宋体" w:hAnsi="宋体" w:cs="宋体"/>
          <w:color w:val="auto"/>
          <w:sz w:val="24"/>
          <w:highlight w:val="none"/>
          <w:u w:val="single"/>
        </w:rPr>
        <w:t>壹</w:t>
      </w:r>
      <w:r>
        <w:rPr>
          <w:rFonts w:hint="eastAsia" w:ascii="宋体" w:hAnsi="宋体" w:cs="宋体"/>
          <w:color w:val="auto"/>
          <w:sz w:val="24"/>
          <w:highlight w:val="none"/>
        </w:rPr>
        <w:t>份；副本一式</w:t>
      </w:r>
      <w:r>
        <w:rPr>
          <w:rFonts w:hint="eastAsia" w:ascii="宋体" w:hAnsi="宋体" w:cs="宋体"/>
          <w:color w:val="auto"/>
          <w:sz w:val="24"/>
          <w:highlight w:val="none"/>
          <w:u w:val="single"/>
        </w:rPr>
        <w:t>捌</w:t>
      </w:r>
      <w:r>
        <w:rPr>
          <w:rFonts w:hint="eastAsia" w:ascii="宋体" w:hAnsi="宋体" w:cs="宋体"/>
          <w:color w:val="auto"/>
          <w:sz w:val="24"/>
          <w:highlight w:val="none"/>
        </w:rPr>
        <w:t>份，甲方执</w:t>
      </w:r>
      <w:r>
        <w:rPr>
          <w:rFonts w:hint="eastAsia" w:ascii="宋体" w:hAnsi="宋体" w:cs="宋体"/>
          <w:color w:val="auto"/>
          <w:sz w:val="24"/>
          <w:highlight w:val="none"/>
          <w:u w:val="single"/>
        </w:rPr>
        <w:t>伍</w:t>
      </w:r>
      <w:r>
        <w:rPr>
          <w:rFonts w:hint="eastAsia" w:ascii="宋体" w:hAnsi="宋体" w:cs="宋体"/>
          <w:color w:val="auto"/>
          <w:sz w:val="24"/>
          <w:highlight w:val="none"/>
        </w:rPr>
        <w:t>份，乙方执</w:t>
      </w:r>
      <w:r>
        <w:rPr>
          <w:rFonts w:hint="eastAsia" w:ascii="宋体" w:hAnsi="宋体" w:cs="宋体"/>
          <w:color w:val="auto"/>
          <w:sz w:val="24"/>
          <w:highlight w:val="none"/>
          <w:u w:val="single"/>
        </w:rPr>
        <w:t>叁</w:t>
      </w:r>
      <w:r>
        <w:rPr>
          <w:rFonts w:hint="eastAsia" w:ascii="宋体" w:hAnsi="宋体" w:cs="宋体"/>
          <w:color w:val="auto"/>
          <w:sz w:val="24"/>
          <w:highlight w:val="none"/>
        </w:rPr>
        <w:t>份，双方所执合同具同等法律效力。</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.6双方履行完合同规定的义务后，本合同即行终止。</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.7双方认可的来往传真、会议纪要等，均为合同的组成部分，与本合同具有同等法律效力。</w:t>
      </w:r>
    </w:p>
    <w:p>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.8未尽事宜，双方协商一致，</w:t>
      </w:r>
      <w:r>
        <w:rPr>
          <w:rFonts w:hint="eastAsia" w:ascii="宋体" w:hAnsi="宋体" w:cs="宋体"/>
          <w:color w:val="auto"/>
          <w:sz w:val="24"/>
          <w:highlight w:val="none"/>
        </w:rPr>
        <w:t>可签订补充协议，补充协议与本合同具有同等效力。</w:t>
      </w:r>
    </w:p>
    <w:p>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.9本合同附件是合同不可分割的一部分，具有相同的法律效力，具体附件如下：</w:t>
      </w:r>
    </w:p>
    <w:p>
      <w:pPr>
        <w:pStyle w:val="16"/>
        <w:spacing w:line="360" w:lineRule="auto"/>
        <w:ind w:left="584" w:leftChars="278" w:firstLine="120" w:firstLineChars="50"/>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pStyle w:val="16"/>
        <w:spacing w:line="360" w:lineRule="auto"/>
        <w:ind w:left="584" w:leftChars="278" w:firstLine="120" w:firstLineChars="50"/>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2：</w:t>
      </w:r>
      <w:r>
        <w:rPr>
          <w:rFonts w:hint="eastAsia" w:ascii="宋体" w:hAnsi="宋体" w:cs="宋体"/>
          <w:color w:val="auto"/>
          <w:sz w:val="24"/>
          <w:highlight w:val="none"/>
        </w:rPr>
        <w:t>廉洁协议</w:t>
      </w:r>
    </w:p>
    <w:p>
      <w:pPr>
        <w:pStyle w:val="16"/>
        <w:spacing w:line="360" w:lineRule="auto"/>
        <w:ind w:left="584" w:leftChars="278" w:firstLine="120" w:firstLineChars="50"/>
        <w:rPr>
          <w:rFonts w:hint="eastAsia" w:ascii="宋体" w:hAnsi="宋体" w:cs="宋体"/>
          <w:color w:val="auto"/>
          <w:sz w:val="24"/>
          <w:highlight w:val="none"/>
        </w:rPr>
      </w:pPr>
      <w:r>
        <w:rPr>
          <w:rFonts w:hint="eastAsia" w:ascii="宋体" w:hAnsi="宋体" w:cs="宋体"/>
          <w:color w:val="auto"/>
          <w:sz w:val="24"/>
          <w:highlight w:val="none"/>
        </w:rPr>
        <w:t>附件3：安全协议书</w:t>
      </w:r>
    </w:p>
    <w:p>
      <w:pPr>
        <w:pStyle w:val="16"/>
        <w:spacing w:line="360" w:lineRule="auto"/>
        <w:ind w:left="584" w:leftChars="278" w:firstLine="120" w:firstLineChars="50"/>
        <w:rPr>
          <w:rFonts w:hint="eastAsia" w:ascii="宋体" w:hAnsi="宋体" w:cs="宋体"/>
          <w:color w:val="auto"/>
          <w:sz w:val="24"/>
          <w:highlight w:val="none"/>
        </w:rPr>
      </w:pPr>
      <w:r>
        <w:rPr>
          <w:rFonts w:hint="eastAsia" w:ascii="宋体" w:hAnsi="宋体" w:cs="宋体"/>
          <w:color w:val="auto"/>
          <w:sz w:val="24"/>
          <w:highlight w:val="none"/>
        </w:rPr>
        <w:t>附件4：不诚信行为的情形及相应被暂停参与投标活动的处理标准</w:t>
      </w:r>
    </w:p>
    <w:p>
      <w:pPr>
        <w:pStyle w:val="16"/>
        <w:spacing w:line="360" w:lineRule="auto"/>
        <w:ind w:left="584" w:leftChars="278" w:firstLine="120" w:firstLineChars="50"/>
        <w:rPr>
          <w:rFonts w:ascii="宋体" w:hAnsi="宋体" w:cs="宋体"/>
          <w:color w:val="auto"/>
          <w:sz w:val="24"/>
          <w:highlight w:val="none"/>
        </w:rPr>
      </w:pPr>
    </w:p>
    <w:p>
      <w:pPr>
        <w:pStyle w:val="16"/>
        <w:spacing w:line="360" w:lineRule="auto"/>
        <w:ind w:left="465" w:leftChars="50" w:hanging="360" w:hangingChars="150"/>
        <w:rPr>
          <w:rFonts w:ascii="宋体" w:hAnsi="宋体" w:cs="宋体"/>
          <w:color w:val="auto"/>
          <w:sz w:val="24"/>
          <w:highlight w:val="none"/>
        </w:rPr>
      </w:pPr>
      <w:r>
        <w:rPr>
          <w:rFonts w:hint="eastAsia" w:ascii="宋体" w:hAnsi="宋体" w:cs="宋体"/>
          <w:color w:val="auto"/>
          <w:sz w:val="24"/>
          <w:highlight w:val="none"/>
        </w:rPr>
        <w:t>（以下无正文）</w:t>
      </w:r>
    </w:p>
    <w:tbl>
      <w:tblPr>
        <w:tblStyle w:val="24"/>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noWrap w:val="0"/>
            <w:vAlign w:val="center"/>
          </w:tcPr>
          <w:p>
            <w:pPr>
              <w:rPr>
                <w:rFonts w:ascii="宋体" w:hAnsi="宋体" w:cs="宋体"/>
                <w:color w:val="auto"/>
                <w:sz w:val="24"/>
                <w:highlight w:val="none"/>
              </w:rPr>
            </w:pPr>
            <w:r>
              <w:rPr>
                <w:rFonts w:hint="eastAsia" w:ascii="宋体" w:hAnsi="宋体" w:cs="宋体"/>
                <w:color w:val="auto"/>
                <w:sz w:val="24"/>
                <w:highlight w:val="none"/>
              </w:rPr>
              <w:t>甲方：广州市净水有限公司</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乙方：</w:t>
            </w:r>
          </w:p>
        </w:tc>
      </w:tr>
      <w:tr>
        <w:trPr>
          <w:jc w:val="center"/>
        </w:trPr>
        <w:tc>
          <w:tcPr>
            <w:tcW w:w="385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(盖章)</w:t>
            </w:r>
          </w:p>
          <w:p>
            <w:pPr>
              <w:spacing w:line="360" w:lineRule="auto"/>
              <w:rPr>
                <w:rFonts w:ascii="宋体" w:hAnsi="宋体" w:cs="宋体"/>
                <w:color w:val="auto"/>
                <w:sz w:val="24"/>
                <w:highlight w:val="none"/>
              </w:rPr>
            </w:pPr>
          </w:p>
        </w:tc>
        <w:tc>
          <w:tcPr>
            <w:tcW w:w="562" w:type="dxa"/>
            <w:noWrap w:val="0"/>
            <w:vAlign w:val="top"/>
          </w:tcPr>
          <w:p>
            <w:pPr>
              <w:spacing w:line="360" w:lineRule="auto"/>
              <w:rPr>
                <w:rFonts w:ascii="宋体" w:hAnsi="宋体" w:cs="宋体"/>
                <w:color w:val="auto"/>
                <w:sz w:val="24"/>
                <w:highlight w:val="none"/>
              </w:rPr>
            </w:pPr>
          </w:p>
        </w:tc>
        <w:tc>
          <w:tcPr>
            <w:tcW w:w="400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(盖章)</w:t>
            </w:r>
          </w:p>
        </w:tc>
      </w:tr>
      <w:tr>
        <w:tblPrEx>
          <w:tblCellMar>
            <w:top w:w="0" w:type="dxa"/>
            <w:left w:w="28" w:type="dxa"/>
            <w:bottom w:w="0" w:type="dxa"/>
            <w:right w:w="28" w:type="dxa"/>
          </w:tblCellMar>
        </w:tblPrEx>
        <w:trPr>
          <w:jc w:val="center"/>
        </w:trPr>
        <w:tc>
          <w:tcPr>
            <w:tcW w:w="385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法定代表人/授权代理人：</w:t>
            </w:r>
          </w:p>
          <w:p>
            <w:pPr>
              <w:spacing w:line="360" w:lineRule="auto"/>
              <w:rPr>
                <w:rFonts w:ascii="宋体" w:hAnsi="宋体" w:cs="宋体"/>
                <w:color w:val="auto"/>
                <w:sz w:val="24"/>
                <w:highlight w:val="none"/>
              </w:rPr>
            </w:pPr>
          </w:p>
        </w:tc>
        <w:tc>
          <w:tcPr>
            <w:tcW w:w="562" w:type="dxa"/>
            <w:noWrap w:val="0"/>
            <w:vAlign w:val="top"/>
          </w:tcPr>
          <w:p>
            <w:pPr>
              <w:spacing w:line="360" w:lineRule="auto"/>
              <w:rPr>
                <w:rFonts w:ascii="宋体" w:hAnsi="宋体" w:cs="宋体"/>
                <w:color w:val="auto"/>
                <w:sz w:val="24"/>
                <w:highlight w:val="none"/>
              </w:rPr>
            </w:pPr>
          </w:p>
        </w:tc>
        <w:tc>
          <w:tcPr>
            <w:tcW w:w="400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法定代表人/授权代理人：</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ind w:right="-19" w:rightChars="-9"/>
              <w:rPr>
                <w:rFonts w:ascii="宋体" w:hAnsi="宋体" w:cs="宋体"/>
                <w:color w:val="auto"/>
                <w:sz w:val="24"/>
                <w:highlight w:val="none"/>
              </w:rPr>
            </w:pPr>
            <w:r>
              <w:rPr>
                <w:rFonts w:hint="eastAsia" w:ascii="宋体" w:hAnsi="宋体" w:cs="宋体"/>
                <w:color w:val="auto"/>
                <w:sz w:val="24"/>
                <w:highlight w:val="none"/>
              </w:rPr>
              <w:t>联系人：</w:t>
            </w:r>
          </w:p>
        </w:tc>
      </w:tr>
      <w:tr>
        <w:tblPrEx>
          <w:tblCellMar>
            <w:top w:w="0" w:type="dxa"/>
            <w:left w:w="28" w:type="dxa"/>
            <w:bottom w:w="0" w:type="dxa"/>
            <w:right w:w="28" w:type="dxa"/>
          </w:tblCellMar>
        </w:tblPrEx>
        <w:trPr>
          <w:jc w:val="center"/>
        </w:trPr>
        <w:tc>
          <w:tcPr>
            <w:tcW w:w="385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tc>
        <w:tc>
          <w:tcPr>
            <w:tcW w:w="562" w:type="dxa"/>
            <w:noWrap w:val="0"/>
            <w:vAlign w:val="top"/>
          </w:tcPr>
          <w:p>
            <w:pPr>
              <w:spacing w:line="360" w:lineRule="auto"/>
              <w:rPr>
                <w:rFonts w:ascii="宋体" w:hAnsi="宋体" w:cs="宋体"/>
                <w:color w:val="auto"/>
                <w:sz w:val="24"/>
                <w:highlight w:val="none"/>
              </w:rPr>
            </w:pPr>
          </w:p>
        </w:tc>
        <w:tc>
          <w:tcPr>
            <w:tcW w:w="400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tc>
      </w:tr>
      <w:tr>
        <w:tblPrEx>
          <w:tblCellMar>
            <w:top w:w="0" w:type="dxa"/>
            <w:left w:w="28" w:type="dxa"/>
            <w:bottom w:w="0" w:type="dxa"/>
            <w:right w:w="28" w:type="dxa"/>
          </w:tblCellMar>
        </w:tblPrEx>
        <w:trPr>
          <w:jc w:val="center"/>
        </w:trPr>
        <w:tc>
          <w:tcPr>
            <w:tcW w:w="3857" w:type="dxa"/>
            <w:noWrap w:val="0"/>
            <w:vAlign w:val="center"/>
          </w:tcPr>
          <w:p>
            <w:pPr>
              <w:tabs>
                <w:tab w:val="right" w:pos="4098"/>
              </w:tabs>
              <w:spacing w:line="360" w:lineRule="auto"/>
              <w:rPr>
                <w:rFonts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rPr>
              <w:tab/>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r>
      <w:tr>
        <w:tblPrEx>
          <w:tblCellMar>
            <w:top w:w="0" w:type="dxa"/>
            <w:left w:w="28" w:type="dxa"/>
            <w:bottom w:w="0" w:type="dxa"/>
            <w:right w:w="28" w:type="dxa"/>
          </w:tblCellMar>
        </w:tblPrEx>
        <w:trPr>
          <w:trHeight w:val="453" w:hRule="atLeast"/>
          <w:jc w:val="center"/>
        </w:trPr>
        <w:tc>
          <w:tcPr>
            <w:tcW w:w="3857"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highlight w:val="none"/>
              </w:rPr>
            </w:pP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银行帐户：</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highlight w:val="none"/>
              </w:rPr>
            </w:pP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银行帐号：</w:t>
            </w:r>
          </w:p>
        </w:tc>
      </w:tr>
      <w:tr>
        <w:tblPrEx>
          <w:tblCellMar>
            <w:top w:w="0" w:type="dxa"/>
            <w:left w:w="28" w:type="dxa"/>
            <w:bottom w:w="0" w:type="dxa"/>
            <w:right w:w="28" w:type="dxa"/>
          </w:tblCellMar>
        </w:tblPrEx>
        <w:trPr>
          <w:trHeight w:val="416" w:hRule="atLeast"/>
          <w:jc w:val="center"/>
        </w:trPr>
        <w:tc>
          <w:tcPr>
            <w:tcW w:w="3857" w:type="dxa"/>
            <w:noWrap w:val="0"/>
            <w:vAlign w:val="center"/>
          </w:tcPr>
          <w:p>
            <w:pPr>
              <w:rPr>
                <w:rFonts w:ascii="宋体" w:hAnsi="宋体" w:cs="宋体"/>
                <w:color w:val="auto"/>
                <w:sz w:val="24"/>
                <w:highlight w:val="none"/>
              </w:rPr>
            </w:pPr>
            <w:r>
              <w:rPr>
                <w:rFonts w:hint="eastAsia" w:ascii="宋体" w:hAnsi="宋体" w:cs="宋体"/>
                <w:color w:val="auto"/>
                <w:sz w:val="24"/>
                <w:highlight w:val="none"/>
              </w:rPr>
              <w:t>签约日期：  年  月  日</w:t>
            </w:r>
          </w:p>
        </w:tc>
        <w:tc>
          <w:tcPr>
            <w:tcW w:w="562" w:type="dxa"/>
            <w:noWrap w:val="0"/>
            <w:vAlign w:val="center"/>
          </w:tcPr>
          <w:p>
            <w:pPr>
              <w:rPr>
                <w:rFonts w:ascii="宋体" w:hAnsi="宋体" w:cs="宋体"/>
                <w:color w:val="auto"/>
                <w:sz w:val="24"/>
                <w:highlight w:val="none"/>
              </w:rPr>
            </w:pPr>
          </w:p>
        </w:tc>
        <w:tc>
          <w:tcPr>
            <w:tcW w:w="4007" w:type="dxa"/>
            <w:noWrap w:val="0"/>
            <w:vAlign w:val="center"/>
          </w:tcPr>
          <w:p>
            <w:pPr>
              <w:rPr>
                <w:rFonts w:ascii="宋体" w:hAnsi="宋体" w:cs="宋体"/>
                <w:color w:val="auto"/>
                <w:sz w:val="24"/>
                <w:highlight w:val="none"/>
              </w:rPr>
            </w:pPr>
            <w:r>
              <w:rPr>
                <w:rFonts w:hint="eastAsia" w:ascii="宋体" w:hAnsi="宋体" w:cs="宋体"/>
                <w:color w:val="auto"/>
                <w:sz w:val="24"/>
                <w:highlight w:val="none"/>
              </w:rPr>
              <w:t>签约日期：年  月  日</w:t>
            </w:r>
          </w:p>
        </w:tc>
      </w:tr>
    </w:tbl>
    <w:p>
      <w:pPr>
        <w:pStyle w:val="51"/>
        <w:spacing w:line="500" w:lineRule="exact"/>
        <w:rPr>
          <w:color w:val="auto"/>
          <w:highlight w:val="none"/>
        </w:rPr>
      </w:pPr>
    </w:p>
    <w:p>
      <w:pPr>
        <w:spacing w:line="500" w:lineRule="exact"/>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spacing w:before="156" w:beforeLines="50" w:line="580" w:lineRule="exact"/>
        <w:outlineLvl w:val="1"/>
        <w:rPr>
          <w:rFonts w:hint="default" w:ascii="宋体" w:hAnsi="宋体" w:eastAsiaTheme="minorEastAsia"/>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1：成交通知书</w:t>
      </w:r>
    </w:p>
    <w:p>
      <w:pPr>
        <w:spacing w:before="156" w:beforeLines="50" w:line="580" w:lineRule="exact"/>
        <w:outlineLvl w:val="1"/>
        <w:rPr>
          <w:rFonts w:hint="eastAsia" w:ascii="宋体" w:hAnsi="宋体" w:eastAsia="宋体" w:cs="宋体"/>
          <w:b/>
          <w:color w:val="auto"/>
          <w:sz w:val="24"/>
          <w:highlight w:val="none"/>
        </w:rPr>
      </w:pPr>
      <w:r>
        <w:rPr>
          <w:rFonts w:hint="eastAsia" w:ascii="宋体" w:hAnsi="宋体"/>
          <w:b/>
          <w:color w:val="auto"/>
          <w:sz w:val="24"/>
          <w:highlight w:val="none"/>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auto"/>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8"/>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 xml:space="preserve">：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bookmarkStart w:id="99" w:name="_Toc21391"/>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7"/>
          <w:rFonts w:hint="eastAsia" w:ascii="宋体" w:hAnsi="宋体" w:eastAsia="宋体" w:cs="宋体"/>
          <w:b w:val="0"/>
          <w:color w:val="auto"/>
          <w:sz w:val="24"/>
          <w:szCs w:val="24"/>
          <w:highlight w:val="none"/>
          <w:u w:val="single"/>
        </w:rPr>
      </w:pPr>
    </w:p>
    <w:bookmarkEnd w:id="99"/>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本协议作为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7.本协议未尽事宜，依据有关法规。规章处理，法规、规章没有明确规定的，经双方协商处理解决。</w:t>
      </w:r>
    </w:p>
    <w:p>
      <w:pPr>
        <w:pStyle w:val="41"/>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tabs>
          <w:tab w:val="left" w:pos="2352"/>
        </w:tabs>
        <w:adjustRightInd w:val="0"/>
        <w:snapToGrid w:val="0"/>
        <w:spacing w:line="500" w:lineRule="exact"/>
        <w:rPr>
          <w:rFonts w:ascii="宋体" w:hAnsi="宋体" w:cs="宋体"/>
          <w:b/>
          <w:bCs/>
          <w:color w:val="auto"/>
          <w:szCs w:val="21"/>
          <w:highlight w:val="none"/>
        </w:rPr>
      </w:pPr>
      <w:r>
        <w:rPr>
          <w:rFonts w:hint="eastAsia" w:ascii="宋体" w:hAnsi="宋体" w:eastAsia="宋体" w:cs="宋体"/>
          <w:b/>
          <w:color w:val="auto"/>
          <w:sz w:val="24"/>
          <w:szCs w:val="24"/>
          <w:highlight w:val="none"/>
        </w:rPr>
        <w:br w:type="page"/>
      </w: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 xml:space="preserve"> ：不诚信行为的情形及相应被暂停参与投标活动的处理标准</w:t>
      </w:r>
    </w:p>
    <w:p>
      <w:pPr>
        <w:pStyle w:val="51"/>
        <w:rPr>
          <w:rFonts w:hAnsi="宋体" w:eastAsia="宋体"/>
          <w:color w:val="auto"/>
          <w:szCs w:val="21"/>
          <w:highlight w:val="none"/>
        </w:rPr>
      </w:pPr>
    </w:p>
    <w:p>
      <w:pPr>
        <w:adjustRightInd w:val="0"/>
        <w:snapToGrid w:val="0"/>
        <w:rPr>
          <w:rFonts w:ascii="宋体" w:hAnsi="宋体" w:cs="宋体"/>
          <w:color w:val="auto"/>
          <w:sz w:val="24"/>
          <w:highlight w:val="none"/>
        </w:rPr>
      </w:pPr>
    </w:p>
    <w:p>
      <w:pPr>
        <w:adjustRightInd w:val="0"/>
        <w:snapToGrid w:val="0"/>
        <w:rPr>
          <w:rFonts w:ascii="宋体" w:hAnsi="宋体" w:cs="宋体"/>
          <w:color w:val="auto"/>
          <w:sz w:val="24"/>
          <w:highlight w:val="none"/>
        </w:rPr>
      </w:pP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处理</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发生重伤或死亡1～2人的，暂停投标1年至2年（含）。</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发生重伤或死亡3～9人的，暂停投标2年以上至4年。</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其他不诚信</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bl>
    <w:p>
      <w:pPr>
        <w:contextualSpacing/>
        <w:jc w:val="left"/>
        <w:rPr>
          <w:rFonts w:ascii="宋体" w:hAnsi="宋体" w:cs="仿宋_GB2312"/>
          <w:color w:val="auto"/>
          <w:sz w:val="24"/>
          <w:highlight w:val="none"/>
        </w:rPr>
      </w:pPr>
      <w:r>
        <w:rPr>
          <w:rFonts w:hint="eastAsia" w:ascii="宋体" w:hAnsi="宋体" w:cs="仿宋_GB2312"/>
          <w:color w:val="auto"/>
          <w:sz w:val="24"/>
          <w:highlight w:val="none"/>
        </w:rPr>
        <w:t>备注：本处理标准出自《广州市净水有限公司经营建设项目参建企业不诚信行为管理办法》。</w:t>
      </w: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pStyle w:val="2"/>
        <w:ind w:left="0" w:leftChars="0" w:firstLine="0" w:firstLineChars="0"/>
        <w:rPr>
          <w:rFonts w:hint="eastAsia"/>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工程量清单报价（详见响应文件）</w:t>
      </w:r>
    </w:p>
    <w:p>
      <w:pPr>
        <w:jc w:val="left"/>
        <w:rPr>
          <w:rFonts w:hint="eastAsia"/>
          <w:color w:val="auto"/>
          <w:highlight w:val="none"/>
          <w:lang w:val="en-US" w:eastAsia="zh-CN"/>
        </w:rPr>
      </w:pPr>
    </w:p>
    <w:p>
      <w:pPr>
        <w:pStyle w:val="2"/>
        <w:ind w:firstLine="0"/>
        <w:rPr>
          <w:rFonts w:ascii="仿宋_GB2312" w:eastAsia="仿宋_GB2312"/>
          <w:color w:val="auto"/>
          <w:sz w:val="28"/>
          <w:szCs w:val="28"/>
          <w:highlight w:val="none"/>
        </w:rPr>
      </w:pPr>
    </w:p>
    <w:p>
      <w:pPr>
        <w:pStyle w:val="4"/>
        <w:rPr>
          <w:color w:val="auto"/>
          <w:highlight w:val="none"/>
        </w:rPr>
      </w:pPr>
      <w:bookmarkStart w:id="100" w:name="_Toc23515"/>
      <w:bookmarkStart w:id="101" w:name="_Toc30824"/>
      <w:bookmarkStart w:id="102" w:name="_Toc12169"/>
      <w:bookmarkStart w:id="103" w:name="_Toc6230"/>
      <w:bookmarkStart w:id="104" w:name="_Toc21847"/>
      <w:bookmarkStart w:id="105" w:name="_Toc3723"/>
      <w:bookmarkStart w:id="106" w:name="_Toc8147"/>
      <w:bookmarkStart w:id="107" w:name="_Toc16552"/>
      <w:bookmarkStart w:id="108" w:name="_Toc28358"/>
      <w:bookmarkStart w:id="109" w:name="_Toc1563"/>
      <w:bookmarkStart w:id="110" w:name="_Toc5129"/>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00"/>
      <w:bookmarkEnd w:id="101"/>
      <w:bookmarkEnd w:id="102"/>
      <w:bookmarkEnd w:id="103"/>
      <w:bookmarkEnd w:id="104"/>
      <w:bookmarkEnd w:id="105"/>
      <w:bookmarkEnd w:id="106"/>
      <w:bookmarkEnd w:id="107"/>
      <w:bookmarkEnd w:id="108"/>
      <w:bookmarkEnd w:id="109"/>
      <w:bookmarkEnd w:id="110"/>
    </w:p>
    <w:p>
      <w:pPr>
        <w:pStyle w:val="41"/>
        <w:rPr>
          <w:color w:val="auto"/>
          <w:highlight w:val="none"/>
        </w:rPr>
      </w:pPr>
    </w:p>
    <w:p>
      <w:pPr>
        <w:pStyle w:val="4"/>
        <w:rPr>
          <w:color w:val="auto"/>
          <w:highlight w:val="none"/>
        </w:rPr>
      </w:pPr>
      <w:bookmarkStart w:id="111" w:name="_Toc12769"/>
      <w:bookmarkStart w:id="112" w:name="_Toc22764"/>
      <w:bookmarkStart w:id="113" w:name="_Toc10840"/>
      <w:bookmarkStart w:id="114" w:name="_Toc21675"/>
      <w:bookmarkStart w:id="115" w:name="_Toc31564"/>
      <w:bookmarkStart w:id="116" w:name="_Toc87616388"/>
      <w:bookmarkStart w:id="117" w:name="_Toc24815"/>
      <w:bookmarkStart w:id="118" w:name="_Toc88209951"/>
      <w:bookmarkStart w:id="119" w:name="_Toc17119"/>
      <w:bookmarkStart w:id="120" w:name="_Toc12610"/>
      <w:bookmarkStart w:id="121" w:name="_Toc30157"/>
      <w:bookmarkStart w:id="122" w:name="_Toc5342"/>
      <w:bookmarkStart w:id="123" w:name="_Toc24490"/>
      <w:r>
        <w:rPr>
          <w:rFonts w:hint="eastAsia"/>
          <w:color w:val="auto"/>
          <w:highlight w:val="none"/>
        </w:rPr>
        <w:t>响应文件</w:t>
      </w:r>
      <w:r>
        <w:rPr>
          <w:rFonts w:hint="eastAsia"/>
          <w:color w:val="auto"/>
          <w:highlight w:val="none"/>
          <w:lang w:val="en-US" w:eastAsia="zh-CN"/>
        </w:rPr>
        <w:t>格式要求</w:t>
      </w:r>
      <w:bookmarkEnd w:id="111"/>
      <w:bookmarkEnd w:id="112"/>
      <w:bookmarkEnd w:id="113"/>
      <w:bookmarkEnd w:id="114"/>
      <w:bookmarkEnd w:id="115"/>
      <w:bookmarkEnd w:id="116"/>
      <w:bookmarkEnd w:id="117"/>
      <w:bookmarkEnd w:id="118"/>
      <w:bookmarkEnd w:id="119"/>
      <w:bookmarkEnd w:id="120"/>
      <w:bookmarkEnd w:id="121"/>
      <w:bookmarkEnd w:id="122"/>
      <w:bookmarkEnd w:id="12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4" w:name="_Toc88209952"/>
      <w:bookmarkStart w:id="125" w:name="_Toc87616389"/>
      <w:r>
        <w:rPr>
          <w:rFonts w:hint="eastAsia" w:ascii="仿宋_GB2312" w:eastAsia="仿宋_GB2312"/>
          <w:color w:val="auto"/>
          <w:sz w:val="28"/>
          <w:szCs w:val="28"/>
          <w:highlight w:val="none"/>
        </w:rPr>
        <w:t>1.响应函</w:t>
      </w:r>
      <w:bookmarkEnd w:id="124"/>
      <w:bookmarkEnd w:id="125"/>
    </w:p>
    <w:p>
      <w:pPr>
        <w:spacing w:line="600" w:lineRule="exact"/>
        <w:rPr>
          <w:rFonts w:hint="eastAsia" w:ascii="仿宋_GB2312" w:eastAsia="仿宋_GB2312"/>
          <w:color w:val="auto"/>
          <w:sz w:val="28"/>
          <w:szCs w:val="28"/>
          <w:highlight w:val="none"/>
        </w:rPr>
      </w:pPr>
      <w:bookmarkStart w:id="126" w:name="_Toc88209953"/>
      <w:bookmarkStart w:id="127" w:name="_Toc87616390"/>
      <w:r>
        <w:rPr>
          <w:rFonts w:hint="eastAsia" w:ascii="仿宋_GB2312" w:eastAsia="仿宋_GB2312"/>
          <w:color w:val="auto"/>
          <w:sz w:val="28"/>
          <w:szCs w:val="28"/>
          <w:highlight w:val="none"/>
        </w:rPr>
        <w:t>2.法定代表人证明或授权委托书</w:t>
      </w:r>
      <w:bookmarkEnd w:id="126"/>
      <w:bookmarkEnd w:id="127"/>
      <w:bookmarkStart w:id="128" w:name="_Toc88209956"/>
      <w:bookmarkStart w:id="129"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8"/>
      <w:bookmarkEnd w:id="129"/>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30" w:name="_Toc6313"/>
      <w:bookmarkStart w:id="131" w:name="_Toc87616394"/>
      <w:bookmarkStart w:id="132" w:name="_Toc28619645"/>
      <w:bookmarkStart w:id="133" w:name="_Toc12665"/>
      <w:bookmarkStart w:id="134" w:name="_Toc88209957"/>
      <w:r>
        <w:rPr>
          <w:rFonts w:hint="eastAsia" w:asciiTheme="minorEastAsia" w:hAnsiTheme="minorEastAsia" w:eastAsiaTheme="minorEastAsia"/>
          <w:color w:val="auto"/>
          <w:sz w:val="28"/>
          <w:szCs w:val="28"/>
          <w:highlight w:val="none"/>
        </w:rPr>
        <w:t>1.响应函</w:t>
      </w:r>
      <w:bookmarkEnd w:id="130"/>
      <w:bookmarkEnd w:id="131"/>
      <w:bookmarkEnd w:id="132"/>
      <w:bookmarkEnd w:id="133"/>
      <w:bookmarkEnd w:id="13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5" w:name="_Toc22527"/>
      <w:bookmarkStart w:id="136" w:name="_Toc88209958"/>
      <w:bookmarkStart w:id="137" w:name="_Toc87616395"/>
      <w:bookmarkStart w:id="138" w:name="_Toc29833"/>
    </w:p>
    <w:p>
      <w:pPr>
        <w:pStyle w:val="6"/>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olor w:val="auto"/>
          <w:sz w:val="28"/>
          <w:szCs w:val="28"/>
          <w:highlight w:val="none"/>
        </w:rPr>
      </w:pPr>
    </w:p>
    <w:p>
      <w:pPr>
        <w:pStyle w:val="6"/>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5"/>
      <w:bookmarkEnd w:id="136"/>
      <w:bookmarkEnd w:id="137"/>
      <w:bookmarkEnd w:id="138"/>
    </w:p>
    <w:p>
      <w:pPr>
        <w:pageBreakBefore w:val="0"/>
        <w:widowControl w:val="0"/>
        <w:kinsoku/>
        <w:wordWrap/>
        <w:overflowPunct/>
        <w:topLinePunct w:val="0"/>
        <w:autoSpaceDE/>
        <w:autoSpaceDN/>
        <w:bidi w:val="0"/>
        <w:adjustRightInd/>
        <w:snapToGrid/>
        <w:spacing w:line="300" w:lineRule="exact"/>
        <w:textAlignment w:val="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keepNext w:val="0"/>
        <w:keepLines w:val="0"/>
        <w:pageBreakBefore w:val="0"/>
        <w:widowControl w:val="0"/>
        <w:kinsoku/>
        <w:wordWrap/>
        <w:overflowPunct/>
        <w:topLinePunct w:val="0"/>
        <w:autoSpaceDE w:val="0"/>
        <w:autoSpaceDN w:val="0"/>
        <w:bidi w:val="0"/>
        <w:adjustRightInd w:val="0"/>
        <w:snapToGrid w:val="0"/>
        <w:spacing w:after="0" w:line="50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keepNext w:val="0"/>
        <w:keepLines w:val="0"/>
        <w:pageBreakBefore w:val="0"/>
        <w:widowControl w:val="0"/>
        <w:kinsoku/>
        <w:wordWrap/>
        <w:overflowPunct/>
        <w:topLinePunct w:val="0"/>
        <w:autoSpaceDE w:val="0"/>
        <w:autoSpaceDN w:val="0"/>
        <w:bidi w:val="0"/>
        <w:adjustRightInd w:val="0"/>
        <w:snapToGrid w:val="0"/>
        <w:spacing w:after="0" w:line="50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1"/>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9" w:name="_Toc87616400"/>
      <w:bookmarkStart w:id="140" w:name="_Toc19830"/>
      <w:bookmarkStart w:id="141" w:name="_Toc8086"/>
      <w:bookmarkStart w:id="142"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9"/>
      <w:bookmarkEnd w:id="140"/>
      <w:bookmarkEnd w:id="141"/>
      <w:bookmarkEnd w:id="14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3"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广州市净水有限公司猎德污水处理系统管网工程--猎德涌片区一期广园东路污水管工程（粤垦路～省消防总队）树木保护专章编制服务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44" w:name="_Toc32430"/>
      <w:bookmarkStart w:id="145"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4"/>
      <w:bookmarkEnd w:id="145"/>
    </w:p>
    <w:tbl>
      <w:tblPr>
        <w:tblStyle w:val="24"/>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8"/>
        <w:gridCol w:w="2992"/>
        <w:gridCol w:w="982"/>
        <w:gridCol w:w="1409"/>
        <w:gridCol w:w="284"/>
        <w:gridCol w:w="501"/>
        <w:gridCol w:w="1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9" w:hRule="atLeast"/>
        </w:trPr>
        <w:tc>
          <w:tcPr>
            <w:tcW w:w="89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树木保护专章编制费汇总表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6" w:hRule="atLeast"/>
        </w:trPr>
        <w:tc>
          <w:tcPr>
            <w:tcW w:w="644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工程名称：猎德污水处理系统管网工程--猎德涌片区一期广园东路污水管工程（粤垦路～省消防总队）树木保护专章编制服务</w:t>
            </w:r>
          </w:p>
        </w:tc>
        <w:tc>
          <w:tcPr>
            <w:tcW w:w="284"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auto"/>
                <w:sz w:val="20"/>
                <w:szCs w:val="20"/>
                <w:highlight w:val="none"/>
                <w:u w:val="none"/>
              </w:rPr>
            </w:pPr>
          </w:p>
        </w:tc>
        <w:tc>
          <w:tcPr>
            <w:tcW w:w="223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105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299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名称</w:t>
            </w:r>
          </w:p>
        </w:tc>
        <w:tc>
          <w:tcPr>
            <w:tcW w:w="98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单位</w:t>
            </w:r>
          </w:p>
        </w:tc>
        <w:tc>
          <w:tcPr>
            <w:tcW w:w="2194"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金额（元）</w:t>
            </w:r>
          </w:p>
        </w:tc>
        <w:tc>
          <w:tcPr>
            <w:tcW w:w="173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一</w:t>
            </w: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编制工作细项</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外业调查人员费</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w:t>
            </w: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报告编制费</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w:t>
            </w: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交通费</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w:t>
            </w: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仪器损耗费</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w:t>
            </w: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树龄鉴定费</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w:t>
            </w: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树木健康安全性评估</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w:t>
            </w: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座标转换</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w:t>
            </w: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资料费</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w:t>
            </w: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专家论证费</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w:t>
            </w: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5603.77</w:t>
            </w: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场地租赁费</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w:t>
            </w: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2547.17</w:t>
            </w: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二</w:t>
            </w: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不含税编制费</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三</w:t>
            </w: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税金</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四</w:t>
            </w: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eastAsia="宋体" w:cs="宋体"/>
                <w:i w:val="0"/>
                <w:color w:val="auto"/>
                <w:sz w:val="18"/>
                <w:szCs w:val="18"/>
                <w:highlight w:val="none"/>
                <w:u w:val="none"/>
                <w:lang w:val="en-US" w:eastAsia="zh-CN"/>
              </w:rPr>
              <w:t>含税编制费</w:t>
            </w: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p>
        </w:tc>
        <w:tc>
          <w:tcPr>
            <w:tcW w:w="299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p>
        </w:tc>
        <w:tc>
          <w:tcPr>
            <w:tcW w:w="21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bl>
    <w:p>
      <w:pPr>
        <w:pStyle w:val="10"/>
        <w:rPr>
          <w:rFonts w:hint="default" w:eastAsiaTheme="minorEastAsia"/>
          <w:b/>
          <w:bCs/>
          <w:color w:val="auto"/>
          <w:highlight w:val="none"/>
          <w:lang w:val="en-US" w:eastAsia="zh-CN"/>
        </w:rPr>
      </w:pPr>
      <w:r>
        <w:rPr>
          <w:rFonts w:hint="eastAsia"/>
          <w:b/>
          <w:bCs/>
          <w:color w:val="auto"/>
          <w:highlight w:val="none"/>
          <w:lang w:val="en-US" w:eastAsia="zh-CN"/>
        </w:rPr>
        <w:t>备注：除表中</w:t>
      </w:r>
      <w:r>
        <w:rPr>
          <w:rFonts w:hint="eastAsia" w:ascii="宋体" w:hAnsi="宋体" w:eastAsia="宋体" w:cs="宋体"/>
          <w:b/>
          <w:bCs/>
          <w:i w:val="0"/>
          <w:color w:val="auto"/>
          <w:kern w:val="0"/>
          <w:sz w:val="20"/>
          <w:szCs w:val="20"/>
          <w:highlight w:val="none"/>
          <w:u w:val="none"/>
          <w:lang w:val="en-US" w:eastAsia="zh-CN" w:bidi="ar"/>
        </w:rPr>
        <w:t>专家论证费和场地租赁费外，</w:t>
      </w:r>
      <w:r>
        <w:rPr>
          <w:rFonts w:hint="eastAsia"/>
          <w:b/>
          <w:bCs/>
          <w:color w:val="auto"/>
          <w:highlight w:val="none"/>
          <w:lang w:val="en-US" w:eastAsia="zh-CN"/>
        </w:rPr>
        <w:t>需完整填报上表中各项金额，否则视为无效报价。</w:t>
      </w:r>
    </w:p>
    <w:p>
      <w:pPr>
        <w:adjustRightInd w:val="0"/>
        <w:snapToGrid w:val="0"/>
        <w:spacing w:line="300" w:lineRule="auto"/>
        <w:rPr>
          <w:rFonts w:hint="eastAsia" w:ascii="仿宋" w:hAnsi="仿宋" w:eastAsia="仿宋" w:cs="仿宋_GB2312"/>
          <w:b/>
          <w:color w:val="auto"/>
          <w:sz w:val="28"/>
          <w:szCs w:val="28"/>
          <w:highlight w:val="none"/>
        </w:rPr>
      </w:pPr>
    </w:p>
    <w:p>
      <w:pPr>
        <w:pStyle w:val="32"/>
        <w:rPr>
          <w:rFonts w:hint="eastAsia"/>
          <w:color w:val="auto"/>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1"/>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6"/>
        <w:rPr>
          <w:rFonts w:asciiTheme="majorEastAsia" w:hAnsiTheme="majorEastAsia" w:eastAsiaTheme="majorEastAsia"/>
          <w:color w:val="auto"/>
          <w:sz w:val="28"/>
          <w:szCs w:val="28"/>
          <w:highlight w:val="none"/>
        </w:rPr>
      </w:pPr>
      <w:bookmarkStart w:id="146" w:name="_Toc87616402"/>
      <w:bookmarkStart w:id="147" w:name="_Toc16386"/>
      <w:bookmarkStart w:id="148" w:name="_Toc88209965"/>
      <w:bookmarkStart w:id="149"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6"/>
      <w:bookmarkEnd w:id="147"/>
      <w:bookmarkEnd w:id="148"/>
      <w:bookmarkEnd w:id="149"/>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445135" cy="23050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pStyle w:val="1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78720;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84hJ9EAAAADAQAADwAAAAAAAAABACAAAAAiAAAAZHJzL2Rv&#10;d25yZXYueG1sUEsBAhQAFAAAAAgAh07iQKLQgNjPAQAAmQMAAA4AAAAAAAAAAQAgAAAAIAEAAGRy&#10;cy9lMm9Eb2MueG1sUEsFBgAAAAAGAAYAWQEAAGEFAAAAAA==&#10;">
              <v:fill on="f" focussize="0,0"/>
              <v:stroke on="f"/>
              <v:imagedata o:title=""/>
              <o:lock v:ext="edit" aspectratio="f"/>
              <v:textbox inset="0mm,0mm,0mm,0mm" style="mso-fit-shape-to-text:t;">
                <w:txbxContent>
                  <w:p>
                    <w:pPr>
                      <w:pStyle w:val="1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EF36D1F"/>
    <w:multiLevelType w:val="singleLevel"/>
    <w:tmpl w:val="EEF36D1F"/>
    <w:lvl w:ilvl="0" w:tentative="0">
      <w:start w:val="1"/>
      <w:numFmt w:val="chineseCounting"/>
      <w:suff w:val="nothing"/>
      <w:lvlText w:val="%1、"/>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045FDD"/>
    <w:rsid w:val="01EF0F40"/>
    <w:rsid w:val="02090C75"/>
    <w:rsid w:val="024E0414"/>
    <w:rsid w:val="02A23A3C"/>
    <w:rsid w:val="02A620A8"/>
    <w:rsid w:val="03AC246A"/>
    <w:rsid w:val="03B23056"/>
    <w:rsid w:val="03DC3EBA"/>
    <w:rsid w:val="03F9794D"/>
    <w:rsid w:val="046A2461"/>
    <w:rsid w:val="04743786"/>
    <w:rsid w:val="06C64829"/>
    <w:rsid w:val="077D16D2"/>
    <w:rsid w:val="07E86AF3"/>
    <w:rsid w:val="08675FC8"/>
    <w:rsid w:val="08F46FC3"/>
    <w:rsid w:val="09941399"/>
    <w:rsid w:val="09B713FD"/>
    <w:rsid w:val="09CE6249"/>
    <w:rsid w:val="09EF6ACC"/>
    <w:rsid w:val="0A315056"/>
    <w:rsid w:val="0AFB45AD"/>
    <w:rsid w:val="0B351E9B"/>
    <w:rsid w:val="0B4C50D3"/>
    <w:rsid w:val="0B806B92"/>
    <w:rsid w:val="0B827E94"/>
    <w:rsid w:val="0BD070E1"/>
    <w:rsid w:val="0C247926"/>
    <w:rsid w:val="0CC81AE4"/>
    <w:rsid w:val="0D302A9E"/>
    <w:rsid w:val="0D794204"/>
    <w:rsid w:val="0E2125D1"/>
    <w:rsid w:val="0E214211"/>
    <w:rsid w:val="0E5F2769"/>
    <w:rsid w:val="0EFF0A15"/>
    <w:rsid w:val="0F285775"/>
    <w:rsid w:val="0F4D75A3"/>
    <w:rsid w:val="0F510E72"/>
    <w:rsid w:val="0F5B2DCA"/>
    <w:rsid w:val="0FED051E"/>
    <w:rsid w:val="0FEE4C29"/>
    <w:rsid w:val="10046082"/>
    <w:rsid w:val="106802DE"/>
    <w:rsid w:val="10765325"/>
    <w:rsid w:val="111C0807"/>
    <w:rsid w:val="112B101A"/>
    <w:rsid w:val="119B53FC"/>
    <w:rsid w:val="11AE0BD5"/>
    <w:rsid w:val="12424CDC"/>
    <w:rsid w:val="129A2738"/>
    <w:rsid w:val="12B56BF1"/>
    <w:rsid w:val="12CB1A89"/>
    <w:rsid w:val="131840FB"/>
    <w:rsid w:val="13467417"/>
    <w:rsid w:val="136E76CF"/>
    <w:rsid w:val="14B10AE1"/>
    <w:rsid w:val="15BC6B3C"/>
    <w:rsid w:val="167F3481"/>
    <w:rsid w:val="1694429A"/>
    <w:rsid w:val="16AB3D08"/>
    <w:rsid w:val="17635326"/>
    <w:rsid w:val="17E525A4"/>
    <w:rsid w:val="18236EFD"/>
    <w:rsid w:val="189D5B1F"/>
    <w:rsid w:val="18A34CD0"/>
    <w:rsid w:val="197D0C1B"/>
    <w:rsid w:val="19B64DBC"/>
    <w:rsid w:val="1A14399F"/>
    <w:rsid w:val="1A373ACF"/>
    <w:rsid w:val="1A895341"/>
    <w:rsid w:val="1A9166EE"/>
    <w:rsid w:val="1B0D071F"/>
    <w:rsid w:val="1B4568CE"/>
    <w:rsid w:val="1B4C0C41"/>
    <w:rsid w:val="1B9015B7"/>
    <w:rsid w:val="1C872CE0"/>
    <w:rsid w:val="1CFF208D"/>
    <w:rsid w:val="1D2D0C9B"/>
    <w:rsid w:val="1D3D7931"/>
    <w:rsid w:val="1D5A79EE"/>
    <w:rsid w:val="1DBD6CE1"/>
    <w:rsid w:val="1E0E2CD0"/>
    <w:rsid w:val="1E831280"/>
    <w:rsid w:val="1EBC4704"/>
    <w:rsid w:val="1F172EB5"/>
    <w:rsid w:val="1F94592D"/>
    <w:rsid w:val="1FB860DE"/>
    <w:rsid w:val="201810CF"/>
    <w:rsid w:val="203C5A02"/>
    <w:rsid w:val="209D15B5"/>
    <w:rsid w:val="209D4C94"/>
    <w:rsid w:val="20E84705"/>
    <w:rsid w:val="210C79E4"/>
    <w:rsid w:val="218400BA"/>
    <w:rsid w:val="21AB1E2F"/>
    <w:rsid w:val="21D40498"/>
    <w:rsid w:val="225752A3"/>
    <w:rsid w:val="22767047"/>
    <w:rsid w:val="23A05588"/>
    <w:rsid w:val="23D82F6C"/>
    <w:rsid w:val="25431AEB"/>
    <w:rsid w:val="25BF43FD"/>
    <w:rsid w:val="25F86BCD"/>
    <w:rsid w:val="2605748B"/>
    <w:rsid w:val="269276B7"/>
    <w:rsid w:val="269E416A"/>
    <w:rsid w:val="26B02FC7"/>
    <w:rsid w:val="272100D3"/>
    <w:rsid w:val="272C72FC"/>
    <w:rsid w:val="27923EBF"/>
    <w:rsid w:val="27EB149D"/>
    <w:rsid w:val="27FD3E52"/>
    <w:rsid w:val="28E11370"/>
    <w:rsid w:val="294A756A"/>
    <w:rsid w:val="29C33BF3"/>
    <w:rsid w:val="29D5322D"/>
    <w:rsid w:val="29F42BAD"/>
    <w:rsid w:val="2A025DD9"/>
    <w:rsid w:val="2A7C2231"/>
    <w:rsid w:val="2A8F679F"/>
    <w:rsid w:val="2ABB753D"/>
    <w:rsid w:val="2B1574B4"/>
    <w:rsid w:val="2B5C1561"/>
    <w:rsid w:val="2B7A49FA"/>
    <w:rsid w:val="2C615D26"/>
    <w:rsid w:val="2CB679ED"/>
    <w:rsid w:val="2CF92546"/>
    <w:rsid w:val="2D173C07"/>
    <w:rsid w:val="2D424A86"/>
    <w:rsid w:val="2E6A25C9"/>
    <w:rsid w:val="2E7B52DB"/>
    <w:rsid w:val="2F324CFE"/>
    <w:rsid w:val="2F381B17"/>
    <w:rsid w:val="2FBA09F1"/>
    <w:rsid w:val="2FEF2ACF"/>
    <w:rsid w:val="30540211"/>
    <w:rsid w:val="312D7741"/>
    <w:rsid w:val="316F137F"/>
    <w:rsid w:val="3198371B"/>
    <w:rsid w:val="31C31802"/>
    <w:rsid w:val="31DF525F"/>
    <w:rsid w:val="32324C2E"/>
    <w:rsid w:val="327171DF"/>
    <w:rsid w:val="33FD38F4"/>
    <w:rsid w:val="341E3434"/>
    <w:rsid w:val="3489700C"/>
    <w:rsid w:val="35587CCB"/>
    <w:rsid w:val="357D1914"/>
    <w:rsid w:val="35A252CE"/>
    <w:rsid w:val="35A86C66"/>
    <w:rsid w:val="360B7EBA"/>
    <w:rsid w:val="360C2366"/>
    <w:rsid w:val="3697456F"/>
    <w:rsid w:val="369C32FD"/>
    <w:rsid w:val="37666E72"/>
    <w:rsid w:val="38167A04"/>
    <w:rsid w:val="3922642F"/>
    <w:rsid w:val="394B167A"/>
    <w:rsid w:val="397634F9"/>
    <w:rsid w:val="39B45610"/>
    <w:rsid w:val="39D76BC3"/>
    <w:rsid w:val="3A4E4336"/>
    <w:rsid w:val="3A6007FE"/>
    <w:rsid w:val="3AB14335"/>
    <w:rsid w:val="3B7C2CE4"/>
    <w:rsid w:val="3C0B5355"/>
    <w:rsid w:val="3CB95379"/>
    <w:rsid w:val="3CD4176B"/>
    <w:rsid w:val="3D1F44D9"/>
    <w:rsid w:val="3D5C38CD"/>
    <w:rsid w:val="3DA80295"/>
    <w:rsid w:val="3E3124FC"/>
    <w:rsid w:val="3E5070F1"/>
    <w:rsid w:val="3E600032"/>
    <w:rsid w:val="3F6C3589"/>
    <w:rsid w:val="3F850180"/>
    <w:rsid w:val="3F9004D6"/>
    <w:rsid w:val="400E4D5E"/>
    <w:rsid w:val="40245BFB"/>
    <w:rsid w:val="40C5724A"/>
    <w:rsid w:val="40E1138C"/>
    <w:rsid w:val="413814BA"/>
    <w:rsid w:val="414B1D27"/>
    <w:rsid w:val="41872511"/>
    <w:rsid w:val="41C52EDB"/>
    <w:rsid w:val="42466655"/>
    <w:rsid w:val="42694B47"/>
    <w:rsid w:val="42C82F57"/>
    <w:rsid w:val="43526394"/>
    <w:rsid w:val="43C76AF7"/>
    <w:rsid w:val="446828F0"/>
    <w:rsid w:val="44781C0A"/>
    <w:rsid w:val="45255E07"/>
    <w:rsid w:val="457D02AA"/>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574836"/>
    <w:rsid w:val="48CA4868"/>
    <w:rsid w:val="48F005D3"/>
    <w:rsid w:val="498F4AF1"/>
    <w:rsid w:val="49C05787"/>
    <w:rsid w:val="49CF518D"/>
    <w:rsid w:val="4A132677"/>
    <w:rsid w:val="4A566030"/>
    <w:rsid w:val="4A766A3F"/>
    <w:rsid w:val="4ADA1F63"/>
    <w:rsid w:val="4AE23D89"/>
    <w:rsid w:val="4AEC2FDE"/>
    <w:rsid w:val="4B2038D0"/>
    <w:rsid w:val="4B296E7D"/>
    <w:rsid w:val="4B877F28"/>
    <w:rsid w:val="4B973A40"/>
    <w:rsid w:val="4CC60794"/>
    <w:rsid w:val="4D2E044D"/>
    <w:rsid w:val="4D916BA6"/>
    <w:rsid w:val="4DB62F06"/>
    <w:rsid w:val="4DC44169"/>
    <w:rsid w:val="4EF0709E"/>
    <w:rsid w:val="4F2706FC"/>
    <w:rsid w:val="4F4546D1"/>
    <w:rsid w:val="5011784D"/>
    <w:rsid w:val="50D47BB5"/>
    <w:rsid w:val="50F81AAB"/>
    <w:rsid w:val="513C6A7B"/>
    <w:rsid w:val="523B11D6"/>
    <w:rsid w:val="52761C8D"/>
    <w:rsid w:val="5333545B"/>
    <w:rsid w:val="539758F1"/>
    <w:rsid w:val="53F219D6"/>
    <w:rsid w:val="5450213C"/>
    <w:rsid w:val="5483348F"/>
    <w:rsid w:val="54D24048"/>
    <w:rsid w:val="54D64CD5"/>
    <w:rsid w:val="55177046"/>
    <w:rsid w:val="55887D69"/>
    <w:rsid w:val="561A0928"/>
    <w:rsid w:val="56423872"/>
    <w:rsid w:val="56B279F0"/>
    <w:rsid w:val="56BF4295"/>
    <w:rsid w:val="579D710E"/>
    <w:rsid w:val="57A23303"/>
    <w:rsid w:val="57F726F8"/>
    <w:rsid w:val="581F22F6"/>
    <w:rsid w:val="586E1E17"/>
    <w:rsid w:val="58862C35"/>
    <w:rsid w:val="58C14957"/>
    <w:rsid w:val="5AE83A50"/>
    <w:rsid w:val="5AFC2045"/>
    <w:rsid w:val="5B407E92"/>
    <w:rsid w:val="5BAB2917"/>
    <w:rsid w:val="5BBF6B42"/>
    <w:rsid w:val="5BFC33FA"/>
    <w:rsid w:val="5C3107A4"/>
    <w:rsid w:val="5C3B1B93"/>
    <w:rsid w:val="5C9220DF"/>
    <w:rsid w:val="5D4A15F3"/>
    <w:rsid w:val="5D69542A"/>
    <w:rsid w:val="5E0930EF"/>
    <w:rsid w:val="5E3D4D53"/>
    <w:rsid w:val="5E4717E6"/>
    <w:rsid w:val="5E55774C"/>
    <w:rsid w:val="5ECD09B9"/>
    <w:rsid w:val="60104DDC"/>
    <w:rsid w:val="605C0804"/>
    <w:rsid w:val="605D35A1"/>
    <w:rsid w:val="60C66B9B"/>
    <w:rsid w:val="61725D23"/>
    <w:rsid w:val="61841BCA"/>
    <w:rsid w:val="6189617B"/>
    <w:rsid w:val="61B52BB6"/>
    <w:rsid w:val="61B749C2"/>
    <w:rsid w:val="62280D20"/>
    <w:rsid w:val="623B4509"/>
    <w:rsid w:val="62CA2457"/>
    <w:rsid w:val="638240A1"/>
    <w:rsid w:val="63A5257B"/>
    <w:rsid w:val="63BD3DCC"/>
    <w:rsid w:val="63C61741"/>
    <w:rsid w:val="63EB34D0"/>
    <w:rsid w:val="64560967"/>
    <w:rsid w:val="656B1D10"/>
    <w:rsid w:val="66022B28"/>
    <w:rsid w:val="662F1AB4"/>
    <w:rsid w:val="66581E87"/>
    <w:rsid w:val="66FA11D5"/>
    <w:rsid w:val="674302C7"/>
    <w:rsid w:val="680A5986"/>
    <w:rsid w:val="680D5F4B"/>
    <w:rsid w:val="68113F51"/>
    <w:rsid w:val="68E94770"/>
    <w:rsid w:val="68F949C9"/>
    <w:rsid w:val="695A4290"/>
    <w:rsid w:val="69D1725F"/>
    <w:rsid w:val="6A334932"/>
    <w:rsid w:val="6A3353FF"/>
    <w:rsid w:val="6A5D63E6"/>
    <w:rsid w:val="6A5F24D1"/>
    <w:rsid w:val="6AE347EB"/>
    <w:rsid w:val="6B434AF0"/>
    <w:rsid w:val="6B57675A"/>
    <w:rsid w:val="6BDD7B4D"/>
    <w:rsid w:val="6EBC0B3A"/>
    <w:rsid w:val="6EF51C7D"/>
    <w:rsid w:val="6F8363E5"/>
    <w:rsid w:val="6FC746F5"/>
    <w:rsid w:val="70117E52"/>
    <w:rsid w:val="70317AC6"/>
    <w:rsid w:val="70863262"/>
    <w:rsid w:val="70A76ED3"/>
    <w:rsid w:val="71860B17"/>
    <w:rsid w:val="720A7AF8"/>
    <w:rsid w:val="723B27CC"/>
    <w:rsid w:val="72687227"/>
    <w:rsid w:val="72A03FD9"/>
    <w:rsid w:val="72B96427"/>
    <w:rsid w:val="73406CFF"/>
    <w:rsid w:val="7383028C"/>
    <w:rsid w:val="73A25E44"/>
    <w:rsid w:val="741F68CF"/>
    <w:rsid w:val="74F01E8C"/>
    <w:rsid w:val="75252DF3"/>
    <w:rsid w:val="75621536"/>
    <w:rsid w:val="75B32344"/>
    <w:rsid w:val="75BF3154"/>
    <w:rsid w:val="764A07CF"/>
    <w:rsid w:val="764F6B3D"/>
    <w:rsid w:val="76CC6C50"/>
    <w:rsid w:val="76CD2B7B"/>
    <w:rsid w:val="76D80645"/>
    <w:rsid w:val="76E03371"/>
    <w:rsid w:val="7721612B"/>
    <w:rsid w:val="780E5898"/>
    <w:rsid w:val="782642CC"/>
    <w:rsid w:val="7894095E"/>
    <w:rsid w:val="79000679"/>
    <w:rsid w:val="79A416F0"/>
    <w:rsid w:val="79B03EB6"/>
    <w:rsid w:val="7A492610"/>
    <w:rsid w:val="7A7F4688"/>
    <w:rsid w:val="7A804370"/>
    <w:rsid w:val="7ABC034E"/>
    <w:rsid w:val="7AF37579"/>
    <w:rsid w:val="7AF87F64"/>
    <w:rsid w:val="7B1C0C84"/>
    <w:rsid w:val="7B5A62DF"/>
    <w:rsid w:val="7B7A04A8"/>
    <w:rsid w:val="7C0C3F6D"/>
    <w:rsid w:val="7C22163C"/>
    <w:rsid w:val="7C595075"/>
    <w:rsid w:val="7C6B07B2"/>
    <w:rsid w:val="7D133243"/>
    <w:rsid w:val="7E2D1494"/>
    <w:rsid w:val="7E394207"/>
    <w:rsid w:val="7E4007A2"/>
    <w:rsid w:val="7E580CC9"/>
    <w:rsid w:val="7E791CAD"/>
    <w:rsid w:val="7EA50DFB"/>
    <w:rsid w:val="7EC86878"/>
    <w:rsid w:val="7ED50E59"/>
    <w:rsid w:val="7EE75CD9"/>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5"/>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0"/>
    <w:semiHidden/>
    <w:unhideWhenUsed/>
    <w:qFormat/>
    <w:uiPriority w:val="99"/>
    <w:rPr>
      <w:sz w:val="18"/>
      <w:szCs w:val="18"/>
    </w:rPr>
  </w:style>
  <w:style w:type="paragraph" w:styleId="18">
    <w:name w:val="footer"/>
    <w:basedOn w:val="1"/>
    <w:link w:val="34"/>
    <w:unhideWhenUsed/>
    <w:qFormat/>
    <w:uiPriority w:val="99"/>
    <w:pPr>
      <w:tabs>
        <w:tab w:val="center" w:pos="4153"/>
        <w:tab w:val="right" w:pos="8306"/>
      </w:tabs>
      <w:snapToGrid w:val="0"/>
      <w:jc w:val="left"/>
    </w:pPr>
    <w:rPr>
      <w:sz w:val="18"/>
      <w:szCs w:val="18"/>
    </w:rPr>
  </w:style>
  <w:style w:type="paragraph" w:styleId="19">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rFonts w:ascii="Times New Roman" w:hAnsi="Times New Roman" w:eastAsia="宋体" w:cs="Times New Roman"/>
      <w:sz w:val="21"/>
      <w:szCs w:val="21"/>
    </w:rPr>
  </w:style>
  <w:style w:type="paragraph" w:customStyle="1" w:styleId="31">
    <w:name w:val="BodyText"/>
    <w:basedOn w:val="1"/>
    <w:next w:val="32"/>
    <w:qFormat/>
    <w:uiPriority w:val="0"/>
    <w:pPr>
      <w:jc w:val="both"/>
      <w:textAlignment w:val="baseline"/>
    </w:pPr>
    <w:rPr>
      <w:rFonts w:ascii="Times New Roman" w:hAnsi="Times New Roman" w:eastAsia="宋体"/>
      <w:kern w:val="2"/>
      <w:sz w:val="28"/>
      <w:lang w:val="en-US" w:eastAsia="zh-CN" w:bidi="ar-SA"/>
    </w:rPr>
  </w:style>
  <w:style w:type="paragraph" w:customStyle="1" w:styleId="32">
    <w:name w:val="BodyText2"/>
    <w:basedOn w:val="1"/>
    <w:qFormat/>
    <w:uiPriority w:val="0"/>
    <w:pPr>
      <w:spacing w:after="120" w:line="480" w:lineRule="auto"/>
      <w:jc w:val="both"/>
      <w:textAlignment w:val="baseline"/>
    </w:pPr>
  </w:style>
  <w:style w:type="character" w:customStyle="1" w:styleId="33">
    <w:name w:val="页眉 Char"/>
    <w:basedOn w:val="26"/>
    <w:link w:val="19"/>
    <w:semiHidden/>
    <w:qFormat/>
    <w:uiPriority w:val="99"/>
    <w:rPr>
      <w:sz w:val="18"/>
      <w:szCs w:val="18"/>
    </w:rPr>
  </w:style>
  <w:style w:type="character" w:customStyle="1" w:styleId="34">
    <w:name w:val="页脚 Char"/>
    <w:basedOn w:val="26"/>
    <w:link w:val="18"/>
    <w:qFormat/>
    <w:uiPriority w:val="99"/>
    <w:rPr>
      <w:sz w:val="18"/>
      <w:szCs w:val="18"/>
    </w:rPr>
  </w:style>
  <w:style w:type="character" w:customStyle="1" w:styleId="35">
    <w:name w:val="标题 1 Char"/>
    <w:basedOn w:val="26"/>
    <w:link w:val="4"/>
    <w:qFormat/>
    <w:uiPriority w:val="9"/>
    <w:rPr>
      <w:rFonts w:eastAsia="方正小标宋简体"/>
      <w:bCs/>
      <w:kern w:val="44"/>
      <w:sz w:val="44"/>
      <w:szCs w:val="44"/>
    </w:rPr>
  </w:style>
  <w:style w:type="character" w:customStyle="1" w:styleId="36">
    <w:name w:val="标题 2 Char"/>
    <w:basedOn w:val="26"/>
    <w:link w:val="5"/>
    <w:qFormat/>
    <w:uiPriority w:val="9"/>
    <w:rPr>
      <w:rFonts w:eastAsia="方正小标宋简体" w:asciiTheme="majorHAnsi" w:hAnsiTheme="majorHAnsi" w:cstheme="majorBidi"/>
      <w:bCs/>
      <w:sz w:val="36"/>
      <w:szCs w:val="32"/>
    </w:rPr>
  </w:style>
  <w:style w:type="character" w:customStyle="1" w:styleId="37">
    <w:name w:val="标题 3 Char"/>
    <w:basedOn w:val="26"/>
    <w:link w:val="6"/>
    <w:qFormat/>
    <w:uiPriority w:val="9"/>
    <w:rPr>
      <w:rFonts w:ascii="Calibri" w:hAnsi="Calibri" w:eastAsia="宋体" w:cs="Times New Roman"/>
      <w:b/>
      <w:bCs/>
      <w:sz w:val="32"/>
      <w:szCs w:val="32"/>
    </w:rPr>
  </w:style>
  <w:style w:type="paragraph" w:styleId="38">
    <w:name w:val="List Paragraph"/>
    <w:basedOn w:val="1"/>
    <w:link w:val="46"/>
    <w:qFormat/>
    <w:uiPriority w:val="34"/>
    <w:pPr>
      <w:ind w:firstLine="420" w:firstLineChars="200"/>
    </w:pPr>
  </w:style>
  <w:style w:type="paragraph" w:customStyle="1" w:styleId="39">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6"/>
    <w:link w:val="17"/>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4"/>
    <w:next w:val="14"/>
    <w:qFormat/>
    <w:uiPriority w:val="0"/>
    <w:pPr>
      <w:spacing w:after="373"/>
    </w:pPr>
    <w:rPr>
      <w:color w:val="auto"/>
    </w:rPr>
  </w:style>
  <w:style w:type="paragraph" w:customStyle="1" w:styleId="43">
    <w:name w:val="CM91"/>
    <w:basedOn w:val="14"/>
    <w:next w:val="14"/>
    <w:qFormat/>
    <w:uiPriority w:val="0"/>
    <w:pPr>
      <w:spacing w:after="160"/>
    </w:pPr>
    <w:rPr>
      <w:color w:val="auto"/>
    </w:rPr>
  </w:style>
  <w:style w:type="character" w:customStyle="1" w:styleId="44">
    <w:name w:val="正文文本 3 Char"/>
    <w:link w:val="9"/>
    <w:qFormat/>
    <w:uiPriority w:val="99"/>
    <w:rPr>
      <w:sz w:val="16"/>
      <w:szCs w:val="16"/>
    </w:rPr>
  </w:style>
  <w:style w:type="character" w:customStyle="1" w:styleId="45">
    <w:name w:val="正文文本 3 Char1"/>
    <w:basedOn w:val="26"/>
    <w:link w:val="9"/>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3"/>
    <w:qFormat/>
    <w:uiPriority w:val="99"/>
    <w:pPr>
      <w:widowControl w:val="0"/>
      <w:jc w:val="both"/>
    </w:pPr>
    <w:rPr>
      <w:rFonts w:ascii="宋体" w:hAnsi="Courier New"/>
      <w:kern w:val="2"/>
    </w:rPr>
  </w:style>
  <w:style w:type="paragraph" w:customStyle="1" w:styleId="48">
    <w:name w:val="WPSOffice手动目录 1"/>
    <w:qFormat/>
    <w:uiPriority w:val="0"/>
    <w:pPr>
      <w:ind w:leftChars="0"/>
    </w:pPr>
    <w:rPr>
      <w:rFonts w:asciiTheme="minorHAnsi" w:hAnsiTheme="minorHAnsi" w:eastAsiaTheme="minorEastAsia" w:cstheme="minorBidi"/>
      <w:sz w:val="20"/>
      <w:szCs w:val="20"/>
    </w:rPr>
  </w:style>
  <w:style w:type="paragraph" w:customStyle="1" w:styleId="49">
    <w:name w:val="WPSOffice手动目录 2"/>
    <w:qFormat/>
    <w:uiPriority w:val="0"/>
    <w:pPr>
      <w:ind w:leftChars="200"/>
    </w:pPr>
    <w:rPr>
      <w:rFonts w:asciiTheme="minorHAnsi" w:hAnsiTheme="minorHAnsi" w:eastAsiaTheme="minorEastAsia" w:cstheme="minorBidi"/>
      <w:sz w:val="20"/>
      <w:szCs w:val="20"/>
    </w:rPr>
  </w:style>
  <w:style w:type="paragraph" w:customStyle="1" w:styleId="50">
    <w:name w:val="WPSOffice手动目录 3"/>
    <w:qFormat/>
    <w:uiPriority w:val="0"/>
    <w:pPr>
      <w:ind w:leftChars="400"/>
    </w:pPr>
    <w:rPr>
      <w:rFonts w:asciiTheme="minorHAnsi" w:hAnsiTheme="minorHAnsi" w:eastAsiaTheme="minorEastAsia" w:cstheme="minorBidi"/>
      <w:sz w:val="20"/>
      <w:szCs w:val="20"/>
    </w:rPr>
  </w:style>
  <w:style w:type="paragraph" w:customStyle="1" w:styleId="5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2">
    <w:name w:val="font41"/>
    <w:basedOn w:val="26"/>
    <w:qFormat/>
    <w:uiPriority w:val="0"/>
    <w:rPr>
      <w:rFonts w:ascii="Arial" w:hAnsi="Arial" w:cs="Arial"/>
      <w:color w:val="000000"/>
      <w:sz w:val="28"/>
      <w:szCs w:val="28"/>
      <w:u w:val="none"/>
    </w:rPr>
  </w:style>
  <w:style w:type="character" w:customStyle="1" w:styleId="53">
    <w:name w:val="font61"/>
    <w:basedOn w:val="26"/>
    <w:qFormat/>
    <w:uiPriority w:val="0"/>
    <w:rPr>
      <w:rFonts w:hint="eastAsia" w:ascii="宋体" w:hAnsi="宋体" w:eastAsia="宋体" w:cs="宋体"/>
      <w:color w:val="000000"/>
      <w:sz w:val="28"/>
      <w:szCs w:val="28"/>
      <w:u w:val="none"/>
    </w:rPr>
  </w:style>
  <w:style w:type="character" w:customStyle="1" w:styleId="54">
    <w:name w:val="font51"/>
    <w:basedOn w:val="26"/>
    <w:qFormat/>
    <w:uiPriority w:val="0"/>
    <w:rPr>
      <w:rFonts w:ascii="Arial" w:hAnsi="Arial" w:cs="Arial"/>
      <w:color w:val="000000"/>
      <w:sz w:val="28"/>
      <w:szCs w:val="28"/>
      <w:u w:val="none"/>
    </w:rPr>
  </w:style>
  <w:style w:type="paragraph" w:customStyle="1" w:styleId="55">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19370</Words>
  <Characters>20553</Characters>
  <Lines>300</Lines>
  <Paragraphs>84</Paragraphs>
  <TotalTime>3</TotalTime>
  <ScaleCrop>false</ScaleCrop>
  <LinksUpToDate>false</LinksUpToDate>
  <CharactersWithSpaces>22513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2022-09-06T02:55:00Z</cp:lastPrinted>
  <dcterms:modified xsi:type="dcterms:W3CDTF">2022-10-17T02:32:21Z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C853BB3251824203AEB1653C99FC0C3F</vt:lpwstr>
  </property>
</Properties>
</file>