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bookmarkStart w:id="150" w:name="_GoBack"/>
      <w:bookmarkEnd w:id="150"/>
    </w:p>
    <w:p>
      <w:pPr>
        <w:jc w:val="center"/>
        <w:rPr>
          <w:rFonts w:hint="eastAsia"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lang w:val="en-US" w:eastAsia="zh-CN"/>
        </w:rPr>
        <w:t>广州市净水有限公司大坦沙分公司一二期污水泵房除臭设备改造项目</w:t>
      </w: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3"/>
        <w:rPr>
          <w:rFonts w:ascii="仿宋_GB2312" w:eastAsia="仿宋_GB2312"/>
          <w:color w:val="auto"/>
          <w:sz w:val="32"/>
          <w:szCs w:val="32"/>
          <w:highlight w:val="none"/>
        </w:rPr>
      </w:pPr>
    </w:p>
    <w:p>
      <w:pPr>
        <w:pStyle w:val="3"/>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二二年</w:t>
      </w:r>
      <w:r>
        <w:rPr>
          <w:rFonts w:hint="eastAsia" w:ascii="黑体" w:hAnsi="黑体" w:eastAsia="黑体" w:cs="仿宋_GB2312"/>
          <w:color w:val="auto"/>
          <w:sz w:val="32"/>
          <w:szCs w:val="32"/>
          <w:highlight w:val="none"/>
          <w:lang w:val="en-US" w:eastAsia="zh-CN"/>
        </w:rPr>
        <w:t>十</w:t>
      </w:r>
      <w:r>
        <w:rPr>
          <w:rFonts w:hint="eastAsia" w:ascii="黑体" w:hAnsi="黑体" w:eastAsia="黑体" w:cs="仿宋_GB2312"/>
          <w:color w:val="auto"/>
          <w:sz w:val="32"/>
          <w:szCs w:val="32"/>
          <w:highlight w:val="none"/>
        </w:rPr>
        <w:t>月</w:t>
      </w:r>
    </w:p>
    <w:p>
      <w:pPr>
        <w:rPr>
          <w:color w:val="auto"/>
          <w:highlight w:val="none"/>
        </w:rPr>
        <w:sectPr>
          <w:headerReference r:id="rId5" w:type="first"/>
          <w:footerReference r:id="rId6" w:type="default"/>
          <w:footerReference r:id="rId7" w:type="even"/>
          <w:pgSz w:w="11906" w:h="16838"/>
          <w:pgMar w:top="2098" w:right="1474" w:bottom="1985" w:left="1588" w:header="851" w:footer="992" w:gutter="0"/>
          <w:pgNumType w:start="0"/>
          <w:cols w:space="425" w:num="1"/>
          <w:titlePg/>
          <w:docGrid w:type="lines" w:linePitch="312" w:charSpace="0"/>
        </w:sectPr>
      </w:pPr>
    </w:p>
    <w:p>
      <w:pPr>
        <w:pStyle w:val="2"/>
        <w:rPr>
          <w:color w:val="auto"/>
          <w:highlight w:val="none"/>
        </w:rPr>
      </w:pPr>
    </w:p>
    <w:p>
      <w:pPr>
        <w:pStyle w:val="38"/>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9"/>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w:t>
      </w:r>
    </w:p>
    <w:p>
      <w:pPr>
        <w:pStyle w:val="19"/>
        <w:numPr>
          <w:ilvl w:val="0"/>
          <w:numId w:val="1"/>
        </w:numPr>
        <w:tabs>
          <w:tab w:val="right" w:pos="8844"/>
        </w:tabs>
        <w:rPr>
          <w:color w:val="auto"/>
          <w:highlight w:val="none"/>
        </w:rPr>
      </w:pPr>
      <w:r>
        <w:rPr>
          <w:rFonts w:hint="eastAsia"/>
          <w:color w:val="auto"/>
          <w:highlight w:val="none"/>
          <w:lang w:val="en-US" w:eastAsia="zh-CN"/>
        </w:rPr>
        <w:t>供应商须知</w:t>
      </w:r>
    </w:p>
    <w:p>
      <w:pPr>
        <w:pStyle w:val="19"/>
        <w:numPr>
          <w:ilvl w:val="0"/>
          <w:numId w:val="1"/>
        </w:numPr>
        <w:tabs>
          <w:tab w:val="right" w:pos="8844"/>
        </w:tabs>
        <w:rPr>
          <w:color w:val="auto"/>
          <w:highlight w:val="none"/>
        </w:rPr>
      </w:pPr>
      <w:r>
        <w:rPr>
          <w:rFonts w:hint="eastAsia"/>
          <w:color w:val="auto"/>
          <w:highlight w:val="none"/>
          <w:lang w:val="en-US" w:eastAsia="zh-CN"/>
        </w:rPr>
        <w:t>采购方法</w:t>
      </w:r>
    </w:p>
    <w:p>
      <w:pPr>
        <w:pStyle w:val="19"/>
        <w:numPr>
          <w:ilvl w:val="0"/>
          <w:numId w:val="1"/>
        </w:numPr>
        <w:tabs>
          <w:tab w:val="right" w:pos="8844"/>
        </w:tabs>
        <w:rPr>
          <w:color w:val="auto"/>
          <w:highlight w:val="none"/>
        </w:rPr>
      </w:pPr>
      <w:r>
        <w:rPr>
          <w:rFonts w:hint="eastAsia"/>
          <w:color w:val="auto"/>
          <w:highlight w:val="none"/>
          <w:lang w:val="en-US" w:eastAsia="zh-CN"/>
        </w:rPr>
        <w:t>评审方法</w:t>
      </w:r>
    </w:p>
    <w:p>
      <w:pPr>
        <w:pStyle w:val="19"/>
        <w:numPr>
          <w:ilvl w:val="0"/>
          <w:numId w:val="1"/>
        </w:numPr>
        <w:tabs>
          <w:tab w:val="right" w:pos="8844"/>
        </w:tabs>
        <w:rPr>
          <w:color w:val="auto"/>
          <w:highlight w:val="none"/>
        </w:rPr>
      </w:pPr>
      <w:r>
        <w:rPr>
          <w:rFonts w:hint="eastAsia"/>
          <w:color w:val="auto"/>
          <w:highlight w:val="none"/>
          <w:lang w:val="en-US" w:eastAsia="zh-CN"/>
        </w:rPr>
        <w:t>采购需求</w:t>
      </w:r>
    </w:p>
    <w:p>
      <w:pPr>
        <w:pStyle w:val="19"/>
        <w:numPr>
          <w:ilvl w:val="0"/>
          <w:numId w:val="1"/>
        </w:numPr>
        <w:tabs>
          <w:tab w:val="right" w:pos="8844"/>
        </w:tabs>
        <w:rPr>
          <w:color w:val="auto"/>
          <w:highlight w:val="none"/>
        </w:rPr>
      </w:pPr>
      <w:r>
        <w:rPr>
          <w:rFonts w:hint="eastAsia"/>
          <w:color w:val="auto"/>
          <w:highlight w:val="none"/>
        </w:rPr>
        <w:t>合同草案</w:t>
      </w:r>
    </w:p>
    <w:p>
      <w:pPr>
        <w:pStyle w:val="19"/>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3"/>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color w:val="auto"/>
          <w:highlight w:val="none"/>
        </w:rPr>
      </w:pPr>
      <w:bookmarkStart w:id="0" w:name="_Toc18145"/>
      <w:bookmarkStart w:id="1" w:name="_Toc26148"/>
    </w:p>
    <w:p>
      <w:pPr>
        <w:rPr>
          <w:rFonts w:hint="eastAsia"/>
          <w:color w:val="auto"/>
          <w:highlight w:val="none"/>
        </w:rPr>
      </w:pPr>
    </w:p>
    <w:p>
      <w:pPr>
        <w:pStyle w:val="4"/>
        <w:rPr>
          <w:rFonts w:hint="eastAsia"/>
          <w:color w:val="auto"/>
          <w:highlight w:val="none"/>
        </w:rPr>
      </w:pPr>
      <w:bookmarkStart w:id="2" w:name="_Toc1711"/>
      <w:bookmarkStart w:id="3" w:name="_Toc17696"/>
    </w:p>
    <w:p>
      <w:pPr>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4"/>
        <w:rPr>
          <w:rFonts w:hint="eastAsia"/>
          <w:color w:val="auto"/>
          <w:highlight w:val="none"/>
        </w:rPr>
      </w:pPr>
      <w:bookmarkStart w:id="4" w:name="_Toc17801"/>
      <w:bookmarkStart w:id="5" w:name="_Toc19609"/>
      <w:bookmarkStart w:id="6" w:name="_Toc7519"/>
      <w:bookmarkStart w:id="7" w:name="_Toc11322"/>
      <w:bookmarkStart w:id="8" w:name="_Toc31938"/>
      <w:bookmarkStart w:id="9" w:name="_Toc4275"/>
      <w:bookmarkStart w:id="10" w:name="_Toc1669"/>
    </w:p>
    <w:p>
      <w:pPr>
        <w:pStyle w:val="4"/>
        <w:rPr>
          <w:rFonts w:hint="eastAsia"/>
          <w:color w:val="auto"/>
          <w:highlight w:val="none"/>
        </w:rPr>
      </w:pPr>
    </w:p>
    <w:p>
      <w:pPr>
        <w:pStyle w:val="4"/>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2364740</wp:posOffset>
                </wp:positionH>
                <wp:positionV relativeFrom="paragraph">
                  <wp:posOffset>499745</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6.2pt;margin-top:39.35pt;height:0pt;width:75.5pt;z-index:251671552;mso-width-relative:page;mso-height-relative:page;" filled="f" stroked="t" coordsize="21600,21600" o:gfxdata="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jQJU84cWLrx&#10;u8/ff336cvv15+2Pb2zyIm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Gp6KStcAAAAJAQAADwAAAAAAAAABACAAAAAiAAAAZHJzL2Rvd25yZXYueG1sUEsBAhQA&#10;FAAAAAgAh07iQHrpRGf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0528;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D6yHiP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40"/>
        <w:rPr>
          <w:color w:val="auto"/>
          <w:highlight w:val="none"/>
        </w:rPr>
      </w:pPr>
    </w:p>
    <w:p>
      <w:pPr>
        <w:pStyle w:val="4"/>
        <w:rPr>
          <w:color w:val="auto"/>
          <w:highlight w:val="none"/>
        </w:rPr>
      </w:pPr>
      <w:bookmarkStart w:id="11" w:name="_Toc30131"/>
      <w:bookmarkStart w:id="12" w:name="_Toc10122"/>
      <w:bookmarkStart w:id="13" w:name="_Toc14238"/>
      <w:bookmarkStart w:id="14" w:name="_Toc2659"/>
      <w:bookmarkStart w:id="15" w:name="_Toc26363"/>
      <w:bookmarkStart w:id="16" w:name="_Toc28995"/>
      <w:bookmarkStart w:id="17" w:name="_Toc5230"/>
      <w:bookmarkStart w:id="18" w:name="_Toc8201"/>
      <w:bookmarkStart w:id="19" w:name="_Toc15709"/>
      <w:bookmarkStart w:id="20" w:name="_Toc999"/>
      <w:bookmarkStart w:id="21" w:name="_Toc30989"/>
      <w:bookmarkStart w:id="22" w:name="_Toc88209924"/>
      <w:r>
        <w:rPr>
          <w:rFonts w:hint="eastAsia"/>
          <w:color w:val="auto"/>
          <w:highlight w:val="none"/>
        </w:rPr>
        <w:t>采购公告</w:t>
      </w:r>
      <w:bookmarkEnd w:id="11"/>
      <w:bookmarkEnd w:id="12"/>
      <w:bookmarkEnd w:id="13"/>
      <w:bookmarkEnd w:id="14"/>
      <w:bookmarkEnd w:id="15"/>
      <w:bookmarkEnd w:id="16"/>
      <w:bookmarkEnd w:id="17"/>
      <w:bookmarkEnd w:id="18"/>
      <w:bookmarkEnd w:id="19"/>
      <w:bookmarkEnd w:id="20"/>
      <w:bookmarkEnd w:id="21"/>
      <w:bookmarkEnd w:id="22"/>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5"/>
        <w:spacing w:line="600" w:lineRule="exact"/>
        <w:rPr>
          <w:color w:val="auto"/>
          <w:highlight w:val="none"/>
        </w:rPr>
      </w:pPr>
      <w:bookmarkStart w:id="23" w:name="_Toc21373"/>
      <w:bookmarkStart w:id="24" w:name="_Toc9680"/>
      <w:r>
        <w:rPr>
          <w:rFonts w:hint="eastAsia"/>
          <w:color w:val="auto"/>
          <w:highlight w:val="none"/>
          <w:u w:val="single"/>
          <w:lang w:eastAsia="zh-CN"/>
        </w:rPr>
        <w:t>广州市净水有限公司大坦沙分公</w:t>
      </w:r>
      <w:r>
        <w:rPr>
          <w:rFonts w:hint="eastAsia"/>
          <w:color w:val="auto"/>
          <w:highlight w:val="none"/>
          <w:u w:val="single"/>
          <w:lang w:val="en-US" w:eastAsia="zh-CN"/>
        </w:rPr>
        <w:t>司</w:t>
      </w:r>
      <w:r>
        <w:rPr>
          <w:rFonts w:hint="eastAsia"/>
          <w:color w:val="auto"/>
          <w:highlight w:val="none"/>
          <w:u w:val="single"/>
          <w:lang w:eastAsia="zh-CN"/>
        </w:rPr>
        <w:t>一二期污水泵房除臭设备改造项目</w:t>
      </w:r>
      <w:r>
        <w:rPr>
          <w:rFonts w:hint="eastAsia"/>
          <w:color w:val="auto"/>
          <w:highlight w:val="none"/>
        </w:rPr>
        <w:t>采购公告</w:t>
      </w:r>
      <w:bookmarkEnd w:id="23"/>
      <w:bookmarkEnd w:id="24"/>
    </w:p>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lang w:eastAsia="zh-CN"/>
        </w:rPr>
        <w:t>广州市净水有限公司大坦沙分公</w:t>
      </w:r>
      <w:r>
        <w:rPr>
          <w:rFonts w:hint="eastAsia" w:ascii="仿宋_GB2312" w:eastAsia="仿宋_GB2312"/>
          <w:color w:val="auto"/>
          <w:sz w:val="28"/>
          <w:szCs w:val="28"/>
          <w:highlight w:val="none"/>
          <w:u w:val="single"/>
          <w:lang w:val="en-US" w:eastAsia="zh-CN"/>
        </w:rPr>
        <w:t>司</w:t>
      </w:r>
      <w:r>
        <w:rPr>
          <w:rFonts w:hint="eastAsia" w:ascii="仿宋_GB2312" w:eastAsia="仿宋_GB2312"/>
          <w:color w:val="auto"/>
          <w:sz w:val="28"/>
          <w:szCs w:val="28"/>
          <w:highlight w:val="none"/>
          <w:u w:val="single"/>
          <w:lang w:eastAsia="zh-CN"/>
        </w:rPr>
        <w:t>一二期污水泵房除臭设备改造项目</w:t>
      </w:r>
      <w:r>
        <w:rPr>
          <w:rFonts w:hint="eastAsia" w:ascii="仿宋_GB2312" w:eastAsia="仿宋_GB2312"/>
          <w:color w:val="auto"/>
          <w:sz w:val="28"/>
          <w:szCs w:val="28"/>
          <w:highlight w:val="none"/>
        </w:rPr>
        <w:t>已具备采购条件，现对该</w:t>
      </w:r>
      <w:r>
        <w:rPr>
          <w:rFonts w:hint="eastAsia" w:ascii="仿宋_GB2312" w:eastAsia="仿宋_GB2312"/>
          <w:color w:val="auto"/>
          <w:sz w:val="28"/>
          <w:szCs w:val="28"/>
          <w:highlight w:val="none"/>
          <w:lang w:eastAsia="zh-CN"/>
        </w:rPr>
        <w:sym w:font="Wingdings 2" w:char="0052"/>
      </w:r>
      <w:r>
        <w:rPr>
          <w:rFonts w:hint="eastAsia" w:ascii="仿宋_GB2312" w:eastAsia="仿宋_GB2312"/>
          <w:color w:val="auto"/>
          <w:sz w:val="28"/>
          <w:szCs w:val="28"/>
          <w:highlight w:val="none"/>
        </w:rPr>
        <w:t xml:space="preserve">施工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货物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服务项目实施公开采购</w:t>
      </w:r>
      <w:bookmarkStart w:id="25" w:name="采购公告"/>
      <w:bookmarkEnd w:id="25"/>
      <w:r>
        <w:rPr>
          <w:rFonts w:hint="eastAsia" w:ascii="仿宋_GB2312" w:eastAsia="仿宋_GB2312"/>
          <w:color w:val="auto"/>
          <w:sz w:val="28"/>
          <w:szCs w:val="28"/>
          <w:highlight w:val="none"/>
        </w:rPr>
        <w:t>活动，采用</w:t>
      </w:r>
      <w:r>
        <w:rPr>
          <w:rFonts w:hint="eastAsia" w:ascii="仿宋_GB2312" w:eastAsia="仿宋_GB2312"/>
          <w:color w:val="auto"/>
          <w:sz w:val="28"/>
          <w:szCs w:val="28"/>
          <w:highlight w:val="none"/>
          <w:u w:val="single"/>
        </w:rPr>
        <w:t>询比采购</w:t>
      </w:r>
      <w:r>
        <w:rPr>
          <w:rFonts w:hint="eastAsia" w:ascii="仿宋_GB2312" w:eastAsia="仿宋_GB2312"/>
          <w:color w:val="auto"/>
          <w:sz w:val="28"/>
          <w:szCs w:val="28"/>
          <w:highlight w:val="none"/>
        </w:rPr>
        <w:t>方式公开邀请合格供应商参加本项目采购竞争。</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lang w:eastAsia="zh-CN"/>
        </w:rPr>
        <w:t>广州市净水有限公司大坦沙分公</w:t>
      </w:r>
      <w:r>
        <w:rPr>
          <w:rFonts w:hint="eastAsia" w:ascii="仿宋_GB2312" w:eastAsia="仿宋_GB2312"/>
          <w:color w:val="auto"/>
          <w:sz w:val="28"/>
          <w:szCs w:val="28"/>
          <w:highlight w:val="none"/>
          <w:u w:val="single"/>
          <w:lang w:val="en-US" w:eastAsia="zh-CN"/>
        </w:rPr>
        <w:t>司</w:t>
      </w:r>
      <w:r>
        <w:rPr>
          <w:rFonts w:hint="eastAsia" w:ascii="仿宋_GB2312" w:eastAsia="仿宋_GB2312"/>
          <w:color w:val="auto"/>
          <w:sz w:val="28"/>
          <w:szCs w:val="28"/>
          <w:highlight w:val="none"/>
          <w:u w:val="single"/>
          <w:lang w:eastAsia="zh-CN"/>
        </w:rPr>
        <w:t>一二期污水泵房除臭设备改造项目</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lang w:val="en-US" w:eastAsia="zh-CN"/>
        </w:rPr>
        <w:t>XJ-20221012-9</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自有资金</w:t>
      </w:r>
    </w:p>
    <w:p>
      <w:pPr>
        <w:autoSpaceDE/>
        <w:autoSpaceDN/>
        <w:adjustRightInd w:val="0"/>
        <w:snapToGrid w:val="0"/>
        <w:spacing w:line="600" w:lineRule="exact"/>
        <w:ind w:firstLine="0" w:firstLineChars="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212836.31</w:t>
      </w:r>
      <w:r>
        <w:rPr>
          <w:rFonts w:hint="eastAsia" w:ascii="仿宋_GB2312" w:eastAsia="仿宋_GB2312"/>
          <w:color w:val="auto"/>
          <w:sz w:val="28"/>
          <w:szCs w:val="28"/>
          <w:highlight w:val="none"/>
          <w:u w:val="single"/>
        </w:rPr>
        <w:t>元</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lang w:val="en-US" w:eastAsia="zh-CN"/>
        </w:rPr>
        <w:t>税前造价为195262.67元，税率为9%，绿色施工安全防护措施费为3851.34元，</w:t>
      </w:r>
      <w:r>
        <w:rPr>
          <w:rFonts w:hint="eastAsia" w:ascii="仿宋" w:hAnsi="仿宋" w:eastAsia="仿宋" w:cs="仿宋"/>
          <w:b/>
          <w:bCs/>
          <w:color w:val="auto"/>
          <w:sz w:val="28"/>
          <w:szCs w:val="28"/>
          <w:highlight w:val="none"/>
          <w:lang w:val="zh-CN"/>
        </w:rPr>
        <w:t>绿色施工安全防护措施费为非竞争性费用，在报价时须按询价文件规定的金额填写，不得参与竞争，否则按无效报价处理。）</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spacing w:line="600" w:lineRule="exact"/>
        <w:jc w:val="left"/>
        <w:rPr>
          <w:b/>
          <w:bCs/>
          <w:color w:val="auto"/>
          <w:highlight w:val="none"/>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single"/>
          <w:lang w:val="en-US" w:eastAsia="zh-CN"/>
        </w:rPr>
        <w:t>详见第五章：采购需求（项目需求维修</w:t>
      </w:r>
      <w:r>
        <w:rPr>
          <w:rFonts w:hint="default" w:ascii="仿宋_GB2312" w:eastAsia="仿宋_GB2312"/>
          <w:color w:val="auto"/>
          <w:sz w:val="28"/>
          <w:szCs w:val="28"/>
          <w:highlight w:val="none"/>
          <w:u w:val="single"/>
          <w:lang w:val="en-US" w:eastAsia="zh-CN"/>
        </w:rPr>
        <w:t>方案</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spacing w:line="600" w:lineRule="exact"/>
        <w:jc w:val="left"/>
        <w:rPr>
          <w:rFonts w:hint="default" w:ascii="仿宋_GB2312" w:eastAsia="仿宋_GB2312" w:hAnsiTheme="minorHAnsi" w:cstheme="minorBidi"/>
          <w:color w:val="auto"/>
          <w:kern w:val="2"/>
          <w:sz w:val="28"/>
          <w:szCs w:val="28"/>
          <w:highlight w:val="none"/>
          <w:lang w:val="en-US" w:eastAsia="zh-CN" w:bidi="ar-SA"/>
        </w:rPr>
      </w:pPr>
      <w:r>
        <w:rPr>
          <w:rFonts w:hint="eastAsia" w:ascii="仿宋_GB2312" w:eastAsia="仿宋_GB2312"/>
          <w:color w:val="auto"/>
          <w:sz w:val="28"/>
          <w:szCs w:val="28"/>
          <w:highlight w:val="none"/>
        </w:rPr>
        <w:t>2.2项目工期：</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计划工期   □交货期  □服务期为</w:t>
      </w:r>
      <w:r>
        <w:rPr>
          <w:rFonts w:hint="eastAsia" w:ascii="仿宋_GB2312" w:eastAsia="仿宋_GB2312" w:hAnsiTheme="minorHAnsi" w:cstheme="minorBidi"/>
          <w:color w:val="auto"/>
          <w:kern w:val="2"/>
          <w:sz w:val="28"/>
          <w:szCs w:val="28"/>
          <w:highlight w:val="none"/>
          <w:lang w:val="en-US" w:eastAsia="zh-CN" w:bidi="ar-SA"/>
        </w:rPr>
        <w:t>：</w:t>
      </w:r>
      <w:r>
        <w:rPr>
          <w:rFonts w:hint="eastAsia" w:ascii="仿宋_GB2312" w:eastAsia="仿宋_GB2312" w:cstheme="minorBidi"/>
          <w:color w:val="auto"/>
          <w:kern w:val="2"/>
          <w:sz w:val="28"/>
          <w:szCs w:val="28"/>
          <w:highlight w:val="none"/>
          <w:lang w:val="en-US" w:eastAsia="zh-CN" w:bidi="ar-SA"/>
        </w:rPr>
        <w:t>自合同签订之日起</w:t>
      </w:r>
      <w:r>
        <w:rPr>
          <w:rFonts w:hint="eastAsia" w:ascii="仿宋_GB2312" w:eastAsia="仿宋_GB2312" w:hAnsiTheme="minorHAnsi" w:cstheme="minorBidi"/>
          <w:color w:val="auto"/>
          <w:kern w:val="2"/>
          <w:sz w:val="28"/>
          <w:szCs w:val="28"/>
          <w:highlight w:val="none"/>
          <w:lang w:val="en-US" w:eastAsia="zh-CN" w:bidi="ar-SA"/>
        </w:rPr>
        <w:t>45日</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2.3地点：</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建设地点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交货地点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广州市荔湾区桥中南路7号大坦沙分公司</w:t>
      </w:r>
      <w:r>
        <w:rPr>
          <w:rFonts w:hint="eastAsia" w:ascii="仿宋_GB2312" w:eastAsia="仿宋_GB2312"/>
          <w:color w:val="auto"/>
          <w:sz w:val="28"/>
          <w:szCs w:val="28"/>
          <w:highlight w:val="none"/>
          <w:u w:val="singl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2.4质量要求：</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施工质量要求   □货物质量标准或主要技术性能指标  </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服务质量要求或服务标准如下：</w:t>
      </w:r>
      <w:r>
        <w:rPr>
          <w:rFonts w:hint="eastAsia" w:ascii="仿宋_GB2312" w:eastAsia="仿宋_GB2312"/>
          <w:color w:val="auto"/>
          <w:sz w:val="28"/>
          <w:szCs w:val="28"/>
          <w:highlight w:val="none"/>
          <w:u w:val="single"/>
        </w:rPr>
        <w:t xml:space="preserve">     按合同条款和有关技术标准规范进行验收。使用的各种材料必须符合设计和</w:t>
      </w:r>
      <w:r>
        <w:rPr>
          <w:rFonts w:hint="eastAsia" w:ascii="仿宋_GB2312" w:eastAsia="仿宋_GB2312"/>
          <w:color w:val="auto"/>
          <w:sz w:val="28"/>
          <w:szCs w:val="28"/>
          <w:highlight w:val="none"/>
          <w:u w:val="single"/>
          <w:lang w:val="en-US" w:eastAsia="zh-CN"/>
        </w:rPr>
        <w:t>有关技术标准</w:t>
      </w:r>
      <w:r>
        <w:rPr>
          <w:rFonts w:hint="eastAsia" w:ascii="仿宋_GB2312" w:eastAsia="仿宋_GB2312"/>
          <w:color w:val="auto"/>
          <w:sz w:val="28"/>
          <w:szCs w:val="28"/>
          <w:highlight w:val="none"/>
          <w:u w:val="single"/>
        </w:rPr>
        <w:t xml:space="preserve">规范要求。                          </w:t>
      </w:r>
      <w:r>
        <w:rPr>
          <w:rFonts w:hint="eastAsia" w:ascii="仿宋_GB2312" w:eastAsia="仿宋_GB2312"/>
          <w:color w:val="auto"/>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u w:val="none"/>
          <w:lang w:eastAsia="zh-CN"/>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u w:val="none"/>
          <w:lang w:val="en-US" w:eastAsia="zh-CN"/>
        </w:rPr>
        <w:t>1</w:t>
      </w:r>
      <w:r>
        <w:rPr>
          <w:rFonts w:hint="eastAsia" w:ascii="仿宋_GB2312" w:eastAsia="仿宋_GB2312"/>
          <w:color w:val="auto"/>
          <w:sz w:val="28"/>
          <w:szCs w:val="28"/>
          <w:highlight w:val="none"/>
          <w:u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none"/>
        </w:rPr>
      </w:pP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u w:val="none"/>
          <w:lang w:val="en-US" w:eastAsia="zh-CN"/>
        </w:rPr>
        <w:t>2</w:t>
      </w: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u w:val="none"/>
        </w:rPr>
        <w:t>供应商应当具</w:t>
      </w:r>
      <w:r>
        <w:rPr>
          <w:rFonts w:hint="eastAsia" w:ascii="仿宋_GB2312" w:eastAsia="仿宋_GB2312"/>
          <w:color w:val="auto"/>
          <w:sz w:val="28"/>
          <w:szCs w:val="28"/>
          <w:highlight w:val="none"/>
          <w:u w:val="none"/>
          <w:lang w:val="en-US" w:eastAsia="zh-CN"/>
        </w:rPr>
        <w:t>备</w:t>
      </w:r>
      <w:r>
        <w:rPr>
          <w:rFonts w:hint="eastAsia" w:ascii="仿宋_GB2312" w:eastAsia="仿宋_GB2312"/>
          <w:color w:val="auto"/>
          <w:sz w:val="28"/>
          <w:szCs w:val="28"/>
          <w:highlight w:val="none"/>
          <w:u w:val="none"/>
        </w:rPr>
        <w:t>环保工程专业承包叁级</w:t>
      </w: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u w:val="none"/>
          <w:lang w:val="en-US" w:eastAsia="zh-CN"/>
        </w:rPr>
        <w:t>或以上</w:t>
      </w: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u w:val="none"/>
          <w:lang w:val="en-US" w:eastAsia="zh-CN"/>
        </w:rPr>
        <w:t>资质，</w:t>
      </w:r>
      <w:r>
        <w:rPr>
          <w:rFonts w:hint="eastAsia" w:ascii="仿宋_GB2312" w:eastAsia="仿宋_GB2312"/>
          <w:color w:val="auto"/>
          <w:sz w:val="28"/>
          <w:szCs w:val="28"/>
          <w:highlight w:val="none"/>
          <w:u w:val="none"/>
        </w:rPr>
        <w:t>同时具有建设主管部门颁发且在有效期内的《安全生产许可证</w:t>
      </w: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u w:val="none"/>
        </w:rPr>
        <w:t>。</w:t>
      </w:r>
    </w:p>
    <w:p>
      <w:pPr>
        <w:adjustRightInd w:val="0"/>
        <w:snapToGrid w:val="0"/>
        <w:spacing w:line="600" w:lineRule="exact"/>
        <w:jc w:val="left"/>
        <w:rPr>
          <w:rFonts w:hint="eastAsia" w:ascii="仿宋_GB2312" w:eastAsia="仿宋_GB2312"/>
          <w:color w:val="auto"/>
          <w:sz w:val="28"/>
          <w:szCs w:val="28"/>
          <w:highlight w:val="none"/>
          <w:u w:val="none"/>
        </w:rPr>
      </w:pP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u w:val="none"/>
          <w:lang w:val="en-US" w:eastAsia="zh-CN"/>
        </w:rPr>
        <w:t>3</w:t>
      </w: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u w:val="none"/>
          <w:lang w:val="en-US" w:eastAsia="zh-CN"/>
        </w:rPr>
        <w:t xml:space="preserve"> 2019  年1月1日至今，</w:t>
      </w:r>
      <w:r>
        <w:rPr>
          <w:rFonts w:hint="eastAsia" w:ascii="仿宋_GB2312" w:eastAsia="仿宋_GB2312"/>
          <w:color w:val="auto"/>
          <w:sz w:val="28"/>
          <w:szCs w:val="28"/>
          <w:highlight w:val="none"/>
          <w:u w:val="none"/>
        </w:rPr>
        <w:t>供应商</w:t>
      </w:r>
      <w:r>
        <w:rPr>
          <w:rFonts w:hint="eastAsia" w:ascii="仿宋_GB2312" w:eastAsia="仿宋_GB2312"/>
          <w:color w:val="auto"/>
          <w:sz w:val="28"/>
          <w:szCs w:val="28"/>
          <w:highlight w:val="none"/>
          <w:u w:val="none"/>
          <w:lang w:val="en-US" w:eastAsia="zh-CN"/>
        </w:rPr>
        <w:t>最少</w:t>
      </w:r>
      <w:r>
        <w:rPr>
          <w:rFonts w:hint="eastAsia" w:ascii="仿宋_GB2312" w:eastAsia="仿宋_GB2312"/>
          <w:color w:val="auto"/>
          <w:sz w:val="28"/>
          <w:szCs w:val="28"/>
          <w:highlight w:val="none"/>
          <w:u w:val="none"/>
        </w:rPr>
        <w:t>具有</w:t>
      </w:r>
      <w:r>
        <w:rPr>
          <w:rFonts w:hint="eastAsia" w:ascii="仿宋_GB2312" w:eastAsia="仿宋_GB2312"/>
          <w:color w:val="auto"/>
          <w:sz w:val="28"/>
          <w:szCs w:val="28"/>
          <w:highlight w:val="none"/>
          <w:u w:val="none"/>
          <w:lang w:val="en-US" w:eastAsia="zh-CN"/>
        </w:rPr>
        <w:t>一项市政污水处理厂除臭通风改造或安装</w:t>
      </w:r>
      <w:r>
        <w:rPr>
          <w:rFonts w:hint="eastAsia" w:ascii="仿宋_GB2312" w:eastAsia="仿宋_GB2312"/>
          <w:color w:val="auto"/>
          <w:sz w:val="28"/>
          <w:szCs w:val="28"/>
          <w:highlight w:val="none"/>
          <w:u w:val="none"/>
        </w:rPr>
        <w:t>项目的业绩。（提供合同复印件证明，包括但不限于项目名称、金额及实施内容、合同盖章、签订日期，加盖单位公章）</w:t>
      </w:r>
    </w:p>
    <w:p>
      <w:pPr>
        <w:pStyle w:val="23"/>
        <w:adjustRightInd w:val="0"/>
        <w:snapToGrid w:val="0"/>
        <w:spacing w:line="600" w:lineRule="exact"/>
        <w:ind w:firstLine="0"/>
        <w:jc w:val="left"/>
        <w:rPr>
          <w:rFonts w:hint="eastAsia" w:ascii="仿宋_GB2312" w:eastAsia="仿宋_GB2312"/>
          <w:color w:val="auto"/>
          <w:sz w:val="28"/>
          <w:szCs w:val="28"/>
          <w:highlight w:val="none"/>
          <w:u w:val="none"/>
          <w:lang w:eastAsia="zh-CN"/>
        </w:rPr>
      </w:pPr>
      <w:r>
        <w:rPr>
          <w:rFonts w:hint="eastAsia" w:ascii="仿宋_GB2312" w:eastAsia="仿宋_GB2312"/>
          <w:color w:val="auto"/>
          <w:sz w:val="28"/>
          <w:szCs w:val="28"/>
          <w:highlight w:val="none"/>
          <w:u w:val="none"/>
          <w:lang w:eastAsia="zh-CN"/>
        </w:rPr>
        <w:sym w:font="Wingdings 2" w:char="0052"/>
      </w:r>
      <w:r>
        <w:rPr>
          <w:rFonts w:hint="eastAsia" w:ascii="仿宋_GB2312" w:eastAsia="仿宋_GB2312"/>
          <w:color w:val="auto"/>
          <w:sz w:val="28"/>
          <w:szCs w:val="28"/>
          <w:highlight w:val="none"/>
          <w:u w:val="none"/>
        </w:rPr>
        <w:t>（</w:t>
      </w:r>
      <w:r>
        <w:rPr>
          <w:rFonts w:hint="eastAsia" w:ascii="仿宋_GB2312" w:eastAsia="仿宋_GB2312"/>
          <w:color w:val="auto"/>
          <w:sz w:val="28"/>
          <w:szCs w:val="28"/>
          <w:highlight w:val="none"/>
          <w:u w:val="none"/>
          <w:lang w:val="en-US" w:eastAsia="zh-CN"/>
        </w:rPr>
        <w:t>4</w:t>
      </w:r>
      <w:r>
        <w:rPr>
          <w:rFonts w:hint="eastAsia" w:ascii="仿宋_GB2312" w:eastAsia="仿宋_GB2312"/>
          <w:color w:val="auto"/>
          <w:sz w:val="28"/>
          <w:szCs w:val="28"/>
          <w:highlight w:val="none"/>
          <w:u w:val="none"/>
        </w:rPr>
        <w:t>）其他要求： 供应商拟担任本工程项目负责人和安全员的人员资质须满足下列要求，且项目负责人不得同时兼任本项目专职安全人员</w:t>
      </w: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u w:val="none"/>
          <w:lang w:val="en-US" w:eastAsia="zh-CN"/>
        </w:rPr>
        <w:t>项目负责人应当具备</w:t>
      </w:r>
      <w:r>
        <w:rPr>
          <w:rFonts w:hint="eastAsia" w:ascii="仿宋_GB2312" w:hAnsi="仿宋_GB2312" w:eastAsia="仿宋_GB2312" w:cs="仿宋_GB2312"/>
          <w:color w:val="auto"/>
          <w:sz w:val="28"/>
          <w:szCs w:val="28"/>
          <w:highlight w:val="none"/>
          <w:u w:val="none"/>
        </w:rPr>
        <w:t>机电</w:t>
      </w:r>
      <w:r>
        <w:rPr>
          <w:rFonts w:hint="eastAsia" w:ascii="仿宋_GB2312" w:hAnsi="仿宋_GB2312" w:eastAsia="仿宋_GB2312" w:cs="仿宋_GB2312"/>
          <w:color w:val="auto"/>
          <w:sz w:val="28"/>
          <w:szCs w:val="28"/>
          <w:highlight w:val="none"/>
          <w:u w:val="none"/>
          <w:lang w:val="en-US" w:eastAsia="zh-CN"/>
        </w:rPr>
        <w:t>/市政</w:t>
      </w:r>
      <w:r>
        <w:rPr>
          <w:rFonts w:hint="eastAsia" w:ascii="仿宋_GB2312" w:hAnsi="仿宋_GB2312" w:eastAsia="仿宋_GB2312" w:cs="仿宋_GB2312"/>
          <w:color w:val="auto"/>
          <w:sz w:val="28"/>
          <w:szCs w:val="28"/>
          <w:highlight w:val="none"/>
          <w:u w:val="none"/>
        </w:rPr>
        <w:t>工程专业二级（或以上级别）的注册建造师，同时持有项目负责人安全生产考核合格证（B类）（或能够提供广东省建筑施工企业管理人员安全生产考核信息系统安全生产管理人员证书信息的网页截图）；（</w:t>
      </w:r>
      <w:r>
        <w:rPr>
          <w:rFonts w:hint="eastAsia" w:ascii="仿宋_GB2312" w:eastAsia="仿宋_GB2312"/>
          <w:color w:val="auto"/>
          <w:sz w:val="28"/>
          <w:szCs w:val="28"/>
          <w:highlight w:val="none"/>
        </w:rPr>
        <w:t>注：根据广东省建设信息中心关于启用新版“广东省建设执业资格注册管理信息系统”的通知，注册建造师电子证书须由本人在个人签名处手写签名，未手写签名或与签名图像笔迹不一致的，电子证书无效。广东省外注册的二级建造师人员暂不能在我省执业</w:t>
      </w:r>
      <w:r>
        <w:rPr>
          <w:rFonts w:hint="eastAsia" w:ascii="仿宋_GB2312" w:hAnsi="仿宋_GB2312" w:eastAsia="仿宋_GB2312" w:cs="仿宋_GB2312"/>
          <w:color w:val="auto"/>
          <w:sz w:val="28"/>
          <w:szCs w:val="28"/>
          <w:highlight w:val="none"/>
          <w:u w:val="none"/>
        </w:rPr>
        <w:t>）</w:t>
      </w:r>
      <w:r>
        <w:rPr>
          <w:rFonts w:hint="eastAsia" w:ascii="仿宋_GB2312" w:hAnsi="仿宋_GB2312" w:eastAsia="仿宋_GB2312" w:cs="仿宋_GB2312"/>
          <w:color w:val="auto"/>
          <w:sz w:val="28"/>
          <w:szCs w:val="28"/>
          <w:highlight w:val="none"/>
          <w:u w:val="none"/>
          <w:lang w:eastAsia="zh-CN"/>
        </w:rPr>
        <w:t>。</w:t>
      </w:r>
    </w:p>
    <w:p>
      <w:pPr>
        <w:pStyle w:val="23"/>
        <w:adjustRightInd w:val="0"/>
        <w:snapToGrid w:val="0"/>
        <w:spacing w:line="600" w:lineRule="exact"/>
        <w:ind w:firstLine="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u w:val="none"/>
        </w:rPr>
        <w:t xml:space="preserve">专职安全人员要求：须具有安全生产考核合格证（C类）（或能够提供广东省建筑施工企业管理人员安全生产考核信息系统安全生产管理人员证书信息的网页截图）；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（3）与本项目其他供应商存在管理关系。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（6）进入清算程序，或被宣告破产，或其他丧失履约能力情形的。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（8）被最高人民法院在</w:t>
      </w:r>
      <w:r>
        <w:rPr>
          <w:rFonts w:ascii="仿宋_GB2312" w:eastAsia="仿宋_GB2312"/>
          <w:color w:val="auto"/>
          <w:sz w:val="28"/>
          <w:szCs w:val="28"/>
          <w:highlight w:val="none"/>
        </w:rPr>
        <w:t>“</w:t>
      </w:r>
      <w:r>
        <w:rPr>
          <w:rFonts w:hint="eastAsia" w:ascii="仿宋_GB2312" w:eastAsia="仿宋_GB2312"/>
          <w:color w:val="auto"/>
          <w:sz w:val="28"/>
          <w:szCs w:val="28"/>
          <w:highlight w:val="none"/>
        </w:rPr>
        <w:t>信用中国</w:t>
      </w:r>
      <w:r>
        <w:rPr>
          <w:rFonts w:ascii="仿宋_GB2312" w:eastAsia="仿宋_GB2312"/>
          <w:color w:val="auto"/>
          <w:sz w:val="28"/>
          <w:szCs w:val="28"/>
          <w:highlight w:val="none"/>
        </w:rPr>
        <w:t>”</w:t>
      </w:r>
      <w:r>
        <w:rPr>
          <w:rFonts w:hint="eastAsia" w:ascii="仿宋_GB2312" w:eastAsia="仿宋_GB2312"/>
          <w:color w:val="auto"/>
          <w:sz w:val="28"/>
          <w:szCs w:val="28"/>
          <w:highlight w:val="none"/>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（10）被纳入本项目采购人（包括市水投集团及相关所属企业）书面</w:t>
      </w:r>
    </w:p>
    <w:p>
      <w:pPr>
        <w:adjustRightInd w:val="0"/>
        <w:snapToGrid w:val="0"/>
        <w:spacing w:line="600" w:lineRule="exact"/>
        <w:ind w:firstLine="420" w:firstLineChars="150"/>
        <w:jc w:val="left"/>
        <w:rPr>
          <w:rFonts w:hint="eastAsia" w:ascii="仿宋_GB2312" w:eastAsia="仿宋_GB2312"/>
          <w:color w:val="auto"/>
          <w:sz w:val="28"/>
          <w:szCs w:val="28"/>
          <w:highlight w:val="none"/>
        </w:rPr>
      </w:pP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限制参与采购活动且处于有效期内的。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（12）其他禁止情形：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i w:val="0"/>
          <w:iCs w:val="0"/>
          <w:color w:val="auto"/>
          <w:sz w:val="28"/>
          <w:szCs w:val="28"/>
          <w:highlight w:val="none"/>
          <w:u w:val="non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18</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sym w:font="Wingdings 2" w:char="0052"/>
      </w:r>
      <w:r>
        <w:rPr>
          <w:rFonts w:hint="eastAsia" w:ascii="仿宋_GB2312" w:eastAsia="仿宋_GB2312"/>
          <w:color w:val="auto"/>
          <w:sz w:val="28"/>
          <w:szCs w:val="28"/>
          <w:highlight w:val="none"/>
        </w:rPr>
        <w:t>不组织</w:t>
      </w:r>
    </w:p>
    <w:p>
      <w:pPr>
        <w:adjustRightInd w:val="0"/>
        <w:snapToGrid w:val="0"/>
        <w:spacing w:line="600" w:lineRule="exac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eastAsia="zh-CN"/>
        </w:rPr>
        <w:sym w:font="Wingdings 2" w:char="00A3"/>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供应商可自行选择是否前往现场踏勘，若前往现场踏勘须在规定时间内到达集中地点，逾期不再接待。</w:t>
      </w:r>
    </w:p>
    <w:p>
      <w:pPr>
        <w:adjustRightInd w:val="0"/>
        <w:snapToGrid w:val="0"/>
        <w:spacing w:line="600" w:lineRule="exact"/>
        <w:ind w:firstLine="0"/>
        <w:rPr>
          <w:rFonts w:hint="eastAsia" w:ascii="仿宋_GB2312" w:eastAsia="仿宋_GB2312" w:hAnsiTheme="minorHAnsi"/>
          <w:color w:val="auto"/>
          <w:sz w:val="28"/>
          <w:szCs w:val="28"/>
          <w:highlight w:val="none"/>
        </w:rPr>
      </w:pPr>
      <w:r>
        <w:rPr>
          <w:rFonts w:hint="eastAsia" w:ascii="仿宋_GB2312" w:eastAsia="仿宋_GB2312" w:hAnsiTheme="minorHAnsi"/>
          <w:color w:val="auto"/>
          <w:sz w:val="28"/>
          <w:szCs w:val="28"/>
          <w:highlight w:val="none"/>
        </w:rPr>
        <w:t>踏勘时间：</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t>踏勘集中地点：</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.1递交响应文件截止时间：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前</w:t>
      </w:r>
      <w:r>
        <w:rPr>
          <w:rFonts w:hint="eastAsia" w:ascii="仿宋_GB2312" w:eastAsia="仿宋_GB2312"/>
          <w:color w:val="auto"/>
          <w:sz w:val="28"/>
          <w:szCs w:val="28"/>
          <w:highlight w:val="none"/>
        </w:rPr>
        <w:t>（北京时间）。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.2递交</w:t>
      </w:r>
      <w:r>
        <w:rPr>
          <w:rFonts w:hint="eastAsia" w:ascii="仿宋_GB2312" w:eastAsia="仿宋_GB2312"/>
          <w:color w:val="auto"/>
          <w:sz w:val="28"/>
          <w:szCs w:val="28"/>
          <w:highlight w:val="none"/>
          <w:lang w:val="en-US" w:eastAsia="zh-CN"/>
        </w:rPr>
        <w:t>及快递</w:t>
      </w:r>
      <w:r>
        <w:rPr>
          <w:rFonts w:hint="eastAsia" w:ascii="仿宋_GB2312" w:eastAsia="仿宋_GB2312"/>
          <w:color w:val="auto"/>
          <w:sz w:val="28"/>
          <w:szCs w:val="28"/>
          <w:highlight w:val="none"/>
        </w:rPr>
        <w:t>地址：</w:t>
      </w:r>
      <w:r>
        <w:rPr>
          <w:rFonts w:hint="eastAsia" w:ascii="仿宋_GB2312" w:eastAsia="仿宋_GB2312"/>
          <w:color w:val="auto"/>
          <w:sz w:val="28"/>
          <w:szCs w:val="28"/>
          <w:highlight w:val="none"/>
          <w:lang w:val="en-US" w:eastAsia="zh-CN"/>
        </w:rPr>
        <w:t>广州市天河区临江大道501号</w:t>
      </w:r>
      <w:r>
        <w:rPr>
          <w:rFonts w:hint="eastAsia" w:ascii="仿宋_GB2312" w:eastAsia="仿宋_GB2312"/>
          <w:color w:val="auto"/>
          <w:sz w:val="28"/>
          <w:szCs w:val="28"/>
          <w:highlight w:val="none"/>
          <w:u w:val="single"/>
          <w:lang w:val="en-US" w:eastAsia="zh-CN"/>
        </w:rPr>
        <w:t>广州市净水有限公司6楼招标部</w:t>
      </w:r>
      <w:r>
        <w:rPr>
          <w:rFonts w:hint="eastAsia" w:ascii="仿宋_GB2312" w:eastAsia="仿宋_GB2312"/>
          <w:color w:val="auto"/>
          <w:sz w:val="28"/>
          <w:szCs w:val="28"/>
          <w:highlight w:val="none"/>
        </w:rPr>
        <w:t>。</w:t>
      </w:r>
    </w:p>
    <w:p>
      <w:pPr>
        <w:pStyle w:val="23"/>
        <w:ind w:firstLine="560" w:firstLineChars="200"/>
        <w:rPr>
          <w:rFonts w:hint="default" w:eastAsia="仿宋_GB2312"/>
          <w:color w:val="auto"/>
          <w:highlight w:val="none"/>
          <w:lang w:val="en-US" w:eastAsia="zh-CN"/>
        </w:rPr>
      </w:pPr>
      <w:r>
        <w:rPr>
          <w:rFonts w:hint="eastAsia" w:ascii="仿宋_GB2312" w:eastAsia="仿宋_GB2312"/>
          <w:color w:val="auto"/>
          <w:sz w:val="28"/>
          <w:szCs w:val="28"/>
          <w:highlight w:val="none"/>
          <w:lang w:val="en-US" w:eastAsia="zh-CN"/>
        </w:rPr>
        <w:t>防疫要求：基于目前疫情防控形势，我公司仅接受快递或自行送达形式递交响应文件，响应文件须于递交截止时间前送达，并放置于公司正门保安处。</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本项目采购公告同时在广州市净水有限公司门户网</w:t>
      </w:r>
      <w:r>
        <w:rPr>
          <w:rFonts w:hint="eastAsia" w:ascii="仿宋_GB2312" w:eastAsia="仿宋_GB2312"/>
          <w:color w:val="auto"/>
          <w:sz w:val="28"/>
          <w:szCs w:val="28"/>
          <w:highlight w:val="none"/>
          <w:lang w:val="en-US" w:eastAsia="zh-CN"/>
        </w:rPr>
        <w:t>站和阳光平台</w:t>
      </w:r>
      <w:r>
        <w:rPr>
          <w:rFonts w:hint="eastAsia" w:ascii="仿宋_GB2312" w:eastAsia="仿宋_GB2312"/>
          <w:color w:val="auto"/>
          <w:sz w:val="28"/>
          <w:szCs w:val="28"/>
          <w:highlight w:val="none"/>
        </w:rPr>
        <w:t>上发布。本公告的补充、修改，在</w:t>
      </w:r>
      <w:r>
        <w:rPr>
          <w:rFonts w:hint="eastAsia" w:ascii="仿宋_GB2312" w:hAnsi="Calibri" w:eastAsia="仿宋_GB2312" w:cs="Times New Roman"/>
          <w:color w:val="auto"/>
          <w:sz w:val="28"/>
          <w:szCs w:val="28"/>
          <w:highlight w:val="none"/>
          <w:lang w:val="en-US" w:eastAsia="zh-CN"/>
        </w:rPr>
        <w:t>净水公司门户网站</w:t>
      </w:r>
      <w:r>
        <w:rPr>
          <w:rFonts w:hint="eastAsia" w:ascii="仿宋_GB2312" w:hAnsi="Calibri" w:eastAsia="仿宋_GB2312" w:cs="Times New Roman"/>
          <w:color w:val="auto"/>
          <w:sz w:val="28"/>
          <w:szCs w:val="28"/>
          <w:highlight w:val="none"/>
        </w:rPr>
        <w:t>发布。本公告在各媒体发布的文本如有不同之处，以</w:t>
      </w:r>
      <w:r>
        <w:rPr>
          <w:rFonts w:hint="eastAsia" w:ascii="仿宋_GB2312" w:hAnsi="Calibri" w:eastAsia="仿宋_GB2312" w:cs="Times New Roman"/>
          <w:color w:val="auto"/>
          <w:sz w:val="28"/>
          <w:szCs w:val="28"/>
          <w:highlight w:val="none"/>
          <w:lang w:val="en-US" w:eastAsia="zh-CN"/>
        </w:rPr>
        <w:t>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38890841</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 被书面限制参与采购活动的企业名单</w:t>
      </w:r>
    </w:p>
    <w:p>
      <w:pPr>
        <w:adjustRightInd w:val="0"/>
        <w:snapToGrid w:val="0"/>
        <w:spacing w:line="60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本项目采购人（包括市水投集团及其属下子公司）书面限制参与采购活动的企业名单：</w:t>
      </w:r>
    </w:p>
    <w:tbl>
      <w:tblPr>
        <w:tblStyle w:val="2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3402"/>
        <w:gridCol w:w="45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101"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3402"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单位名称</w:t>
            </w:r>
          </w:p>
        </w:tc>
        <w:tc>
          <w:tcPr>
            <w:tcW w:w="4557"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1</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广州市水电建设工程有限公司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2</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广州市南粤工程建设监理有限公司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w:t>
            </w:r>
            <w:r>
              <w:rPr>
                <w:rFonts w:hint="eastAsia" w:ascii="宋体" w:hAnsi="宋体" w:cs="宋体"/>
                <w:color w:val="auto"/>
                <w:sz w:val="24"/>
                <w:highlight w:val="none"/>
                <w:lang w:val="en-US" w:eastAsia="zh-CN"/>
              </w:rPr>
              <w:t>23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cs="宋体"/>
                <w:color w:val="auto"/>
                <w:sz w:val="24"/>
                <w:highlight w:val="none"/>
                <w:lang w:val="en-US" w:eastAsia="zh-CN"/>
              </w:rPr>
              <w:t>3</w:t>
            </w:r>
          </w:p>
        </w:tc>
        <w:tc>
          <w:tcPr>
            <w:tcW w:w="3402" w:type="dxa"/>
            <w:vAlign w:val="center"/>
          </w:tcPr>
          <w:p>
            <w:pPr>
              <w:jc w:val="center"/>
              <w:rPr>
                <w:rFonts w:hint="eastAsia" w:ascii="宋体" w:hAnsi="宋体" w:eastAsia="宋体" w:cs="宋体"/>
                <w:color w:val="auto"/>
                <w:kern w:val="2"/>
                <w:sz w:val="24"/>
                <w:szCs w:val="22"/>
                <w:highlight w:val="none"/>
                <w:lang w:val="en-US" w:eastAsia="zh-CN" w:bidi="ar-SA"/>
              </w:rPr>
            </w:pPr>
            <w:r>
              <w:rPr>
                <w:rFonts w:ascii="宋体" w:hAnsi="宋体" w:eastAsia="宋体" w:cs="宋体"/>
                <w:color w:val="auto"/>
                <w:sz w:val="24"/>
                <w:szCs w:val="24"/>
                <w:highlight w:val="none"/>
              </w:rPr>
              <w:t>广州市自来水工程有限公司</w:t>
            </w:r>
          </w:p>
        </w:tc>
        <w:tc>
          <w:tcPr>
            <w:tcW w:w="4557"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年1月</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至2022年</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31</w:t>
            </w:r>
            <w:r>
              <w:rPr>
                <w:rFonts w:hint="eastAsia" w:ascii="宋体" w:hAnsi="宋体" w:eastAsia="宋体" w:cs="宋体"/>
                <w:color w:val="auto"/>
                <w:sz w:val="24"/>
                <w:highlight w:val="none"/>
              </w:rPr>
              <w:t>日</w:t>
            </w:r>
          </w:p>
        </w:tc>
      </w:tr>
    </w:tbl>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10</w:t>
      </w:r>
      <w:r>
        <w:rPr>
          <w:rFonts w:hint="eastAsia" w:asciiTheme="minorEastAsia" w:hAnsiTheme="minorEastAsia"/>
          <w:b/>
          <w:color w:val="auto"/>
          <w:sz w:val="32"/>
          <w:szCs w:val="32"/>
          <w:highlight w:val="none"/>
        </w:rPr>
        <w:t>.联系方式</w:t>
      </w: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林工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ind w:firstLine="2240" w:firstLineChars="800"/>
              <w:jc w:val="left"/>
              <w:rPr>
                <w:rFonts w:ascii="仿宋_GB2312" w:eastAsia="仿宋_GB2312"/>
                <w:color w:val="auto"/>
                <w:sz w:val="28"/>
                <w:szCs w:val="28"/>
                <w:highlight w:val="none"/>
              </w:rPr>
            </w:pP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pStyle w:val="23"/>
        <w:ind w:left="0" w:leftChars="0" w:firstLine="0" w:firstLineChars="0"/>
        <w:rPr>
          <w:rFonts w:hint="eastAsia" w:ascii="仿宋_GB2312" w:eastAsia="仿宋_GB2312" w:hAnsiTheme="majorEastAsia"/>
          <w:color w:val="auto"/>
          <w:sz w:val="28"/>
          <w:szCs w:val="28"/>
          <w:highlight w:val="none"/>
        </w:rPr>
      </w:pPr>
    </w:p>
    <w:p>
      <w:pPr>
        <w:spacing w:line="480" w:lineRule="auto"/>
        <w:jc w:val="both"/>
        <w:rPr>
          <w:rFonts w:hint="eastAsia" w:ascii="仿宋" w:hAnsi="仿宋" w:eastAsia="仿宋" w:cs="仿宋"/>
          <w:b/>
          <w:color w:val="auto"/>
          <w:sz w:val="28"/>
          <w:szCs w:val="28"/>
          <w:highlight w:val="none"/>
          <w:lang w:val="en-US" w:eastAsia="zh-CN"/>
        </w:rPr>
      </w:pPr>
    </w:p>
    <w:p>
      <w:pPr>
        <w:spacing w:line="480" w:lineRule="auto"/>
        <w:jc w:val="both"/>
        <w:rPr>
          <w:rFonts w:hint="eastAsia" w:ascii="仿宋" w:hAnsi="仿宋" w:eastAsia="仿宋" w:cs="仿宋"/>
          <w:b/>
          <w:color w:val="auto"/>
          <w:sz w:val="28"/>
          <w:szCs w:val="28"/>
          <w:highlight w:val="none"/>
          <w:lang w:val="en-US" w:eastAsia="zh-CN"/>
        </w:rPr>
      </w:pPr>
    </w:p>
    <w:p>
      <w:pPr>
        <w:spacing w:line="480" w:lineRule="auto"/>
        <w:jc w:val="both"/>
        <w:rPr>
          <w:rFonts w:hint="eastAsia" w:ascii="仿宋" w:hAnsi="仿宋" w:eastAsia="仿宋" w:cs="仿宋"/>
          <w:b/>
          <w:color w:val="auto"/>
          <w:sz w:val="28"/>
          <w:szCs w:val="28"/>
          <w:highlight w:val="none"/>
          <w:lang w:val="en-US" w:eastAsia="zh-CN"/>
        </w:rPr>
      </w:pPr>
    </w:p>
    <w:p>
      <w:pPr>
        <w:spacing w:line="480" w:lineRule="auto"/>
        <w:jc w:val="both"/>
        <w:rPr>
          <w:rFonts w:hint="eastAsia" w:ascii="仿宋" w:hAnsi="仿宋" w:eastAsia="仿宋" w:cs="仿宋"/>
          <w:b/>
          <w:color w:val="auto"/>
          <w:sz w:val="28"/>
          <w:szCs w:val="28"/>
          <w:highlight w:val="none"/>
          <w:lang w:val="en-US" w:eastAsia="zh-CN"/>
        </w:rPr>
      </w:pPr>
    </w:p>
    <w:p>
      <w:pPr>
        <w:spacing w:line="480" w:lineRule="auto"/>
        <w:jc w:val="both"/>
        <w:rPr>
          <w:rFonts w:hint="eastAsia" w:ascii="仿宋" w:hAnsi="仿宋" w:eastAsia="仿宋" w:cs="仿宋"/>
          <w:b/>
          <w:color w:val="auto"/>
          <w:sz w:val="28"/>
          <w:szCs w:val="28"/>
          <w:highlight w:val="none"/>
          <w:lang w:val="en-US" w:eastAsia="zh-CN"/>
        </w:rPr>
      </w:pPr>
    </w:p>
    <w:p>
      <w:pPr>
        <w:pStyle w:val="23"/>
        <w:ind w:firstLine="0"/>
        <w:rPr>
          <w:rFonts w:hint="eastAsia" w:ascii="仿宋" w:hAnsi="仿宋" w:eastAsia="仿宋" w:cs="仿宋"/>
          <w:b/>
          <w:color w:val="auto"/>
          <w:sz w:val="28"/>
          <w:szCs w:val="28"/>
          <w:highlight w:val="none"/>
          <w:lang w:val="en-US" w:eastAsia="zh-CN"/>
        </w:rPr>
      </w:pPr>
    </w:p>
    <w:p>
      <w:pPr>
        <w:pStyle w:val="23"/>
        <w:ind w:firstLine="0"/>
        <w:rPr>
          <w:rFonts w:hint="eastAsia" w:ascii="仿宋" w:hAnsi="仿宋" w:eastAsia="仿宋" w:cs="仿宋"/>
          <w:b/>
          <w:color w:val="auto"/>
          <w:sz w:val="28"/>
          <w:szCs w:val="28"/>
          <w:highlight w:val="none"/>
          <w:lang w:val="en-US" w:eastAsia="zh-CN"/>
        </w:rPr>
      </w:pPr>
    </w:p>
    <w:p>
      <w:pPr>
        <w:pStyle w:val="23"/>
        <w:ind w:firstLine="0"/>
        <w:rPr>
          <w:rFonts w:hint="eastAsia" w:ascii="仿宋" w:hAnsi="仿宋" w:eastAsia="仿宋" w:cs="仿宋"/>
          <w:b/>
          <w:color w:val="auto"/>
          <w:sz w:val="28"/>
          <w:szCs w:val="28"/>
          <w:highlight w:val="none"/>
          <w:lang w:val="en-US" w:eastAsia="zh-CN"/>
        </w:rPr>
      </w:pPr>
    </w:p>
    <w:p>
      <w:pPr>
        <w:pStyle w:val="23"/>
        <w:ind w:firstLine="0"/>
        <w:rPr>
          <w:rFonts w:hint="eastAsia" w:ascii="仿宋" w:hAnsi="仿宋" w:eastAsia="仿宋" w:cs="仿宋"/>
          <w:b/>
          <w:color w:val="auto"/>
          <w:sz w:val="28"/>
          <w:szCs w:val="28"/>
          <w:highlight w:val="none"/>
          <w:lang w:val="en-US" w:eastAsia="zh-CN"/>
        </w:rPr>
      </w:pPr>
    </w:p>
    <w:p>
      <w:pPr>
        <w:pStyle w:val="23"/>
        <w:ind w:firstLine="0"/>
        <w:rPr>
          <w:rFonts w:hint="eastAsia" w:ascii="仿宋" w:hAnsi="仿宋" w:eastAsia="仿宋" w:cs="仿宋"/>
          <w:b/>
          <w:color w:val="auto"/>
          <w:sz w:val="28"/>
          <w:szCs w:val="28"/>
          <w:highlight w:val="none"/>
          <w:lang w:val="en-US" w:eastAsia="zh-CN"/>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4"/>
        <w:rPr>
          <w:rFonts w:hint="eastAsia"/>
          <w:color w:val="auto"/>
          <w:highlight w:val="none"/>
        </w:rPr>
      </w:pPr>
      <w:bookmarkStart w:id="26" w:name="_Toc10891"/>
    </w:p>
    <w:p>
      <w:pPr>
        <w:pStyle w:val="4"/>
        <w:rPr>
          <w:color w:val="auto"/>
          <w:highlight w:val="none"/>
        </w:rPr>
      </w:pPr>
      <w:bookmarkStart w:id="27" w:name="_Toc23749"/>
      <w:bookmarkStart w:id="28" w:name="_Toc9448"/>
      <w:bookmarkStart w:id="29" w:name="_Toc16557"/>
      <w:bookmarkStart w:id="30" w:name="_Toc2331"/>
      <w:bookmarkStart w:id="31" w:name="_Toc25603"/>
      <w:bookmarkStart w:id="32" w:name="_Toc2324"/>
      <w:bookmarkStart w:id="33" w:name="_Toc19295"/>
      <w:bookmarkStart w:id="34" w:name="_Toc16705"/>
      <w:bookmarkStart w:id="35" w:name="_Toc7340"/>
      <w:bookmarkStart w:id="36" w:name="_Toc32588"/>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2356485</wp:posOffset>
                </wp:positionH>
                <wp:positionV relativeFrom="paragraph">
                  <wp:posOffset>499110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5.55pt;margin-top:39.3pt;height:0pt;width:75.5pt;z-index:251673600;mso-width-relative:page;mso-height-relative:page;" filled="f" stroked="t" coordsize="21600,21600" o:gfxdata="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nPOXNg6cbv&#10;Pn//9enL7deftz++sck8a9QHrCl05TbxtMOwiZnwoY02/4kKOxRdj2dd1SExQYcvZ/P5jBQX967q&#10;IS9ETK+VtywbDccUQe+6tPLO0eX5OCmywv4NJqpMifcJuahxrM/w0xmBAw1jS0NApg1ECN2u5KI3&#10;Wl5rY3IGxt12ZSLbQx6I8mV+hPtXWC6yBuyGuOIaRqVTIF85ydIxkFKOXgjPLVglOTOKHlS2CBDq&#10;BNpcEkmljaMOssSDqNnaenksWpdzuvzS42lQ83T9uS/ZD49z+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x4CO71gAAAAkBAAAPAAAAAAAAAAEAIAAAACIAAABkcnMvZG93bnJldi54bWxQSwECFAAU&#10;AAAACACHTuJAl6dV2vMBAADkAwAADgAAAAAAAAABACAAAAAl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9mLt6v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26"/>
      <w:bookmarkEnd w:id="27"/>
      <w:bookmarkEnd w:id="28"/>
      <w:bookmarkEnd w:id="29"/>
      <w:bookmarkEnd w:id="30"/>
      <w:bookmarkEnd w:id="31"/>
      <w:bookmarkEnd w:id="32"/>
      <w:bookmarkEnd w:id="33"/>
      <w:bookmarkEnd w:id="34"/>
      <w:bookmarkEnd w:id="35"/>
      <w:bookmarkEnd w:id="36"/>
    </w:p>
    <w:p>
      <w:pPr>
        <w:pStyle w:val="5"/>
        <w:rPr>
          <w:rFonts w:hint="eastAsia"/>
          <w:color w:val="auto"/>
          <w:highlight w:val="none"/>
        </w:rPr>
      </w:pPr>
    </w:p>
    <w:p>
      <w:pPr>
        <w:pStyle w:val="5"/>
        <w:rPr>
          <w:color w:val="auto"/>
          <w:highlight w:val="none"/>
        </w:rPr>
      </w:pPr>
      <w:bookmarkStart w:id="37" w:name="_Toc2339"/>
      <w:bookmarkStart w:id="38" w:name="_Toc3416"/>
      <w:r>
        <w:rPr>
          <w:rFonts w:hint="eastAsia"/>
          <w:color w:val="auto"/>
          <w:highlight w:val="none"/>
        </w:rPr>
        <w:t>供应商须知</w:t>
      </w:r>
      <w:bookmarkEnd w:id="37"/>
      <w:bookmarkEnd w:id="38"/>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3"/>
        <w:rPr>
          <w:rFonts w:hint="eastAsia" w:asciiTheme="minorEastAsia" w:hAnsiTheme="minorEastAsia"/>
          <w:b/>
          <w:color w:val="auto"/>
          <w:sz w:val="32"/>
          <w:szCs w:val="32"/>
          <w:highlight w:val="none"/>
        </w:rPr>
      </w:pPr>
    </w:p>
    <w:p>
      <w:pPr>
        <w:pStyle w:val="23"/>
        <w:rPr>
          <w:rFonts w:hint="eastAsia" w:asciiTheme="minorEastAsia" w:hAnsiTheme="minorEastAsia"/>
          <w:b/>
          <w:color w:val="auto"/>
          <w:sz w:val="32"/>
          <w:szCs w:val="32"/>
          <w:highlight w:val="none"/>
        </w:rPr>
      </w:pPr>
    </w:p>
    <w:p>
      <w:pPr>
        <w:pStyle w:val="23"/>
        <w:rPr>
          <w:rFonts w:hint="eastAsia" w:asciiTheme="minorEastAsia" w:hAnsiTheme="minorEastAsia"/>
          <w:b/>
          <w:color w:val="auto"/>
          <w:sz w:val="32"/>
          <w:szCs w:val="32"/>
          <w:highlight w:val="none"/>
        </w:rPr>
      </w:pPr>
    </w:p>
    <w:p>
      <w:pPr>
        <w:pStyle w:val="23"/>
        <w:rPr>
          <w:rFonts w:hint="eastAsia" w:asciiTheme="minorEastAsia" w:hAnsiTheme="minorEastAsia"/>
          <w:b/>
          <w:color w:val="auto"/>
          <w:sz w:val="32"/>
          <w:szCs w:val="32"/>
          <w:highlight w:val="none"/>
        </w:rPr>
      </w:pPr>
    </w:p>
    <w:p>
      <w:pPr>
        <w:pStyle w:val="23"/>
        <w:rPr>
          <w:rFonts w:hint="eastAsia" w:asciiTheme="minorEastAsia" w:hAnsiTheme="minorEastAsia"/>
          <w:b/>
          <w:color w:val="auto"/>
          <w:sz w:val="32"/>
          <w:szCs w:val="32"/>
          <w:highlight w:val="none"/>
        </w:rPr>
      </w:pPr>
    </w:p>
    <w:p>
      <w:pPr>
        <w:pStyle w:val="23"/>
        <w:rPr>
          <w:rFonts w:hint="eastAsia" w:asciiTheme="minorEastAsia" w:hAnsiTheme="minorEastAsia"/>
          <w:b/>
          <w:color w:val="auto"/>
          <w:sz w:val="32"/>
          <w:szCs w:val="32"/>
          <w:highlight w:val="none"/>
        </w:rPr>
      </w:pPr>
    </w:p>
    <w:p>
      <w:pPr>
        <w:pStyle w:val="23"/>
        <w:ind w:left="0" w:leftChars="0" w:firstLine="0" w:firstLineChars="0"/>
        <w:rPr>
          <w:rFonts w:hint="eastAsia"/>
          <w:color w:val="auto"/>
          <w:highlight w:val="none"/>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3"/>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5"/>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（1）采购公告</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会议地点：采购公告中指定地点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.本次交易的特别规定</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对于施工技术方案简单、工期较短、季节性强的中小型工程，或者标准通用设备、材料以及有关服务的采购，可以不要求供应商编制施工组织设计、安装调试方案或服务大纲等技术响应文件，可不进行技术评审。</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 供应商或其他利害关系人可以对采购公告、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40"/>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5"/>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3"/>
        <w:rPr>
          <w:color w:val="auto"/>
          <w:highlight w:val="none"/>
        </w:rPr>
      </w:pPr>
    </w:p>
    <w:p>
      <w:pPr>
        <w:pStyle w:val="23"/>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40"/>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3"/>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40"/>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40"/>
        <w:rPr>
          <w:color w:val="auto"/>
          <w:highlight w:val="none"/>
        </w:rPr>
      </w:pPr>
    </w:p>
    <w:p>
      <w:pPr>
        <w:pStyle w:val="40"/>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5"/>
        <w:rPr>
          <w:rFonts w:hint="eastAsia" w:asciiTheme="minorHAnsi" w:hAnsiTheme="minorHAnsi" w:cstheme="minorBidi"/>
          <w:color w:val="auto"/>
          <w:kern w:val="44"/>
          <w:sz w:val="44"/>
          <w:szCs w:val="44"/>
          <w:highlight w:val="none"/>
        </w:rPr>
      </w:pPr>
      <w:bookmarkStart w:id="39" w:name="_Toc21455"/>
      <w:bookmarkStart w:id="40" w:name="_Toc2867"/>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1312"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1312;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WEU7dYAAAAJ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0288"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0288;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BcgxbnxAQAA4g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mcObB04Xef&#10;v//69OX268/bH9/Y86xQH7CmwJXbxNMOwyZmuoc22vwnIuxQVD2eVVWHxAQdvpzN5zPSW9y7qoe8&#10;EDG9Vt6ybDQcUwS969LKO0dX5+OkiAr7N5ioMiXeJ+SixrE+w09nBA40ii2NAJk2EB10u5KL3mh5&#10;rY3JGRh325WJbA95HMqX+RHuX2G5yBqwG+KKaxiUToF85SRLx0BCOXofPLdgleTMKHpO2SJAqBNo&#10;c0kklTaOOsgSD6Jma+vlsWhdzunqS4+nMc2z9ee+ZD88z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8C0PytYAAAAJAQAADwAAAAAAAAABACAAAAAiAAAAZHJzL2Rvd25yZXYueG1sUEsBAhQAFAAA&#10;AAgAh07iQBcgxbn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39"/>
      <w:bookmarkEnd w:id="40"/>
    </w:p>
    <w:p>
      <w:pPr>
        <w:pStyle w:val="40"/>
        <w:rPr>
          <w:color w:val="auto"/>
          <w:highlight w:val="none"/>
        </w:rPr>
      </w:pPr>
    </w:p>
    <w:p>
      <w:pPr>
        <w:pStyle w:val="5"/>
        <w:rPr>
          <w:color w:val="auto"/>
          <w:highlight w:val="none"/>
        </w:rPr>
      </w:pPr>
      <w:bookmarkStart w:id="41" w:name="_Toc87616371"/>
      <w:bookmarkStart w:id="42" w:name="_Toc7040"/>
      <w:bookmarkStart w:id="43" w:name="_Toc88209934"/>
      <w:bookmarkStart w:id="44" w:name="_Toc7303"/>
      <w:r>
        <w:rPr>
          <w:rFonts w:hint="eastAsia"/>
          <w:color w:val="auto"/>
          <w:highlight w:val="none"/>
        </w:rPr>
        <w:t>采购方法</w:t>
      </w:r>
      <w:bookmarkEnd w:id="41"/>
      <w:bookmarkEnd w:id="42"/>
      <w:bookmarkEnd w:id="43"/>
      <w:bookmarkEnd w:id="44"/>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5"/>
        <w:rPr>
          <w:color w:val="auto"/>
          <w:highlight w:val="none"/>
        </w:rPr>
      </w:pPr>
      <w:bookmarkStart w:id="45" w:name="_Toc3789"/>
      <w:bookmarkStart w:id="46" w:name="_Toc24895"/>
      <w:r>
        <w:rPr>
          <w:rFonts w:hint="eastAsia"/>
          <w:color w:val="auto"/>
          <w:highlight w:val="none"/>
        </w:rPr>
        <w:t>询比采购</w:t>
      </w:r>
      <w:bookmarkEnd w:id="45"/>
      <w:bookmarkEnd w:id="46"/>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公开询比</w:t>
      </w:r>
    </w:p>
    <w:tbl>
      <w:tblPr>
        <w:tblStyle w:val="25"/>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bookmarkStart w:id="47" w:name="_Toc23581"/>
      <w:bookmarkStart w:id="48" w:name="_Toc3156"/>
      <w:bookmarkStart w:id="49" w:name="_Toc19050"/>
      <w:bookmarkStart w:id="50" w:name="_Toc14870"/>
      <w:bookmarkStart w:id="51" w:name="_Toc4952"/>
      <w:bookmarkStart w:id="52" w:name="_Toc14552"/>
      <w:bookmarkStart w:id="53" w:name="_Toc19759"/>
      <w:bookmarkStart w:id="54" w:name="_Toc7118"/>
      <w:bookmarkStart w:id="55" w:name="_Toc7437"/>
      <w:bookmarkStart w:id="56" w:name="_Toc20594"/>
      <w:bookmarkStart w:id="57" w:name="_Toc10930"/>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3360;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2336;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47"/>
      <w:bookmarkEnd w:id="48"/>
      <w:bookmarkEnd w:id="49"/>
      <w:bookmarkEnd w:id="50"/>
      <w:bookmarkEnd w:id="51"/>
      <w:bookmarkEnd w:id="52"/>
      <w:bookmarkEnd w:id="53"/>
      <w:bookmarkEnd w:id="54"/>
      <w:bookmarkEnd w:id="55"/>
      <w:bookmarkEnd w:id="56"/>
      <w:bookmarkEnd w:id="57"/>
    </w:p>
    <w:p>
      <w:pPr>
        <w:pStyle w:val="40"/>
        <w:rPr>
          <w:color w:val="auto"/>
          <w:highlight w:val="none"/>
        </w:rPr>
      </w:pPr>
    </w:p>
    <w:p>
      <w:pPr>
        <w:pStyle w:val="4"/>
        <w:rPr>
          <w:color w:val="auto"/>
          <w:highlight w:val="none"/>
        </w:rPr>
      </w:pPr>
      <w:bookmarkStart w:id="58" w:name="_Toc21840"/>
      <w:bookmarkStart w:id="59" w:name="_Toc87616378"/>
      <w:bookmarkStart w:id="60" w:name="_Toc30530"/>
      <w:bookmarkStart w:id="61" w:name="_Toc32607"/>
      <w:bookmarkStart w:id="62" w:name="_Toc7831"/>
      <w:bookmarkStart w:id="63" w:name="_Toc29345"/>
      <w:bookmarkStart w:id="64" w:name="_Toc88209941"/>
      <w:bookmarkStart w:id="65" w:name="_Toc12177"/>
      <w:bookmarkStart w:id="66" w:name="_Toc13898"/>
      <w:bookmarkStart w:id="67" w:name="_Toc6308"/>
      <w:bookmarkStart w:id="68" w:name="_Toc21079"/>
      <w:bookmarkStart w:id="69" w:name="_Toc29484"/>
      <w:bookmarkStart w:id="70" w:name="_Toc22212"/>
      <w:r>
        <w:rPr>
          <w:rFonts w:hint="eastAsia"/>
          <w:color w:val="auto"/>
          <w:highlight w:val="none"/>
        </w:rPr>
        <w:t>评审办法</w:t>
      </w:r>
      <w:bookmarkEnd w:id="58"/>
      <w:bookmarkEnd w:id="59"/>
      <w:bookmarkEnd w:id="60"/>
      <w:bookmarkEnd w:id="61"/>
      <w:bookmarkEnd w:id="62"/>
      <w:bookmarkEnd w:id="63"/>
      <w:bookmarkEnd w:id="64"/>
      <w:bookmarkEnd w:id="65"/>
      <w:bookmarkEnd w:id="66"/>
      <w:bookmarkEnd w:id="67"/>
      <w:bookmarkEnd w:id="68"/>
      <w:bookmarkEnd w:id="69"/>
      <w:bookmarkEnd w:id="70"/>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ind w:firstLine="0"/>
        <w:rPr>
          <w:rFonts w:ascii="方正小标宋简体" w:eastAsia="方正小标宋简体"/>
          <w:color w:val="auto"/>
          <w:sz w:val="44"/>
          <w:szCs w:val="44"/>
          <w:highlight w:val="none"/>
        </w:rPr>
      </w:pPr>
    </w:p>
    <w:p>
      <w:pPr>
        <w:pStyle w:val="5"/>
        <w:rPr>
          <w:color w:val="auto"/>
          <w:highlight w:val="none"/>
        </w:rPr>
      </w:pPr>
      <w:bookmarkStart w:id="71" w:name="_Toc23033"/>
      <w:bookmarkStart w:id="72" w:name="_Toc26826"/>
      <w:r>
        <w:rPr>
          <w:rFonts w:hint="eastAsia"/>
          <w:color w:val="auto"/>
          <w:highlight w:val="none"/>
        </w:rPr>
        <w:t>经评审的最低价法</w:t>
      </w:r>
      <w:bookmarkEnd w:id="71"/>
      <w:bookmarkEnd w:id="72"/>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5"/>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法定代表人授权委托</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有授权书</w:t>
            </w:r>
            <w:r>
              <w:rPr>
                <w:rFonts w:hint="eastAsia" w:ascii="仿宋_GB2312" w:eastAsia="仿宋_GB2312"/>
                <w:color w:val="auto"/>
                <w:sz w:val="24"/>
                <w:szCs w:val="24"/>
                <w:highlight w:val="none"/>
              </w:rPr>
              <w:t>，</w:t>
            </w:r>
            <w:r>
              <w:rPr>
                <w:rFonts w:ascii="仿宋_GB2312" w:eastAsia="仿宋_GB2312"/>
                <w:color w:val="auto"/>
                <w:sz w:val="24"/>
                <w:szCs w:val="24"/>
                <w:highlight w:val="none"/>
              </w:rPr>
              <w:t>授权书有法定代表人及其委托代理人签字并加盖单位</w:t>
            </w:r>
            <w:r>
              <w:rPr>
                <w:rFonts w:hint="eastAsia" w:ascii="仿宋_GB2312" w:eastAsia="仿宋_GB2312"/>
                <w:color w:val="auto"/>
                <w:sz w:val="24"/>
                <w:szCs w:val="24"/>
                <w:highlight w:val="none"/>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4"/>
        <w:rPr>
          <w:color w:val="auto"/>
          <w:highlight w:val="none"/>
        </w:rPr>
      </w:pPr>
      <w:bookmarkStart w:id="73" w:name="_Toc88209947"/>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FzLtV/y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xLmoQFZw4s3fjP&#10;T99+ffx89+XH3fevbL7IGg0BawrduJt42mG4iZnwoY02/4kKOxRdj2dd1SExQYcvFsvlghQX967q&#10;IS9ETK+UtywbDccUQXd92njn6PJ8nBVZYf8aE1WmxPuEXNQ4NmR4apIJoGFsaQjItIEIoetKLnqj&#10;5bU2Jmdg7HYbE9ke8kCUL/Mj3L/CcpEtYD/GFdc4Kr0C+dJJlo6BlHL0QnhuwSrJmVH0oLJFgFAn&#10;0OaSSCptHHWQJR5FzdbOy2PRupzT5ZceT4Oap+vPfcl+eJz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Cti3rWAAAACQEAAA8AAAAAAAAAAQAgAAAAIgAAAGRycy9kb3ducmV2LnhtbFBLAQIUABQA&#10;AAAIAIdO4kBcy7Vf8gEAAOQDAAAOAAAAAAAAAAEAIAAAACU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5"/>
        <w:rPr>
          <w:rFonts w:hint="eastAsia"/>
          <w:color w:val="auto"/>
          <w:highlight w:val="none"/>
        </w:rPr>
      </w:pPr>
    </w:p>
    <w:p>
      <w:pPr>
        <w:pStyle w:val="5"/>
        <w:rPr>
          <w:rFonts w:hint="eastAsia"/>
          <w:color w:val="auto"/>
          <w:szCs w:val="44"/>
          <w:highlight w:val="none"/>
        </w:rPr>
      </w:pPr>
      <w:r>
        <w:rPr>
          <w:rFonts w:hint="eastAsia"/>
          <w:color w:val="auto"/>
          <w:szCs w:val="44"/>
          <w:highlight w:val="none"/>
        </w:rPr>
        <w:t>采购需求</w:t>
      </w: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12"/>
        <w:numPr>
          <w:ilvl w:val="0"/>
          <w:numId w:val="4"/>
        </w:numPr>
        <w:adjustRightInd w:val="0"/>
        <w:snapToGrid w:val="0"/>
        <w:spacing w:line="360" w:lineRule="auto"/>
        <w:ind w:firstLine="562" w:firstLineChars="200"/>
        <w:rPr>
          <w:rFonts w:hint="eastAsia" w:ascii="仿宋" w:hAnsi="仿宋" w:eastAsia="仿宋" w:cs="仿宋_GB2312"/>
          <w:b/>
          <w:bCs/>
          <w:color w:val="auto"/>
          <w:kern w:val="0"/>
          <w:sz w:val="28"/>
          <w:szCs w:val="28"/>
          <w:highlight w:val="none"/>
          <w:lang w:val="en-US" w:eastAsia="zh-CN"/>
        </w:rPr>
      </w:pPr>
      <w:r>
        <w:rPr>
          <w:rFonts w:hint="eastAsia" w:ascii="仿宋" w:hAnsi="仿宋" w:eastAsia="仿宋" w:cs="仿宋_GB2312"/>
          <w:b/>
          <w:bCs/>
          <w:color w:val="auto"/>
          <w:kern w:val="0"/>
          <w:sz w:val="28"/>
          <w:szCs w:val="28"/>
          <w:highlight w:val="none"/>
          <w:lang w:val="en-US" w:eastAsia="zh-CN"/>
        </w:rPr>
        <w:t>项目内容及需求</w:t>
      </w:r>
    </w:p>
    <w:p>
      <w:pPr>
        <w:pStyle w:val="7"/>
        <w:rPr>
          <w:rFonts w:hint="eastAsia" w:ascii="仿宋" w:hAnsi="仿宋" w:eastAsia="仿宋" w:cs="仿宋"/>
          <w:b w:val="0"/>
          <w:bCs w:val="0"/>
          <w:color w:val="auto"/>
          <w:kern w:val="2"/>
          <w:sz w:val="28"/>
          <w:szCs w:val="28"/>
          <w:highlight w:val="none"/>
          <w:u w:val="none"/>
          <w:lang w:val="en-US" w:eastAsia="zh-CN" w:bidi="ar-SA"/>
        </w:rPr>
      </w:pPr>
      <w:bookmarkStart w:id="74" w:name="采购需求"/>
      <w:bookmarkEnd w:id="74"/>
      <w:r>
        <w:rPr>
          <w:rFonts w:hint="eastAsia" w:ascii="仿宋" w:hAnsi="仿宋" w:eastAsia="仿宋" w:cs="仿宋"/>
          <w:b w:val="0"/>
          <w:bCs w:val="0"/>
          <w:color w:val="auto"/>
          <w:kern w:val="2"/>
          <w:sz w:val="28"/>
          <w:szCs w:val="28"/>
          <w:highlight w:val="none"/>
          <w:u w:val="none"/>
          <w:lang w:val="en-US" w:eastAsia="zh-CN" w:bidi="ar-SA"/>
        </w:rPr>
        <w:t>为大坦沙分公司一二期厂区污水泵房增设一套离子除臭装置，治理污水泵房产生的有毒有害气体。</w:t>
      </w:r>
    </w:p>
    <w:p>
      <w:pPr>
        <w:pStyle w:val="50"/>
        <w:numPr>
          <w:ilvl w:val="0"/>
          <w:numId w:val="0"/>
        </w:numPr>
        <w:ind w:leftChars="200"/>
        <w:rPr>
          <w:rFonts w:hint="eastAsia" w:hAnsi="宋体" w:cs="宋体"/>
          <w:color w:val="auto"/>
          <w:kern w:val="0"/>
          <w:sz w:val="28"/>
          <w:szCs w:val="28"/>
          <w:highlight w:val="none"/>
          <w:lang w:val="en-US" w:eastAsia="zh-CN"/>
        </w:rPr>
      </w:pPr>
      <w:r>
        <w:rPr>
          <w:rFonts w:hint="eastAsia" w:hAnsi="宋体" w:cs="宋体"/>
          <w:color w:val="auto"/>
          <w:kern w:val="0"/>
          <w:sz w:val="28"/>
          <w:szCs w:val="28"/>
          <w:highlight w:val="none"/>
          <w:lang w:val="en-US" w:eastAsia="zh-CN"/>
        </w:rPr>
        <w:t>1、对设备安装位置，地壤泥质面挖深20cm，混凝土浇筑，砌出2000mm*4000mm除臭装置基础；</w:t>
      </w:r>
    </w:p>
    <w:p>
      <w:pPr>
        <w:pStyle w:val="50"/>
        <w:numPr>
          <w:ilvl w:val="0"/>
          <w:numId w:val="0"/>
        </w:numPr>
        <w:ind w:leftChars="200"/>
        <w:rPr>
          <w:rFonts w:hint="eastAsia" w:hAnsi="宋体" w:cs="宋体"/>
          <w:color w:val="auto"/>
          <w:kern w:val="0"/>
          <w:sz w:val="28"/>
          <w:szCs w:val="28"/>
          <w:highlight w:val="none"/>
          <w:lang w:val="en-US" w:eastAsia="zh-CN"/>
        </w:rPr>
      </w:pPr>
      <w:r>
        <w:rPr>
          <w:rFonts w:hint="eastAsia" w:hAnsi="宋体" w:cs="宋体"/>
          <w:color w:val="auto"/>
          <w:kern w:val="0"/>
          <w:sz w:val="28"/>
          <w:szCs w:val="28"/>
          <w:highlight w:val="none"/>
          <w:lang w:val="en-US" w:eastAsia="zh-CN"/>
        </w:rPr>
        <w:t>2、恢复污水泵房侧路，清理碎石损坏路面层，重新浇筑混凝土铺平损坏道路；</w:t>
      </w:r>
    </w:p>
    <w:p>
      <w:pPr>
        <w:pStyle w:val="50"/>
        <w:numPr>
          <w:ilvl w:val="0"/>
          <w:numId w:val="0"/>
        </w:numPr>
        <w:ind w:leftChars="200"/>
        <w:rPr>
          <w:rFonts w:hint="eastAsia" w:hAnsi="宋体" w:cs="宋体"/>
          <w:color w:val="auto"/>
          <w:kern w:val="0"/>
          <w:sz w:val="28"/>
          <w:szCs w:val="28"/>
          <w:highlight w:val="none"/>
          <w:lang w:val="en-US" w:eastAsia="zh-CN"/>
        </w:rPr>
      </w:pPr>
      <w:r>
        <w:rPr>
          <w:rFonts w:hint="eastAsia" w:hAnsi="宋体" w:cs="宋体"/>
          <w:color w:val="auto"/>
          <w:kern w:val="0"/>
          <w:sz w:val="28"/>
          <w:szCs w:val="28"/>
          <w:highlight w:val="none"/>
          <w:lang w:val="en-US" w:eastAsia="zh-CN"/>
        </w:rPr>
        <w:t>3、除臭混凝土基础及道路干透后，拆除原有排气风扇，安装DN300进气风管连接后置离心风机，管道选用螺旋304不锈钢风管，厚度≥1mm，泵房窗口安装防盗网共四处；</w:t>
      </w:r>
    </w:p>
    <w:p>
      <w:pPr>
        <w:pStyle w:val="50"/>
        <w:numPr>
          <w:ilvl w:val="0"/>
          <w:numId w:val="0"/>
        </w:numPr>
        <w:ind w:leftChars="200"/>
        <w:rPr>
          <w:rFonts w:hint="default" w:hAnsi="宋体" w:cs="宋体"/>
          <w:color w:val="auto"/>
          <w:kern w:val="0"/>
          <w:sz w:val="28"/>
          <w:szCs w:val="28"/>
          <w:highlight w:val="none"/>
          <w:lang w:val="en-US" w:eastAsia="zh-CN"/>
        </w:rPr>
      </w:pPr>
      <w:r>
        <w:rPr>
          <w:rFonts w:hint="eastAsia" w:hAnsi="宋体" w:cs="宋体"/>
          <w:color w:val="auto"/>
          <w:kern w:val="0"/>
          <w:sz w:val="28"/>
          <w:szCs w:val="28"/>
          <w:highlight w:val="none"/>
          <w:lang w:val="en-US" w:eastAsia="zh-CN"/>
        </w:rPr>
        <w:t>4、从北侧墙体进入线孔延线管铺设电缆至除臭装置，提供除臭装置及附属设备电源；</w:t>
      </w:r>
    </w:p>
    <w:p>
      <w:pPr>
        <w:pStyle w:val="50"/>
        <w:numPr>
          <w:ilvl w:val="0"/>
          <w:numId w:val="0"/>
        </w:numPr>
        <w:ind w:leftChars="200"/>
        <w:rPr>
          <w:rFonts w:hint="default"/>
          <w:color w:val="auto"/>
          <w:sz w:val="22"/>
          <w:szCs w:val="22"/>
          <w:highlight w:val="none"/>
          <w:lang w:val="en-US" w:eastAsia="zh-CN"/>
        </w:rPr>
      </w:pPr>
      <w:r>
        <w:rPr>
          <w:rFonts w:hint="eastAsia" w:hAnsi="宋体" w:cs="宋体"/>
          <w:color w:val="auto"/>
          <w:kern w:val="0"/>
          <w:sz w:val="28"/>
          <w:szCs w:val="28"/>
          <w:highlight w:val="none"/>
          <w:lang w:val="en-US" w:eastAsia="zh-CN"/>
        </w:rPr>
        <w:t>5、安装设备，控制电箱并对设备进行调试，风管及设备增加标识；</w:t>
      </w:r>
      <w:r>
        <w:rPr>
          <w:rFonts w:hint="eastAsia"/>
          <w:color w:val="auto"/>
          <w:sz w:val="22"/>
          <w:szCs w:val="22"/>
          <w:highlight w:val="none"/>
          <w:lang w:val="en-US" w:eastAsia="zh-CN"/>
        </w:rPr>
        <w:t xml:space="preserve"> </w:t>
      </w:r>
    </w:p>
    <w:p>
      <w:pPr>
        <w:pStyle w:val="50"/>
        <w:numPr>
          <w:ilvl w:val="0"/>
          <w:numId w:val="0"/>
        </w:numPr>
        <w:ind w:leftChars="200"/>
        <w:rPr>
          <w:rFonts w:hint="eastAsia" w:hAnsi="宋体" w:cs="宋体"/>
          <w:color w:val="auto"/>
          <w:kern w:val="0"/>
          <w:sz w:val="24"/>
          <w:szCs w:val="24"/>
          <w:highlight w:val="none"/>
          <w:lang w:val="en-US" w:eastAsia="zh-CN"/>
        </w:rPr>
      </w:pPr>
      <w:r>
        <w:rPr>
          <w:rFonts w:hint="eastAsia" w:hAnsi="宋体" w:cs="宋体"/>
          <w:color w:val="auto"/>
          <w:kern w:val="0"/>
          <w:sz w:val="28"/>
          <w:szCs w:val="28"/>
          <w:highlight w:val="none"/>
          <w:lang w:val="en-US" w:eastAsia="zh-CN"/>
        </w:rPr>
        <w:t>6、运行稳定后</w:t>
      </w:r>
      <w:r>
        <w:rPr>
          <w:rFonts w:hint="eastAsia" w:ascii="仿宋_GB2312" w:hAnsi="Calibri" w:cs="Times New Roman"/>
          <w:color w:val="auto"/>
          <w:kern w:val="2"/>
          <w:sz w:val="28"/>
          <w:szCs w:val="28"/>
          <w:highlight w:val="none"/>
          <w:lang w:val="en-US" w:eastAsia="zh-CN" w:bidi="ar-SA"/>
        </w:rPr>
        <w:t>委托第三方检测单位对装置排放口气体进行检测，并出具检测报告，检测去除率达标后，进行项目验收</w:t>
      </w:r>
      <w:r>
        <w:rPr>
          <w:rFonts w:hint="eastAsia" w:hAnsi="宋体" w:cs="宋体"/>
          <w:color w:val="auto"/>
          <w:kern w:val="0"/>
          <w:sz w:val="24"/>
          <w:szCs w:val="24"/>
          <w:highlight w:val="none"/>
          <w:lang w:val="en-US" w:eastAsia="zh-CN"/>
        </w:rPr>
        <w:t>；</w:t>
      </w:r>
    </w:p>
    <w:p>
      <w:pPr>
        <w:pStyle w:val="50"/>
        <w:numPr>
          <w:ilvl w:val="0"/>
          <w:numId w:val="0"/>
        </w:numPr>
        <w:ind w:leftChars="200"/>
        <w:rPr>
          <w:rFonts w:hint="eastAsia" w:ascii="宋体" w:hAnsi="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7、工程量清单</w:t>
      </w:r>
    </w:p>
    <w:tbl>
      <w:tblPr>
        <w:tblStyle w:val="24"/>
        <w:tblW w:w="897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1"/>
        <w:gridCol w:w="1875"/>
        <w:gridCol w:w="3949"/>
        <w:gridCol w:w="750"/>
        <w:gridCol w:w="13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1081"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187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394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项目特征描述</w:t>
            </w:r>
          </w:p>
        </w:tc>
        <w:tc>
          <w:tcPr>
            <w:tcW w:w="75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计量单位</w:t>
            </w:r>
          </w:p>
        </w:tc>
        <w:tc>
          <w:tcPr>
            <w:tcW w:w="132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1081"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87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394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75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32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081"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87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394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75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32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4" w:hRule="atLeast"/>
        </w:trPr>
        <w:tc>
          <w:tcPr>
            <w:tcW w:w="108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8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除臭设备</w:t>
            </w:r>
          </w:p>
        </w:tc>
        <w:tc>
          <w:tcPr>
            <w:tcW w:w="39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1.Q=3000m3/h，尺寸：2.2m×1.1m×1.2m，SS304，厚=2mm</w:t>
            </w:r>
          </w:p>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2.离子发生装置、风机、内部风管、配件等</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132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7" w:hRule="atLeast"/>
        </w:trPr>
        <w:tc>
          <w:tcPr>
            <w:tcW w:w="108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8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离心式通风机</w:t>
            </w:r>
          </w:p>
        </w:tc>
        <w:tc>
          <w:tcPr>
            <w:tcW w:w="39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1.Q=3000m3/h，P=1500Pa，N=2.2KW，IP55，含不锈钢外皮隔音罩</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132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trPr>
        <w:tc>
          <w:tcPr>
            <w:tcW w:w="108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8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控制柜</w:t>
            </w:r>
          </w:p>
        </w:tc>
        <w:tc>
          <w:tcPr>
            <w:tcW w:w="39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numPr>
                <w:ilvl w:val="0"/>
                <w:numId w:val="5"/>
              </w:numPr>
              <w:suppressLineNumbers w:val="0"/>
              <w:jc w:val="left"/>
              <w:textAlignment w:val="center"/>
              <w:rPr>
                <w:rFonts w:hint="eastAsia"/>
                <w:color w:val="auto"/>
                <w:highlight w:val="none"/>
                <w:lang w:val="en-US" w:eastAsia="zh-CN"/>
              </w:rPr>
            </w:pPr>
            <w:r>
              <w:rPr>
                <w:rFonts w:hint="eastAsia"/>
                <w:color w:val="auto"/>
                <w:highlight w:val="none"/>
                <w:lang w:val="en-US" w:eastAsia="zh-CN"/>
              </w:rPr>
              <w:t>配套，400*600，挂墙安装</w:t>
            </w:r>
          </w:p>
          <w:p>
            <w:pPr>
              <w:keepNext w:val="0"/>
              <w:keepLines w:val="0"/>
              <w:widowControl/>
              <w:numPr>
                <w:ilvl w:val="0"/>
                <w:numId w:val="5"/>
              </w:numPr>
              <w:suppressLineNumbers w:val="0"/>
              <w:ind w:left="0" w:leftChars="0" w:firstLine="0" w:firstLineChars="0"/>
              <w:jc w:val="left"/>
              <w:textAlignment w:val="center"/>
              <w:rPr>
                <w:rFonts w:hint="eastAsia"/>
                <w:color w:val="auto"/>
                <w:highlight w:val="none"/>
                <w:lang w:val="en-US" w:eastAsia="zh-CN"/>
              </w:rPr>
            </w:pPr>
            <w:r>
              <w:rPr>
                <w:rFonts w:hint="eastAsia"/>
                <w:color w:val="auto"/>
                <w:highlight w:val="none"/>
                <w:lang w:val="en-US" w:eastAsia="zh-CN"/>
              </w:rPr>
              <w:t>包含显示“开启/停止/故障”及要求。</w:t>
            </w:r>
          </w:p>
          <w:p>
            <w:pPr>
              <w:pStyle w:val="2"/>
              <w:numPr>
                <w:ilvl w:val="0"/>
                <w:numId w:val="5"/>
              </w:numPr>
              <w:ind w:left="0" w:leftChars="0" w:firstLine="0" w:firstLineChars="0"/>
              <w:rPr>
                <w:rFonts w:hint="default"/>
                <w:color w:val="auto"/>
                <w:highlight w:val="none"/>
                <w:lang w:val="en-US"/>
              </w:rPr>
            </w:pPr>
            <w:r>
              <w:rPr>
                <w:rFonts w:hint="eastAsia"/>
                <w:color w:val="auto"/>
                <w:highlight w:val="none"/>
                <w:lang w:val="en-US" w:eastAsia="zh-CN"/>
              </w:rPr>
              <w:t>类型为户外型，材质采用不锈钢SS304材质。（详见第五章 项目技术需求）</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132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7" w:hRule="atLeast"/>
        </w:trPr>
        <w:tc>
          <w:tcPr>
            <w:tcW w:w="108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8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设备基础</w:t>
            </w:r>
          </w:p>
        </w:tc>
        <w:tc>
          <w:tcPr>
            <w:tcW w:w="39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1.混凝土种类:现浇</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2.混凝土强度等级:c25</w:t>
            </w:r>
          </w:p>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3.设备基础油黄黑警示标识</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m3</w:t>
            </w:r>
          </w:p>
        </w:tc>
        <w:tc>
          <w:tcPr>
            <w:tcW w:w="132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trPr>
        <w:tc>
          <w:tcPr>
            <w:tcW w:w="108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8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现浇混凝土路面</w:t>
            </w:r>
          </w:p>
        </w:tc>
        <w:tc>
          <w:tcPr>
            <w:tcW w:w="39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1.厚度:200mm</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132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trPr>
        <w:tc>
          <w:tcPr>
            <w:tcW w:w="108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8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配管</w:t>
            </w:r>
          </w:p>
        </w:tc>
        <w:tc>
          <w:tcPr>
            <w:tcW w:w="39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1.材质:镀锌套管</w:t>
            </w:r>
          </w:p>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2.规格:DN25</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132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2" w:hRule="atLeast"/>
        </w:trPr>
        <w:tc>
          <w:tcPr>
            <w:tcW w:w="108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18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配线</w:t>
            </w:r>
          </w:p>
        </w:tc>
        <w:tc>
          <w:tcPr>
            <w:tcW w:w="39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1.名称:动力电缆</w:t>
            </w:r>
          </w:p>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2.规格:国标RVV护套线，6mm，5蕊</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132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2" w:hRule="atLeast"/>
        </w:trPr>
        <w:tc>
          <w:tcPr>
            <w:tcW w:w="108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18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手动风阀</w:t>
            </w:r>
          </w:p>
        </w:tc>
        <w:tc>
          <w:tcPr>
            <w:tcW w:w="39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1.材质及规格:风阀 DN300 SS304</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2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9" w:hRule="atLeast"/>
        </w:trPr>
        <w:tc>
          <w:tcPr>
            <w:tcW w:w="108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18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不锈钢板通风管道</w:t>
            </w:r>
          </w:p>
        </w:tc>
        <w:tc>
          <w:tcPr>
            <w:tcW w:w="39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1.材质:SS304</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2.规格:DN300</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3.板材厚度:1mm</w:t>
            </w:r>
          </w:p>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4.风管增加管道标识</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132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 w:hRule="atLeast"/>
        </w:trPr>
        <w:tc>
          <w:tcPr>
            <w:tcW w:w="108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8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设备支架</w:t>
            </w:r>
          </w:p>
        </w:tc>
        <w:tc>
          <w:tcPr>
            <w:tcW w:w="39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1.材质:5#槽钢</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kg</w:t>
            </w:r>
          </w:p>
        </w:tc>
        <w:tc>
          <w:tcPr>
            <w:tcW w:w="132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5" w:hRule="atLeast"/>
        </w:trPr>
        <w:tc>
          <w:tcPr>
            <w:tcW w:w="108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18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防盗网</w:t>
            </w:r>
          </w:p>
        </w:tc>
        <w:tc>
          <w:tcPr>
            <w:tcW w:w="39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1.材质：不锈钢304</w:t>
            </w:r>
          </w:p>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2.规格：2.4m*2.1m</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132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20.16</w:t>
            </w:r>
          </w:p>
        </w:tc>
      </w:tr>
    </w:tbl>
    <w:p>
      <w:pPr>
        <w:pStyle w:val="50"/>
        <w:numPr>
          <w:ilvl w:val="0"/>
          <w:numId w:val="0"/>
        </w:numPr>
        <w:ind w:leftChars="200"/>
        <w:rPr>
          <w:rFonts w:hint="default" w:ascii="宋体" w:hAnsi="宋体" w:cs="宋体"/>
          <w:color w:val="auto"/>
          <w:kern w:val="0"/>
          <w:sz w:val="28"/>
          <w:szCs w:val="28"/>
          <w:highlight w:val="none"/>
          <w:lang w:val="en-US" w:eastAsia="zh-CN"/>
        </w:rPr>
      </w:pPr>
    </w:p>
    <w:p>
      <w:pPr>
        <w:pStyle w:val="12"/>
        <w:adjustRightInd w:val="0"/>
        <w:snapToGrid w:val="0"/>
        <w:spacing w:line="300" w:lineRule="auto"/>
        <w:rPr>
          <w:rFonts w:hint="eastAsia" w:ascii="仿宋" w:hAnsi="仿宋" w:eastAsia="仿宋" w:cs="仿宋"/>
          <w:color w:val="auto"/>
          <w:highlight w:val="none"/>
          <w:lang w:val="en-US" w:eastAsia="zh-CN"/>
        </w:rPr>
      </w:pPr>
      <w:r>
        <w:rPr>
          <w:rFonts w:hint="eastAsia" w:ascii="仿宋_GB2312" w:hAnsi="仿宋_GB2312" w:eastAsia="仿宋_GB2312" w:cs="仿宋_GB2312"/>
          <w:b/>
          <w:color w:val="auto"/>
          <w:sz w:val="28"/>
          <w:szCs w:val="28"/>
          <w:highlight w:val="none"/>
        </w:rPr>
        <w:t>二、</w:t>
      </w:r>
      <w:r>
        <w:rPr>
          <w:rFonts w:hint="eastAsia" w:ascii="仿宋_GB2312" w:hAnsi="仿宋_GB2312" w:eastAsia="仿宋_GB2312" w:cs="仿宋_GB2312"/>
          <w:b/>
          <w:color w:val="auto"/>
          <w:sz w:val="28"/>
          <w:szCs w:val="28"/>
          <w:highlight w:val="none"/>
          <w:lang w:val="zh-CN"/>
        </w:rPr>
        <w:t>项目技术要求</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（1）施工人员进入厂区需进行在净水公司公众号进行来访预约，且满足我公司的防疫要求，施工期间穿反光衣，佩戴黄色安全帽，施工前必须进行安全教育和技术交底。</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（2）施工后，清理现场垃圾，施工垃圾外运，冲洗施工区域，保护现场环境。</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（3）本项目项目负责人和专职安全员必须常驻施工现场，能随时与业主共同处理施工现场事宜。</w:t>
      </w:r>
    </w:p>
    <w:p>
      <w:pPr>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（4）本工作范围应包括提供所有需要的材料、机械、劳力、以及其他设施、完成规定的工作和服务，并达到预期的目标。报价人按照约定进行施工、竣工并在质量保修期内承担工程质量保修责任</w:t>
      </w:r>
      <w:r>
        <w:rPr>
          <w:rFonts w:hint="eastAsia" w:ascii="仿宋" w:hAnsi="仿宋" w:eastAsia="仿宋" w:cs="仿宋"/>
          <w:color w:val="auto"/>
          <w:sz w:val="28"/>
          <w:szCs w:val="28"/>
          <w:highlight w:val="none"/>
          <w:lang w:val="en-US" w:eastAsia="zh-CN"/>
        </w:rPr>
        <w:t>.</w:t>
      </w:r>
    </w:p>
    <w:p>
      <w:pPr>
        <w:pStyle w:val="2"/>
        <w:rPr>
          <w:rFonts w:hint="eastAsia"/>
          <w:color w:val="auto"/>
          <w:highlight w:val="none"/>
          <w:lang w:val="en-US" w:eastAsia="zh-CN"/>
        </w:rPr>
      </w:pPr>
    </w:p>
    <w:p>
      <w:pPr>
        <w:pStyle w:val="2"/>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设备要求：</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本次供货的离子除臭系统分为四个功能段：风机段、过滤段、离子发生段、混合反应段。</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a、风机段</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风机安装于离子除臭设备的前端，采用玻璃钢离心式风机，该风机能适应于腐蚀性空气条件下的长期24小时连续运行。一套离子除臭系统配备</w:t>
      </w:r>
      <w:r>
        <w:rPr>
          <w:rFonts w:hint="eastAsia" w:ascii="仿宋" w:hAnsi="仿宋" w:eastAsia="仿宋" w:cs="仿宋"/>
          <w:color w:val="auto"/>
          <w:sz w:val="28"/>
          <w:szCs w:val="28"/>
          <w:highlight w:val="none"/>
          <w:lang w:val="en-US" w:eastAsia="zh-CN"/>
        </w:rPr>
        <w:t>一</w:t>
      </w:r>
      <w:r>
        <w:rPr>
          <w:rFonts w:hint="eastAsia" w:ascii="仿宋" w:hAnsi="仿宋" w:eastAsia="仿宋" w:cs="仿宋"/>
          <w:color w:val="auto"/>
          <w:sz w:val="28"/>
          <w:szCs w:val="28"/>
          <w:highlight w:val="none"/>
        </w:rPr>
        <w:t>台风机，风机外置于设备箱体前端，能有效降低设备运行时的噪音与震动，同时整个设备箱体封闭性能非常好，整个空间保持稳定压力状态，能有效保证整套系统正常稳定的运行。</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风机采用</w:t>
      </w:r>
      <w:r>
        <w:rPr>
          <w:rFonts w:hint="eastAsia" w:ascii="仿宋" w:hAnsi="仿宋" w:eastAsia="仿宋" w:cs="仿宋"/>
          <w:color w:val="auto"/>
          <w:sz w:val="28"/>
          <w:szCs w:val="28"/>
          <w:highlight w:val="none"/>
          <w:lang w:val="en-US" w:eastAsia="zh-CN"/>
        </w:rPr>
        <w:t>不锈钢</w:t>
      </w:r>
      <w:r>
        <w:rPr>
          <w:rFonts w:hint="eastAsia" w:ascii="仿宋" w:hAnsi="仿宋" w:eastAsia="仿宋" w:cs="仿宋"/>
          <w:color w:val="auto"/>
          <w:sz w:val="28"/>
          <w:szCs w:val="28"/>
          <w:highlight w:val="none"/>
        </w:rPr>
        <w:t>隔音罩、软性连接管等技术措施，避免风机与设备之间的振动传递，保证设备1m外的噪声不大于75dB。风机与设备之间用玻璃钢风阀进行风量风压调节。</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配套风机的电源为AC380V/50Hz/3P，电机防护为等级IP55，绝缘等级为F级。</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b、过滤段</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过滤材料具有质轻、过滤效率高、压力损失低、安装方便的特点。通过过滤段对臭气源的处理，可以有效去除臭气中的大颗粒杂质，保护离子发生器，延长设备使用寿命。</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c、离子发生段</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离子发生段内设置离子发生装置，在正常情况下其连续正常运转的使用寿命大于30000小时。离子发生装置瞬间放电产生大量高能离子，气体与高能离子混合反应，在高能电子和自由基强氧化等多重作用下，气体中的有机物分子链被断开，发生一系列复杂的氧化还原反应，分解成CO2、H2O等无害物质，并进入混合反应段进一步反应。</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d、混合反应段</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臭气经过离子发生段后进入混合反应段，在这一区域中，高能离子与臭气充分混合，碰撞更加激烈，反应更加充分，并通过排气筒进入大气中，达标排放。</w:t>
      </w:r>
    </w:p>
    <w:p>
      <w:pPr>
        <w:pStyle w:val="2"/>
        <w:rPr>
          <w:rFonts w:hint="default"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lang w:val="en-US" w:eastAsia="zh-CN"/>
        </w:rPr>
        <w:t>设备</w:t>
      </w:r>
      <w:r>
        <w:rPr>
          <w:rFonts w:hint="eastAsia" w:ascii="仿宋" w:hAnsi="仿宋" w:eastAsia="仿宋" w:cs="仿宋"/>
          <w:color w:val="auto"/>
          <w:kern w:val="2"/>
          <w:sz w:val="28"/>
          <w:szCs w:val="28"/>
          <w:highlight w:val="none"/>
          <w:lang w:val="en-US" w:eastAsia="zh-CN" w:bidi="ar-SA"/>
        </w:rPr>
        <w:t>控制要求：</w:t>
      </w:r>
    </w:p>
    <w:p>
      <w:pPr>
        <w:spacing w:line="300" w:lineRule="auto"/>
        <w:ind w:firstLine="840" w:firstLineChars="30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按钮箱箱体体可灵活安装，并采用1.5mm厚度的不锈钢板制作。详细说明如下：</w:t>
      </w:r>
    </w:p>
    <w:p>
      <w:pPr>
        <w:pStyle w:val="55"/>
        <w:numPr>
          <w:ilvl w:val="0"/>
          <w:numId w:val="0"/>
        </w:numPr>
        <w:spacing w:before="0" w:beforeAutospacing="0" w:after="0" w:afterAutospacing="0" w:line="360" w:lineRule="auto"/>
        <w:ind w:left="482" w:leftChars="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1.控制柜显示功能包括各电力设备的“开启/停止/故障”显示及要求的其它显示功能。</w:t>
      </w:r>
    </w:p>
    <w:p>
      <w:pPr>
        <w:pStyle w:val="55"/>
        <w:numPr>
          <w:ilvl w:val="0"/>
          <w:numId w:val="0"/>
        </w:numPr>
        <w:spacing w:before="0" w:beforeAutospacing="0" w:after="0" w:afterAutospacing="0" w:line="360" w:lineRule="auto"/>
        <w:ind w:left="482" w:leftChars="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2.电控箱为户外型，电控箱体材质采用SS304。</w:t>
      </w:r>
    </w:p>
    <w:p>
      <w:pPr>
        <w:pStyle w:val="55"/>
        <w:numPr>
          <w:ilvl w:val="0"/>
          <w:numId w:val="0"/>
        </w:numPr>
        <w:spacing w:before="0" w:beforeAutospacing="0" w:after="0" w:afterAutospacing="0" w:line="360" w:lineRule="auto"/>
        <w:ind w:left="482" w:leftChars="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3.电源：AC380V/50Hz/3P，防护等级为IP55。</w:t>
      </w:r>
    </w:p>
    <w:p>
      <w:pPr>
        <w:pStyle w:val="55"/>
        <w:numPr>
          <w:ilvl w:val="0"/>
          <w:numId w:val="0"/>
        </w:numPr>
        <w:spacing w:before="0" w:beforeAutospacing="0" w:after="0" w:afterAutospacing="0" w:line="360" w:lineRule="auto"/>
        <w:ind w:left="482" w:leftChars="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4.电气元件和电缆线排列清楚，防短路，运行可靠并标有正负号。所有电缆使用恰当的颜色和编号，写在绑扎的位置。</w:t>
      </w:r>
    </w:p>
    <w:p>
      <w:pPr>
        <w:pStyle w:val="12"/>
        <w:adjustRightInd w:val="0"/>
        <w:snapToGrid w:val="0"/>
        <w:spacing w:line="520" w:lineRule="exact"/>
        <w:rPr>
          <w:rFonts w:ascii="仿宋_GB2312" w:hAnsi="仿宋_GB2312" w:eastAsia="仿宋_GB2312" w:cs="仿宋_GB2312"/>
          <w:b/>
          <w:color w:val="auto"/>
          <w:sz w:val="28"/>
          <w:szCs w:val="28"/>
          <w:highlight w:val="none"/>
          <w:lang w:val="zh-CN"/>
        </w:rPr>
      </w:pPr>
      <w:r>
        <w:rPr>
          <w:rFonts w:hint="eastAsia" w:ascii="仿宋_GB2312" w:hAnsi="仿宋_GB2312" w:eastAsia="仿宋_GB2312" w:cs="仿宋_GB2312"/>
          <w:b/>
          <w:color w:val="auto"/>
          <w:sz w:val="28"/>
          <w:szCs w:val="28"/>
          <w:highlight w:val="none"/>
          <w:lang w:val="en-US" w:eastAsia="zh-CN"/>
        </w:rPr>
        <w:t>三</w:t>
      </w:r>
      <w:r>
        <w:rPr>
          <w:rFonts w:hint="eastAsia" w:ascii="仿宋_GB2312" w:hAnsi="仿宋_GB2312" w:eastAsia="仿宋_GB2312" w:cs="仿宋_GB2312"/>
          <w:b/>
          <w:color w:val="auto"/>
          <w:sz w:val="28"/>
          <w:szCs w:val="28"/>
          <w:highlight w:val="none"/>
          <w:lang w:val="zh-CN"/>
        </w:rPr>
        <w:t>、项目商务要求</w:t>
      </w:r>
    </w:p>
    <w:p>
      <w:pPr>
        <w:autoSpaceDE w:val="0"/>
        <w:autoSpaceDN w:val="0"/>
        <w:spacing w:line="52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1.工期：</w:t>
      </w:r>
      <w:r>
        <w:rPr>
          <w:rFonts w:hint="eastAsia" w:ascii="仿宋_GB2312" w:hAnsi="仿宋_GB2312" w:eastAsia="仿宋_GB2312" w:cs="仿宋_GB2312"/>
          <w:color w:val="auto"/>
          <w:sz w:val="28"/>
          <w:szCs w:val="28"/>
          <w:highlight w:val="none"/>
          <w:lang w:val="en-US" w:eastAsia="zh-CN"/>
        </w:rPr>
        <w:t>45日</w:t>
      </w:r>
      <w:r>
        <w:rPr>
          <w:rFonts w:hint="eastAsia" w:ascii="仿宋_GB2312" w:hAnsi="仿宋_GB2312" w:eastAsia="仿宋_GB2312" w:cs="仿宋_GB2312"/>
          <w:color w:val="auto"/>
          <w:sz w:val="28"/>
          <w:szCs w:val="28"/>
          <w:highlight w:val="none"/>
        </w:rPr>
        <w:t>。具体施工日期及工期调整根据实际计划时间而定。</w:t>
      </w:r>
    </w:p>
    <w:p>
      <w:pPr>
        <w:pStyle w:val="7"/>
        <w:rPr>
          <w:color w:val="auto"/>
          <w:highlight w:val="none"/>
        </w:rPr>
      </w:pP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2.质量要求</w:t>
      </w:r>
    </w:p>
    <w:p>
      <w:pPr>
        <w:autoSpaceDE w:val="0"/>
        <w:autoSpaceDN w:val="0"/>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（1）使用的各种材料必须符合设计和规范要求。</w:t>
      </w:r>
    </w:p>
    <w:p>
      <w:pPr>
        <w:autoSpaceDE w:val="0"/>
        <w:autoSpaceDN w:val="0"/>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（2）各种构件在运输过程中必须有可靠的保护措施。构件外观表面无明显的凹面和损伤。焊疤、飞溅物、毛刺应清理干净。</w:t>
      </w:r>
    </w:p>
    <w:p>
      <w:pPr>
        <w:autoSpaceDE w:val="0"/>
        <w:autoSpaceDN w:val="0"/>
        <w:spacing w:line="52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（3）必须用合格焊工。焊接、防锈、安装精度必须合格。</w:t>
      </w:r>
    </w:p>
    <w:p>
      <w:pPr>
        <w:pStyle w:val="2"/>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    （4）符合GB14554-93《恶臭污染物排放标准》GB18918-2002《城镇污水处理厂污染物排放标准》废气排放一级标准。</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3.安全文明施工要求：</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（1）在工程进行中，承包单位要注意保护场内的各种管线和设施。若有任何损坏，须立即通知有关部门和发包人，并由损坏单位承担损失和修复费用。</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发生重大伤亡及其他安全事故，承包单位应按有关规定立即上报有关部门并通知发包人，同时按政府有关部门要求处理，由事故责任方承担发生的费用。发包人、承包单位对事故责任有争议时，应按政府有关部门的认定处理。</w:t>
      </w:r>
    </w:p>
    <w:p>
      <w:pPr>
        <w:autoSpaceDE w:val="0"/>
        <w:autoSpaceDN w:val="0"/>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承包单位在施工期间应严格遵守《中华人民共和国安全生产法》（国家主席70号令）、《建设工程安全生产管理条例》（中华人民共和国国务院令第393号）以及文明施工、深夜施工、环卫和城管等规定，建立规章制度和防护措施。若违反以上规定，由此造成的经济和法律责任，均由承包单位负责。</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4.总包及分包规定：</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承包单位不许转包，不许擅自分包,</w:t>
      </w:r>
      <w:r>
        <w:rPr>
          <w:rFonts w:hint="eastAsia" w:ascii="仿宋_GB2312" w:hAnsi="仿宋_GB2312" w:eastAsia="仿宋_GB2312" w:cs="仿宋_GB2312"/>
          <w:bCs/>
          <w:color w:val="auto"/>
          <w:szCs w:val="21"/>
          <w:highlight w:val="none"/>
        </w:rPr>
        <w:t xml:space="preserve"> </w:t>
      </w:r>
      <w:r>
        <w:rPr>
          <w:rFonts w:hint="eastAsia" w:ascii="仿宋_GB2312" w:hAnsi="仿宋_GB2312" w:eastAsia="仿宋_GB2312" w:cs="仿宋_GB2312"/>
          <w:color w:val="auto"/>
          <w:sz w:val="28"/>
          <w:szCs w:val="28"/>
          <w:highlight w:val="none"/>
        </w:rPr>
        <w:t>否则，发包人有权单方面终止合同，并令其立即退场，由此而造成的经济损失由承包单位负责赔偿。</w:t>
      </w:r>
    </w:p>
    <w:p>
      <w:pPr>
        <w:pStyle w:val="7"/>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5.保修期（保养期）：质保期为项目完成经验收合格之日起</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年。</w:t>
      </w:r>
    </w:p>
    <w:p>
      <w:pPr>
        <w:pStyle w:val="21"/>
        <w:shd w:val="clear" w:color="auto" w:fill="FFFFFF"/>
        <w:spacing w:before="0" w:beforeAutospacing="0" w:after="0" w:afterAutospacing="0" w:line="520" w:lineRule="exact"/>
        <w:ind w:firstLine="560" w:firstLineChars="200"/>
        <w:jc w:val="both"/>
        <w:rPr>
          <w:rFonts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6.询价人将自承包人履行完合同义务之日起15个工作日内组织验收，验收要求、验收标准及方法如下：</w:t>
      </w:r>
    </w:p>
    <w:p>
      <w:pPr>
        <w:pStyle w:val="21"/>
        <w:shd w:val="clear" w:color="auto" w:fill="FFFFFF"/>
        <w:spacing w:before="0" w:beforeAutospacing="0" w:after="0" w:afterAutospacing="0" w:line="520" w:lineRule="exact"/>
        <w:ind w:firstLine="560" w:firstLineChars="200"/>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8"/>
          <w:szCs w:val="28"/>
          <w:highlight w:val="none"/>
          <w:shd w:val="clear" w:color="auto" w:fill="FFFFFF"/>
        </w:rPr>
        <w:t>（1）验收依据：询价文件、询价响应文件、厂家货物技术标准说明及国家有关的质量标准规定，均为验收依据。</w:t>
      </w:r>
    </w:p>
    <w:p>
      <w:pPr>
        <w:pStyle w:val="21"/>
        <w:shd w:val="clear" w:color="auto" w:fill="FFFFFF"/>
        <w:spacing w:before="0" w:beforeAutospacing="0" w:after="0" w:afterAutospacing="0" w:line="520" w:lineRule="exact"/>
        <w:ind w:firstLine="560" w:firstLineChars="200"/>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8"/>
          <w:szCs w:val="28"/>
          <w:highlight w:val="none"/>
          <w:shd w:val="clear" w:color="auto" w:fill="FFFFFF"/>
        </w:rPr>
        <w:t>（2）承包单位根据要求进行设备的安装、调试、测试后，由发包人或政府相关部门进行使用性能方面的验收。</w:t>
      </w:r>
    </w:p>
    <w:p>
      <w:pPr>
        <w:pStyle w:val="21"/>
        <w:shd w:val="clear" w:color="auto" w:fill="FFFFFF"/>
        <w:spacing w:before="0" w:beforeAutospacing="0" w:after="0" w:afterAutospacing="0" w:line="520" w:lineRule="exact"/>
        <w:ind w:firstLine="560" w:firstLineChars="200"/>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8"/>
          <w:szCs w:val="28"/>
          <w:highlight w:val="none"/>
          <w:shd w:val="clear" w:color="auto" w:fill="FFFFFF"/>
        </w:rPr>
        <w:t>（3）验收合格条件</w:t>
      </w:r>
    </w:p>
    <w:p>
      <w:pPr>
        <w:pStyle w:val="21"/>
        <w:shd w:val="clear" w:color="auto" w:fill="FFFFFF"/>
        <w:spacing w:before="0" w:beforeAutospacing="0" w:after="0" w:afterAutospacing="0" w:line="520" w:lineRule="exact"/>
        <w:ind w:firstLine="560" w:firstLineChars="200"/>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8"/>
          <w:szCs w:val="28"/>
          <w:highlight w:val="none"/>
          <w:shd w:val="clear" w:color="auto" w:fill="FFFFFF"/>
        </w:rPr>
        <w:t>①调试完毕后现场试运行连续稳定工作24小时，无异常，并确保能够达到要求的标准。</w:t>
      </w:r>
    </w:p>
    <w:p>
      <w:pPr>
        <w:pStyle w:val="21"/>
        <w:shd w:val="clear" w:color="auto" w:fill="FFFFFF"/>
        <w:spacing w:before="0" w:beforeAutospacing="0" w:after="0" w:afterAutospacing="0" w:line="520" w:lineRule="exact"/>
        <w:ind w:firstLine="560" w:firstLineChars="200"/>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8"/>
          <w:szCs w:val="28"/>
          <w:highlight w:val="none"/>
          <w:shd w:val="clear" w:color="auto" w:fill="FFFFFF"/>
        </w:rPr>
        <w:t>②各类电气系统、保护装置等附属设备均正常运行。</w:t>
      </w:r>
    </w:p>
    <w:p>
      <w:pPr>
        <w:pStyle w:val="21"/>
        <w:shd w:val="clear" w:color="auto" w:fill="FFFFFF"/>
        <w:spacing w:before="0" w:beforeAutospacing="0" w:after="0" w:afterAutospacing="0" w:line="520" w:lineRule="exact"/>
        <w:ind w:firstLine="560" w:firstLineChars="200"/>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8"/>
          <w:szCs w:val="28"/>
          <w:highlight w:val="none"/>
          <w:shd w:val="clear" w:color="auto" w:fill="FFFFFF"/>
        </w:rPr>
        <w:t>（4）发包人有权委托我国相关具有检验资质的部门、单位、机构针对维修后设备的精度、性能进行检验。其检验结果将作为验收标准的组成部分之一。</w:t>
      </w:r>
    </w:p>
    <w:p>
      <w:pPr>
        <w:pStyle w:val="21"/>
        <w:shd w:val="clear" w:color="auto" w:fill="FFFFFF"/>
        <w:spacing w:before="0" w:beforeAutospacing="0" w:after="0" w:afterAutospacing="0" w:line="520" w:lineRule="exact"/>
        <w:ind w:firstLine="560" w:firstLineChars="200"/>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8"/>
          <w:szCs w:val="28"/>
          <w:highlight w:val="none"/>
          <w:shd w:val="clear" w:color="auto" w:fill="FFFFFF"/>
        </w:rPr>
        <w:t>（5）验收时承包单位必须派代表参加。</w:t>
      </w:r>
    </w:p>
    <w:p>
      <w:pPr>
        <w:pStyle w:val="7"/>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shd w:val="clear" w:color="auto" w:fill="FFFFFF"/>
        </w:rPr>
        <w:t>（6）验收过程所发生的一切费用由承包单位承担。</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7.付款方式：银行汇票形式。</w:t>
      </w:r>
    </w:p>
    <w:p>
      <w:pPr>
        <w:spacing w:line="520" w:lineRule="exact"/>
        <w:ind w:firstLine="560" w:firstLineChars="200"/>
        <w:rPr>
          <w:rFonts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rPr>
        <w:t>8.承包方式：</w:t>
      </w:r>
      <w:r>
        <w:rPr>
          <w:rFonts w:hint="eastAsia" w:ascii="仿宋_GB2312" w:hAnsi="仿宋_GB2312" w:eastAsia="仿宋_GB2312" w:cs="仿宋_GB2312"/>
          <w:color w:val="auto"/>
          <w:sz w:val="28"/>
          <w:szCs w:val="28"/>
          <w:highlight w:val="none"/>
          <w:lang w:val="zh-CN"/>
        </w:rPr>
        <w:t>单价包干。</w:t>
      </w:r>
    </w:p>
    <w:bookmarkEnd w:id="73"/>
    <w:p>
      <w:pPr>
        <w:pStyle w:val="23"/>
        <w:ind w:firstLine="0"/>
        <w:rPr>
          <w:rFonts w:hint="eastAsia"/>
          <w:color w:val="auto"/>
          <w:highlight w:val="none"/>
        </w:rPr>
      </w:pPr>
      <w:bookmarkStart w:id="75" w:name="_Toc537"/>
      <w:bookmarkStart w:id="76" w:name="_Toc29835"/>
      <w:bookmarkStart w:id="77" w:name="_Toc25925"/>
      <w:bookmarkStart w:id="78" w:name="_Toc4680"/>
      <w:bookmarkStart w:id="79" w:name="_Toc23353"/>
      <w:bookmarkStart w:id="80" w:name="_Toc15570"/>
      <w:bookmarkStart w:id="81" w:name="_Toc1284"/>
      <w:bookmarkStart w:id="82" w:name="_Toc23330"/>
      <w:bookmarkStart w:id="83" w:name="_Toc12135"/>
      <w:bookmarkStart w:id="84" w:name="_Toc1496"/>
      <w:bookmarkStart w:id="85" w:name="_Toc18538"/>
    </w:p>
    <w:p>
      <w:pPr>
        <w:pStyle w:val="23"/>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4"/>
        <w:jc w:val="center"/>
        <w:rPr>
          <w:color w:val="auto"/>
          <w:highlight w:val="none"/>
        </w:rPr>
      </w:pP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2308225</wp:posOffset>
                </wp:positionH>
                <wp:positionV relativeFrom="paragraph">
                  <wp:posOffset>53975</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1.75pt;margin-top:4.25pt;height:0pt;width:75.5pt;z-index:251664384;mso-width-relative:page;mso-height-relative:page;" filled="f" stroked="t" coordsize="21600,21600" o:gfxdata="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Ac5AK1QAAAAcBAAAPAAAAAAAAAAEAIAAAACIAAABkcnMvZG93bnJldi54bWxQSwECFAAUAAAA&#10;CACHTuJAY2ZvHPEBAADiAwAADgAAAAAAAAABACAAAAAkAQAAZHJzL2Uyb0RvYy54bWxQSwUGAAAA&#10;AAYABgBZAQAAhw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kHaOg8gEAAOI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FWcOLF34&#10;z0/ffn38fP/lx/33r+w6K9QHXFDg2m3jaYdhGzPdQxNt/hMRdiiqHs+qqkNigg6vZ/P5jPQWD67q&#10;MS9ETK+UtywbNccUQbddWnvn6Op8nBRRYf8aE1WmxIeEXNQ41mf46YzAgUaxoREg0waig64tueiN&#10;lrfamJyBsd2tTWR7yONQvsyPcP8Ky0U2gN0QV1zDoHQK5EsnWToGEsrR++C5BaskZ0bRc8oWAcIi&#10;gTaXRFJp46iDLPEgarZ2Xh6L1uWcrr70eBrTPFt/7kv249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JB2jo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第六章</w:t>
      </w:r>
      <w:bookmarkEnd w:id="75"/>
      <w:bookmarkEnd w:id="76"/>
      <w:bookmarkEnd w:id="77"/>
      <w:bookmarkEnd w:id="78"/>
      <w:bookmarkEnd w:id="79"/>
      <w:bookmarkEnd w:id="80"/>
      <w:bookmarkEnd w:id="81"/>
      <w:bookmarkEnd w:id="82"/>
      <w:bookmarkEnd w:id="83"/>
      <w:bookmarkEnd w:id="84"/>
      <w:bookmarkEnd w:id="85"/>
    </w:p>
    <w:p>
      <w:pPr>
        <w:pStyle w:val="40"/>
        <w:rPr>
          <w:color w:val="auto"/>
          <w:highlight w:val="none"/>
        </w:rPr>
      </w:pPr>
    </w:p>
    <w:p>
      <w:pPr>
        <w:pStyle w:val="4"/>
        <w:rPr>
          <w:color w:val="auto"/>
          <w:highlight w:val="none"/>
        </w:rPr>
      </w:pPr>
      <w:bookmarkStart w:id="86" w:name="_Toc8183"/>
      <w:bookmarkStart w:id="87" w:name="_Toc22797"/>
      <w:bookmarkStart w:id="88" w:name="_Toc87616386"/>
      <w:bookmarkStart w:id="89" w:name="_Toc19088"/>
      <w:bookmarkStart w:id="90" w:name="_Toc12968"/>
      <w:bookmarkStart w:id="91" w:name="_Toc12721"/>
      <w:bookmarkStart w:id="92" w:name="_Toc323"/>
      <w:bookmarkStart w:id="93" w:name="_Toc19686"/>
      <w:bookmarkStart w:id="94" w:name="_Toc22501"/>
      <w:bookmarkStart w:id="95" w:name="_Toc12980"/>
      <w:bookmarkStart w:id="96" w:name="_Toc1375"/>
      <w:bookmarkStart w:id="97" w:name="_Toc88209949"/>
      <w:bookmarkStart w:id="98" w:name="_Toc13309"/>
      <w:r>
        <w:rPr>
          <w:rFonts w:hint="eastAsia"/>
          <w:color w:val="auto"/>
          <w:highlight w:val="none"/>
        </w:rPr>
        <w:t>合同</w:t>
      </w:r>
      <w:bookmarkEnd w:id="86"/>
      <w:bookmarkEnd w:id="87"/>
      <w:bookmarkEnd w:id="88"/>
      <w:bookmarkEnd w:id="89"/>
      <w:bookmarkEnd w:id="90"/>
      <w:bookmarkEnd w:id="91"/>
      <w:bookmarkEnd w:id="92"/>
      <w:bookmarkEnd w:id="93"/>
      <w:bookmarkEnd w:id="94"/>
      <w:bookmarkEnd w:id="95"/>
      <w:bookmarkEnd w:id="96"/>
      <w:bookmarkEnd w:id="97"/>
      <w:bookmarkEnd w:id="98"/>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pStyle w:val="2"/>
        <w:rPr>
          <w:rFonts w:hint="eastAsia" w:ascii="方正小标宋简体" w:eastAsia="方正小标宋简体"/>
          <w:color w:val="auto"/>
          <w:sz w:val="28"/>
          <w:szCs w:val="28"/>
          <w:highlight w:val="none"/>
        </w:rPr>
      </w:pPr>
    </w:p>
    <w:p>
      <w:pPr>
        <w:pStyle w:val="3"/>
        <w:rPr>
          <w:rFonts w:hint="eastAsia" w:ascii="方正小标宋简体" w:eastAsia="方正小标宋简体"/>
          <w:color w:val="auto"/>
          <w:sz w:val="28"/>
          <w:szCs w:val="28"/>
          <w:highlight w:val="none"/>
        </w:rPr>
      </w:pPr>
    </w:p>
    <w:p>
      <w:pPr>
        <w:pStyle w:val="3"/>
        <w:rPr>
          <w:rFonts w:hint="eastAsia" w:ascii="方正小标宋简体" w:eastAsia="方正小标宋简体"/>
          <w:color w:val="auto"/>
          <w:sz w:val="28"/>
          <w:szCs w:val="28"/>
          <w:highlight w:val="none"/>
        </w:rPr>
      </w:pPr>
    </w:p>
    <w:p>
      <w:pPr>
        <w:pStyle w:val="3"/>
        <w:rPr>
          <w:rFonts w:hint="eastAsia" w:ascii="方正小标宋简体" w:eastAsia="方正小标宋简体"/>
          <w:color w:val="auto"/>
          <w:sz w:val="28"/>
          <w:szCs w:val="28"/>
          <w:highlight w:val="none"/>
        </w:rPr>
      </w:pPr>
    </w:p>
    <w:p>
      <w:pPr>
        <w:pStyle w:val="3"/>
        <w:rPr>
          <w:rFonts w:hint="eastAsia" w:ascii="方正小标宋简体" w:eastAsia="方正小标宋简体"/>
          <w:color w:val="auto"/>
          <w:sz w:val="28"/>
          <w:szCs w:val="28"/>
          <w:highlight w:val="none"/>
        </w:rPr>
      </w:pPr>
    </w:p>
    <w:p>
      <w:pPr>
        <w:pStyle w:val="3"/>
        <w:rPr>
          <w:rFonts w:hint="eastAsia" w:ascii="方正小标宋简体" w:eastAsia="方正小标宋简体"/>
          <w:color w:val="auto"/>
          <w:sz w:val="28"/>
          <w:szCs w:val="28"/>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adjustRightInd w:val="0"/>
        <w:snapToGrid w:val="0"/>
        <w:spacing w:beforeLines="50" w:afterLines="50" w:line="600" w:lineRule="exact"/>
        <w:jc w:val="both"/>
        <w:rPr>
          <w:rFonts w:hint="eastAsia" w:ascii="方正小标宋简体" w:eastAsia="方正小标宋简体"/>
          <w:color w:val="auto"/>
          <w:sz w:val="28"/>
          <w:szCs w:val="28"/>
          <w:highlight w:val="none"/>
        </w:rPr>
      </w:pPr>
    </w:p>
    <w:p>
      <w:pPr>
        <w:adjustRightInd w:val="0"/>
        <w:snapToGrid w:val="0"/>
        <w:spacing w:beforeLines="50" w:afterLines="50" w:line="600" w:lineRule="exact"/>
        <w:jc w:val="both"/>
        <w:rPr>
          <w:rFonts w:hint="eastAsia" w:ascii="方正小标宋简体" w:eastAsia="方正小标宋简体"/>
          <w:color w:val="auto"/>
          <w:sz w:val="28"/>
          <w:szCs w:val="28"/>
          <w:highlight w:val="none"/>
        </w:rPr>
      </w:pPr>
    </w:p>
    <w:p>
      <w:pPr>
        <w:spacing w:line="400" w:lineRule="atLeast"/>
        <w:jc w:val="center"/>
        <w:rPr>
          <w:rFonts w:ascii="宋体" w:hAnsi="宋体" w:cs="宋体"/>
          <w:b/>
          <w:bCs/>
          <w:color w:val="auto"/>
          <w:sz w:val="48"/>
          <w:szCs w:val="48"/>
          <w:highlight w:val="none"/>
        </w:rPr>
      </w:pPr>
      <w:r>
        <w:rPr>
          <w:rFonts w:hint="eastAsia" w:ascii="宋体" w:hAnsi="宋体" w:cs="宋体"/>
          <w:b/>
          <w:bCs/>
          <w:color w:val="auto"/>
          <w:sz w:val="48"/>
          <w:szCs w:val="48"/>
          <w:highlight w:val="none"/>
        </w:rPr>
        <w:t>广州市净水有限公司</w:t>
      </w:r>
    </w:p>
    <w:p>
      <w:pPr>
        <w:spacing w:line="400" w:lineRule="atLeast"/>
        <w:jc w:val="center"/>
        <w:rPr>
          <w:rFonts w:asciiTheme="majorHAnsi" w:hAnsiTheme="majorHAnsi" w:eastAsiaTheme="majorEastAsia"/>
          <w:b/>
          <w:bCs/>
          <w:color w:val="auto"/>
          <w:sz w:val="52"/>
          <w:szCs w:val="52"/>
          <w:highlight w:val="none"/>
        </w:rPr>
      </w:pPr>
      <w:r>
        <w:rPr>
          <w:rFonts w:hint="eastAsia" w:ascii="宋体" w:hAnsi="宋体" w:cs="宋体"/>
          <w:b/>
          <w:bCs/>
          <w:color w:val="auto"/>
          <w:sz w:val="48"/>
          <w:szCs w:val="48"/>
          <w:highlight w:val="none"/>
        </w:rPr>
        <w:t>设备维修维护/技改项目合同</w:t>
      </w:r>
    </w:p>
    <w:p>
      <w:pPr>
        <w:spacing w:line="400" w:lineRule="atLeast"/>
        <w:jc w:val="center"/>
        <w:rPr>
          <w:rFonts w:ascii="宋体" w:hAnsi="宋体"/>
          <w:b/>
          <w:color w:val="auto"/>
          <w:sz w:val="28"/>
          <w:highlight w:val="none"/>
        </w:rPr>
      </w:pPr>
    </w:p>
    <w:p>
      <w:pPr>
        <w:spacing w:line="400" w:lineRule="atLeast"/>
        <w:jc w:val="center"/>
        <w:rPr>
          <w:rFonts w:ascii="宋体" w:hAnsi="宋体"/>
          <w:b/>
          <w:color w:val="auto"/>
          <w:sz w:val="28"/>
          <w:highlight w:val="none"/>
        </w:rPr>
      </w:pPr>
    </w:p>
    <w:p>
      <w:pPr>
        <w:spacing w:line="0" w:lineRule="atLeast"/>
        <w:rPr>
          <w:rFonts w:ascii="宋体" w:hAnsi="宋体"/>
          <w:b/>
          <w:color w:val="auto"/>
          <w:sz w:val="30"/>
          <w:highlight w:val="none"/>
        </w:rPr>
      </w:pPr>
    </w:p>
    <w:p>
      <w:pPr>
        <w:spacing w:line="0" w:lineRule="atLeast"/>
        <w:rPr>
          <w:rFonts w:ascii="仿宋_GB2312" w:hAnsi="宋体" w:eastAsia="仿宋_GB2312"/>
          <w:b/>
          <w:color w:val="auto"/>
          <w:sz w:val="30"/>
          <w:szCs w:val="30"/>
          <w:highlight w:val="none"/>
        </w:rPr>
      </w:pPr>
    </w:p>
    <w:p>
      <w:pPr>
        <w:spacing w:line="360" w:lineRule="auto"/>
        <w:ind w:left="1506" w:hanging="1506" w:hangingChars="500"/>
        <w:rPr>
          <w:rFonts w:hint="eastAsia" w:ascii="宋体" w:hAnsi="宋体" w:cs="宋体"/>
          <w:b/>
          <w:color w:val="auto"/>
          <w:sz w:val="30"/>
          <w:szCs w:val="30"/>
          <w:highlight w:val="none"/>
          <w:lang w:eastAsia="zh-CN"/>
        </w:rPr>
      </w:pPr>
      <w:r>
        <w:rPr>
          <w:rFonts w:hint="eastAsia" w:ascii="宋体" w:hAnsi="宋体" w:cs="宋体"/>
          <w:b/>
          <w:color w:val="auto"/>
          <w:sz w:val="30"/>
          <w:szCs w:val="30"/>
          <w:highlight w:val="none"/>
        </w:rPr>
        <w:t xml:space="preserve">项目名称: </w:t>
      </w:r>
      <w:r>
        <w:rPr>
          <w:rFonts w:hint="eastAsia" w:ascii="宋体" w:hAnsi="宋体" w:cs="宋体"/>
          <w:b/>
          <w:color w:val="auto"/>
          <w:sz w:val="30"/>
          <w:szCs w:val="30"/>
          <w:highlight w:val="none"/>
          <w:lang w:eastAsia="zh-CN"/>
        </w:rPr>
        <w:t>广州市净水有限公司</w:t>
      </w:r>
      <w:r>
        <w:rPr>
          <w:rFonts w:hint="eastAsia" w:ascii="宋体" w:hAnsi="宋体" w:cs="宋体"/>
          <w:b/>
          <w:color w:val="auto"/>
          <w:sz w:val="30"/>
          <w:szCs w:val="30"/>
          <w:highlight w:val="none"/>
          <w:lang w:val="en-US" w:eastAsia="zh-CN"/>
        </w:rPr>
        <w:t>大坦沙分公司一二期污水泵房除臭设备改造项目</w:t>
      </w:r>
    </w:p>
    <w:p>
      <w:pPr>
        <w:pStyle w:val="50"/>
        <w:spacing w:line="360" w:lineRule="auto"/>
        <w:rPr>
          <w:color w:val="auto"/>
          <w:highlight w:val="none"/>
        </w:rPr>
      </w:pPr>
    </w:p>
    <w:p>
      <w:pPr>
        <w:spacing w:line="400" w:lineRule="atLeast"/>
        <w:rPr>
          <w:rFonts w:hint="eastAsia" w:ascii="宋体" w:hAnsi="宋体" w:eastAsiaTheme="minorEastAsia"/>
          <w:b/>
          <w:color w:val="auto"/>
          <w:sz w:val="30"/>
          <w:szCs w:val="30"/>
          <w:highlight w:val="none"/>
          <w:lang w:val="en-US" w:eastAsia="zh-CN"/>
        </w:rPr>
      </w:pPr>
      <w:r>
        <w:rPr>
          <w:rFonts w:hint="eastAsia" w:ascii="宋体" w:hAnsi="宋体"/>
          <w:b/>
          <w:color w:val="auto"/>
          <w:sz w:val="30"/>
          <w:szCs w:val="30"/>
          <w:highlight w:val="none"/>
        </w:rPr>
        <w:t>项目编号：</w:t>
      </w:r>
      <w:bookmarkStart w:id="99" w:name="合同"/>
      <w:bookmarkEnd w:id="99"/>
    </w:p>
    <w:p>
      <w:pPr>
        <w:pStyle w:val="23"/>
        <w:rPr>
          <w:color w:val="auto"/>
          <w:highlight w:val="none"/>
        </w:rPr>
      </w:pPr>
    </w:p>
    <w:p>
      <w:pPr>
        <w:spacing w:line="400" w:lineRule="atLeast"/>
        <w:rPr>
          <w:rFonts w:ascii="宋体" w:hAnsi="宋体" w:cs="宋体"/>
          <w:b/>
          <w:bCs/>
          <w:color w:val="auto"/>
          <w:sz w:val="30"/>
          <w:szCs w:val="30"/>
          <w:highlight w:val="none"/>
        </w:rPr>
      </w:pPr>
      <w:r>
        <w:rPr>
          <w:rFonts w:hint="eastAsia" w:ascii="宋体" w:hAnsi="宋体" w:cs="宋体"/>
          <w:b/>
          <w:color w:val="auto"/>
          <w:sz w:val="30"/>
          <w:szCs w:val="30"/>
          <w:highlight w:val="none"/>
        </w:rPr>
        <w:t>合同编号：</w:t>
      </w:r>
      <w:r>
        <w:rPr>
          <w:rFonts w:hint="eastAsia" w:ascii="宋体" w:hAnsi="宋体" w:cs="宋体"/>
          <w:b/>
          <w:bCs/>
          <w:color w:val="auto"/>
          <w:sz w:val="30"/>
          <w:szCs w:val="30"/>
          <w:highlight w:val="none"/>
        </w:rPr>
        <w:t>穗净水合[     ]    号</w:t>
      </w:r>
    </w:p>
    <w:p>
      <w:pPr>
        <w:spacing w:line="400" w:lineRule="atLeast"/>
        <w:rPr>
          <w:rFonts w:ascii="宋体" w:hAnsi="宋体" w:cs="宋体"/>
          <w:b/>
          <w:color w:val="auto"/>
          <w:sz w:val="30"/>
          <w:szCs w:val="30"/>
          <w:highlight w:val="none"/>
        </w:rPr>
      </w:pPr>
    </w:p>
    <w:p>
      <w:pPr>
        <w:spacing w:line="400" w:lineRule="atLeast"/>
        <w:rPr>
          <w:rFonts w:ascii="宋体" w:hAnsi="宋体" w:cs="宋体"/>
          <w:b/>
          <w:color w:val="auto"/>
          <w:sz w:val="30"/>
          <w:szCs w:val="30"/>
          <w:highlight w:val="none"/>
        </w:rPr>
      </w:pPr>
      <w:r>
        <w:rPr>
          <w:rFonts w:hint="eastAsia" w:ascii="宋体" w:hAnsi="宋体" w:cs="宋体"/>
          <w:b/>
          <w:color w:val="auto"/>
          <w:sz w:val="30"/>
          <w:szCs w:val="30"/>
          <w:highlight w:val="none"/>
        </w:rPr>
        <w:t>甲方：广州市净水有限公司</w:t>
      </w:r>
    </w:p>
    <w:p>
      <w:pPr>
        <w:spacing w:line="400" w:lineRule="atLeast"/>
        <w:rPr>
          <w:rFonts w:ascii="宋体" w:hAnsi="宋体" w:cs="宋体"/>
          <w:b/>
          <w:color w:val="auto"/>
          <w:sz w:val="30"/>
          <w:szCs w:val="30"/>
          <w:highlight w:val="none"/>
        </w:rPr>
      </w:pPr>
    </w:p>
    <w:p>
      <w:pPr>
        <w:spacing w:line="400" w:lineRule="atLeast"/>
        <w:rPr>
          <w:rFonts w:hint="default" w:ascii="宋体" w:hAnsi="宋体" w:eastAsia="宋体" w:cs="宋体"/>
          <w:b/>
          <w:bCs/>
          <w:color w:val="auto"/>
          <w:sz w:val="30"/>
          <w:szCs w:val="30"/>
          <w:highlight w:val="none"/>
          <w:lang w:val="en-US" w:eastAsia="zh-CN"/>
        </w:rPr>
      </w:pPr>
      <w:r>
        <w:rPr>
          <w:rFonts w:hint="eastAsia" w:ascii="宋体" w:hAnsi="宋体" w:cs="宋体"/>
          <w:b/>
          <w:color w:val="auto"/>
          <w:sz w:val="30"/>
          <w:szCs w:val="30"/>
          <w:highlight w:val="none"/>
        </w:rPr>
        <w:t>乙方</w:t>
      </w:r>
      <w:r>
        <w:rPr>
          <w:rFonts w:hint="eastAsia" w:ascii="宋体" w:hAnsi="宋体" w:cs="宋体"/>
          <w:color w:val="auto"/>
          <w:sz w:val="30"/>
          <w:szCs w:val="30"/>
          <w:highlight w:val="none"/>
        </w:rPr>
        <w:t>：</w:t>
      </w:r>
    </w:p>
    <w:p>
      <w:pPr>
        <w:spacing w:line="400" w:lineRule="atLeast"/>
        <w:rPr>
          <w:rFonts w:ascii="宋体" w:hAnsi="宋体" w:cs="宋体"/>
          <w:b/>
          <w:color w:val="auto"/>
          <w:sz w:val="30"/>
          <w:szCs w:val="30"/>
          <w:highlight w:val="none"/>
        </w:rPr>
      </w:pPr>
    </w:p>
    <w:p>
      <w:pPr>
        <w:rPr>
          <w:color w:val="auto"/>
          <w:highlight w:val="none"/>
        </w:rPr>
      </w:pPr>
    </w:p>
    <w:p>
      <w:pPr>
        <w:spacing w:line="400" w:lineRule="atLeast"/>
        <w:rPr>
          <w:rFonts w:ascii="宋体" w:hAnsi="宋体" w:cs="宋体"/>
          <w:b/>
          <w:color w:val="auto"/>
          <w:sz w:val="30"/>
          <w:szCs w:val="30"/>
          <w:highlight w:val="none"/>
        </w:rPr>
      </w:pPr>
      <w:r>
        <w:rPr>
          <w:rFonts w:hint="eastAsia" w:ascii="宋体" w:hAnsi="宋体" w:cs="宋体"/>
          <w:b/>
          <w:color w:val="auto"/>
          <w:sz w:val="30"/>
          <w:szCs w:val="30"/>
          <w:highlight w:val="none"/>
        </w:rPr>
        <w:t xml:space="preserve">签订日期：       年   月   日       </w:t>
      </w:r>
    </w:p>
    <w:p>
      <w:pPr>
        <w:spacing w:line="400" w:lineRule="atLeast"/>
        <w:rPr>
          <w:rFonts w:hint="eastAsia" w:ascii="宋体" w:hAnsi="宋体" w:cs="宋体"/>
          <w:b/>
          <w:color w:val="auto"/>
          <w:sz w:val="30"/>
          <w:highlight w:val="none"/>
        </w:rPr>
      </w:pPr>
      <w:r>
        <w:rPr>
          <w:rFonts w:hint="eastAsia" w:ascii="宋体" w:hAnsi="宋体" w:cs="宋体"/>
          <w:b/>
          <w:color w:val="auto"/>
          <w:sz w:val="30"/>
          <w:highlight w:val="none"/>
        </w:rPr>
        <w:t>签约地点：广州市</w:t>
      </w:r>
    </w:p>
    <w:p>
      <w:pPr>
        <w:pStyle w:val="7"/>
        <w:rPr>
          <w:rFonts w:hint="eastAsia" w:ascii="宋体" w:hAnsi="宋体" w:cs="宋体"/>
          <w:b/>
          <w:color w:val="auto"/>
          <w:sz w:val="30"/>
          <w:highlight w:val="none"/>
        </w:rPr>
      </w:pPr>
    </w:p>
    <w:p>
      <w:pPr>
        <w:pStyle w:val="7"/>
        <w:ind w:left="0" w:leftChars="0" w:firstLine="0" w:firstLineChars="0"/>
        <w:rPr>
          <w:rFonts w:hint="eastAsia" w:ascii="宋体" w:hAnsi="宋体" w:cs="宋体"/>
          <w:b/>
          <w:color w:val="auto"/>
          <w:sz w:val="30"/>
          <w:highlight w:val="none"/>
          <w:lang w:val="zh-CN"/>
        </w:rPr>
      </w:pPr>
    </w:p>
    <w:p>
      <w:pPr>
        <w:spacing w:before="93" w:beforeLines="30" w:line="500" w:lineRule="exact"/>
        <w:ind w:left="210" w:leftChars="100" w:firstLine="600" w:firstLineChars="250"/>
        <w:rPr>
          <w:rFonts w:ascii="宋体" w:hAnsi="宋体" w:cs="宋体"/>
          <w:color w:val="auto"/>
          <w:sz w:val="24"/>
          <w:highlight w:val="none"/>
          <w:u w:val="single"/>
        </w:rPr>
      </w:pPr>
      <w:r>
        <w:rPr>
          <w:rFonts w:hint="eastAsia" w:ascii="宋体" w:hAnsi="宋体" w:cs="宋体"/>
          <w:color w:val="auto"/>
          <w:sz w:val="24"/>
          <w:highlight w:val="none"/>
        </w:rPr>
        <w:t>根据《中华人民共和国民法典》及其他有关法律、行政法规，</w:t>
      </w:r>
      <w:r>
        <w:rPr>
          <w:rFonts w:hint="eastAsia" w:ascii="宋体" w:hAnsi="宋体" w:cs="宋体"/>
          <w:color w:val="auto"/>
          <w:sz w:val="24"/>
          <w:highlight w:val="none"/>
          <w:u w:val="single"/>
        </w:rPr>
        <w:t>广州市净水有限公司</w:t>
      </w:r>
      <w:r>
        <w:rPr>
          <w:rFonts w:hint="eastAsia" w:ascii="宋体" w:hAnsi="宋体" w:cs="宋体"/>
          <w:color w:val="auto"/>
          <w:sz w:val="24"/>
          <w:highlight w:val="none"/>
        </w:rPr>
        <w:t xml:space="preserve"> （以下简称“甲方”）与</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 xml:space="preserve"> （以下简称“乙方”）就</w:t>
      </w:r>
      <w:r>
        <w:rPr>
          <w:rFonts w:hint="eastAsia" w:ascii="宋体" w:hAnsi="宋体" w:cs="宋体"/>
          <w:color w:val="auto"/>
          <w:sz w:val="24"/>
          <w:highlight w:val="none"/>
          <w:u w:val="single"/>
          <w:lang w:eastAsia="zh-CN"/>
        </w:rPr>
        <w:t>广州市净水有限公司</w:t>
      </w:r>
      <w:r>
        <w:rPr>
          <w:rFonts w:hint="eastAsia" w:ascii="宋体" w:hAnsi="宋体" w:cs="宋体"/>
          <w:color w:val="auto"/>
          <w:sz w:val="24"/>
          <w:highlight w:val="none"/>
          <w:u w:val="single"/>
          <w:lang w:val="en-US" w:eastAsia="zh-CN"/>
        </w:rPr>
        <w:t>大坦沙分公司一二期污水泵房除臭设备改造项目</w:t>
      </w:r>
      <w:r>
        <w:rPr>
          <w:rFonts w:hint="eastAsia" w:asciiTheme="minorEastAsia" w:hAnsiTheme="minorEastAsia" w:eastAsiaTheme="minorEastAsia" w:cstheme="minorEastAsia"/>
          <w:color w:val="auto"/>
          <w:sz w:val="24"/>
          <w:highlight w:val="none"/>
        </w:rPr>
        <w:t>承接工作事宜，</w:t>
      </w:r>
      <w:r>
        <w:rPr>
          <w:rFonts w:hint="eastAsia" w:ascii="宋体" w:hAnsi="宋体" w:cs="宋体"/>
          <w:color w:val="auto"/>
          <w:sz w:val="24"/>
          <w:highlight w:val="none"/>
        </w:rPr>
        <w:t>遵循平等、自愿、公平和诚实信用的原则，双方协商一致，订立本合同。</w:t>
      </w:r>
    </w:p>
    <w:p>
      <w:pPr>
        <w:spacing w:before="93" w:beforeLines="30" w:line="500" w:lineRule="exact"/>
        <w:ind w:left="210" w:leftChars="100" w:firstLine="482" w:firstLineChars="200"/>
        <w:rPr>
          <w:rFonts w:ascii="宋体" w:hAnsi="宋体" w:cs="宋体"/>
          <w:b/>
          <w:bCs/>
          <w:color w:val="auto"/>
          <w:sz w:val="24"/>
          <w:highlight w:val="none"/>
        </w:rPr>
      </w:pPr>
      <w:r>
        <w:rPr>
          <w:rFonts w:hint="eastAsia" w:ascii="宋体" w:hAnsi="宋体" w:cs="宋体"/>
          <w:b/>
          <w:bCs/>
          <w:color w:val="auto"/>
          <w:sz w:val="24"/>
          <w:highlight w:val="none"/>
        </w:rPr>
        <w:t>第一条 组成合同的文件及优先顺序</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 xml:space="preserve"> </w:t>
      </w:r>
      <w:r>
        <w:rPr>
          <w:rFonts w:hint="eastAsia" w:hAnsi="宋体" w:cs="宋体"/>
          <w:bCs/>
          <w:color w:val="auto"/>
          <w:sz w:val="24"/>
          <w:highlight w:val="none"/>
        </w:rPr>
        <w:t>下列文件（如有）均为本合同的组成部分，可视为能相互说明和补充的，如果合同文件存在歧义或相矛盾的地方，则根据以下次序判断：</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 xml:space="preserve">⑴ </w:t>
      </w:r>
      <w:r>
        <w:rPr>
          <w:rFonts w:hint="eastAsia" w:ascii="宋体" w:hAnsi="宋体" w:cs="宋体"/>
          <w:color w:val="auto"/>
          <w:sz w:val="24"/>
          <w:highlight w:val="none"/>
        </w:rPr>
        <w:t>在本合同实施过程双方签署的补充与修正文件</w:t>
      </w:r>
      <w:r>
        <w:rPr>
          <w:rFonts w:hint="eastAsia" w:ascii="宋体" w:hAnsi="宋体" w:cs="宋体"/>
          <w:bCs/>
          <w:color w:val="auto"/>
          <w:sz w:val="24"/>
          <w:highlight w:val="none"/>
        </w:rPr>
        <w:t>；</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⑵ 本合同书；</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 xml:space="preserve">⑶ </w:t>
      </w:r>
      <w:r>
        <w:rPr>
          <w:rFonts w:hint="eastAsia" w:ascii="宋体" w:hAnsi="宋体" w:cs="宋体"/>
          <w:bCs/>
          <w:color w:val="auto"/>
          <w:sz w:val="24"/>
          <w:szCs w:val="22"/>
          <w:highlight w:val="none"/>
        </w:rPr>
        <w:t>成交通知书</w:t>
      </w:r>
      <w:r>
        <w:rPr>
          <w:rFonts w:hint="eastAsia" w:ascii="宋体" w:hAnsi="宋体" w:cs="宋体"/>
          <w:bCs/>
          <w:color w:val="auto"/>
          <w:sz w:val="24"/>
          <w:highlight w:val="none"/>
        </w:rPr>
        <w:t>/委托函；</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⑷ 询价文件；</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⑸ 响应文件；</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⑹ 标准、规范及有关技术性文件；</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⑺ 图纸；</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⑻ 工程量清单/</w:t>
      </w:r>
      <w:r>
        <w:rPr>
          <w:rFonts w:hint="eastAsia" w:ascii="宋体" w:hAnsi="宋体" w:cs="宋体"/>
          <w:color w:val="auto"/>
          <w:sz w:val="24"/>
          <w:highlight w:val="none"/>
        </w:rPr>
        <w:t>工程报价单或预算书；</w:t>
      </w:r>
    </w:p>
    <w:p>
      <w:pPr>
        <w:spacing w:line="500" w:lineRule="exact"/>
        <w:ind w:firstLine="482"/>
        <w:rPr>
          <w:rFonts w:ascii="宋体" w:hAnsi="宋体" w:cs="宋体"/>
          <w:b/>
          <w:bCs/>
          <w:color w:val="auto"/>
          <w:sz w:val="24"/>
          <w:highlight w:val="none"/>
        </w:rPr>
      </w:pPr>
      <w:r>
        <w:rPr>
          <w:rFonts w:hint="eastAsia" w:ascii="宋体" w:hAnsi="宋体" w:cs="宋体"/>
          <w:bCs/>
          <w:color w:val="auto"/>
          <w:sz w:val="24"/>
          <w:highlight w:val="none"/>
        </w:rPr>
        <w:t>⑼ 本合同其他附件；</w:t>
      </w:r>
    </w:p>
    <w:p>
      <w:pPr>
        <w:spacing w:line="500" w:lineRule="exact"/>
        <w:ind w:firstLine="482"/>
        <w:rPr>
          <w:rFonts w:ascii="宋体" w:hAnsi="宋体" w:cs="宋体"/>
          <w:b/>
          <w:bCs/>
          <w:color w:val="auto"/>
          <w:sz w:val="24"/>
          <w:highlight w:val="none"/>
        </w:rPr>
      </w:pPr>
      <w:r>
        <w:rPr>
          <w:rFonts w:hint="eastAsia" w:ascii="宋体" w:hAnsi="宋体" w:cs="宋体"/>
          <w:b/>
          <w:bCs/>
          <w:color w:val="auto"/>
          <w:sz w:val="24"/>
          <w:highlight w:val="none"/>
        </w:rPr>
        <w:t>第二条 项目概况、项目承包范围</w:t>
      </w:r>
    </w:p>
    <w:p>
      <w:pPr>
        <w:spacing w:line="500" w:lineRule="exact"/>
        <w:ind w:firstLine="480" w:firstLineChars="200"/>
        <w:rPr>
          <w:rFonts w:hint="eastAsia" w:ascii="宋体" w:hAnsi="宋体"/>
          <w:b w:val="0"/>
          <w:bCs/>
          <w:color w:val="auto"/>
          <w:sz w:val="22"/>
          <w:szCs w:val="21"/>
          <w:highlight w:val="none"/>
          <w:u w:val="single"/>
          <w:lang w:eastAsia="zh-CN"/>
        </w:rPr>
      </w:pPr>
      <w:r>
        <w:rPr>
          <w:rFonts w:hint="eastAsia" w:ascii="宋体" w:hAnsi="宋体" w:cs="宋体"/>
          <w:color w:val="auto"/>
          <w:sz w:val="24"/>
          <w:highlight w:val="none"/>
        </w:rPr>
        <w:t>2.1项目名称：</w:t>
      </w:r>
      <w:r>
        <w:rPr>
          <w:rFonts w:hint="eastAsia" w:ascii="宋体" w:hAnsi="宋体" w:cs="宋体"/>
          <w:b w:val="0"/>
          <w:bCs/>
          <w:color w:val="auto"/>
          <w:sz w:val="28"/>
          <w:szCs w:val="28"/>
          <w:highlight w:val="none"/>
          <w:u w:val="single"/>
          <w:lang w:eastAsia="zh-CN"/>
        </w:rPr>
        <w:t>广州市净水有限公司</w:t>
      </w:r>
      <w:r>
        <w:rPr>
          <w:rFonts w:hint="eastAsia" w:ascii="宋体" w:hAnsi="宋体" w:cs="宋体"/>
          <w:b w:val="0"/>
          <w:bCs/>
          <w:color w:val="auto"/>
          <w:sz w:val="28"/>
          <w:szCs w:val="28"/>
          <w:highlight w:val="none"/>
          <w:u w:val="single"/>
          <w:lang w:val="en-US" w:eastAsia="zh-CN"/>
        </w:rPr>
        <w:t>大坦沙分公司一二期污水泵房除臭设备改造项目</w:t>
      </w:r>
    </w:p>
    <w:p>
      <w:pPr>
        <w:pStyle w:val="2"/>
        <w:rPr>
          <w:rFonts w:hint="eastAsia"/>
          <w:color w:val="auto"/>
          <w:highlight w:val="none"/>
          <w:lang w:eastAsia="zh-CN"/>
        </w:rPr>
      </w:pP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2.2项目地点：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广州市荔湾区桥中南路7号</w:t>
      </w:r>
      <w:r>
        <w:rPr>
          <w:rFonts w:hint="eastAsia" w:ascii="宋体" w:hAnsi="宋体" w:cs="宋体"/>
          <w:color w:val="auto"/>
          <w:sz w:val="24"/>
          <w:highlight w:val="none"/>
          <w:u w:val="single"/>
        </w:rPr>
        <w:t>。</w:t>
      </w:r>
    </w:p>
    <w:p>
      <w:pPr>
        <w:pStyle w:val="12"/>
        <w:spacing w:line="500" w:lineRule="exact"/>
        <w:ind w:firstLine="0" w:firstLineChars="0"/>
        <w:outlineLvl w:val="1"/>
        <w:rPr>
          <w:rFonts w:hint="default" w:hAnsi="宋体" w:cs="宋体"/>
          <w:color w:val="auto"/>
          <w:sz w:val="24"/>
          <w:szCs w:val="20"/>
          <w:highlight w:val="none"/>
          <w:lang w:val="en-US" w:eastAsia="zh-CN"/>
        </w:rPr>
      </w:pPr>
    </w:p>
    <w:p>
      <w:pPr>
        <w:spacing w:line="500" w:lineRule="exact"/>
        <w:rPr>
          <w:color w:val="auto"/>
          <w:highlight w:val="none"/>
        </w:rPr>
      </w:pPr>
      <w:r>
        <w:rPr>
          <w:rFonts w:hint="eastAsia" w:ascii="宋体" w:hAnsi="宋体" w:cs="宋体"/>
          <w:color w:val="auto"/>
          <w:sz w:val="24"/>
          <w:highlight w:val="none"/>
        </w:rPr>
        <w:t xml:space="preserve">    2.3项目承包范围：包括提供所有需要的材料、机械、人工、设施、完成合同约定的工作和服务。按照甲方审核同意的方案、图纸所包括的实施范围和内容进行施工并在质量保修期内承担项目质量保修责任。</w:t>
      </w:r>
    </w:p>
    <w:p>
      <w:pPr>
        <w:spacing w:line="500" w:lineRule="exact"/>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2.4项目内容</w:t>
      </w:r>
      <w:r>
        <w:rPr>
          <w:rFonts w:hint="eastAsia" w:ascii="宋体" w:hAnsi="宋体" w:cs="宋体"/>
          <w:color w:val="auto"/>
          <w:sz w:val="24"/>
          <w:highlight w:val="none"/>
          <w:lang w:eastAsia="zh-CN"/>
        </w:rPr>
        <w:t>：</w:t>
      </w:r>
      <w:r>
        <w:rPr>
          <w:rFonts w:hint="eastAsia" w:ascii="宋体" w:hAnsi="宋体" w:cs="宋体"/>
          <w:color w:val="auto"/>
          <w:sz w:val="24"/>
          <w:highlight w:val="none"/>
          <w:u w:val="single"/>
          <w:lang w:val="en-US" w:eastAsia="zh-CN"/>
        </w:rPr>
        <w:t>大坦沙分公司增设一套污水泵房除臭装置</w:t>
      </w:r>
    </w:p>
    <w:p>
      <w:pPr>
        <w:pStyle w:val="2"/>
        <w:rPr>
          <w:color w:val="auto"/>
          <w:highlight w:val="none"/>
        </w:rPr>
      </w:pPr>
    </w:p>
    <w:p>
      <w:pPr>
        <w:spacing w:line="5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第三条 项目承包方式</w:t>
      </w:r>
    </w:p>
    <w:p>
      <w:pPr>
        <w:spacing w:line="500" w:lineRule="exact"/>
        <w:ind w:firstLine="480" w:firstLineChars="200"/>
        <w:rPr>
          <w:rFonts w:ascii="宋体" w:hAnsi="宋体" w:cs="宋体"/>
          <w:color w:val="auto"/>
          <w:sz w:val="24"/>
          <w:highlight w:val="none"/>
        </w:rPr>
      </w:pPr>
      <w:r>
        <w:rPr>
          <w:rFonts w:ascii="宋体" w:hAnsi="宋体" w:cs="宋体"/>
          <w:bCs/>
          <w:color w:val="auto"/>
          <w:sz w:val="24"/>
          <w:highlight w:val="none"/>
        </w:rPr>
        <w:sym w:font="Wingdings" w:char="00FE"/>
      </w:r>
      <w:r>
        <w:rPr>
          <w:rFonts w:hint="eastAsia" w:ascii="宋体" w:hAnsi="宋体" w:cs="宋体"/>
          <w:color w:val="auto"/>
          <w:sz w:val="24"/>
          <w:highlight w:val="none"/>
        </w:rPr>
        <w:t>包工、包料、包工期、包质量、包安全、包文明施工。综合单价包干、项目措施费包干。（单价包干要求附工程量报价/工程预算书）</w:t>
      </w:r>
    </w:p>
    <w:p>
      <w:pPr>
        <w:spacing w:line="500" w:lineRule="exact"/>
        <w:ind w:firstLine="480" w:firstLineChars="200"/>
        <w:rPr>
          <w:rFonts w:ascii="宋体" w:hAnsi="宋体" w:cs="宋体"/>
          <w:color w:val="auto"/>
          <w:sz w:val="24"/>
          <w:highlight w:val="none"/>
        </w:rPr>
      </w:pPr>
      <w:r>
        <w:rPr>
          <w:rFonts w:ascii="宋体" w:hAnsi="宋体" w:cs="宋体"/>
          <w:bCs/>
          <w:color w:val="auto"/>
          <w:sz w:val="24"/>
          <w:highlight w:val="none"/>
        </w:rPr>
        <w:sym w:font="Wingdings" w:char="00A8"/>
      </w:r>
      <w:r>
        <w:rPr>
          <w:rFonts w:hint="eastAsia" w:ascii="宋体" w:hAnsi="宋体" w:cs="宋体"/>
          <w:color w:val="auto"/>
          <w:sz w:val="24"/>
          <w:highlight w:val="none"/>
        </w:rPr>
        <w:t>包工、包料、包质量、包工期、包安全、包文明施工、包设计、包调试、包验收的施工图纸，以总价包干形式。</w:t>
      </w:r>
    </w:p>
    <w:p>
      <w:pPr>
        <w:spacing w:line="5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第四条</w:t>
      </w:r>
      <w:r>
        <w:rPr>
          <w:rFonts w:ascii="宋体" w:hAnsi="宋体" w:cs="宋体"/>
          <w:b/>
          <w:bCs/>
          <w:color w:val="auto"/>
          <w:sz w:val="24"/>
          <w:highlight w:val="none"/>
        </w:rPr>
        <w:t xml:space="preserve"> </w:t>
      </w:r>
      <w:r>
        <w:rPr>
          <w:rFonts w:hint="eastAsia" w:ascii="宋体" w:hAnsi="宋体" w:cs="宋体"/>
          <w:b/>
          <w:bCs/>
          <w:color w:val="auto"/>
          <w:sz w:val="24"/>
          <w:highlight w:val="none"/>
        </w:rPr>
        <w:t>合同价款</w:t>
      </w:r>
    </w:p>
    <w:p>
      <w:pPr>
        <w:spacing w:line="500" w:lineRule="exact"/>
        <w:ind w:firstLine="480" w:firstLineChars="200"/>
        <w:rPr>
          <w:rFonts w:ascii="宋体" w:hAnsi="宋体" w:cs="宋体"/>
          <w:bCs/>
          <w:color w:val="auto"/>
          <w:sz w:val="24"/>
          <w:highlight w:val="none"/>
          <w:bdr w:val="single" w:color="auto" w:sz="4" w:space="0"/>
        </w:rPr>
      </w:pPr>
      <w:r>
        <w:rPr>
          <w:rFonts w:ascii="宋体" w:hAnsi="宋体" w:cs="宋体"/>
          <w:color w:val="auto"/>
          <w:sz w:val="24"/>
          <w:highlight w:val="none"/>
        </w:rPr>
        <w:t>4.1</w:t>
      </w:r>
      <w:r>
        <w:rPr>
          <w:rFonts w:hint="eastAsia" w:ascii="宋体" w:hAnsi="宋体" w:cs="宋体"/>
          <w:color w:val="auto"/>
          <w:sz w:val="24"/>
          <w:highlight w:val="none"/>
        </w:rPr>
        <w:t>合同价款按以下</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(1)</w:t>
      </w:r>
      <w:r>
        <w:rPr>
          <w:rFonts w:ascii="宋体" w:hAnsi="宋体" w:cs="宋体"/>
          <w:color w:val="auto"/>
          <w:sz w:val="24"/>
          <w:highlight w:val="none"/>
          <w:u w:val="single"/>
        </w:rPr>
        <w:t xml:space="preserve"> </w:t>
      </w:r>
      <w:r>
        <w:rPr>
          <w:rFonts w:hint="eastAsia" w:ascii="宋体" w:hAnsi="宋体" w:cs="宋体"/>
          <w:color w:val="auto"/>
          <w:sz w:val="24"/>
          <w:highlight w:val="none"/>
        </w:rPr>
        <w:t>执行。</w:t>
      </w:r>
    </w:p>
    <w:p>
      <w:pPr>
        <w:numPr>
          <w:ilvl w:val="0"/>
          <w:numId w:val="6"/>
        </w:num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合同暂定总价为：</w:t>
      </w:r>
      <w:r>
        <w:rPr>
          <w:rFonts w:hint="eastAsia" w:ascii="宋体" w:hAnsi="宋体" w:cs="宋体"/>
          <w:b/>
          <w:color w:val="auto"/>
          <w:sz w:val="24"/>
          <w:highlight w:val="none"/>
          <w:u w:val="single"/>
        </w:rPr>
        <w:t>人民币</w:t>
      </w:r>
      <w:r>
        <w:rPr>
          <w:rFonts w:ascii="宋体" w:hAnsi="宋体" w:cs="宋体"/>
          <w:b/>
          <w:color w:val="auto"/>
          <w:sz w:val="24"/>
          <w:highlight w:val="none"/>
          <w:u w:val="single"/>
        </w:rPr>
        <w:t xml:space="preserve"> </w:t>
      </w:r>
      <w:r>
        <w:rPr>
          <w:rFonts w:hint="eastAsia" w:ascii="宋体" w:hAnsi="宋体" w:cs="宋体"/>
          <w:b/>
          <w:color w:val="auto"/>
          <w:sz w:val="24"/>
          <w:highlight w:val="none"/>
          <w:u w:val="single"/>
          <w:lang w:val="en-US" w:eastAsia="zh-CN"/>
        </w:rPr>
        <w:t xml:space="preserve">     </w:t>
      </w:r>
      <w:r>
        <w:rPr>
          <w:rFonts w:ascii="宋体" w:hAnsi="宋体" w:cs="宋体"/>
          <w:b/>
          <w:color w:val="auto"/>
          <w:sz w:val="24"/>
          <w:highlight w:val="none"/>
          <w:u w:val="single"/>
        </w:rPr>
        <w:t xml:space="preserve"> </w:t>
      </w:r>
      <w:r>
        <w:rPr>
          <w:rFonts w:hint="eastAsia" w:ascii="宋体" w:hAnsi="宋体" w:cs="宋体"/>
          <w:b/>
          <w:color w:val="auto"/>
          <w:sz w:val="24"/>
          <w:highlight w:val="none"/>
          <w:u w:val="single"/>
        </w:rPr>
        <w:t>元</w:t>
      </w:r>
      <w:r>
        <w:rPr>
          <w:rFonts w:hint="eastAsia" w:ascii="宋体" w:hAnsi="宋体" w:cs="宋体"/>
          <w:color w:val="auto"/>
          <w:sz w:val="24"/>
          <w:highlight w:val="none"/>
        </w:rPr>
        <w:t>（大写</w:t>
      </w:r>
      <w:r>
        <w:rPr>
          <w:rFonts w:ascii="宋体" w:hAnsi="宋体" w:cs="宋体"/>
          <w:color w:val="auto"/>
          <w:sz w:val="24"/>
          <w:highlight w:val="none"/>
        </w:rPr>
        <w:t>:</w:t>
      </w:r>
      <w:r>
        <w:rPr>
          <w:rFonts w:ascii="宋体" w:hAnsi="宋体" w:cs="宋体"/>
          <w:b/>
          <w:color w:val="auto"/>
          <w:sz w:val="24"/>
          <w:highlight w:val="none"/>
          <w:u w:val="single"/>
        </w:rPr>
        <w:t xml:space="preserve"> </w:t>
      </w:r>
      <w:r>
        <w:rPr>
          <w:rFonts w:hint="eastAsia" w:ascii="宋体" w:hAnsi="宋体" w:cs="宋体"/>
          <w:b/>
          <w:color w:val="auto"/>
          <w:sz w:val="24"/>
          <w:highlight w:val="none"/>
          <w:u w:val="single"/>
          <w:lang w:val="en-US" w:eastAsia="zh-CN"/>
        </w:rPr>
        <w:t xml:space="preserve">          </w:t>
      </w:r>
      <w:r>
        <w:rPr>
          <w:rFonts w:hint="eastAsia" w:ascii="宋体" w:hAnsi="宋体" w:cs="宋体"/>
          <w:b/>
          <w:color w:val="auto"/>
          <w:sz w:val="24"/>
          <w:highlight w:val="none"/>
          <w:u w:val="single"/>
        </w:rPr>
        <w:t xml:space="preserve"> </w:t>
      </w:r>
      <w:r>
        <w:rPr>
          <w:rFonts w:hint="eastAsia" w:ascii="宋体" w:hAnsi="宋体" w:cs="宋体"/>
          <w:color w:val="auto"/>
          <w:sz w:val="24"/>
          <w:highlight w:val="none"/>
        </w:rPr>
        <w:t>）。经甲方或甲方委托有资质第三方机构审核后，审核价作为合同结算价。若合同结算价超合同暂定总价，双方另行签订补充协议。</w:t>
      </w:r>
    </w:p>
    <w:p>
      <w:pPr>
        <w:spacing w:line="50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 xml:space="preserve">         </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综合单价</w:t>
      </w:r>
      <w:r>
        <w:rPr>
          <w:rFonts w:hint="eastAsia" w:ascii="宋体" w:hAnsi="宋体" w:cs="宋体"/>
          <w:color w:val="auto"/>
          <w:sz w:val="24"/>
          <w:highlight w:val="none"/>
          <w:lang w:val="en-US" w:eastAsia="zh-CN"/>
        </w:rPr>
        <w:t>详见</w:t>
      </w:r>
      <w:r>
        <w:rPr>
          <w:rFonts w:hint="eastAsia" w:ascii="宋体" w:hAnsi="宋体" w:cs="宋体"/>
          <w:color w:val="auto"/>
          <w:sz w:val="24"/>
          <w:highlight w:val="none"/>
        </w:rPr>
        <w:t>附件5工程量清单报价。</w:t>
      </w:r>
    </w:p>
    <w:p>
      <w:pPr>
        <w:autoSpaceDE w:val="0"/>
        <w:autoSpaceDN w:val="0"/>
        <w:adjustRightIn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spacing w:line="500" w:lineRule="exact"/>
        <w:ind w:firstLine="480" w:firstLineChars="200"/>
        <w:rPr>
          <w:rFonts w:ascii="宋体" w:hAnsi="宋体" w:cs="宋体"/>
          <w:color w:val="auto"/>
          <w:sz w:val="24"/>
          <w:highlight w:val="none"/>
        </w:rPr>
      </w:pPr>
      <w:r>
        <w:rPr>
          <w:rFonts w:hint="eastAsia" w:ascii="宋体" w:hAnsi="宋体" w:cs="宋体"/>
          <w:bCs/>
          <w:color w:val="auto"/>
          <w:sz w:val="24"/>
          <w:highlight w:val="none"/>
        </w:rPr>
        <w:t>（</w:t>
      </w:r>
      <w:r>
        <w:rPr>
          <w:rFonts w:ascii="宋体" w:hAnsi="宋体" w:cs="宋体"/>
          <w:bCs/>
          <w:color w:val="auto"/>
          <w:sz w:val="24"/>
          <w:highlight w:val="none"/>
        </w:rPr>
        <w:t>2</w:t>
      </w:r>
      <w:r>
        <w:rPr>
          <w:rFonts w:hint="eastAsia" w:ascii="宋体" w:hAnsi="宋体" w:cs="宋体"/>
          <w:bCs/>
          <w:color w:val="auto"/>
          <w:sz w:val="24"/>
          <w:highlight w:val="none"/>
        </w:rPr>
        <w:t>）</w:t>
      </w:r>
      <w:r>
        <w:rPr>
          <w:rFonts w:hint="eastAsia" w:ascii="宋体" w:hAnsi="宋体" w:cs="宋体"/>
          <w:color w:val="auto"/>
          <w:sz w:val="24"/>
          <w:highlight w:val="none"/>
        </w:rPr>
        <w:t>合同以总价包干形式，合同暂定总价为：</w:t>
      </w:r>
      <w:r>
        <w:rPr>
          <w:rFonts w:hint="eastAsia" w:ascii="宋体" w:hAnsi="宋体" w:cs="宋体"/>
          <w:b/>
          <w:color w:val="auto"/>
          <w:sz w:val="24"/>
          <w:highlight w:val="none"/>
          <w:u w:val="single"/>
        </w:rPr>
        <w:t>人民币</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r>
        <w:rPr>
          <w:rFonts w:ascii="宋体" w:hAnsi="宋体" w:cs="宋体"/>
          <w:color w:val="auto"/>
          <w:sz w:val="24"/>
          <w:highlight w:val="none"/>
          <w:u w:val="single"/>
        </w:rPr>
        <w:t xml:space="preserve"> </w:t>
      </w:r>
      <w:r>
        <w:rPr>
          <w:rFonts w:hint="eastAsia" w:ascii="宋体" w:hAnsi="宋体" w:cs="宋体"/>
          <w:b/>
          <w:color w:val="auto"/>
          <w:sz w:val="24"/>
          <w:highlight w:val="none"/>
          <w:u w:val="single"/>
        </w:rPr>
        <w:t>元</w:t>
      </w:r>
      <w:r>
        <w:rPr>
          <w:rFonts w:hint="eastAsia" w:ascii="宋体" w:hAnsi="宋体" w:cs="宋体"/>
          <w:color w:val="auto"/>
          <w:sz w:val="24"/>
          <w:highlight w:val="none"/>
        </w:rPr>
        <w:t>（大写</w:t>
      </w:r>
      <w:r>
        <w:rPr>
          <w:rFonts w:ascii="宋体" w:hAnsi="宋体" w:cs="宋体"/>
          <w:color w:val="auto"/>
          <w:sz w:val="24"/>
          <w:highlight w:val="none"/>
        </w:rPr>
        <w:t>:</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r>
        <w:rPr>
          <w:rFonts w:ascii="宋体" w:hAnsi="宋体" w:cs="宋体"/>
          <w:color w:val="auto"/>
          <w:sz w:val="24"/>
          <w:highlight w:val="none"/>
          <w:u w:val="single"/>
        </w:rPr>
        <w:t xml:space="preserve"> </w:t>
      </w:r>
      <w:r>
        <w:rPr>
          <w:rFonts w:hint="eastAsia" w:ascii="宋体" w:hAnsi="宋体" w:cs="宋体"/>
          <w:color w:val="auto"/>
          <w:sz w:val="24"/>
          <w:highlight w:val="none"/>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500" w:lineRule="exact"/>
        <w:ind w:firstLine="480" w:firstLineChars="200"/>
        <w:rPr>
          <w:rFonts w:ascii="宋体" w:hAnsi="宋体" w:cs="宋体"/>
          <w:color w:val="auto"/>
          <w:sz w:val="24"/>
          <w:highlight w:val="none"/>
        </w:rPr>
      </w:pPr>
      <w:r>
        <w:rPr>
          <w:rFonts w:ascii="宋体" w:hAnsi="宋体" w:cs="宋体"/>
          <w:color w:val="auto"/>
          <w:kern w:val="0"/>
          <w:sz w:val="24"/>
          <w:highlight w:val="none"/>
          <w:lang w:val="zh-CN"/>
        </w:rPr>
        <w:t>4.2</w:t>
      </w:r>
      <w:r>
        <w:rPr>
          <w:rFonts w:hint="eastAsia" w:ascii="宋体" w:hAnsi="宋体" w:cs="宋体"/>
          <w:color w:val="auto"/>
          <w:kern w:val="0"/>
          <w:sz w:val="24"/>
          <w:highlight w:val="none"/>
        </w:rPr>
        <w:t>本合同约定的价格为含税价价格</w:t>
      </w:r>
      <w:r>
        <w:rPr>
          <w:rFonts w:hint="eastAsia" w:ascii="宋体" w:hAnsi="宋体" w:cs="宋体"/>
          <w:color w:val="auto"/>
          <w:sz w:val="24"/>
          <w:highlight w:val="none"/>
        </w:rPr>
        <w:t>（</w:t>
      </w:r>
      <w:r>
        <w:rPr>
          <w:rFonts w:hint="eastAsia" w:ascii="宋体" w:hAnsi="宋体" w:cs="宋体"/>
          <w:color w:val="auto"/>
          <w:sz w:val="24"/>
          <w:highlight w:val="none"/>
          <w:u w:val="single"/>
          <w:lang w:val="en-US" w:eastAsia="zh-CN"/>
        </w:rPr>
        <w:t>税率为/ %</w:t>
      </w:r>
      <w:r>
        <w:rPr>
          <w:rFonts w:hint="eastAsia" w:ascii="宋体" w:hAnsi="宋体" w:cs="宋体"/>
          <w:color w:val="auto"/>
          <w:sz w:val="24"/>
          <w:highlight w:val="none"/>
        </w:rPr>
        <w:t>），合同履行期间国家税率调整或乙方开票的实际税率与前述税率不一致的，不含税价不变，价税合计按实际税率相应调整，以开具发票时间为准。</w:t>
      </w:r>
    </w:p>
    <w:p>
      <w:pPr>
        <w:tabs>
          <w:tab w:val="left" w:pos="851"/>
        </w:tabs>
        <w:adjustRightInd w:val="0"/>
        <w:snapToGrid w:val="0"/>
        <w:spacing w:line="500" w:lineRule="exact"/>
        <w:ind w:firstLine="480" w:firstLineChars="200"/>
        <w:jc w:val="left"/>
        <w:rPr>
          <w:rFonts w:ascii="宋体" w:hAnsi="宋体" w:cs="宋体"/>
          <w:color w:val="auto"/>
          <w:kern w:val="0"/>
          <w:sz w:val="24"/>
          <w:highlight w:val="none"/>
          <w:lang w:val="zh-CN"/>
        </w:rPr>
      </w:pPr>
      <w:r>
        <w:rPr>
          <w:rFonts w:ascii="宋体" w:hAnsi="宋体" w:cs="宋体"/>
          <w:color w:val="auto"/>
          <w:kern w:val="0"/>
          <w:sz w:val="24"/>
          <w:highlight w:val="none"/>
          <w:lang w:val="zh-CN"/>
        </w:rPr>
        <w:t>4.3</w:t>
      </w:r>
      <w:r>
        <w:rPr>
          <w:rFonts w:hint="eastAsia" w:ascii="宋体" w:hAnsi="宋体" w:cs="宋体"/>
          <w:color w:val="auto"/>
          <w:kern w:val="0"/>
          <w:sz w:val="24"/>
          <w:highlight w:val="none"/>
          <w:lang w:val="zh-CN"/>
        </w:rPr>
        <w:t>因非乙方原因引起工程量报价清单中工程量发生增减，且单个子目工程量变化幅度在25%以内（含）时，按工程量报价清单中列明的子目单价结算。否则，按新增单价执行。</w:t>
      </w:r>
    </w:p>
    <w:p>
      <w:pPr>
        <w:widowControl/>
        <w:tabs>
          <w:tab w:val="left" w:pos="851"/>
        </w:tabs>
        <w:adjustRightInd w:val="0"/>
        <w:snapToGrid w:val="0"/>
        <w:spacing w:line="500" w:lineRule="exact"/>
        <w:ind w:firstLine="480" w:firstLineChars="200"/>
        <w:rPr>
          <w:rFonts w:ascii="宋体" w:hAnsi="宋体" w:cs="宋体"/>
          <w:color w:val="auto"/>
          <w:kern w:val="0"/>
          <w:sz w:val="24"/>
          <w:highlight w:val="none"/>
          <w:lang w:val="zh-CN"/>
        </w:rPr>
      </w:pPr>
      <w:r>
        <w:rPr>
          <w:rFonts w:ascii="宋体" w:hAnsi="宋体" w:cs="宋体"/>
          <w:color w:val="auto"/>
          <w:kern w:val="0"/>
          <w:sz w:val="24"/>
          <w:highlight w:val="none"/>
          <w:lang w:val="zh-CN"/>
        </w:rPr>
        <w:t>4.4合同中没有适用于变更工程项目的单价的，按新增单价执行。</w:t>
      </w:r>
    </w:p>
    <w:p>
      <w:pPr>
        <w:widowControl/>
        <w:tabs>
          <w:tab w:val="left" w:pos="851"/>
        </w:tabs>
        <w:adjustRightInd w:val="0"/>
        <w:snapToGrid w:val="0"/>
        <w:spacing w:line="500" w:lineRule="exact"/>
        <w:ind w:firstLine="480" w:firstLineChars="200"/>
        <w:rPr>
          <w:rFonts w:ascii="宋体" w:hAnsi="宋体" w:cs="宋体"/>
          <w:color w:val="auto"/>
          <w:kern w:val="0"/>
          <w:sz w:val="24"/>
          <w:highlight w:val="none"/>
          <w:lang w:val="zh-CN"/>
        </w:rPr>
      </w:pPr>
      <w:r>
        <w:rPr>
          <w:rFonts w:ascii="宋体" w:hAnsi="宋体" w:cs="宋体"/>
          <w:color w:val="auto"/>
          <w:kern w:val="0"/>
          <w:sz w:val="24"/>
          <w:highlight w:val="none"/>
          <w:lang w:val="zh-CN"/>
        </w:rPr>
        <w:t>新增单价计价原则：</w:t>
      </w:r>
    </w:p>
    <w:p>
      <w:pPr>
        <w:widowControl/>
        <w:tabs>
          <w:tab w:val="left" w:pos="851"/>
        </w:tabs>
        <w:adjustRightInd w:val="0"/>
        <w:snapToGrid w:val="0"/>
        <w:spacing w:line="500" w:lineRule="exact"/>
        <w:ind w:firstLine="480" w:firstLineChars="200"/>
        <w:rPr>
          <w:rFonts w:ascii="宋体" w:hAnsi="宋体" w:cs="宋体"/>
          <w:color w:val="auto"/>
          <w:kern w:val="0"/>
          <w:sz w:val="24"/>
          <w:highlight w:val="none"/>
          <w:lang w:val="zh-CN"/>
        </w:rPr>
      </w:pPr>
      <w:r>
        <w:rPr>
          <w:rFonts w:ascii="宋体" w:hAnsi="宋体" w:cs="宋体"/>
          <w:color w:val="auto"/>
          <w:kern w:val="0"/>
          <w:sz w:val="24"/>
          <w:highlight w:val="none"/>
          <w:lang w:val="zh-CN"/>
        </w:rPr>
        <w:t>1.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widowControl/>
        <w:tabs>
          <w:tab w:val="left" w:pos="851"/>
        </w:tabs>
        <w:adjustRightInd w:val="0"/>
        <w:snapToGrid w:val="0"/>
        <w:spacing w:line="500" w:lineRule="exact"/>
        <w:ind w:firstLine="480" w:firstLineChars="200"/>
        <w:rPr>
          <w:rFonts w:ascii="宋体" w:hAnsi="宋体" w:cs="宋体"/>
          <w:color w:val="auto"/>
          <w:kern w:val="0"/>
          <w:sz w:val="24"/>
          <w:highlight w:val="none"/>
          <w:lang w:val="zh-CN"/>
        </w:rPr>
      </w:pPr>
      <w:r>
        <w:rPr>
          <w:rFonts w:ascii="宋体" w:hAnsi="宋体" w:cs="宋体"/>
          <w:color w:val="auto"/>
          <w:kern w:val="0"/>
          <w:sz w:val="24"/>
          <w:highlight w:val="none"/>
          <w:lang w:val="zh-CN"/>
        </w:rPr>
        <w:t>2.项目计价材料、设备价格的控制：按以下顺序作为降序优先级依次采用工程开工报告中开工日期当月的下列价格：</w:t>
      </w:r>
    </w:p>
    <w:p>
      <w:pPr>
        <w:widowControl/>
        <w:tabs>
          <w:tab w:val="left" w:pos="851"/>
        </w:tabs>
        <w:adjustRightInd w:val="0"/>
        <w:snapToGrid w:val="0"/>
        <w:spacing w:line="500" w:lineRule="exact"/>
        <w:ind w:firstLine="480" w:firstLineChars="200"/>
        <w:rPr>
          <w:rFonts w:ascii="宋体" w:hAnsi="宋体" w:cs="宋体"/>
          <w:color w:val="auto"/>
          <w:kern w:val="0"/>
          <w:sz w:val="24"/>
          <w:highlight w:val="none"/>
          <w:lang w:val="zh-CN"/>
        </w:rPr>
      </w:pPr>
      <w:r>
        <w:rPr>
          <w:rFonts w:ascii="宋体" w:hAnsi="宋体" w:cs="宋体"/>
          <w:color w:val="auto"/>
          <w:kern w:val="0"/>
          <w:sz w:val="24"/>
          <w:highlight w:val="none"/>
          <w:lang w:val="zh-CN"/>
        </w:rPr>
        <w:t>（1）《广州地区建设工程常用材料税前综合价格》（下称综合价格）。</w:t>
      </w:r>
    </w:p>
    <w:p>
      <w:pPr>
        <w:widowControl/>
        <w:tabs>
          <w:tab w:val="left" w:pos="851"/>
        </w:tabs>
        <w:adjustRightInd w:val="0"/>
        <w:snapToGrid w:val="0"/>
        <w:spacing w:line="500" w:lineRule="exact"/>
        <w:ind w:firstLine="480" w:firstLineChars="200"/>
        <w:rPr>
          <w:rFonts w:ascii="宋体" w:hAnsi="宋体" w:cs="宋体"/>
          <w:color w:val="auto"/>
          <w:kern w:val="0"/>
          <w:sz w:val="24"/>
          <w:highlight w:val="none"/>
          <w:lang w:val="zh-CN"/>
        </w:rPr>
      </w:pPr>
      <w:r>
        <w:rPr>
          <w:rFonts w:ascii="宋体" w:hAnsi="宋体" w:cs="宋体"/>
          <w:color w:val="auto"/>
          <w:kern w:val="0"/>
          <w:sz w:val="24"/>
          <w:highlight w:val="none"/>
          <w:lang w:val="zh-CN"/>
        </w:rPr>
        <w:t>（2）《广州地区建设工程材料（设备）厂商价格信息》（下称厂商价格）下浮10-20%。</w:t>
      </w:r>
    </w:p>
    <w:p>
      <w:pPr>
        <w:widowControl/>
        <w:tabs>
          <w:tab w:val="left" w:pos="851"/>
        </w:tabs>
        <w:adjustRightInd w:val="0"/>
        <w:snapToGrid w:val="0"/>
        <w:spacing w:line="500" w:lineRule="exact"/>
        <w:ind w:firstLine="480" w:firstLineChars="200"/>
        <w:rPr>
          <w:rFonts w:ascii="宋体" w:hAnsi="宋体" w:cs="宋体"/>
          <w:color w:val="auto"/>
          <w:kern w:val="0"/>
          <w:sz w:val="24"/>
          <w:highlight w:val="none"/>
          <w:lang w:val="zh-CN"/>
        </w:rPr>
      </w:pPr>
      <w:r>
        <w:rPr>
          <w:rFonts w:ascii="宋体" w:hAnsi="宋体" w:cs="宋体"/>
          <w:color w:val="auto"/>
          <w:kern w:val="0"/>
          <w:sz w:val="24"/>
          <w:highlight w:val="none"/>
          <w:lang w:val="zh-CN"/>
        </w:rPr>
        <w:t>（3）综合价格、厂商价格中缺项的，采用由北京瑞恒达建筑咨询有限公司提供服务的“慧讯网”中查到的相应材料、设备价格的工程价。</w:t>
      </w:r>
    </w:p>
    <w:p>
      <w:pPr>
        <w:widowControl/>
        <w:tabs>
          <w:tab w:val="left" w:pos="851"/>
        </w:tabs>
        <w:adjustRightInd w:val="0"/>
        <w:snapToGrid w:val="0"/>
        <w:spacing w:line="500" w:lineRule="exact"/>
        <w:ind w:firstLine="480" w:firstLineChars="200"/>
        <w:rPr>
          <w:rFonts w:ascii="宋体" w:hAnsi="宋体" w:cs="宋体"/>
          <w:color w:val="auto"/>
          <w:kern w:val="0"/>
          <w:sz w:val="24"/>
          <w:highlight w:val="none"/>
          <w:lang w:val="zh-CN"/>
        </w:rPr>
      </w:pPr>
      <w:r>
        <w:rPr>
          <w:rFonts w:ascii="宋体" w:hAnsi="宋体" w:cs="宋体"/>
          <w:color w:val="auto"/>
          <w:kern w:val="0"/>
          <w:sz w:val="24"/>
          <w:highlight w:val="none"/>
          <w:lang w:val="zh-CN"/>
        </w:rPr>
        <w:t>（4）通过市场询价双方协商确定。</w:t>
      </w:r>
    </w:p>
    <w:p>
      <w:pPr>
        <w:widowControl/>
        <w:tabs>
          <w:tab w:val="left" w:pos="851"/>
        </w:tabs>
        <w:adjustRightInd w:val="0"/>
        <w:snapToGrid w:val="0"/>
        <w:spacing w:line="500" w:lineRule="exact"/>
        <w:ind w:firstLine="480" w:firstLineChars="200"/>
        <w:rPr>
          <w:color w:val="auto"/>
          <w:highlight w:val="none"/>
        </w:rPr>
      </w:pPr>
      <w:r>
        <w:rPr>
          <w:rFonts w:ascii="宋体" w:hAnsi="宋体" w:cs="宋体"/>
          <w:color w:val="auto"/>
          <w:kern w:val="0"/>
          <w:sz w:val="24"/>
          <w:highlight w:val="none"/>
          <w:lang w:val="zh-CN"/>
        </w:rPr>
        <w:t>3.按1、2组价后下浮5%计取。</w:t>
      </w:r>
    </w:p>
    <w:p>
      <w:pPr>
        <w:widowControl/>
        <w:tabs>
          <w:tab w:val="left" w:pos="851"/>
        </w:tabs>
        <w:adjustRightInd w:val="0"/>
        <w:snapToGrid w:val="0"/>
        <w:spacing w:line="50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第五条</w:t>
      </w:r>
      <w:r>
        <w:rPr>
          <w:rFonts w:ascii="宋体" w:hAnsi="宋体" w:cs="宋体"/>
          <w:b/>
          <w:bCs/>
          <w:color w:val="auto"/>
          <w:sz w:val="24"/>
          <w:highlight w:val="none"/>
        </w:rPr>
        <w:t xml:space="preserve"> </w:t>
      </w:r>
      <w:r>
        <w:rPr>
          <w:rFonts w:hint="eastAsia" w:ascii="宋体" w:hAnsi="宋体" w:cs="宋体"/>
          <w:b/>
          <w:bCs/>
          <w:color w:val="auto"/>
          <w:sz w:val="24"/>
          <w:highlight w:val="none"/>
        </w:rPr>
        <w:t>工期及要求</w:t>
      </w:r>
    </w:p>
    <w:p>
      <w:pPr>
        <w:widowControl/>
        <w:spacing w:line="500" w:lineRule="exact"/>
        <w:ind w:firstLine="480" w:firstLineChars="200"/>
        <w:jc w:val="left"/>
        <w:rPr>
          <w:rFonts w:ascii="宋体" w:hAnsi="宋体" w:cs="宋体"/>
          <w:color w:val="auto"/>
          <w:sz w:val="24"/>
          <w:highlight w:val="none"/>
        </w:rPr>
      </w:pPr>
      <w:r>
        <w:rPr>
          <w:rFonts w:ascii="宋体" w:hAnsi="宋体" w:cs="宋体"/>
          <w:color w:val="auto"/>
          <w:sz w:val="24"/>
          <w:highlight w:val="none"/>
        </w:rPr>
        <w:t>5.1</w:t>
      </w:r>
      <w:r>
        <w:rPr>
          <w:rFonts w:hint="eastAsia" w:ascii="宋体" w:hAnsi="宋体" w:cs="宋体"/>
          <w:color w:val="auto"/>
          <w:sz w:val="24"/>
          <w:highlight w:val="none"/>
        </w:rPr>
        <w:t>开工日期暂定为：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具体日期以甲方发出的开工报告/通知为准。乙方不能按时开工，应当于开工报告/通知载明的开工日期7天前，以书面形式向甲方提出延期开工的理由。甲方应当在接到延期开工申请后的48小时内以书面形式答复乙方。甲方在接到延期开工申请后48小时内不答复，视为同意乙方要求，工期相应顺延。甲方不同意延期要求或乙方未在规定时间内提出延期开工，工期不予顺延。合同工期</w:t>
      </w:r>
      <w:r>
        <w:rPr>
          <w:rFonts w:hint="eastAsia" w:ascii="宋体" w:hAnsi="宋体" w:cs="宋体"/>
          <w:color w:val="auto"/>
          <w:sz w:val="24"/>
          <w:highlight w:val="none"/>
          <w:lang w:val="en-US" w:eastAsia="zh-CN"/>
        </w:rPr>
        <w:t>及总日历天数</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cstheme="minorEastAsia"/>
          <w:color w:val="auto"/>
          <w:sz w:val="24"/>
          <w:szCs w:val="24"/>
          <w:highlight w:val="none"/>
          <w:lang w:val="en-US" w:eastAsia="zh-CN"/>
        </w:rPr>
        <w:t>45天</w:t>
      </w:r>
      <w:r>
        <w:rPr>
          <w:rFonts w:hint="eastAsia" w:ascii="宋体" w:hAnsi="宋体" w:cs="宋体"/>
          <w:b/>
          <w:bCs/>
          <w:color w:val="auto"/>
          <w:sz w:val="24"/>
          <w:highlight w:val="none"/>
        </w:rPr>
        <w:t>。</w:t>
      </w:r>
      <w:r>
        <w:rPr>
          <w:color w:val="auto"/>
          <w:highlight w:val="none"/>
        </w:rPr>
        <w:commentReference w:id="0"/>
      </w:r>
      <w:r>
        <w:rPr>
          <w:rFonts w:hint="eastAsia" w:ascii="宋体" w:hAnsi="宋体" w:cs="宋体"/>
          <w:color w:val="auto"/>
          <w:sz w:val="24"/>
          <w:highlight w:val="none"/>
        </w:rPr>
        <w:t>乙方未能按合同工期竣工验收的，每逾期一天，甲方有权要求乙方按合同暂定总价的 1%支付违约金，逾期达到</w:t>
      </w:r>
      <w:r>
        <w:rPr>
          <w:rFonts w:ascii="宋体" w:hAnsi="宋体" w:cs="宋体"/>
          <w:color w:val="auto"/>
          <w:sz w:val="24"/>
          <w:highlight w:val="none"/>
          <w:u w:val="single"/>
        </w:rPr>
        <w:t>30</w:t>
      </w:r>
      <w:r>
        <w:rPr>
          <w:rFonts w:hint="eastAsia" w:ascii="宋体" w:hAnsi="宋体" w:cs="宋体"/>
          <w:color w:val="auto"/>
          <w:sz w:val="24"/>
          <w:highlight w:val="none"/>
        </w:rPr>
        <w:t>天及以上的，甲方有权解除合同并要求乙方支付</w:t>
      </w:r>
      <w:r>
        <w:rPr>
          <w:rFonts w:hint="eastAsia" w:ascii="宋体" w:hAnsi="宋体" w:cs="宋体"/>
          <w:color w:val="auto"/>
          <w:sz w:val="24"/>
          <w:highlight w:val="none"/>
          <w:u w:val="single"/>
        </w:rPr>
        <w:t>合同暂定总价的</w:t>
      </w:r>
      <w:r>
        <w:rPr>
          <w:rFonts w:ascii="宋体" w:hAnsi="宋体" w:cs="宋体"/>
          <w:color w:val="auto"/>
          <w:sz w:val="24"/>
          <w:highlight w:val="none"/>
          <w:u w:val="single"/>
        </w:rPr>
        <w:t>20%</w:t>
      </w:r>
      <w:r>
        <w:rPr>
          <w:rFonts w:ascii="宋体" w:hAnsi="宋体" w:cs="宋体"/>
          <w:color w:val="auto"/>
          <w:sz w:val="24"/>
          <w:highlight w:val="none"/>
        </w:rPr>
        <w:t>作为违约金。</w:t>
      </w:r>
    </w:p>
    <w:p>
      <w:pPr>
        <w:pStyle w:val="7"/>
        <w:rPr>
          <w:color w:val="auto"/>
          <w:highlight w:val="none"/>
        </w:rPr>
      </w:pPr>
    </w:p>
    <w:p>
      <w:pPr>
        <w:widowControl/>
        <w:spacing w:line="500" w:lineRule="exact"/>
        <w:ind w:firstLine="480" w:firstLineChars="200"/>
        <w:jc w:val="left"/>
        <w:rPr>
          <w:rFonts w:ascii="宋体" w:hAnsi="宋体" w:cs="宋体"/>
          <w:bCs/>
          <w:color w:val="auto"/>
          <w:sz w:val="24"/>
          <w:highlight w:val="none"/>
        </w:rPr>
      </w:pPr>
      <w:r>
        <w:rPr>
          <w:rFonts w:ascii="宋体" w:hAnsi="宋体" w:cs="宋体"/>
          <w:bCs/>
          <w:color w:val="auto"/>
          <w:sz w:val="24"/>
          <w:highlight w:val="none"/>
        </w:rPr>
        <w:t>5.2</w:t>
      </w:r>
      <w:r>
        <w:rPr>
          <w:rFonts w:hint="eastAsia" w:ascii="宋体" w:hAnsi="宋体" w:cs="宋体"/>
          <w:bCs/>
          <w:color w:val="auto"/>
          <w:sz w:val="24"/>
          <w:highlight w:val="none"/>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合同暂定总价的5%/次作为违约金，超过三次（含三次）的，甲方有权解除合同，要求乙方支付合同暂定总价的20%作为违约金。由此造成的经济和法律责任，均由乙方负责。</w:t>
      </w:r>
    </w:p>
    <w:p>
      <w:pPr>
        <w:widowControl/>
        <w:spacing w:line="500" w:lineRule="exact"/>
        <w:ind w:firstLine="480" w:firstLineChars="200"/>
        <w:jc w:val="left"/>
        <w:rPr>
          <w:rFonts w:ascii="宋体" w:hAnsi="宋体" w:cs="宋体"/>
          <w:bCs/>
          <w:color w:val="auto"/>
          <w:sz w:val="24"/>
          <w:highlight w:val="none"/>
        </w:rPr>
      </w:pPr>
      <w:r>
        <w:rPr>
          <w:rFonts w:ascii="宋体" w:hAnsi="宋体" w:cs="宋体"/>
          <w:bCs/>
          <w:color w:val="auto"/>
          <w:sz w:val="24"/>
          <w:highlight w:val="none"/>
        </w:rPr>
        <w:t>5.3</w:t>
      </w:r>
      <w:r>
        <w:rPr>
          <w:rFonts w:hint="eastAsia" w:ascii="宋体" w:hAnsi="宋体" w:cs="宋体"/>
          <w:bCs/>
          <w:color w:val="auto"/>
          <w:sz w:val="24"/>
          <w:highlight w:val="none"/>
        </w:rPr>
        <w:t>乙方应按合同及甲方提供的技术文件要求进行本项目实施和安装。乙方未经甲方同意，不得将本项目图纸泄露或转给第三人。除乙方存档需要的图纸外，乙方应于项目质量保修期满后</w:t>
      </w:r>
      <w:r>
        <w:rPr>
          <w:rFonts w:ascii="宋体" w:hAnsi="宋体" w:cs="宋体"/>
          <w:bCs/>
          <w:color w:val="auto"/>
          <w:sz w:val="24"/>
          <w:highlight w:val="none"/>
          <w:u w:val="single"/>
        </w:rPr>
        <w:t xml:space="preserve"> 7 </w:t>
      </w:r>
      <w:r>
        <w:rPr>
          <w:rFonts w:hint="eastAsia" w:ascii="宋体" w:hAnsi="宋体" w:cs="宋体"/>
          <w:bCs/>
          <w:color w:val="auto"/>
          <w:sz w:val="24"/>
          <w:highlight w:val="none"/>
        </w:rPr>
        <w:t>日内将全部图纸退还给甲方。</w:t>
      </w:r>
    </w:p>
    <w:p>
      <w:pPr>
        <w:widowControl/>
        <w:spacing w:line="500" w:lineRule="exact"/>
        <w:ind w:left="1" w:firstLine="480" w:firstLineChars="200"/>
        <w:jc w:val="left"/>
        <w:rPr>
          <w:rFonts w:ascii="宋体" w:hAnsi="宋体" w:cs="宋体"/>
          <w:bCs/>
          <w:color w:val="auto"/>
          <w:sz w:val="24"/>
          <w:highlight w:val="none"/>
        </w:rPr>
      </w:pPr>
      <w:r>
        <w:rPr>
          <w:rFonts w:ascii="宋体" w:hAnsi="宋体" w:cs="宋体"/>
          <w:bCs/>
          <w:color w:val="auto"/>
          <w:sz w:val="24"/>
          <w:highlight w:val="none"/>
        </w:rPr>
        <w:t>5.4</w:t>
      </w:r>
      <w:r>
        <w:rPr>
          <w:rFonts w:hint="eastAsia" w:ascii="宋体" w:hAnsi="宋体" w:cs="宋体"/>
          <w:bCs/>
          <w:color w:val="auto"/>
          <w:sz w:val="24"/>
          <w:highlight w:val="none"/>
        </w:rPr>
        <w:t>合同约定的项目，乙方不得转包、分包。否则，甲方有权单方面终止合同，并令其立即退场，由此而造成的经济损失由乙方负责赔偿。</w:t>
      </w:r>
    </w:p>
    <w:p>
      <w:pPr>
        <w:widowControl/>
        <w:spacing w:line="500" w:lineRule="exact"/>
        <w:ind w:left="1" w:firstLine="480" w:firstLineChars="200"/>
        <w:jc w:val="left"/>
        <w:rPr>
          <w:rFonts w:ascii="宋体" w:hAnsi="宋体" w:cs="宋体"/>
          <w:bCs/>
          <w:color w:val="auto"/>
          <w:sz w:val="24"/>
          <w:highlight w:val="none"/>
        </w:rPr>
      </w:pPr>
      <w:r>
        <w:rPr>
          <w:rFonts w:ascii="宋体" w:hAnsi="宋体" w:cs="宋体"/>
          <w:bCs/>
          <w:color w:val="auto"/>
          <w:sz w:val="24"/>
          <w:highlight w:val="none"/>
        </w:rPr>
        <w:t>5.5</w:t>
      </w:r>
      <w:r>
        <w:rPr>
          <w:rFonts w:hint="eastAsia" w:ascii="宋体" w:hAnsi="宋体" w:cs="宋体"/>
          <w:bCs/>
          <w:color w:val="auto"/>
          <w:sz w:val="24"/>
          <w:highlight w:val="none"/>
        </w:rPr>
        <w:t>乙方不履行合同义务、或履行合同义务不符合合同约定、或违反国家、省、市行业标准的，甲方有权要求乙方限期整改。乙方逾期未完成整改的，每项每超过1日支付违约金人民币1万元，超过7日，甲方有权解除合同并要求乙方支付合同暂定总价的20%作为违约金（如合同另行约定违约责任，从其约定）。</w:t>
      </w:r>
    </w:p>
    <w:p>
      <w:pPr>
        <w:pStyle w:val="12"/>
        <w:spacing w:line="500" w:lineRule="exact"/>
        <w:ind w:firstLine="448" w:firstLineChars="200"/>
        <w:outlineLvl w:val="1"/>
        <w:rPr>
          <w:rFonts w:hAnsi="宋体" w:cs="宋体"/>
          <w:color w:val="auto"/>
          <w:spacing w:val="-8"/>
          <w:sz w:val="24"/>
          <w:szCs w:val="24"/>
          <w:highlight w:val="none"/>
        </w:rPr>
      </w:pPr>
      <w:r>
        <w:rPr>
          <w:rFonts w:asciiTheme="minorEastAsia" w:hAnsiTheme="minorEastAsia" w:eastAsiaTheme="minorEastAsia" w:cstheme="minorEastAsia"/>
          <w:color w:val="auto"/>
          <w:spacing w:val="-8"/>
          <w:sz w:val="24"/>
          <w:szCs w:val="24"/>
          <w:highlight w:val="none"/>
        </w:rPr>
        <w:t>5.</w:t>
      </w:r>
      <w:r>
        <w:rPr>
          <w:rFonts w:hint="eastAsia" w:asciiTheme="minorEastAsia" w:hAnsiTheme="minorEastAsia" w:eastAsiaTheme="minorEastAsia" w:cstheme="minorEastAsia"/>
          <w:color w:val="auto"/>
          <w:spacing w:val="-8"/>
          <w:sz w:val="24"/>
          <w:szCs w:val="24"/>
          <w:highlight w:val="none"/>
        </w:rPr>
        <w:t>6</w:t>
      </w:r>
      <w:r>
        <w:rPr>
          <w:rFonts w:hint="eastAsia" w:hAnsi="宋体" w:cs="宋体"/>
          <w:color w:val="auto"/>
          <w:spacing w:val="-8"/>
          <w:sz w:val="24"/>
          <w:szCs w:val="24"/>
          <w:highlight w:val="none"/>
        </w:rPr>
        <w:t>乙方不得随意更换项目负责人及附件6中的相关人员，如确须更换，应提前征得甲方同意。如有违反，甲方有权解除合同并要求乙方支付</w:t>
      </w:r>
      <w:r>
        <w:rPr>
          <w:rFonts w:hint="eastAsia" w:hAnsi="宋体" w:cs="宋体"/>
          <w:color w:val="auto"/>
          <w:spacing w:val="-8"/>
          <w:sz w:val="24"/>
          <w:szCs w:val="24"/>
          <w:highlight w:val="none"/>
          <w:u w:val="single"/>
        </w:rPr>
        <w:t>5000元/人次</w:t>
      </w:r>
      <w:r>
        <w:rPr>
          <w:rFonts w:hint="eastAsia" w:hAnsi="宋体" w:cs="宋体"/>
          <w:color w:val="auto"/>
          <w:spacing w:val="-8"/>
          <w:sz w:val="24"/>
          <w:szCs w:val="24"/>
          <w:highlight w:val="none"/>
        </w:rPr>
        <w:t>作为违约金，以及赔偿由此造成的一切损失(包含质量安全事故、工期延误、增加投资等)。</w:t>
      </w:r>
      <w:r>
        <w:rPr>
          <w:rFonts w:hAnsi="宋体" w:cs="宋体"/>
          <w:color w:val="auto"/>
          <w:spacing w:val="-8"/>
          <w:sz w:val="24"/>
          <w:szCs w:val="24"/>
          <w:highlight w:val="none"/>
        </w:rPr>
        <w:t xml:space="preserve">   </w:t>
      </w:r>
    </w:p>
    <w:p>
      <w:pPr>
        <w:widowControl/>
        <w:spacing w:line="500" w:lineRule="exact"/>
        <w:ind w:left="1" w:firstLine="448" w:firstLineChars="200"/>
        <w:jc w:val="left"/>
        <w:rPr>
          <w:rFonts w:ascii="宋体" w:hAnsi="宋体" w:cs="宋体"/>
          <w:color w:val="auto"/>
          <w:spacing w:val="-8"/>
          <w:sz w:val="24"/>
          <w:szCs w:val="24"/>
          <w:highlight w:val="none"/>
        </w:rPr>
      </w:pPr>
      <w:r>
        <w:rPr>
          <w:rFonts w:ascii="宋体" w:hAnsi="宋体" w:cs="宋体"/>
          <w:bCs/>
          <w:color w:val="auto"/>
          <w:spacing w:val="-8"/>
          <w:sz w:val="24"/>
          <w:szCs w:val="24"/>
          <w:highlight w:val="none"/>
        </w:rPr>
        <w:t>5.</w:t>
      </w:r>
      <w:r>
        <w:rPr>
          <w:rFonts w:hint="eastAsia" w:ascii="宋体" w:hAnsi="宋体" w:cs="宋体"/>
          <w:bCs/>
          <w:color w:val="auto"/>
          <w:spacing w:val="-8"/>
          <w:sz w:val="24"/>
          <w:szCs w:val="24"/>
          <w:highlight w:val="none"/>
        </w:rPr>
        <w:t>7施工过程中，项目负责人应驻场管理，否则甲方有权要求乙方支付违约</w:t>
      </w:r>
      <w:r>
        <w:rPr>
          <w:rFonts w:hint="eastAsia" w:ascii="宋体" w:hAnsi="宋体" w:cs="宋体"/>
          <w:bCs/>
          <w:color w:val="auto"/>
          <w:spacing w:val="-8"/>
          <w:sz w:val="24"/>
          <w:szCs w:val="24"/>
          <w:highlight w:val="none"/>
          <w:u w:val="single"/>
        </w:rPr>
        <w:t xml:space="preserve"> 1000元/天</w:t>
      </w:r>
      <w:r>
        <w:rPr>
          <w:rFonts w:hint="eastAsia" w:ascii="宋体" w:hAnsi="宋体" w:cs="宋体"/>
          <w:bCs/>
          <w:color w:val="auto"/>
          <w:spacing w:val="-8"/>
          <w:sz w:val="24"/>
          <w:szCs w:val="24"/>
          <w:highlight w:val="none"/>
        </w:rPr>
        <w:t>，因此造成损失的，按实际发生额赔偿。</w:t>
      </w:r>
    </w:p>
    <w:p>
      <w:pPr>
        <w:widowControl/>
        <w:spacing w:line="500" w:lineRule="exact"/>
        <w:ind w:left="1" w:firstLine="448" w:firstLineChars="200"/>
        <w:jc w:val="left"/>
        <w:rPr>
          <w:rFonts w:ascii="宋体" w:hAnsi="宋体" w:cs="宋体"/>
          <w:color w:val="auto"/>
          <w:spacing w:val="-8"/>
          <w:sz w:val="24"/>
          <w:szCs w:val="24"/>
          <w:highlight w:val="none"/>
        </w:rPr>
      </w:pPr>
      <w:r>
        <w:rPr>
          <w:rFonts w:hint="eastAsia" w:ascii="宋体" w:hAnsi="宋体" w:cs="宋体"/>
          <w:color w:val="auto"/>
          <w:spacing w:val="-8"/>
          <w:sz w:val="24"/>
          <w:szCs w:val="24"/>
          <w:highlight w:val="none"/>
        </w:rPr>
        <w:t>5.8施工过程中，乙方应负责配备现场的应急物资。具体应急物资配备详见附件应急救援物资清单。</w:t>
      </w:r>
    </w:p>
    <w:p>
      <w:pPr>
        <w:widowControl/>
        <w:spacing w:line="500" w:lineRule="exact"/>
        <w:ind w:left="1" w:firstLine="448" w:firstLineChars="200"/>
        <w:jc w:val="left"/>
        <w:rPr>
          <w:rFonts w:asciiTheme="minorEastAsia" w:hAnsiTheme="minorEastAsia" w:eastAsiaTheme="minorEastAsia" w:cstheme="minorEastAsia"/>
          <w:color w:val="auto"/>
          <w:spacing w:val="-8"/>
          <w:sz w:val="24"/>
          <w:szCs w:val="24"/>
          <w:highlight w:val="none"/>
        </w:rPr>
      </w:pPr>
      <w:r>
        <w:rPr>
          <w:rFonts w:hint="eastAsia" w:ascii="宋体" w:hAnsi="宋体" w:cs="宋体"/>
          <w:color w:val="auto"/>
          <w:spacing w:val="-8"/>
          <w:sz w:val="24"/>
          <w:szCs w:val="24"/>
          <w:highlight w:val="none"/>
        </w:rPr>
        <w:t>5.9</w:t>
      </w:r>
      <w:r>
        <w:rPr>
          <w:rFonts w:hint="eastAsia" w:ascii="宋体" w:hAnsi="宋体" w:eastAsia="宋体" w:cs="宋体"/>
          <w:color w:val="auto"/>
          <w:sz w:val="24"/>
          <w:szCs w:val="24"/>
          <w:highlight w:val="none"/>
          <w:lang w:val="en-US" w:eastAsia="zh-CN"/>
        </w:rPr>
        <w:t>在合同有效期内，乙方自愿接受甲方按《广州市净水有限公司经营建设项目参建企业不诚信行为管理办法》、《营运项目承包单位日常履约考评参照表（安全）》处理，具体处理标准详见附件</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w:t>
      </w:r>
    </w:p>
    <w:p>
      <w:pPr>
        <w:spacing w:line="50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第六条</w:t>
      </w:r>
      <w:r>
        <w:rPr>
          <w:rFonts w:ascii="宋体" w:hAnsi="宋体" w:cs="宋体"/>
          <w:b/>
          <w:color w:val="auto"/>
          <w:sz w:val="24"/>
          <w:highlight w:val="none"/>
        </w:rPr>
        <w:t xml:space="preserve"> </w:t>
      </w:r>
      <w:r>
        <w:rPr>
          <w:rFonts w:hint="eastAsia" w:ascii="宋体" w:hAnsi="宋体" w:cs="宋体"/>
          <w:b/>
          <w:color w:val="auto"/>
          <w:sz w:val="24"/>
          <w:highlight w:val="none"/>
        </w:rPr>
        <w:t>实施条件及管理要求</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6.1</w:t>
      </w:r>
      <w:r>
        <w:rPr>
          <w:rFonts w:hint="eastAsia" w:ascii="宋体" w:hAnsi="宋体" w:cs="宋体"/>
          <w:color w:val="auto"/>
          <w:sz w:val="24"/>
          <w:highlight w:val="none"/>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6.2</w:t>
      </w:r>
      <w:r>
        <w:rPr>
          <w:rFonts w:hint="eastAsia" w:ascii="宋体" w:hAnsi="宋体" w:cs="宋体"/>
          <w:color w:val="auto"/>
          <w:sz w:val="24"/>
          <w:highlight w:val="none"/>
        </w:rPr>
        <w:t>施工用水用电采用以下</w:t>
      </w:r>
      <w:r>
        <w:rPr>
          <w:rFonts w:ascii="宋体" w:hAnsi="宋体" w:cs="宋体"/>
          <w:color w:val="auto"/>
          <w:sz w:val="24"/>
          <w:highlight w:val="none"/>
          <w:u w:val="single"/>
        </w:rPr>
        <w:t>(</w:t>
      </w:r>
      <w:r>
        <w:rPr>
          <w:rFonts w:hint="eastAsia" w:ascii="宋体" w:hAnsi="宋体" w:cs="宋体"/>
          <w:color w:val="auto"/>
          <w:sz w:val="24"/>
          <w:highlight w:val="none"/>
          <w:u w:val="single"/>
          <w:lang w:val="en-US" w:eastAsia="zh-CN"/>
        </w:rPr>
        <w:t>2</w:t>
      </w:r>
      <w:r>
        <w:rPr>
          <w:rFonts w:ascii="宋体" w:hAnsi="宋体" w:cs="宋体"/>
          <w:color w:val="auto"/>
          <w:sz w:val="24"/>
          <w:highlight w:val="none"/>
          <w:u w:val="single"/>
        </w:rPr>
        <w:t>)</w:t>
      </w:r>
      <w:r>
        <w:rPr>
          <w:rFonts w:hint="eastAsia" w:ascii="宋体" w:hAnsi="宋体" w:cs="宋体"/>
          <w:color w:val="auto"/>
          <w:sz w:val="24"/>
          <w:highlight w:val="none"/>
        </w:rPr>
        <w:t>方式执行。</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）由甲方提供施工用水用电接口，水电费按合同综合单价水电含量计算，从甲方支付的工程款中直接扣回。</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）由甲方提供施工用水用电接口，费用按</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r>
        <w:rPr>
          <w:rFonts w:ascii="宋体" w:hAnsi="宋体" w:cs="宋体"/>
          <w:color w:val="auto"/>
          <w:sz w:val="24"/>
          <w:highlight w:val="none"/>
          <w:u w:val="single"/>
        </w:rPr>
        <w:t xml:space="preserve"> </w:t>
      </w:r>
      <w:r>
        <w:rPr>
          <w:rFonts w:hint="eastAsia" w:ascii="宋体" w:hAnsi="宋体" w:cs="宋体"/>
          <w:color w:val="auto"/>
          <w:sz w:val="24"/>
          <w:highlight w:val="none"/>
        </w:rPr>
        <w:t>（月</w:t>
      </w:r>
      <w:r>
        <w:rPr>
          <w:rFonts w:ascii="宋体" w:hAnsi="宋体" w:cs="宋体"/>
          <w:color w:val="auto"/>
          <w:sz w:val="24"/>
          <w:highlight w:val="none"/>
        </w:rPr>
        <w:t>/</w:t>
      </w:r>
      <w:r>
        <w:rPr>
          <w:rFonts w:hint="eastAsia" w:ascii="宋体" w:hAnsi="宋体" w:cs="宋体"/>
          <w:color w:val="auto"/>
          <w:sz w:val="24"/>
          <w:highlight w:val="none"/>
        </w:rPr>
        <w:t>项）目结算，由乙方向甲方或甲方下辖分公司</w:t>
      </w:r>
      <w:r>
        <w:rPr>
          <w:rFonts w:ascii="宋体" w:hAnsi="宋体" w:cs="宋体"/>
          <w:color w:val="auto"/>
          <w:sz w:val="24"/>
          <w:highlight w:val="none"/>
        </w:rPr>
        <w:t>/</w:t>
      </w:r>
      <w:r>
        <w:rPr>
          <w:rFonts w:hint="eastAsia" w:ascii="宋体" w:hAnsi="宋体" w:cs="宋体"/>
          <w:color w:val="auto"/>
          <w:sz w:val="24"/>
          <w:highlight w:val="none"/>
        </w:rPr>
        <w:t>子公司支付。水电费用按所属供电局、自来水公司收费标准，按实计算。</w:t>
      </w:r>
    </w:p>
    <w:p>
      <w:pPr>
        <w:pStyle w:val="50"/>
        <w:spacing w:line="500" w:lineRule="exact"/>
        <w:ind w:firstLine="480" w:firstLineChars="200"/>
        <w:rPr>
          <w:rFonts w:hAnsi="宋体" w:eastAsia="宋体"/>
          <w:color w:val="auto"/>
          <w:kern w:val="2"/>
          <w:szCs w:val="20"/>
          <w:highlight w:val="none"/>
        </w:rPr>
      </w:pPr>
      <w:r>
        <w:rPr>
          <w:rFonts w:hint="eastAsia" w:hAnsi="宋体" w:eastAsia="宋体"/>
          <w:color w:val="auto"/>
          <w:kern w:val="2"/>
          <w:szCs w:val="20"/>
          <w:highlight w:val="none"/>
        </w:rPr>
        <w:t>（3）由乙方自行负责。</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6.3</w:t>
      </w:r>
      <w:r>
        <w:rPr>
          <w:rFonts w:hint="eastAsia" w:ascii="宋体" w:hAnsi="宋体" w:cs="宋体"/>
          <w:color w:val="auto"/>
          <w:sz w:val="24"/>
          <w:highlight w:val="none"/>
        </w:rPr>
        <w:t>施工时间安排：上午</w:t>
      </w:r>
      <w:r>
        <w:rPr>
          <w:rFonts w:ascii="宋体" w:hAnsi="宋体" w:cs="宋体"/>
          <w:color w:val="auto"/>
          <w:sz w:val="24"/>
          <w:highlight w:val="none"/>
        </w:rPr>
        <w:t>7</w:t>
      </w:r>
      <w:r>
        <w:rPr>
          <w:rFonts w:hint="eastAsia" w:ascii="宋体" w:hAnsi="宋体" w:cs="宋体"/>
          <w:color w:val="auto"/>
          <w:sz w:val="24"/>
          <w:highlight w:val="none"/>
        </w:rPr>
        <w:t>：</w:t>
      </w:r>
      <w:r>
        <w:rPr>
          <w:rFonts w:ascii="宋体" w:hAnsi="宋体" w:cs="宋体"/>
          <w:color w:val="auto"/>
          <w:sz w:val="24"/>
          <w:highlight w:val="none"/>
        </w:rPr>
        <w:t>00-12</w:t>
      </w:r>
      <w:r>
        <w:rPr>
          <w:rFonts w:hint="eastAsia" w:ascii="宋体" w:hAnsi="宋体" w:cs="宋体"/>
          <w:color w:val="auto"/>
          <w:sz w:val="24"/>
          <w:highlight w:val="none"/>
        </w:rPr>
        <w:t>：</w:t>
      </w:r>
      <w:r>
        <w:rPr>
          <w:rFonts w:ascii="宋体" w:hAnsi="宋体" w:cs="宋体"/>
          <w:color w:val="auto"/>
          <w:sz w:val="24"/>
          <w:highlight w:val="none"/>
        </w:rPr>
        <w:t>00</w:t>
      </w:r>
      <w:r>
        <w:rPr>
          <w:rFonts w:hint="eastAsia" w:ascii="宋体" w:hAnsi="宋体" w:cs="宋体"/>
          <w:color w:val="auto"/>
          <w:sz w:val="24"/>
          <w:highlight w:val="none"/>
        </w:rPr>
        <w:t>，下午</w:t>
      </w:r>
      <w:r>
        <w:rPr>
          <w:rFonts w:ascii="宋体" w:hAnsi="宋体" w:cs="宋体"/>
          <w:color w:val="auto"/>
          <w:sz w:val="24"/>
          <w:highlight w:val="none"/>
        </w:rPr>
        <w:t>14</w:t>
      </w:r>
      <w:r>
        <w:rPr>
          <w:rFonts w:hint="eastAsia" w:ascii="宋体" w:hAnsi="宋体" w:cs="宋体"/>
          <w:color w:val="auto"/>
          <w:sz w:val="24"/>
          <w:highlight w:val="none"/>
        </w:rPr>
        <w:t>：</w:t>
      </w:r>
      <w:r>
        <w:rPr>
          <w:rFonts w:ascii="宋体" w:hAnsi="宋体" w:cs="宋体"/>
          <w:color w:val="auto"/>
          <w:sz w:val="24"/>
          <w:highlight w:val="none"/>
        </w:rPr>
        <w:t>00-18</w:t>
      </w:r>
      <w:r>
        <w:rPr>
          <w:rFonts w:hint="eastAsia" w:ascii="宋体" w:hAnsi="宋体" w:cs="宋体"/>
          <w:color w:val="auto"/>
          <w:sz w:val="24"/>
          <w:highlight w:val="none"/>
        </w:rPr>
        <w:t>：</w:t>
      </w:r>
      <w:r>
        <w:rPr>
          <w:rFonts w:ascii="宋体" w:hAnsi="宋体" w:cs="宋体"/>
          <w:color w:val="auto"/>
          <w:sz w:val="24"/>
          <w:highlight w:val="none"/>
        </w:rPr>
        <w:t>00</w:t>
      </w:r>
      <w:r>
        <w:rPr>
          <w:rFonts w:hint="eastAsia" w:ascii="宋体" w:hAnsi="宋体" w:cs="宋体"/>
          <w:color w:val="auto"/>
          <w:sz w:val="24"/>
          <w:highlight w:val="none"/>
        </w:rPr>
        <w:t>，施工时间如需变动，以甲方的书面或口头通知为准。</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6.4</w:t>
      </w:r>
      <w:r>
        <w:rPr>
          <w:rFonts w:hint="eastAsia" w:ascii="宋体" w:hAnsi="宋体" w:cs="宋体"/>
          <w:color w:val="auto"/>
          <w:sz w:val="24"/>
          <w:highlight w:val="none"/>
        </w:rPr>
        <w:t>进场施工人员必须严格遵守</w:t>
      </w:r>
      <w:r>
        <w:rPr>
          <w:rFonts w:hint="eastAsia" w:ascii="宋体" w:hAnsi="宋体" w:cs="宋体"/>
          <w:color w:val="auto"/>
          <w:kern w:val="10"/>
          <w:sz w:val="24"/>
          <w:highlight w:val="none"/>
        </w:rPr>
        <w:t>污水处理厂</w:t>
      </w:r>
      <w:r>
        <w:rPr>
          <w:rFonts w:hint="eastAsia" w:ascii="宋体" w:hAnsi="宋体" w:cs="宋体"/>
          <w:color w:val="auto"/>
          <w:sz w:val="24"/>
          <w:highlight w:val="none"/>
        </w:rPr>
        <w:t>一切规章制度。进入施工现场人员必须佩戴出入证，并自觉接受门岗检查。</w:t>
      </w:r>
    </w:p>
    <w:p>
      <w:pPr>
        <w:snapToGrid w:val="0"/>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6.5</w:t>
      </w:r>
      <w:r>
        <w:rPr>
          <w:rFonts w:hint="eastAsia" w:ascii="宋体" w:hAnsi="宋体" w:cs="宋体"/>
          <w:color w:val="auto"/>
          <w:sz w:val="24"/>
          <w:highlight w:val="none"/>
        </w:rPr>
        <w:t>环境保护要求：</w:t>
      </w:r>
    </w:p>
    <w:p>
      <w:pPr>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）做好施工噪声、废气、废水等控制；</w:t>
      </w:r>
    </w:p>
    <w:p>
      <w:pPr>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）按照国家及广州市相关规定做好建筑垃圾的处理。</w:t>
      </w:r>
    </w:p>
    <w:p>
      <w:pPr>
        <w:snapToGrid w:val="0"/>
        <w:spacing w:line="500" w:lineRule="exact"/>
        <w:ind w:firstLine="480" w:firstLineChars="200"/>
        <w:rPr>
          <w:rFonts w:hAnsi="宋体" w:cs="宋体"/>
          <w:color w:val="auto"/>
          <w:sz w:val="24"/>
          <w:szCs w:val="24"/>
          <w:highlight w:val="none"/>
        </w:rPr>
      </w:pPr>
      <w:r>
        <w:rPr>
          <w:rFonts w:ascii="宋体" w:hAnsi="宋体" w:cs="宋体"/>
          <w:color w:val="auto"/>
          <w:sz w:val="24"/>
          <w:highlight w:val="none"/>
        </w:rPr>
        <w:t>6.6</w:t>
      </w:r>
      <w:r>
        <w:rPr>
          <w:rFonts w:hint="eastAsia" w:ascii="宋体" w:hAnsi="宋体" w:cs="宋体"/>
          <w:color w:val="auto"/>
          <w:sz w:val="24"/>
          <w:highlight w:val="none"/>
        </w:rPr>
        <w:t>按相关法律法规及甲方相关作业施工管理要求执行。</w:t>
      </w:r>
    </w:p>
    <w:p>
      <w:pPr>
        <w:pStyle w:val="12"/>
        <w:spacing w:line="500" w:lineRule="exact"/>
        <w:rPr>
          <w:rFonts w:hAnsi="宋体" w:cs="宋体"/>
          <w:b/>
          <w:bCs/>
          <w:color w:val="auto"/>
          <w:sz w:val="24"/>
          <w:szCs w:val="24"/>
          <w:highlight w:val="none"/>
        </w:rPr>
      </w:pPr>
      <w:r>
        <w:rPr>
          <w:rFonts w:hAnsi="宋体" w:cs="宋体"/>
          <w:color w:val="auto"/>
          <w:sz w:val="24"/>
          <w:szCs w:val="24"/>
          <w:highlight w:val="none"/>
        </w:rPr>
        <w:t xml:space="preserve">    </w:t>
      </w:r>
      <w:r>
        <w:rPr>
          <w:rFonts w:hint="eastAsia" w:hAnsi="宋体" w:cs="宋体"/>
          <w:b/>
          <w:bCs/>
          <w:color w:val="auto"/>
          <w:sz w:val="24"/>
          <w:szCs w:val="24"/>
          <w:highlight w:val="none"/>
        </w:rPr>
        <w:t>第七条</w:t>
      </w:r>
      <w:r>
        <w:rPr>
          <w:rFonts w:hAnsi="宋体" w:cs="宋体"/>
          <w:b/>
          <w:bCs/>
          <w:color w:val="auto"/>
          <w:sz w:val="24"/>
          <w:szCs w:val="24"/>
          <w:highlight w:val="none"/>
        </w:rPr>
        <w:t xml:space="preserve"> </w:t>
      </w:r>
      <w:r>
        <w:rPr>
          <w:rFonts w:hint="eastAsia" w:hAnsi="宋体" w:cs="宋体"/>
          <w:b/>
          <w:bCs/>
          <w:color w:val="auto"/>
          <w:sz w:val="24"/>
          <w:szCs w:val="24"/>
          <w:highlight w:val="none"/>
        </w:rPr>
        <w:t>材料及设备供应</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本项目承包范围内所需的设备材料、成品、未成品、运输、保管、质量等责任均由乙方承担。甲方不提供材料。</w:t>
      </w:r>
    </w:p>
    <w:p>
      <w:pPr>
        <w:spacing w:line="500" w:lineRule="exact"/>
        <w:ind w:left="-2" w:leftChars="-1" w:firstLine="480" w:firstLineChars="200"/>
        <w:rPr>
          <w:rFonts w:ascii="宋体" w:hAnsi="宋体" w:cs="宋体"/>
          <w:color w:val="auto"/>
          <w:sz w:val="24"/>
          <w:highlight w:val="none"/>
        </w:rPr>
      </w:pPr>
      <w:r>
        <w:rPr>
          <w:rFonts w:hint="eastAsia" w:ascii="宋体" w:hAnsi="宋体" w:cs="宋体"/>
          <w:color w:val="auto"/>
          <w:sz w:val="24"/>
          <w:highlight w:val="none"/>
        </w:rPr>
        <w:t>7.1采购供应的材料、其名称、品种、型号、规格、质量等，均应符合国家、地方及行业有关规范及要求。</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7.2</w:t>
      </w:r>
      <w:r>
        <w:rPr>
          <w:rFonts w:hint="eastAsia" w:ascii="宋体" w:hAnsi="宋体" w:cs="宋体"/>
          <w:color w:val="auto"/>
          <w:sz w:val="24"/>
          <w:highlight w:val="none"/>
        </w:rPr>
        <w:t>所有材料必须具备合格证明，并保证产品的有效性。</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7.3</w:t>
      </w:r>
      <w:r>
        <w:rPr>
          <w:rFonts w:hint="eastAsia" w:ascii="宋体" w:hAnsi="宋体" w:cs="宋体"/>
          <w:color w:val="auto"/>
          <w:sz w:val="24"/>
          <w:highlight w:val="none"/>
        </w:rPr>
        <w:t>由于乙方提供的伪劣、假冒等所有不合格材料而导致的损失、事故及一切后果，均由乙方负责并赔偿甲方所有损失，并负责更换所有已施工的不合格材料。</w:t>
      </w:r>
    </w:p>
    <w:p>
      <w:pPr>
        <w:tabs>
          <w:tab w:val="left" w:pos="360"/>
        </w:tabs>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7.4</w:t>
      </w:r>
      <w:r>
        <w:rPr>
          <w:rFonts w:hint="eastAsia" w:ascii="宋体" w:hAnsi="宋体" w:cs="宋体"/>
          <w:color w:val="auto"/>
          <w:sz w:val="24"/>
          <w:highlight w:val="none"/>
        </w:rPr>
        <w:t>乙方必须根据投标文件/询价响应文件（如有）上主要材料的明细（包括厂家、规格、品质等级等）提供材料。工程实施时，如发现材料不一致，甲方有权拒用，造成损失由乙方承担。</w:t>
      </w:r>
    </w:p>
    <w:p>
      <w:pPr>
        <w:spacing w:line="500" w:lineRule="exact"/>
        <w:ind w:left="-2" w:leftChars="-1" w:firstLine="480" w:firstLineChars="200"/>
        <w:rPr>
          <w:rFonts w:ascii="宋体" w:hAnsi="宋体" w:cs="宋体"/>
          <w:color w:val="auto"/>
          <w:sz w:val="24"/>
          <w:highlight w:val="none"/>
        </w:rPr>
      </w:pPr>
      <w:r>
        <w:rPr>
          <w:rFonts w:ascii="宋体" w:hAnsi="宋体" w:cs="宋体"/>
          <w:color w:val="auto"/>
          <w:sz w:val="24"/>
          <w:highlight w:val="none"/>
        </w:rPr>
        <w:t xml:space="preserve">7.5 </w:t>
      </w:r>
      <w:r>
        <w:rPr>
          <w:rFonts w:hint="eastAsia" w:ascii="宋体" w:hAnsi="宋体" w:cs="宋体"/>
          <w:color w:val="auto"/>
          <w:sz w:val="24"/>
          <w:highlight w:val="none"/>
        </w:rPr>
        <w:t>甲方有权对施工质量进行监督、检查或检验，也可自行委托第三方进行质量检验，甲方或第三方的检验结果作为最终的质量评定结果。</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 xml:space="preserve">7.6 </w:t>
      </w:r>
      <w:r>
        <w:rPr>
          <w:rFonts w:hint="eastAsia" w:ascii="宋体" w:hAnsi="宋体" w:cs="宋体"/>
          <w:color w:val="auto"/>
          <w:sz w:val="24"/>
          <w:highlight w:val="none"/>
        </w:rPr>
        <w:t>承包范围之内工程所用之设备，由乙方提供。</w:t>
      </w:r>
    </w:p>
    <w:p>
      <w:pPr>
        <w:spacing w:line="500" w:lineRule="exact"/>
        <w:ind w:firstLine="482" w:firstLineChars="200"/>
        <w:rPr>
          <w:rFonts w:ascii="宋体" w:hAnsi="宋体" w:cs="宋体"/>
          <w:color w:val="auto"/>
          <w:sz w:val="24"/>
          <w:highlight w:val="none"/>
        </w:rPr>
      </w:pPr>
      <w:r>
        <w:rPr>
          <w:rFonts w:hint="eastAsia" w:ascii="宋体" w:hAnsi="宋体" w:cs="宋体"/>
          <w:b/>
          <w:bCs/>
          <w:color w:val="auto"/>
          <w:sz w:val="24"/>
          <w:highlight w:val="none"/>
        </w:rPr>
        <w:t>第八条</w:t>
      </w:r>
      <w:r>
        <w:rPr>
          <w:rFonts w:ascii="宋体" w:hAnsi="宋体" w:cs="宋体"/>
          <w:b/>
          <w:bCs/>
          <w:color w:val="auto"/>
          <w:sz w:val="24"/>
          <w:highlight w:val="none"/>
        </w:rPr>
        <w:t xml:space="preserve"> </w:t>
      </w:r>
      <w:r>
        <w:rPr>
          <w:rFonts w:hint="eastAsia" w:ascii="宋体" w:hAnsi="宋体" w:cs="宋体"/>
          <w:b/>
          <w:bCs/>
          <w:color w:val="auto"/>
          <w:sz w:val="24"/>
          <w:highlight w:val="none"/>
        </w:rPr>
        <w:t>付</w:t>
      </w:r>
      <w:r>
        <w:rPr>
          <w:rFonts w:hint="eastAsia" w:ascii="宋体" w:hAnsi="宋体" w:cs="宋体"/>
          <w:b/>
          <w:color w:val="auto"/>
          <w:sz w:val="24"/>
          <w:highlight w:val="none"/>
        </w:rPr>
        <w:t>款及履约担保</w:t>
      </w:r>
    </w:p>
    <w:p>
      <w:pPr>
        <w:spacing w:line="500" w:lineRule="exact"/>
        <w:ind w:firstLine="480" w:firstLineChars="200"/>
        <w:rPr>
          <w:rFonts w:ascii="宋体" w:hAnsi="宋体" w:cs="宋体"/>
          <w:bCs/>
          <w:color w:val="auto"/>
          <w:sz w:val="24"/>
          <w:highlight w:val="none"/>
          <w:u w:val="single"/>
        </w:rPr>
      </w:pPr>
      <w:r>
        <w:rPr>
          <w:rFonts w:ascii="宋体" w:hAnsi="宋体" w:cs="宋体"/>
          <w:color w:val="auto"/>
          <w:sz w:val="24"/>
          <w:highlight w:val="none"/>
        </w:rPr>
        <w:t>8.1</w:t>
      </w:r>
      <w:r>
        <w:rPr>
          <w:rFonts w:hint="eastAsia" w:ascii="宋体" w:hAnsi="宋体" w:cs="宋体"/>
          <w:bCs/>
          <w:color w:val="auto"/>
          <w:sz w:val="24"/>
          <w:highlight w:val="none"/>
        </w:rPr>
        <w:t>预付款的支付：</w:t>
      </w:r>
      <w:r>
        <w:rPr>
          <w:rFonts w:ascii="宋体" w:hAnsi="宋体" w:cs="宋体"/>
          <w:b/>
          <w:color w:val="auto"/>
          <w:sz w:val="24"/>
          <w:highlight w:val="none"/>
        </w:rPr>
        <w:sym w:font="Wingdings" w:char="00A8"/>
      </w:r>
      <w:r>
        <w:rPr>
          <w:rFonts w:hint="eastAsia" w:ascii="宋体" w:hAnsi="宋体" w:cs="宋体"/>
          <w:bCs/>
          <w:color w:val="auto"/>
          <w:sz w:val="24"/>
          <w:highlight w:val="none"/>
        </w:rPr>
        <w:t>无；</w:t>
      </w:r>
      <w:r>
        <w:rPr>
          <w:rFonts w:ascii="宋体" w:hAnsi="宋体" w:cs="宋体"/>
          <w:bCs/>
          <w:color w:val="auto"/>
          <w:sz w:val="24"/>
          <w:highlight w:val="none"/>
        </w:rPr>
        <w:t xml:space="preserve"> </w:t>
      </w:r>
      <w:r>
        <w:rPr>
          <w:rFonts w:hint="eastAsia" w:ascii="Segoe UI Symbol" w:hAnsi="Segoe UI Symbol" w:cs="Segoe UI Symbol" w:eastAsiaTheme="minorEastAsia"/>
          <w:b/>
          <w:bCs/>
          <w:color w:val="auto"/>
          <w:sz w:val="24"/>
          <w:highlight w:val="none"/>
        </w:rPr>
        <w:sym w:font="Wingdings 2" w:char="0052"/>
      </w:r>
      <w:r>
        <w:rPr>
          <w:rFonts w:hint="eastAsia" w:ascii="Segoe UI Symbol" w:hAnsi="Segoe UI Symbol" w:cs="Segoe UI Symbol"/>
          <w:bCs/>
          <w:color w:val="auto"/>
          <w:sz w:val="24"/>
          <w:highlight w:val="none"/>
        </w:rPr>
        <w:t>有</w:t>
      </w:r>
      <w:r>
        <w:rPr>
          <w:rFonts w:hint="eastAsia" w:ascii="Segoe UI Symbol" w:hAnsi="Segoe UI Symbol" w:cs="Segoe UI Symbol"/>
          <w:b/>
          <w:color w:val="auto"/>
          <w:sz w:val="24"/>
          <w:highlight w:val="none"/>
        </w:rPr>
        <w:t xml:space="preserve"> </w:t>
      </w:r>
      <w:r>
        <w:rPr>
          <w:rFonts w:hint="eastAsia" w:ascii="宋体" w:hAnsi="宋体" w:cs="宋体"/>
          <w:bCs/>
          <w:color w:val="auto"/>
          <w:sz w:val="24"/>
          <w:highlight w:val="none"/>
        </w:rPr>
        <w:t>合同签订后，乙方开具等额的增值税专用发票及提交履约担保担保（如有）</w:t>
      </w:r>
      <w:r>
        <w:rPr>
          <w:rFonts w:ascii="宋体" w:hAnsi="宋体" w:cs="宋体"/>
          <w:bCs/>
          <w:color w:val="auto"/>
          <w:sz w:val="24"/>
          <w:highlight w:val="none"/>
          <w:u w:val="single"/>
        </w:rPr>
        <w:t xml:space="preserve"> 10 </w:t>
      </w:r>
      <w:r>
        <w:rPr>
          <w:rFonts w:hint="eastAsia" w:ascii="宋体" w:hAnsi="宋体" w:cs="宋体"/>
          <w:bCs/>
          <w:color w:val="auto"/>
          <w:sz w:val="24"/>
          <w:highlight w:val="none"/>
        </w:rPr>
        <w:t>个工作日内，甲方支付合同</w:t>
      </w:r>
      <w:r>
        <w:rPr>
          <w:rFonts w:hint="eastAsia" w:ascii="宋体" w:hAnsi="宋体" w:cs="宋体"/>
          <w:color w:val="auto"/>
          <w:sz w:val="24"/>
          <w:highlight w:val="none"/>
        </w:rPr>
        <w:t>暂定总价</w:t>
      </w:r>
      <w:r>
        <w:rPr>
          <w:rFonts w:hint="eastAsia" w:ascii="宋体" w:hAnsi="宋体" w:cs="宋体"/>
          <w:bCs/>
          <w:color w:val="auto"/>
          <w:sz w:val="24"/>
          <w:highlight w:val="none"/>
        </w:rPr>
        <w:t>的</w:t>
      </w:r>
      <w:r>
        <w:rPr>
          <w:rFonts w:hint="eastAsia" w:ascii="宋体" w:hAnsi="宋体" w:cs="宋体"/>
          <w:bCs/>
          <w:color w:val="auto"/>
          <w:sz w:val="24"/>
          <w:highlight w:val="none"/>
          <w:u w:val="single"/>
          <w:lang w:val="en-US" w:eastAsia="zh-CN"/>
        </w:rPr>
        <w:t>3</w:t>
      </w:r>
      <w:r>
        <w:rPr>
          <w:rFonts w:ascii="宋体" w:hAnsi="宋体" w:cs="宋体"/>
          <w:bCs/>
          <w:color w:val="auto"/>
          <w:sz w:val="24"/>
          <w:highlight w:val="none"/>
          <w:u w:val="single"/>
        </w:rPr>
        <w:t>0%</w:t>
      </w:r>
      <w:r>
        <w:rPr>
          <w:rFonts w:hint="eastAsia" w:ascii="宋体" w:hAnsi="宋体" w:cs="宋体"/>
          <w:color w:val="auto"/>
          <w:sz w:val="24"/>
          <w:highlight w:val="none"/>
        </w:rPr>
        <w:t>即</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r>
        <w:rPr>
          <w:rFonts w:ascii="宋体" w:hAnsi="宋体" w:cs="宋体"/>
          <w:color w:val="auto"/>
          <w:sz w:val="24"/>
          <w:highlight w:val="none"/>
          <w:u w:val="single"/>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r>
        <w:rPr>
          <w:rFonts w:hint="eastAsia" w:ascii="宋体" w:hAnsi="宋体" w:cs="宋体"/>
          <w:bCs/>
          <w:color w:val="auto"/>
          <w:sz w:val="24"/>
          <w:highlight w:val="none"/>
        </w:rPr>
        <w:t>作为预付款。</w:t>
      </w:r>
      <w:r>
        <w:rPr>
          <w:rFonts w:hint="eastAsia" w:ascii="宋体" w:hAnsi="宋体" w:cs="宋体"/>
          <w:color w:val="auto"/>
          <w:sz w:val="24"/>
          <w:highlight w:val="none"/>
        </w:rPr>
        <w:t>若合同解除或终止，乙方在</w:t>
      </w:r>
      <w:r>
        <w:rPr>
          <w:rFonts w:ascii="宋体" w:hAnsi="宋体" w:cs="宋体"/>
          <w:color w:val="auto"/>
          <w:sz w:val="24"/>
          <w:highlight w:val="none"/>
          <w:u w:val="single"/>
        </w:rPr>
        <w:t xml:space="preserve"> 5 </w:t>
      </w:r>
      <w:r>
        <w:rPr>
          <w:rFonts w:hint="eastAsia" w:ascii="宋体" w:hAnsi="宋体" w:cs="宋体"/>
          <w:color w:val="auto"/>
          <w:sz w:val="24"/>
          <w:highlight w:val="none"/>
        </w:rPr>
        <w:t>个工作日内返还预付款（无息）。</w:t>
      </w:r>
      <w:r>
        <w:rPr>
          <w:rFonts w:hint="eastAsia" w:ascii="宋体" w:hAnsi="宋体" w:cs="宋体"/>
          <w:bCs/>
          <w:color w:val="auto"/>
          <w:kern w:val="0"/>
          <w:sz w:val="24"/>
          <w:highlight w:val="none"/>
        </w:rPr>
        <w:t>逾期未返还，每逾期一天，乙方应按合同暂定总价的</w:t>
      </w:r>
      <w:r>
        <w:rPr>
          <w:rFonts w:hint="eastAsia" w:ascii="宋体" w:hAnsi="宋体" w:cs="宋体"/>
          <w:bCs/>
          <w:color w:val="auto"/>
          <w:kern w:val="0"/>
          <w:sz w:val="24"/>
          <w:highlight w:val="none"/>
          <w:u w:val="single"/>
        </w:rPr>
        <w:t>万分之五</w:t>
      </w:r>
      <w:r>
        <w:rPr>
          <w:rFonts w:ascii="宋体" w:hAnsi="宋体" w:cs="宋体"/>
          <w:bCs/>
          <w:color w:val="auto"/>
          <w:kern w:val="0"/>
          <w:sz w:val="24"/>
          <w:highlight w:val="none"/>
          <w:u w:val="single"/>
        </w:rPr>
        <w:t>/</w:t>
      </w:r>
      <w:r>
        <w:rPr>
          <w:rFonts w:hint="eastAsia" w:ascii="宋体" w:hAnsi="宋体" w:cs="宋体"/>
          <w:bCs/>
          <w:color w:val="auto"/>
          <w:kern w:val="0"/>
          <w:sz w:val="24"/>
          <w:highlight w:val="none"/>
          <w:u w:val="single"/>
        </w:rPr>
        <w:t>天</w:t>
      </w:r>
      <w:r>
        <w:rPr>
          <w:rFonts w:hint="eastAsia" w:ascii="宋体" w:hAnsi="宋体" w:cs="宋体"/>
          <w:bCs/>
          <w:color w:val="auto"/>
          <w:kern w:val="0"/>
          <w:sz w:val="24"/>
          <w:highlight w:val="none"/>
        </w:rPr>
        <w:t>支付违约金</w:t>
      </w:r>
      <w:r>
        <w:rPr>
          <w:rFonts w:hint="eastAsia" w:ascii="宋体" w:hAnsi="宋体" w:cs="宋体"/>
          <w:color w:val="auto"/>
          <w:sz w:val="24"/>
          <w:highlight w:val="none"/>
        </w:rPr>
        <w:t>。</w:t>
      </w:r>
    </w:p>
    <w:p>
      <w:pPr>
        <w:spacing w:line="384" w:lineRule="auto"/>
        <w:ind w:firstLine="480" w:firstLineChars="200"/>
        <w:rPr>
          <w:rFonts w:hint="eastAsia" w:hAnsi="宋体" w:cs="宋体"/>
          <w:color w:val="auto"/>
          <w:sz w:val="24"/>
          <w:szCs w:val="24"/>
          <w:highlight w:val="none"/>
          <w:u w:val="single"/>
        </w:rPr>
      </w:pPr>
      <w:r>
        <w:rPr>
          <w:rFonts w:hAnsi="宋体" w:cs="宋体"/>
          <w:color w:val="auto"/>
          <w:sz w:val="24"/>
          <w:szCs w:val="24"/>
          <w:highlight w:val="none"/>
        </w:rPr>
        <w:t>8.2</w:t>
      </w:r>
      <w:r>
        <w:rPr>
          <w:rFonts w:hint="eastAsia" w:hAnsi="宋体" w:cs="宋体"/>
          <w:color w:val="auto"/>
          <w:sz w:val="24"/>
          <w:szCs w:val="24"/>
          <w:highlight w:val="none"/>
        </w:rPr>
        <w:t>项目分项验收分项支付，验收合格后，由乙方提交申请支付资料 15 个工作日内，甲方支付至合同暂定总价的</w:t>
      </w:r>
      <w:r>
        <w:rPr>
          <w:rFonts w:hint="eastAsia" w:hAnsi="宋体" w:cs="宋体"/>
          <w:color w:val="auto"/>
          <w:sz w:val="24"/>
          <w:szCs w:val="24"/>
          <w:highlight w:val="none"/>
          <w:u w:val="single"/>
          <w:lang w:val="en-US" w:eastAsia="zh-CN"/>
        </w:rPr>
        <w:t xml:space="preserve">   80%     </w:t>
      </w:r>
      <w:r>
        <w:rPr>
          <w:rFonts w:hint="eastAsia" w:hAnsi="宋体" w:cs="宋体"/>
          <w:color w:val="auto"/>
          <w:sz w:val="24"/>
          <w:szCs w:val="24"/>
          <w:highlight w:val="none"/>
          <w:u w:val="single"/>
        </w:rPr>
        <w:t>。</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8.2.1</w:t>
      </w:r>
      <w:r>
        <w:rPr>
          <w:rFonts w:hint="eastAsia" w:ascii="宋体" w:hAnsi="宋体" w:cs="宋体"/>
          <w:color w:val="auto"/>
          <w:sz w:val="24"/>
          <w:highlight w:val="none"/>
        </w:rPr>
        <w:t>项目验收合同后，经甲方或甲方委托有资质第三方机构审核后，由乙方提交申请支付资料</w:t>
      </w:r>
      <w:r>
        <w:rPr>
          <w:rFonts w:hint="eastAsia" w:ascii="宋体" w:hAnsi="宋体" w:cs="宋体"/>
          <w:color w:val="auto"/>
          <w:sz w:val="24"/>
          <w:highlight w:val="none"/>
          <w:u w:val="single"/>
          <w:lang w:val="en-US" w:eastAsia="zh-CN"/>
        </w:rPr>
        <w:t>30</w:t>
      </w:r>
      <w:r>
        <w:rPr>
          <w:rFonts w:hint="eastAsia" w:ascii="宋体" w:hAnsi="宋体" w:cs="宋体"/>
          <w:color w:val="auto"/>
          <w:sz w:val="24"/>
          <w:highlight w:val="none"/>
        </w:rPr>
        <w:t>个工作日内，甲方支付至合同结算价的</w:t>
      </w:r>
      <w:r>
        <w:rPr>
          <w:rFonts w:hint="eastAsia" w:ascii="宋体" w:hAnsi="宋体" w:cs="宋体"/>
          <w:color w:val="auto"/>
          <w:sz w:val="24"/>
          <w:highlight w:val="none"/>
          <w:lang w:val="en-US" w:eastAsia="zh-CN"/>
        </w:rPr>
        <w:t>95</w:t>
      </w:r>
      <w:r>
        <w:rPr>
          <w:rFonts w:hint="eastAsia" w:ascii="宋体" w:hAnsi="宋体" w:cs="宋体"/>
          <w:color w:val="auto"/>
          <w:sz w:val="24"/>
          <w:highlight w:val="none"/>
        </w:rPr>
        <w:t>%。</w:t>
      </w:r>
    </w:p>
    <w:p>
      <w:pPr>
        <w:spacing w:line="384" w:lineRule="auto"/>
        <w:ind w:firstLine="480" w:firstLineChars="200"/>
        <w:outlineLvl w:val="1"/>
        <w:rPr>
          <w:rFonts w:ascii="宋体" w:hAnsi="宋体" w:cs="宋体"/>
          <w:color w:val="auto"/>
          <w:sz w:val="24"/>
          <w:highlight w:val="none"/>
        </w:rPr>
      </w:pPr>
      <w:r>
        <w:rPr>
          <w:rFonts w:ascii="宋体" w:hAnsi="宋体" w:cs="宋体"/>
          <w:color w:val="auto"/>
          <w:sz w:val="24"/>
          <w:highlight w:val="none"/>
        </w:rPr>
        <w:t>8.2.</w:t>
      </w:r>
      <w:r>
        <w:rPr>
          <w:rFonts w:hint="eastAsia" w:ascii="宋体" w:hAnsi="宋体" w:cs="宋体"/>
          <w:color w:val="auto"/>
          <w:sz w:val="24"/>
          <w:highlight w:val="none"/>
        </w:rPr>
        <w:t>2</w:t>
      </w:r>
      <w:r>
        <w:rPr>
          <w:rFonts w:hint="eastAsia" w:hAnsi="宋体" w:cs="宋体"/>
          <w:color w:val="auto"/>
          <w:sz w:val="24"/>
          <w:highlight w:val="none"/>
        </w:rPr>
        <w:t>质保期按合同第十条规定执行，质保期满后且乙方不存在违约情形，由乙方提交申请质保金退还资料</w:t>
      </w:r>
      <w:r>
        <w:rPr>
          <w:rFonts w:hAnsi="宋体" w:cs="宋体"/>
          <w:color w:val="auto"/>
          <w:sz w:val="24"/>
          <w:highlight w:val="none"/>
          <w:u w:val="single"/>
        </w:rPr>
        <w:t xml:space="preserve"> </w:t>
      </w:r>
      <w:r>
        <w:rPr>
          <w:rFonts w:hint="eastAsia" w:hAnsi="宋体" w:cs="宋体"/>
          <w:color w:val="auto"/>
          <w:sz w:val="24"/>
          <w:highlight w:val="none"/>
          <w:u w:val="single"/>
          <w:lang w:val="en-US" w:eastAsia="zh-CN"/>
        </w:rPr>
        <w:t>30</w:t>
      </w:r>
      <w:r>
        <w:rPr>
          <w:rFonts w:hAnsi="宋体" w:cs="宋体"/>
          <w:color w:val="auto"/>
          <w:sz w:val="24"/>
          <w:highlight w:val="none"/>
          <w:u w:val="single"/>
        </w:rPr>
        <w:t xml:space="preserve"> </w:t>
      </w:r>
      <w:r>
        <w:rPr>
          <w:rFonts w:hint="eastAsia" w:hAnsi="宋体" w:cs="宋体"/>
          <w:color w:val="auto"/>
          <w:sz w:val="24"/>
          <w:highlight w:val="none"/>
        </w:rPr>
        <w:t>个工作日内，甲方支付合同结算价的</w:t>
      </w:r>
      <w:r>
        <w:rPr>
          <w:rFonts w:hAnsi="宋体" w:cs="宋体"/>
          <w:color w:val="auto"/>
          <w:sz w:val="24"/>
          <w:highlight w:val="none"/>
        </w:rPr>
        <w:t>5</w:t>
      </w:r>
      <w:r>
        <w:rPr>
          <w:rFonts w:hint="eastAsia" w:hAnsi="宋体" w:cs="宋体"/>
          <w:color w:val="auto"/>
          <w:sz w:val="24"/>
          <w:highlight w:val="none"/>
        </w:rPr>
        <w:t>％（质保金）给乙方（无息）。</w:t>
      </w:r>
    </w:p>
    <w:p>
      <w:pPr>
        <w:pStyle w:val="12"/>
        <w:spacing w:line="500" w:lineRule="exact"/>
        <w:ind w:firstLine="480" w:firstLineChars="200"/>
        <w:outlineLvl w:val="1"/>
        <w:rPr>
          <w:rFonts w:hint="eastAsia" w:hAnsi="宋体" w:cs="宋体"/>
          <w:color w:val="auto"/>
          <w:sz w:val="24"/>
          <w:szCs w:val="20"/>
          <w:highlight w:val="none"/>
        </w:rPr>
      </w:pPr>
      <w:r>
        <w:rPr>
          <w:rFonts w:ascii="宋体" w:hAnsi="宋体" w:cs="宋体"/>
          <w:color w:val="auto"/>
          <w:sz w:val="24"/>
          <w:highlight w:val="none"/>
        </w:rPr>
        <w:t>8.2.</w:t>
      </w:r>
      <w:r>
        <w:rPr>
          <w:rFonts w:hint="eastAsia" w:ascii="宋体" w:hAnsi="宋体" w:cs="宋体"/>
          <w:color w:val="auto"/>
          <w:sz w:val="24"/>
          <w:highlight w:val="none"/>
        </w:rPr>
        <w:t>3</w:t>
      </w:r>
      <w:r>
        <w:rPr>
          <w:rFonts w:hint="eastAsia" w:hAnsi="宋体" w:cs="宋体"/>
          <w:color w:val="auto"/>
          <w:sz w:val="24"/>
          <w:highlight w:val="none"/>
        </w:rPr>
        <w:t>本项目工程款的支付单位为：</w:t>
      </w:r>
      <w:r>
        <w:rPr>
          <w:rFonts w:hint="eastAsia" w:hAnsi="宋体" w:cs="宋体"/>
          <w:color w:val="auto"/>
          <w:sz w:val="24"/>
          <w:szCs w:val="24"/>
          <w:highlight w:val="none"/>
          <w:u w:val="single"/>
          <w:lang w:val="en-US" w:eastAsia="zh-CN"/>
        </w:rPr>
        <w:t xml:space="preserve"> 项目所属各分公司 </w:t>
      </w:r>
    </w:p>
    <w:p>
      <w:pPr>
        <w:keepNext w:val="0"/>
        <w:keepLines w:val="0"/>
        <w:pageBreakBefore w:val="0"/>
        <w:kinsoku/>
        <w:wordWrap/>
        <w:overflowPunct/>
        <w:topLinePunct w:val="0"/>
        <w:bidi w:val="0"/>
        <w:spacing w:line="460" w:lineRule="exact"/>
        <w:ind w:firstLine="480" w:firstLineChars="200"/>
        <w:textAlignment w:val="auto"/>
        <w:rPr>
          <w:rFonts w:ascii="宋体" w:hAnsi="宋体" w:cs="宋体"/>
          <w:color w:val="auto"/>
          <w:sz w:val="24"/>
          <w:highlight w:val="none"/>
        </w:rPr>
      </w:pPr>
      <w:r>
        <w:rPr>
          <w:rFonts w:ascii="宋体" w:hAnsi="宋体" w:cs="宋体"/>
          <w:color w:val="auto"/>
          <w:sz w:val="24"/>
          <w:highlight w:val="none"/>
        </w:rPr>
        <w:t>8.3</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乙方收款账户：</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p>
    <w:p>
      <w:pPr>
        <w:keepNext w:val="0"/>
        <w:keepLines w:val="0"/>
        <w:pageBreakBefore w:val="0"/>
        <w:kinsoku/>
        <w:wordWrap/>
        <w:overflowPunct/>
        <w:topLinePunct w:val="0"/>
        <w:bidi w:val="0"/>
        <w:spacing w:line="460" w:lineRule="exact"/>
        <w:ind w:firstLine="1080" w:firstLineChars="450"/>
        <w:textAlignment w:val="auto"/>
        <w:rPr>
          <w:rFonts w:ascii="宋体" w:hAnsi="宋体" w:cs="宋体"/>
          <w:color w:val="auto"/>
          <w:sz w:val="24"/>
          <w:highlight w:val="none"/>
        </w:rPr>
      </w:pPr>
      <w:r>
        <w:rPr>
          <w:rFonts w:hint="eastAsia" w:ascii="宋体" w:hAnsi="宋体" w:cs="宋体"/>
          <w:color w:val="auto"/>
          <w:sz w:val="24"/>
          <w:highlight w:val="none"/>
        </w:rPr>
        <w:t>收款账号：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384" w:lineRule="auto"/>
        <w:ind w:firstLine="1200" w:firstLineChars="500"/>
        <w:rPr>
          <w:rFonts w:hint="eastAsia" w:ascii="宋体" w:hAnsi="宋体" w:cs="宋体"/>
          <w:color w:val="auto"/>
          <w:sz w:val="24"/>
          <w:highlight w:val="none"/>
        </w:rPr>
      </w:pPr>
      <w:r>
        <w:rPr>
          <w:rFonts w:hint="eastAsia" w:ascii="宋体" w:hAnsi="宋体" w:cs="宋体"/>
          <w:color w:val="auto"/>
          <w:sz w:val="24"/>
          <w:highlight w:val="none"/>
        </w:rPr>
        <w:t>开户行：</w:t>
      </w:r>
      <w:r>
        <w:rPr>
          <w:rFonts w:hint="eastAsia" w:ascii="宋体" w:hAnsi="宋体" w:cs="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8.4</w:t>
      </w:r>
      <w:r>
        <w:rPr>
          <w:rFonts w:hint="eastAsia" w:ascii="宋体" w:hAnsi="宋体" w:cs="宋体"/>
          <w:color w:val="auto"/>
          <w:sz w:val="24"/>
          <w:highlight w:val="none"/>
        </w:rPr>
        <w:t>乙方在收款前需提交等额增值税专用发票给甲方。增值税专用发票信息：</w:t>
      </w:r>
    </w:p>
    <w:p>
      <w:pPr>
        <w:spacing w:line="500" w:lineRule="exact"/>
        <w:ind w:firstLine="960" w:firstLineChars="400"/>
        <w:rPr>
          <w:rFonts w:ascii="宋体" w:hAnsi="宋体" w:cs="宋体"/>
          <w:color w:val="auto"/>
          <w:sz w:val="24"/>
          <w:highlight w:val="none"/>
        </w:rPr>
      </w:pPr>
      <w:r>
        <w:rPr>
          <w:rFonts w:hint="eastAsia" w:ascii="宋体" w:hAnsi="宋体" w:cs="宋体"/>
          <w:color w:val="auto"/>
          <w:sz w:val="24"/>
          <w:highlight w:val="none"/>
        </w:rPr>
        <w:t>名称：广州市净水有限公司</w:t>
      </w:r>
    </w:p>
    <w:p>
      <w:pPr>
        <w:spacing w:line="500" w:lineRule="exact"/>
        <w:ind w:firstLine="960" w:firstLineChars="400"/>
        <w:rPr>
          <w:rFonts w:ascii="宋体" w:hAnsi="宋体" w:cs="宋体"/>
          <w:color w:val="auto"/>
          <w:sz w:val="24"/>
          <w:highlight w:val="none"/>
        </w:rPr>
      </w:pPr>
      <w:r>
        <w:rPr>
          <w:rFonts w:hint="eastAsia" w:ascii="宋体" w:hAnsi="宋体" w:cs="宋体"/>
          <w:color w:val="auto"/>
          <w:sz w:val="24"/>
          <w:highlight w:val="none"/>
        </w:rPr>
        <w:t>税号：</w:t>
      </w:r>
      <w:r>
        <w:rPr>
          <w:rFonts w:ascii="宋体" w:hAnsi="宋体" w:cs="宋体"/>
          <w:color w:val="auto"/>
          <w:sz w:val="24"/>
          <w:highlight w:val="none"/>
          <w:u w:val="single"/>
        </w:rPr>
        <w:t>91440101755584729Q</w:t>
      </w:r>
    </w:p>
    <w:p>
      <w:pPr>
        <w:spacing w:line="500" w:lineRule="exact"/>
        <w:ind w:firstLine="960" w:firstLineChars="4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地址及电话：</w:t>
      </w:r>
      <w:r>
        <w:rPr>
          <w:rFonts w:hint="eastAsia" w:asciiTheme="minorEastAsia" w:hAnsiTheme="minorEastAsia" w:eastAsiaTheme="minorEastAsia" w:cstheme="minorEastAsia"/>
          <w:color w:val="auto"/>
          <w:sz w:val="24"/>
          <w:highlight w:val="none"/>
          <w:u w:val="single"/>
        </w:rPr>
        <w:t>广州市天河区临江大道501号 020-38890283</w:t>
      </w:r>
      <w:r>
        <w:rPr>
          <w:rFonts w:hint="eastAsia" w:asciiTheme="minorEastAsia" w:hAnsiTheme="minorEastAsia" w:eastAsiaTheme="minorEastAsia" w:cstheme="minorEastAsia"/>
          <w:color w:val="auto"/>
          <w:sz w:val="24"/>
          <w:highlight w:val="none"/>
        </w:rPr>
        <w:t>；</w:t>
      </w:r>
    </w:p>
    <w:p>
      <w:pPr>
        <w:spacing w:line="500" w:lineRule="exact"/>
        <w:ind w:firstLine="960" w:firstLineChars="400"/>
        <w:rPr>
          <w:rFonts w:ascii="宋体" w:hAnsi="宋体" w:cs="宋体"/>
          <w:color w:val="auto"/>
          <w:sz w:val="24"/>
          <w:highlight w:val="none"/>
        </w:rPr>
      </w:pPr>
      <w:r>
        <w:rPr>
          <w:rFonts w:hint="eastAsia" w:asciiTheme="minorEastAsia" w:hAnsiTheme="minorEastAsia" w:eastAsiaTheme="minorEastAsia" w:cstheme="minorEastAsia"/>
          <w:color w:val="auto"/>
          <w:sz w:val="24"/>
          <w:highlight w:val="none"/>
        </w:rPr>
        <w:t>开户行/账号：</w:t>
      </w:r>
      <w:r>
        <w:rPr>
          <w:rFonts w:hint="eastAsia" w:asciiTheme="minorEastAsia" w:hAnsiTheme="minorEastAsia" w:eastAsiaTheme="minorEastAsia" w:cstheme="minorEastAsia"/>
          <w:color w:val="auto"/>
          <w:sz w:val="24"/>
          <w:highlight w:val="none"/>
          <w:u w:val="single"/>
        </w:rPr>
        <w:t>民生银行广州分行0301014140006932</w:t>
      </w:r>
      <w:r>
        <w:rPr>
          <w:rFonts w:hint="eastAsia" w:asciiTheme="minorEastAsia" w:hAnsiTheme="minorEastAsia" w:eastAsiaTheme="minorEastAsia" w:cstheme="minorEastAsia"/>
          <w:color w:val="auto"/>
          <w:sz w:val="24"/>
          <w:highlight w:val="none"/>
        </w:rPr>
        <w:t>。</w:t>
      </w:r>
      <w:r>
        <w:rPr>
          <w:rFonts w:ascii="宋体" w:hAnsi="宋体" w:cs="宋体"/>
          <w:color w:val="auto"/>
          <w:sz w:val="24"/>
          <w:highlight w:val="none"/>
        </w:rPr>
        <w:t xml:space="preserve">                            </w:t>
      </w:r>
    </w:p>
    <w:p>
      <w:pPr>
        <w:spacing w:line="500" w:lineRule="exact"/>
        <w:ind w:firstLine="480" w:firstLineChars="200"/>
        <w:outlineLvl w:val="0"/>
        <w:rPr>
          <w:rFonts w:ascii="宋体" w:hAnsi="宋体" w:cs="宋体"/>
          <w:color w:val="auto"/>
          <w:sz w:val="24"/>
          <w:highlight w:val="none"/>
        </w:rPr>
      </w:pPr>
      <w:r>
        <w:rPr>
          <w:rFonts w:ascii="宋体" w:hAnsi="宋体" w:cs="宋体"/>
          <w:color w:val="auto"/>
          <w:sz w:val="24"/>
          <w:highlight w:val="none"/>
        </w:rPr>
        <w:t>8.5</w:t>
      </w:r>
      <w:r>
        <w:rPr>
          <w:rFonts w:hint="eastAsia" w:ascii="宋体" w:hAnsi="宋体" w:cs="宋体"/>
          <w:color w:val="auto"/>
          <w:sz w:val="24"/>
          <w:highlight w:val="none"/>
        </w:rPr>
        <w:t>履约担保：</w:t>
      </w:r>
      <w:r>
        <w:rPr>
          <w:rFonts w:ascii="宋体" w:hAnsi="宋体" w:cs="宋体"/>
          <w:b/>
          <w:color w:val="auto"/>
          <w:sz w:val="24"/>
          <w:highlight w:val="none"/>
        </w:rPr>
        <w:sym w:font="Wingdings" w:char="00A8"/>
      </w:r>
      <w:r>
        <w:rPr>
          <w:rFonts w:hint="eastAsia" w:ascii="宋体" w:hAnsi="宋体" w:cs="宋体"/>
          <w:bCs/>
          <w:color w:val="auto"/>
          <w:sz w:val="24"/>
          <w:highlight w:val="none"/>
        </w:rPr>
        <w:t>无；</w:t>
      </w:r>
      <w:r>
        <w:rPr>
          <w:rFonts w:ascii="宋体" w:hAnsi="宋体" w:cs="宋体"/>
          <w:bCs/>
          <w:color w:val="auto"/>
          <w:sz w:val="24"/>
          <w:highlight w:val="none"/>
        </w:rPr>
        <w:t xml:space="preserve">  </w:t>
      </w:r>
      <w:r>
        <w:rPr>
          <w:rFonts w:ascii="宋体" w:hAnsi="宋体" w:cs="宋体"/>
          <w:b/>
          <w:color w:val="auto"/>
          <w:sz w:val="24"/>
          <w:highlight w:val="none"/>
        </w:rPr>
        <w:sym w:font="Wingdings" w:char="00FE"/>
      </w:r>
      <w:r>
        <w:rPr>
          <w:rFonts w:hint="eastAsia" w:ascii="宋体" w:hAnsi="宋体" w:cs="宋体"/>
          <w:color w:val="auto"/>
          <w:sz w:val="24"/>
          <w:highlight w:val="none"/>
        </w:rPr>
        <w:t>有 本合同签订后</w:t>
      </w:r>
      <w:r>
        <w:rPr>
          <w:rFonts w:ascii="宋体" w:hAnsi="宋体" w:cs="宋体"/>
          <w:color w:val="auto"/>
          <w:sz w:val="24"/>
          <w:highlight w:val="none"/>
        </w:rPr>
        <w:t>10</w:t>
      </w:r>
      <w:r>
        <w:rPr>
          <w:rFonts w:hint="eastAsia" w:ascii="宋体" w:hAnsi="宋体" w:cs="宋体"/>
          <w:color w:val="auto"/>
          <w:sz w:val="24"/>
          <w:highlight w:val="none"/>
        </w:rPr>
        <w:t>日内</w:t>
      </w:r>
      <w:r>
        <w:rPr>
          <w:rFonts w:hint="eastAsia" w:ascii="宋体" w:hAnsi="宋体" w:cs="宋体"/>
          <w:color w:val="auto"/>
          <w:sz w:val="24"/>
          <w:highlight w:val="none"/>
          <w:u w:val="single"/>
        </w:rPr>
        <w:t>以合同暂定总价的</w:t>
      </w:r>
      <w:r>
        <w:rPr>
          <w:rFonts w:ascii="宋体" w:hAnsi="宋体" w:cs="宋体"/>
          <w:color w:val="auto"/>
          <w:sz w:val="24"/>
          <w:highlight w:val="none"/>
          <w:u w:val="single"/>
        </w:rPr>
        <w:t>10%</w:t>
      </w:r>
      <w:r>
        <w:rPr>
          <w:rFonts w:hint="eastAsia" w:ascii="宋体" w:hAnsi="宋体" w:cs="宋体"/>
          <w:color w:val="auto"/>
          <w:sz w:val="24"/>
          <w:highlight w:val="none"/>
          <w:u w:val="single"/>
        </w:rPr>
        <w:t>作为履约保证金，</w:t>
      </w:r>
      <w:r>
        <w:rPr>
          <w:rFonts w:hint="eastAsia" w:ascii="宋体" w:hAnsi="宋体" w:cs="宋体"/>
          <w:color w:val="auto"/>
          <w:sz w:val="24"/>
          <w:highlight w:val="none"/>
        </w:rPr>
        <w:t>金额为：</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元（大写人民币：</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），未按时提供的，甲方有权解除合同并要求乙方支付</w:t>
      </w:r>
      <w:r>
        <w:rPr>
          <w:rFonts w:hint="eastAsia" w:ascii="宋体" w:hAnsi="宋体" w:cs="宋体"/>
          <w:color w:val="auto"/>
          <w:sz w:val="24"/>
          <w:highlight w:val="none"/>
          <w:u w:val="single"/>
        </w:rPr>
        <w:t>合同暂定总价</w:t>
      </w:r>
      <w:r>
        <w:rPr>
          <w:rFonts w:ascii="宋体" w:hAnsi="宋体" w:cs="宋体"/>
          <w:color w:val="auto"/>
          <w:sz w:val="24"/>
          <w:highlight w:val="none"/>
          <w:u w:val="single"/>
        </w:rPr>
        <w:t>20%</w:t>
      </w:r>
      <w:r>
        <w:rPr>
          <w:rFonts w:hint="eastAsia" w:ascii="宋体" w:hAnsi="宋体" w:cs="宋体"/>
          <w:color w:val="auto"/>
          <w:sz w:val="24"/>
          <w:highlight w:val="none"/>
        </w:rPr>
        <w:t>作为违约金。</w:t>
      </w:r>
    </w:p>
    <w:p>
      <w:pPr>
        <w:pStyle w:val="21"/>
        <w:spacing w:before="0" w:beforeAutospacing="0" w:after="0" w:afterAutospacing="0" w:line="500" w:lineRule="exact"/>
        <w:ind w:firstLine="480" w:firstLineChars="200"/>
        <w:rPr>
          <w:color w:val="auto"/>
          <w:highlight w:val="none"/>
        </w:rPr>
      </w:pPr>
      <w:r>
        <w:rPr>
          <w:rFonts w:cs="宋体"/>
          <w:color w:val="auto"/>
          <w:highlight w:val="none"/>
        </w:rPr>
        <w:t>8.5.1</w:t>
      </w:r>
      <w:r>
        <w:rPr>
          <w:color w:val="auto"/>
          <w:highlight w:val="none"/>
        </w:rPr>
        <w:t>履约担保</w:t>
      </w:r>
      <w:r>
        <w:rPr>
          <w:rFonts w:hint="eastAsia"/>
          <w:color w:val="auto"/>
          <w:highlight w:val="none"/>
        </w:rPr>
        <w:t>按以下任一种形式提供</w:t>
      </w:r>
      <w:r>
        <w:rPr>
          <w:color w:val="auto"/>
          <w:highlight w:val="none"/>
        </w:rPr>
        <w:t>：</w:t>
      </w:r>
    </w:p>
    <w:p>
      <w:pPr>
        <w:pStyle w:val="21"/>
        <w:spacing w:before="0" w:beforeAutospacing="0" w:after="0" w:afterAutospacing="0" w:line="500" w:lineRule="exact"/>
        <w:ind w:firstLine="480"/>
        <w:rPr>
          <w:color w:val="auto"/>
          <w:highlight w:val="none"/>
        </w:rPr>
      </w:pPr>
      <w:r>
        <w:rPr>
          <w:rFonts w:hint="eastAsia"/>
          <w:color w:val="auto"/>
          <w:highlight w:val="none"/>
        </w:rPr>
        <w:t>（1）符合甲方要求（详见附件保函格式）的银行独立保函，</w:t>
      </w:r>
    </w:p>
    <w:p>
      <w:pPr>
        <w:pStyle w:val="21"/>
        <w:spacing w:before="0" w:beforeAutospacing="0" w:after="0" w:afterAutospacing="0" w:line="500" w:lineRule="exact"/>
        <w:ind w:firstLine="480"/>
        <w:rPr>
          <w:color w:val="auto"/>
          <w:highlight w:val="none"/>
        </w:rPr>
      </w:pPr>
      <w:r>
        <w:rPr>
          <w:rFonts w:hint="eastAsia"/>
          <w:color w:val="auto"/>
          <w:highlight w:val="none"/>
        </w:rPr>
        <w:t>（2）现金转账至甲方以下指定账户：</w:t>
      </w:r>
    </w:p>
    <w:p>
      <w:pPr>
        <w:tabs>
          <w:tab w:val="left" w:pos="1995"/>
        </w:tabs>
        <w:spacing w:line="50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户名：广州市净水有限公司</w:t>
      </w:r>
    </w:p>
    <w:p>
      <w:pPr>
        <w:tabs>
          <w:tab w:val="left" w:pos="1995"/>
        </w:tabs>
        <w:spacing w:line="50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账号：</w:t>
      </w:r>
      <w:r>
        <w:rPr>
          <w:rFonts w:ascii="宋体" w:hAnsi="宋体" w:cs="宋体"/>
          <w:bCs/>
          <w:color w:val="auto"/>
          <w:sz w:val="24"/>
          <w:highlight w:val="none"/>
        </w:rPr>
        <w:t>82010154900000342</w:t>
      </w:r>
    </w:p>
    <w:p>
      <w:pPr>
        <w:tabs>
          <w:tab w:val="left" w:pos="1995"/>
        </w:tabs>
        <w:spacing w:line="50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开户行：浦发银行广州分行</w:t>
      </w:r>
    </w:p>
    <w:p>
      <w:pPr>
        <w:spacing w:line="500" w:lineRule="exact"/>
        <w:ind w:firstLine="480" w:firstLineChars="200"/>
        <w:outlineLvl w:val="0"/>
        <w:rPr>
          <w:rFonts w:ascii="宋体" w:hAnsi="宋体" w:cs="宋体"/>
          <w:color w:val="auto"/>
          <w:sz w:val="24"/>
          <w:highlight w:val="none"/>
        </w:rPr>
      </w:pPr>
      <w:r>
        <w:rPr>
          <w:rFonts w:ascii="宋体" w:hAnsi="宋体" w:cs="宋体"/>
          <w:color w:val="auto"/>
          <w:sz w:val="24"/>
          <w:highlight w:val="none"/>
        </w:rPr>
        <w:t>8.5.2</w:t>
      </w:r>
      <w:r>
        <w:rPr>
          <w:rFonts w:hint="eastAsia" w:ascii="宋体" w:hAnsi="宋体" w:cs="宋体"/>
          <w:color w:val="auto"/>
          <w:sz w:val="24"/>
          <w:highlight w:val="none"/>
        </w:rPr>
        <w:t>履约担保的担保期限和返还</w:t>
      </w:r>
    </w:p>
    <w:p>
      <w:pPr>
        <w:spacing w:line="500" w:lineRule="exact"/>
        <w:ind w:firstLine="480" w:firstLineChars="200"/>
        <w:outlineLvl w:val="0"/>
        <w:rPr>
          <w:rFonts w:ascii="宋体" w:hAnsi="宋体" w:cs="宋体"/>
          <w:color w:val="auto"/>
          <w:sz w:val="24"/>
          <w:highlight w:val="none"/>
        </w:rPr>
      </w:pPr>
      <w:r>
        <w:rPr>
          <w:rFonts w:hint="eastAsia" w:ascii="宋体" w:hAnsi="宋体" w:cs="宋体"/>
          <w:color w:val="auto"/>
          <w:sz w:val="24"/>
          <w:highlight w:val="none"/>
        </w:rPr>
        <w:t>（1）履约银行保函（或现金履约保证金）的担保期限：从提供履约担保（或转账成功）之日起至合同履行完成。</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（2）履约银行保函在合同履行完成后，由乙方提出申请，甲方在28日内返还，不支付利息。</w:t>
      </w:r>
    </w:p>
    <w:p>
      <w:pPr>
        <w:spacing w:line="500" w:lineRule="exact"/>
        <w:ind w:firstLine="480" w:firstLineChars="200"/>
        <w:outlineLvl w:val="0"/>
        <w:rPr>
          <w:rFonts w:ascii="宋体" w:hAnsi="宋体" w:cs="宋体"/>
          <w:color w:val="auto"/>
          <w:sz w:val="24"/>
          <w:highlight w:val="none"/>
        </w:rPr>
      </w:pPr>
      <w:r>
        <w:rPr>
          <w:rFonts w:hint="eastAsia" w:ascii="宋体" w:hAnsi="宋体" w:cs="宋体"/>
          <w:color w:val="auto"/>
          <w:sz w:val="24"/>
          <w:highlight w:val="none"/>
        </w:rPr>
        <w:t>（3）延长担保期限。乙方以履约银行保函形式提交履约保证金的，在银行保函到期前，乙方应提前</w:t>
      </w:r>
      <w:r>
        <w:rPr>
          <w:rFonts w:ascii="宋体" w:hAnsi="宋体" w:cs="宋体"/>
          <w:color w:val="auto"/>
          <w:sz w:val="24"/>
          <w:highlight w:val="none"/>
          <w:u w:val="single"/>
        </w:rPr>
        <w:t xml:space="preserve"> 7 </w:t>
      </w:r>
      <w:r>
        <w:rPr>
          <w:rFonts w:hint="eastAsia" w:ascii="宋体" w:hAnsi="宋体" w:cs="宋体"/>
          <w:color w:val="auto"/>
          <w:sz w:val="24"/>
          <w:highlight w:val="none"/>
        </w:rPr>
        <w:t>日向甲方提交新的保函以替换即将到期的保函。如乙方未及时提交的，甲方有权直接要求担保银行支付其担保的全部金额并解除合同。</w:t>
      </w:r>
    </w:p>
    <w:p>
      <w:pPr>
        <w:pStyle w:val="21"/>
        <w:spacing w:before="0" w:beforeAutospacing="0" w:after="0" w:afterAutospacing="0" w:line="500" w:lineRule="exact"/>
        <w:ind w:left="199" w:leftChars="95" w:firstLine="360" w:firstLineChars="150"/>
        <w:rPr>
          <w:rFonts w:cs="宋体"/>
          <w:color w:val="auto"/>
          <w:highlight w:val="none"/>
          <w:u w:val="single"/>
        </w:rPr>
      </w:pPr>
      <w:r>
        <w:rPr>
          <w:rFonts w:hint="eastAsia" w:cs="宋体"/>
          <w:color w:val="auto"/>
          <w:highlight w:val="none"/>
        </w:rPr>
        <w:t>（</w:t>
      </w:r>
      <w:r>
        <w:rPr>
          <w:rFonts w:cs="宋体"/>
          <w:color w:val="auto"/>
          <w:highlight w:val="none"/>
        </w:rPr>
        <w:t>4</w:t>
      </w:r>
      <w:r>
        <w:rPr>
          <w:rFonts w:hint="eastAsia" w:cs="宋体"/>
          <w:color w:val="auto"/>
          <w:highlight w:val="none"/>
        </w:rPr>
        <w:t>）现金履约保证金的退还：合同履行完成后，由乙方提出申请，甲方在</w:t>
      </w:r>
      <w:r>
        <w:rPr>
          <w:rFonts w:hint="eastAsia" w:cs="宋体"/>
          <w:color w:val="auto"/>
          <w:highlight w:val="none"/>
          <w:u w:val="single"/>
        </w:rPr>
        <w:t>28</w:t>
      </w:r>
      <w:r>
        <w:rPr>
          <w:rFonts w:hint="eastAsia" w:cs="宋体"/>
          <w:color w:val="auto"/>
          <w:highlight w:val="none"/>
        </w:rPr>
        <w:t>日内将剩余保证金（无息）返还。</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8.5.3</w:t>
      </w:r>
      <w:r>
        <w:rPr>
          <w:rFonts w:hint="eastAsia" w:ascii="宋体" w:hAnsi="宋体" w:cs="宋体"/>
          <w:color w:val="auto"/>
          <w:sz w:val="24"/>
          <w:highlight w:val="none"/>
        </w:rPr>
        <w:t>甲方按本合同规定提取履约担保金额后，乙方应在收到甲方通知后</w:t>
      </w:r>
      <w:r>
        <w:rPr>
          <w:rFonts w:hint="eastAsia" w:ascii="宋体" w:hAnsi="宋体" w:cs="宋体"/>
          <w:color w:val="auto"/>
          <w:sz w:val="24"/>
          <w:highlight w:val="none"/>
          <w:u w:val="single"/>
        </w:rPr>
        <w:t xml:space="preserve"> 7</w:t>
      </w:r>
      <w:r>
        <w:rPr>
          <w:rFonts w:hint="eastAsia" w:ascii="宋体" w:hAnsi="宋体" w:cs="宋体"/>
          <w:color w:val="auto"/>
          <w:sz w:val="24"/>
          <w:highlight w:val="none"/>
        </w:rPr>
        <w:t>日内补足数额，逾期未补足的，则甲方有权提取履约担保的全部余额并解除合同。</w:t>
      </w:r>
    </w:p>
    <w:p>
      <w:pPr>
        <w:tabs>
          <w:tab w:val="left" w:pos="851"/>
        </w:tabs>
        <w:adjustRightInd w:val="0"/>
        <w:snapToGrid w:val="0"/>
        <w:spacing w:line="500" w:lineRule="exact"/>
        <w:ind w:firstLine="480" w:firstLineChars="200"/>
        <w:jc w:val="left"/>
        <w:outlineLvl w:val="1"/>
        <w:rPr>
          <w:rFonts w:asciiTheme="minorEastAsia" w:hAnsiTheme="minorEastAsia" w:eastAsiaTheme="minorEastAsia" w:cstheme="minorEastAsia"/>
          <w:bCs/>
          <w:color w:val="auto"/>
          <w:sz w:val="24"/>
          <w:highlight w:val="none"/>
          <w:u w:val="single"/>
          <w:bdr w:val="single" w:color="auto" w:sz="4" w:space="0"/>
        </w:rPr>
      </w:pPr>
      <w:r>
        <w:rPr>
          <w:rFonts w:ascii="宋体" w:hAnsi="宋体" w:cs="宋体"/>
          <w:color w:val="auto"/>
          <w:sz w:val="24"/>
          <w:highlight w:val="none"/>
        </w:rPr>
        <w:t>8.6</w:t>
      </w:r>
      <w:r>
        <w:rPr>
          <w:rFonts w:hint="eastAsia" w:ascii="宋体" w:hAnsi="宋体" w:cs="宋体"/>
          <w:color w:val="auto"/>
          <w:sz w:val="24"/>
          <w:highlight w:val="none"/>
        </w:rPr>
        <w:t>付款方式：</w:t>
      </w:r>
      <w:r>
        <w:rPr>
          <w:rFonts w:hint="eastAsia" w:asciiTheme="minorEastAsia" w:hAnsiTheme="minorEastAsia" w:eastAsiaTheme="minorEastAsia" w:cstheme="minorEastAsia"/>
          <w:color w:val="auto"/>
          <w:sz w:val="24"/>
          <w:highlight w:val="none"/>
        </w:rPr>
        <w:t xml:space="preserve"> </w:t>
      </w:r>
      <w:r>
        <w:rPr>
          <w:rFonts w:ascii="Segoe UI Symbol" w:hAnsi="Segoe UI Symbol" w:cs="Segoe UI Symbol" w:eastAsiaTheme="minorEastAsia"/>
          <w:b/>
          <w:bCs/>
          <w:color w:val="auto"/>
          <w:sz w:val="24"/>
          <w:highlight w:val="none"/>
        </w:rPr>
        <w:t>☑</w:t>
      </w:r>
      <w:r>
        <w:rPr>
          <w:rFonts w:hint="eastAsia" w:asciiTheme="minorEastAsia" w:hAnsiTheme="minorEastAsia" w:eastAsiaTheme="minorEastAsia" w:cstheme="minorEastAsia"/>
          <w:color w:val="auto"/>
          <w:sz w:val="24"/>
          <w:highlight w:val="none"/>
        </w:rPr>
        <w:t xml:space="preserve">网银支付；  </w:t>
      </w:r>
      <w:r>
        <w:rPr>
          <w:rFonts w:hint="eastAsia" w:asciiTheme="minorEastAsia" w:hAnsiTheme="minorEastAsia" w:eastAsiaTheme="minorEastAsia" w:cstheme="minorEastAsia"/>
          <w:color w:val="auto"/>
          <w:sz w:val="24"/>
          <w:highlight w:val="none"/>
        </w:rPr>
        <w:sym w:font="Wingdings" w:char="00A8"/>
      </w:r>
      <w:r>
        <w:rPr>
          <w:rFonts w:hint="eastAsia" w:asciiTheme="minorEastAsia" w:hAnsiTheme="minorEastAsia" w:eastAsiaTheme="minorEastAsia" w:cstheme="minorEastAsia"/>
          <w:color w:val="auto"/>
          <w:sz w:val="24"/>
          <w:highlight w:val="none"/>
        </w:rPr>
        <w:t xml:space="preserve">支票；   </w:t>
      </w:r>
      <w:r>
        <w:rPr>
          <w:rFonts w:hint="eastAsia" w:asciiTheme="minorEastAsia" w:hAnsiTheme="minorEastAsia" w:eastAsiaTheme="minorEastAsia" w:cstheme="minorEastAsia"/>
          <w:color w:val="auto"/>
          <w:sz w:val="24"/>
          <w:highlight w:val="none"/>
        </w:rPr>
        <w:sym w:font="Wingdings" w:char="00A8"/>
      </w:r>
      <w:r>
        <w:rPr>
          <w:rFonts w:hint="eastAsia" w:asciiTheme="minorEastAsia" w:hAnsiTheme="minorEastAsia" w:eastAsiaTheme="minorEastAsia" w:cstheme="minorEastAsia"/>
          <w:color w:val="auto"/>
          <w:sz w:val="24"/>
          <w:highlight w:val="none"/>
        </w:rPr>
        <w:t>其他：</w:t>
      </w:r>
      <w:r>
        <w:rPr>
          <w:rFonts w:hint="eastAsia" w:asciiTheme="minorEastAsia" w:hAnsiTheme="minorEastAsia" w:eastAsiaTheme="minorEastAsia" w:cstheme="minorEastAsia"/>
          <w:color w:val="auto"/>
          <w:sz w:val="24"/>
          <w:highlight w:val="none"/>
          <w:u w:val="single"/>
        </w:rPr>
        <w:t xml:space="preserve"> </w:t>
      </w:r>
      <w:r>
        <w:rPr>
          <w:rFonts w:hint="eastAsia" w:ascii="宋体" w:hAnsi="宋体" w:cs="宋体"/>
          <w:color w:val="auto"/>
          <w:sz w:val="24"/>
          <w:highlight w:val="none"/>
          <w:u w:val="single"/>
        </w:rPr>
        <w:t>/</w:t>
      </w:r>
      <w:r>
        <w:rPr>
          <w:rFonts w:hint="eastAsia" w:asciiTheme="minorEastAsia" w:hAnsiTheme="minorEastAsia" w:eastAsiaTheme="minorEastAsia" w:cstheme="minorEastAsia"/>
          <w:bCs/>
          <w:color w:val="auto"/>
          <w:sz w:val="24"/>
          <w:highlight w:val="none"/>
          <w:u w:val="single"/>
          <w:bdr w:val="single" w:color="auto" w:sz="4" w:space="0"/>
        </w:rPr>
        <w:t xml:space="preserve"> </w:t>
      </w:r>
    </w:p>
    <w:p>
      <w:pPr>
        <w:pStyle w:val="12"/>
        <w:spacing w:line="500" w:lineRule="exact"/>
        <w:ind w:firstLine="482" w:firstLineChars="200"/>
        <w:outlineLvl w:val="1"/>
        <w:rPr>
          <w:rFonts w:hAnsi="宋体" w:cs="宋体"/>
          <w:b/>
          <w:bCs/>
          <w:color w:val="auto"/>
          <w:sz w:val="24"/>
          <w:highlight w:val="none"/>
        </w:rPr>
      </w:pPr>
      <w:r>
        <w:rPr>
          <w:rFonts w:hint="eastAsia" w:hAnsi="宋体" w:cs="宋体"/>
          <w:b/>
          <w:bCs/>
          <w:color w:val="auto"/>
          <w:sz w:val="24"/>
          <w:highlight w:val="none"/>
        </w:rPr>
        <w:t>第九条</w:t>
      </w:r>
      <w:r>
        <w:rPr>
          <w:rFonts w:hAnsi="宋体" w:cs="宋体"/>
          <w:b/>
          <w:bCs/>
          <w:color w:val="auto"/>
          <w:sz w:val="24"/>
          <w:highlight w:val="none"/>
        </w:rPr>
        <w:t xml:space="preserve"> </w:t>
      </w:r>
      <w:r>
        <w:rPr>
          <w:rFonts w:hint="eastAsia" w:hAnsi="宋体" w:cs="宋体"/>
          <w:b/>
          <w:bCs/>
          <w:color w:val="auto"/>
          <w:sz w:val="24"/>
          <w:highlight w:val="none"/>
        </w:rPr>
        <w:t>竣工验收</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9.1</w:t>
      </w:r>
      <w:r>
        <w:rPr>
          <w:rFonts w:hint="eastAsia" w:ascii="宋体" w:hAnsi="宋体" w:cs="宋体"/>
          <w:color w:val="auto"/>
          <w:sz w:val="24"/>
          <w:highlight w:val="none"/>
        </w:rPr>
        <w:t>乙方应在工程完工后30天内将经甲方审核的完整竣工资料（含竣工图）和竣工验收报告各</w:t>
      </w:r>
      <w:r>
        <w:rPr>
          <w:rFonts w:hint="eastAsia" w:ascii="宋体" w:hAnsi="宋体" w:cs="宋体"/>
          <w:color w:val="auto"/>
          <w:sz w:val="24"/>
          <w:highlight w:val="none"/>
          <w:u w:val="single"/>
        </w:rPr>
        <w:t>一式肆份</w:t>
      </w:r>
      <w:r>
        <w:rPr>
          <w:rFonts w:hint="eastAsia" w:ascii="宋体" w:hAnsi="宋体" w:cs="宋体"/>
          <w:color w:val="auto"/>
          <w:sz w:val="24"/>
          <w:highlight w:val="none"/>
        </w:rPr>
        <w:t>交甲方，不按时报送工程竣工资料的，每逾期一天，甲方要求乙方支付</w:t>
      </w:r>
      <w:r>
        <w:rPr>
          <w:rFonts w:hint="eastAsia" w:ascii="宋体" w:hAnsi="宋体" w:cs="宋体"/>
          <w:color w:val="auto"/>
          <w:sz w:val="24"/>
          <w:highlight w:val="none"/>
          <w:u w:val="single"/>
        </w:rPr>
        <w:t>合同暂定总价</w:t>
      </w:r>
      <w:r>
        <w:rPr>
          <w:rFonts w:hint="eastAsia" w:ascii="宋体" w:hAnsi="宋体" w:cs="宋体"/>
          <w:bCs/>
          <w:color w:val="auto"/>
          <w:sz w:val="24"/>
          <w:highlight w:val="none"/>
          <w:u w:val="single"/>
        </w:rPr>
        <w:t>万分之五</w:t>
      </w:r>
      <w:r>
        <w:rPr>
          <w:rFonts w:ascii="宋体" w:hAnsi="宋体" w:cs="宋体"/>
          <w:bCs/>
          <w:color w:val="auto"/>
          <w:sz w:val="24"/>
          <w:highlight w:val="none"/>
          <w:u w:val="single"/>
        </w:rPr>
        <w:t>/</w:t>
      </w:r>
      <w:r>
        <w:rPr>
          <w:rFonts w:hint="eastAsia" w:ascii="宋体" w:hAnsi="宋体" w:cs="宋体"/>
          <w:bCs/>
          <w:color w:val="auto"/>
          <w:sz w:val="24"/>
          <w:highlight w:val="none"/>
          <w:u w:val="single"/>
        </w:rPr>
        <w:t>天</w:t>
      </w:r>
      <w:r>
        <w:rPr>
          <w:rFonts w:hint="eastAsia" w:ascii="宋体" w:hAnsi="宋体" w:cs="宋体"/>
          <w:color w:val="auto"/>
          <w:sz w:val="24"/>
          <w:highlight w:val="none"/>
        </w:rPr>
        <w:t>，并在支付合同款时抵扣。</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9.2</w:t>
      </w:r>
      <w:r>
        <w:rPr>
          <w:rFonts w:hint="eastAsia" w:ascii="宋体" w:hAnsi="宋体" w:cs="宋体"/>
          <w:color w:val="auto"/>
          <w:sz w:val="24"/>
          <w:highlight w:val="none"/>
        </w:rPr>
        <w:t>甲方收到完整的竣工验收资料（完整的竣工验收资料：施工方案、开工/竣工报告、安全备案整套资料、本合同书、询价文件/响应文件、中标通知书/发包通知书/委托书、工程预算送审报告、工程结算书/签证记录、备件开箱记录表或送货单、竣工图等，如有必须提供）和竣工验收报告后20天内组织有关单位进行验收，工程竣工验收严格按国家、省、市、部门有关文件执行，并在验收后10天内给予认可或提出修改意见。乙方按要求修改，并承担修改的费用。</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9.3</w:t>
      </w:r>
      <w:r>
        <w:rPr>
          <w:rFonts w:hint="eastAsia" w:ascii="宋体" w:hAnsi="宋体" w:cs="宋体"/>
          <w:color w:val="auto"/>
          <w:sz w:val="24"/>
          <w:highlight w:val="none"/>
        </w:rPr>
        <w:t>工程竣工验收通过，乙方送交完整的竣工验收资料和竣工验收报告的日期为实际竣工日期。工程按甲方要求修改后通过竣工验收的，实际竣工日期为乙方修改后提请甲方验收的日期。</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9.4</w:t>
      </w:r>
      <w:r>
        <w:rPr>
          <w:rFonts w:hint="eastAsia" w:ascii="宋体" w:hAnsi="宋体" w:cs="宋体"/>
          <w:color w:val="auto"/>
          <w:sz w:val="24"/>
          <w:highlight w:val="none"/>
        </w:rPr>
        <w:t>竣工档案的整理和移交</w:t>
      </w:r>
    </w:p>
    <w:p>
      <w:pPr>
        <w:spacing w:line="50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50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a</w:t>
      </w:r>
      <w:r>
        <w:rPr>
          <w:rFonts w:hint="eastAsia" w:ascii="宋体" w:hAnsi="宋体" w:cs="宋体"/>
          <w:color w:val="auto"/>
          <w:sz w:val="24"/>
          <w:highlight w:val="none"/>
        </w:rPr>
        <w:t>）竣工文件资料、竣工图档案（原件）各一式四份；</w:t>
      </w:r>
    </w:p>
    <w:p>
      <w:pPr>
        <w:spacing w:line="50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b</w:t>
      </w:r>
      <w:r>
        <w:rPr>
          <w:rFonts w:hint="eastAsia" w:ascii="宋体" w:hAnsi="宋体" w:cs="宋体"/>
          <w:color w:val="auto"/>
          <w:sz w:val="24"/>
          <w:highlight w:val="none"/>
        </w:rPr>
        <w:t>）与本款（</w:t>
      </w:r>
      <w:r>
        <w:rPr>
          <w:rFonts w:ascii="宋体" w:hAnsi="宋体" w:cs="宋体"/>
          <w:color w:val="auto"/>
          <w:sz w:val="24"/>
          <w:highlight w:val="none"/>
        </w:rPr>
        <w:t>a</w:t>
      </w:r>
      <w:r>
        <w:rPr>
          <w:rFonts w:hint="eastAsia" w:ascii="宋体" w:hAnsi="宋体" w:cs="宋体"/>
          <w:color w:val="auto"/>
          <w:sz w:val="24"/>
          <w:highlight w:val="none"/>
        </w:rPr>
        <w:t>）项内容相同的电子版档案一式二份；</w:t>
      </w:r>
    </w:p>
    <w:p>
      <w:pPr>
        <w:spacing w:line="50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乙方移交竣工档案的时限：乙方应于工程竣工验收后30天内将竣工档案提交甲方签认。乙方应于甲方签认后10天内将竣工档案移交给甲方归档并同时移交有关归档的证明文件。甲方经审查合格的，应在收到竣工档案后10天内签署档案验收意见；不合格的，乙方应按甲方要求限期补正，直至合格为止。乙方超过本条规定的时限，每逾期一天支付</w:t>
      </w:r>
      <w:r>
        <w:rPr>
          <w:rFonts w:hint="eastAsia" w:ascii="宋体" w:hAnsi="宋体" w:cs="宋体"/>
          <w:color w:val="auto"/>
          <w:sz w:val="24"/>
          <w:highlight w:val="none"/>
          <w:u w:val="single"/>
        </w:rPr>
        <w:t>合同暂定总价</w:t>
      </w:r>
      <w:r>
        <w:rPr>
          <w:rFonts w:hint="eastAsia" w:ascii="宋体" w:hAnsi="宋体" w:cs="宋体"/>
          <w:bCs/>
          <w:color w:val="auto"/>
          <w:sz w:val="24"/>
          <w:highlight w:val="none"/>
          <w:u w:val="single"/>
        </w:rPr>
        <w:t>万分之五</w:t>
      </w:r>
      <w:r>
        <w:rPr>
          <w:rFonts w:ascii="宋体" w:hAnsi="宋体" w:cs="宋体"/>
          <w:bCs/>
          <w:color w:val="auto"/>
          <w:sz w:val="24"/>
          <w:highlight w:val="none"/>
          <w:u w:val="single"/>
        </w:rPr>
        <w:t>/</w:t>
      </w:r>
      <w:r>
        <w:rPr>
          <w:rFonts w:hint="eastAsia" w:ascii="宋体" w:hAnsi="宋体" w:cs="宋体"/>
          <w:bCs/>
          <w:color w:val="auto"/>
          <w:sz w:val="24"/>
          <w:highlight w:val="none"/>
          <w:u w:val="single"/>
        </w:rPr>
        <w:t>天</w:t>
      </w:r>
      <w:r>
        <w:rPr>
          <w:rFonts w:hint="eastAsia" w:ascii="宋体" w:hAnsi="宋体" w:cs="宋体"/>
          <w:color w:val="auto"/>
          <w:sz w:val="24"/>
          <w:highlight w:val="none"/>
        </w:rPr>
        <w:t>违约金。</w:t>
      </w:r>
    </w:p>
    <w:p>
      <w:pPr>
        <w:spacing w:line="50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）电子版竣工图的编制，以甲方提供的电子版施工图为基础。乙方在移交竣工档案时，应一并移交甲方提供的电子版施工图。</w:t>
      </w:r>
    </w:p>
    <w:p>
      <w:pPr>
        <w:spacing w:line="500" w:lineRule="exact"/>
        <w:ind w:firstLine="480"/>
        <w:rPr>
          <w:rFonts w:ascii="宋体" w:hAnsi="宋体" w:cs="宋体"/>
          <w:color w:val="auto"/>
          <w:sz w:val="24"/>
          <w:highlight w:val="none"/>
        </w:rPr>
      </w:pPr>
      <w:r>
        <w:rPr>
          <w:rFonts w:hint="eastAsia" w:ascii="宋体" w:hAnsi="宋体" w:cs="宋体"/>
          <w:color w:val="auto"/>
          <w:sz w:val="24"/>
          <w:highlight w:val="none"/>
        </w:rPr>
        <w:t>电子版施工图和电子版竣工图的知识产权归属甲方所有，非经甲方许可，乙方不得以任何方式复制、备份、转让和利用。否则，由此引起的任何纠纷和责任由乙方承担。</w:t>
      </w:r>
    </w:p>
    <w:p>
      <w:pPr>
        <w:pStyle w:val="12"/>
        <w:spacing w:line="500" w:lineRule="exact"/>
        <w:ind w:firstLine="480" w:firstLineChars="200"/>
        <w:outlineLvl w:val="1"/>
        <w:rPr>
          <w:rFonts w:hint="eastAsia" w:hAnsi="宋体" w:cs="宋体"/>
          <w:color w:val="auto"/>
          <w:sz w:val="24"/>
          <w:szCs w:val="20"/>
          <w:highlight w:val="none"/>
        </w:rPr>
      </w:pPr>
      <w:r>
        <w:rPr>
          <w:rFonts w:hint="eastAsia" w:asciiTheme="minorEastAsia" w:hAnsiTheme="minorEastAsia" w:eastAsiaTheme="minorEastAsia" w:cstheme="minorEastAsia"/>
          <w:color w:val="auto"/>
          <w:sz w:val="24"/>
          <w:highlight w:val="none"/>
        </w:rPr>
        <w:t>9.5本合同竣工验收结算单位为：</w:t>
      </w:r>
      <w:r>
        <w:rPr>
          <w:rFonts w:hint="eastAsia" w:hAnsi="宋体" w:cs="宋体"/>
          <w:color w:val="auto"/>
          <w:sz w:val="24"/>
          <w:szCs w:val="24"/>
          <w:highlight w:val="none"/>
          <w:u w:val="single"/>
          <w:lang w:val="en-US" w:eastAsia="zh-CN"/>
        </w:rPr>
        <w:t xml:space="preserve"> 广州市净水有限公司大坦沙分公司 </w:t>
      </w:r>
    </w:p>
    <w:p>
      <w:pPr>
        <w:numPr>
          <w:ilvl w:val="0"/>
          <w:numId w:val="7"/>
        </w:numPr>
        <w:spacing w:before="120" w:after="156" w:afterLines="50" w:line="50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质量保证</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10.1</w:t>
      </w:r>
      <w:r>
        <w:rPr>
          <w:rFonts w:hint="eastAsia" w:ascii="宋体" w:hAnsi="宋体" w:cs="宋体"/>
          <w:color w:val="auto"/>
          <w:sz w:val="24"/>
          <w:highlight w:val="none"/>
        </w:rPr>
        <w:t>乙方保证所承包的项目质量符合国家相关标准和规范。对产品质量依据原厂商标准及国家标准从严执行。</w:t>
      </w:r>
    </w:p>
    <w:p>
      <w:pPr>
        <w:autoSpaceDE w:val="0"/>
        <w:autoSpaceDN w:val="0"/>
        <w:adjustRightInd w:val="0"/>
        <w:spacing w:line="500" w:lineRule="exact"/>
        <w:ind w:left="420"/>
        <w:rPr>
          <w:rFonts w:ascii="宋体" w:hAnsi="宋体" w:cs="宋体"/>
          <w:color w:val="auto"/>
          <w:kern w:val="0"/>
          <w:sz w:val="24"/>
          <w:highlight w:val="none"/>
          <w:lang w:val="zh-CN"/>
        </w:rPr>
      </w:pPr>
      <w:r>
        <w:rPr>
          <w:rFonts w:ascii="宋体" w:hAnsi="宋体" w:cs="宋体"/>
          <w:bCs/>
          <w:color w:val="auto"/>
          <w:sz w:val="24"/>
          <w:highlight w:val="none"/>
        </w:rPr>
        <w:t xml:space="preserve">10.2 </w:t>
      </w:r>
      <w:r>
        <w:rPr>
          <w:rFonts w:hint="eastAsia" w:ascii="宋体" w:hAnsi="宋体" w:cs="宋体"/>
          <w:bCs/>
          <w:color w:val="auto"/>
          <w:sz w:val="24"/>
          <w:highlight w:val="none"/>
        </w:rPr>
        <w:t>质量保修期为</w:t>
      </w:r>
      <w:r>
        <w:rPr>
          <w:rFonts w:hint="eastAsia" w:ascii="宋体" w:hAnsi="宋体" w:cs="宋体"/>
          <w:color w:val="auto"/>
          <w:kern w:val="0"/>
          <w:sz w:val="24"/>
          <w:highlight w:val="none"/>
          <w:lang w:val="zh-CN"/>
        </w:rPr>
        <w:t>自验收合格之日起</w:t>
      </w:r>
      <w:r>
        <w:rPr>
          <w:rFonts w:hint="eastAsia" w:ascii="宋体" w:hAnsi="宋体" w:cs="宋体"/>
          <w:color w:val="auto"/>
          <w:kern w:val="0"/>
          <w:sz w:val="24"/>
          <w:highlight w:val="none"/>
          <w:u w:val="single"/>
        </w:rPr>
        <w:t xml:space="preserve"> </w:t>
      </w:r>
      <w:r>
        <w:rPr>
          <w:rFonts w:hint="eastAsia" w:ascii="宋体" w:hAnsi="宋体" w:cs="宋体"/>
          <w:b/>
          <w:bCs/>
          <w:color w:val="auto"/>
          <w:kern w:val="0"/>
          <w:sz w:val="24"/>
          <w:highlight w:val="none"/>
          <w:u w:val="single"/>
          <w:lang w:val="en-US" w:eastAsia="zh-CN"/>
        </w:rPr>
        <w:t>壹</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lang w:val="zh-CN"/>
        </w:rPr>
        <w:t>年。</w:t>
      </w:r>
    </w:p>
    <w:p>
      <w:pPr>
        <w:spacing w:line="500" w:lineRule="exact"/>
        <w:ind w:firstLine="420" w:firstLineChars="175"/>
        <w:rPr>
          <w:rFonts w:ascii="宋体" w:hAnsi="宋体" w:cs="宋体"/>
          <w:bCs/>
          <w:color w:val="auto"/>
          <w:sz w:val="24"/>
          <w:highlight w:val="none"/>
        </w:rPr>
      </w:pPr>
      <w:r>
        <w:rPr>
          <w:rFonts w:ascii="宋体" w:hAnsi="宋体" w:cs="宋体"/>
          <w:bCs/>
          <w:color w:val="auto"/>
          <w:sz w:val="24"/>
          <w:highlight w:val="none"/>
        </w:rPr>
        <w:t>10.3</w:t>
      </w:r>
      <w:r>
        <w:rPr>
          <w:rFonts w:hint="eastAsia" w:ascii="宋体" w:hAnsi="宋体" w:cs="宋体"/>
          <w:bCs/>
          <w:color w:val="auto"/>
          <w:sz w:val="24"/>
          <w:highlight w:val="none"/>
        </w:rPr>
        <w:t>质量保修期期间，本项目的质量问题由乙方免费提供保修服务，乙方应在收到甲方通知后日内派人员到场负责解决及维修，如果乙方不按时到场维修或到场后不能修复的，甲方有权委托他人予以维修，乙方承担由此发生的费用并支付</w:t>
      </w:r>
      <w:r>
        <w:rPr>
          <w:rFonts w:hint="eastAsia" w:ascii="宋体" w:hAnsi="宋体" w:cs="宋体"/>
          <w:bCs/>
          <w:color w:val="auto"/>
          <w:sz w:val="24"/>
          <w:highlight w:val="none"/>
          <w:u w:val="single"/>
        </w:rPr>
        <w:t>合同暂定总价的10%/次</w:t>
      </w:r>
      <w:r>
        <w:rPr>
          <w:rFonts w:hint="eastAsia" w:ascii="宋体" w:hAnsi="宋体" w:cs="宋体"/>
          <w:bCs/>
          <w:color w:val="auto"/>
          <w:sz w:val="24"/>
          <w:highlight w:val="none"/>
        </w:rPr>
        <w:t>作为违约金。</w:t>
      </w:r>
    </w:p>
    <w:p>
      <w:pPr>
        <w:spacing w:before="156" w:beforeLines="50" w:after="156" w:afterLines="50" w:line="500" w:lineRule="exact"/>
        <w:ind w:firstLine="422" w:firstLineChars="175"/>
        <w:jc w:val="left"/>
        <w:rPr>
          <w:rFonts w:ascii="宋体" w:hAnsi="宋体" w:cs="宋体"/>
          <w:color w:val="auto"/>
          <w:sz w:val="24"/>
          <w:highlight w:val="none"/>
        </w:rPr>
      </w:pPr>
      <w:r>
        <w:rPr>
          <w:rFonts w:hint="eastAsia" w:ascii="宋体" w:hAnsi="宋体" w:cs="宋体"/>
          <w:b/>
          <w:bCs/>
          <w:color w:val="auto"/>
          <w:sz w:val="24"/>
          <w:highlight w:val="none"/>
        </w:rPr>
        <w:t>第十一条</w:t>
      </w:r>
      <w:r>
        <w:rPr>
          <w:rFonts w:ascii="宋体" w:hAnsi="宋体" w:cs="宋体"/>
          <w:b/>
          <w:bCs/>
          <w:color w:val="auto"/>
          <w:sz w:val="24"/>
          <w:highlight w:val="none"/>
        </w:rPr>
        <w:t xml:space="preserve"> </w:t>
      </w:r>
      <w:r>
        <w:rPr>
          <w:rFonts w:hint="eastAsia" w:ascii="宋体" w:hAnsi="宋体" w:cs="宋体"/>
          <w:b/>
          <w:bCs/>
          <w:color w:val="auto"/>
          <w:sz w:val="24"/>
          <w:highlight w:val="none"/>
        </w:rPr>
        <w:t>不可抗力</w:t>
      </w:r>
    </w:p>
    <w:p>
      <w:pPr>
        <w:widowControl/>
        <w:autoSpaceDE w:val="0"/>
        <w:autoSpaceDN w:val="0"/>
        <w:adjustRightInd w:val="0"/>
        <w:spacing w:line="500" w:lineRule="exact"/>
        <w:ind w:firstLine="480" w:firstLineChars="200"/>
        <w:rPr>
          <w:rFonts w:ascii="宋体" w:hAnsi="宋体" w:cs="宋体"/>
          <w:bCs/>
          <w:color w:val="auto"/>
          <w:sz w:val="24"/>
          <w:highlight w:val="none"/>
        </w:rPr>
      </w:pPr>
      <w:r>
        <w:rPr>
          <w:rFonts w:ascii="宋体" w:hAnsi="宋体" w:cs="宋体"/>
          <w:bCs/>
          <w:color w:val="auto"/>
          <w:sz w:val="24"/>
          <w:highlight w:val="none"/>
        </w:rPr>
        <w:t xml:space="preserve">11.1 </w:t>
      </w:r>
      <w:r>
        <w:rPr>
          <w:rFonts w:hint="eastAsia" w:ascii="宋体" w:hAnsi="宋体" w:cs="宋体"/>
          <w:bCs/>
          <w:color w:val="auto"/>
          <w:sz w:val="24"/>
          <w:highlight w:val="none"/>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500" w:lineRule="exact"/>
        <w:ind w:firstLine="480" w:firstLineChars="200"/>
        <w:rPr>
          <w:rFonts w:ascii="宋体" w:hAnsi="宋体" w:cs="宋体"/>
          <w:bCs/>
          <w:color w:val="auto"/>
          <w:sz w:val="24"/>
          <w:highlight w:val="none"/>
        </w:rPr>
      </w:pPr>
      <w:r>
        <w:rPr>
          <w:rFonts w:hint="eastAsia" w:ascii="宋体" w:hAnsi="宋体" w:cs="宋体"/>
          <w:color w:val="auto"/>
          <w:sz w:val="24"/>
          <w:highlight w:val="none"/>
        </w:rPr>
        <w:t>（1）</w:t>
      </w:r>
      <w:r>
        <w:rPr>
          <w:rFonts w:hint="eastAsia" w:ascii="宋体" w:hAnsi="宋体" w:cs="宋体"/>
          <w:bCs/>
          <w:color w:val="auto"/>
          <w:sz w:val="24"/>
          <w:highlight w:val="none"/>
        </w:rPr>
        <w:t>地震、火山爆发、滑坡、暴雨（橙色预警及以上）、台风（黄色预警及以上）、海啸、龙卷风、大面积流行病(如：非典型性肺炎等)或瘟疫；</w:t>
      </w:r>
    </w:p>
    <w:p>
      <w:pPr>
        <w:widowControl/>
        <w:autoSpaceDE w:val="0"/>
        <w:autoSpaceDN w:val="0"/>
        <w:adjustRightInd w:val="0"/>
        <w:spacing w:line="500" w:lineRule="exact"/>
        <w:ind w:firstLine="480" w:firstLineChars="200"/>
        <w:rPr>
          <w:rFonts w:ascii="宋体" w:hAnsi="宋体" w:cs="宋体"/>
          <w:bCs/>
          <w:color w:val="auto"/>
          <w:sz w:val="24"/>
          <w:highlight w:val="none"/>
        </w:rPr>
      </w:pPr>
      <w:r>
        <w:rPr>
          <w:rFonts w:hint="eastAsia" w:ascii="宋体" w:hAnsi="宋体" w:cs="宋体"/>
          <w:color w:val="auto"/>
          <w:sz w:val="24"/>
          <w:highlight w:val="none"/>
        </w:rPr>
        <w:t>（2）</w:t>
      </w:r>
      <w:r>
        <w:rPr>
          <w:rFonts w:hint="eastAsia" w:ascii="宋体" w:hAnsi="宋体" w:cs="宋体"/>
          <w:bCs/>
          <w:color w:val="auto"/>
          <w:sz w:val="24"/>
          <w:highlight w:val="none"/>
        </w:rPr>
        <w:t>战争行为、入侵、武装冲突或外敌行为、封锁、暴乱、恐怖行为或军事演习；</w:t>
      </w:r>
    </w:p>
    <w:p>
      <w:pPr>
        <w:widowControl/>
        <w:autoSpaceDE w:val="0"/>
        <w:autoSpaceDN w:val="0"/>
        <w:adjustRightInd w:val="0"/>
        <w:spacing w:line="500" w:lineRule="exact"/>
        <w:ind w:firstLine="480" w:firstLineChars="200"/>
        <w:rPr>
          <w:rFonts w:ascii="宋体" w:hAnsi="宋体" w:cs="宋体"/>
          <w:bCs/>
          <w:color w:val="auto"/>
          <w:sz w:val="24"/>
          <w:highlight w:val="none"/>
        </w:rPr>
      </w:pPr>
      <w:r>
        <w:rPr>
          <w:rFonts w:ascii="宋体" w:hAnsi="宋体" w:cs="宋体"/>
          <w:bCs/>
          <w:color w:val="auto"/>
          <w:sz w:val="24"/>
          <w:highlight w:val="none"/>
        </w:rPr>
        <w:t xml:space="preserve">11.2 </w:t>
      </w:r>
      <w:r>
        <w:rPr>
          <w:rFonts w:hint="eastAsia" w:ascii="宋体" w:hAnsi="宋体" w:cs="宋体"/>
          <w:bCs/>
          <w:color w:val="auto"/>
          <w:sz w:val="24"/>
          <w:highlight w:val="none"/>
        </w:rPr>
        <w:t>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500" w:lineRule="exact"/>
        <w:ind w:firstLine="480" w:firstLineChars="200"/>
        <w:rPr>
          <w:rFonts w:ascii="宋体" w:hAnsi="宋体" w:cs="宋体"/>
          <w:bCs/>
          <w:color w:val="auto"/>
          <w:sz w:val="24"/>
          <w:highlight w:val="none"/>
        </w:rPr>
      </w:pPr>
      <w:r>
        <w:rPr>
          <w:rFonts w:ascii="宋体" w:hAnsi="宋体" w:cs="宋体"/>
          <w:bCs/>
          <w:color w:val="auto"/>
          <w:sz w:val="24"/>
          <w:highlight w:val="none"/>
        </w:rPr>
        <w:t xml:space="preserve">11.3 </w:t>
      </w:r>
      <w:r>
        <w:rPr>
          <w:rFonts w:hint="eastAsia" w:ascii="宋体" w:hAnsi="宋体" w:cs="宋体"/>
          <w:bCs/>
          <w:color w:val="auto"/>
          <w:sz w:val="24"/>
          <w:highlight w:val="none"/>
        </w:rPr>
        <w:t>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before="156" w:beforeLines="50" w:after="156" w:afterLines="50" w:line="500" w:lineRule="exact"/>
        <w:ind w:firstLine="482"/>
        <w:jc w:val="left"/>
        <w:rPr>
          <w:rFonts w:ascii="宋体" w:hAnsi="宋体" w:cs="宋体"/>
          <w:bCs/>
          <w:color w:val="auto"/>
          <w:sz w:val="24"/>
          <w:highlight w:val="none"/>
        </w:rPr>
      </w:pPr>
      <w:r>
        <w:rPr>
          <w:rFonts w:ascii="宋体" w:hAnsi="宋体" w:cs="宋体"/>
          <w:bCs/>
          <w:color w:val="auto"/>
          <w:sz w:val="24"/>
          <w:highlight w:val="none"/>
        </w:rPr>
        <w:t xml:space="preserve">11.4 </w:t>
      </w:r>
      <w:r>
        <w:rPr>
          <w:rFonts w:hint="eastAsia" w:ascii="宋体" w:hAnsi="宋体" w:cs="宋体"/>
          <w:bCs/>
          <w:color w:val="auto"/>
          <w:sz w:val="24"/>
          <w:highlight w:val="none"/>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before="156" w:beforeLines="50" w:after="156" w:afterLines="50" w:line="500" w:lineRule="exact"/>
        <w:ind w:firstLine="482"/>
        <w:jc w:val="left"/>
        <w:rPr>
          <w:rFonts w:ascii="宋体" w:hAnsi="宋体" w:cs="宋体"/>
          <w:b/>
          <w:bCs/>
          <w:color w:val="auto"/>
          <w:sz w:val="24"/>
          <w:highlight w:val="none"/>
        </w:rPr>
      </w:pPr>
      <w:r>
        <w:rPr>
          <w:rFonts w:hint="eastAsia" w:ascii="宋体" w:hAnsi="宋体" w:cs="宋体"/>
          <w:b/>
          <w:bCs/>
          <w:color w:val="auto"/>
          <w:sz w:val="24"/>
          <w:highlight w:val="none"/>
        </w:rPr>
        <w:t>十二条</w:t>
      </w:r>
      <w:r>
        <w:rPr>
          <w:rFonts w:ascii="宋体" w:hAnsi="宋体" w:cs="宋体"/>
          <w:b/>
          <w:bCs/>
          <w:color w:val="auto"/>
          <w:sz w:val="24"/>
          <w:highlight w:val="none"/>
        </w:rPr>
        <w:t xml:space="preserve"> </w:t>
      </w:r>
      <w:r>
        <w:rPr>
          <w:rFonts w:hint="eastAsia" w:ascii="宋体" w:hAnsi="宋体" w:cs="宋体"/>
          <w:b/>
          <w:bCs/>
          <w:color w:val="auto"/>
          <w:sz w:val="24"/>
          <w:highlight w:val="none"/>
        </w:rPr>
        <w:t>争议解决</w:t>
      </w:r>
    </w:p>
    <w:p>
      <w:pPr>
        <w:spacing w:before="156" w:beforeLines="50" w:after="156" w:afterLines="50" w:line="500" w:lineRule="exact"/>
        <w:ind w:firstLine="482"/>
        <w:jc w:val="left"/>
        <w:rPr>
          <w:rFonts w:ascii="宋体" w:hAnsi="宋体" w:cs="宋体"/>
          <w:bCs/>
          <w:color w:val="auto"/>
          <w:sz w:val="24"/>
          <w:highlight w:val="none"/>
        </w:rPr>
      </w:pPr>
      <w:r>
        <w:rPr>
          <w:rFonts w:ascii="宋体" w:hAnsi="宋体" w:cs="宋体"/>
          <w:bCs/>
          <w:color w:val="auto"/>
          <w:sz w:val="24"/>
          <w:highlight w:val="none"/>
        </w:rPr>
        <w:t xml:space="preserve">12.1 </w:t>
      </w:r>
      <w:r>
        <w:rPr>
          <w:rFonts w:hint="eastAsia" w:ascii="宋体" w:hAnsi="宋体" w:cs="宋体"/>
          <w:bCs/>
          <w:color w:val="auto"/>
          <w:sz w:val="24"/>
          <w:highlight w:val="none"/>
        </w:rPr>
        <w:t>甲乙双方应通过友好协商，解决在执行本合同所发生的或与本合同有关的一切争议。如协商不能解决争议，任何一方均可依法向甲方所在地人民法院提起诉讼。</w:t>
      </w:r>
    </w:p>
    <w:p>
      <w:pPr>
        <w:spacing w:before="156" w:beforeLines="50" w:after="156" w:afterLines="50" w:line="500" w:lineRule="exact"/>
        <w:ind w:firstLine="482"/>
        <w:jc w:val="left"/>
        <w:rPr>
          <w:rFonts w:ascii="宋体" w:hAnsi="宋体" w:cs="宋体"/>
          <w:bCs/>
          <w:color w:val="auto"/>
          <w:sz w:val="24"/>
          <w:highlight w:val="none"/>
        </w:rPr>
      </w:pPr>
    </w:p>
    <w:p>
      <w:pPr>
        <w:spacing w:line="500" w:lineRule="exact"/>
        <w:ind w:firstLine="482"/>
        <w:jc w:val="left"/>
        <w:rPr>
          <w:rFonts w:ascii="宋体" w:hAnsi="宋体" w:cs="宋体"/>
          <w:b/>
          <w:bCs/>
          <w:color w:val="auto"/>
          <w:sz w:val="24"/>
          <w:highlight w:val="none"/>
        </w:rPr>
      </w:pPr>
      <w:r>
        <w:rPr>
          <w:rFonts w:ascii="宋体" w:hAnsi="宋体" w:cs="宋体"/>
          <w:bCs/>
          <w:color w:val="auto"/>
          <w:sz w:val="24"/>
          <w:highlight w:val="none"/>
        </w:rPr>
        <w:t xml:space="preserve">12.2 </w:t>
      </w:r>
      <w:r>
        <w:rPr>
          <w:rFonts w:hint="eastAsia" w:ascii="宋体" w:hAnsi="宋体" w:cs="宋体"/>
          <w:color w:val="auto"/>
          <w:sz w:val="24"/>
          <w:highlight w:val="none"/>
        </w:rPr>
        <w:t>在甲方同意的情况下，除有争端之外的合同其它部分在争端解决前应继续执行。</w:t>
      </w:r>
    </w:p>
    <w:p>
      <w:pPr>
        <w:spacing w:line="500" w:lineRule="exact"/>
        <w:ind w:firstLine="482"/>
        <w:jc w:val="left"/>
        <w:rPr>
          <w:rFonts w:ascii="宋体" w:hAnsi="宋体" w:cs="宋体"/>
          <w:b/>
          <w:bCs/>
          <w:color w:val="auto"/>
          <w:sz w:val="24"/>
          <w:highlight w:val="none"/>
        </w:rPr>
      </w:pPr>
      <w:r>
        <w:rPr>
          <w:rFonts w:hint="eastAsia" w:ascii="宋体" w:hAnsi="宋体" w:cs="宋体"/>
          <w:b/>
          <w:bCs/>
          <w:color w:val="auto"/>
          <w:sz w:val="24"/>
          <w:highlight w:val="none"/>
        </w:rPr>
        <w:t>第十三条</w:t>
      </w:r>
      <w:r>
        <w:rPr>
          <w:rFonts w:ascii="宋体" w:hAnsi="宋体" w:cs="宋体"/>
          <w:b/>
          <w:bCs/>
          <w:color w:val="auto"/>
          <w:sz w:val="24"/>
          <w:highlight w:val="none"/>
        </w:rPr>
        <w:t xml:space="preserve"> </w:t>
      </w:r>
      <w:r>
        <w:rPr>
          <w:rFonts w:hint="eastAsia" w:ascii="宋体" w:hAnsi="宋体" w:cs="宋体"/>
          <w:b/>
          <w:bCs/>
          <w:color w:val="auto"/>
          <w:sz w:val="24"/>
          <w:highlight w:val="none"/>
        </w:rPr>
        <w:t>合同生效及其他</w:t>
      </w:r>
    </w:p>
    <w:p>
      <w:pPr>
        <w:spacing w:line="500" w:lineRule="exact"/>
        <w:ind w:firstLine="480"/>
        <w:rPr>
          <w:rFonts w:ascii="宋体" w:hAnsi="宋体" w:cs="宋体"/>
          <w:color w:val="auto"/>
          <w:sz w:val="24"/>
          <w:highlight w:val="none"/>
        </w:rPr>
      </w:pPr>
      <w:r>
        <w:rPr>
          <w:rFonts w:ascii="宋体" w:hAnsi="宋体" w:cs="宋体"/>
          <w:color w:val="auto"/>
          <w:sz w:val="24"/>
          <w:highlight w:val="none"/>
        </w:rPr>
        <w:t>13.1</w:t>
      </w:r>
      <w:r>
        <w:rPr>
          <w:rFonts w:hint="eastAsia" w:ascii="宋体" w:hAnsi="宋体" w:cs="宋体"/>
          <w:color w:val="auto"/>
          <w:sz w:val="24"/>
          <w:highlight w:val="none"/>
        </w:rPr>
        <w:t>本合同经双方法定代表人或授权代表签字并加盖双方公章后生效</w:t>
      </w:r>
      <w:r>
        <w:rPr>
          <w:rFonts w:ascii="宋体" w:hAnsi="宋体" w:cs="宋体"/>
          <w:color w:val="auto"/>
          <w:sz w:val="24"/>
          <w:highlight w:val="none"/>
        </w:rPr>
        <w:t>.</w:t>
      </w:r>
    </w:p>
    <w:p>
      <w:pPr>
        <w:spacing w:line="500" w:lineRule="exact"/>
        <w:ind w:firstLine="480"/>
        <w:rPr>
          <w:rFonts w:ascii="宋体" w:hAnsi="宋体" w:cs="宋体"/>
          <w:color w:val="auto"/>
          <w:sz w:val="24"/>
          <w:highlight w:val="none"/>
        </w:rPr>
      </w:pPr>
      <w:r>
        <w:rPr>
          <w:rFonts w:ascii="宋体" w:hAnsi="宋体" w:cs="宋体"/>
          <w:color w:val="auto"/>
          <w:sz w:val="24"/>
          <w:highlight w:val="none"/>
        </w:rPr>
        <w:t>13.2</w:t>
      </w:r>
      <w:r>
        <w:rPr>
          <w:rFonts w:hint="eastAsia" w:ascii="宋体" w:hAnsi="宋体" w:cs="宋体"/>
          <w:color w:val="auto"/>
          <w:sz w:val="24"/>
          <w:highlight w:val="none"/>
        </w:rPr>
        <w:t>本合同正文一式</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陆</w:t>
      </w:r>
      <w:r>
        <w:rPr>
          <w:rFonts w:ascii="宋体" w:hAnsi="宋体" w:cs="宋体"/>
          <w:color w:val="auto"/>
          <w:sz w:val="24"/>
          <w:highlight w:val="none"/>
          <w:u w:val="single"/>
        </w:rPr>
        <w:t xml:space="preserve"> </w:t>
      </w:r>
      <w:r>
        <w:rPr>
          <w:rFonts w:hint="eastAsia" w:ascii="宋体" w:hAnsi="宋体" w:cs="宋体"/>
          <w:color w:val="auto"/>
          <w:sz w:val="24"/>
          <w:highlight w:val="none"/>
        </w:rPr>
        <w:t>份，其中：甲方</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肆</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份，乙方</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贰</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份。</w:t>
      </w:r>
    </w:p>
    <w:p>
      <w:pPr>
        <w:spacing w:line="500" w:lineRule="exact"/>
        <w:ind w:firstLine="480"/>
        <w:rPr>
          <w:rFonts w:ascii="宋体" w:hAnsi="宋体" w:cs="宋体"/>
          <w:color w:val="auto"/>
          <w:sz w:val="24"/>
          <w:highlight w:val="none"/>
        </w:rPr>
      </w:pPr>
      <w:r>
        <w:rPr>
          <w:rFonts w:ascii="宋体" w:hAnsi="宋体" w:cs="宋体"/>
          <w:color w:val="auto"/>
          <w:sz w:val="24"/>
          <w:highlight w:val="none"/>
        </w:rPr>
        <w:t>13.</w:t>
      </w:r>
      <w:r>
        <w:rPr>
          <w:rFonts w:hint="eastAsia" w:ascii="宋体" w:hAnsi="宋体" w:cs="宋体"/>
          <w:color w:val="auto"/>
          <w:sz w:val="24"/>
          <w:highlight w:val="none"/>
        </w:rPr>
        <w:t>3补充条款：</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无</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pPr>
        <w:pStyle w:val="50"/>
        <w:spacing w:line="500" w:lineRule="exact"/>
        <w:rPr>
          <w:color w:val="auto"/>
          <w:highlight w:val="none"/>
        </w:rPr>
      </w:pPr>
    </w:p>
    <w:p>
      <w:pPr>
        <w:spacing w:line="500" w:lineRule="exact"/>
        <w:rPr>
          <w:rFonts w:ascii="宋体" w:hAnsi="宋体" w:cs="宋体"/>
          <w:color w:val="auto"/>
          <w:sz w:val="24"/>
          <w:highlight w:val="none"/>
        </w:rPr>
      </w:pPr>
      <w:r>
        <w:rPr>
          <w:rFonts w:hint="eastAsia" w:ascii="宋体" w:hAnsi="宋体" w:cs="宋体"/>
          <w:color w:val="auto"/>
          <w:sz w:val="24"/>
          <w:highlight w:val="none"/>
        </w:rPr>
        <w:t>附件：</w:t>
      </w:r>
      <w:r>
        <w:rPr>
          <w:rFonts w:ascii="宋体" w:hAnsi="宋体" w:cs="宋体"/>
          <w:color w:val="auto"/>
          <w:sz w:val="24"/>
          <w:highlight w:val="none"/>
        </w:rPr>
        <w:t>1.</w:t>
      </w:r>
      <w:r>
        <w:rPr>
          <w:rFonts w:hint="eastAsia" w:ascii="宋体" w:hAnsi="宋体" w:cs="宋体"/>
          <w:color w:val="auto"/>
          <w:sz w:val="24"/>
          <w:highlight w:val="none"/>
        </w:rPr>
        <w:t>成交通知书</w:t>
      </w:r>
    </w:p>
    <w:p>
      <w:pPr>
        <w:spacing w:line="500" w:lineRule="exact"/>
        <w:ind w:firstLine="720" w:firstLineChars="300"/>
        <w:rPr>
          <w:rFonts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廉洁协议</w:t>
      </w:r>
    </w:p>
    <w:p>
      <w:pPr>
        <w:spacing w:line="500" w:lineRule="exact"/>
        <w:ind w:firstLine="720" w:firstLineChars="300"/>
        <w:rPr>
          <w:rFonts w:ascii="宋体" w:hAnsi="宋体" w:cs="宋体"/>
          <w:color w:val="auto"/>
          <w:sz w:val="24"/>
          <w:highlight w:val="none"/>
        </w:rPr>
      </w:pPr>
      <w:r>
        <w:rPr>
          <w:rFonts w:hint="eastAsia" w:ascii="宋体" w:hAnsi="宋体" w:cs="宋体"/>
          <w:color w:val="auto"/>
          <w:sz w:val="24"/>
          <w:highlight w:val="none"/>
        </w:rPr>
        <w:t>3.营运场所施工安全协议书</w:t>
      </w:r>
    </w:p>
    <w:p>
      <w:pPr>
        <w:spacing w:line="500" w:lineRule="exact"/>
        <w:ind w:firstLine="720" w:firstLineChars="300"/>
        <w:rPr>
          <w:rFonts w:ascii="宋体" w:hAnsi="宋体" w:cs="宋体"/>
          <w:color w:val="auto"/>
          <w:sz w:val="24"/>
          <w:highlight w:val="none"/>
        </w:rPr>
      </w:pPr>
      <w:r>
        <w:rPr>
          <w:rFonts w:hint="eastAsia" w:ascii="宋体" w:hAnsi="宋体" w:cs="宋体"/>
          <w:color w:val="auto"/>
          <w:sz w:val="24"/>
          <w:highlight w:val="none"/>
        </w:rPr>
        <w:t>4.防疫管理协议书</w:t>
      </w:r>
    </w:p>
    <w:p>
      <w:pPr>
        <w:spacing w:line="500" w:lineRule="exact"/>
        <w:rPr>
          <w:rFonts w:ascii="宋体" w:hAnsi="宋体" w:cs="宋体"/>
          <w:color w:val="auto"/>
          <w:sz w:val="24"/>
          <w:highlight w:val="none"/>
        </w:rPr>
      </w:pPr>
      <w:r>
        <w:rPr>
          <w:rFonts w:ascii="宋体" w:hAnsi="宋体" w:cs="宋体"/>
          <w:color w:val="auto"/>
          <w:sz w:val="24"/>
          <w:highlight w:val="none"/>
        </w:rPr>
        <w:t xml:space="preserve">      </w:t>
      </w:r>
      <w:r>
        <w:rPr>
          <w:rFonts w:hint="eastAsia" w:ascii="宋体" w:hAnsi="宋体" w:cs="宋体"/>
          <w:color w:val="auto"/>
          <w:sz w:val="24"/>
          <w:highlight w:val="none"/>
        </w:rPr>
        <w:t>5</w:t>
      </w:r>
      <w:r>
        <w:rPr>
          <w:rFonts w:ascii="宋体" w:hAnsi="宋体" w:cs="宋体"/>
          <w:color w:val="auto"/>
          <w:sz w:val="24"/>
          <w:highlight w:val="none"/>
        </w:rPr>
        <w:t>.</w:t>
      </w:r>
      <w:r>
        <w:rPr>
          <w:rFonts w:hint="eastAsia" w:ascii="宋体" w:hAnsi="宋体" w:cs="宋体"/>
          <w:color w:val="auto"/>
          <w:sz w:val="24"/>
          <w:highlight w:val="none"/>
        </w:rPr>
        <w:t>工程量清单报价</w:t>
      </w:r>
    </w:p>
    <w:p>
      <w:pPr>
        <w:spacing w:line="500" w:lineRule="exact"/>
        <w:rPr>
          <w:rFonts w:ascii="宋体" w:hAnsi="宋体" w:cs="宋体"/>
          <w:color w:val="auto"/>
          <w:sz w:val="24"/>
          <w:highlight w:val="none"/>
        </w:rPr>
      </w:pPr>
      <w:r>
        <w:rPr>
          <w:rFonts w:ascii="宋体" w:hAnsi="宋体" w:cs="宋体"/>
          <w:color w:val="auto"/>
          <w:sz w:val="24"/>
          <w:highlight w:val="none"/>
        </w:rPr>
        <w:t xml:space="preserve">      </w:t>
      </w:r>
      <w:r>
        <w:rPr>
          <w:rFonts w:hint="eastAsia" w:ascii="宋体" w:hAnsi="宋体" w:cs="宋体"/>
          <w:color w:val="auto"/>
          <w:sz w:val="24"/>
          <w:highlight w:val="none"/>
        </w:rPr>
        <w:t>6</w:t>
      </w:r>
      <w:r>
        <w:rPr>
          <w:rFonts w:ascii="宋体" w:hAnsi="宋体" w:cs="宋体"/>
          <w:color w:val="auto"/>
          <w:sz w:val="24"/>
          <w:highlight w:val="none"/>
        </w:rPr>
        <w:t>.</w:t>
      </w:r>
      <w:r>
        <w:rPr>
          <w:rFonts w:hint="eastAsia" w:ascii="宋体" w:hAnsi="宋体" w:cs="宋体"/>
          <w:color w:val="auto"/>
          <w:sz w:val="24"/>
          <w:highlight w:val="none"/>
        </w:rPr>
        <w:t>项目投入人员架构表</w:t>
      </w:r>
      <w:r>
        <w:rPr>
          <w:rFonts w:hint="eastAsia" w:asciiTheme="minorEastAsia" w:hAnsiTheme="minorEastAsia" w:eastAsiaTheme="minorEastAsia" w:cstheme="minorEastAsia"/>
          <w:color w:val="auto"/>
          <w:sz w:val="24"/>
          <w:highlight w:val="none"/>
        </w:rPr>
        <w:t>/应急救援物资清单</w:t>
      </w:r>
    </w:p>
    <w:p>
      <w:pPr>
        <w:spacing w:line="500" w:lineRule="exact"/>
        <w:ind w:firstLine="720" w:firstLineChars="300"/>
        <w:rPr>
          <w:rFonts w:hint="eastAsia" w:ascii="宋体" w:hAnsi="宋体" w:cs="宋体"/>
          <w:color w:val="auto"/>
          <w:sz w:val="24"/>
          <w:szCs w:val="24"/>
          <w:highlight w:val="none"/>
        </w:rPr>
      </w:pPr>
      <w:r>
        <w:rPr>
          <w:rFonts w:hint="eastAsia" w:ascii="宋体" w:hAnsi="宋体" w:cs="宋体"/>
          <w:color w:val="auto"/>
          <w:sz w:val="24"/>
          <w:szCs w:val="24"/>
          <w:highlight w:val="none"/>
        </w:rPr>
        <w:t>7.不诚信行为的情形及相应被暂停参与投标活动的处理标准</w:t>
      </w:r>
    </w:p>
    <w:p>
      <w:pPr>
        <w:spacing w:line="500" w:lineRule="exact"/>
        <w:ind w:firstLine="720" w:firstLineChars="3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营运项目承包单位日常履约考评参照表（安全）</w:t>
      </w:r>
    </w:p>
    <w:p>
      <w:pPr>
        <w:spacing w:line="500" w:lineRule="exact"/>
        <w:ind w:firstLine="720" w:firstLineChars="3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营运项目承包单位综合履约考评表（安全）</w:t>
      </w:r>
    </w:p>
    <w:p>
      <w:pPr>
        <w:pStyle w:val="2"/>
        <w:ind w:left="960" w:hanging="960" w:hangingChars="4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      10.履约保函</w:t>
      </w:r>
    </w:p>
    <w:p>
      <w:pPr>
        <w:pStyle w:val="2"/>
        <w:ind w:left="960" w:hanging="960" w:hangingChars="400"/>
        <w:rPr>
          <w:rFonts w:hint="default" w:eastAsiaTheme="minorEastAsia"/>
          <w:color w:val="auto"/>
          <w:highlight w:val="none"/>
          <w:lang w:val="en-US" w:eastAsia="zh-CN"/>
        </w:rPr>
      </w:pPr>
      <w:r>
        <w:rPr>
          <w:rFonts w:hint="eastAsia" w:ascii="宋体" w:hAnsi="宋体" w:cs="宋体"/>
          <w:color w:val="auto"/>
          <w:sz w:val="24"/>
          <w:szCs w:val="24"/>
          <w:highlight w:val="none"/>
          <w:lang w:val="en-US" w:eastAsia="zh-CN"/>
        </w:rPr>
        <w:t xml:space="preserve">      11.预付款保函</w:t>
      </w:r>
      <w:r>
        <w:rPr>
          <w:rFonts w:hint="eastAsia" w:ascii="宋体" w:hAnsi="宋体" w:cs="宋体"/>
          <w:color w:val="auto"/>
          <w:sz w:val="24"/>
          <w:szCs w:val="24"/>
          <w:highlight w:val="none"/>
          <w:lang w:val="en-US" w:eastAsia="zh-CN"/>
        </w:rPr>
        <w:br w:type="textWrapping"/>
      </w:r>
    </w:p>
    <w:p>
      <w:pPr>
        <w:pStyle w:val="50"/>
        <w:spacing w:line="500" w:lineRule="exact"/>
        <w:rPr>
          <w:rFonts w:hint="default" w:eastAsia="仿宋_GB2312"/>
          <w:color w:val="auto"/>
          <w:highlight w:val="none"/>
          <w:lang w:val="en-US" w:eastAsia="zh-CN"/>
        </w:rPr>
      </w:pPr>
    </w:p>
    <w:p>
      <w:pPr>
        <w:spacing w:line="500" w:lineRule="exact"/>
        <w:rPr>
          <w:rFonts w:ascii="宋体" w:hAnsi="宋体" w:cs="宋体"/>
          <w:color w:val="auto"/>
          <w:sz w:val="24"/>
          <w:highlight w:val="none"/>
        </w:rPr>
      </w:pPr>
      <w:r>
        <w:rPr>
          <w:rFonts w:hint="eastAsia" w:ascii="宋体" w:hAnsi="宋体" w:cs="宋体"/>
          <w:color w:val="auto"/>
          <w:sz w:val="24"/>
          <w:highlight w:val="none"/>
        </w:rPr>
        <w:t>甲方：广州市净水有限公司（盖章）</w:t>
      </w:r>
      <w:r>
        <w:rPr>
          <w:rFonts w:ascii="宋体" w:hAnsi="宋体" w:cs="宋体"/>
          <w:color w:val="auto"/>
          <w:sz w:val="24"/>
          <w:highlight w:val="none"/>
        </w:rPr>
        <w:t xml:space="preserve"> </w:t>
      </w:r>
      <w:r>
        <w:rPr>
          <w:rFonts w:hint="eastAsia" w:ascii="宋体" w:hAnsi="宋体" w:cs="宋体"/>
          <w:color w:val="auto"/>
          <w:sz w:val="24"/>
          <w:highlight w:val="none"/>
        </w:rPr>
        <w:t xml:space="preserve">    乙方：</w:t>
      </w:r>
      <w:r>
        <w:rPr>
          <w:rFonts w:hint="eastAsia" w:ascii="宋体" w:hAnsi="宋体" w:cs="宋体"/>
          <w:color w:val="auto"/>
          <w:spacing w:val="-11"/>
          <w:sz w:val="24"/>
          <w:highlight w:val="none"/>
          <w:lang w:val="en-US" w:eastAsia="zh-CN"/>
        </w:rPr>
        <w:t xml:space="preserve">      </w:t>
      </w:r>
      <w:r>
        <w:rPr>
          <w:rFonts w:hint="eastAsia" w:ascii="宋体" w:hAnsi="宋体" w:cs="宋体"/>
          <w:color w:val="auto"/>
          <w:sz w:val="24"/>
          <w:highlight w:val="none"/>
        </w:rPr>
        <w:t xml:space="preserve"> （盖章）</w:t>
      </w:r>
    </w:p>
    <w:p>
      <w:pPr>
        <w:spacing w:line="500" w:lineRule="exact"/>
        <w:rPr>
          <w:rFonts w:ascii="宋体" w:hAnsi="宋体" w:cs="宋体"/>
          <w:color w:val="auto"/>
          <w:sz w:val="24"/>
          <w:highlight w:val="none"/>
        </w:rPr>
      </w:pPr>
      <w:r>
        <w:rPr>
          <w:rFonts w:hint="eastAsia" w:ascii="宋体" w:hAnsi="宋体" w:cs="宋体"/>
          <w:color w:val="auto"/>
          <w:sz w:val="24"/>
          <w:highlight w:val="none"/>
        </w:rPr>
        <w:t>法定代表人或</w:t>
      </w:r>
      <w:r>
        <w:rPr>
          <w:rFonts w:ascii="宋体" w:hAnsi="宋体" w:cs="宋体"/>
          <w:color w:val="auto"/>
          <w:sz w:val="24"/>
          <w:highlight w:val="none"/>
        </w:rPr>
        <w:t xml:space="preserve">                         </w:t>
      </w:r>
      <w:r>
        <w:rPr>
          <w:rFonts w:hint="eastAsia" w:ascii="宋体" w:hAnsi="宋体" w:cs="宋体"/>
          <w:color w:val="auto"/>
          <w:sz w:val="24"/>
          <w:highlight w:val="none"/>
        </w:rPr>
        <w:t>法定代表人或</w:t>
      </w:r>
    </w:p>
    <w:p>
      <w:pPr>
        <w:spacing w:line="500" w:lineRule="exact"/>
        <w:rPr>
          <w:rFonts w:ascii="宋体" w:hAnsi="宋体" w:cs="宋体"/>
          <w:color w:val="auto"/>
          <w:sz w:val="24"/>
          <w:highlight w:val="none"/>
        </w:rPr>
      </w:pPr>
      <w:r>
        <w:rPr>
          <w:rFonts w:hint="eastAsia" w:ascii="宋体" w:hAnsi="宋体" w:cs="宋体"/>
          <w:color w:val="auto"/>
          <w:sz w:val="24"/>
          <w:highlight w:val="none"/>
        </w:rPr>
        <w:t>授权代理人：</w:t>
      </w:r>
      <w:r>
        <w:rPr>
          <w:rFonts w:ascii="宋体" w:hAnsi="宋体" w:cs="宋体"/>
          <w:color w:val="auto"/>
          <w:sz w:val="24"/>
          <w:highlight w:val="none"/>
        </w:rPr>
        <w:t xml:space="preserve">                         </w:t>
      </w:r>
      <w:r>
        <w:rPr>
          <w:rFonts w:hint="eastAsia" w:ascii="宋体" w:hAnsi="宋体" w:cs="宋体"/>
          <w:color w:val="auto"/>
          <w:sz w:val="24"/>
          <w:highlight w:val="none"/>
        </w:rPr>
        <w:t>授权代理人：</w:t>
      </w:r>
    </w:p>
    <w:p>
      <w:pPr>
        <w:keepNext w:val="0"/>
        <w:keepLines w:val="0"/>
        <w:pageBreakBefore w:val="0"/>
        <w:kinsoku/>
        <w:wordWrap/>
        <w:overflowPunct/>
        <w:topLinePunct w:val="0"/>
        <w:bidi w:val="0"/>
        <w:spacing w:line="460" w:lineRule="exact"/>
        <w:ind w:left="5280" w:hanging="5280" w:hangingChars="2200"/>
        <w:textAlignment w:val="auto"/>
        <w:rPr>
          <w:rFonts w:hint="default" w:ascii="宋体" w:hAnsi="宋体" w:cs="宋体"/>
          <w:color w:val="auto"/>
          <w:sz w:val="24"/>
          <w:highlight w:val="none"/>
          <w:lang w:val="en-US"/>
        </w:rPr>
      </w:pPr>
      <w:r>
        <w:rPr>
          <w:rFonts w:hint="eastAsia" w:ascii="宋体" w:hAnsi="宋体" w:cs="宋体"/>
          <w:color w:val="auto"/>
          <w:sz w:val="24"/>
          <w:highlight w:val="none"/>
        </w:rPr>
        <w:t>地址：</w:t>
      </w:r>
      <w:r>
        <w:rPr>
          <w:rFonts w:hint="eastAsia" w:ascii="宋体" w:hAnsi="宋体" w:cs="宋体"/>
          <w:color w:val="auto"/>
          <w:sz w:val="24"/>
          <w:highlight w:val="none"/>
          <w:lang w:val="en-US" w:eastAsia="zh-CN"/>
        </w:rPr>
        <w:t>广州市天河区临江大道501号</w:t>
      </w:r>
      <w:r>
        <w:rPr>
          <w:rFonts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地址：</w:t>
      </w:r>
      <w:r>
        <w:rPr>
          <w:rFonts w:hint="eastAsia" w:ascii="宋体" w:hAnsi="宋体" w:cs="宋体"/>
          <w:color w:val="auto"/>
          <w:sz w:val="24"/>
          <w:highlight w:val="none"/>
          <w:lang w:val="en-US" w:eastAsia="zh-CN"/>
        </w:rPr>
        <w:t xml:space="preserve">         </w:t>
      </w:r>
    </w:p>
    <w:p>
      <w:pPr>
        <w:spacing w:line="500" w:lineRule="exact"/>
        <w:rPr>
          <w:rFonts w:ascii="宋体" w:hAnsi="宋体" w:cs="宋体"/>
          <w:color w:val="auto"/>
          <w:sz w:val="24"/>
          <w:highlight w:val="none"/>
        </w:rPr>
      </w:pPr>
      <w:r>
        <w:rPr>
          <w:rFonts w:hint="eastAsia" w:ascii="宋体" w:hAnsi="宋体" w:cs="宋体"/>
          <w:color w:val="auto"/>
          <w:sz w:val="24"/>
          <w:highlight w:val="none"/>
        </w:rPr>
        <w:t>经办人：</w:t>
      </w:r>
      <w:r>
        <w:rPr>
          <w:rFonts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经办人：</w:t>
      </w:r>
    </w:p>
    <w:p>
      <w:pPr>
        <w:spacing w:line="500" w:lineRule="exac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联系电话：</w:t>
      </w:r>
      <w:r>
        <w:rPr>
          <w:rFonts w:hint="eastAsia" w:ascii="宋体" w:hAnsi="宋体" w:cs="宋体"/>
          <w:color w:val="auto"/>
          <w:sz w:val="24"/>
          <w:highlight w:val="none"/>
          <w:lang w:val="en-US" w:eastAsia="zh-CN"/>
        </w:rPr>
        <w:t>020-38890587</w:t>
      </w:r>
      <w:r>
        <w:rPr>
          <w:rFonts w:ascii="宋体" w:hAnsi="宋体" w:cs="宋体"/>
          <w:color w:val="auto"/>
          <w:sz w:val="24"/>
          <w:highlight w:val="none"/>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lang w:val="en-US" w:eastAsia="zh-CN"/>
        </w:rPr>
        <w:t xml:space="preserve">     </w:t>
      </w:r>
    </w:p>
    <w:p>
      <w:pPr>
        <w:spacing w:line="500" w:lineRule="exact"/>
        <w:ind w:left="6360" w:hanging="6360" w:hangingChars="2650"/>
        <w:rPr>
          <w:rFonts w:ascii="宋体" w:hAnsi="宋体" w:cs="宋体"/>
          <w:color w:val="auto"/>
          <w:sz w:val="24"/>
          <w:highlight w:val="none"/>
        </w:rPr>
      </w:pPr>
      <w:r>
        <w:rPr>
          <w:rFonts w:hint="eastAsia" w:ascii="宋体" w:hAnsi="宋体" w:cs="宋体"/>
          <w:color w:val="auto"/>
          <w:sz w:val="24"/>
          <w:highlight w:val="none"/>
        </w:rPr>
        <w:t>传真：</w:t>
      </w:r>
      <w:r>
        <w:rPr>
          <w:rFonts w:ascii="宋体" w:hAnsi="宋体" w:cs="宋体"/>
          <w:color w:val="auto"/>
          <w:sz w:val="24"/>
          <w:highlight w:val="none"/>
        </w:rPr>
        <w:t xml:space="preserve">                               </w:t>
      </w:r>
      <w:r>
        <w:rPr>
          <w:rFonts w:hint="eastAsia" w:ascii="宋体" w:hAnsi="宋体" w:cs="宋体"/>
          <w:color w:val="auto"/>
          <w:sz w:val="24"/>
          <w:highlight w:val="none"/>
        </w:rPr>
        <w:t>传真：</w:t>
      </w:r>
    </w:p>
    <w:p>
      <w:pPr>
        <w:spacing w:line="500" w:lineRule="exact"/>
        <w:ind w:left="6360" w:right="0" w:rightChars="0" w:hanging="6360" w:hangingChars="2650"/>
        <w:rPr>
          <w:rFonts w:ascii="宋体" w:hAnsi="宋体" w:cs="宋体"/>
          <w:color w:val="auto"/>
          <w:sz w:val="24"/>
          <w:highlight w:val="none"/>
        </w:rPr>
      </w:pPr>
      <w:r>
        <w:rPr>
          <w:rFonts w:hint="eastAsia" w:ascii="宋体" w:hAnsi="宋体" w:cs="宋体"/>
          <w:color w:val="auto"/>
          <w:sz w:val="24"/>
          <w:highlight w:val="none"/>
        </w:rPr>
        <w:t>签署日期：</w:t>
      </w:r>
      <w:r>
        <w:rPr>
          <w:rFonts w:ascii="宋体" w:hAnsi="宋体" w:cs="宋体"/>
          <w:color w:val="auto"/>
          <w:sz w:val="24"/>
          <w:highlight w:val="none"/>
        </w:rPr>
        <w:t xml:space="preserve">    </w:t>
      </w:r>
      <w:r>
        <w:rPr>
          <w:rFonts w:hint="eastAsia" w:ascii="宋体" w:hAnsi="宋体" w:cs="宋体"/>
          <w:color w:val="auto"/>
          <w:sz w:val="24"/>
          <w:highlight w:val="none"/>
        </w:rPr>
        <w:t>年</w:t>
      </w:r>
      <w:r>
        <w:rPr>
          <w:rFonts w:ascii="宋体" w:hAnsi="宋体" w:cs="宋体"/>
          <w:color w:val="auto"/>
          <w:sz w:val="24"/>
          <w:highlight w:val="none"/>
        </w:rPr>
        <w:t xml:space="preserve">    </w:t>
      </w:r>
      <w:r>
        <w:rPr>
          <w:rFonts w:hint="eastAsia" w:ascii="宋体" w:hAnsi="宋体" w:cs="宋体"/>
          <w:color w:val="auto"/>
          <w:sz w:val="24"/>
          <w:highlight w:val="none"/>
        </w:rPr>
        <w:t>月</w:t>
      </w:r>
      <w:r>
        <w:rPr>
          <w:rFonts w:ascii="宋体" w:hAnsi="宋体" w:cs="宋体"/>
          <w:color w:val="auto"/>
          <w:sz w:val="24"/>
          <w:highlight w:val="none"/>
        </w:rPr>
        <w:t xml:space="preserve">    </w:t>
      </w:r>
      <w:r>
        <w:rPr>
          <w:rFonts w:hint="eastAsia" w:ascii="宋体" w:hAnsi="宋体" w:cs="宋体"/>
          <w:color w:val="auto"/>
          <w:sz w:val="24"/>
          <w:highlight w:val="none"/>
        </w:rPr>
        <w:t>日</w:t>
      </w:r>
      <w:r>
        <w:rPr>
          <w:rFonts w:ascii="宋体" w:hAnsi="宋体" w:cs="宋体"/>
          <w:color w:val="auto"/>
          <w:sz w:val="24"/>
          <w:highlight w:val="none"/>
        </w:rPr>
        <w:t xml:space="preserve">         </w:t>
      </w:r>
      <w:r>
        <w:rPr>
          <w:rFonts w:hint="eastAsia" w:ascii="宋体" w:hAnsi="宋体" w:cs="宋体"/>
          <w:color w:val="auto"/>
          <w:sz w:val="24"/>
          <w:highlight w:val="none"/>
        </w:rPr>
        <w:t>签署日期：</w:t>
      </w:r>
      <w:r>
        <w:rPr>
          <w:rFonts w:ascii="宋体" w:hAnsi="宋体" w:cs="宋体"/>
          <w:color w:val="auto"/>
          <w:sz w:val="24"/>
          <w:highlight w:val="none"/>
        </w:rPr>
        <w:t xml:space="preserve">    </w:t>
      </w:r>
      <w:r>
        <w:rPr>
          <w:rFonts w:hint="eastAsia" w:ascii="宋体" w:hAnsi="宋体" w:cs="宋体"/>
          <w:color w:val="auto"/>
          <w:sz w:val="24"/>
          <w:highlight w:val="none"/>
        </w:rPr>
        <w:t>年</w:t>
      </w:r>
      <w:r>
        <w:rPr>
          <w:rFonts w:ascii="宋体" w:hAnsi="宋体" w:cs="宋体"/>
          <w:color w:val="auto"/>
          <w:sz w:val="24"/>
          <w:highlight w:val="none"/>
        </w:rPr>
        <w:t xml:space="preserve">    </w:t>
      </w:r>
      <w:r>
        <w:rPr>
          <w:rFonts w:hint="eastAsia" w:ascii="宋体" w:hAnsi="宋体" w:cs="宋体"/>
          <w:color w:val="auto"/>
          <w:sz w:val="24"/>
          <w:highlight w:val="none"/>
        </w:rPr>
        <w:t>月</w:t>
      </w:r>
      <w:r>
        <w:rPr>
          <w:rFonts w:ascii="宋体" w:hAnsi="宋体" w:cs="宋体"/>
          <w:color w:val="auto"/>
          <w:sz w:val="24"/>
          <w:highlight w:val="none"/>
        </w:rPr>
        <w:t xml:space="preserve">    </w:t>
      </w:r>
      <w:r>
        <w:rPr>
          <w:rFonts w:hint="eastAsia" w:ascii="宋体" w:hAnsi="宋体" w:cs="宋体"/>
          <w:color w:val="auto"/>
          <w:sz w:val="24"/>
          <w:highlight w:val="none"/>
        </w:rPr>
        <w:t>日</w:t>
      </w:r>
      <w:r>
        <w:rPr>
          <w:rFonts w:ascii="宋体" w:hAnsi="宋体" w:cs="宋体"/>
          <w:color w:val="auto"/>
          <w:sz w:val="24"/>
          <w:highlight w:val="none"/>
        </w:rPr>
        <w:t xml:space="preserve">  </w:t>
      </w:r>
    </w:p>
    <w:p>
      <w:pP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附件1  成交通知书</w:t>
      </w:r>
    </w:p>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附件2：廉洁协议</w:t>
      </w: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(以下称乙方)，特此订立本协议共同遵照执行。</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5"/>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u w:val="single"/>
          <w:lang w:eastAsia="zh-CN"/>
        </w:rPr>
        <w:t>，</w:t>
      </w:r>
      <w:r>
        <w:rPr>
          <w:rFonts w:hint="eastAsia" w:ascii="仿宋_GB2312" w:hAnsi="仿宋_GB2312" w:eastAsia="仿宋_GB2312" w:cs="仿宋_GB2312"/>
          <w:b w:val="0"/>
          <w:bCs/>
          <w:color w:val="auto"/>
          <w:sz w:val="28"/>
          <w:szCs w:val="28"/>
          <w:highlight w:val="none"/>
          <w:u w:val="single"/>
          <w:lang w:val="en-US" w:eastAsia="zh-CN"/>
        </w:rPr>
        <w:t>穗净水合【    】号</w:t>
      </w:r>
      <w:r>
        <w:rPr>
          <w:rFonts w:hint="eastAsia" w:ascii="宋体" w:hAnsi="宋体"/>
          <w:color w:val="auto"/>
          <w:sz w:val="24"/>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lang w:val="en-US" w:eastAsia="zh-CN"/>
        </w:rPr>
        <w:t>柒</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lang w:val="en-US" w:eastAsia="zh-CN"/>
        </w:rPr>
        <w:t>陆</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lang w:val="en-US" w:eastAsia="zh-CN"/>
        </w:rPr>
        <w:t>壹</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keepNext w:val="0"/>
        <w:keepLines w:val="0"/>
        <w:pageBreakBefore w:val="0"/>
        <w:tabs>
          <w:tab w:val="left" w:pos="5100"/>
        </w:tabs>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tabs>
          <w:tab w:val="left" w:pos="4170"/>
        </w:tabs>
        <w:spacing w:line="360" w:lineRule="auto"/>
        <w:rPr>
          <w:rFonts w:ascii="宋体" w:hAnsi="宋体"/>
          <w:color w:val="auto"/>
          <w:sz w:val="24"/>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日期：  年  月  日</w:t>
      </w:r>
    </w:p>
    <w:p>
      <w:pPr>
        <w:tabs>
          <w:tab w:val="left" w:pos="4170"/>
        </w:tabs>
        <w:spacing w:line="360" w:lineRule="auto"/>
        <w:rPr>
          <w:rFonts w:hint="eastAsia" w:ascii="宋体" w:hAnsi="宋体" w:cs="宋体"/>
          <w:b/>
          <w:color w:val="auto"/>
          <w:szCs w:val="21"/>
          <w:highlight w:val="none"/>
        </w:rPr>
      </w:pPr>
    </w:p>
    <w:p>
      <w:pPr>
        <w:tabs>
          <w:tab w:val="left" w:pos="4170"/>
        </w:tabs>
        <w:spacing w:line="360" w:lineRule="auto"/>
        <w:rPr>
          <w:rFonts w:hint="eastAsia" w:ascii="宋体" w:hAnsi="宋体" w:cs="宋体"/>
          <w:b/>
          <w:color w:val="auto"/>
          <w:szCs w:val="21"/>
          <w:highlight w:val="none"/>
        </w:rPr>
      </w:pPr>
    </w:p>
    <w:p>
      <w:pPr>
        <w:tabs>
          <w:tab w:val="left" w:pos="4170"/>
        </w:tabs>
        <w:spacing w:line="360" w:lineRule="auto"/>
        <w:rPr>
          <w:rFonts w:hint="eastAsia" w:ascii="宋体" w:hAnsi="宋体" w:cs="宋体"/>
          <w:b/>
          <w:color w:val="auto"/>
          <w:szCs w:val="21"/>
          <w:highlight w:val="none"/>
        </w:rPr>
      </w:pPr>
    </w:p>
    <w:p>
      <w:pPr>
        <w:tabs>
          <w:tab w:val="left" w:pos="4170"/>
        </w:tabs>
        <w:spacing w:line="360" w:lineRule="auto"/>
        <w:rPr>
          <w:rFonts w:hint="eastAsia" w:ascii="宋体" w:hAnsi="宋体" w:cs="宋体"/>
          <w:b/>
          <w:color w:val="auto"/>
          <w:szCs w:val="21"/>
          <w:highlight w:val="none"/>
        </w:rPr>
      </w:pPr>
    </w:p>
    <w:p>
      <w:pPr>
        <w:tabs>
          <w:tab w:val="left" w:pos="4170"/>
        </w:tabs>
        <w:spacing w:line="360" w:lineRule="auto"/>
        <w:rPr>
          <w:rFonts w:hint="eastAsia" w:ascii="宋体" w:hAnsi="宋体" w:cs="宋体"/>
          <w:b/>
          <w:color w:val="auto"/>
          <w:szCs w:val="21"/>
          <w:highlight w:val="none"/>
        </w:rPr>
      </w:pPr>
    </w:p>
    <w:p>
      <w:pPr>
        <w:tabs>
          <w:tab w:val="left" w:pos="4170"/>
        </w:tabs>
        <w:spacing w:line="360" w:lineRule="auto"/>
        <w:rPr>
          <w:rFonts w:hint="eastAsia" w:ascii="宋体" w:hAnsi="宋体" w:cs="宋体"/>
          <w:b/>
          <w:color w:val="auto"/>
          <w:szCs w:val="21"/>
          <w:highlight w:val="none"/>
        </w:rPr>
      </w:pPr>
    </w:p>
    <w:p>
      <w:pPr>
        <w:tabs>
          <w:tab w:val="left" w:pos="4170"/>
        </w:tabs>
        <w:spacing w:line="360" w:lineRule="auto"/>
        <w:rPr>
          <w:rFonts w:hint="eastAsia" w:ascii="宋体" w:hAnsi="宋体" w:cs="宋体"/>
          <w:b/>
          <w:color w:val="auto"/>
          <w:szCs w:val="21"/>
          <w:highlight w:val="none"/>
        </w:rPr>
      </w:pPr>
    </w:p>
    <w:p>
      <w:pPr>
        <w:tabs>
          <w:tab w:val="left" w:pos="4170"/>
        </w:tabs>
        <w:spacing w:line="360" w:lineRule="auto"/>
        <w:rPr>
          <w:rFonts w:hint="eastAsia" w:ascii="宋体" w:hAnsi="宋体" w:cs="宋体"/>
          <w:b/>
          <w:color w:val="auto"/>
          <w:szCs w:val="21"/>
          <w:highlight w:val="none"/>
        </w:rPr>
      </w:pPr>
    </w:p>
    <w:p>
      <w:pPr>
        <w:tabs>
          <w:tab w:val="left" w:pos="4170"/>
        </w:tabs>
        <w:spacing w:line="360" w:lineRule="auto"/>
        <w:rPr>
          <w:rFonts w:hint="eastAsia" w:ascii="宋体" w:hAnsi="宋体" w:cs="宋体"/>
          <w:b/>
          <w:color w:val="auto"/>
          <w:szCs w:val="21"/>
          <w:highlight w:val="none"/>
        </w:rPr>
      </w:pPr>
    </w:p>
    <w:p>
      <w:pPr>
        <w:tabs>
          <w:tab w:val="left" w:pos="4170"/>
        </w:tabs>
        <w:spacing w:line="360" w:lineRule="auto"/>
        <w:rPr>
          <w:rFonts w:hint="eastAsia" w:ascii="宋体" w:hAnsi="宋体" w:cs="宋体"/>
          <w:b/>
          <w:color w:val="auto"/>
          <w:szCs w:val="21"/>
          <w:highlight w:val="none"/>
        </w:rPr>
      </w:pPr>
    </w:p>
    <w:p>
      <w:pPr>
        <w:tabs>
          <w:tab w:val="left" w:pos="4170"/>
        </w:tabs>
        <w:spacing w:line="360" w:lineRule="auto"/>
        <w:rPr>
          <w:rFonts w:hint="eastAsia" w:ascii="宋体" w:hAnsi="宋体" w:cs="宋体"/>
          <w:b/>
          <w:color w:val="auto"/>
          <w:szCs w:val="21"/>
          <w:highlight w:val="none"/>
        </w:rPr>
      </w:pPr>
    </w:p>
    <w:p>
      <w:pPr>
        <w:tabs>
          <w:tab w:val="left" w:pos="4170"/>
        </w:tabs>
        <w:spacing w:line="360" w:lineRule="auto"/>
        <w:rPr>
          <w:rFonts w:hint="eastAsia" w:ascii="宋体" w:hAnsi="宋体" w:cs="宋体"/>
          <w:b/>
          <w:color w:val="auto"/>
          <w:szCs w:val="21"/>
          <w:highlight w:val="none"/>
        </w:rPr>
      </w:pPr>
    </w:p>
    <w:p>
      <w:pPr>
        <w:tabs>
          <w:tab w:val="left" w:pos="4170"/>
        </w:tabs>
        <w:spacing w:line="360" w:lineRule="auto"/>
        <w:rPr>
          <w:rFonts w:hint="eastAsia" w:ascii="宋体" w:hAnsi="宋体" w:cs="宋体"/>
          <w:b/>
          <w:color w:val="auto"/>
          <w:szCs w:val="21"/>
          <w:highlight w:val="none"/>
        </w:rPr>
      </w:pPr>
    </w:p>
    <w:p>
      <w:pPr>
        <w:tabs>
          <w:tab w:val="left" w:pos="4170"/>
        </w:tabs>
        <w:spacing w:line="360" w:lineRule="auto"/>
        <w:rPr>
          <w:rFonts w:hint="eastAsia" w:ascii="宋体" w:hAnsi="宋体" w:cs="宋体"/>
          <w:b/>
          <w:color w:val="auto"/>
          <w:szCs w:val="21"/>
          <w:highlight w:val="none"/>
        </w:rPr>
      </w:pPr>
    </w:p>
    <w:p>
      <w:pPr>
        <w:tabs>
          <w:tab w:val="left" w:pos="4170"/>
        </w:tabs>
        <w:spacing w:line="360" w:lineRule="auto"/>
        <w:rPr>
          <w:rFonts w:hint="eastAsia" w:ascii="宋体" w:hAnsi="宋体" w:cs="宋体"/>
          <w:b/>
          <w:color w:val="auto"/>
          <w:szCs w:val="21"/>
          <w:highlight w:val="none"/>
        </w:rPr>
      </w:pPr>
    </w:p>
    <w:p>
      <w:pPr>
        <w:tabs>
          <w:tab w:val="left" w:pos="4170"/>
        </w:tabs>
        <w:spacing w:line="360" w:lineRule="auto"/>
        <w:rPr>
          <w:rFonts w:ascii="宋体" w:hAnsi="宋体" w:cs="宋体"/>
          <w:b/>
          <w:color w:val="auto"/>
          <w:szCs w:val="21"/>
          <w:highlight w:val="none"/>
        </w:rPr>
      </w:pPr>
      <w:r>
        <w:rPr>
          <w:rFonts w:hint="eastAsia" w:ascii="宋体" w:hAnsi="宋体" w:cs="宋体"/>
          <w:b/>
          <w:color w:val="auto"/>
          <w:szCs w:val="21"/>
          <w:highlight w:val="none"/>
        </w:rPr>
        <w:t>附件3：营运场所施工安全协议书</w:t>
      </w:r>
    </w:p>
    <w:p>
      <w:pPr>
        <w:spacing w:line="360" w:lineRule="auto"/>
        <w:jc w:val="center"/>
        <w:rPr>
          <w:rFonts w:ascii="宋体" w:hAnsi="宋体" w:cs="宋体"/>
          <w:b/>
          <w:bCs/>
          <w:color w:val="auto"/>
          <w:sz w:val="24"/>
          <w:highlight w:val="none"/>
        </w:rPr>
      </w:pPr>
    </w:p>
    <w:p>
      <w:pPr>
        <w:spacing w:line="560" w:lineRule="exact"/>
        <w:jc w:val="center"/>
        <w:rPr>
          <w:rFonts w:ascii="黑体" w:hAnsi="Batang" w:eastAsia="黑体" w:cs="Batang"/>
          <w:bCs/>
          <w:color w:val="auto"/>
          <w:kern w:val="0"/>
          <w:sz w:val="44"/>
          <w:szCs w:val="44"/>
          <w:highlight w:val="none"/>
        </w:rPr>
      </w:pPr>
      <w:r>
        <w:rPr>
          <w:rFonts w:hint="eastAsia" w:ascii="黑体" w:hAnsi="Batang" w:eastAsia="黑体" w:cs="Batang"/>
          <w:bCs/>
          <w:color w:val="auto"/>
          <w:kern w:val="0"/>
          <w:sz w:val="44"/>
          <w:szCs w:val="44"/>
          <w:highlight w:val="none"/>
        </w:rPr>
        <w:t>营运场所施工安全协议书</w:t>
      </w:r>
    </w:p>
    <w:p>
      <w:pPr>
        <w:spacing w:line="560" w:lineRule="exact"/>
        <w:rPr>
          <w:rFonts w:ascii="仿宋_GB2312" w:hAnsi="宋体" w:eastAsia="仿宋_GB2312"/>
          <w:color w:val="auto"/>
          <w:sz w:val="24"/>
          <w:highlight w:val="none"/>
        </w:rPr>
      </w:pPr>
    </w:p>
    <w:p>
      <w:pPr>
        <w:spacing w:line="560" w:lineRule="exact"/>
        <w:rPr>
          <w:rFonts w:ascii="宋体" w:hAnsi="宋体" w:cs="Arial"/>
          <w:color w:val="auto"/>
          <w:kern w:val="0"/>
          <w:sz w:val="24"/>
          <w:highlight w:val="none"/>
        </w:rPr>
      </w:pPr>
      <w:r>
        <w:rPr>
          <w:rFonts w:hint="eastAsia" w:ascii="宋体" w:hAnsi="宋体" w:cs="Arial"/>
          <w:color w:val="auto"/>
          <w:kern w:val="0"/>
          <w:sz w:val="24"/>
          <w:highlight w:val="none"/>
        </w:rPr>
        <w:t>甲方：</w:t>
      </w:r>
      <w:r>
        <w:rPr>
          <w:rFonts w:hint="eastAsia"/>
          <w:color w:val="auto"/>
          <w:sz w:val="24"/>
          <w:highlight w:val="none"/>
        </w:rPr>
        <w:t>广州市净水有限公司</w:t>
      </w:r>
    </w:p>
    <w:p>
      <w:pPr>
        <w:spacing w:line="560" w:lineRule="exact"/>
        <w:rPr>
          <w:rFonts w:ascii="宋体" w:hAnsi="宋体" w:cs="Arial"/>
          <w:color w:val="auto"/>
          <w:kern w:val="0"/>
          <w:sz w:val="24"/>
          <w:highlight w:val="none"/>
        </w:rPr>
      </w:pPr>
      <w:r>
        <w:rPr>
          <w:rFonts w:hint="eastAsia" w:ascii="宋体" w:hAnsi="宋体" w:cs="Arial"/>
          <w:color w:val="auto"/>
          <w:kern w:val="0"/>
          <w:sz w:val="24"/>
          <w:highlight w:val="none"/>
        </w:rPr>
        <w:t xml:space="preserve">乙方： </w:t>
      </w:r>
    </w:p>
    <w:p>
      <w:pPr>
        <w:spacing w:line="560" w:lineRule="exact"/>
        <w:jc w:val="left"/>
        <w:rPr>
          <w:rStyle w:val="27"/>
          <w:rFonts w:asciiTheme="minorEastAsia" w:hAnsiTheme="minorEastAsia" w:eastAsiaTheme="minorEastAsia"/>
          <w:b w:val="0"/>
          <w:color w:val="auto"/>
          <w:highlight w:val="none"/>
          <w:u w:val="single"/>
        </w:rPr>
      </w:pP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中华人民共和国安全生产法》《中华人民共和国建筑法》《建设工程安全生产管理条例》《生产安全事故报告和调查处理条例》《中华人民共和国职业病防治法》《工作场所职业卫生监督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一、本协议与主合同的关系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本协议作为</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rPr>
        <w:t>的组成部分，与主合同具有同等法律效力。</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 xml:space="preserve"> 二、</w:t>
      </w:r>
      <w:r>
        <w:rPr>
          <w:rFonts w:hint="eastAsia" w:asciiTheme="minorEastAsia" w:hAnsiTheme="minorEastAsia" w:eastAsiaTheme="minorEastAsia"/>
          <w:b/>
          <w:color w:val="auto"/>
          <w:sz w:val="24"/>
          <w:highlight w:val="none"/>
        </w:rPr>
        <w:t>甲方权责</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（二）落实生产营运等相关配合措施，提供必要的施工条件。</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（三）要求乙方遵守的甲方安全管理要求。</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（四）有权对乙方安全措施投入、现场安全施工情况等进行安全监督检查，并提出整改。</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（五）按照《广州市净水有限公司工程项目安全管理规范》等办法对乙方进行施工安全管理评价。</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按主合同相关条款进行经济扣罚；</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根据《广州市水务局关于印发广州市水务工程施工和监理企业诚信评价管理办法的通知》（穗水建设〔2</w:t>
      </w:r>
      <w:r>
        <w:rPr>
          <w:rFonts w:asciiTheme="minorEastAsia" w:hAnsiTheme="minorEastAsia" w:eastAsiaTheme="minorEastAsia"/>
          <w:color w:val="auto"/>
          <w:sz w:val="24"/>
          <w:highlight w:val="none"/>
        </w:rPr>
        <w:t>014</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0</w:t>
      </w:r>
      <w:r>
        <w:rPr>
          <w:rFonts w:hint="eastAsia" w:asciiTheme="minorEastAsia" w:hAnsiTheme="minorEastAsia" w:eastAsiaTheme="minorEastAsia"/>
          <w:color w:val="auto"/>
          <w:sz w:val="24"/>
          <w:highlight w:val="none"/>
        </w:rPr>
        <w:t>号）、《市净水公司关于印发施工和监理企业诚信评价工作实施办法的通知》（穗净水〔201</w:t>
      </w:r>
      <w:r>
        <w:rPr>
          <w:rFonts w:asciiTheme="minorEastAsia" w:hAnsiTheme="minorEastAsia" w:eastAsiaTheme="minorEastAsia"/>
          <w:color w:val="auto"/>
          <w:sz w:val="24"/>
          <w:highlight w:val="none"/>
        </w:rPr>
        <w:t>5</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40</w:t>
      </w:r>
      <w:r>
        <w:rPr>
          <w:rFonts w:hint="eastAsia" w:asciiTheme="minorEastAsia" w:hAnsiTheme="minorEastAsia" w:eastAsiaTheme="minorEastAsia"/>
          <w:color w:val="auto"/>
          <w:sz w:val="24"/>
          <w:highlight w:val="none"/>
        </w:rPr>
        <w:t>号），进行诚信扣分（合同期内有新的文件印发的，按照最新的文件执行）；</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限制投保，或经其他单位承包后以分别方参与项目实施；</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rPr>
        <w:t>向上级进行反映，包括但不限于广东省市政行业协会、广州市市政公路协会等。</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三、乙方权责</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（二）严格执行国家、地方和行业主管部门关于施工的强制性标准、地方行政法规、管理要求。</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依法为施工现场作业的人员办理意外伤害保险、购买安全生产责任保险。</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（三）乙方应在合同签订后</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15</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（八）严格履行本协议，遵守甲方各项管理规定，服从管理。</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（十）乙方委托的第三方运输单位或个人，违反本协议的，全部责任均由乙方承担。</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四、事故责任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40"/>
        <w:spacing w:line="560" w:lineRule="exact"/>
        <w:ind w:firstLine="482" w:firstLineChars="200"/>
        <w:rPr>
          <w:rFonts w:asciiTheme="minorEastAsia" w:hAnsiTheme="minorEastAsia" w:eastAsiaTheme="minorEastAsia"/>
          <w:color w:val="auto"/>
          <w:sz w:val="24"/>
          <w:highlight w:val="none"/>
        </w:rPr>
      </w:pPr>
      <w:r>
        <w:rPr>
          <w:rFonts w:hint="eastAsia" w:asciiTheme="minorEastAsia" w:hAnsiTheme="minorEastAsia" w:eastAsiaTheme="minorEastAsia"/>
          <w:b/>
          <w:color w:val="auto"/>
          <w:sz w:val="24"/>
          <w:highlight w:val="none"/>
        </w:rPr>
        <w:t>五、补充条款：</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无</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六、附则</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hAnsiTheme="minorEastAsia"/>
          <w:color w:val="auto"/>
          <w:sz w:val="24"/>
          <w:highlight w:val="none"/>
        </w:rPr>
      </w:pP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473" w:type="dxa"/>
          </w:tcPr>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甲方：</w:t>
            </w:r>
          </w:p>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签约代表：</w:t>
            </w:r>
          </w:p>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联系电话：</w:t>
            </w:r>
          </w:p>
          <w:p>
            <w:pPr>
              <w:adjustRightInd w:val="0"/>
              <w:snapToGrid w:val="0"/>
              <w:spacing w:line="560" w:lineRule="exact"/>
              <w:ind w:firstLine="240" w:firstLineChars="100"/>
              <w:jc w:val="righ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年</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月</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日</w:t>
            </w:r>
          </w:p>
        </w:tc>
        <w:tc>
          <w:tcPr>
            <w:tcW w:w="4474" w:type="dxa"/>
          </w:tcPr>
          <w:p>
            <w:pPr>
              <w:adjustRightInd w:val="0"/>
              <w:snapToGrid w:val="0"/>
              <w:spacing w:line="560" w:lineRule="exact"/>
              <w:rPr>
                <w:rFonts w:ascii="宋体" w:hAnsi="宋体" w:eastAsia="宋体"/>
                <w:color w:val="auto"/>
                <w:sz w:val="24"/>
                <w:highlight w:val="none"/>
              </w:rPr>
            </w:pPr>
            <w:r>
              <w:rPr>
                <w:rFonts w:hint="eastAsia" w:ascii="宋体" w:hAnsi="宋体" w:eastAsia="宋体"/>
                <w:color w:val="auto"/>
                <w:sz w:val="24"/>
                <w:highlight w:val="none"/>
              </w:rPr>
              <w:t>乙方：</w:t>
            </w:r>
          </w:p>
          <w:p>
            <w:pPr>
              <w:adjustRightInd w:val="0"/>
              <w:snapToGrid w:val="0"/>
              <w:spacing w:line="560" w:lineRule="exact"/>
              <w:rPr>
                <w:rFonts w:ascii="宋体" w:hAnsi="宋体" w:eastAsia="宋体"/>
                <w:color w:val="auto"/>
                <w:sz w:val="24"/>
                <w:highlight w:val="none"/>
              </w:rPr>
            </w:pPr>
            <w:r>
              <w:rPr>
                <w:rFonts w:hint="eastAsia" w:ascii="宋体" w:hAnsi="宋体" w:eastAsia="宋体"/>
                <w:color w:val="auto"/>
                <w:sz w:val="24"/>
                <w:highlight w:val="none"/>
              </w:rPr>
              <w:t>签约代表：</w:t>
            </w:r>
          </w:p>
          <w:p>
            <w:pPr>
              <w:adjustRightInd w:val="0"/>
              <w:snapToGrid w:val="0"/>
              <w:spacing w:line="560" w:lineRule="exact"/>
              <w:rPr>
                <w:rFonts w:ascii="宋体" w:hAnsi="宋体" w:eastAsia="宋体"/>
                <w:color w:val="auto"/>
                <w:sz w:val="24"/>
                <w:highlight w:val="none"/>
              </w:rPr>
            </w:pPr>
            <w:r>
              <w:rPr>
                <w:rFonts w:hint="eastAsia" w:ascii="宋体" w:hAnsi="宋体" w:eastAsia="宋体"/>
                <w:color w:val="auto"/>
                <w:sz w:val="24"/>
                <w:highlight w:val="none"/>
              </w:rPr>
              <w:t>联系电话：</w:t>
            </w:r>
          </w:p>
          <w:p>
            <w:pPr>
              <w:adjustRightInd w:val="0"/>
              <w:snapToGrid w:val="0"/>
              <w:spacing w:line="560" w:lineRule="exact"/>
              <w:ind w:firstLine="1440" w:firstLineChars="600"/>
              <w:jc w:val="both"/>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年</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月</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日</w:t>
            </w:r>
          </w:p>
        </w:tc>
      </w:tr>
    </w:tbl>
    <w:p>
      <w:pPr>
        <w:spacing w:line="360" w:lineRule="auto"/>
        <w:rPr>
          <w:rFonts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ascii="宋体" w:hAnsi="宋体" w:cs="宋体"/>
          <w:b/>
          <w:color w:val="auto"/>
          <w:szCs w:val="21"/>
          <w:highlight w:val="none"/>
        </w:rPr>
      </w:pPr>
      <w:r>
        <w:rPr>
          <w:rFonts w:hint="eastAsia" w:ascii="宋体" w:hAnsi="宋体" w:cs="宋体"/>
          <w:b/>
          <w:color w:val="auto"/>
          <w:szCs w:val="21"/>
          <w:highlight w:val="none"/>
        </w:rPr>
        <w:t>附件4：防疫管理协议书</w:t>
      </w:r>
    </w:p>
    <w:p>
      <w:pPr>
        <w:spacing w:line="440" w:lineRule="exact"/>
        <w:jc w:val="center"/>
        <w:rPr>
          <w:rFonts w:ascii="仿宋_GB2312" w:eastAsia="仿宋_GB2312"/>
          <w:b/>
          <w:bCs/>
          <w:color w:val="auto"/>
          <w:sz w:val="28"/>
          <w:szCs w:val="28"/>
          <w:highlight w:val="none"/>
        </w:rPr>
      </w:pPr>
      <w:r>
        <w:rPr>
          <w:rFonts w:hint="eastAsia" w:asciiTheme="minorEastAsia" w:hAnsiTheme="minorEastAsia" w:eastAsiaTheme="minorEastAsia" w:cstheme="minorEastAsia"/>
          <w:b/>
          <w:bCs/>
          <w:color w:val="auto"/>
          <w:sz w:val="28"/>
          <w:szCs w:val="28"/>
          <w:highlight w:val="none"/>
          <w:lang w:val="en-US" w:eastAsia="zh-CN"/>
        </w:rPr>
        <w:t>防疫</w:t>
      </w:r>
      <w:r>
        <w:rPr>
          <w:rFonts w:hint="eastAsia" w:asciiTheme="minorEastAsia" w:hAnsiTheme="minorEastAsia" w:eastAsiaTheme="minorEastAsia" w:cstheme="minorEastAsia"/>
          <w:b/>
          <w:bCs/>
          <w:color w:val="auto"/>
          <w:sz w:val="28"/>
          <w:szCs w:val="28"/>
          <w:highlight w:val="none"/>
        </w:rPr>
        <w:t>管理协议书</w:t>
      </w:r>
    </w:p>
    <w:p>
      <w:pPr>
        <w:spacing w:line="440" w:lineRule="exact"/>
        <w:rPr>
          <w:rFonts w:ascii="仿宋_GB2312" w:hAnsi="宋体" w:eastAsia="仿宋_GB2312"/>
          <w:color w:val="auto"/>
          <w:sz w:val="24"/>
          <w:highlight w:val="none"/>
        </w:rPr>
      </w:pPr>
    </w:p>
    <w:p>
      <w:pPr>
        <w:adjustRightInd w:val="0"/>
        <w:snapToGrid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甲方</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rPr>
        <w:t>广州市净水有限公司</w:t>
      </w:r>
    </w:p>
    <w:p>
      <w:pPr>
        <w:adjustRightInd w:val="0"/>
        <w:snapToGrid w:val="0"/>
        <w:spacing w:line="440" w:lineRule="exact"/>
        <w:ind w:firstLine="480" w:firstLineChars="200"/>
        <w:jc w:val="left"/>
        <w:rPr>
          <w:rStyle w:val="27"/>
          <w:rFonts w:hint="eastAsia" w:asciiTheme="minorEastAsia" w:hAnsiTheme="minorEastAsia" w:eastAsiaTheme="minorEastAsia" w:cstheme="minorEastAsia"/>
          <w:b w:val="0"/>
          <w:color w:val="auto"/>
          <w:sz w:val="24"/>
          <w:szCs w:val="24"/>
          <w:highlight w:val="none"/>
          <w:u w:val="single"/>
        </w:rPr>
      </w:pPr>
      <w:r>
        <w:rPr>
          <w:rFonts w:hint="eastAsia" w:asciiTheme="minorEastAsia" w:hAnsiTheme="minorEastAsia" w:eastAsiaTheme="minorEastAsia" w:cstheme="minorEastAsia"/>
          <w:color w:val="auto"/>
          <w:sz w:val="24"/>
          <w:szCs w:val="24"/>
          <w:highlight w:val="none"/>
          <w:lang w:val="en-US" w:eastAsia="zh-CN"/>
        </w:rPr>
        <w:t>乙方</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Style w:val="27"/>
          <w:rFonts w:hint="eastAsia" w:asciiTheme="minorEastAsia" w:hAnsiTheme="minorEastAsia" w:eastAsiaTheme="minorEastAsia" w:cstheme="minorEastAsia"/>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numPr>
          <w:ilvl w:val="0"/>
          <w:numId w:val="0"/>
        </w:numPr>
        <w:adjustRightInd w:val="0"/>
        <w:snapToGrid w:val="0"/>
        <w:spacing w:line="44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一、</w:t>
      </w:r>
      <w:r>
        <w:rPr>
          <w:rFonts w:hint="eastAsia" w:asciiTheme="minorEastAsia" w:hAnsiTheme="minorEastAsia" w:eastAsiaTheme="minorEastAsia" w:cstheme="minorEastAsia"/>
          <w:color w:val="auto"/>
          <w:sz w:val="24"/>
          <w:szCs w:val="24"/>
          <w:highlight w:val="none"/>
        </w:rPr>
        <w:t>本协议与主协议的关系</w:t>
      </w:r>
    </w:p>
    <w:p>
      <w:pPr>
        <w:adjustRightInd w:val="0"/>
        <w:snapToGrid w:val="0"/>
        <w:spacing w:line="440" w:lineRule="exact"/>
        <w:ind w:left="105"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本协议作为</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lang w:val="en-US" w:eastAsia="zh-CN"/>
        </w:rPr>
        <w:t xml:space="preserve">               </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的组成部分，与主合同具有同等法律</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二、甲方的义务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48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（一）</w:t>
      </w:r>
      <w:r>
        <w:rPr>
          <w:rFonts w:hint="eastAsia" w:asciiTheme="minorEastAsia" w:hAnsiTheme="minorEastAsia" w:eastAsiaTheme="minorEastAsia" w:cstheme="minorEastAsia"/>
          <w:color w:val="auto"/>
          <w:sz w:val="24"/>
          <w:szCs w:val="24"/>
          <w:highlight w:val="none"/>
          <w:lang w:val="en-US" w:eastAsia="zh-CN"/>
        </w:rPr>
        <w:t>与建设主管部门和属地疫情防控指挥部门形成联防联控机制，建立快速有效的处置工作流程。</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（二）对乙方防控工作的落实情况进行监督。</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三、乙方的义务</w:t>
      </w:r>
    </w:p>
    <w:p>
      <w:pPr>
        <w:pStyle w:val="7"/>
        <w:keepNext w:val="0"/>
        <w:keepLines w:val="0"/>
        <w:pageBreakBefore w:val="0"/>
        <w:widowControl w:val="0"/>
        <w:kinsoku/>
        <w:wordWrap/>
        <w:overflowPunct/>
        <w:topLinePunct w:val="0"/>
        <w:autoSpaceDE/>
        <w:autoSpaceDN/>
        <w:bidi w:val="0"/>
        <w:spacing w:line="440" w:lineRule="exac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（一）开展疫情防控宣传教育，提高</w:t>
      </w:r>
      <w:r>
        <w:rPr>
          <w:rFonts w:hint="eastAsia" w:asciiTheme="minorEastAsia" w:hAnsiTheme="minorEastAsia" w:eastAsiaTheme="minorEastAsia" w:cstheme="minorEastAsia"/>
          <w:color w:val="auto"/>
          <w:sz w:val="24"/>
          <w:szCs w:val="24"/>
          <w:highlight w:val="none"/>
          <w:lang w:val="en-US" w:eastAsia="zh-CN"/>
        </w:rPr>
        <w:t>乙方</w:t>
      </w:r>
      <w:r>
        <w:rPr>
          <w:rFonts w:hint="eastAsia" w:asciiTheme="minorEastAsia" w:hAnsiTheme="minorEastAsia" w:eastAsiaTheme="minorEastAsia" w:cstheme="minorEastAsia"/>
          <w:color w:val="auto"/>
          <w:kern w:val="2"/>
          <w:sz w:val="24"/>
          <w:szCs w:val="24"/>
          <w:highlight w:val="none"/>
          <w:lang w:val="en-US" w:eastAsia="zh-CN" w:bidi="ar-SA"/>
        </w:rPr>
        <w:t>人员自我防护意识，最大限度减少人员暴露和感染的风险。</w:t>
      </w:r>
    </w:p>
    <w:p>
      <w:pPr>
        <w:pStyle w:val="7"/>
        <w:keepNext w:val="0"/>
        <w:keepLines w:val="0"/>
        <w:pageBreakBefore w:val="0"/>
        <w:widowControl w:val="0"/>
        <w:kinsoku/>
        <w:wordWrap/>
        <w:overflowPunct/>
        <w:topLinePunct w:val="0"/>
        <w:autoSpaceDE/>
        <w:autoSpaceDN/>
        <w:bidi w:val="0"/>
        <w:spacing w:line="44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bidi="ar-SA"/>
        </w:rPr>
        <w:t>（二）</w:t>
      </w:r>
      <w:r>
        <w:rPr>
          <w:rFonts w:hint="eastAsia" w:asciiTheme="minorEastAsia" w:hAnsiTheme="minorEastAsia" w:eastAsiaTheme="minorEastAsia" w:cstheme="minorEastAsia"/>
          <w:color w:val="auto"/>
          <w:sz w:val="24"/>
          <w:szCs w:val="24"/>
          <w:highlight w:val="none"/>
          <w:lang w:val="en-US" w:eastAsia="zh-CN"/>
        </w:rPr>
        <w:t>做好乙方人员防控工作管理，及时提交防疫资料，落实疫情防控备案，必要时需</w:t>
      </w:r>
      <w:r>
        <w:rPr>
          <w:rFonts w:hint="eastAsia" w:asciiTheme="minorEastAsia" w:hAnsiTheme="minorEastAsia" w:eastAsiaTheme="minorEastAsia" w:cstheme="minorEastAsia"/>
          <w:color w:val="auto"/>
          <w:kern w:val="2"/>
          <w:sz w:val="24"/>
          <w:szCs w:val="24"/>
          <w:highlight w:val="none"/>
          <w:lang w:val="en-US" w:eastAsia="zh-CN" w:bidi="ar-SA"/>
        </w:rPr>
        <w:t>编制防控管理工作方案</w:t>
      </w:r>
      <w:r>
        <w:rPr>
          <w:rFonts w:hint="eastAsia" w:asciiTheme="minorEastAsia" w:hAnsiTheme="minorEastAsia" w:eastAsiaTheme="minorEastAsia" w:cstheme="minorEastAsia"/>
          <w:color w:val="auto"/>
          <w:sz w:val="24"/>
          <w:szCs w:val="24"/>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    （三）乙方人员须按照</w:t>
      </w:r>
      <w:r>
        <w:rPr>
          <w:rFonts w:hint="eastAsia" w:asciiTheme="minorEastAsia" w:hAnsiTheme="minorEastAsia" w:eastAsiaTheme="minorEastAsia" w:cstheme="minorEastAsia"/>
          <w:color w:val="auto"/>
          <w:kern w:val="2"/>
          <w:sz w:val="24"/>
          <w:szCs w:val="24"/>
          <w:highlight w:val="none"/>
          <w:lang w:val="en-US" w:eastAsia="zh-CN" w:bidi="ar-SA"/>
        </w:rPr>
        <w:t>甲方各厂区进厂门岗防控要求</w:t>
      </w:r>
      <w:r>
        <w:rPr>
          <w:rFonts w:hint="eastAsia" w:asciiTheme="minorEastAsia" w:hAnsiTheme="minorEastAsia" w:eastAsiaTheme="minorEastAsia" w:cstheme="minorEastAsia"/>
          <w:color w:val="auto"/>
          <w:sz w:val="24"/>
          <w:szCs w:val="24"/>
          <w:highlight w:val="none"/>
          <w:lang w:val="en-US" w:eastAsia="zh-CN"/>
        </w:rPr>
        <w:t>进行疫苗接种及核酸检测，未满足相关要求的人员甲方有权限制进入厂区。</w:t>
      </w:r>
    </w:p>
    <w:p>
      <w:pPr>
        <w:pStyle w:val="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（四）建立畅通的信息传输渠道和严格的信息上报机制，出现问题及时采取应急响应措施，迅速妥善处置项目施工场所普通发热病例、可疑病例和突发新冠肺炎疫情，并第一时间报送甲方。</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bidi="ar-SA"/>
        </w:rPr>
        <w:t>（五）各级政府、有关部门及甲方的其他</w:t>
      </w:r>
      <w:r>
        <w:rPr>
          <w:rFonts w:hint="eastAsia" w:asciiTheme="minorEastAsia" w:hAnsiTheme="minorEastAsia" w:eastAsiaTheme="minorEastAsia" w:cstheme="minorEastAsia"/>
          <w:color w:val="auto"/>
          <w:sz w:val="24"/>
          <w:szCs w:val="24"/>
          <w:highlight w:val="none"/>
          <w:lang w:val="en-US" w:eastAsia="zh-CN"/>
        </w:rPr>
        <w:t>防控要求</w:t>
      </w:r>
      <w:r>
        <w:rPr>
          <w:rFonts w:hint="eastAsia" w:asciiTheme="minorEastAsia" w:hAnsiTheme="minorEastAsia" w:eastAsiaTheme="minorEastAsia" w:cstheme="minorEastAsia"/>
          <w:color w:val="auto"/>
          <w:kern w:val="2"/>
          <w:sz w:val="24"/>
          <w:szCs w:val="24"/>
          <w:highlight w:val="none"/>
          <w:lang w:val="en-US" w:eastAsia="zh-CN" w:bidi="ar-SA"/>
        </w:rPr>
        <w:t>。</w:t>
      </w:r>
    </w:p>
    <w:p>
      <w:pPr>
        <w:numPr>
          <w:ilvl w:val="0"/>
          <w:numId w:val="0"/>
        </w:numPr>
        <w:adjustRightInd w:val="0"/>
        <w:snapToGrid w:val="0"/>
        <w:spacing w:line="440" w:lineRule="exact"/>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四、违约责任</w:t>
      </w:r>
    </w:p>
    <w:p>
      <w:pPr>
        <w:adjustRightInd w:val="0"/>
        <w:snapToGrid w:val="0"/>
        <w:spacing w:line="440" w:lineRule="exact"/>
        <w:ind w:left="105"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乙方需按照甲方服务要求执行，未达到疫情防控要求的，需按下列条款执行：</w:t>
      </w:r>
    </w:p>
    <w:p>
      <w:pPr>
        <w:adjustRightInd w:val="0"/>
        <w:snapToGrid w:val="0"/>
        <w:spacing w:line="440" w:lineRule="exact"/>
        <w:ind w:left="105"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（一）乙方人员及其密接亲属有重点区域、重点场所旅居史未报备的，每发现一人，从乙方当月服务费中扣500元；</w:t>
      </w:r>
    </w:p>
    <w:p>
      <w:pPr>
        <w:adjustRightInd w:val="0"/>
        <w:snapToGrid w:val="0"/>
        <w:spacing w:line="440" w:lineRule="exact"/>
        <w:ind w:left="105"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（二）乙方人员未按照甲方要求进行核酸检测的或有瞒报、虚报的，每发现一人，从乙方当月服务费中扣50元；</w:t>
      </w:r>
    </w:p>
    <w:p>
      <w:pPr>
        <w:adjustRightInd w:val="0"/>
        <w:snapToGrid w:val="0"/>
        <w:spacing w:line="440" w:lineRule="exact"/>
        <w:ind w:left="105"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（三）乙方项目维修施工人员拒不配合甲方疫情防控要求或不满足甲方防疫工作要求的，甲方有权要求乙方3天内更换服务人员。</w:t>
      </w:r>
    </w:p>
    <w:p>
      <w:pPr>
        <w:adjustRightInd w:val="0"/>
        <w:snapToGrid w:val="0"/>
        <w:spacing w:line="440" w:lineRule="exact"/>
        <w:jc w:val="left"/>
        <w:rPr>
          <w:rFonts w:hint="eastAsia" w:asciiTheme="minorEastAsia" w:hAnsiTheme="minorEastAsia" w:eastAsiaTheme="minorEastAsia" w:cstheme="minorEastAsia"/>
          <w:color w:val="auto"/>
          <w:sz w:val="24"/>
          <w:szCs w:val="24"/>
          <w:highlight w:val="none"/>
        </w:rPr>
      </w:pPr>
    </w:p>
    <w:p>
      <w:pPr>
        <w:pStyle w:val="40"/>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五</w:t>
      </w:r>
      <w:r>
        <w:rPr>
          <w:rFonts w:hint="eastAsia" w:asciiTheme="minorEastAsia" w:hAnsiTheme="minorEastAsia" w:eastAsiaTheme="minorEastAsia" w:cstheme="minorEastAsia"/>
          <w:color w:val="auto"/>
          <w:sz w:val="24"/>
          <w:szCs w:val="24"/>
          <w:highlight w:val="none"/>
        </w:rPr>
        <w:t>、补充条款：</w:t>
      </w:r>
      <w:r>
        <w:rPr>
          <w:rFonts w:hint="eastAsia" w:asciiTheme="minorEastAsia" w:hAnsiTheme="minorEastAsia" w:eastAsiaTheme="minorEastAsia" w:cstheme="minorEastAsia"/>
          <w:color w:val="auto"/>
          <w:sz w:val="24"/>
          <w:szCs w:val="24"/>
          <w:highlight w:val="none"/>
          <w:u w:val="single"/>
        </w:rPr>
        <w:t xml:space="preserve">         /       </w:t>
      </w:r>
      <w:r>
        <w:rPr>
          <w:rFonts w:hint="eastAsia" w:asciiTheme="minorEastAsia" w:hAnsiTheme="minorEastAsia" w:eastAsiaTheme="minorEastAsia" w:cstheme="minorEastAsia"/>
          <w:color w:val="auto"/>
          <w:sz w:val="24"/>
          <w:szCs w:val="24"/>
          <w:highlight w:val="none"/>
        </w:rPr>
        <w:t>。</w:t>
      </w:r>
    </w:p>
    <w:p>
      <w:pPr>
        <w:adjustRightInd w:val="0"/>
        <w:snapToGrid w:val="0"/>
        <w:spacing w:line="44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六</w:t>
      </w:r>
      <w:r>
        <w:rPr>
          <w:rFonts w:hint="eastAsia" w:asciiTheme="minorEastAsia" w:hAnsiTheme="minorEastAsia" w:eastAsiaTheme="minorEastAsia" w:cstheme="minorEastAsia"/>
          <w:color w:val="auto"/>
          <w:sz w:val="24"/>
          <w:szCs w:val="24"/>
          <w:highlight w:val="none"/>
        </w:rPr>
        <w:t>、附则</w:t>
      </w:r>
    </w:p>
    <w:p>
      <w:pPr>
        <w:adjustRightInd w:val="0"/>
        <w:snapToGrid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本协议与合同同时签订、同时终止、同时生效，具有相同的法律效力。合同由甲乙双方签字、盖章生效，甲乙双方各</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份。</w:t>
      </w:r>
    </w:p>
    <w:p>
      <w:pPr>
        <w:adjustRightInd w:val="0"/>
        <w:snapToGrid w:val="0"/>
        <w:spacing w:line="440" w:lineRule="exact"/>
        <w:rPr>
          <w:rFonts w:hint="eastAsia" w:asciiTheme="minorEastAsia" w:hAnsiTheme="minorEastAsia" w:eastAsiaTheme="minorEastAsia" w:cstheme="minorEastAsia"/>
          <w:color w:val="auto"/>
          <w:sz w:val="24"/>
          <w:szCs w:val="24"/>
          <w:highlight w:val="none"/>
        </w:rPr>
      </w:pPr>
    </w:p>
    <w:p>
      <w:pPr>
        <w:adjustRightInd w:val="0"/>
        <w:snapToGrid w:val="0"/>
        <w:spacing w:line="440" w:lineRule="exact"/>
        <w:ind w:left="1330" w:leftChars="5" w:hanging="1320" w:hangingChars="5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val="en-US" w:eastAsia="zh-CN"/>
        </w:rPr>
        <w:t>甲方</w:t>
      </w:r>
      <w:r>
        <w:rPr>
          <w:rFonts w:hint="eastAsia" w:asciiTheme="minorEastAsia" w:hAnsiTheme="minorEastAsia" w:eastAsiaTheme="minorEastAsia" w:cstheme="minorEastAsia"/>
          <w:color w:val="auto"/>
          <w:sz w:val="24"/>
          <w:szCs w:val="24"/>
          <w:highlight w:val="none"/>
        </w:rPr>
        <w:t xml:space="preserve">代表 （章）：                             </w:t>
      </w:r>
      <w:r>
        <w:rPr>
          <w:rFonts w:hint="eastAsia" w:asciiTheme="minorEastAsia" w:hAnsiTheme="minorEastAsia" w:eastAsiaTheme="minorEastAsia" w:cstheme="minorEastAsia"/>
          <w:color w:val="auto"/>
          <w:sz w:val="24"/>
          <w:szCs w:val="24"/>
          <w:highlight w:val="none"/>
          <w:lang w:val="en-US" w:eastAsia="zh-CN"/>
        </w:rPr>
        <w:t>乙方</w:t>
      </w:r>
      <w:r>
        <w:rPr>
          <w:rFonts w:hint="eastAsia" w:asciiTheme="minorEastAsia" w:hAnsiTheme="minorEastAsia" w:eastAsiaTheme="minorEastAsia" w:cstheme="minorEastAsia"/>
          <w:color w:val="auto"/>
          <w:sz w:val="24"/>
          <w:szCs w:val="24"/>
          <w:highlight w:val="none"/>
        </w:rPr>
        <w:t>代表（章）：                                                           　　              　　　　　　　</w:t>
      </w:r>
    </w:p>
    <w:p>
      <w:pPr>
        <w:adjustRightInd w:val="0"/>
        <w:snapToGrid w:val="0"/>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年 　月　  日　　　　　                 年   月  　日</w:t>
      </w:r>
    </w:p>
    <w:p>
      <w:pPr>
        <w:pStyle w:val="2"/>
        <w:rPr>
          <w:rFonts w:hint="eastAsia" w:asciiTheme="minorEastAsia" w:hAnsiTheme="minorEastAsia" w:eastAsiaTheme="minorEastAsia" w:cstheme="minorEastAsia"/>
          <w:color w:val="auto"/>
          <w:sz w:val="24"/>
          <w:szCs w:val="24"/>
          <w:highlight w:val="none"/>
        </w:rPr>
      </w:pPr>
    </w:p>
    <w:p>
      <w:pPr>
        <w:pStyle w:val="3"/>
        <w:rPr>
          <w:rFonts w:hint="eastAsia" w:asciiTheme="minorEastAsia" w:hAnsiTheme="minorEastAsia" w:eastAsiaTheme="minorEastAsia" w:cstheme="minorEastAsia"/>
          <w:color w:val="auto"/>
          <w:sz w:val="24"/>
          <w:szCs w:val="24"/>
          <w:highlight w:val="none"/>
        </w:rPr>
      </w:pPr>
    </w:p>
    <w:p>
      <w:pPr>
        <w:pStyle w:val="3"/>
        <w:rPr>
          <w:rFonts w:hint="eastAsia" w:asciiTheme="minorEastAsia" w:hAnsiTheme="minorEastAsia" w:eastAsiaTheme="minorEastAsia" w:cstheme="minorEastAsia"/>
          <w:color w:val="auto"/>
          <w:sz w:val="24"/>
          <w:szCs w:val="24"/>
          <w:highlight w:val="none"/>
        </w:rPr>
      </w:pPr>
    </w:p>
    <w:p>
      <w:pPr>
        <w:pStyle w:val="3"/>
        <w:rPr>
          <w:rFonts w:hint="eastAsia" w:asciiTheme="minorEastAsia" w:hAnsiTheme="minorEastAsia" w:eastAsiaTheme="minorEastAsia" w:cstheme="minorEastAsia"/>
          <w:color w:val="auto"/>
          <w:sz w:val="24"/>
          <w:szCs w:val="24"/>
          <w:highlight w:val="none"/>
        </w:rPr>
      </w:pPr>
    </w:p>
    <w:p>
      <w:pPr>
        <w:pStyle w:val="3"/>
        <w:rPr>
          <w:rFonts w:hint="eastAsia" w:asciiTheme="minorEastAsia" w:hAnsiTheme="minorEastAsia" w:eastAsiaTheme="minorEastAsia" w:cstheme="minorEastAsia"/>
          <w:color w:val="auto"/>
          <w:sz w:val="24"/>
          <w:szCs w:val="24"/>
          <w:highlight w:val="none"/>
        </w:rPr>
      </w:pPr>
    </w:p>
    <w:p>
      <w:pPr>
        <w:pStyle w:val="3"/>
        <w:rPr>
          <w:rFonts w:hint="eastAsia" w:asciiTheme="minorEastAsia" w:hAnsiTheme="minorEastAsia" w:eastAsiaTheme="minorEastAsia" w:cstheme="minorEastAsia"/>
          <w:color w:val="auto"/>
          <w:sz w:val="24"/>
          <w:szCs w:val="24"/>
          <w:highlight w:val="none"/>
        </w:rPr>
      </w:pPr>
    </w:p>
    <w:p>
      <w:pPr>
        <w:pStyle w:val="3"/>
        <w:rPr>
          <w:rFonts w:hint="eastAsia" w:asciiTheme="minorEastAsia" w:hAnsiTheme="minorEastAsia" w:eastAsiaTheme="minorEastAsia" w:cstheme="minorEastAsia"/>
          <w:color w:val="auto"/>
          <w:sz w:val="24"/>
          <w:szCs w:val="24"/>
          <w:highlight w:val="none"/>
        </w:rPr>
      </w:pPr>
    </w:p>
    <w:p>
      <w:pPr>
        <w:pStyle w:val="3"/>
        <w:rPr>
          <w:rFonts w:hint="eastAsia" w:asciiTheme="minorEastAsia" w:hAnsiTheme="minorEastAsia" w:eastAsiaTheme="minorEastAsia" w:cstheme="minorEastAsia"/>
          <w:color w:val="auto"/>
          <w:sz w:val="24"/>
          <w:szCs w:val="24"/>
          <w:highlight w:val="none"/>
        </w:rPr>
      </w:pPr>
    </w:p>
    <w:p>
      <w:pPr>
        <w:pStyle w:val="3"/>
        <w:rPr>
          <w:rFonts w:hint="eastAsia" w:asciiTheme="minorEastAsia" w:hAnsiTheme="minorEastAsia" w:eastAsiaTheme="minorEastAsia" w:cstheme="minorEastAsia"/>
          <w:color w:val="auto"/>
          <w:sz w:val="24"/>
          <w:szCs w:val="24"/>
          <w:highlight w:val="none"/>
        </w:rPr>
      </w:pPr>
    </w:p>
    <w:p>
      <w:pPr>
        <w:spacing w:line="360" w:lineRule="auto"/>
        <w:rPr>
          <w:rFonts w:hint="eastAsia" w:ascii="宋体" w:hAnsi="宋体" w:cs="宋体"/>
          <w:b/>
          <w:color w:val="auto"/>
          <w:szCs w:val="21"/>
          <w:highlight w:val="none"/>
          <w:lang w:val="en-US" w:eastAsia="zh-CN"/>
        </w:rPr>
      </w:pPr>
      <w:r>
        <w:rPr>
          <w:rFonts w:hint="eastAsia" w:ascii="宋体" w:hAnsi="宋体" w:cs="宋体"/>
          <w:b/>
          <w:color w:val="auto"/>
          <w:szCs w:val="21"/>
          <w:highlight w:val="none"/>
        </w:rPr>
        <w:t>附件</w:t>
      </w:r>
      <w:r>
        <w:rPr>
          <w:rFonts w:hint="eastAsia" w:ascii="宋体" w:hAnsi="宋体" w:cs="宋体"/>
          <w:b/>
          <w:color w:val="auto"/>
          <w:szCs w:val="21"/>
          <w:highlight w:val="none"/>
          <w:lang w:val="en-US" w:eastAsia="zh-CN"/>
        </w:rPr>
        <w:t>5</w:t>
      </w:r>
      <w:r>
        <w:rPr>
          <w:rFonts w:hint="eastAsia" w:ascii="宋体" w:hAnsi="宋体" w:cs="宋体"/>
          <w:b/>
          <w:color w:val="auto"/>
          <w:szCs w:val="21"/>
          <w:highlight w:val="none"/>
        </w:rPr>
        <w:t>：</w:t>
      </w:r>
      <w:r>
        <w:rPr>
          <w:rFonts w:hint="eastAsia" w:ascii="宋体" w:hAnsi="宋体" w:cs="宋体"/>
          <w:b/>
          <w:color w:val="auto"/>
          <w:szCs w:val="21"/>
          <w:highlight w:val="none"/>
          <w:lang w:val="en-US" w:eastAsia="zh-CN"/>
        </w:rPr>
        <w:t>工程量清单报价</w:t>
      </w:r>
    </w:p>
    <w:tbl>
      <w:tblPr>
        <w:tblStyle w:val="24"/>
        <w:tblW w:w="88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2"/>
        <w:gridCol w:w="110"/>
        <w:gridCol w:w="439"/>
        <w:gridCol w:w="892"/>
        <w:gridCol w:w="100"/>
        <w:gridCol w:w="1079"/>
        <w:gridCol w:w="677"/>
        <w:gridCol w:w="1300"/>
        <w:gridCol w:w="5"/>
        <w:gridCol w:w="97"/>
        <w:gridCol w:w="42"/>
        <w:gridCol w:w="129"/>
        <w:gridCol w:w="434"/>
        <w:gridCol w:w="217"/>
        <w:gridCol w:w="537"/>
        <w:gridCol w:w="85"/>
        <w:gridCol w:w="7"/>
        <w:gridCol w:w="327"/>
        <w:gridCol w:w="317"/>
        <w:gridCol w:w="54"/>
        <w:gridCol w:w="545"/>
        <w:gridCol w:w="235"/>
        <w:gridCol w:w="671"/>
        <w:gridCol w:w="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795" w:hRule="atLeast"/>
        </w:trPr>
        <w:tc>
          <w:tcPr>
            <w:tcW w:w="8871" w:type="dxa"/>
            <w:gridSpan w:val="2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40"/>
                <w:szCs w:val="40"/>
                <w:highlight w:val="none"/>
                <w:u w:val="none"/>
              </w:rPr>
            </w:pPr>
            <w:r>
              <w:rPr>
                <w:rFonts w:hint="eastAsia" w:ascii="宋体" w:hAnsi="宋体" w:eastAsia="宋体" w:cs="宋体"/>
                <w:b/>
                <w:bCs/>
                <w:i w:val="0"/>
                <w:iCs w:val="0"/>
                <w:color w:val="auto"/>
                <w:kern w:val="0"/>
                <w:sz w:val="40"/>
                <w:szCs w:val="40"/>
                <w:highlight w:val="none"/>
                <w:u w:val="none"/>
                <w:lang w:val="en-US" w:eastAsia="zh-CN" w:bidi="ar"/>
              </w:rPr>
              <w:t>单位工程招标控制价汇总表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570" w:hRule="atLeast"/>
        </w:trPr>
        <w:tc>
          <w:tcPr>
            <w:tcW w:w="5169" w:type="dxa"/>
            <w:gridSpan w:val="8"/>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工程名称：大坦沙分公司一二期污水泵房除臭设备改造项目</w:t>
            </w:r>
          </w:p>
        </w:tc>
        <w:tc>
          <w:tcPr>
            <w:tcW w:w="1546" w:type="dxa"/>
            <w:gridSpan w:val="8"/>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标段：</w:t>
            </w:r>
          </w:p>
        </w:tc>
        <w:tc>
          <w:tcPr>
            <w:tcW w:w="2156" w:type="dxa"/>
            <w:gridSpan w:val="7"/>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375" w:hRule="atLeast"/>
        </w:trPr>
        <w:tc>
          <w:tcPr>
            <w:tcW w:w="1121" w:type="dxa"/>
            <w:gridSpan w:val="3"/>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4150" w:type="dxa"/>
            <w:gridSpan w:val="7"/>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汇总内容</w:t>
            </w:r>
          </w:p>
        </w:tc>
        <w:tc>
          <w:tcPr>
            <w:tcW w:w="2095" w:type="dxa"/>
            <w:gridSpan w:val="9"/>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金额:(元)</w:t>
            </w:r>
          </w:p>
        </w:tc>
        <w:tc>
          <w:tcPr>
            <w:tcW w:w="1505" w:type="dxa"/>
            <w:gridSpan w:val="4"/>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360" w:hRule="atLeast"/>
        </w:trPr>
        <w:tc>
          <w:tcPr>
            <w:tcW w:w="1121"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4150"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分部分项合计</w:t>
            </w:r>
          </w:p>
        </w:tc>
        <w:tc>
          <w:tcPr>
            <w:tcW w:w="2095"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505"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360" w:hRule="atLeast"/>
        </w:trPr>
        <w:tc>
          <w:tcPr>
            <w:tcW w:w="1121"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4150"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措施合计</w:t>
            </w:r>
          </w:p>
        </w:tc>
        <w:tc>
          <w:tcPr>
            <w:tcW w:w="2095"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505"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360" w:hRule="atLeast"/>
        </w:trPr>
        <w:tc>
          <w:tcPr>
            <w:tcW w:w="1121"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w:t>
            </w:r>
          </w:p>
        </w:tc>
        <w:tc>
          <w:tcPr>
            <w:tcW w:w="4150"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绿色施工安全防护措施费</w:t>
            </w:r>
          </w:p>
        </w:tc>
        <w:tc>
          <w:tcPr>
            <w:tcW w:w="2095"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505"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360" w:hRule="atLeast"/>
        </w:trPr>
        <w:tc>
          <w:tcPr>
            <w:tcW w:w="1121"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w:t>
            </w:r>
          </w:p>
        </w:tc>
        <w:tc>
          <w:tcPr>
            <w:tcW w:w="4150"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其他措施费</w:t>
            </w:r>
          </w:p>
        </w:tc>
        <w:tc>
          <w:tcPr>
            <w:tcW w:w="2095"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505"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360" w:hRule="atLeast"/>
        </w:trPr>
        <w:tc>
          <w:tcPr>
            <w:tcW w:w="1121"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4150"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其他项目</w:t>
            </w:r>
          </w:p>
        </w:tc>
        <w:tc>
          <w:tcPr>
            <w:tcW w:w="2095"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505"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360" w:hRule="atLeast"/>
        </w:trPr>
        <w:tc>
          <w:tcPr>
            <w:tcW w:w="1121"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w:t>
            </w:r>
          </w:p>
        </w:tc>
        <w:tc>
          <w:tcPr>
            <w:tcW w:w="4150"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暂列金额</w:t>
            </w:r>
          </w:p>
        </w:tc>
        <w:tc>
          <w:tcPr>
            <w:tcW w:w="2095"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505"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360" w:hRule="atLeast"/>
        </w:trPr>
        <w:tc>
          <w:tcPr>
            <w:tcW w:w="1121"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3.2</w:t>
            </w:r>
          </w:p>
        </w:tc>
        <w:tc>
          <w:tcPr>
            <w:tcW w:w="4150"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暂估价</w:t>
            </w:r>
          </w:p>
        </w:tc>
        <w:tc>
          <w:tcPr>
            <w:tcW w:w="2095"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505"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360" w:hRule="atLeast"/>
        </w:trPr>
        <w:tc>
          <w:tcPr>
            <w:tcW w:w="1121"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3.3</w:t>
            </w:r>
          </w:p>
        </w:tc>
        <w:tc>
          <w:tcPr>
            <w:tcW w:w="4150"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计日工</w:t>
            </w:r>
          </w:p>
        </w:tc>
        <w:tc>
          <w:tcPr>
            <w:tcW w:w="2095"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505"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360" w:hRule="atLeast"/>
        </w:trPr>
        <w:tc>
          <w:tcPr>
            <w:tcW w:w="1121"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3.4</w:t>
            </w:r>
          </w:p>
        </w:tc>
        <w:tc>
          <w:tcPr>
            <w:tcW w:w="4150"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总承包服务费</w:t>
            </w:r>
          </w:p>
        </w:tc>
        <w:tc>
          <w:tcPr>
            <w:tcW w:w="2095"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505"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360" w:hRule="atLeast"/>
        </w:trPr>
        <w:tc>
          <w:tcPr>
            <w:tcW w:w="1121"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w:t>
            </w:r>
          </w:p>
        </w:tc>
        <w:tc>
          <w:tcPr>
            <w:tcW w:w="4150"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预算包干费</w:t>
            </w:r>
          </w:p>
        </w:tc>
        <w:tc>
          <w:tcPr>
            <w:tcW w:w="2095"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505"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360" w:hRule="atLeast"/>
        </w:trPr>
        <w:tc>
          <w:tcPr>
            <w:tcW w:w="1121"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3.6</w:t>
            </w:r>
          </w:p>
        </w:tc>
        <w:tc>
          <w:tcPr>
            <w:tcW w:w="4150"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工程优质费</w:t>
            </w:r>
          </w:p>
        </w:tc>
        <w:tc>
          <w:tcPr>
            <w:tcW w:w="2095"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505"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360" w:hRule="atLeast"/>
        </w:trPr>
        <w:tc>
          <w:tcPr>
            <w:tcW w:w="1121"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3.7</w:t>
            </w:r>
          </w:p>
        </w:tc>
        <w:tc>
          <w:tcPr>
            <w:tcW w:w="4150"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概算幅度差</w:t>
            </w:r>
          </w:p>
        </w:tc>
        <w:tc>
          <w:tcPr>
            <w:tcW w:w="2095"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505"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360" w:hRule="atLeast"/>
        </w:trPr>
        <w:tc>
          <w:tcPr>
            <w:tcW w:w="1121"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3.8</w:t>
            </w:r>
          </w:p>
        </w:tc>
        <w:tc>
          <w:tcPr>
            <w:tcW w:w="4150"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索赔费用</w:t>
            </w:r>
          </w:p>
        </w:tc>
        <w:tc>
          <w:tcPr>
            <w:tcW w:w="2095"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505"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360" w:hRule="atLeast"/>
        </w:trPr>
        <w:tc>
          <w:tcPr>
            <w:tcW w:w="1121"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3.9</w:t>
            </w:r>
          </w:p>
        </w:tc>
        <w:tc>
          <w:tcPr>
            <w:tcW w:w="4150"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现场签证费用</w:t>
            </w:r>
          </w:p>
        </w:tc>
        <w:tc>
          <w:tcPr>
            <w:tcW w:w="2095"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505"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360" w:hRule="atLeast"/>
        </w:trPr>
        <w:tc>
          <w:tcPr>
            <w:tcW w:w="1121"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3.10</w:t>
            </w:r>
          </w:p>
        </w:tc>
        <w:tc>
          <w:tcPr>
            <w:tcW w:w="4150"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其他费用</w:t>
            </w:r>
          </w:p>
        </w:tc>
        <w:tc>
          <w:tcPr>
            <w:tcW w:w="2095"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505"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360" w:hRule="atLeast"/>
        </w:trPr>
        <w:tc>
          <w:tcPr>
            <w:tcW w:w="1121"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4150"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税前工程造价</w:t>
            </w:r>
          </w:p>
        </w:tc>
        <w:tc>
          <w:tcPr>
            <w:tcW w:w="2095"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505"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360" w:hRule="atLeast"/>
        </w:trPr>
        <w:tc>
          <w:tcPr>
            <w:tcW w:w="1121"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4150"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增值税销项税额</w:t>
            </w:r>
          </w:p>
        </w:tc>
        <w:tc>
          <w:tcPr>
            <w:tcW w:w="2095"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505"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360" w:hRule="atLeast"/>
        </w:trPr>
        <w:tc>
          <w:tcPr>
            <w:tcW w:w="1121"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4150"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总造价</w:t>
            </w:r>
          </w:p>
        </w:tc>
        <w:tc>
          <w:tcPr>
            <w:tcW w:w="2095"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505"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360" w:hRule="atLeast"/>
        </w:trPr>
        <w:tc>
          <w:tcPr>
            <w:tcW w:w="1121"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4150"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人工费</w:t>
            </w:r>
          </w:p>
        </w:tc>
        <w:tc>
          <w:tcPr>
            <w:tcW w:w="2095"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505"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360" w:hRule="atLeast"/>
        </w:trPr>
        <w:tc>
          <w:tcPr>
            <w:tcW w:w="5271" w:type="dxa"/>
            <w:gridSpan w:val="10"/>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招标控制价合计=1+2+3+5</w:t>
            </w:r>
          </w:p>
        </w:tc>
        <w:tc>
          <w:tcPr>
            <w:tcW w:w="2095" w:type="dxa"/>
            <w:gridSpan w:val="9"/>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505" w:type="dxa"/>
            <w:gridSpan w:val="4"/>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360" w:hRule="atLeast"/>
        </w:trPr>
        <w:tc>
          <w:tcPr>
            <w:tcW w:w="8871" w:type="dxa"/>
            <w:gridSpan w:val="23"/>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注：本表适用于单位工程招标控制价或投标报价的汇总，如无单位工程划分，单项工程也使用本表汇总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8880" w:type="dxa"/>
            <w:gridSpan w:val="24"/>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40"/>
                <w:szCs w:val="40"/>
                <w:highlight w:val="none"/>
                <w:u w:val="none"/>
              </w:rPr>
            </w:pPr>
            <w:r>
              <w:rPr>
                <w:rFonts w:hint="eastAsia" w:ascii="宋体" w:hAnsi="宋体" w:eastAsia="宋体" w:cs="宋体"/>
                <w:b/>
                <w:bCs/>
                <w:i w:val="0"/>
                <w:iCs w:val="0"/>
                <w:color w:val="auto"/>
                <w:kern w:val="0"/>
                <w:sz w:val="40"/>
                <w:szCs w:val="40"/>
                <w:highlight w:val="none"/>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174" w:type="dxa"/>
            <w:gridSpan w:val="9"/>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工程名称：大坦沙分公司一二期污水泵房除臭设备改造项目</w:t>
            </w:r>
          </w:p>
        </w:tc>
        <w:tc>
          <w:tcPr>
            <w:tcW w:w="1548" w:type="dxa"/>
            <w:gridSpan w:val="8"/>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标段：</w:t>
            </w:r>
          </w:p>
        </w:tc>
        <w:tc>
          <w:tcPr>
            <w:tcW w:w="2158" w:type="dxa"/>
            <w:gridSpan w:val="7"/>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72"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1441"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项目编码</w:t>
            </w:r>
          </w:p>
        </w:tc>
        <w:tc>
          <w:tcPr>
            <w:tcW w:w="1179"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2250" w:type="dxa"/>
            <w:gridSpan w:val="6"/>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项目特征描述</w:t>
            </w:r>
          </w:p>
        </w:tc>
        <w:tc>
          <w:tcPr>
            <w:tcW w:w="43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计量单位</w:t>
            </w:r>
          </w:p>
        </w:tc>
        <w:tc>
          <w:tcPr>
            <w:tcW w:w="754"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工程量</w:t>
            </w:r>
          </w:p>
        </w:tc>
        <w:tc>
          <w:tcPr>
            <w:tcW w:w="2250" w:type="dxa"/>
            <w:gridSpan w:val="9"/>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72"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441"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179"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2250" w:type="dxa"/>
            <w:gridSpan w:val="6"/>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43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754"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790" w:type="dxa"/>
            <w:gridSpan w:val="5"/>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综合单价</w:t>
            </w:r>
          </w:p>
        </w:tc>
        <w:tc>
          <w:tcPr>
            <w:tcW w:w="780"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综合合价</w:t>
            </w:r>
          </w:p>
        </w:tc>
        <w:tc>
          <w:tcPr>
            <w:tcW w:w="68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72"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441"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179"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2250" w:type="dxa"/>
            <w:gridSpan w:val="6"/>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43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754"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790" w:type="dxa"/>
            <w:gridSpan w:val="5"/>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780"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68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44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1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整个项目</w:t>
            </w:r>
          </w:p>
        </w:tc>
        <w:tc>
          <w:tcPr>
            <w:tcW w:w="2250"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4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7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79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7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68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57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44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040602044001</w:t>
            </w:r>
          </w:p>
        </w:tc>
        <w:tc>
          <w:tcPr>
            <w:tcW w:w="11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除臭设备</w:t>
            </w:r>
          </w:p>
        </w:tc>
        <w:tc>
          <w:tcPr>
            <w:tcW w:w="2250"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1.Q=3000m3/h，尺寸：2.2m×1.1m×1.2m，，SS304，t=2mm</w:t>
            </w:r>
          </w:p>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2.离子发生装置、风机、内部风管、配件等</w:t>
            </w:r>
          </w:p>
        </w:tc>
        <w:tc>
          <w:tcPr>
            <w:tcW w:w="4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7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79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8"/>
                <w:szCs w:val="18"/>
                <w:highlight w:val="none"/>
                <w:u w:val="none"/>
              </w:rPr>
            </w:pPr>
          </w:p>
        </w:tc>
        <w:tc>
          <w:tcPr>
            <w:tcW w:w="7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8"/>
                <w:szCs w:val="18"/>
                <w:highlight w:val="none"/>
                <w:u w:val="none"/>
              </w:rPr>
            </w:pPr>
          </w:p>
        </w:tc>
        <w:tc>
          <w:tcPr>
            <w:tcW w:w="68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57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44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030108001001</w:t>
            </w:r>
          </w:p>
        </w:tc>
        <w:tc>
          <w:tcPr>
            <w:tcW w:w="11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离心式通风机</w:t>
            </w:r>
          </w:p>
        </w:tc>
        <w:tc>
          <w:tcPr>
            <w:tcW w:w="2250"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1.Q=3000m3/h，P=1500Pa，N=2.2KW，IP55，含不锈钢外皮隔音罩</w:t>
            </w:r>
          </w:p>
        </w:tc>
        <w:tc>
          <w:tcPr>
            <w:tcW w:w="4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7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79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8"/>
                <w:szCs w:val="18"/>
                <w:highlight w:val="none"/>
                <w:u w:val="none"/>
              </w:rPr>
            </w:pPr>
          </w:p>
        </w:tc>
        <w:tc>
          <w:tcPr>
            <w:tcW w:w="7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8"/>
                <w:szCs w:val="18"/>
                <w:highlight w:val="none"/>
                <w:u w:val="none"/>
              </w:rPr>
            </w:pPr>
          </w:p>
        </w:tc>
        <w:tc>
          <w:tcPr>
            <w:tcW w:w="68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7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44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030404016001</w:t>
            </w:r>
          </w:p>
        </w:tc>
        <w:tc>
          <w:tcPr>
            <w:tcW w:w="11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按钮箱(暂估价)</w:t>
            </w:r>
          </w:p>
        </w:tc>
        <w:tc>
          <w:tcPr>
            <w:tcW w:w="2250"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1.配套，400*600，挂墙安装</w:t>
            </w:r>
          </w:p>
        </w:tc>
        <w:tc>
          <w:tcPr>
            <w:tcW w:w="4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7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79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8"/>
                <w:szCs w:val="18"/>
                <w:highlight w:val="none"/>
                <w:u w:val="none"/>
              </w:rPr>
            </w:pPr>
          </w:p>
        </w:tc>
        <w:tc>
          <w:tcPr>
            <w:tcW w:w="7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8"/>
                <w:szCs w:val="18"/>
                <w:highlight w:val="none"/>
                <w:u w:val="none"/>
              </w:rPr>
            </w:pPr>
          </w:p>
        </w:tc>
        <w:tc>
          <w:tcPr>
            <w:tcW w:w="68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7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44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010501006001</w:t>
            </w:r>
          </w:p>
        </w:tc>
        <w:tc>
          <w:tcPr>
            <w:tcW w:w="11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设备基础</w:t>
            </w:r>
          </w:p>
        </w:tc>
        <w:tc>
          <w:tcPr>
            <w:tcW w:w="2250"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1.混凝土种类:现浇</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2.混凝土强度等级:c25</w:t>
            </w:r>
          </w:p>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3.设备基础油黄黑警示标识</w:t>
            </w:r>
          </w:p>
        </w:tc>
        <w:tc>
          <w:tcPr>
            <w:tcW w:w="4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m3</w:t>
            </w:r>
          </w:p>
        </w:tc>
        <w:tc>
          <w:tcPr>
            <w:tcW w:w="7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w:t>
            </w:r>
          </w:p>
        </w:tc>
        <w:tc>
          <w:tcPr>
            <w:tcW w:w="79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8"/>
                <w:szCs w:val="18"/>
                <w:highlight w:val="none"/>
                <w:u w:val="none"/>
              </w:rPr>
            </w:pPr>
          </w:p>
        </w:tc>
        <w:tc>
          <w:tcPr>
            <w:tcW w:w="7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8"/>
                <w:szCs w:val="18"/>
                <w:highlight w:val="none"/>
                <w:u w:val="none"/>
              </w:rPr>
            </w:pPr>
          </w:p>
        </w:tc>
        <w:tc>
          <w:tcPr>
            <w:tcW w:w="68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44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050402002001</w:t>
            </w:r>
          </w:p>
        </w:tc>
        <w:tc>
          <w:tcPr>
            <w:tcW w:w="11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现浇混凝土路面</w:t>
            </w:r>
          </w:p>
        </w:tc>
        <w:tc>
          <w:tcPr>
            <w:tcW w:w="2250"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1.厚度:200mm</w:t>
            </w:r>
          </w:p>
        </w:tc>
        <w:tc>
          <w:tcPr>
            <w:tcW w:w="4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7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79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8"/>
                <w:szCs w:val="18"/>
                <w:highlight w:val="none"/>
                <w:u w:val="none"/>
              </w:rPr>
            </w:pPr>
          </w:p>
        </w:tc>
        <w:tc>
          <w:tcPr>
            <w:tcW w:w="7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8"/>
                <w:szCs w:val="18"/>
                <w:highlight w:val="none"/>
                <w:u w:val="none"/>
              </w:rPr>
            </w:pPr>
          </w:p>
        </w:tc>
        <w:tc>
          <w:tcPr>
            <w:tcW w:w="68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7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44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030411001001</w:t>
            </w:r>
          </w:p>
        </w:tc>
        <w:tc>
          <w:tcPr>
            <w:tcW w:w="11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配管</w:t>
            </w:r>
          </w:p>
        </w:tc>
        <w:tc>
          <w:tcPr>
            <w:tcW w:w="2250"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1.材质:镀锌套管</w:t>
            </w:r>
          </w:p>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2.规格:DN25</w:t>
            </w:r>
          </w:p>
        </w:tc>
        <w:tc>
          <w:tcPr>
            <w:tcW w:w="4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7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79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8"/>
                <w:szCs w:val="18"/>
                <w:highlight w:val="none"/>
                <w:u w:val="none"/>
              </w:rPr>
            </w:pPr>
          </w:p>
        </w:tc>
        <w:tc>
          <w:tcPr>
            <w:tcW w:w="7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8"/>
                <w:szCs w:val="18"/>
                <w:highlight w:val="none"/>
                <w:u w:val="none"/>
              </w:rPr>
            </w:pPr>
          </w:p>
        </w:tc>
        <w:tc>
          <w:tcPr>
            <w:tcW w:w="68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57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144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030411004001</w:t>
            </w:r>
          </w:p>
        </w:tc>
        <w:tc>
          <w:tcPr>
            <w:tcW w:w="11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配线</w:t>
            </w:r>
          </w:p>
        </w:tc>
        <w:tc>
          <w:tcPr>
            <w:tcW w:w="2250"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1.名称:动力电缆</w:t>
            </w:r>
          </w:p>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2.规格:国标RVV护套线，6mm，5蕊</w:t>
            </w:r>
          </w:p>
        </w:tc>
        <w:tc>
          <w:tcPr>
            <w:tcW w:w="4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7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79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8"/>
                <w:szCs w:val="18"/>
                <w:highlight w:val="none"/>
                <w:u w:val="none"/>
              </w:rPr>
            </w:pPr>
          </w:p>
        </w:tc>
        <w:tc>
          <w:tcPr>
            <w:tcW w:w="7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8"/>
                <w:szCs w:val="18"/>
                <w:highlight w:val="none"/>
                <w:u w:val="none"/>
              </w:rPr>
            </w:pPr>
          </w:p>
        </w:tc>
        <w:tc>
          <w:tcPr>
            <w:tcW w:w="68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7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144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040502005001</w:t>
            </w:r>
          </w:p>
        </w:tc>
        <w:tc>
          <w:tcPr>
            <w:tcW w:w="11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手动风阀</w:t>
            </w:r>
          </w:p>
        </w:tc>
        <w:tc>
          <w:tcPr>
            <w:tcW w:w="2250"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1.材质及规格:风阀 DN300 SS304</w:t>
            </w:r>
          </w:p>
        </w:tc>
        <w:tc>
          <w:tcPr>
            <w:tcW w:w="4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7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79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8"/>
                <w:szCs w:val="18"/>
                <w:highlight w:val="none"/>
                <w:u w:val="none"/>
              </w:rPr>
            </w:pPr>
          </w:p>
        </w:tc>
        <w:tc>
          <w:tcPr>
            <w:tcW w:w="7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8"/>
                <w:szCs w:val="18"/>
                <w:highlight w:val="none"/>
                <w:u w:val="none"/>
              </w:rPr>
            </w:pPr>
          </w:p>
        </w:tc>
        <w:tc>
          <w:tcPr>
            <w:tcW w:w="68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57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144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030702003001</w:t>
            </w:r>
          </w:p>
        </w:tc>
        <w:tc>
          <w:tcPr>
            <w:tcW w:w="11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不锈钢板通风管道</w:t>
            </w:r>
          </w:p>
        </w:tc>
        <w:tc>
          <w:tcPr>
            <w:tcW w:w="2250"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1.材质:SS304</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2.规格:DN300</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3.板材厚度:1mm</w:t>
            </w:r>
          </w:p>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4.风管增加管道标识</w:t>
            </w:r>
          </w:p>
        </w:tc>
        <w:tc>
          <w:tcPr>
            <w:tcW w:w="4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7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18.8</w:t>
            </w:r>
          </w:p>
        </w:tc>
        <w:tc>
          <w:tcPr>
            <w:tcW w:w="79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8"/>
                <w:szCs w:val="18"/>
                <w:highlight w:val="none"/>
                <w:u w:val="none"/>
              </w:rPr>
            </w:pPr>
          </w:p>
        </w:tc>
        <w:tc>
          <w:tcPr>
            <w:tcW w:w="7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8"/>
                <w:szCs w:val="18"/>
                <w:highlight w:val="none"/>
                <w:u w:val="none"/>
              </w:rPr>
            </w:pPr>
          </w:p>
        </w:tc>
        <w:tc>
          <w:tcPr>
            <w:tcW w:w="68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44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031002002001</w:t>
            </w:r>
          </w:p>
        </w:tc>
        <w:tc>
          <w:tcPr>
            <w:tcW w:w="11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设备支架</w:t>
            </w:r>
          </w:p>
        </w:tc>
        <w:tc>
          <w:tcPr>
            <w:tcW w:w="2250"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1.材质:5#槽钢</w:t>
            </w:r>
          </w:p>
        </w:tc>
        <w:tc>
          <w:tcPr>
            <w:tcW w:w="4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kg</w:t>
            </w:r>
          </w:p>
        </w:tc>
        <w:tc>
          <w:tcPr>
            <w:tcW w:w="7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200</w:t>
            </w:r>
          </w:p>
        </w:tc>
        <w:tc>
          <w:tcPr>
            <w:tcW w:w="79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8"/>
                <w:szCs w:val="18"/>
                <w:highlight w:val="none"/>
                <w:u w:val="none"/>
              </w:rPr>
            </w:pPr>
          </w:p>
        </w:tc>
        <w:tc>
          <w:tcPr>
            <w:tcW w:w="7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8"/>
                <w:szCs w:val="18"/>
                <w:highlight w:val="none"/>
                <w:u w:val="none"/>
              </w:rPr>
            </w:pPr>
          </w:p>
        </w:tc>
        <w:tc>
          <w:tcPr>
            <w:tcW w:w="68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7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144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03B001</w:t>
            </w:r>
          </w:p>
        </w:tc>
        <w:tc>
          <w:tcPr>
            <w:tcW w:w="11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防盗网</w:t>
            </w:r>
          </w:p>
        </w:tc>
        <w:tc>
          <w:tcPr>
            <w:tcW w:w="2250"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1.材质：不锈钢304</w:t>
            </w:r>
          </w:p>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2.规格：2.4m*2.1m</w:t>
            </w:r>
          </w:p>
        </w:tc>
        <w:tc>
          <w:tcPr>
            <w:tcW w:w="4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7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20.16</w:t>
            </w:r>
          </w:p>
        </w:tc>
        <w:tc>
          <w:tcPr>
            <w:tcW w:w="79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8"/>
                <w:szCs w:val="18"/>
                <w:highlight w:val="none"/>
                <w:u w:val="none"/>
              </w:rPr>
            </w:pPr>
          </w:p>
        </w:tc>
        <w:tc>
          <w:tcPr>
            <w:tcW w:w="7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8"/>
                <w:szCs w:val="18"/>
                <w:highlight w:val="none"/>
                <w:u w:val="none"/>
              </w:rPr>
            </w:pPr>
          </w:p>
        </w:tc>
        <w:tc>
          <w:tcPr>
            <w:tcW w:w="68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44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1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措施项目</w:t>
            </w:r>
          </w:p>
        </w:tc>
        <w:tc>
          <w:tcPr>
            <w:tcW w:w="2250"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4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7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79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7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68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144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031302007001</w:t>
            </w:r>
          </w:p>
        </w:tc>
        <w:tc>
          <w:tcPr>
            <w:tcW w:w="11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高层施工增加</w:t>
            </w:r>
          </w:p>
        </w:tc>
        <w:tc>
          <w:tcPr>
            <w:tcW w:w="2250"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4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7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79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8"/>
                <w:szCs w:val="18"/>
                <w:highlight w:val="none"/>
                <w:u w:val="none"/>
              </w:rPr>
            </w:pPr>
          </w:p>
        </w:tc>
        <w:tc>
          <w:tcPr>
            <w:tcW w:w="7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8"/>
                <w:szCs w:val="18"/>
                <w:highlight w:val="none"/>
                <w:u w:val="none"/>
              </w:rPr>
            </w:pPr>
          </w:p>
        </w:tc>
        <w:tc>
          <w:tcPr>
            <w:tcW w:w="68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144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031301017001</w:t>
            </w:r>
          </w:p>
        </w:tc>
        <w:tc>
          <w:tcPr>
            <w:tcW w:w="11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脚手架搭拆费</w:t>
            </w:r>
          </w:p>
        </w:tc>
        <w:tc>
          <w:tcPr>
            <w:tcW w:w="2250"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4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7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79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8"/>
                <w:szCs w:val="18"/>
                <w:highlight w:val="none"/>
                <w:u w:val="none"/>
              </w:rPr>
            </w:pPr>
          </w:p>
        </w:tc>
        <w:tc>
          <w:tcPr>
            <w:tcW w:w="7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8"/>
                <w:szCs w:val="18"/>
                <w:highlight w:val="none"/>
                <w:u w:val="none"/>
              </w:rPr>
            </w:pPr>
          </w:p>
        </w:tc>
        <w:tc>
          <w:tcPr>
            <w:tcW w:w="68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420" w:type="dxa"/>
            <w:gridSpan w:val="20"/>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本页小计</w:t>
            </w:r>
          </w:p>
        </w:tc>
        <w:tc>
          <w:tcPr>
            <w:tcW w:w="7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68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420" w:type="dxa"/>
            <w:gridSpan w:val="20"/>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合   计</w:t>
            </w:r>
          </w:p>
        </w:tc>
        <w:tc>
          <w:tcPr>
            <w:tcW w:w="780"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680" w:type="dxa"/>
            <w:gridSpan w:val="2"/>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880" w:type="dxa"/>
            <w:gridSpan w:val="24"/>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8880" w:type="dxa"/>
            <w:gridSpan w:val="24"/>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40"/>
                <w:szCs w:val="40"/>
                <w:highlight w:val="none"/>
                <w:u w:val="none"/>
              </w:rPr>
            </w:pPr>
            <w:r>
              <w:rPr>
                <w:rFonts w:hint="eastAsia" w:ascii="宋体" w:hAnsi="宋体" w:eastAsia="宋体" w:cs="宋体"/>
                <w:b/>
                <w:bCs/>
                <w:i w:val="0"/>
                <w:iCs w:val="0"/>
                <w:color w:val="auto"/>
                <w:kern w:val="0"/>
                <w:sz w:val="40"/>
                <w:szCs w:val="40"/>
                <w:highlight w:val="none"/>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174" w:type="dxa"/>
            <w:gridSpan w:val="9"/>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工程名称：大坦沙分公司一二期污水泵房除臭设备改造项目</w:t>
            </w:r>
          </w:p>
        </w:tc>
        <w:tc>
          <w:tcPr>
            <w:tcW w:w="1548" w:type="dxa"/>
            <w:gridSpan w:val="8"/>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标段：</w:t>
            </w:r>
          </w:p>
        </w:tc>
        <w:tc>
          <w:tcPr>
            <w:tcW w:w="2158" w:type="dxa"/>
            <w:gridSpan w:val="7"/>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82" w:type="dxa"/>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1431"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项目编码</w:t>
            </w:r>
          </w:p>
        </w:tc>
        <w:tc>
          <w:tcPr>
            <w:tcW w:w="1756"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1444"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计算基础</w:t>
            </w:r>
          </w:p>
        </w:tc>
        <w:tc>
          <w:tcPr>
            <w:tcW w:w="780"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费率</w:t>
            </w:r>
          </w:p>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956"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金额</w:t>
            </w:r>
          </w:p>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(元)</w:t>
            </w:r>
          </w:p>
        </w:tc>
        <w:tc>
          <w:tcPr>
            <w:tcW w:w="916"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调整费率</w:t>
            </w:r>
          </w:p>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915" w:type="dxa"/>
            <w:gridSpan w:val="3"/>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调整后金额</w:t>
            </w:r>
          </w:p>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82"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43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LSSGCSF00001</w:t>
            </w:r>
          </w:p>
        </w:tc>
        <w:tc>
          <w:tcPr>
            <w:tcW w:w="17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绿色施工安全防护措施费</w:t>
            </w:r>
          </w:p>
        </w:tc>
        <w:tc>
          <w:tcPr>
            <w:tcW w:w="144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分部分项人工费+分部分项机具费</w:t>
            </w:r>
          </w:p>
        </w:tc>
        <w:tc>
          <w:tcPr>
            <w:tcW w:w="78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95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3851.34</w:t>
            </w:r>
          </w:p>
        </w:tc>
        <w:tc>
          <w:tcPr>
            <w:tcW w:w="91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915"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82"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43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031301010001</w:t>
            </w:r>
          </w:p>
        </w:tc>
        <w:tc>
          <w:tcPr>
            <w:tcW w:w="17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安装与生产同时进行增加费用</w:t>
            </w:r>
          </w:p>
        </w:tc>
        <w:tc>
          <w:tcPr>
            <w:tcW w:w="144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分部分项人工费</w:t>
            </w:r>
          </w:p>
        </w:tc>
        <w:tc>
          <w:tcPr>
            <w:tcW w:w="78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95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915"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82"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43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031301011001</w:t>
            </w:r>
          </w:p>
        </w:tc>
        <w:tc>
          <w:tcPr>
            <w:tcW w:w="17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在有害身体健康环境中施工增加费</w:t>
            </w:r>
          </w:p>
        </w:tc>
        <w:tc>
          <w:tcPr>
            <w:tcW w:w="144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分部分项人工费</w:t>
            </w:r>
          </w:p>
        </w:tc>
        <w:tc>
          <w:tcPr>
            <w:tcW w:w="78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95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915"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82"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43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TSSGBWZJF001</w:t>
            </w:r>
          </w:p>
        </w:tc>
        <w:tc>
          <w:tcPr>
            <w:tcW w:w="17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在地下（暗）室、设备及大口径管道内等特殊施工部位进行施工增加费</w:t>
            </w:r>
          </w:p>
        </w:tc>
        <w:tc>
          <w:tcPr>
            <w:tcW w:w="144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78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95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915"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82"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43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粤031302008001</w:t>
            </w:r>
          </w:p>
        </w:tc>
        <w:tc>
          <w:tcPr>
            <w:tcW w:w="17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赶工措施费</w:t>
            </w:r>
          </w:p>
        </w:tc>
        <w:tc>
          <w:tcPr>
            <w:tcW w:w="144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分部分项人工费+分部分项机具费</w:t>
            </w:r>
          </w:p>
        </w:tc>
        <w:tc>
          <w:tcPr>
            <w:tcW w:w="78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95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915"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82"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43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031302002001</w:t>
            </w:r>
          </w:p>
        </w:tc>
        <w:tc>
          <w:tcPr>
            <w:tcW w:w="17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夜间施工增加费</w:t>
            </w:r>
          </w:p>
        </w:tc>
        <w:tc>
          <w:tcPr>
            <w:tcW w:w="144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78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95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915"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82"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143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JTGRSGZJF001</w:t>
            </w:r>
          </w:p>
        </w:tc>
        <w:tc>
          <w:tcPr>
            <w:tcW w:w="17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交通干扰工程施工增加费</w:t>
            </w:r>
          </w:p>
        </w:tc>
        <w:tc>
          <w:tcPr>
            <w:tcW w:w="144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78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95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915"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82"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143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粤031302009001</w:t>
            </w:r>
          </w:p>
        </w:tc>
        <w:tc>
          <w:tcPr>
            <w:tcW w:w="17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文明工地增加费</w:t>
            </w:r>
          </w:p>
        </w:tc>
        <w:tc>
          <w:tcPr>
            <w:tcW w:w="144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分部分项人工费+分部分项机具费</w:t>
            </w:r>
          </w:p>
        </w:tc>
        <w:tc>
          <w:tcPr>
            <w:tcW w:w="78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95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915"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82"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143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DXGXJCJXF001</w:t>
            </w:r>
          </w:p>
        </w:tc>
        <w:tc>
          <w:tcPr>
            <w:tcW w:w="17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地下管线交叉降效费</w:t>
            </w:r>
          </w:p>
        </w:tc>
        <w:tc>
          <w:tcPr>
            <w:tcW w:w="144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78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95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915"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82"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43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QTFY00000001</w:t>
            </w:r>
          </w:p>
        </w:tc>
        <w:tc>
          <w:tcPr>
            <w:tcW w:w="17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其他费用</w:t>
            </w:r>
          </w:p>
        </w:tc>
        <w:tc>
          <w:tcPr>
            <w:tcW w:w="144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78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95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915"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93" w:type="dxa"/>
            <w:gridSpan w:val="14"/>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合    计</w:t>
            </w:r>
          </w:p>
        </w:tc>
        <w:tc>
          <w:tcPr>
            <w:tcW w:w="956" w:type="dxa"/>
            <w:gridSpan w:val="4"/>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916" w:type="dxa"/>
            <w:gridSpan w:val="3"/>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915" w:type="dxa"/>
            <w:gridSpan w:val="3"/>
            <w:tcBorders>
              <w:top w:val="single" w:color="000000" w:sz="4" w:space="0"/>
              <w:left w:val="single" w:color="000000" w:sz="4"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74" w:type="dxa"/>
            <w:gridSpan w:val="9"/>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编制人（造价人员）：</w:t>
            </w:r>
          </w:p>
        </w:tc>
        <w:tc>
          <w:tcPr>
            <w:tcW w:w="3706" w:type="dxa"/>
            <w:gridSpan w:val="15"/>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复核人（造价工程师）：</w:t>
            </w:r>
          </w:p>
        </w:tc>
      </w:tr>
    </w:tbl>
    <w:p>
      <w:pPr>
        <w:spacing w:line="360" w:lineRule="auto"/>
        <w:rPr>
          <w:rFonts w:hint="eastAsia" w:ascii="宋体" w:hAnsi="宋体" w:cs="宋体"/>
          <w:b/>
          <w:bCs/>
          <w:color w:val="auto"/>
          <w:szCs w:val="21"/>
          <w:highlight w:val="none"/>
        </w:rPr>
      </w:pPr>
    </w:p>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附件6 ：项目投入人员架构表/应急救援物资清单</w:t>
      </w:r>
    </w:p>
    <w:p>
      <w:pPr>
        <w:spacing w:line="360" w:lineRule="auto"/>
        <w:jc w:val="center"/>
        <w:outlineLvl w:val="3"/>
        <w:rPr>
          <w:rFonts w:ascii="宋体" w:hAnsi="宋体" w:cs="宋体"/>
          <w:b/>
          <w:color w:val="auto"/>
          <w:sz w:val="24"/>
          <w:szCs w:val="24"/>
          <w:highlight w:val="none"/>
        </w:rPr>
      </w:pPr>
      <w:r>
        <w:rPr>
          <w:rFonts w:hint="eastAsia" w:ascii="宋体" w:hAnsi="宋体" w:cs="宋体"/>
          <w:b/>
          <w:color w:val="auto"/>
          <w:sz w:val="24"/>
          <w:szCs w:val="24"/>
          <w:highlight w:val="none"/>
        </w:rPr>
        <w:t>拟投入工程人员配备响应表</w:t>
      </w:r>
    </w:p>
    <w:tbl>
      <w:tblPr>
        <w:tblStyle w:val="24"/>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3"/>
        <w:gridCol w:w="1170"/>
        <w:gridCol w:w="960"/>
        <w:gridCol w:w="2445"/>
        <w:gridCol w:w="2655"/>
        <w:gridCol w:w="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岗位</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性别</w:t>
            </w: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身份证号</w:t>
            </w: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执业或职业资格证明</w:t>
            </w: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项目负责人</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eastAsia="宋体" w:cs="宋体"/>
                <w:color w:val="auto"/>
                <w:sz w:val="24"/>
                <w:szCs w:val="24"/>
                <w:highlight w:val="none"/>
              </w:rPr>
              <w:t>安全员</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bl>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pStyle w:val="2"/>
        <w:rPr>
          <w:rFonts w:hint="eastAsia" w:ascii="宋体" w:hAnsi="宋体" w:cs="宋体"/>
          <w:b/>
          <w:bCs/>
          <w:color w:val="auto"/>
          <w:szCs w:val="21"/>
          <w:highlight w:val="none"/>
        </w:rPr>
      </w:pPr>
    </w:p>
    <w:p>
      <w:pPr>
        <w:pStyle w:val="3"/>
        <w:rPr>
          <w:rFonts w:hint="eastAsia" w:ascii="宋体" w:hAnsi="宋体" w:cs="宋体"/>
          <w:b/>
          <w:bCs/>
          <w:color w:val="auto"/>
          <w:szCs w:val="21"/>
          <w:highlight w:val="none"/>
        </w:rPr>
      </w:pPr>
    </w:p>
    <w:p>
      <w:pPr>
        <w:pStyle w:val="3"/>
        <w:rPr>
          <w:rFonts w:hint="eastAsia" w:ascii="宋体" w:hAnsi="宋体" w:cs="宋体"/>
          <w:b/>
          <w:bCs/>
          <w:color w:val="auto"/>
          <w:szCs w:val="21"/>
          <w:highlight w:val="none"/>
        </w:rPr>
      </w:pPr>
    </w:p>
    <w:p>
      <w:pPr>
        <w:pStyle w:val="3"/>
        <w:rPr>
          <w:rFonts w:hint="eastAsia" w:ascii="宋体" w:hAnsi="宋体" w:cs="宋体"/>
          <w:b/>
          <w:bCs/>
          <w:color w:val="auto"/>
          <w:szCs w:val="21"/>
          <w:highlight w:val="none"/>
        </w:rPr>
      </w:pPr>
    </w:p>
    <w:p>
      <w:pPr>
        <w:pStyle w:val="3"/>
        <w:rPr>
          <w:rFonts w:hint="eastAsia" w:ascii="宋体" w:hAnsi="宋体" w:cs="宋体"/>
          <w:b/>
          <w:bCs/>
          <w:color w:val="auto"/>
          <w:szCs w:val="21"/>
          <w:highlight w:val="none"/>
        </w:rPr>
      </w:pPr>
    </w:p>
    <w:p>
      <w:pPr>
        <w:pStyle w:val="3"/>
        <w:rPr>
          <w:rFonts w:hint="eastAsia" w:ascii="宋体" w:hAnsi="宋体" w:cs="宋体"/>
          <w:b/>
          <w:bCs/>
          <w:color w:val="auto"/>
          <w:szCs w:val="21"/>
          <w:highlight w:val="none"/>
        </w:rPr>
      </w:pPr>
    </w:p>
    <w:p>
      <w:pPr>
        <w:pStyle w:val="3"/>
        <w:rPr>
          <w:rFonts w:hint="eastAsia" w:ascii="宋体" w:hAnsi="宋体" w:cs="宋体"/>
          <w:b/>
          <w:bCs/>
          <w:color w:val="auto"/>
          <w:szCs w:val="21"/>
          <w:highlight w:val="none"/>
        </w:rPr>
      </w:pPr>
    </w:p>
    <w:p>
      <w:pPr>
        <w:pStyle w:val="3"/>
        <w:rPr>
          <w:rFonts w:hint="eastAsia" w:ascii="宋体" w:hAnsi="宋体" w:cs="宋体"/>
          <w:b/>
          <w:bCs/>
          <w:color w:val="auto"/>
          <w:szCs w:val="21"/>
          <w:highlight w:val="none"/>
        </w:rPr>
      </w:pPr>
    </w:p>
    <w:p>
      <w:pPr>
        <w:pStyle w:val="3"/>
        <w:rPr>
          <w:rFonts w:hint="eastAsia" w:ascii="宋体" w:hAnsi="宋体" w:cs="宋体"/>
          <w:b/>
          <w:bCs/>
          <w:color w:val="auto"/>
          <w:szCs w:val="21"/>
          <w:highlight w:val="none"/>
        </w:rPr>
      </w:pPr>
    </w:p>
    <w:p>
      <w:pPr>
        <w:pStyle w:val="3"/>
        <w:rPr>
          <w:rFonts w:hint="eastAsia" w:ascii="宋体" w:hAnsi="宋体" w:cs="宋体"/>
          <w:b/>
          <w:bCs/>
          <w:color w:val="auto"/>
          <w:szCs w:val="21"/>
          <w:highlight w:val="none"/>
        </w:rPr>
      </w:pPr>
    </w:p>
    <w:p>
      <w:pPr>
        <w:pStyle w:val="3"/>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附件7 ：不诚信行为的情形及相应被暂停参与投标活动的处理标准</w:t>
      </w:r>
    </w:p>
    <w:p>
      <w:pPr>
        <w:pStyle w:val="50"/>
        <w:rPr>
          <w:rFonts w:hAnsi="宋体" w:eastAsia="宋体"/>
          <w:color w:val="auto"/>
          <w:szCs w:val="21"/>
          <w:highlight w:val="none"/>
        </w:rPr>
      </w:pPr>
    </w:p>
    <w:p>
      <w:pPr>
        <w:adjustRightInd w:val="0"/>
        <w:snapToGrid w:val="0"/>
        <w:rPr>
          <w:rFonts w:ascii="宋体" w:hAnsi="宋体" w:cs="宋体"/>
          <w:color w:val="auto"/>
          <w:sz w:val="24"/>
          <w:highlight w:val="none"/>
        </w:rPr>
      </w:pPr>
    </w:p>
    <w:p>
      <w:pPr>
        <w:adjustRightInd w:val="0"/>
        <w:snapToGrid w:val="0"/>
        <w:rPr>
          <w:rFonts w:ascii="宋体" w:hAnsi="宋体" w:cs="宋体"/>
          <w:color w:val="auto"/>
          <w:sz w:val="24"/>
          <w:highlight w:val="none"/>
        </w:rPr>
      </w:pPr>
    </w:p>
    <w:p>
      <w:pPr>
        <w:adjustRightInd w:val="0"/>
        <w:snapToGrid w:val="0"/>
        <w:jc w:val="center"/>
        <w:rPr>
          <w:rFonts w:ascii="宋体" w:hAnsi="宋体" w:cs="宋体"/>
          <w:color w:val="auto"/>
          <w:sz w:val="24"/>
          <w:highlight w:val="none"/>
        </w:rPr>
      </w:pPr>
      <w:r>
        <w:rPr>
          <w:rFonts w:hint="eastAsia" w:ascii="宋体" w:hAnsi="宋体" w:cs="宋体"/>
          <w:color w:val="auto"/>
          <w:sz w:val="24"/>
          <w:highlight w:val="none"/>
        </w:rPr>
        <w:t>不诚信行为的情形及相应被暂停参与投标活动的处理标准</w:t>
      </w:r>
    </w:p>
    <w:tbl>
      <w:tblPr>
        <w:tblStyle w:val="24"/>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处理</w:t>
            </w:r>
          </w:p>
          <w:p>
            <w:pPr>
              <w:adjustRightInd w:val="0"/>
              <w:snapToGrid w:val="0"/>
              <w:rPr>
                <w:rFonts w:ascii="宋体" w:hAnsi="宋体" w:cs="宋体"/>
                <w:color w:val="auto"/>
                <w:szCs w:val="21"/>
                <w:highlight w:val="none"/>
              </w:rPr>
            </w:pPr>
            <w:r>
              <w:rPr>
                <w:rFonts w:hint="eastAsia" w:ascii="宋体" w:hAnsi="宋体" w:cs="宋体"/>
                <w:color w:val="auto"/>
                <w:szCs w:val="21"/>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（一）建设生产现场发生人员重伤或死亡的。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发生重伤或死亡1～2人的，暂停投标1年至2年（含）。</w:t>
            </w:r>
          </w:p>
          <w:p>
            <w:pPr>
              <w:adjustRightInd w:val="0"/>
              <w:snapToGrid w:val="0"/>
              <w:rPr>
                <w:rFonts w:ascii="宋体" w:hAnsi="宋体" w:cs="宋体"/>
                <w:color w:val="auto"/>
                <w:szCs w:val="21"/>
                <w:highlight w:val="none"/>
              </w:rPr>
            </w:pPr>
            <w:r>
              <w:rPr>
                <w:rFonts w:hint="eastAsia" w:ascii="宋体" w:hAnsi="宋体" w:cs="宋体"/>
                <w:color w:val="auto"/>
                <w:szCs w:val="21"/>
                <w:highlight w:val="none"/>
              </w:rPr>
              <w:t>发生重伤或死亡3～9人的，暂停投标2年以上至4年。</w:t>
            </w:r>
          </w:p>
          <w:p>
            <w:pPr>
              <w:adjustRightInd w:val="0"/>
              <w:snapToGrid w:val="0"/>
              <w:rPr>
                <w:rFonts w:ascii="宋体" w:hAnsi="宋体" w:cs="宋体"/>
                <w:color w:val="auto"/>
                <w:szCs w:val="21"/>
                <w:highlight w:val="none"/>
              </w:rPr>
            </w:pPr>
            <w:r>
              <w:rPr>
                <w:rFonts w:hint="eastAsia" w:ascii="宋体" w:hAnsi="宋体" w:cs="宋体"/>
                <w:color w:val="auto"/>
                <w:szCs w:val="21"/>
                <w:highlight w:val="none"/>
              </w:rPr>
              <w:t>发生重伤10人以上（含）、或重大及以上事故的，暂停投标4年或以上。</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大面积运营晚点，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（三）根据《广州市净水有限公司工程项目承包单位考评细则》安全管理未达标且符合限制投标处罚标准的。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（二）根据《广州市净水有限公司工程项目承包单位考评细则》质量管理未达标且符合限制投标处罚标准的。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其他不诚信</w:t>
            </w:r>
          </w:p>
          <w:p>
            <w:pPr>
              <w:adjustRightInd w:val="0"/>
              <w:snapToGrid w:val="0"/>
              <w:rPr>
                <w:rFonts w:ascii="宋体" w:hAnsi="宋体" w:cs="宋体"/>
                <w:color w:val="auto"/>
                <w:szCs w:val="21"/>
                <w:highlight w:val="none"/>
              </w:rPr>
            </w:pPr>
            <w:r>
              <w:rPr>
                <w:rFonts w:hint="eastAsia" w:ascii="宋体" w:hAnsi="宋体" w:cs="宋体"/>
                <w:color w:val="auto"/>
                <w:szCs w:val="21"/>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（一）投标、询价过程弄虚作假、串通报价投标、任意弃标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（十二）经发包人认定的其他不诚信行为。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bl>
    <w:p>
      <w:pPr>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备注：本处理标准出自《广州市净水有限公司经营建设项目参建企业不诚信行为管理办法》。</w:t>
      </w:r>
    </w:p>
    <w:p>
      <w:pPr>
        <w:pStyle w:val="2"/>
        <w:rPr>
          <w:rFonts w:hint="eastAsia" w:ascii="宋体" w:hAnsi="宋体" w:cs="仿宋_GB2312"/>
          <w:color w:val="auto"/>
          <w:sz w:val="24"/>
          <w:highlight w:val="none"/>
        </w:rPr>
      </w:pPr>
    </w:p>
    <w:p>
      <w:pPr>
        <w:pStyle w:val="3"/>
        <w:rPr>
          <w:color w:val="auto"/>
          <w:highlight w:val="none"/>
        </w:rPr>
      </w:pPr>
    </w:p>
    <w:p>
      <w:pPr>
        <w:pStyle w:val="3"/>
        <w:rPr>
          <w:color w:val="auto"/>
          <w:highlight w:val="none"/>
        </w:rPr>
      </w:pPr>
    </w:p>
    <w:p>
      <w:pPr>
        <w:pStyle w:val="3"/>
        <w:rPr>
          <w:rFonts w:hint="default" w:eastAsiaTheme="minorEastAsia"/>
          <w:color w:val="auto"/>
          <w:highlight w:val="none"/>
          <w:lang w:val="en-US" w:eastAsia="zh-CN"/>
        </w:rPr>
      </w:pPr>
      <w:r>
        <w:rPr>
          <w:rFonts w:hint="eastAsia"/>
          <w:color w:val="auto"/>
          <w:highlight w:val="none"/>
          <w:lang w:val="en-US" w:eastAsia="zh-CN"/>
        </w:rPr>
        <w:t>附件8</w:t>
      </w:r>
    </w:p>
    <w:tbl>
      <w:tblPr>
        <w:tblStyle w:val="24"/>
        <w:tblpPr w:leftFromText="180" w:rightFromText="180" w:vertAnchor="text" w:horzAnchor="page" w:tblpX="1847" w:tblpY="783"/>
        <w:tblOverlap w:val="never"/>
        <w:tblW w:w="0" w:type="auto"/>
        <w:jc w:val="center"/>
        <w:tblLayout w:type="autofit"/>
        <w:tblCellMar>
          <w:top w:w="0" w:type="dxa"/>
          <w:left w:w="0" w:type="dxa"/>
          <w:bottom w:w="0" w:type="dxa"/>
          <w:right w:w="0" w:type="dxa"/>
        </w:tblCellMar>
      </w:tblPr>
      <w:tblGrid>
        <w:gridCol w:w="344"/>
        <w:gridCol w:w="876"/>
        <w:gridCol w:w="707"/>
        <w:gridCol w:w="2322"/>
        <w:gridCol w:w="1142"/>
        <w:gridCol w:w="1152"/>
        <w:gridCol w:w="1152"/>
        <w:gridCol w:w="1173"/>
      </w:tblGrid>
      <w:tr>
        <w:tblPrEx>
          <w:tblCellMar>
            <w:top w:w="0" w:type="dxa"/>
            <w:left w:w="0" w:type="dxa"/>
            <w:bottom w:w="0" w:type="dxa"/>
            <w:right w:w="0" w:type="dxa"/>
          </w:tblCellMar>
        </w:tblPrEx>
        <w:trPr>
          <w:trHeight w:val="300" w:hRule="atLeast"/>
          <w:jc w:val="center"/>
        </w:trPr>
        <w:tc>
          <w:tcPr>
            <w:tcW w:w="0" w:type="auto"/>
            <w:gridSpan w:val="2"/>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附件2-1</w:t>
            </w:r>
          </w:p>
        </w:tc>
        <w:tc>
          <w:tcPr>
            <w:tcW w:w="0" w:type="auto"/>
            <w:tcBorders>
              <w:top w:val="nil"/>
              <w:left w:val="nil"/>
              <w:bottom w:val="nil"/>
              <w:right w:val="nil"/>
            </w:tcBorders>
            <w:noWrap/>
            <w:tcMar>
              <w:top w:w="12" w:type="dxa"/>
              <w:left w:w="12" w:type="dxa"/>
              <w:right w:w="12" w:type="dxa"/>
            </w:tcMar>
            <w:vAlign w:val="center"/>
          </w:tcPr>
          <w:p>
            <w:pPr>
              <w:jc w:val="left"/>
              <w:rPr>
                <w:rFonts w:ascii="等线" w:hAnsi="等线" w:eastAsia="等线" w:cs="等线"/>
                <w:color w:val="auto"/>
                <w:sz w:val="16"/>
                <w:szCs w:val="16"/>
                <w:highlight w:val="none"/>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0" w:type="auto"/>
            <w:tcBorders>
              <w:top w:val="nil"/>
              <w:left w:val="nil"/>
              <w:bottom w:val="nil"/>
              <w:right w:val="nil"/>
            </w:tcBorders>
            <w:noWrap/>
            <w:tcMar>
              <w:top w:w="12" w:type="dxa"/>
              <w:left w:w="12" w:type="dxa"/>
              <w:right w:w="12" w:type="dxa"/>
            </w:tcMar>
            <w:vAlign w:val="center"/>
          </w:tcPr>
          <w:p>
            <w:pPr>
              <w:jc w:val="center"/>
              <w:rPr>
                <w:rFonts w:ascii="等线" w:hAnsi="等线" w:eastAsia="等线" w:cs="等线"/>
                <w:color w:val="auto"/>
                <w:sz w:val="16"/>
                <w:szCs w:val="16"/>
                <w:highlight w:val="none"/>
              </w:rPr>
            </w:pPr>
          </w:p>
        </w:tc>
      </w:tr>
      <w:tr>
        <w:tblPrEx>
          <w:tblCellMar>
            <w:top w:w="0" w:type="dxa"/>
            <w:left w:w="0" w:type="dxa"/>
            <w:bottom w:w="0" w:type="dxa"/>
            <w:right w:w="0" w:type="dxa"/>
          </w:tblCellMar>
        </w:tblPrEx>
        <w:trPr>
          <w:trHeight w:val="320" w:hRule="atLeast"/>
          <w:jc w:val="center"/>
        </w:trPr>
        <w:tc>
          <w:tcPr>
            <w:tcW w:w="0" w:type="auto"/>
            <w:gridSpan w:val="8"/>
            <w:tcBorders>
              <w:top w:val="nil"/>
              <w:left w:val="nil"/>
              <w:bottom w:val="nil"/>
              <w:right w:val="nil"/>
            </w:tcBorders>
            <w:noWrap/>
            <w:tcMar>
              <w:top w:w="12" w:type="dxa"/>
              <w:left w:w="12" w:type="dxa"/>
              <w:right w:w="12" w:type="dxa"/>
            </w:tcMar>
            <w:vAlign w:val="center"/>
          </w:tcPr>
          <w:p>
            <w:pPr>
              <w:widowControl/>
              <w:jc w:val="center"/>
              <w:textAlignment w:val="center"/>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营运项目承包单位日常履约考评参照表（安全）</w:t>
            </w:r>
          </w:p>
        </w:tc>
      </w:tr>
      <w:tr>
        <w:tblPrEx>
          <w:tblCellMar>
            <w:top w:w="0" w:type="dxa"/>
            <w:left w:w="0" w:type="dxa"/>
            <w:bottom w:w="0" w:type="dxa"/>
            <w:right w:w="0" w:type="dxa"/>
          </w:tblCellMar>
        </w:tblPrEx>
        <w:trPr>
          <w:trHeight w:val="10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考评项目</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考评内容</w:t>
            </w:r>
          </w:p>
        </w:tc>
        <w:tc>
          <w:tcPr>
            <w:tcW w:w="0" w:type="auto"/>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等线" w:hAnsi="等线" w:eastAsia="等线" w:cs="等线"/>
                <w:color w:val="auto"/>
                <w:sz w:val="16"/>
                <w:szCs w:val="16"/>
                <w:highlight w:val="none"/>
              </w:rPr>
            </w:pPr>
          </w:p>
        </w:tc>
      </w:tr>
      <w:tr>
        <w:tblPrEx>
          <w:tblCellMar>
            <w:top w:w="0" w:type="dxa"/>
            <w:left w:w="0" w:type="dxa"/>
            <w:bottom w:w="0" w:type="dxa"/>
            <w:right w:w="0" w:type="dxa"/>
          </w:tblCellMar>
        </w:tblPrEx>
        <w:trPr>
          <w:trHeight w:val="4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合同金额＜5万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5万≤合同金额＜30万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30万≤合同金额＜100万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合同金额≥100万</w:t>
            </w:r>
          </w:p>
        </w:tc>
      </w:tr>
      <w:tr>
        <w:tblPrEx>
          <w:tblCellMar>
            <w:top w:w="0" w:type="dxa"/>
            <w:left w:w="0" w:type="dxa"/>
            <w:bottom w:w="0" w:type="dxa"/>
            <w:right w:w="0"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安全事故</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事故类型</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发生发生3人及以上重伤或发生1人及以上死亡或直接经济损失达200万元以上的安全生产事故</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按“四不放过”调查后处理</w:t>
            </w:r>
          </w:p>
        </w:tc>
      </w:tr>
      <w:tr>
        <w:tblPrEx>
          <w:tblCellMar>
            <w:top w:w="0" w:type="dxa"/>
            <w:left w:w="0" w:type="dxa"/>
            <w:bottom w:w="0" w:type="dxa"/>
            <w:right w:w="0" w:type="dxa"/>
          </w:tblCellMar>
        </w:tblPrEx>
        <w:trPr>
          <w:trHeight w:val="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发生重伤2人安全事故的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扣合同金额的30%～50%；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扣合同金额的20%～30%；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扣合同金额的10%～20%；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或4万～8万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扣合同金额的5%～10%;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或8万～12万</w:t>
            </w:r>
          </w:p>
        </w:tc>
      </w:tr>
      <w:tr>
        <w:tblPrEx>
          <w:tblCellMar>
            <w:top w:w="0" w:type="dxa"/>
            <w:left w:w="0" w:type="dxa"/>
            <w:bottom w:w="0" w:type="dxa"/>
            <w:right w:w="0" w:type="dxa"/>
          </w:tblCellMar>
        </w:tblPrEx>
        <w:trPr>
          <w:trHeight w:val="8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3</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发生重伤1人安全事故的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扣合同金额的20%～30%;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或5000～1万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扣合同金额的10%～20%；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扣合同金额的5%～10%；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扣合同金额的3%～5%；</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或4万～8万</w:t>
            </w:r>
          </w:p>
        </w:tc>
      </w:tr>
      <w:tr>
        <w:tblPrEx>
          <w:tblCellMar>
            <w:top w:w="0" w:type="dxa"/>
            <w:left w:w="0" w:type="dxa"/>
            <w:bottom w:w="0" w:type="dxa"/>
            <w:right w:w="0" w:type="dxa"/>
          </w:tblCellMar>
        </w:tblPrEx>
        <w:trPr>
          <w:trHeight w:val="6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4</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发生停产、影响环境、破坏公共设施、造成不良影响等事故的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扣合同金额的10%～20%；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或2000～3000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扣合同金额的5%～10%；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或5000～1万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扣合同金额的3%～5%；</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扣合同金额的1%～2%；</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或2万～4万</w:t>
            </w:r>
          </w:p>
        </w:tc>
      </w:tr>
      <w:tr>
        <w:tblPrEx>
          <w:tblCellMar>
            <w:top w:w="0" w:type="dxa"/>
            <w:left w:w="0" w:type="dxa"/>
            <w:bottom w:w="0" w:type="dxa"/>
            <w:right w:w="0" w:type="dxa"/>
          </w:tblCellMar>
        </w:tblPrEx>
        <w:trPr>
          <w:trHeight w:val="14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5</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1.发生事故或事件隐瞒不报的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2.未在1小时内向业主单位上报事故的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3.拒绝、不配合事故事件调查的或事故事件调查提供虚假信息</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4.未按规定和程序组织事故调查和事故处理的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5.未及时处理导致事故扩大的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6.未落实“四不放过”的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扣合同金额的30%～50%；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扣合同金额的20%～30%；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扣合同金额的10%～20%；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或4万～8万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扣合同金额的5%～10%;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或8万～12万</w:t>
            </w:r>
          </w:p>
        </w:tc>
      </w:tr>
      <w:tr>
        <w:tblPrEx>
          <w:tblCellMar>
            <w:top w:w="0" w:type="dxa"/>
            <w:left w:w="0" w:type="dxa"/>
            <w:bottom w:w="0" w:type="dxa"/>
            <w:right w:w="0" w:type="dxa"/>
          </w:tblCellMar>
        </w:tblPrEx>
        <w:trPr>
          <w:trHeight w:val="13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6</w:t>
            </w:r>
          </w:p>
        </w:tc>
        <w:tc>
          <w:tcPr>
            <w:tcW w:w="0" w:type="auto"/>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首次备案施工单位须提供的资料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一般资料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1.施工人员签名的安全交底表（交底内容由分公司编写），被交底人员应与人员花名册一致</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2.施工单位对施工人员的三级安全教育材料</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3.特殊时期需要增加的资料（如新冠疫情期间，需要增加的人员健康码和行程码资料）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缺资料扣合同金额的5%或500；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缺资料扣合同金额的2%或2000；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缺资料扣合同金额的1%或4500；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资料有问题扣合同金额的0.4%或2000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缺资料扣合同金额的0.4%或8000；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资料有问题扣合同金额的0.2%或4000</w:t>
            </w:r>
          </w:p>
        </w:tc>
      </w:tr>
      <w:tr>
        <w:tblPrEx>
          <w:tblCellMar>
            <w:top w:w="0" w:type="dxa"/>
            <w:left w:w="0" w:type="dxa"/>
            <w:bottom w:w="0" w:type="dxa"/>
            <w:right w:w="0" w:type="dxa"/>
          </w:tblCellMar>
        </w:tblPrEx>
        <w:trPr>
          <w:trHeight w:val="1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7</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施工方案</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4.施工方案，应满足合同要求，内容至少包括：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施工点介绍</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施工内容（含作业流程、风险分析、施工工艺等）</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施工设备和材料（必要时含构件测试手段等）</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安全措施（根据工程特点、分公司的风险评估和施工单位的施工工艺制定）</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正常施工安全物资（主要是安全防护设备、劳保用品）</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缺施工方案扣合同金额的6%或700；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缺施工方案扣合同金额的3%或3500；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缺施工方案扣合同金额的1.5%或5000；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缺施工方案扣合同金额的0.5%或1万；</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资料有问题扣合同金额的0.3%或5000</w:t>
            </w:r>
          </w:p>
        </w:tc>
      </w:tr>
      <w:tr>
        <w:tblPrEx>
          <w:tblCellMar>
            <w:top w:w="0" w:type="dxa"/>
            <w:left w:w="0" w:type="dxa"/>
            <w:bottom w:w="0" w:type="dxa"/>
            <w:right w:w="0" w:type="dxa"/>
          </w:tblCellMar>
        </w:tblPrEx>
        <w:trPr>
          <w:trHeight w:val="21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8</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应急预案</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5.应急预案，内容至少包括：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现场情况介绍</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风险评估</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应急架构（包括应急主管人员和安全员，以及各应急小组，落实到人和联系方式）</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应急流程</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各种风险情况下的应急措施（根据现场情况、分公司的风险评估制定）</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应急物资清单</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外单位救援力量及联系方式等</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缺应急预案扣合同金额的6%或700；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缺应急预案扣合同金额的3%或3500；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缺应急预案扣合同金额的1.5%或5000；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缺应急预案扣合同金额的0.5%或1万；</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资料有问题扣合同金额的0.3%或5000</w:t>
            </w:r>
          </w:p>
        </w:tc>
      </w:tr>
      <w:tr>
        <w:tblPrEx>
          <w:tblCellMar>
            <w:top w:w="0" w:type="dxa"/>
            <w:left w:w="0" w:type="dxa"/>
            <w:bottom w:w="0" w:type="dxa"/>
            <w:right w:w="0" w:type="dxa"/>
          </w:tblCellMar>
        </w:tblPrEx>
        <w:trPr>
          <w:trHeight w:val="1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9</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安全架构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6.安全架构和相应安全责任制（落实到人和联系方式），可编写入施工方案内，架构人员主要包括：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安全责任人</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施工负责人（可与安全责任人为同一个人）</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安全员</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设备、物资管理人员</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关键岗位人员、特种作业人员</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缺安全架构扣合同金额的10%或2000；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缺少任何一类人员及其职责的扣合同金额的6%或700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缺安全架构扣合同金额的5%或5000；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缺少任何一类人员及其职责的扣合同金额的2%或2000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缺安全架构扣合同金额的2%或1万；</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缺少任何一类人员及其职责的扣合同金额的1%或5000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缺安全架构扣合同金额的1%或2万；</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缺少任何一类人员及其职责的扣合同金额的0.5%或1万</w:t>
            </w:r>
          </w:p>
        </w:tc>
      </w:tr>
      <w:tr>
        <w:tblPrEx>
          <w:tblCellMar>
            <w:top w:w="0" w:type="dxa"/>
            <w:left w:w="0" w:type="dxa"/>
            <w:bottom w:w="0" w:type="dxa"/>
            <w:right w:w="0" w:type="dxa"/>
          </w:tblCellMar>
        </w:tblPrEx>
        <w:trPr>
          <w:trHeight w:val="2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10</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人员资质</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7.施工人员花名册，人员应包含：</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施工负责人（需要施工管理人员资格证书）</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安全员（涉及动火、临时用电、有限空间、高空、抽堵盲板、吊装、动土、断路、设备检修等9大危险作业的，安全员需要有安全员证）</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特种作业人员（附证件号，同时要复印特种作业证，特种作业人数应满足合同要求）</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一般施工人员</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可能需要进入厂区的其他人员（如监理人员、资料员等）</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注：如作业涉及危险作业，作业人员须有作业人员岗前职业病体检和筛选</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缺花名册扣合同金额的5%或500；</w:t>
            </w:r>
          </w:p>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缺特种作业人员或特种作业人员不满足合同要求，扣合同金额的5%或500；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缺花名册扣合同金额的2%或2000；</w:t>
            </w:r>
          </w:p>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缺特种作业人员或特种作业人员不满足合同要求，扣合同金额的2%或2000；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缺花名册扣合同金额的1%或4500；</w:t>
            </w:r>
          </w:p>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缺特种作业人员或特种作业人员不满足合同要求，扣合同金额的1%或4500；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其他人员或资料有缺漏扣合同金额的0.4%或2000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缺花名册扣合同金额的0.4%或8000；</w:t>
            </w:r>
          </w:p>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缺特种作业人员或特种作业人员不满足合同要求，扣合同金额的0.4%或8000；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其他人员或资料有缺漏扣合同金额的0.2%或4000</w:t>
            </w:r>
          </w:p>
        </w:tc>
      </w:tr>
      <w:tr>
        <w:tblPrEx>
          <w:tblCellMar>
            <w:top w:w="0" w:type="dxa"/>
            <w:left w:w="0" w:type="dxa"/>
            <w:bottom w:w="0" w:type="dxa"/>
            <w:right w:w="0" w:type="dxa"/>
          </w:tblCellMar>
        </w:tblPrEx>
        <w:trPr>
          <w:trHeight w:val="12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11</w:t>
            </w:r>
          </w:p>
        </w:tc>
        <w:tc>
          <w:tcPr>
            <w:tcW w:w="0" w:type="auto"/>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施工现场管理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现场面貌</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1.施工现场未开展有效围蔽</w:t>
            </w:r>
          </w:p>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2.无七牌一图或有缺漏（七牌：工程概况牌：管理人员名单及监督电话牌、现场事故应急救援预案公示牌、安全生产牌、文明施工牌、消防保卫牌、环境保护牌；一图：施工现场平面图）</w:t>
            </w:r>
          </w:p>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3.现场无危险源公示、告知及相应警示</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4.材料堆放存在重大隐患</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扣合同金额的0.5%或1万</w:t>
            </w:r>
          </w:p>
        </w:tc>
      </w:tr>
      <w:tr>
        <w:tblPrEx>
          <w:tblCellMar>
            <w:top w:w="0" w:type="dxa"/>
            <w:left w:w="0" w:type="dxa"/>
            <w:bottom w:w="0" w:type="dxa"/>
            <w:right w:w="0" w:type="dxa"/>
          </w:tblCellMar>
        </w:tblPrEx>
        <w:trPr>
          <w:trHeight w:val="7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12</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1.现场未按施工方案落实安全防范措施的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2.危险作业未经业主人员审批先行施工的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3.未按施工方案施工的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扣合同金额的10%或2000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扣合同金额的2%或1万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扣合同金额的1%或2万</w:t>
            </w:r>
          </w:p>
        </w:tc>
      </w:tr>
      <w:tr>
        <w:tblPrEx>
          <w:tblCellMar>
            <w:top w:w="0" w:type="dxa"/>
            <w:left w:w="0" w:type="dxa"/>
            <w:bottom w:w="0" w:type="dxa"/>
            <w:right w:w="0" w:type="dxa"/>
          </w:tblCellMar>
        </w:tblPrEx>
        <w:trPr>
          <w:trHeight w:val="9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13</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每日安全交底</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1.缺少书面交底、未留存书面资料或交底资料缺少交底人、被交底人及安全员签字的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2.内容未结合当天的现场状况、特点、工序，对危险因素、施工内容、安全作业和应急措施进行交底的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14</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作业行为管理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1.违反9大危险作业相关作业规范的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2.现场存在违章作业、违章指挥等违反相关安全管理规定或制度的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3.人员错误使用劳保用品3次以上的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扣合同金额的0.5%或1万</w:t>
            </w:r>
          </w:p>
        </w:tc>
      </w:tr>
      <w:tr>
        <w:tblPrEx>
          <w:tblCellMar>
            <w:top w:w="0" w:type="dxa"/>
            <w:left w:w="0" w:type="dxa"/>
            <w:bottom w:w="0" w:type="dxa"/>
            <w:right w:w="0"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15</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安全记录</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未按施工要求开展现场记录或记录内容有缺失</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7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16</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1.未设置应急物资点，未统一存放应急物资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2.应急物资点无应急物资清单或无应急物资每日检查表</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3.无开展日常应急培训、训练、演练或无资料留档的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17</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人员变更无完善的手续及资料的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18</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隐患管理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未及时对发现的隐患开展整改的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扣合同金额的5%或500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扣合同金额的2%或2000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扣合同金额的1%或4500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扣合同金额的0.4%或8000</w:t>
            </w:r>
          </w:p>
        </w:tc>
      </w:tr>
      <w:tr>
        <w:tblPrEx>
          <w:tblCellMar>
            <w:top w:w="0" w:type="dxa"/>
            <w:left w:w="0" w:type="dxa"/>
            <w:bottom w:w="0" w:type="dxa"/>
            <w:right w:w="0" w:type="dxa"/>
          </w:tblCellMar>
        </w:tblPrEx>
        <w:trPr>
          <w:trHeight w:val="6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19</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违反业主或上级主管部门提出的其他管理要求、文件、规定或拒不执行的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扣合同金额的3%～5%；</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或300～500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扣合同金额的1%～2%；</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或1000～2000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扣合同金额的0.5%～1%；</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或2500～4500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扣合同金额的0.3%～0.4%；</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或5000～8000</w:t>
            </w:r>
          </w:p>
        </w:tc>
      </w:tr>
      <w:tr>
        <w:tblPrEx>
          <w:tblCellMar>
            <w:top w:w="0" w:type="dxa"/>
            <w:left w:w="0" w:type="dxa"/>
            <w:bottom w:w="0" w:type="dxa"/>
            <w:right w:w="0"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20</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280" w:hRule="atLeast"/>
          <w:jc w:val="center"/>
        </w:trPr>
        <w:tc>
          <w:tcPr>
            <w:tcW w:w="0" w:type="auto"/>
            <w:gridSpan w:val="8"/>
            <w:tcBorders>
              <w:top w:val="nil"/>
              <w:left w:val="nil"/>
              <w:bottom w:val="nil"/>
              <w:right w:val="nil"/>
            </w:tcBorders>
            <w:tcMar>
              <w:top w:w="12" w:type="dxa"/>
              <w:left w:w="12" w:type="dxa"/>
              <w:right w:w="12" w:type="dxa"/>
            </w:tcMar>
            <w:vAlign w:val="center"/>
          </w:tcPr>
          <w:p>
            <w:pPr>
              <w:widowControl/>
              <w:jc w:val="left"/>
              <w:textAlignment w:val="center"/>
              <w:rPr>
                <w:color w:val="auto"/>
                <w:sz w:val="13"/>
                <w:szCs w:val="13"/>
                <w:highlight w:val="none"/>
              </w:rPr>
            </w:pPr>
            <w:r>
              <w:rPr>
                <w:rFonts w:hint="eastAsia"/>
                <w:color w:val="auto"/>
                <w:sz w:val="13"/>
                <w:szCs w:val="13"/>
                <w:highlight w:val="none"/>
              </w:rPr>
              <w:t>注：1、与安全管理相关的考评内容具体考评标准内容参照广州市净水有限公司标准《工程项目安全管理规范》（Q/GZJSA 1-2021）执行。</w:t>
            </w:r>
          </w:p>
          <w:p>
            <w:pPr>
              <w:rPr>
                <w:color w:val="auto"/>
                <w:highlight w:val="none"/>
              </w:rPr>
            </w:pPr>
            <w:r>
              <w:rPr>
                <w:rFonts w:hint="eastAsia" w:ascii="仿宋_GB2312" w:hAnsi="仿宋_GB2312" w:eastAsia="仿宋_GB2312" w:cs="仿宋_GB2312"/>
                <w:color w:val="auto"/>
                <w:sz w:val="13"/>
                <w:szCs w:val="13"/>
                <w:highlight w:val="none"/>
              </w:rPr>
              <w:t>2.本处理标准出自《</w:t>
            </w:r>
            <w:r>
              <w:rPr>
                <w:rFonts w:hint="eastAsia" w:ascii="宋体" w:hAnsi="宋体" w:cs="宋体"/>
                <w:color w:val="auto"/>
                <w:sz w:val="13"/>
                <w:szCs w:val="13"/>
                <w:highlight w:val="none"/>
              </w:rPr>
              <w:t>广州净水公司工程项目承包单位质量安全考评细则（试行）</w:t>
            </w:r>
            <w:r>
              <w:rPr>
                <w:rFonts w:hint="eastAsia" w:ascii="仿宋_GB2312" w:hAnsi="仿宋_GB2312" w:eastAsia="仿宋_GB2312" w:cs="仿宋_GB2312"/>
                <w:color w:val="auto"/>
                <w:sz w:val="13"/>
                <w:szCs w:val="13"/>
                <w:highlight w:val="none"/>
              </w:rPr>
              <w:t>》。</w:t>
            </w:r>
          </w:p>
          <w:p>
            <w:pPr>
              <w:pStyle w:val="23"/>
              <w:ind w:firstLine="1126"/>
              <w:rPr>
                <w:rFonts w:hint="default" w:eastAsia="仿宋_GB2312"/>
                <w:color w:val="auto"/>
                <w:highlight w:val="none"/>
                <w:lang w:val="en-US" w:eastAsia="zh-CN"/>
              </w:rPr>
            </w:pPr>
          </w:p>
        </w:tc>
      </w:tr>
    </w:tbl>
    <w:p>
      <w:pPr>
        <w:jc w:val="left"/>
        <w:rPr>
          <w:rFonts w:hint="eastAsia"/>
          <w:color w:val="auto"/>
          <w:highlight w:val="none"/>
          <w:lang w:val="en-US" w:eastAsia="zh-CN"/>
        </w:rPr>
      </w:pPr>
    </w:p>
    <w:p>
      <w:pPr>
        <w:jc w:val="left"/>
        <w:rPr>
          <w:rFonts w:hint="eastAsia"/>
          <w:color w:val="auto"/>
          <w:highlight w:val="none"/>
          <w:lang w:val="en-US" w:eastAsia="zh-CN"/>
        </w:rPr>
      </w:pPr>
    </w:p>
    <w:p>
      <w:pPr>
        <w:jc w:val="left"/>
        <w:rPr>
          <w:rFonts w:hint="eastAsia"/>
          <w:color w:val="auto"/>
          <w:highlight w:val="none"/>
          <w:lang w:val="en-US" w:eastAsia="zh-CN"/>
        </w:rPr>
      </w:pPr>
    </w:p>
    <w:p>
      <w:pPr>
        <w:jc w:val="left"/>
        <w:rPr>
          <w:rFonts w:hint="eastAsia"/>
          <w:color w:val="auto"/>
          <w:highlight w:val="none"/>
          <w:lang w:val="en-US" w:eastAsia="zh-CN"/>
        </w:rPr>
      </w:pPr>
    </w:p>
    <w:p>
      <w:pPr>
        <w:jc w:val="left"/>
        <w:rPr>
          <w:rFonts w:hint="eastAsia"/>
          <w:color w:val="auto"/>
          <w:highlight w:val="none"/>
          <w:lang w:val="en-US" w:eastAsia="zh-CN"/>
        </w:rPr>
      </w:pPr>
    </w:p>
    <w:p>
      <w:pPr>
        <w:jc w:val="left"/>
        <w:rPr>
          <w:rFonts w:hint="eastAsia"/>
          <w:color w:val="auto"/>
          <w:highlight w:val="none"/>
          <w:lang w:val="en-US" w:eastAsia="zh-CN"/>
        </w:rPr>
      </w:pPr>
    </w:p>
    <w:p>
      <w:pPr>
        <w:jc w:val="left"/>
        <w:rPr>
          <w:rFonts w:hint="eastAsia"/>
          <w:color w:val="auto"/>
          <w:highlight w:val="none"/>
          <w:lang w:val="en-US" w:eastAsia="zh-CN"/>
        </w:rPr>
      </w:pPr>
    </w:p>
    <w:p>
      <w:pPr>
        <w:jc w:val="left"/>
        <w:rPr>
          <w:rFonts w:hint="eastAsia"/>
          <w:color w:val="auto"/>
          <w:highlight w:val="none"/>
          <w:lang w:val="en-US" w:eastAsia="zh-CN"/>
        </w:rPr>
      </w:pPr>
    </w:p>
    <w:p>
      <w:pPr>
        <w:jc w:val="left"/>
        <w:rPr>
          <w:rFonts w:hint="eastAsia"/>
          <w:color w:val="auto"/>
          <w:highlight w:val="none"/>
          <w:lang w:val="en-US" w:eastAsia="zh-CN"/>
        </w:rPr>
      </w:pPr>
    </w:p>
    <w:p>
      <w:pPr>
        <w:jc w:val="left"/>
        <w:rPr>
          <w:rFonts w:hint="eastAsia"/>
          <w:color w:val="auto"/>
          <w:highlight w:val="none"/>
          <w:lang w:val="en-US" w:eastAsia="zh-CN"/>
        </w:rPr>
      </w:pPr>
    </w:p>
    <w:p>
      <w:pPr>
        <w:jc w:val="left"/>
        <w:rPr>
          <w:rFonts w:hint="eastAsia"/>
          <w:color w:val="auto"/>
          <w:highlight w:val="none"/>
          <w:lang w:val="en-US" w:eastAsia="zh-CN"/>
        </w:rPr>
      </w:pPr>
    </w:p>
    <w:p>
      <w:pPr>
        <w:jc w:val="left"/>
        <w:rPr>
          <w:rFonts w:hint="eastAsia"/>
          <w:color w:val="auto"/>
          <w:highlight w:val="none"/>
          <w:lang w:val="en-US" w:eastAsia="zh-CN"/>
        </w:rPr>
      </w:pPr>
    </w:p>
    <w:p>
      <w:pPr>
        <w:jc w:val="left"/>
        <w:rPr>
          <w:rFonts w:hint="eastAsia"/>
          <w:color w:val="auto"/>
          <w:highlight w:val="none"/>
          <w:lang w:val="en-US" w:eastAsia="zh-CN"/>
        </w:rPr>
      </w:pPr>
    </w:p>
    <w:p>
      <w:pPr>
        <w:jc w:val="left"/>
        <w:rPr>
          <w:rFonts w:hint="default" w:eastAsia="宋体"/>
          <w:color w:val="auto"/>
          <w:highlight w:val="none"/>
          <w:lang w:val="en-US" w:eastAsia="zh-CN"/>
        </w:rPr>
      </w:pPr>
      <w:r>
        <w:rPr>
          <w:rFonts w:hint="eastAsia"/>
          <w:color w:val="auto"/>
          <w:highlight w:val="none"/>
          <w:lang w:val="en-US" w:eastAsia="zh-CN"/>
        </w:rPr>
        <w:t>附件9</w:t>
      </w:r>
    </w:p>
    <w:p>
      <w:pPr>
        <w:pStyle w:val="23"/>
        <w:ind w:left="0" w:leftChars="0" w:firstLine="0" w:firstLineChars="0"/>
        <w:rPr>
          <w:rFonts w:ascii="宋体" w:hAnsi="宋体" w:cs="宋体"/>
          <w:b/>
          <w:bCs/>
          <w:color w:val="auto"/>
          <w:sz w:val="24"/>
          <w:szCs w:val="24"/>
          <w:highlight w:val="none"/>
        </w:rPr>
      </w:pPr>
    </w:p>
    <w:p>
      <w:pPr>
        <w:pStyle w:val="23"/>
        <w:ind w:left="0" w:leftChars="0" w:firstLine="0" w:firstLineChars="0"/>
        <w:rPr>
          <w:rFonts w:ascii="宋体" w:hAnsi="宋体" w:cs="宋体"/>
          <w:b/>
          <w:bCs/>
          <w:color w:val="auto"/>
          <w:sz w:val="24"/>
          <w:szCs w:val="24"/>
          <w:highlight w:val="none"/>
        </w:rPr>
      </w:pPr>
    </w:p>
    <w:tbl>
      <w:tblPr>
        <w:tblStyle w:val="24"/>
        <w:tblW w:w="9300" w:type="dxa"/>
        <w:jc w:val="center"/>
        <w:tblLayout w:type="autofit"/>
        <w:tblCellMar>
          <w:top w:w="0" w:type="dxa"/>
          <w:left w:w="0" w:type="dxa"/>
          <w:bottom w:w="0" w:type="dxa"/>
          <w:right w:w="0" w:type="dxa"/>
        </w:tblCellMar>
      </w:tblPr>
      <w:tblGrid>
        <w:gridCol w:w="344"/>
        <w:gridCol w:w="454"/>
        <w:gridCol w:w="495"/>
        <w:gridCol w:w="3993"/>
        <w:gridCol w:w="1091"/>
        <w:gridCol w:w="757"/>
        <w:gridCol w:w="757"/>
        <w:gridCol w:w="757"/>
        <w:gridCol w:w="757"/>
        <w:gridCol w:w="756"/>
      </w:tblGrid>
      <w:tr>
        <w:tblPrEx>
          <w:tblCellMar>
            <w:top w:w="0" w:type="dxa"/>
            <w:left w:w="0" w:type="dxa"/>
            <w:bottom w:w="0" w:type="dxa"/>
            <w:right w:w="0" w:type="dxa"/>
          </w:tblCellMar>
        </w:tblPrEx>
        <w:trPr>
          <w:trHeight w:val="300" w:hRule="atLeast"/>
          <w:jc w:val="center"/>
        </w:trPr>
        <w:tc>
          <w:tcPr>
            <w:tcW w:w="798" w:type="dxa"/>
            <w:gridSpan w:val="2"/>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附件2-2</w:t>
            </w:r>
          </w:p>
        </w:tc>
        <w:tc>
          <w:tcPr>
            <w:tcW w:w="495" w:type="dxa"/>
            <w:tcBorders>
              <w:top w:val="nil"/>
              <w:left w:val="nil"/>
              <w:bottom w:val="nil"/>
              <w:right w:val="nil"/>
            </w:tcBorders>
            <w:noWrap/>
            <w:tcMar>
              <w:top w:w="12" w:type="dxa"/>
              <w:left w:w="12" w:type="dxa"/>
              <w:right w:w="12" w:type="dxa"/>
            </w:tcMar>
            <w:vAlign w:val="center"/>
          </w:tcPr>
          <w:p>
            <w:pPr>
              <w:jc w:val="left"/>
              <w:rPr>
                <w:rFonts w:ascii="等线" w:hAnsi="等线" w:eastAsia="等线" w:cs="等线"/>
                <w:color w:val="auto"/>
                <w:sz w:val="16"/>
                <w:szCs w:val="16"/>
                <w:highlight w:val="none"/>
              </w:rPr>
            </w:pPr>
          </w:p>
        </w:tc>
        <w:tc>
          <w:tcPr>
            <w:tcW w:w="3993"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1091"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r>
      <w:tr>
        <w:tblPrEx>
          <w:tblCellMar>
            <w:top w:w="0" w:type="dxa"/>
            <w:left w:w="0" w:type="dxa"/>
            <w:bottom w:w="0" w:type="dxa"/>
            <w:right w:w="0" w:type="dxa"/>
          </w:tblCellMar>
        </w:tblPrEx>
        <w:trPr>
          <w:trHeight w:val="320" w:hRule="atLeast"/>
          <w:jc w:val="center"/>
        </w:trPr>
        <w:tc>
          <w:tcPr>
            <w:tcW w:w="0" w:type="auto"/>
            <w:gridSpan w:val="10"/>
            <w:tcBorders>
              <w:top w:val="nil"/>
              <w:left w:val="nil"/>
              <w:bottom w:val="nil"/>
              <w:right w:val="nil"/>
            </w:tcBorders>
            <w:noWrap/>
            <w:tcMar>
              <w:top w:w="12" w:type="dxa"/>
              <w:left w:w="12" w:type="dxa"/>
              <w:right w:w="12" w:type="dxa"/>
            </w:tcMar>
            <w:vAlign w:val="center"/>
          </w:tcPr>
          <w:p>
            <w:pPr>
              <w:widowControl/>
              <w:jc w:val="center"/>
              <w:textAlignment w:val="center"/>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营运项目承包单位综合履约考评表（安全）</w:t>
            </w:r>
          </w:p>
        </w:tc>
      </w:tr>
      <w:tr>
        <w:tblPrEx>
          <w:tblCellMar>
            <w:top w:w="0" w:type="dxa"/>
            <w:left w:w="0" w:type="dxa"/>
            <w:bottom w:w="0" w:type="dxa"/>
            <w:right w:w="0" w:type="dxa"/>
          </w:tblCellMar>
        </w:tblPrEx>
        <w:trPr>
          <w:trHeight w:val="380" w:hRule="atLeast"/>
          <w:jc w:val="center"/>
        </w:trPr>
        <w:tc>
          <w:tcPr>
            <w:tcW w:w="0" w:type="auto"/>
            <w:gridSpan w:val="4"/>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项目名称：</w:t>
            </w:r>
          </w:p>
        </w:tc>
        <w:tc>
          <w:tcPr>
            <w:tcW w:w="0" w:type="auto"/>
            <w:tcBorders>
              <w:top w:val="nil"/>
              <w:left w:val="nil"/>
              <w:bottom w:val="nil"/>
              <w:right w:val="nil"/>
            </w:tcBorders>
            <w:noWrap/>
            <w:tcMar>
              <w:top w:w="12" w:type="dxa"/>
              <w:left w:w="12" w:type="dxa"/>
              <w:right w:w="12" w:type="dxa"/>
            </w:tcMar>
            <w:vAlign w:val="center"/>
          </w:tcPr>
          <w:p>
            <w:pPr>
              <w:jc w:val="center"/>
              <w:rPr>
                <w:rFonts w:ascii="等线" w:hAnsi="等线" w:eastAsia="等线" w:cs="等线"/>
                <w:b/>
                <w:color w:val="auto"/>
                <w:sz w:val="16"/>
                <w:szCs w:val="16"/>
                <w:highlight w:val="none"/>
              </w:rPr>
            </w:pPr>
          </w:p>
        </w:tc>
        <w:tc>
          <w:tcPr>
            <w:tcW w:w="0" w:type="auto"/>
            <w:gridSpan w:val="5"/>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综合考评日期：           年        月        日</w:t>
            </w:r>
          </w:p>
        </w:tc>
      </w:tr>
      <w:tr>
        <w:tblPrEx>
          <w:tblCellMar>
            <w:top w:w="0" w:type="dxa"/>
            <w:left w:w="0" w:type="dxa"/>
            <w:bottom w:w="0" w:type="dxa"/>
            <w:right w:w="0" w:type="dxa"/>
          </w:tblCellMar>
        </w:tblPrEx>
        <w:trPr>
          <w:trHeight w:val="38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序号</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考评项目</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考评内容</w:t>
            </w:r>
          </w:p>
        </w:tc>
        <w:tc>
          <w:tcPr>
            <w:tcW w:w="1091"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考评标准</w:t>
            </w:r>
          </w:p>
        </w:tc>
        <w:tc>
          <w:tcPr>
            <w:tcW w:w="58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监理单位考评</w:t>
            </w:r>
          </w:p>
        </w:tc>
        <w:tc>
          <w:tcPr>
            <w:tcW w:w="58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分公司考评</w:t>
            </w:r>
          </w:p>
        </w:tc>
        <w:tc>
          <w:tcPr>
            <w:tcW w:w="117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公司考评</w:t>
            </w:r>
          </w:p>
        </w:tc>
        <w:tc>
          <w:tcPr>
            <w:tcW w:w="58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综合考评</w:t>
            </w:r>
          </w:p>
        </w:tc>
      </w:tr>
      <w:tr>
        <w:tblPrEx>
          <w:tblCellMar>
            <w:top w:w="0" w:type="dxa"/>
            <w:left w:w="0" w:type="dxa"/>
            <w:bottom w:w="0" w:type="dxa"/>
            <w:right w:w="0" w:type="dxa"/>
          </w:tblCellMar>
        </w:tblPrEx>
        <w:trPr>
          <w:trHeight w:val="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1091"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58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58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业务主管部门</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安全管理部门</w:t>
            </w:r>
          </w:p>
        </w:tc>
        <w:tc>
          <w:tcPr>
            <w:tcW w:w="58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300" w:hRule="atLeast"/>
          <w:jc w:val="center"/>
        </w:trPr>
        <w:tc>
          <w:tcPr>
            <w:tcW w:w="0" w:type="auto"/>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一、加分部分</w:t>
            </w:r>
          </w:p>
        </w:tc>
      </w:tr>
      <w:tr>
        <w:tblPrEx>
          <w:tblCellMar>
            <w:top w:w="0" w:type="dxa"/>
            <w:left w:w="0" w:type="dxa"/>
            <w:bottom w:w="0" w:type="dxa"/>
            <w:right w:w="0"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w:t>
            </w:r>
          </w:p>
        </w:tc>
        <w:tc>
          <w:tcPr>
            <w:tcW w:w="99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综合管理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受到业主单位或上级管理部门通报表扬的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加5～10分/项，可叠加</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w:t>
            </w:r>
          </w:p>
        </w:tc>
        <w:tc>
          <w:tcPr>
            <w:tcW w:w="99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现场管理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积极配合业主单位做好安全工作及相关宣传教育，积极主动排查隐患的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加5分/项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260" w:hRule="atLeast"/>
          <w:jc w:val="center"/>
        </w:trPr>
        <w:tc>
          <w:tcPr>
            <w:tcW w:w="0" w:type="auto"/>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二、扣分部分</w:t>
            </w:r>
          </w:p>
        </w:tc>
      </w:tr>
      <w:tr>
        <w:tblPrEx>
          <w:tblCellMar>
            <w:top w:w="0" w:type="dxa"/>
            <w:left w:w="0" w:type="dxa"/>
            <w:bottom w:w="0" w:type="dxa"/>
            <w:right w:w="0" w:type="dxa"/>
          </w:tblCellMar>
        </w:tblPrEx>
        <w:trPr>
          <w:trHeight w:val="9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3</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安全事故</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事故类型</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发生重伤1人及以上安全事故，或直接经济损失达200万元以上的安全生产事故</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7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6</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发生停产、影响环境、破坏公共设施、造成不良影响等事故的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扣40分/项，可叠加，到达100分，3年内禁止来我公司投标</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7</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事故处理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1.发生事故或事件隐瞒不报的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2.未在1小时内向业主单位上报事故的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3.拒绝、不配合事故事件调查的或事故事件调查提供虚假信息</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4.未按规定和程序组织事故调查和事故处理的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5.未及时处理导致事故扩大的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6.未落实“四不放过”的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2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8</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首次备案施工单位须提供的资料</w:t>
            </w: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一般资料</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1.施工人员签名的安全交底表（交底内容由分公司编写），被交底人员应与人员花名册一致</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2.施工单位对施工人员的三级安全教育材料</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3.特殊时期需要增加的资料（如新冠疫情期间，需要增加的人员健康码和行程码资料）</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缺资料扣3～5分/项；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3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9</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施工方案</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4.施工方案，应满足合同要求，内容至少包括：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施工点介绍</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施工内容（含作业流程、风险分析、施工工艺等）</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施工设备和材料（必要时含构件测试手段等）</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安全措施（根据工程特点、分公司的风险评估和施工单位的施工工艺制定）</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正常施工安全物资（主要是安全防护设备、劳保用品）</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缺施工方案扣4～8分/项；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37"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10</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应急预案</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5.应急预案，内容至少包括：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现场情况介绍</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风险评估</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应急架构（包括应急主管人员和安全员，以及各应急小组，落实到人和联系方式）</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应急流程</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各种风险情况下的应急措施（根据现场情况、分公司的风险评估制定）</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应急物资清单</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外单位救援力量及联系方式等</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缺应急预案扣4～8分/项；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5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11</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安全架构</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6.安全架构和相应安全责任制（落实到人和联系方式），可编写入施工方案内，架构人员主要包括：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安全责任人</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施工负责人（可与安全责任人为同一个人）</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安全员</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设备、物资管理人员</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关键岗位人员、特种作业人员</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缺安全架构扣5～10分/项；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缺任何一类人员及其职责有问题扣2～4分/项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24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12</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人员资质</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7.施工人员花名册，人员应包含：</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施工负责人（需要施工管理人员资格证书）</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安全员（涉及动火、临时用电、有限空间、高空、抽堵盲板、吊装、动土、断路、设备检修等9大危险作业的，安全员需要有安全员证）</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特种作业人员（附证件号，同时要复印特种作业证，特种作业人数应满足合同要求）</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一般施工人员</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可能需要进入厂区的其他人员（如监理人员、资料员等）</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注：如作业涉及危险作业，作业人员须有作业人员岗前职业病体检和筛选</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缺花名册扣3～5分/项；</w:t>
            </w:r>
          </w:p>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缺特种作业人员或特种作业人员不满足合同要求扣3～5分/项；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5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13</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施工现场管理</w:t>
            </w: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现场面貌</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1.施工现场未开展有效围蔽</w:t>
            </w:r>
          </w:p>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2.无七牌一图或有缺漏（七牌：工程概况牌：管理人员名单及监督电话牌、现场事故应急救援预案公示牌、安全生产牌、文明施工牌、消防保卫牌、环境保护牌；一图：施工现场平面图）</w:t>
            </w:r>
          </w:p>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3.现场无危险源公示、告知及相应警示</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4.材料堆放存在重大隐患</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8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14</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1.现场未按施工方案落实安全防范措施的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2.危险作业未经业主人员审批先行施工的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3.未按施工方案施工的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扣3～5分/项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8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15</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每日安全交底</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1.缺少书面交底、未留存书面资料或交底资料缺少交底人、被交底人及安全员签字的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2.内容未结合当天的现场状况、特点、工序，对危险因素、施工内容、安全作业和应急措施进行交底的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1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16</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作业行为管理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1.违反9大危险作业相关作业规范的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2.现场存在违章作业、违章指挥等违反相关安全管理规定或制度的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3.人员错误使用劳保用品3次以上的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扣3～5分/项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17</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安全记录</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未按施工要求开展现场记录或记录内容有缺失</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7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18</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1.未设置应急物资点，未统一存放应急物资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2.应急物资点无应急物资清单或无应急物资每日检查表</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3.无开展日常应急培训、训练、演练或无资料留档的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19</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人员变更无完善的手续及资料的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扣3～5分/项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20</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隐患管理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未及时对发现的隐患开展整改的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扣4～8分/项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21</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违反业主或上级主管部门提出的其他管理要求、文件、规定或拒不执行的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440" w:hRule="atLeast"/>
          <w:jc w:val="center"/>
        </w:trPr>
        <w:tc>
          <w:tcPr>
            <w:tcW w:w="9302" w:type="dxa"/>
            <w:gridSpan w:val="10"/>
            <w:tcBorders>
              <w:top w:val="nil"/>
              <w:left w:val="nil"/>
              <w:bottom w:val="nil"/>
              <w:right w:val="nil"/>
            </w:tcBorders>
            <w:tcMar>
              <w:top w:w="12" w:type="dxa"/>
              <w:left w:w="12" w:type="dxa"/>
              <w:right w:w="12" w:type="dxa"/>
            </w:tcMar>
            <w:vAlign w:val="center"/>
          </w:tcPr>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注：1、综合考评满分100分，各考评项目扣分不设上限；</w:t>
            </w:r>
          </w:p>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 xml:space="preserve">    2、监理单位考评只作为参考及履职依据，不计入考评，无监理单位不需填写；</w:t>
            </w:r>
          </w:p>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 xml:space="preserve">    3、“公司考评”业务主管部门和安全办针对本部门检查发现的内容进行扣（奖）分，项目部已经进行扣（奖）分的不重复执行；</w:t>
            </w:r>
          </w:p>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 xml:space="preserve">    4、各分公司考评填写相应的得（扣）分数值，如奖2分则填写“2”，扣2分则填写“-2”；</w:t>
            </w:r>
          </w:p>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 xml:space="preserve">    5、单项“综合考评”=项目部考评+公司考评；综合考评总分=各单项“综合考评”+100</w:t>
            </w:r>
          </w:p>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 xml:space="preserve">    6、最后得分=综合考评总分X类别系数；</w:t>
            </w:r>
          </w:p>
          <w:p>
            <w:pPr>
              <w:widowControl/>
              <w:jc w:val="left"/>
              <w:textAlignment w:val="center"/>
              <w:rPr>
                <w:color w:val="auto"/>
                <w:sz w:val="13"/>
                <w:szCs w:val="13"/>
                <w:highlight w:val="none"/>
              </w:rPr>
            </w:pPr>
            <w:r>
              <w:rPr>
                <w:rFonts w:hint="eastAsia"/>
                <w:color w:val="auto"/>
                <w:sz w:val="13"/>
                <w:szCs w:val="13"/>
                <w:highlight w:val="none"/>
              </w:rPr>
              <w:t xml:space="preserve">    7、各考评项目具体考评标准内容参照广州市净水有限公司标准《工程项目安全管理规范》（Q/GZJSA 1-2021）执行。 </w:t>
            </w:r>
          </w:p>
          <w:p>
            <w:pPr>
              <w:ind w:firstLine="260" w:firstLineChars="200"/>
              <w:contextualSpacing/>
              <w:jc w:val="left"/>
              <w:rPr>
                <w:rFonts w:ascii="仿宋_GB2312" w:hAnsi="仿宋_GB2312" w:eastAsia="仿宋_GB2312" w:cs="仿宋_GB2312"/>
                <w:color w:val="auto"/>
                <w:sz w:val="13"/>
                <w:szCs w:val="13"/>
                <w:highlight w:val="none"/>
              </w:rPr>
            </w:pPr>
            <w:r>
              <w:rPr>
                <w:rFonts w:hint="eastAsia" w:ascii="仿宋_GB2312" w:hAnsi="仿宋_GB2312" w:eastAsia="仿宋_GB2312" w:cs="仿宋_GB2312"/>
                <w:color w:val="auto"/>
                <w:sz w:val="13"/>
                <w:szCs w:val="13"/>
                <w:highlight w:val="none"/>
              </w:rPr>
              <w:t>8、本处理标准出自《</w:t>
            </w:r>
            <w:r>
              <w:rPr>
                <w:rFonts w:hint="eastAsia" w:ascii="宋体" w:hAnsi="宋体" w:cs="宋体"/>
                <w:color w:val="auto"/>
                <w:sz w:val="13"/>
                <w:szCs w:val="13"/>
                <w:highlight w:val="none"/>
              </w:rPr>
              <w:t>广州净水公司工程项目承包单位质量安全考评细则（试行）</w:t>
            </w:r>
            <w:r>
              <w:rPr>
                <w:rFonts w:hint="eastAsia" w:ascii="仿宋_GB2312" w:hAnsi="仿宋_GB2312" w:eastAsia="仿宋_GB2312" w:cs="仿宋_GB2312"/>
                <w:color w:val="auto"/>
                <w:sz w:val="13"/>
                <w:szCs w:val="13"/>
                <w:highlight w:val="none"/>
              </w:rPr>
              <w:t>》。</w:t>
            </w:r>
          </w:p>
          <w:p>
            <w:pPr>
              <w:pStyle w:val="23"/>
              <w:ind w:firstLine="1126"/>
              <w:rPr>
                <w:color w:val="auto"/>
                <w:highlight w:val="none"/>
              </w:rPr>
            </w:pPr>
          </w:p>
        </w:tc>
      </w:tr>
    </w:tbl>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adjustRightInd/>
        <w:snapToGrid/>
        <w:spacing w:beforeLines="-2147483648" w:afterLines="-2147483648" w:line="360" w:lineRule="auto"/>
        <w:jc w:val="left"/>
        <w:rPr>
          <w:rFonts w:hint="eastAsia" w:ascii="宋体" w:hAnsi="宋体" w:cs="宋体" w:eastAsiaTheme="minorEastAsia"/>
          <w:b/>
          <w:bCs/>
          <w:color w:val="auto"/>
          <w:sz w:val="21"/>
          <w:szCs w:val="21"/>
          <w:highlight w:val="none"/>
          <w:lang w:val="en-US" w:eastAsia="zh-CN"/>
        </w:rPr>
      </w:pPr>
      <w:r>
        <w:rPr>
          <w:rFonts w:hint="eastAsia" w:ascii="宋体" w:hAnsi="宋体" w:cs="宋体" w:eastAsiaTheme="minorEastAsia"/>
          <w:b/>
          <w:bCs/>
          <w:color w:val="auto"/>
          <w:sz w:val="21"/>
          <w:szCs w:val="21"/>
          <w:highlight w:val="none"/>
          <w:lang w:val="en-US" w:eastAsia="zh-CN"/>
        </w:rPr>
        <w:t>附件10</w:t>
      </w:r>
    </w:p>
    <w:p>
      <w:pPr>
        <w:jc w:val="center"/>
        <w:rPr>
          <w:rFonts w:ascii="黑体" w:hAnsi="黑体" w:eastAsia="黑体"/>
          <w:b/>
          <w:color w:val="auto"/>
          <w:sz w:val="28"/>
          <w:szCs w:val="28"/>
          <w:highlight w:val="none"/>
        </w:rPr>
      </w:pPr>
      <w:r>
        <w:rPr>
          <w:rFonts w:hint="eastAsia" w:ascii="黑体" w:hAnsi="黑体" w:eastAsia="黑体"/>
          <w:b/>
          <w:color w:val="auto"/>
          <w:sz w:val="36"/>
          <w:szCs w:val="28"/>
          <w:highlight w:val="none"/>
        </w:rPr>
        <w:t>履约保函模板</w:t>
      </w:r>
    </w:p>
    <w:p>
      <w:pPr>
        <w:rPr>
          <w:rFonts w:ascii="仿宋" w:hAnsi="仿宋" w:eastAsia="仿宋"/>
          <w:color w:val="auto"/>
          <w:sz w:val="28"/>
          <w:szCs w:val="28"/>
          <w:highlight w:val="none"/>
        </w:rPr>
      </w:pPr>
    </w:p>
    <w:p>
      <w:pPr>
        <w:rPr>
          <w:rFonts w:ascii="仿宋" w:hAnsi="仿宋" w:eastAsia="仿宋"/>
          <w:color w:val="auto"/>
          <w:sz w:val="28"/>
          <w:szCs w:val="28"/>
          <w:highlight w:val="none"/>
        </w:rPr>
      </w:pPr>
      <w:r>
        <w:rPr>
          <w:rFonts w:hint="eastAsia" w:ascii="仿宋" w:hAnsi="仿宋" w:eastAsia="仿宋"/>
          <w:color w:val="auto"/>
          <w:sz w:val="28"/>
          <w:szCs w:val="28"/>
          <w:highlight w:val="none"/>
        </w:rPr>
        <w:t>致：</w:t>
      </w:r>
      <w:r>
        <w:rPr>
          <w:rFonts w:hint="eastAsia" w:ascii="仿宋" w:hAnsi="仿宋" w:eastAsia="仿宋"/>
          <w:color w:val="auto"/>
          <w:sz w:val="28"/>
          <w:szCs w:val="28"/>
          <w:highlight w:val="none"/>
          <w:u w:val="single"/>
        </w:rPr>
        <w:t xml:space="preserve">               （受益人）</w:t>
      </w:r>
      <w:r>
        <w:rPr>
          <w:rFonts w:ascii="仿宋" w:hAnsi="仿宋" w:eastAsia="仿宋"/>
          <w:color w:val="auto"/>
          <w:sz w:val="28"/>
          <w:szCs w:val="28"/>
          <w:highlight w:val="none"/>
        </w:rPr>
        <w:br w:type="textWrapping"/>
      </w:r>
    </w:p>
    <w:p>
      <w:pPr>
        <w:ind w:firstLine="420"/>
        <w:rPr>
          <w:rFonts w:ascii="仿宋" w:hAnsi="仿宋" w:eastAsia="仿宋"/>
          <w:color w:val="auto"/>
          <w:sz w:val="28"/>
          <w:szCs w:val="28"/>
          <w:highlight w:val="none"/>
        </w:rPr>
      </w:pPr>
      <w:r>
        <w:rPr>
          <w:rFonts w:hint="eastAsia" w:ascii="仿宋" w:hAnsi="仿宋" w:eastAsia="仿宋"/>
          <w:color w:val="auto"/>
          <w:sz w:val="28"/>
          <w:szCs w:val="28"/>
          <w:highlight w:val="none"/>
        </w:rPr>
        <w:t>鉴于</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（以下简称“委托人”）与贵方于</w:t>
      </w:r>
      <w:r>
        <w:rPr>
          <w:rFonts w:hint="eastAsia" w:ascii="仿宋" w:hAnsi="仿宋" w:eastAsia="仿宋"/>
          <w:color w:val="auto"/>
          <w:sz w:val="28"/>
          <w:szCs w:val="28"/>
          <w:highlight w:val="none"/>
          <w:u w:val="single"/>
        </w:rPr>
        <w:t xml:space="preserve">   年  月  日</w:t>
      </w:r>
      <w:r>
        <w:rPr>
          <w:rFonts w:hint="eastAsia" w:ascii="仿宋" w:hAnsi="仿宋" w:eastAsia="仿宋"/>
          <w:color w:val="auto"/>
          <w:sz w:val="28"/>
          <w:szCs w:val="28"/>
          <w:highlight w:val="none"/>
        </w:rPr>
        <w:t>签订了</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（以下简称“合同”），我行同意为委托人出具履约保函，作为委托人履行合同义务的担保，以使你方得到履约保函的保障。本保函为不可撤销，见索即付的独立保函。</w:t>
      </w:r>
    </w:p>
    <w:p>
      <w:pPr>
        <w:ind w:firstLine="420"/>
        <w:rPr>
          <w:rFonts w:ascii="仿宋" w:hAnsi="仿宋" w:eastAsia="仿宋"/>
          <w:color w:val="auto"/>
          <w:sz w:val="28"/>
          <w:szCs w:val="28"/>
          <w:highlight w:val="none"/>
        </w:rPr>
      </w:pPr>
      <w:r>
        <w:rPr>
          <w:rFonts w:hint="eastAsia" w:ascii="仿宋" w:hAnsi="仿宋" w:eastAsia="仿宋"/>
          <w:color w:val="auto"/>
          <w:sz w:val="28"/>
          <w:szCs w:val="28"/>
          <w:highlight w:val="none"/>
        </w:rPr>
        <w:t>一、我行保证在收到贵单位于保函有效期内送达的依本保函约定的索赔申请后，在个</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工作日内无条件和不可改变地向贵单位支付最高金额不超过人民币元</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（大写：</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 xml:space="preserve"> ）的履约保证金，并放弃向你方提出任何异议和追索的权利。</w:t>
      </w:r>
    </w:p>
    <w:p>
      <w:pPr>
        <w:ind w:firstLine="420"/>
        <w:rPr>
          <w:rFonts w:ascii="仿宋" w:hAnsi="仿宋" w:eastAsia="仿宋"/>
          <w:color w:val="auto"/>
          <w:sz w:val="28"/>
          <w:szCs w:val="28"/>
          <w:highlight w:val="none"/>
        </w:rPr>
      </w:pPr>
      <w:r>
        <w:rPr>
          <w:rFonts w:hint="eastAsia" w:ascii="仿宋" w:hAnsi="仿宋" w:eastAsia="仿宋"/>
          <w:color w:val="auto"/>
          <w:sz w:val="28"/>
          <w:szCs w:val="28"/>
          <w:highlight w:val="none"/>
        </w:rPr>
        <w:t>二、贵单位的索赔申请应符合下述条件：</w:t>
      </w:r>
    </w:p>
    <w:p>
      <w:pPr>
        <w:ind w:firstLine="420"/>
        <w:rPr>
          <w:rFonts w:ascii="仿宋" w:hAnsi="仿宋" w:eastAsia="仿宋"/>
          <w:color w:val="auto"/>
          <w:sz w:val="28"/>
          <w:szCs w:val="28"/>
          <w:highlight w:val="none"/>
        </w:rPr>
      </w:pPr>
      <w:r>
        <w:rPr>
          <w:rFonts w:hint="eastAsia" w:ascii="仿宋" w:hAnsi="仿宋" w:eastAsia="仿宋"/>
          <w:color w:val="auto"/>
          <w:sz w:val="28"/>
          <w:szCs w:val="28"/>
          <w:highlight w:val="none"/>
        </w:rPr>
        <w:t>（一）贵单位法定代表人或其授权代表签字并加盖单位公章；</w:t>
      </w:r>
    </w:p>
    <w:p>
      <w:pPr>
        <w:ind w:firstLine="420"/>
        <w:rPr>
          <w:rFonts w:ascii="仿宋" w:hAnsi="仿宋" w:eastAsia="仿宋"/>
          <w:color w:val="auto"/>
          <w:sz w:val="28"/>
          <w:szCs w:val="28"/>
          <w:highlight w:val="none"/>
        </w:rPr>
      </w:pPr>
      <w:r>
        <w:rPr>
          <w:rFonts w:hint="eastAsia" w:ascii="仿宋" w:hAnsi="仿宋" w:eastAsia="仿宋"/>
          <w:color w:val="auto"/>
          <w:sz w:val="28"/>
          <w:szCs w:val="28"/>
          <w:highlight w:val="none"/>
        </w:rPr>
        <w:t>（二）在保函有效期内送达我行；</w:t>
      </w:r>
    </w:p>
    <w:p>
      <w:pPr>
        <w:ind w:firstLine="420"/>
        <w:rPr>
          <w:rFonts w:ascii="仿宋" w:hAnsi="仿宋" w:eastAsia="仿宋"/>
          <w:color w:val="auto"/>
          <w:sz w:val="28"/>
          <w:szCs w:val="28"/>
          <w:highlight w:val="none"/>
        </w:rPr>
      </w:pPr>
      <w:r>
        <w:rPr>
          <w:rFonts w:hint="eastAsia" w:ascii="仿宋" w:hAnsi="仿宋" w:eastAsia="仿宋"/>
          <w:color w:val="auto"/>
          <w:sz w:val="28"/>
          <w:szCs w:val="28"/>
          <w:highlight w:val="none"/>
        </w:rPr>
        <w:t>（三）明确的索赔金额（不得超过本保函第一条所列之限额）。</w:t>
      </w:r>
    </w:p>
    <w:p>
      <w:pPr>
        <w:ind w:firstLine="420"/>
        <w:rPr>
          <w:rFonts w:ascii="仿宋" w:hAnsi="仿宋" w:eastAsia="仿宋"/>
          <w:color w:val="auto"/>
          <w:sz w:val="28"/>
          <w:szCs w:val="28"/>
          <w:highlight w:val="none"/>
        </w:rPr>
      </w:pPr>
      <w:r>
        <w:rPr>
          <w:rFonts w:hint="eastAsia" w:ascii="仿宋" w:hAnsi="仿宋" w:eastAsia="仿宋"/>
          <w:color w:val="auto"/>
          <w:sz w:val="28"/>
          <w:szCs w:val="28"/>
          <w:highlight w:val="none"/>
        </w:rPr>
        <w:t>三、本保函自签发之日起生效，有效期至</w:t>
      </w:r>
      <w:r>
        <w:rPr>
          <w:rFonts w:hint="eastAsia" w:ascii="仿宋" w:hAnsi="仿宋" w:eastAsia="仿宋"/>
          <w:color w:val="auto"/>
          <w:sz w:val="28"/>
          <w:szCs w:val="28"/>
          <w:highlight w:val="none"/>
          <w:u w:val="single"/>
        </w:rPr>
        <w:t xml:space="preserve">  年  月  日</w:t>
      </w:r>
      <w:r>
        <w:rPr>
          <w:rFonts w:hint="eastAsia" w:ascii="仿宋" w:hAnsi="仿宋" w:eastAsia="仿宋"/>
          <w:color w:val="auto"/>
          <w:sz w:val="28"/>
          <w:szCs w:val="28"/>
          <w:highlight w:val="none"/>
        </w:rPr>
        <w:t>。本保函于下述任一事项发生之时立即失效，我行在本保函项下的保证义务即刻解除：</w:t>
      </w:r>
    </w:p>
    <w:p>
      <w:pPr>
        <w:ind w:firstLine="420"/>
        <w:rPr>
          <w:rFonts w:ascii="仿宋" w:hAnsi="仿宋" w:eastAsia="仿宋"/>
          <w:color w:val="auto"/>
          <w:sz w:val="28"/>
          <w:szCs w:val="28"/>
          <w:highlight w:val="none"/>
        </w:rPr>
      </w:pPr>
      <w:r>
        <w:rPr>
          <w:rFonts w:hint="eastAsia" w:ascii="仿宋" w:hAnsi="仿宋" w:eastAsia="仿宋"/>
          <w:color w:val="auto"/>
          <w:sz w:val="28"/>
          <w:szCs w:val="28"/>
          <w:highlight w:val="none"/>
        </w:rPr>
        <w:t>（一）本保函有效期限届满；</w:t>
      </w:r>
    </w:p>
    <w:p>
      <w:pPr>
        <w:ind w:firstLine="420"/>
        <w:rPr>
          <w:rFonts w:ascii="仿宋" w:hAnsi="仿宋" w:eastAsia="仿宋"/>
          <w:color w:val="auto"/>
          <w:sz w:val="28"/>
          <w:szCs w:val="28"/>
          <w:highlight w:val="none"/>
        </w:rPr>
      </w:pPr>
      <w:r>
        <w:rPr>
          <w:rFonts w:hint="eastAsia" w:ascii="仿宋" w:hAnsi="仿宋" w:eastAsia="仿宋"/>
          <w:color w:val="auto"/>
          <w:sz w:val="28"/>
          <w:szCs w:val="28"/>
          <w:highlight w:val="none"/>
        </w:rPr>
        <w:t>（二）我行保证的义务履行完毕。</w:t>
      </w:r>
    </w:p>
    <w:p>
      <w:pPr>
        <w:ind w:firstLine="420"/>
        <w:rPr>
          <w:rFonts w:ascii="仿宋" w:hAnsi="仿宋" w:eastAsia="仿宋"/>
          <w:color w:val="auto"/>
          <w:sz w:val="28"/>
          <w:szCs w:val="28"/>
          <w:highlight w:val="none"/>
        </w:rPr>
      </w:pPr>
      <w:r>
        <w:rPr>
          <w:rFonts w:hint="eastAsia" w:ascii="仿宋" w:hAnsi="仿宋" w:eastAsia="仿宋"/>
          <w:color w:val="auto"/>
          <w:sz w:val="28"/>
          <w:szCs w:val="28"/>
          <w:highlight w:val="none"/>
        </w:rPr>
        <w:t>四、我方受本保函制约的责任是延续的、独立的和无条件的，上述合同的任何修改、变更、解释、不可执行或委托人在合同项下对你方的任何抗辩都不能削弱或影响我行按本保函应承担的责任。</w:t>
      </w:r>
    </w:p>
    <w:p>
      <w:pPr>
        <w:ind w:firstLine="420"/>
        <w:rPr>
          <w:rFonts w:ascii="仿宋" w:hAnsi="仿宋" w:eastAsia="仿宋"/>
          <w:color w:val="auto"/>
          <w:sz w:val="28"/>
          <w:szCs w:val="28"/>
          <w:highlight w:val="none"/>
        </w:rPr>
      </w:pPr>
      <w:r>
        <w:rPr>
          <w:rFonts w:hint="eastAsia" w:ascii="仿宋" w:hAnsi="仿宋" w:eastAsia="仿宋"/>
          <w:color w:val="auto"/>
          <w:sz w:val="28"/>
          <w:szCs w:val="28"/>
          <w:highlight w:val="none"/>
        </w:rPr>
        <w:t>五、我行向你方支付索赔金额后，本保函担保金额即按贵方通知的索赔金额予以递减。</w:t>
      </w:r>
    </w:p>
    <w:p>
      <w:pPr>
        <w:adjustRightInd w:val="0"/>
        <w:snapToGrid w:val="0"/>
        <w:spacing w:beforeLines="50" w:afterLines="50" w:line="600" w:lineRule="exact"/>
        <w:jc w:val="center"/>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六、保函失效后请将保函退回我行注销，无论正本最终退回与否，不影响</w:t>
      </w:r>
    </w:p>
    <w:p>
      <w:pPr>
        <w:jc w:val="center"/>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本保函依上述约定自动失效。</w:t>
      </w:r>
    </w:p>
    <w:p>
      <w:pPr>
        <w:jc w:val="center"/>
        <w:rPr>
          <w:rFonts w:hint="eastAsia" w:ascii="仿宋" w:hAnsi="仿宋" w:eastAsia="仿宋"/>
          <w:color w:val="auto"/>
          <w:sz w:val="28"/>
          <w:szCs w:val="28"/>
          <w:highlight w:val="none"/>
        </w:rPr>
      </w:pPr>
    </w:p>
    <w:p>
      <w:pPr>
        <w:ind w:left="2741" w:hanging="2741" w:hangingChars="1300"/>
        <w:jc w:val="left"/>
        <w:rPr>
          <w:rFonts w:hint="eastAsia" w:ascii="黑体" w:hAnsi="黑体" w:eastAsia="黑体"/>
          <w:color w:val="auto"/>
          <w:sz w:val="36"/>
          <w:szCs w:val="36"/>
          <w:highlight w:val="none"/>
        </w:rPr>
      </w:pPr>
      <w:r>
        <w:rPr>
          <w:rFonts w:hint="eastAsia" w:ascii="宋体" w:hAnsi="宋体" w:cs="宋体" w:eastAsiaTheme="minorEastAsia"/>
          <w:b/>
          <w:bCs/>
          <w:color w:val="auto"/>
          <w:sz w:val="21"/>
          <w:szCs w:val="21"/>
          <w:highlight w:val="none"/>
          <w:lang w:val="en-US" w:eastAsia="zh-CN"/>
        </w:rPr>
        <w:t>附件1</w:t>
      </w:r>
      <w:r>
        <w:rPr>
          <w:rFonts w:hint="eastAsia" w:ascii="宋体" w:hAnsi="宋体" w:cs="宋体"/>
          <w:b/>
          <w:bCs/>
          <w:color w:val="auto"/>
          <w:sz w:val="21"/>
          <w:szCs w:val="21"/>
          <w:highlight w:val="none"/>
          <w:lang w:val="en-US" w:eastAsia="zh-CN"/>
        </w:rPr>
        <w:t>1</w:t>
      </w:r>
      <w:r>
        <w:rPr>
          <w:rFonts w:hint="eastAsia" w:ascii="宋体" w:hAnsi="宋体" w:cs="宋体"/>
          <w:b/>
          <w:bCs/>
          <w:color w:val="auto"/>
          <w:sz w:val="21"/>
          <w:szCs w:val="21"/>
          <w:highlight w:val="none"/>
          <w:lang w:val="en-US" w:eastAsia="zh-CN"/>
        </w:rPr>
        <w:br w:type="textWrapping"/>
      </w:r>
      <w:r>
        <w:rPr>
          <w:rFonts w:hint="eastAsia" w:ascii="黑体" w:hAnsi="黑体" w:eastAsia="黑体"/>
          <w:color w:val="auto"/>
          <w:sz w:val="36"/>
          <w:szCs w:val="36"/>
          <w:highlight w:val="none"/>
        </w:rPr>
        <w:t>预付款保函模板</w:t>
      </w:r>
    </w:p>
    <w:p>
      <w:pPr>
        <w:rPr>
          <w:color w:val="auto"/>
          <w:highlight w:val="none"/>
        </w:rPr>
      </w:pPr>
    </w:p>
    <w:p>
      <w:pPr>
        <w:rPr>
          <w:rFonts w:hint="eastAsia" w:ascii="仿宋" w:hAnsi="仿宋" w:eastAsia="仿宋"/>
          <w:color w:val="auto"/>
          <w:sz w:val="28"/>
          <w:szCs w:val="28"/>
          <w:highlight w:val="none"/>
        </w:rPr>
      </w:pPr>
      <w:r>
        <w:rPr>
          <w:rFonts w:hint="eastAsia" w:ascii="仿宋" w:hAnsi="仿宋" w:eastAsia="仿宋"/>
          <w:color w:val="auto"/>
          <w:sz w:val="28"/>
          <w:szCs w:val="28"/>
          <w:highlight w:val="none"/>
        </w:rPr>
        <w:t>致：</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 xml:space="preserve"> （受益人）</w:t>
      </w:r>
    </w:p>
    <w:p>
      <w:pPr>
        <w:rPr>
          <w:rFonts w:ascii="仿宋" w:hAnsi="仿宋" w:eastAsia="仿宋"/>
          <w:color w:val="auto"/>
          <w:sz w:val="28"/>
          <w:szCs w:val="28"/>
          <w:highlight w:val="none"/>
        </w:rPr>
      </w:pPr>
    </w:p>
    <w:p>
      <w:pPr>
        <w:ind w:firstLine="280" w:firstLineChars="1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鉴于</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（以下简称“委托人”）与你方于</w:t>
      </w:r>
      <w:r>
        <w:rPr>
          <w:rFonts w:hint="eastAsia" w:ascii="仿宋" w:hAnsi="仿宋" w:eastAsia="仿宋"/>
          <w:color w:val="auto"/>
          <w:sz w:val="28"/>
          <w:szCs w:val="28"/>
          <w:highlight w:val="none"/>
          <w:u w:val="single"/>
        </w:rPr>
        <w:t xml:space="preserve">   年  月  日</w:t>
      </w:r>
      <w:r>
        <w:rPr>
          <w:rFonts w:hint="eastAsia" w:ascii="仿宋" w:hAnsi="仿宋" w:eastAsia="仿宋"/>
          <w:color w:val="auto"/>
          <w:sz w:val="28"/>
          <w:szCs w:val="28"/>
          <w:highlight w:val="none"/>
        </w:rPr>
        <w:t>签订了</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（以下简称“合同”），你方将按上述基础交易合同约定向委托人支付预付款人民币</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元（大写：</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）。我行接受委托人的申请，特此开立以你方为受益人的最高金额为人民币</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（大写：</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）（以下称“保函金额”）的保函。</w:t>
      </w:r>
    </w:p>
    <w:p>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一、本保函为不可撤销、见索即付的独立保函。</w:t>
      </w:r>
    </w:p>
    <w:p>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二、在本保函的有效期内，如委托人违反上述基础交易合同约定的义务而未向你方退还预付款，我行将在收到你方提交的符合下述要求的索赔通知书后</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日内，以上述保函金额为限向你方支付相应款项。</w:t>
      </w:r>
    </w:p>
    <w:p>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（一）索赔通知书须写明请求付款的金额，并声明该款项并未由委托人或其代理人直接或间接地支付给你方；</w:t>
      </w:r>
    </w:p>
    <w:p>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（二）索赔通知书应由你方法定代表人签字并加盖公章；</w:t>
      </w:r>
    </w:p>
    <w:p>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（三）索赔通知书必须于本保函有效期截止日前送达我行。</w:t>
      </w:r>
    </w:p>
    <w:p>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三、合同的任何修改、变更、解释或不可执行都不能削弱或免除我行按本保函应承担的义务。</w:t>
      </w:r>
    </w:p>
    <w:p>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本保函金额将随我行已向你方支付的金额而自动作相应递减。</w:t>
      </w:r>
    </w:p>
    <w:p>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四、本保函未经我行书面同意不得转让。</w:t>
      </w:r>
    </w:p>
    <w:p>
      <w:pPr>
        <w:adjustRightInd/>
        <w:snapToGrid/>
        <w:spacing w:beforeLines="-2147483648" w:afterLines="-2147483648" w:line="360" w:lineRule="auto"/>
        <w:jc w:val="left"/>
        <w:rPr>
          <w:rFonts w:hint="default" w:ascii="宋体" w:hAnsi="宋体" w:cs="宋体" w:eastAsiaTheme="minorEastAsia"/>
          <w:b/>
          <w:bCs/>
          <w:color w:val="auto"/>
          <w:sz w:val="21"/>
          <w:szCs w:val="21"/>
          <w:highlight w:val="none"/>
          <w:lang w:val="en-US" w:eastAsia="zh-CN"/>
        </w:rPr>
      </w:pPr>
      <w:r>
        <w:rPr>
          <w:rFonts w:hint="eastAsia" w:ascii="仿宋" w:hAnsi="仿宋" w:eastAsia="仿宋"/>
          <w:color w:val="auto"/>
          <w:sz w:val="28"/>
          <w:szCs w:val="28"/>
          <w:highlight w:val="none"/>
        </w:rPr>
        <w:t>五、本保函自签发之日起生效，有效期至</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止。在上述期限内若累计赔偿额达到前述保函金额，本保函提前失效。本保函到期后，无论保函原件是否退回我行，皆告失效。</w:t>
      </w:r>
    </w:p>
    <w:p>
      <w:pPr>
        <w:adjustRightInd w:val="0"/>
        <w:snapToGrid w:val="0"/>
        <w:spacing w:beforeLines="50" w:afterLines="50" w:line="600" w:lineRule="exact"/>
        <w:jc w:val="both"/>
        <w:rPr>
          <w:rFonts w:hint="eastAsia" w:ascii="方正小标宋简体" w:eastAsia="方正小标宋简体"/>
          <w:color w:val="auto"/>
          <w:sz w:val="28"/>
          <w:szCs w:val="28"/>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pStyle w:val="2"/>
        <w:rPr>
          <w:rFonts w:hint="eastAsia" w:ascii="方正小标宋简体" w:eastAsia="方正小标宋简体"/>
          <w:color w:val="auto"/>
          <w:sz w:val="28"/>
          <w:szCs w:val="28"/>
          <w:highlight w:val="none"/>
        </w:rPr>
      </w:pPr>
    </w:p>
    <w:p>
      <w:pPr>
        <w:pStyle w:val="3"/>
        <w:rPr>
          <w:rFonts w:hint="eastAsia" w:ascii="方正小标宋简体" w:eastAsia="方正小标宋简体"/>
          <w:color w:val="auto"/>
          <w:sz w:val="28"/>
          <w:szCs w:val="28"/>
          <w:highlight w:val="none"/>
        </w:rPr>
      </w:pPr>
    </w:p>
    <w:p>
      <w:pPr>
        <w:pStyle w:val="23"/>
        <w:ind w:firstLine="0"/>
        <w:rPr>
          <w:rFonts w:ascii="仿宋_GB2312" w:eastAsia="仿宋_GB2312"/>
          <w:color w:val="auto"/>
          <w:sz w:val="28"/>
          <w:szCs w:val="28"/>
          <w:highlight w:val="none"/>
        </w:rPr>
      </w:pPr>
    </w:p>
    <w:p>
      <w:pPr>
        <w:pStyle w:val="4"/>
        <w:rPr>
          <w:color w:val="auto"/>
          <w:highlight w:val="none"/>
        </w:rPr>
      </w:pPr>
      <w:bookmarkStart w:id="100" w:name="_Toc3723"/>
      <w:bookmarkStart w:id="101" w:name="_Toc5129"/>
      <w:bookmarkStart w:id="102" w:name="_Toc8147"/>
      <w:bookmarkStart w:id="103" w:name="_Toc28358"/>
      <w:bookmarkStart w:id="104" w:name="_Toc12169"/>
      <w:bookmarkStart w:id="105" w:name="_Toc16552"/>
      <w:bookmarkStart w:id="106" w:name="_Toc6230"/>
      <w:bookmarkStart w:id="107" w:name="_Toc21847"/>
      <w:bookmarkStart w:id="108" w:name="_Toc1563"/>
      <w:bookmarkStart w:id="109" w:name="_Toc23515"/>
      <w:bookmarkStart w:id="110" w:name="_Toc30824"/>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KAv7M8gEAAOM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tksSzQErMlz427iaYfhJma+hzba/Ccm7FBkPZ5lVYfEBB2+WCyXCxJc3F9V&#10;D3EhYnqlvGXZaDimCLrr08Y7R73zcVZUhf1rTJSZAu8DclLj2JDh5wsCB5rFlmaATBuID7quxKI3&#10;Wl5rY3IExm63MZHtIc9D+TI/wv3LLSfZAvajX7kaJ6VXIF86ydIxkFKOHgjPJVglOTOK3lO2CBDq&#10;BNpc4kmpjaMKssSjqNnaeXksWpdz6n2p8TSnebj+3Jfoh7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SgL+zPIBAADj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CwcCZ8QEAAOM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第七章</w:t>
      </w:r>
      <w:bookmarkEnd w:id="100"/>
      <w:bookmarkEnd w:id="101"/>
      <w:bookmarkEnd w:id="102"/>
      <w:bookmarkEnd w:id="103"/>
      <w:bookmarkEnd w:id="104"/>
      <w:bookmarkEnd w:id="105"/>
      <w:bookmarkEnd w:id="106"/>
      <w:bookmarkEnd w:id="107"/>
      <w:bookmarkEnd w:id="108"/>
      <w:bookmarkEnd w:id="109"/>
      <w:bookmarkEnd w:id="110"/>
    </w:p>
    <w:p>
      <w:pPr>
        <w:pStyle w:val="40"/>
        <w:rPr>
          <w:color w:val="auto"/>
          <w:highlight w:val="none"/>
        </w:rPr>
      </w:pPr>
    </w:p>
    <w:p>
      <w:pPr>
        <w:pStyle w:val="4"/>
        <w:rPr>
          <w:color w:val="auto"/>
          <w:highlight w:val="none"/>
        </w:rPr>
      </w:pPr>
      <w:bookmarkStart w:id="111" w:name="_Toc12769"/>
      <w:bookmarkStart w:id="112" w:name="_Toc22764"/>
      <w:bookmarkStart w:id="113" w:name="_Toc24815"/>
      <w:bookmarkStart w:id="114" w:name="_Toc10840"/>
      <w:bookmarkStart w:id="115" w:name="_Toc17119"/>
      <w:bookmarkStart w:id="116" w:name="_Toc88209951"/>
      <w:bookmarkStart w:id="117" w:name="_Toc30157"/>
      <w:bookmarkStart w:id="118" w:name="_Toc21675"/>
      <w:bookmarkStart w:id="119" w:name="_Toc5342"/>
      <w:bookmarkStart w:id="120" w:name="_Toc12610"/>
      <w:bookmarkStart w:id="121" w:name="_Toc24490"/>
      <w:bookmarkStart w:id="122" w:name="_Toc31564"/>
      <w:bookmarkStart w:id="123" w:name="_Toc87616388"/>
      <w:r>
        <w:rPr>
          <w:rFonts w:hint="eastAsia"/>
          <w:color w:val="auto"/>
          <w:highlight w:val="none"/>
        </w:rPr>
        <w:t>响应文件</w:t>
      </w:r>
      <w:r>
        <w:rPr>
          <w:rFonts w:hint="eastAsia"/>
          <w:color w:val="auto"/>
          <w:highlight w:val="none"/>
          <w:lang w:val="en-US" w:eastAsia="zh-CN"/>
        </w:rPr>
        <w:t>格式要求</w:t>
      </w:r>
      <w:bookmarkEnd w:id="111"/>
      <w:bookmarkEnd w:id="112"/>
      <w:bookmarkEnd w:id="113"/>
      <w:bookmarkEnd w:id="114"/>
      <w:bookmarkEnd w:id="115"/>
      <w:bookmarkEnd w:id="116"/>
      <w:bookmarkEnd w:id="117"/>
      <w:bookmarkEnd w:id="118"/>
      <w:bookmarkEnd w:id="119"/>
      <w:bookmarkEnd w:id="120"/>
      <w:bookmarkEnd w:id="121"/>
      <w:bookmarkEnd w:id="122"/>
      <w:bookmarkEnd w:id="123"/>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24" w:name="_Toc88209952"/>
      <w:bookmarkStart w:id="125" w:name="_Toc87616389"/>
      <w:r>
        <w:rPr>
          <w:rFonts w:hint="eastAsia" w:ascii="仿宋_GB2312" w:eastAsia="仿宋_GB2312"/>
          <w:color w:val="auto"/>
          <w:sz w:val="28"/>
          <w:szCs w:val="28"/>
          <w:highlight w:val="none"/>
        </w:rPr>
        <w:t>1.响应函</w:t>
      </w:r>
      <w:bookmarkEnd w:id="124"/>
      <w:bookmarkEnd w:id="125"/>
    </w:p>
    <w:p>
      <w:pPr>
        <w:spacing w:line="600" w:lineRule="exact"/>
        <w:rPr>
          <w:rFonts w:hint="eastAsia" w:ascii="仿宋_GB2312" w:eastAsia="仿宋_GB2312"/>
          <w:color w:val="auto"/>
          <w:sz w:val="28"/>
          <w:szCs w:val="28"/>
          <w:highlight w:val="none"/>
        </w:rPr>
      </w:pPr>
      <w:bookmarkStart w:id="126" w:name="_Toc88209953"/>
      <w:bookmarkStart w:id="127" w:name="_Toc87616390"/>
      <w:r>
        <w:rPr>
          <w:rFonts w:hint="eastAsia" w:ascii="仿宋_GB2312" w:eastAsia="仿宋_GB2312"/>
          <w:color w:val="auto"/>
          <w:sz w:val="28"/>
          <w:szCs w:val="28"/>
          <w:highlight w:val="none"/>
        </w:rPr>
        <w:t>2.法定代表人证明或授权委托书</w:t>
      </w:r>
      <w:bookmarkEnd w:id="126"/>
      <w:bookmarkEnd w:id="127"/>
      <w:bookmarkStart w:id="128" w:name="_Toc87616393"/>
      <w:bookmarkStart w:id="129"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28"/>
      <w:bookmarkEnd w:id="129"/>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3"/>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6"/>
        <w:rPr>
          <w:rFonts w:asciiTheme="minorEastAsia" w:hAnsiTheme="minorEastAsia" w:eastAsiaTheme="minorEastAsia"/>
          <w:color w:val="auto"/>
          <w:sz w:val="28"/>
          <w:szCs w:val="28"/>
          <w:highlight w:val="none"/>
        </w:rPr>
      </w:pPr>
      <w:bookmarkStart w:id="130" w:name="_Toc87616394"/>
      <w:bookmarkStart w:id="131" w:name="_Toc28619645"/>
      <w:bookmarkStart w:id="132" w:name="_Toc6313"/>
      <w:bookmarkStart w:id="133" w:name="_Toc12665"/>
      <w:bookmarkStart w:id="134" w:name="_Toc88209957"/>
      <w:r>
        <w:rPr>
          <w:rFonts w:hint="eastAsia" w:asciiTheme="minorEastAsia" w:hAnsiTheme="minorEastAsia" w:eastAsiaTheme="minorEastAsia"/>
          <w:color w:val="auto"/>
          <w:sz w:val="28"/>
          <w:szCs w:val="28"/>
          <w:highlight w:val="none"/>
        </w:rPr>
        <w:t>1.响应函</w:t>
      </w:r>
      <w:bookmarkEnd w:id="130"/>
      <w:bookmarkEnd w:id="131"/>
      <w:bookmarkEnd w:id="132"/>
      <w:bookmarkEnd w:id="133"/>
      <w:bookmarkEnd w:id="134"/>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.我方在此声明，所递交的响应文件及有关资料内容完整、真实和准确，且不存在采购公告中供应商不得存在的情形。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35" w:name="_Toc87616395"/>
      <w:bookmarkStart w:id="136" w:name="_Toc88209958"/>
      <w:bookmarkStart w:id="137" w:name="_Toc22527"/>
      <w:bookmarkStart w:id="138" w:name="_Toc29833"/>
    </w:p>
    <w:p>
      <w:pPr>
        <w:pStyle w:val="6"/>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35"/>
      <w:bookmarkEnd w:id="136"/>
      <w:bookmarkEnd w:id="137"/>
      <w:bookmarkEnd w:id="138"/>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42"/>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41"/>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s="Times New Roman"/>
          <w:color w:val="auto"/>
          <w:sz w:val="32"/>
          <w:szCs w:val="32"/>
          <w:highlight w:val="none"/>
        </w:rPr>
      </w:pPr>
      <w:r>
        <w:rPr>
          <w:rFonts w:hint="eastAsia" w:ascii="仿宋_GB2312" w:hAnsi="宋体" w:eastAsia="仿宋_GB2312"/>
          <w:color w:val="auto"/>
          <w:sz w:val="30"/>
          <w:szCs w:val="30"/>
          <w:highlight w:val="none"/>
        </w:rPr>
        <w:t>附：法定代表人身份证(正反两面)复印件</w:t>
      </w:r>
    </w:p>
    <w:p>
      <w:pPr>
        <w:pStyle w:val="13"/>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68480"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8480;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40"/>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3"/>
        <w:rPr>
          <w:rFonts w:hint="eastAsia" w:ascii="仿宋_GB2312" w:hAnsi="宋体" w:eastAsia="仿宋_GB2312"/>
          <w:color w:val="auto"/>
          <w:sz w:val="30"/>
          <w:szCs w:val="30"/>
          <w:highlight w:val="none"/>
        </w:rPr>
      </w:pPr>
    </w:p>
    <w:p>
      <w:pPr>
        <w:pStyle w:val="23"/>
        <w:rPr>
          <w:rFonts w:hint="eastAsia" w:ascii="仿宋_GB2312" w:hAnsi="宋体" w:eastAsia="仿宋_GB2312"/>
          <w:color w:val="auto"/>
          <w:sz w:val="30"/>
          <w:szCs w:val="30"/>
          <w:highlight w:val="none"/>
        </w:rPr>
      </w:pPr>
    </w:p>
    <w:p>
      <w:pPr>
        <w:pStyle w:val="23"/>
        <w:rPr>
          <w:rFonts w:hint="eastAsia" w:ascii="仿宋_GB2312" w:hAnsi="宋体" w:eastAsia="仿宋_GB2312"/>
          <w:color w:val="auto"/>
          <w:sz w:val="30"/>
          <w:szCs w:val="30"/>
          <w:highlight w:val="none"/>
        </w:rPr>
      </w:pPr>
    </w:p>
    <w:p>
      <w:pPr>
        <w:pStyle w:val="23"/>
        <w:rPr>
          <w:rFonts w:hint="eastAsia" w:ascii="仿宋_GB2312" w:hAnsi="宋体" w:eastAsia="仿宋_GB2312"/>
          <w:color w:val="auto"/>
          <w:sz w:val="30"/>
          <w:szCs w:val="30"/>
          <w:highlight w:val="none"/>
        </w:rPr>
      </w:pPr>
    </w:p>
    <w:p>
      <w:pPr>
        <w:pStyle w:val="7"/>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69504"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9504;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pStyle w:val="7"/>
        <w:spacing w:after="0" w:line="600" w:lineRule="exact"/>
        <w:ind w:firstLine="0"/>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6"/>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39" w:name="_Toc19830"/>
      <w:bookmarkStart w:id="140" w:name="_Toc87616400"/>
      <w:bookmarkStart w:id="141" w:name="_Toc88209963"/>
      <w:bookmarkStart w:id="142" w:name="_Toc8086"/>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39"/>
      <w:bookmarkEnd w:id="140"/>
      <w:bookmarkEnd w:id="141"/>
      <w:bookmarkEnd w:id="142"/>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5"/>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bookmarkStart w:id="143" w:name="_Hlk59025866"/>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43"/>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eastAsia="宋体" w:cs="宋体"/>
          <w:color w:val="auto"/>
          <w:kern w:val="2"/>
          <w:sz w:val="24"/>
          <w:szCs w:val="24"/>
          <w:highlight w:val="none"/>
          <w:lang w:val="en-GB" w:eastAsia="zh-CN"/>
        </w:rPr>
        <w:t>广州市净水有限公司大坦沙分公司一二期污水泵房除臭设备改造项目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（3）与本项目其他供应商存在管理关系。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（9）被“信用广州”网站纳入失信被执行人名单（失信黑名单）。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（11）其他违法违纪行为，经审查认为不宜被邀请参加采购活动的。</w:t>
      </w:r>
    </w:p>
    <w:p>
      <w:pPr>
        <w:adjustRightInd w:val="0"/>
        <w:snapToGrid w:val="0"/>
        <w:spacing w:line="360" w:lineRule="auto"/>
        <w:rPr>
          <w:rFonts w:hint="eastAsia" w:ascii="宋体" w:hAnsi="宋体" w:eastAsia="宋体" w:cs="宋体"/>
          <w:b/>
          <w:color w:val="auto"/>
          <w:sz w:val="24"/>
          <w:szCs w:val="24"/>
          <w:highlight w:val="none"/>
        </w:rPr>
      </w:pP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3"/>
        <w:ind w:firstLine="0"/>
        <w:rPr>
          <w:rFonts w:hint="eastAsia"/>
          <w:color w:val="auto"/>
          <w:highlight w:val="none"/>
          <w:lang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3"/>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4"/>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3"/>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both"/>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pStyle w:val="23"/>
        <w:ind w:firstLine="0"/>
        <w:rPr>
          <w:rFonts w:hint="default" w:ascii="仿宋_GB2312" w:eastAsia="仿宋_GB2312" w:hAnsiTheme="minorEastAsia"/>
          <w:color w:val="auto"/>
          <w:sz w:val="28"/>
          <w:szCs w:val="28"/>
          <w:highlight w:val="none"/>
          <w:lang w:val="en-US" w:eastAsia="zh-CN"/>
        </w:rPr>
      </w:pPr>
      <w:r>
        <w:rPr>
          <w:rFonts w:hint="eastAsia" w:ascii="宋体" w:hAnsi="宋体" w:eastAsia="宋体" w:cs="宋体"/>
          <w:color w:val="auto"/>
          <w:kern w:val="2"/>
          <w:sz w:val="24"/>
          <w:szCs w:val="24"/>
          <w:highlight w:val="none"/>
          <w:lang w:val="en-GB"/>
        </w:rPr>
        <w:t>年  月  日</w:t>
      </w:r>
    </w:p>
    <w:p>
      <w:pPr>
        <w:pStyle w:val="23"/>
        <w:rPr>
          <w:rFonts w:hint="default" w:ascii="仿宋_GB2312" w:eastAsia="仿宋_GB2312" w:hAnsiTheme="minorEastAsia"/>
          <w:color w:val="auto"/>
          <w:sz w:val="28"/>
          <w:szCs w:val="28"/>
          <w:highlight w:val="none"/>
          <w:lang w:val="en-US" w:eastAsia="zh-CN"/>
        </w:rPr>
      </w:pPr>
    </w:p>
    <w:p>
      <w:pPr>
        <w:pStyle w:val="23"/>
        <w:rPr>
          <w:rFonts w:hint="default" w:ascii="仿宋_GB2312" w:eastAsia="仿宋_GB2312" w:hAnsiTheme="minorEastAsia"/>
          <w:color w:val="auto"/>
          <w:sz w:val="28"/>
          <w:szCs w:val="28"/>
          <w:highlight w:val="none"/>
          <w:lang w:val="en-US" w:eastAsia="zh-CN"/>
        </w:rPr>
      </w:pPr>
    </w:p>
    <w:p>
      <w:pPr>
        <w:pStyle w:val="23"/>
        <w:rPr>
          <w:rFonts w:hint="default" w:ascii="仿宋_GB2312" w:eastAsia="仿宋_GB2312" w:hAnsiTheme="minorEastAsia"/>
          <w:color w:val="auto"/>
          <w:sz w:val="28"/>
          <w:szCs w:val="28"/>
          <w:highlight w:val="none"/>
          <w:lang w:val="en-US" w:eastAsia="zh-CN"/>
        </w:rPr>
      </w:pPr>
    </w:p>
    <w:p>
      <w:pPr>
        <w:pStyle w:val="6"/>
        <w:numPr>
          <w:ilvl w:val="-1"/>
          <w:numId w:val="0"/>
        </w:numPr>
        <w:rPr>
          <w:rFonts w:hint="eastAsia" w:asciiTheme="minorEastAsia" w:hAnsiTheme="minorEastAsia" w:eastAsiaTheme="minorEastAsia"/>
          <w:color w:val="auto"/>
          <w:sz w:val="28"/>
          <w:szCs w:val="28"/>
          <w:highlight w:val="none"/>
        </w:rPr>
      </w:pPr>
      <w:bookmarkStart w:id="144" w:name="_Toc32430"/>
      <w:bookmarkStart w:id="145" w:name="_Toc19423"/>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44"/>
      <w:bookmarkEnd w:id="145"/>
    </w:p>
    <w:p>
      <w:pPr>
        <w:rPr>
          <w:color w:val="auto"/>
          <w:highlight w:val="none"/>
        </w:rPr>
      </w:pPr>
    </w:p>
    <w:tbl>
      <w:tblPr>
        <w:tblStyle w:val="2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5"/>
        <w:gridCol w:w="109"/>
        <w:gridCol w:w="417"/>
        <w:gridCol w:w="892"/>
        <w:gridCol w:w="107"/>
        <w:gridCol w:w="1138"/>
        <w:gridCol w:w="683"/>
        <w:gridCol w:w="1279"/>
        <w:gridCol w:w="36"/>
        <w:gridCol w:w="187"/>
        <w:gridCol w:w="13"/>
        <w:gridCol w:w="123"/>
        <w:gridCol w:w="435"/>
        <w:gridCol w:w="225"/>
        <w:gridCol w:w="542"/>
        <w:gridCol w:w="83"/>
        <w:gridCol w:w="4"/>
        <w:gridCol w:w="323"/>
        <w:gridCol w:w="337"/>
        <w:gridCol w:w="45"/>
        <w:gridCol w:w="562"/>
        <w:gridCol w:w="246"/>
        <w:gridCol w:w="692"/>
        <w:gridCol w:w="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 w:type="pct"/>
          <w:trHeight w:val="795" w:hRule="atLeast"/>
        </w:trPr>
        <w:tc>
          <w:tcPr>
            <w:tcW w:w="4996" w:type="pct"/>
            <w:gridSpan w:val="2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40"/>
                <w:szCs w:val="40"/>
                <w:highlight w:val="none"/>
                <w:u w:val="none"/>
              </w:rPr>
            </w:pPr>
            <w:r>
              <w:rPr>
                <w:rFonts w:hint="eastAsia" w:ascii="宋体" w:hAnsi="宋体" w:eastAsia="宋体" w:cs="宋体"/>
                <w:b/>
                <w:bCs/>
                <w:i w:val="0"/>
                <w:iCs w:val="0"/>
                <w:color w:val="auto"/>
                <w:kern w:val="0"/>
                <w:sz w:val="40"/>
                <w:szCs w:val="40"/>
                <w:highlight w:val="none"/>
                <w:u w:val="none"/>
                <w:lang w:val="en-US" w:eastAsia="zh-CN" w:bidi="ar"/>
              </w:rPr>
              <w:t>单位工程招标控制价汇总表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 w:type="pct"/>
          <w:trHeight w:val="570" w:hRule="atLeast"/>
        </w:trPr>
        <w:tc>
          <w:tcPr>
            <w:tcW w:w="2870" w:type="pct"/>
            <w:gridSpan w:val="8"/>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工程名称：大坦沙分公司一二期污水泵房除臭设备改造项目</w:t>
            </w:r>
          </w:p>
        </w:tc>
        <w:tc>
          <w:tcPr>
            <w:tcW w:w="909" w:type="pct"/>
            <w:gridSpan w:val="9"/>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标段：</w:t>
            </w:r>
          </w:p>
        </w:tc>
        <w:tc>
          <w:tcPr>
            <w:tcW w:w="1216" w:type="pct"/>
            <w:gridSpan w:val="6"/>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 w:type="pct"/>
          <w:trHeight w:val="375" w:hRule="atLeast"/>
        </w:trPr>
        <w:tc>
          <w:tcPr>
            <w:tcW w:w="608" w:type="pct"/>
            <w:gridSpan w:val="3"/>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2384" w:type="pct"/>
            <w:gridSpan w:val="7"/>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汇总内容</w:t>
            </w:r>
          </w:p>
        </w:tc>
        <w:tc>
          <w:tcPr>
            <w:tcW w:w="1150" w:type="pct"/>
            <w:gridSpan w:val="9"/>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金额:(元)</w:t>
            </w:r>
          </w:p>
        </w:tc>
        <w:tc>
          <w:tcPr>
            <w:tcW w:w="853" w:type="pct"/>
            <w:gridSpan w:val="4"/>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 w:type="pct"/>
          <w:trHeight w:val="360" w:hRule="atLeast"/>
        </w:trPr>
        <w:tc>
          <w:tcPr>
            <w:tcW w:w="608"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384"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分部分项合计</w:t>
            </w:r>
          </w:p>
        </w:tc>
        <w:tc>
          <w:tcPr>
            <w:tcW w:w="1150" w:type="pct"/>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53" w:type="pct"/>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 w:type="pct"/>
          <w:trHeight w:val="360" w:hRule="atLeast"/>
        </w:trPr>
        <w:tc>
          <w:tcPr>
            <w:tcW w:w="608"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2384"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措施合计</w:t>
            </w:r>
          </w:p>
        </w:tc>
        <w:tc>
          <w:tcPr>
            <w:tcW w:w="1150" w:type="pct"/>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53" w:type="pct"/>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 w:type="pct"/>
          <w:trHeight w:val="360" w:hRule="atLeast"/>
        </w:trPr>
        <w:tc>
          <w:tcPr>
            <w:tcW w:w="608"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w:t>
            </w:r>
          </w:p>
        </w:tc>
        <w:tc>
          <w:tcPr>
            <w:tcW w:w="2384"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绿色施工安全防护措施费</w:t>
            </w:r>
          </w:p>
        </w:tc>
        <w:tc>
          <w:tcPr>
            <w:tcW w:w="1150" w:type="pct"/>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53" w:type="pct"/>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 w:type="pct"/>
          <w:trHeight w:val="360" w:hRule="atLeast"/>
        </w:trPr>
        <w:tc>
          <w:tcPr>
            <w:tcW w:w="608"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w:t>
            </w:r>
          </w:p>
        </w:tc>
        <w:tc>
          <w:tcPr>
            <w:tcW w:w="2384"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其他措施费</w:t>
            </w:r>
          </w:p>
        </w:tc>
        <w:tc>
          <w:tcPr>
            <w:tcW w:w="1150" w:type="pct"/>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53" w:type="pct"/>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 w:type="pct"/>
          <w:trHeight w:val="360" w:hRule="atLeast"/>
        </w:trPr>
        <w:tc>
          <w:tcPr>
            <w:tcW w:w="608"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2384"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其他项目</w:t>
            </w:r>
          </w:p>
        </w:tc>
        <w:tc>
          <w:tcPr>
            <w:tcW w:w="1150" w:type="pct"/>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53" w:type="pct"/>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 w:type="pct"/>
          <w:trHeight w:val="360" w:hRule="atLeast"/>
        </w:trPr>
        <w:tc>
          <w:tcPr>
            <w:tcW w:w="608"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w:t>
            </w:r>
          </w:p>
        </w:tc>
        <w:tc>
          <w:tcPr>
            <w:tcW w:w="2384"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暂列金额</w:t>
            </w:r>
          </w:p>
        </w:tc>
        <w:tc>
          <w:tcPr>
            <w:tcW w:w="1150" w:type="pct"/>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53" w:type="pct"/>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 w:type="pct"/>
          <w:trHeight w:val="360" w:hRule="atLeast"/>
        </w:trPr>
        <w:tc>
          <w:tcPr>
            <w:tcW w:w="608"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3.2</w:t>
            </w:r>
          </w:p>
        </w:tc>
        <w:tc>
          <w:tcPr>
            <w:tcW w:w="2384"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暂估价</w:t>
            </w:r>
          </w:p>
        </w:tc>
        <w:tc>
          <w:tcPr>
            <w:tcW w:w="1150" w:type="pct"/>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53" w:type="pct"/>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 w:type="pct"/>
          <w:trHeight w:val="360" w:hRule="atLeast"/>
        </w:trPr>
        <w:tc>
          <w:tcPr>
            <w:tcW w:w="608"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3.3</w:t>
            </w:r>
          </w:p>
        </w:tc>
        <w:tc>
          <w:tcPr>
            <w:tcW w:w="2384"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计日工</w:t>
            </w:r>
          </w:p>
        </w:tc>
        <w:tc>
          <w:tcPr>
            <w:tcW w:w="1150" w:type="pct"/>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53" w:type="pct"/>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 w:type="pct"/>
          <w:trHeight w:val="360" w:hRule="atLeast"/>
        </w:trPr>
        <w:tc>
          <w:tcPr>
            <w:tcW w:w="608"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3.4</w:t>
            </w:r>
          </w:p>
        </w:tc>
        <w:tc>
          <w:tcPr>
            <w:tcW w:w="2384"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总承包服务费</w:t>
            </w:r>
          </w:p>
        </w:tc>
        <w:tc>
          <w:tcPr>
            <w:tcW w:w="1150" w:type="pct"/>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53" w:type="pct"/>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 w:type="pct"/>
          <w:trHeight w:val="360" w:hRule="atLeast"/>
        </w:trPr>
        <w:tc>
          <w:tcPr>
            <w:tcW w:w="608"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w:t>
            </w:r>
          </w:p>
        </w:tc>
        <w:tc>
          <w:tcPr>
            <w:tcW w:w="2384"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预算包干费</w:t>
            </w:r>
          </w:p>
        </w:tc>
        <w:tc>
          <w:tcPr>
            <w:tcW w:w="1150" w:type="pct"/>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53" w:type="pct"/>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 w:type="pct"/>
          <w:trHeight w:val="360" w:hRule="atLeast"/>
        </w:trPr>
        <w:tc>
          <w:tcPr>
            <w:tcW w:w="608"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3.6</w:t>
            </w:r>
          </w:p>
        </w:tc>
        <w:tc>
          <w:tcPr>
            <w:tcW w:w="2384"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工程优质费</w:t>
            </w:r>
          </w:p>
        </w:tc>
        <w:tc>
          <w:tcPr>
            <w:tcW w:w="1150" w:type="pct"/>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53" w:type="pct"/>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 w:type="pct"/>
          <w:trHeight w:val="360" w:hRule="atLeast"/>
        </w:trPr>
        <w:tc>
          <w:tcPr>
            <w:tcW w:w="608"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3.7</w:t>
            </w:r>
          </w:p>
        </w:tc>
        <w:tc>
          <w:tcPr>
            <w:tcW w:w="2384"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概算幅度差</w:t>
            </w:r>
          </w:p>
        </w:tc>
        <w:tc>
          <w:tcPr>
            <w:tcW w:w="1150" w:type="pct"/>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53" w:type="pct"/>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 w:type="pct"/>
          <w:trHeight w:val="360" w:hRule="atLeast"/>
        </w:trPr>
        <w:tc>
          <w:tcPr>
            <w:tcW w:w="608"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3.8</w:t>
            </w:r>
          </w:p>
        </w:tc>
        <w:tc>
          <w:tcPr>
            <w:tcW w:w="2384"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索赔费用</w:t>
            </w:r>
          </w:p>
        </w:tc>
        <w:tc>
          <w:tcPr>
            <w:tcW w:w="1150" w:type="pct"/>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53" w:type="pct"/>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 w:type="pct"/>
          <w:trHeight w:val="360" w:hRule="atLeast"/>
        </w:trPr>
        <w:tc>
          <w:tcPr>
            <w:tcW w:w="608"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3.9</w:t>
            </w:r>
          </w:p>
        </w:tc>
        <w:tc>
          <w:tcPr>
            <w:tcW w:w="2384"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现场签证费用</w:t>
            </w:r>
          </w:p>
        </w:tc>
        <w:tc>
          <w:tcPr>
            <w:tcW w:w="1150" w:type="pct"/>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53" w:type="pct"/>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 w:type="pct"/>
          <w:trHeight w:val="360" w:hRule="atLeast"/>
        </w:trPr>
        <w:tc>
          <w:tcPr>
            <w:tcW w:w="608"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3.10</w:t>
            </w:r>
          </w:p>
        </w:tc>
        <w:tc>
          <w:tcPr>
            <w:tcW w:w="2384"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其他费用</w:t>
            </w:r>
          </w:p>
        </w:tc>
        <w:tc>
          <w:tcPr>
            <w:tcW w:w="1150" w:type="pct"/>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53" w:type="pct"/>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 w:type="pct"/>
          <w:trHeight w:val="360" w:hRule="atLeast"/>
        </w:trPr>
        <w:tc>
          <w:tcPr>
            <w:tcW w:w="608"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2384"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税前工程造价</w:t>
            </w:r>
          </w:p>
        </w:tc>
        <w:tc>
          <w:tcPr>
            <w:tcW w:w="1150" w:type="pct"/>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53" w:type="pct"/>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 w:type="pct"/>
          <w:trHeight w:val="360" w:hRule="atLeast"/>
        </w:trPr>
        <w:tc>
          <w:tcPr>
            <w:tcW w:w="608"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2384"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增值税销项税额</w:t>
            </w:r>
          </w:p>
        </w:tc>
        <w:tc>
          <w:tcPr>
            <w:tcW w:w="1150" w:type="pct"/>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53" w:type="pct"/>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 w:type="pct"/>
          <w:trHeight w:val="360" w:hRule="atLeast"/>
        </w:trPr>
        <w:tc>
          <w:tcPr>
            <w:tcW w:w="608"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2384"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总造价</w:t>
            </w:r>
          </w:p>
        </w:tc>
        <w:tc>
          <w:tcPr>
            <w:tcW w:w="1150" w:type="pct"/>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53" w:type="pct"/>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 w:type="pct"/>
          <w:trHeight w:val="360" w:hRule="atLeast"/>
        </w:trPr>
        <w:tc>
          <w:tcPr>
            <w:tcW w:w="608"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2384"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人工费</w:t>
            </w:r>
          </w:p>
        </w:tc>
        <w:tc>
          <w:tcPr>
            <w:tcW w:w="1150" w:type="pct"/>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53" w:type="pct"/>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 w:type="pct"/>
          <w:trHeight w:val="360" w:hRule="atLeast"/>
        </w:trPr>
        <w:tc>
          <w:tcPr>
            <w:tcW w:w="2993" w:type="pct"/>
            <w:gridSpan w:val="10"/>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招标控制价合计=1+2+3+5</w:t>
            </w:r>
          </w:p>
        </w:tc>
        <w:tc>
          <w:tcPr>
            <w:tcW w:w="1150" w:type="pct"/>
            <w:gridSpan w:val="9"/>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53" w:type="pct"/>
            <w:gridSpan w:val="4"/>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 w:type="pct"/>
          <w:trHeight w:val="360" w:hRule="atLeast"/>
        </w:trPr>
        <w:tc>
          <w:tcPr>
            <w:tcW w:w="4996" w:type="pct"/>
            <w:gridSpan w:val="23"/>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注：本表适用于单位工程招标控制价或投标报价的汇总，如无单位工程划分，单项工程也使用本表汇总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 w:type="pct"/>
          <w:trHeight w:val="360" w:hRule="atLeast"/>
        </w:trPr>
        <w:tc>
          <w:tcPr>
            <w:tcW w:w="2870" w:type="pct"/>
            <w:gridSpan w:val="8"/>
            <w:tcBorders>
              <w:top w:val="nil"/>
              <w:left w:val="nil"/>
              <w:bottom w:val="nil"/>
              <w:right w:val="nil"/>
            </w:tcBorders>
            <w:shd w:val="clear" w:color="FFFFFF" w:fill="FFFFFF"/>
            <w:vAlign w:val="center"/>
          </w:tcPr>
          <w:p>
            <w:pPr>
              <w:jc w:val="left"/>
              <w:rPr>
                <w:rFonts w:hint="eastAsia" w:ascii="宋体" w:hAnsi="宋体" w:eastAsia="宋体" w:cs="宋体"/>
                <w:i w:val="0"/>
                <w:iCs w:val="0"/>
                <w:color w:val="auto"/>
                <w:sz w:val="18"/>
                <w:szCs w:val="18"/>
                <w:highlight w:val="none"/>
                <w:u w:val="none"/>
              </w:rPr>
            </w:pPr>
          </w:p>
        </w:tc>
        <w:tc>
          <w:tcPr>
            <w:tcW w:w="909" w:type="pct"/>
            <w:gridSpan w:val="9"/>
            <w:tcBorders>
              <w:top w:val="nil"/>
              <w:left w:val="nil"/>
              <w:bottom w:val="nil"/>
              <w:right w:val="nil"/>
            </w:tcBorders>
            <w:shd w:val="clear" w:color="FFFFFF" w:fill="FFFFFF"/>
            <w:vAlign w:val="center"/>
          </w:tcPr>
          <w:p>
            <w:pPr>
              <w:jc w:val="center"/>
              <w:rPr>
                <w:rFonts w:hint="eastAsia" w:ascii="宋体" w:hAnsi="宋体" w:eastAsia="宋体" w:cs="宋体"/>
                <w:i w:val="0"/>
                <w:iCs w:val="0"/>
                <w:color w:val="auto"/>
                <w:sz w:val="18"/>
                <w:szCs w:val="18"/>
                <w:highlight w:val="none"/>
                <w:u w:val="none"/>
              </w:rPr>
            </w:pPr>
          </w:p>
        </w:tc>
        <w:tc>
          <w:tcPr>
            <w:tcW w:w="1216" w:type="pct"/>
            <w:gridSpan w:val="6"/>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表—04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 w:type="pct"/>
          <w:trHeight w:val="240" w:hRule="atLeast"/>
        </w:trPr>
        <w:tc>
          <w:tcPr>
            <w:tcW w:w="608" w:type="pct"/>
            <w:gridSpan w:val="3"/>
            <w:tcBorders>
              <w:top w:val="nil"/>
              <w:left w:val="nil"/>
              <w:bottom w:val="nil"/>
              <w:right w:val="nil"/>
            </w:tcBorders>
            <w:shd w:val="clear" w:color="auto" w:fill="auto"/>
            <w:noWrap/>
            <w:vAlign w:val="bottom"/>
          </w:tcPr>
          <w:p>
            <w:pPr>
              <w:rPr>
                <w:rFonts w:hint="eastAsia" w:ascii="??" w:hAnsi="??" w:eastAsia="??" w:cs="??"/>
                <w:i w:val="0"/>
                <w:iCs w:val="0"/>
                <w:color w:val="auto"/>
                <w:sz w:val="18"/>
                <w:szCs w:val="18"/>
                <w:highlight w:val="none"/>
                <w:u w:val="none"/>
              </w:rPr>
            </w:pPr>
          </w:p>
        </w:tc>
        <w:tc>
          <w:tcPr>
            <w:tcW w:w="2262" w:type="pct"/>
            <w:gridSpan w:val="5"/>
            <w:tcBorders>
              <w:top w:val="nil"/>
              <w:left w:val="nil"/>
              <w:bottom w:val="nil"/>
              <w:right w:val="nil"/>
            </w:tcBorders>
            <w:shd w:val="clear" w:color="auto" w:fill="auto"/>
            <w:noWrap/>
            <w:vAlign w:val="bottom"/>
          </w:tcPr>
          <w:p>
            <w:pPr>
              <w:rPr>
                <w:rFonts w:hint="default" w:ascii="??" w:hAnsi="??" w:eastAsia="??" w:cs="??"/>
                <w:i w:val="0"/>
                <w:iCs w:val="0"/>
                <w:color w:val="auto"/>
                <w:sz w:val="18"/>
                <w:szCs w:val="18"/>
                <w:highlight w:val="none"/>
                <w:u w:val="none"/>
              </w:rPr>
            </w:pPr>
          </w:p>
        </w:tc>
        <w:tc>
          <w:tcPr>
            <w:tcW w:w="122" w:type="pct"/>
            <w:gridSpan w:val="2"/>
            <w:tcBorders>
              <w:top w:val="nil"/>
              <w:left w:val="nil"/>
              <w:bottom w:val="nil"/>
              <w:right w:val="nil"/>
            </w:tcBorders>
            <w:shd w:val="clear" w:color="auto" w:fill="auto"/>
            <w:noWrap/>
            <w:vAlign w:val="bottom"/>
          </w:tcPr>
          <w:p>
            <w:pPr>
              <w:rPr>
                <w:rFonts w:hint="default" w:ascii="??" w:hAnsi="??" w:eastAsia="??" w:cs="??"/>
                <w:i w:val="0"/>
                <w:iCs w:val="0"/>
                <w:color w:val="auto"/>
                <w:sz w:val="18"/>
                <w:szCs w:val="18"/>
                <w:highlight w:val="none"/>
                <w:u w:val="none"/>
              </w:rPr>
            </w:pPr>
          </w:p>
        </w:tc>
        <w:tc>
          <w:tcPr>
            <w:tcW w:w="786" w:type="pct"/>
            <w:gridSpan w:val="7"/>
            <w:tcBorders>
              <w:top w:val="nil"/>
              <w:left w:val="nil"/>
              <w:bottom w:val="nil"/>
              <w:right w:val="nil"/>
            </w:tcBorders>
            <w:shd w:val="clear" w:color="auto" w:fill="auto"/>
            <w:noWrap/>
            <w:vAlign w:val="bottom"/>
          </w:tcPr>
          <w:p>
            <w:pPr>
              <w:rPr>
                <w:rFonts w:hint="default" w:ascii="??" w:hAnsi="??" w:eastAsia="??" w:cs="??"/>
                <w:i w:val="0"/>
                <w:iCs w:val="0"/>
                <w:color w:val="auto"/>
                <w:sz w:val="18"/>
                <w:szCs w:val="18"/>
                <w:highlight w:val="none"/>
                <w:u w:val="none"/>
              </w:rPr>
            </w:pPr>
          </w:p>
        </w:tc>
        <w:tc>
          <w:tcPr>
            <w:tcW w:w="363" w:type="pct"/>
            <w:gridSpan w:val="2"/>
            <w:tcBorders>
              <w:top w:val="nil"/>
              <w:left w:val="nil"/>
              <w:bottom w:val="nil"/>
              <w:right w:val="nil"/>
            </w:tcBorders>
            <w:shd w:val="clear" w:color="auto" w:fill="auto"/>
            <w:noWrap/>
            <w:vAlign w:val="bottom"/>
          </w:tcPr>
          <w:p>
            <w:pPr>
              <w:rPr>
                <w:rFonts w:hint="default" w:ascii="??" w:hAnsi="??" w:eastAsia="??" w:cs="??"/>
                <w:i w:val="0"/>
                <w:iCs w:val="0"/>
                <w:color w:val="auto"/>
                <w:sz w:val="18"/>
                <w:szCs w:val="18"/>
                <w:highlight w:val="none"/>
                <w:u w:val="none"/>
              </w:rPr>
            </w:pPr>
          </w:p>
        </w:tc>
        <w:tc>
          <w:tcPr>
            <w:tcW w:w="853" w:type="pct"/>
            <w:gridSpan w:val="4"/>
            <w:tcBorders>
              <w:top w:val="nil"/>
              <w:left w:val="nil"/>
              <w:bottom w:val="nil"/>
              <w:right w:val="nil"/>
            </w:tcBorders>
            <w:shd w:val="clear" w:color="auto" w:fill="auto"/>
            <w:noWrap/>
            <w:vAlign w:val="bottom"/>
          </w:tcPr>
          <w:p>
            <w:pPr>
              <w:rPr>
                <w:rFonts w:hint="default" w:ascii="??" w:hAnsi="??" w:eastAsia="??" w:cs="??"/>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24"/>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40"/>
                <w:szCs w:val="40"/>
                <w:highlight w:val="none"/>
                <w:u w:val="none"/>
              </w:rPr>
            </w:pPr>
            <w:r>
              <w:rPr>
                <w:rFonts w:hint="eastAsia" w:ascii="宋体" w:hAnsi="宋体" w:eastAsia="宋体" w:cs="宋体"/>
                <w:b/>
                <w:bCs/>
                <w:i w:val="0"/>
                <w:iCs w:val="0"/>
                <w:color w:val="auto"/>
                <w:kern w:val="0"/>
                <w:sz w:val="40"/>
                <w:szCs w:val="40"/>
                <w:highlight w:val="none"/>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890" w:type="pct"/>
            <w:gridSpan w:val="9"/>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工程名称：大坦沙分公司一二期污水泵房除臭设备改造项目</w:t>
            </w:r>
          </w:p>
        </w:tc>
        <w:tc>
          <w:tcPr>
            <w:tcW w:w="887" w:type="pct"/>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标段：</w:t>
            </w:r>
          </w:p>
        </w:tc>
        <w:tc>
          <w:tcPr>
            <w:tcW w:w="1221" w:type="pct"/>
            <w:gridSpan w:val="8"/>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18"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782" w:type="pct"/>
            <w:gridSpan w:val="3"/>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项目编码</w:t>
            </w:r>
          </w:p>
        </w:tc>
        <w:tc>
          <w:tcPr>
            <w:tcW w:w="687"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1281" w:type="pct"/>
            <w:gridSpan w:val="6"/>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项目特征描述</w:t>
            </w:r>
          </w:p>
        </w:tc>
        <w:tc>
          <w:tcPr>
            <w:tcW w:w="240"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计量单位</w:t>
            </w:r>
          </w:p>
        </w:tc>
        <w:tc>
          <w:tcPr>
            <w:tcW w:w="420"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工程量</w:t>
            </w:r>
          </w:p>
        </w:tc>
        <w:tc>
          <w:tcPr>
            <w:tcW w:w="1268" w:type="pct"/>
            <w:gridSpan w:val="9"/>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18"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782" w:type="pct"/>
            <w:gridSpan w:val="3"/>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687"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281" w:type="pct"/>
            <w:gridSpan w:val="6"/>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240"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420"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436" w:type="pct"/>
            <w:gridSpan w:val="5"/>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综合单价</w:t>
            </w:r>
          </w:p>
        </w:tc>
        <w:tc>
          <w:tcPr>
            <w:tcW w:w="446" w:type="pct"/>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综合合价</w:t>
            </w:r>
          </w:p>
        </w:tc>
        <w:tc>
          <w:tcPr>
            <w:tcW w:w="385"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18"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782" w:type="pct"/>
            <w:gridSpan w:val="3"/>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687"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281" w:type="pct"/>
            <w:gridSpan w:val="6"/>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240"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420"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436" w:type="pct"/>
            <w:gridSpan w:val="5"/>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385"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1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782"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68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整个项目</w:t>
            </w:r>
          </w:p>
        </w:tc>
        <w:tc>
          <w:tcPr>
            <w:tcW w:w="1281"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2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42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436"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44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385"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31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782"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040602044001</w:t>
            </w:r>
          </w:p>
        </w:tc>
        <w:tc>
          <w:tcPr>
            <w:tcW w:w="68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除臭设备</w:t>
            </w:r>
          </w:p>
        </w:tc>
        <w:tc>
          <w:tcPr>
            <w:tcW w:w="1281"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1.Q=3000m3/h，尺寸：2.2m×1.1m×1.2m，，SS304，t=2mm</w:t>
            </w:r>
          </w:p>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2.离子发生装置、风机、内部风管、配件等</w:t>
            </w:r>
          </w:p>
        </w:tc>
        <w:tc>
          <w:tcPr>
            <w:tcW w:w="2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42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436"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8"/>
                <w:szCs w:val="18"/>
                <w:highlight w:val="none"/>
                <w:u w:val="none"/>
              </w:rPr>
            </w:pPr>
          </w:p>
        </w:tc>
        <w:tc>
          <w:tcPr>
            <w:tcW w:w="44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8"/>
                <w:szCs w:val="18"/>
                <w:highlight w:val="none"/>
                <w:u w:val="none"/>
              </w:rPr>
            </w:pPr>
          </w:p>
        </w:tc>
        <w:tc>
          <w:tcPr>
            <w:tcW w:w="385"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1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782"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030108001001</w:t>
            </w:r>
          </w:p>
        </w:tc>
        <w:tc>
          <w:tcPr>
            <w:tcW w:w="68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离心式通风机</w:t>
            </w:r>
          </w:p>
        </w:tc>
        <w:tc>
          <w:tcPr>
            <w:tcW w:w="1281"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1.Q=3000m3/h，P=1500Pa，N=2.2KW，IP55，含不锈钢外皮隔音罩</w:t>
            </w:r>
          </w:p>
        </w:tc>
        <w:tc>
          <w:tcPr>
            <w:tcW w:w="2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2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436"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8"/>
                <w:szCs w:val="18"/>
                <w:highlight w:val="none"/>
                <w:u w:val="none"/>
              </w:rPr>
            </w:pPr>
          </w:p>
        </w:tc>
        <w:tc>
          <w:tcPr>
            <w:tcW w:w="44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8"/>
                <w:szCs w:val="18"/>
                <w:highlight w:val="none"/>
                <w:u w:val="none"/>
              </w:rPr>
            </w:pPr>
          </w:p>
        </w:tc>
        <w:tc>
          <w:tcPr>
            <w:tcW w:w="385"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1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782"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030404016001</w:t>
            </w:r>
          </w:p>
        </w:tc>
        <w:tc>
          <w:tcPr>
            <w:tcW w:w="68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按钮箱(暂估价)</w:t>
            </w:r>
          </w:p>
        </w:tc>
        <w:tc>
          <w:tcPr>
            <w:tcW w:w="1281"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1.配套，400*600，挂墙安装</w:t>
            </w:r>
          </w:p>
        </w:tc>
        <w:tc>
          <w:tcPr>
            <w:tcW w:w="2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2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436"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8"/>
                <w:szCs w:val="18"/>
                <w:highlight w:val="none"/>
                <w:u w:val="none"/>
              </w:rPr>
            </w:pPr>
          </w:p>
        </w:tc>
        <w:tc>
          <w:tcPr>
            <w:tcW w:w="44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8"/>
                <w:szCs w:val="18"/>
                <w:highlight w:val="none"/>
                <w:u w:val="none"/>
              </w:rPr>
            </w:pPr>
          </w:p>
        </w:tc>
        <w:tc>
          <w:tcPr>
            <w:tcW w:w="385"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1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782"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010501006001</w:t>
            </w:r>
          </w:p>
        </w:tc>
        <w:tc>
          <w:tcPr>
            <w:tcW w:w="68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设备基础</w:t>
            </w:r>
          </w:p>
        </w:tc>
        <w:tc>
          <w:tcPr>
            <w:tcW w:w="1281"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1.混凝土种类:现浇</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2.混凝土强度等级:c25</w:t>
            </w:r>
          </w:p>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3.设备基础油黄黑警示标识</w:t>
            </w:r>
          </w:p>
        </w:tc>
        <w:tc>
          <w:tcPr>
            <w:tcW w:w="2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m3</w:t>
            </w:r>
          </w:p>
        </w:tc>
        <w:tc>
          <w:tcPr>
            <w:tcW w:w="42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w:t>
            </w:r>
          </w:p>
        </w:tc>
        <w:tc>
          <w:tcPr>
            <w:tcW w:w="436"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8"/>
                <w:szCs w:val="18"/>
                <w:highlight w:val="none"/>
                <w:u w:val="none"/>
              </w:rPr>
            </w:pPr>
          </w:p>
        </w:tc>
        <w:tc>
          <w:tcPr>
            <w:tcW w:w="44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8"/>
                <w:szCs w:val="18"/>
                <w:highlight w:val="none"/>
                <w:u w:val="none"/>
              </w:rPr>
            </w:pPr>
          </w:p>
        </w:tc>
        <w:tc>
          <w:tcPr>
            <w:tcW w:w="385"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1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782"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050402002001</w:t>
            </w:r>
          </w:p>
        </w:tc>
        <w:tc>
          <w:tcPr>
            <w:tcW w:w="68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现浇混凝土路面</w:t>
            </w:r>
          </w:p>
        </w:tc>
        <w:tc>
          <w:tcPr>
            <w:tcW w:w="1281"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1.厚度:200mm</w:t>
            </w:r>
          </w:p>
        </w:tc>
        <w:tc>
          <w:tcPr>
            <w:tcW w:w="2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42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436"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8"/>
                <w:szCs w:val="18"/>
                <w:highlight w:val="none"/>
                <w:u w:val="none"/>
              </w:rPr>
            </w:pPr>
          </w:p>
        </w:tc>
        <w:tc>
          <w:tcPr>
            <w:tcW w:w="44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8"/>
                <w:szCs w:val="18"/>
                <w:highlight w:val="none"/>
                <w:u w:val="none"/>
              </w:rPr>
            </w:pPr>
          </w:p>
        </w:tc>
        <w:tc>
          <w:tcPr>
            <w:tcW w:w="385"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1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782"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030411001001</w:t>
            </w:r>
          </w:p>
        </w:tc>
        <w:tc>
          <w:tcPr>
            <w:tcW w:w="68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配管</w:t>
            </w:r>
          </w:p>
        </w:tc>
        <w:tc>
          <w:tcPr>
            <w:tcW w:w="1281"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1.材质:镀锌套管</w:t>
            </w:r>
          </w:p>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2.规格:DN25</w:t>
            </w:r>
          </w:p>
        </w:tc>
        <w:tc>
          <w:tcPr>
            <w:tcW w:w="2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42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436"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8"/>
                <w:szCs w:val="18"/>
                <w:highlight w:val="none"/>
                <w:u w:val="none"/>
              </w:rPr>
            </w:pPr>
          </w:p>
        </w:tc>
        <w:tc>
          <w:tcPr>
            <w:tcW w:w="44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8"/>
                <w:szCs w:val="18"/>
                <w:highlight w:val="none"/>
                <w:u w:val="none"/>
              </w:rPr>
            </w:pPr>
          </w:p>
        </w:tc>
        <w:tc>
          <w:tcPr>
            <w:tcW w:w="385"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1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782"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030411004001</w:t>
            </w:r>
          </w:p>
        </w:tc>
        <w:tc>
          <w:tcPr>
            <w:tcW w:w="68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配线</w:t>
            </w:r>
          </w:p>
        </w:tc>
        <w:tc>
          <w:tcPr>
            <w:tcW w:w="1281"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1.名称:动力电缆</w:t>
            </w:r>
          </w:p>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2.规格:国标RVV护套线，6mm，5蕊</w:t>
            </w:r>
          </w:p>
        </w:tc>
        <w:tc>
          <w:tcPr>
            <w:tcW w:w="2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42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436"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8"/>
                <w:szCs w:val="18"/>
                <w:highlight w:val="none"/>
                <w:u w:val="none"/>
              </w:rPr>
            </w:pPr>
          </w:p>
        </w:tc>
        <w:tc>
          <w:tcPr>
            <w:tcW w:w="44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8"/>
                <w:szCs w:val="18"/>
                <w:highlight w:val="none"/>
                <w:u w:val="none"/>
              </w:rPr>
            </w:pPr>
          </w:p>
        </w:tc>
        <w:tc>
          <w:tcPr>
            <w:tcW w:w="385"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1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782"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040502005001</w:t>
            </w:r>
          </w:p>
        </w:tc>
        <w:tc>
          <w:tcPr>
            <w:tcW w:w="68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手动风阀</w:t>
            </w:r>
          </w:p>
        </w:tc>
        <w:tc>
          <w:tcPr>
            <w:tcW w:w="1281"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1.材质及规格:风阀 DN300 SS304</w:t>
            </w:r>
          </w:p>
        </w:tc>
        <w:tc>
          <w:tcPr>
            <w:tcW w:w="2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2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436"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8"/>
                <w:szCs w:val="18"/>
                <w:highlight w:val="none"/>
                <w:u w:val="none"/>
              </w:rPr>
            </w:pPr>
          </w:p>
        </w:tc>
        <w:tc>
          <w:tcPr>
            <w:tcW w:w="44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8"/>
                <w:szCs w:val="18"/>
                <w:highlight w:val="none"/>
                <w:u w:val="none"/>
              </w:rPr>
            </w:pPr>
          </w:p>
        </w:tc>
        <w:tc>
          <w:tcPr>
            <w:tcW w:w="385"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1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782"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030702003001</w:t>
            </w:r>
          </w:p>
        </w:tc>
        <w:tc>
          <w:tcPr>
            <w:tcW w:w="68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不锈钢板通风管道</w:t>
            </w:r>
          </w:p>
        </w:tc>
        <w:tc>
          <w:tcPr>
            <w:tcW w:w="1281"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1.材质:SS304</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2.规格:DN300</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3.板材厚度:1mm</w:t>
            </w:r>
          </w:p>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4.风管增加管道标识</w:t>
            </w:r>
          </w:p>
        </w:tc>
        <w:tc>
          <w:tcPr>
            <w:tcW w:w="2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42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18.8</w:t>
            </w:r>
          </w:p>
        </w:tc>
        <w:tc>
          <w:tcPr>
            <w:tcW w:w="436"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8"/>
                <w:szCs w:val="18"/>
                <w:highlight w:val="none"/>
                <w:u w:val="none"/>
              </w:rPr>
            </w:pPr>
          </w:p>
        </w:tc>
        <w:tc>
          <w:tcPr>
            <w:tcW w:w="44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8"/>
                <w:szCs w:val="18"/>
                <w:highlight w:val="none"/>
                <w:u w:val="none"/>
              </w:rPr>
            </w:pPr>
          </w:p>
        </w:tc>
        <w:tc>
          <w:tcPr>
            <w:tcW w:w="385"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1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782"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031002002001</w:t>
            </w:r>
          </w:p>
        </w:tc>
        <w:tc>
          <w:tcPr>
            <w:tcW w:w="68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设备支架</w:t>
            </w:r>
          </w:p>
        </w:tc>
        <w:tc>
          <w:tcPr>
            <w:tcW w:w="1281"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1.材质:5#槽钢</w:t>
            </w:r>
          </w:p>
        </w:tc>
        <w:tc>
          <w:tcPr>
            <w:tcW w:w="2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kg</w:t>
            </w:r>
          </w:p>
        </w:tc>
        <w:tc>
          <w:tcPr>
            <w:tcW w:w="42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200</w:t>
            </w:r>
          </w:p>
        </w:tc>
        <w:tc>
          <w:tcPr>
            <w:tcW w:w="436"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8"/>
                <w:szCs w:val="18"/>
                <w:highlight w:val="none"/>
                <w:u w:val="none"/>
              </w:rPr>
            </w:pPr>
          </w:p>
        </w:tc>
        <w:tc>
          <w:tcPr>
            <w:tcW w:w="44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8"/>
                <w:szCs w:val="18"/>
                <w:highlight w:val="none"/>
                <w:u w:val="none"/>
              </w:rPr>
            </w:pPr>
          </w:p>
        </w:tc>
        <w:tc>
          <w:tcPr>
            <w:tcW w:w="385"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1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782"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03B001</w:t>
            </w:r>
          </w:p>
        </w:tc>
        <w:tc>
          <w:tcPr>
            <w:tcW w:w="68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防盗网</w:t>
            </w:r>
          </w:p>
        </w:tc>
        <w:tc>
          <w:tcPr>
            <w:tcW w:w="1281"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1.材质：不锈钢304</w:t>
            </w:r>
          </w:p>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2.规格：2.4m*2.1m</w:t>
            </w:r>
          </w:p>
        </w:tc>
        <w:tc>
          <w:tcPr>
            <w:tcW w:w="2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42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20.16</w:t>
            </w:r>
          </w:p>
        </w:tc>
        <w:tc>
          <w:tcPr>
            <w:tcW w:w="436"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8"/>
                <w:szCs w:val="18"/>
                <w:highlight w:val="none"/>
                <w:u w:val="none"/>
              </w:rPr>
            </w:pPr>
          </w:p>
        </w:tc>
        <w:tc>
          <w:tcPr>
            <w:tcW w:w="44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8"/>
                <w:szCs w:val="18"/>
                <w:highlight w:val="none"/>
                <w:u w:val="none"/>
              </w:rPr>
            </w:pPr>
          </w:p>
        </w:tc>
        <w:tc>
          <w:tcPr>
            <w:tcW w:w="385"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1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782"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68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措施项目</w:t>
            </w:r>
          </w:p>
        </w:tc>
        <w:tc>
          <w:tcPr>
            <w:tcW w:w="1281"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2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42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436"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44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385"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1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782"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031302007001</w:t>
            </w:r>
          </w:p>
        </w:tc>
        <w:tc>
          <w:tcPr>
            <w:tcW w:w="68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高层施工增加</w:t>
            </w:r>
          </w:p>
        </w:tc>
        <w:tc>
          <w:tcPr>
            <w:tcW w:w="1281"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2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42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436"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8"/>
                <w:szCs w:val="18"/>
                <w:highlight w:val="none"/>
                <w:u w:val="none"/>
              </w:rPr>
            </w:pPr>
          </w:p>
        </w:tc>
        <w:tc>
          <w:tcPr>
            <w:tcW w:w="44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8"/>
                <w:szCs w:val="18"/>
                <w:highlight w:val="none"/>
                <w:u w:val="none"/>
              </w:rPr>
            </w:pPr>
          </w:p>
        </w:tc>
        <w:tc>
          <w:tcPr>
            <w:tcW w:w="385"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1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782"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031301017001</w:t>
            </w:r>
          </w:p>
        </w:tc>
        <w:tc>
          <w:tcPr>
            <w:tcW w:w="68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脚手架搭拆费</w:t>
            </w:r>
          </w:p>
        </w:tc>
        <w:tc>
          <w:tcPr>
            <w:tcW w:w="1281"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2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42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436"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8"/>
                <w:szCs w:val="18"/>
                <w:highlight w:val="none"/>
                <w:u w:val="none"/>
              </w:rPr>
            </w:pPr>
          </w:p>
        </w:tc>
        <w:tc>
          <w:tcPr>
            <w:tcW w:w="44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8"/>
                <w:szCs w:val="18"/>
                <w:highlight w:val="none"/>
                <w:u w:val="none"/>
              </w:rPr>
            </w:pPr>
          </w:p>
        </w:tc>
        <w:tc>
          <w:tcPr>
            <w:tcW w:w="385"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1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782"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68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p>
        </w:tc>
        <w:tc>
          <w:tcPr>
            <w:tcW w:w="1281"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2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42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436"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44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385"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167" w:type="pct"/>
            <w:gridSpan w:val="20"/>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本页小计</w:t>
            </w:r>
          </w:p>
        </w:tc>
        <w:tc>
          <w:tcPr>
            <w:tcW w:w="44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385"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167" w:type="pct"/>
            <w:gridSpan w:val="20"/>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合   计</w:t>
            </w:r>
          </w:p>
        </w:tc>
        <w:tc>
          <w:tcPr>
            <w:tcW w:w="446"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385" w:type="pct"/>
            <w:gridSpan w:val="2"/>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00" w:type="pct"/>
            <w:gridSpan w:val="24"/>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890" w:type="pct"/>
            <w:gridSpan w:val="9"/>
            <w:tcBorders>
              <w:top w:val="nil"/>
              <w:left w:val="nil"/>
              <w:bottom w:val="nil"/>
              <w:right w:val="nil"/>
            </w:tcBorders>
            <w:shd w:val="clear" w:color="FFFFFF" w:fill="FFFFFF"/>
            <w:vAlign w:val="top"/>
          </w:tcPr>
          <w:p>
            <w:pPr>
              <w:jc w:val="left"/>
              <w:rPr>
                <w:rFonts w:hint="eastAsia" w:ascii="宋体" w:hAnsi="宋体" w:eastAsia="宋体" w:cs="宋体"/>
                <w:i w:val="0"/>
                <w:iCs w:val="0"/>
                <w:color w:val="auto"/>
                <w:sz w:val="18"/>
                <w:szCs w:val="18"/>
                <w:highlight w:val="none"/>
                <w:u w:val="none"/>
              </w:rPr>
            </w:pPr>
          </w:p>
        </w:tc>
        <w:tc>
          <w:tcPr>
            <w:tcW w:w="887" w:type="pct"/>
            <w:gridSpan w:val="7"/>
            <w:tcBorders>
              <w:top w:val="nil"/>
              <w:left w:val="nil"/>
              <w:bottom w:val="nil"/>
              <w:right w:val="nil"/>
            </w:tcBorders>
            <w:shd w:val="clear" w:color="FFFFFF" w:fill="FFFFFF"/>
            <w:vAlign w:val="top"/>
          </w:tcPr>
          <w:p>
            <w:pPr>
              <w:jc w:val="left"/>
              <w:rPr>
                <w:rFonts w:hint="eastAsia" w:ascii="宋体" w:hAnsi="宋体" w:eastAsia="宋体" w:cs="宋体"/>
                <w:i w:val="0"/>
                <w:iCs w:val="0"/>
                <w:color w:val="auto"/>
                <w:sz w:val="18"/>
                <w:szCs w:val="18"/>
                <w:highlight w:val="none"/>
                <w:u w:val="single"/>
              </w:rPr>
            </w:pPr>
          </w:p>
        </w:tc>
        <w:tc>
          <w:tcPr>
            <w:tcW w:w="1221" w:type="pct"/>
            <w:gridSpan w:val="8"/>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5000" w:type="pct"/>
            <w:gridSpan w:val="24"/>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40"/>
                <w:szCs w:val="40"/>
                <w:highlight w:val="none"/>
                <w:u w:val="none"/>
              </w:rPr>
            </w:pPr>
            <w:r>
              <w:rPr>
                <w:rFonts w:hint="eastAsia" w:ascii="宋体" w:hAnsi="宋体" w:eastAsia="宋体" w:cs="宋体"/>
                <w:b/>
                <w:bCs/>
                <w:i w:val="0"/>
                <w:iCs w:val="0"/>
                <w:color w:val="auto"/>
                <w:kern w:val="0"/>
                <w:sz w:val="40"/>
                <w:szCs w:val="40"/>
                <w:highlight w:val="none"/>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890" w:type="pct"/>
            <w:gridSpan w:val="9"/>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工程名称：大坦沙分公司一二期污水泵房除臭设备改造项目</w:t>
            </w:r>
          </w:p>
        </w:tc>
        <w:tc>
          <w:tcPr>
            <w:tcW w:w="887" w:type="pct"/>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标段：</w:t>
            </w:r>
          </w:p>
        </w:tc>
        <w:tc>
          <w:tcPr>
            <w:tcW w:w="1221" w:type="pct"/>
            <w:gridSpan w:val="8"/>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78" w:type="pct"/>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781" w:type="pct"/>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项目编码</w:t>
            </w:r>
          </w:p>
        </w:tc>
        <w:tc>
          <w:tcPr>
            <w:tcW w:w="1005"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836" w:type="pct"/>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计算基础</w:t>
            </w:r>
          </w:p>
        </w:tc>
        <w:tc>
          <w:tcPr>
            <w:tcW w:w="429" w:type="pct"/>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费率</w:t>
            </w:r>
          </w:p>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525" w:type="pct"/>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金额</w:t>
            </w:r>
          </w:p>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(元)</w:t>
            </w:r>
          </w:p>
        </w:tc>
        <w:tc>
          <w:tcPr>
            <w:tcW w:w="521" w:type="pct"/>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调整费率</w:t>
            </w:r>
          </w:p>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520" w:type="pct"/>
            <w:gridSpan w:val="3"/>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调整后金额</w:t>
            </w:r>
          </w:p>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78"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781"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LSSGCSF00001</w:t>
            </w:r>
          </w:p>
        </w:tc>
        <w:tc>
          <w:tcPr>
            <w:tcW w:w="100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绿色施工安全防护措施费</w:t>
            </w:r>
          </w:p>
        </w:tc>
        <w:tc>
          <w:tcPr>
            <w:tcW w:w="836"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分部分项人工费+分部分项机具费</w:t>
            </w:r>
          </w:p>
        </w:tc>
        <w:tc>
          <w:tcPr>
            <w:tcW w:w="42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525"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3851.34</w:t>
            </w:r>
          </w:p>
        </w:tc>
        <w:tc>
          <w:tcPr>
            <w:tcW w:w="521"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520" w:type="pct"/>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78"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781"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031301010001</w:t>
            </w:r>
          </w:p>
        </w:tc>
        <w:tc>
          <w:tcPr>
            <w:tcW w:w="100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安装与生产同时进行增加费用</w:t>
            </w:r>
          </w:p>
        </w:tc>
        <w:tc>
          <w:tcPr>
            <w:tcW w:w="836"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分部分项人工费</w:t>
            </w:r>
          </w:p>
        </w:tc>
        <w:tc>
          <w:tcPr>
            <w:tcW w:w="42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525"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521"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520" w:type="pct"/>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78"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781"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031301011001</w:t>
            </w:r>
          </w:p>
        </w:tc>
        <w:tc>
          <w:tcPr>
            <w:tcW w:w="100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在有害身体健康环境中施工增加费</w:t>
            </w:r>
          </w:p>
        </w:tc>
        <w:tc>
          <w:tcPr>
            <w:tcW w:w="836"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分部分项人工费</w:t>
            </w:r>
          </w:p>
        </w:tc>
        <w:tc>
          <w:tcPr>
            <w:tcW w:w="42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525"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521"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520" w:type="pct"/>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78"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781"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TSSGBWZJF001</w:t>
            </w:r>
          </w:p>
        </w:tc>
        <w:tc>
          <w:tcPr>
            <w:tcW w:w="100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在地下（暗）室、设备及大口径管道内等特殊施工部位进行施工增加费</w:t>
            </w:r>
          </w:p>
        </w:tc>
        <w:tc>
          <w:tcPr>
            <w:tcW w:w="836"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42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525"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521"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520" w:type="pct"/>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78"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781"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粤031302008001</w:t>
            </w:r>
          </w:p>
        </w:tc>
        <w:tc>
          <w:tcPr>
            <w:tcW w:w="100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赶工措施费</w:t>
            </w:r>
          </w:p>
        </w:tc>
        <w:tc>
          <w:tcPr>
            <w:tcW w:w="836"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分部分项人工费+分部分项机具费</w:t>
            </w:r>
          </w:p>
        </w:tc>
        <w:tc>
          <w:tcPr>
            <w:tcW w:w="42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525"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521"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520" w:type="pct"/>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78"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781"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031302002001</w:t>
            </w:r>
          </w:p>
        </w:tc>
        <w:tc>
          <w:tcPr>
            <w:tcW w:w="100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夜间施工增加费</w:t>
            </w:r>
          </w:p>
        </w:tc>
        <w:tc>
          <w:tcPr>
            <w:tcW w:w="836"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42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525"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521"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520" w:type="pct"/>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78"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781"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JTGRSGZJF001</w:t>
            </w:r>
          </w:p>
        </w:tc>
        <w:tc>
          <w:tcPr>
            <w:tcW w:w="100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交通干扰工程施工增加费</w:t>
            </w:r>
          </w:p>
        </w:tc>
        <w:tc>
          <w:tcPr>
            <w:tcW w:w="836"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42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525"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521"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520" w:type="pct"/>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78"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781"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粤031302009001</w:t>
            </w:r>
          </w:p>
        </w:tc>
        <w:tc>
          <w:tcPr>
            <w:tcW w:w="100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文明工地增加费</w:t>
            </w:r>
          </w:p>
        </w:tc>
        <w:tc>
          <w:tcPr>
            <w:tcW w:w="836"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分部分项人工费+分部分项机具费</w:t>
            </w:r>
          </w:p>
        </w:tc>
        <w:tc>
          <w:tcPr>
            <w:tcW w:w="42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525"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521"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520" w:type="pct"/>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78"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781"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DXGXJCJXF001</w:t>
            </w:r>
          </w:p>
        </w:tc>
        <w:tc>
          <w:tcPr>
            <w:tcW w:w="100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地下管线交叉降效费</w:t>
            </w:r>
          </w:p>
        </w:tc>
        <w:tc>
          <w:tcPr>
            <w:tcW w:w="836"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42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525"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521"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520" w:type="pct"/>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78"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781"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QTFY00000001</w:t>
            </w:r>
          </w:p>
        </w:tc>
        <w:tc>
          <w:tcPr>
            <w:tcW w:w="100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其他费用</w:t>
            </w:r>
          </w:p>
        </w:tc>
        <w:tc>
          <w:tcPr>
            <w:tcW w:w="836"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42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525"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521"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520" w:type="pct"/>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432" w:type="pct"/>
            <w:gridSpan w:val="14"/>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合    计</w:t>
            </w:r>
          </w:p>
        </w:tc>
        <w:tc>
          <w:tcPr>
            <w:tcW w:w="525" w:type="pct"/>
            <w:gridSpan w:val="4"/>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521" w:type="pct"/>
            <w:gridSpan w:val="3"/>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520" w:type="pct"/>
            <w:gridSpan w:val="3"/>
            <w:tcBorders>
              <w:top w:val="single" w:color="000000" w:sz="4" w:space="0"/>
              <w:left w:val="single" w:color="000000" w:sz="4"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890" w:type="pct"/>
            <w:gridSpan w:val="9"/>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编制人（造价人员）：</w:t>
            </w:r>
          </w:p>
        </w:tc>
        <w:tc>
          <w:tcPr>
            <w:tcW w:w="2109" w:type="pct"/>
            <w:gridSpan w:val="15"/>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890" w:type="pct"/>
            <w:gridSpan w:val="9"/>
            <w:tcBorders>
              <w:top w:val="nil"/>
              <w:left w:val="nil"/>
              <w:bottom w:val="nil"/>
              <w:right w:val="nil"/>
            </w:tcBorders>
            <w:shd w:val="clear" w:color="FFFFFF" w:fill="FFFFFF"/>
            <w:vAlign w:val="top"/>
          </w:tcPr>
          <w:p>
            <w:pPr>
              <w:jc w:val="left"/>
              <w:rPr>
                <w:rFonts w:hint="eastAsia" w:ascii="宋体" w:hAnsi="宋体" w:eastAsia="宋体" w:cs="宋体"/>
                <w:i w:val="0"/>
                <w:iCs w:val="0"/>
                <w:color w:val="auto"/>
                <w:sz w:val="18"/>
                <w:szCs w:val="18"/>
                <w:highlight w:val="none"/>
                <w:u w:val="none"/>
              </w:rPr>
            </w:pPr>
          </w:p>
        </w:tc>
        <w:tc>
          <w:tcPr>
            <w:tcW w:w="887" w:type="pct"/>
            <w:gridSpan w:val="7"/>
            <w:tcBorders>
              <w:top w:val="nil"/>
              <w:left w:val="nil"/>
              <w:bottom w:val="nil"/>
              <w:right w:val="nil"/>
            </w:tcBorders>
            <w:shd w:val="clear" w:color="FFFFFF" w:fill="FFFFFF"/>
            <w:vAlign w:val="top"/>
          </w:tcPr>
          <w:p>
            <w:pPr>
              <w:jc w:val="right"/>
              <w:rPr>
                <w:rFonts w:hint="eastAsia" w:ascii="宋体" w:hAnsi="宋体" w:eastAsia="宋体" w:cs="宋体"/>
                <w:i w:val="0"/>
                <w:iCs w:val="0"/>
                <w:color w:val="auto"/>
                <w:sz w:val="18"/>
                <w:szCs w:val="18"/>
                <w:highlight w:val="none"/>
                <w:u w:val="none"/>
              </w:rPr>
            </w:pPr>
          </w:p>
        </w:tc>
        <w:tc>
          <w:tcPr>
            <w:tcW w:w="1221" w:type="pct"/>
            <w:gridSpan w:val="8"/>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表-11</w:t>
            </w:r>
          </w:p>
        </w:tc>
      </w:tr>
    </w:tbl>
    <w:p>
      <w:pPr>
        <w:adjustRightInd w:val="0"/>
        <w:snapToGrid w:val="0"/>
        <w:spacing w:line="360" w:lineRule="auto"/>
        <w:jc w:val="both"/>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pStyle w:val="3"/>
        <w:rPr>
          <w:rFonts w:hint="eastAsia" w:ascii="仿宋" w:hAnsi="仿宋" w:eastAsia="仿宋" w:cs="仿宋_GB2312"/>
          <w:color w:val="auto"/>
          <w:kern w:val="2"/>
          <w:szCs w:val="28"/>
          <w:highlight w:val="none"/>
        </w:rPr>
      </w:pPr>
      <w:r>
        <w:rPr>
          <w:rFonts w:hint="eastAsia" w:ascii="宋体" w:hAnsi="宋体" w:eastAsia="宋体" w:cs="宋体"/>
          <w:color w:val="auto"/>
          <w:kern w:val="2"/>
          <w:sz w:val="24"/>
          <w:szCs w:val="24"/>
          <w:highlight w:val="none"/>
          <w:lang w:val="en-GB"/>
        </w:rPr>
        <w:t>年  月  日</w:t>
      </w:r>
    </w:p>
    <w:p>
      <w:pPr>
        <w:pStyle w:val="23"/>
        <w:rPr>
          <w:rFonts w:hint="default" w:ascii="仿宋" w:hAnsi="仿宋" w:eastAsia="仿宋" w:cs="仿宋"/>
          <w:b/>
          <w:bCs/>
          <w:color w:val="auto"/>
          <w:sz w:val="28"/>
          <w:szCs w:val="36"/>
          <w:highlight w:val="none"/>
          <w:lang w:val="en-US" w:eastAsia="zh-CN"/>
        </w:rPr>
      </w:pPr>
    </w:p>
    <w:p>
      <w:pPr>
        <w:pStyle w:val="23"/>
        <w:rPr>
          <w:rFonts w:hint="default" w:ascii="仿宋" w:hAnsi="仿宋" w:eastAsia="仿宋" w:cs="仿宋"/>
          <w:b/>
          <w:bCs/>
          <w:color w:val="auto"/>
          <w:sz w:val="28"/>
          <w:szCs w:val="36"/>
          <w:highlight w:val="none"/>
          <w:lang w:val="en-US" w:eastAsia="zh-CN"/>
        </w:rPr>
      </w:pPr>
    </w:p>
    <w:p>
      <w:pPr>
        <w:pStyle w:val="23"/>
        <w:rPr>
          <w:rFonts w:hint="default" w:ascii="仿宋" w:hAnsi="仿宋" w:eastAsia="仿宋" w:cs="仿宋"/>
          <w:b/>
          <w:bCs/>
          <w:color w:val="auto"/>
          <w:sz w:val="28"/>
          <w:szCs w:val="36"/>
          <w:highlight w:val="none"/>
          <w:lang w:val="en-US" w:eastAsia="zh-CN"/>
        </w:rPr>
      </w:pPr>
    </w:p>
    <w:p>
      <w:pPr>
        <w:pStyle w:val="23"/>
        <w:rPr>
          <w:rFonts w:hint="default" w:ascii="仿宋" w:hAnsi="仿宋" w:eastAsia="仿宋" w:cs="仿宋"/>
          <w:b/>
          <w:bCs/>
          <w:color w:val="auto"/>
          <w:sz w:val="28"/>
          <w:szCs w:val="36"/>
          <w:highlight w:val="none"/>
          <w:lang w:val="en-US" w:eastAsia="zh-CN"/>
        </w:rPr>
      </w:pPr>
    </w:p>
    <w:p>
      <w:pPr>
        <w:pStyle w:val="23"/>
        <w:rPr>
          <w:rFonts w:hint="default" w:ascii="仿宋" w:hAnsi="仿宋" w:eastAsia="仿宋" w:cs="仿宋"/>
          <w:b/>
          <w:bCs/>
          <w:color w:val="auto"/>
          <w:sz w:val="28"/>
          <w:szCs w:val="36"/>
          <w:highlight w:val="none"/>
          <w:lang w:val="en-US" w:eastAsia="zh-CN"/>
        </w:rPr>
      </w:pPr>
    </w:p>
    <w:p>
      <w:pPr>
        <w:pStyle w:val="23"/>
        <w:rPr>
          <w:rFonts w:hint="default" w:ascii="仿宋" w:hAnsi="仿宋" w:eastAsia="仿宋" w:cs="仿宋"/>
          <w:b/>
          <w:bCs/>
          <w:color w:val="auto"/>
          <w:sz w:val="28"/>
          <w:szCs w:val="36"/>
          <w:highlight w:val="none"/>
          <w:lang w:val="en-US" w:eastAsia="zh-CN"/>
        </w:rPr>
      </w:pPr>
    </w:p>
    <w:p>
      <w:pPr>
        <w:pStyle w:val="23"/>
        <w:rPr>
          <w:rFonts w:hint="default" w:ascii="仿宋" w:hAnsi="仿宋" w:eastAsia="仿宋" w:cs="仿宋"/>
          <w:b/>
          <w:bCs/>
          <w:color w:val="auto"/>
          <w:sz w:val="28"/>
          <w:szCs w:val="36"/>
          <w:highlight w:val="none"/>
          <w:lang w:val="en-US" w:eastAsia="zh-CN"/>
        </w:rPr>
      </w:pPr>
    </w:p>
    <w:p>
      <w:pPr>
        <w:pStyle w:val="6"/>
        <w:rPr>
          <w:rFonts w:asciiTheme="majorEastAsia" w:hAnsiTheme="majorEastAsia" w:eastAsiaTheme="majorEastAsia"/>
          <w:color w:val="auto"/>
          <w:sz w:val="28"/>
          <w:szCs w:val="28"/>
          <w:highlight w:val="none"/>
        </w:rPr>
      </w:pPr>
      <w:bookmarkStart w:id="146" w:name="_Toc6058"/>
      <w:bookmarkStart w:id="147" w:name="_Toc16386"/>
      <w:bookmarkStart w:id="148" w:name="_Toc88209965"/>
      <w:bookmarkStart w:id="149" w:name="_Toc87616402"/>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46"/>
      <w:bookmarkEnd w:id="147"/>
      <w:bookmarkEnd w:id="148"/>
      <w:bookmarkEnd w:id="149"/>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p>
      <w:pPr>
        <w:rPr>
          <w:color w:val="auto"/>
          <w:highlight w:val="none"/>
        </w:rPr>
      </w:pPr>
    </w:p>
    <w:p>
      <w:pPr>
        <w:rPr>
          <w:color w:val="auto"/>
          <w:highlight w:val="none"/>
        </w:rPr>
      </w:pPr>
    </w:p>
    <w:sectPr>
      <w:footerReference r:id="rId9" w:type="first"/>
      <w:footerReference r:id="rId8" w:type="default"/>
      <w:pgSz w:w="11906" w:h="16838"/>
      <w:pgMar w:top="2098" w:right="1474" w:bottom="1985" w:left="1588" w:header="851" w:footer="992" w:gutter="0"/>
      <w:pgNumType w:start="1"/>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吴林芳" w:date="2022-04-14T09:59:31Z" w:initials="">
    <w:p w14:paraId="278764CC">
      <w:pPr>
        <w:pStyle w:val="8"/>
        <w:rPr>
          <w:rFonts w:hint="default" w:eastAsia="宋体"/>
          <w:lang w:val="en-US" w:eastAsia="zh-CN"/>
        </w:rPr>
      </w:pPr>
      <w:r>
        <w:rPr>
          <w:rFonts w:hint="eastAsia"/>
          <w:lang w:val="en-US" w:eastAsia="zh-CN"/>
        </w:rPr>
        <w:t>复核总日历天数</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78764C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Batang">
    <w:altName w:val="Malgun Gothic"/>
    <w:panose1 w:val="02030600000101010101"/>
    <w:charset w:val="81"/>
    <w:family w:val="auto"/>
    <w:pitch w:val="default"/>
    <w:sig w:usb0="00000000" w:usb1="00000000" w:usb2="00000000" w:usb3="00000000" w:csb0="00000000" w:csb1="00000000"/>
  </w:font>
  <w:font w:name="Malgun Gothic">
    <w:panose1 w:val="020B0503020000020004"/>
    <w:charset w:val="81"/>
    <w:family w:val="auto"/>
    <w:pitch w:val="default"/>
    <w:sig w:usb0="9000002F" w:usb1="29D77CFB" w:usb2="00000012" w:usb3="00000000" w:csb0="00080001" w:csb1="00000000"/>
  </w:font>
  <w:font w:na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GkMkBAACa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3+4aQyQEAAJoDAAAOAAAAAAAAAAEAIAAAAB4BAABkcnMvZTJvRG9j&#10;LnhtbFBLBQYAAAAABgAGAFkBAABZBQ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aZJkskBAACa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2iJI5bnPj554/zr8fzw3fy&#10;JuvTB6gx7S5gYhre+wG3ZvYDOjPtQUWbv0iIYByhThd15ZCIyI9Wy9WqwpDA2HxBfPb0PERIH6S3&#10;JBsNjTi+oio/foI0ps4puZrzt9qYMkLj/nIgZvaw3PvYY7bSsBsmQjvfnpBPj5NvqMNFp8R8dCgs&#10;9pdmI87GbjYOIep9V7Yo14Pw7pCwidJbrjDCToVxZIXdtF55J/68l6ynX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dpkmSyQEAAJoDAAAOAAAAAAAAAAEAIAAAAB4BAABkcnMvZTJvRG9j&#10;LnhtbFBLBQYAAAAABgAGAFkBAABZBQ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14V/skBAACaAwAADgAAAGRycy9lMm9Eb2MueG1srVPNjtMwEL4j8Q6W&#10;79Rph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pJieMWJ375/u3y49fl51fy&#10;O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rXhX+yQEAAJoDAAAOAAAAAAAAAAEAIAAAAB4BAABkcnMvZTJvRG9j&#10;LnhtbFBLBQYAAAAABgAGAFkBAABZBQ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9ayf9yQEAAJoDAAAOAAAAAAAAAAEAIAAAAB4BAABkcnMvZTJvRG9j&#10;LnhtbFBLBQYAAAAABgAGAFkBAABZBQ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02B05F"/>
    <w:multiLevelType w:val="singleLevel"/>
    <w:tmpl w:val="B302B05F"/>
    <w:lvl w:ilvl="0" w:tentative="0">
      <w:start w:val="1"/>
      <w:numFmt w:val="decimal"/>
      <w:suff w:val="nothing"/>
      <w:lvlText w:val="（%1）"/>
      <w:lvlJc w:val="left"/>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EEF36D1F"/>
    <w:multiLevelType w:val="singleLevel"/>
    <w:tmpl w:val="EEF36D1F"/>
    <w:lvl w:ilvl="0" w:tentative="0">
      <w:start w:val="1"/>
      <w:numFmt w:val="chineseCounting"/>
      <w:suff w:val="nothing"/>
      <w:lvlText w:val="%1、"/>
      <w:lvlJc w:val="left"/>
      <w:rPr>
        <w:rFonts w:hint="eastAsia"/>
      </w:rPr>
    </w:lvl>
  </w:abstractNum>
  <w:abstractNum w:abstractNumId="3">
    <w:nsid w:val="F474C9A6"/>
    <w:multiLevelType w:val="singleLevel"/>
    <w:tmpl w:val="F474C9A6"/>
    <w:lvl w:ilvl="0" w:tentative="0">
      <w:start w:val="10"/>
      <w:numFmt w:val="chineseCounting"/>
      <w:suff w:val="space"/>
      <w:lvlText w:val="第%1条"/>
      <w:lvlJc w:val="left"/>
      <w:rPr>
        <w:rFonts w:hint="eastAsia"/>
      </w:rPr>
    </w:lvl>
  </w:abstractNum>
  <w:abstractNum w:abstractNumId="4">
    <w:nsid w:val="4734DCE6"/>
    <w:multiLevelType w:val="singleLevel"/>
    <w:tmpl w:val="4734DCE6"/>
    <w:lvl w:ilvl="0" w:tentative="0">
      <w:start w:val="1"/>
      <w:numFmt w:val="decimal"/>
      <w:lvlText w:val="%1."/>
      <w:lvlJc w:val="left"/>
      <w:pPr>
        <w:tabs>
          <w:tab w:val="left" w:pos="312"/>
        </w:tabs>
      </w:pPr>
    </w:lvl>
  </w:abstractNum>
  <w:abstractNum w:abstractNumId="5">
    <w:nsid w:val="705D32C3"/>
    <w:multiLevelType w:val="singleLevel"/>
    <w:tmpl w:val="705D32C3"/>
    <w:lvl w:ilvl="0" w:tentative="0">
      <w:start w:val="5"/>
      <w:numFmt w:val="decimal"/>
      <w:lvlText w:val="%1."/>
      <w:lvlJc w:val="left"/>
      <w:pPr>
        <w:tabs>
          <w:tab w:val="left" w:pos="312"/>
        </w:tabs>
      </w:pPr>
    </w:lvl>
  </w:abstractNum>
  <w:abstractNum w:abstractNumId="6">
    <w:nsid w:val="76B75A5F"/>
    <w:multiLevelType w:val="singleLevel"/>
    <w:tmpl w:val="76B75A5F"/>
    <w:lvl w:ilvl="0" w:tentative="0">
      <w:start w:val="1"/>
      <w:numFmt w:val="decimal"/>
      <w:lvlText w:val="%1."/>
      <w:lvlJc w:val="left"/>
      <w:pPr>
        <w:tabs>
          <w:tab w:val="left" w:pos="312"/>
        </w:tabs>
      </w:pPr>
    </w:lvl>
  </w:abstractNum>
  <w:num w:numId="1">
    <w:abstractNumId w:val="1"/>
  </w:num>
  <w:num w:numId="2">
    <w:abstractNumId w:val="5"/>
  </w:num>
  <w:num w:numId="3">
    <w:abstractNumId w:val="4"/>
  </w:num>
  <w:num w:numId="4">
    <w:abstractNumId w:val="2"/>
  </w:num>
  <w:num w:numId="5">
    <w:abstractNumId w:val="6"/>
  </w:num>
  <w:num w:numId="6">
    <w:abstractNumId w:val="0"/>
  </w:num>
  <w:num w:numId="7">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吴林芳">
    <w15:presenceInfo w15:providerId="WPS Office" w15:userId="3495280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xOWI5ZjY1NzIwMzQ1MWE0MjhiNDMxMDc2MWY2NDkifQ=="/>
  </w:docVars>
  <w:rsids>
    <w:rsidRoot w:val="005D618A"/>
    <w:rsid w:val="003D60BA"/>
    <w:rsid w:val="00411689"/>
    <w:rsid w:val="005D618A"/>
    <w:rsid w:val="00911ECD"/>
    <w:rsid w:val="00A042E0"/>
    <w:rsid w:val="00B26BB1"/>
    <w:rsid w:val="00B26E21"/>
    <w:rsid w:val="00F83B64"/>
    <w:rsid w:val="02090C75"/>
    <w:rsid w:val="02A23A3C"/>
    <w:rsid w:val="02B86948"/>
    <w:rsid w:val="03AC246A"/>
    <w:rsid w:val="03B23056"/>
    <w:rsid w:val="03DC3EBA"/>
    <w:rsid w:val="03F0221C"/>
    <w:rsid w:val="03F9794D"/>
    <w:rsid w:val="040716F1"/>
    <w:rsid w:val="046A2461"/>
    <w:rsid w:val="05E52578"/>
    <w:rsid w:val="065A53BA"/>
    <w:rsid w:val="0685597A"/>
    <w:rsid w:val="06C64829"/>
    <w:rsid w:val="077A289C"/>
    <w:rsid w:val="077D16D2"/>
    <w:rsid w:val="08127560"/>
    <w:rsid w:val="081D3409"/>
    <w:rsid w:val="08675FC8"/>
    <w:rsid w:val="08F46FC3"/>
    <w:rsid w:val="091F4366"/>
    <w:rsid w:val="09B713FD"/>
    <w:rsid w:val="09EF6ACC"/>
    <w:rsid w:val="0A1641A0"/>
    <w:rsid w:val="0A315056"/>
    <w:rsid w:val="0AFB45AD"/>
    <w:rsid w:val="0B351E9B"/>
    <w:rsid w:val="0B4C50D3"/>
    <w:rsid w:val="0B806B92"/>
    <w:rsid w:val="0B827E94"/>
    <w:rsid w:val="0BD070E1"/>
    <w:rsid w:val="0C247926"/>
    <w:rsid w:val="0D302A9E"/>
    <w:rsid w:val="0D794204"/>
    <w:rsid w:val="0E2125D1"/>
    <w:rsid w:val="0E214211"/>
    <w:rsid w:val="0E5F2769"/>
    <w:rsid w:val="0EC10D75"/>
    <w:rsid w:val="0EFF0A15"/>
    <w:rsid w:val="0F4D75A3"/>
    <w:rsid w:val="0F510E72"/>
    <w:rsid w:val="0F5B2DCA"/>
    <w:rsid w:val="0FBE732A"/>
    <w:rsid w:val="0FED051E"/>
    <w:rsid w:val="0FEE34C9"/>
    <w:rsid w:val="0FEE4C29"/>
    <w:rsid w:val="10046082"/>
    <w:rsid w:val="10184879"/>
    <w:rsid w:val="106802DE"/>
    <w:rsid w:val="10765325"/>
    <w:rsid w:val="10EA3601"/>
    <w:rsid w:val="112B101A"/>
    <w:rsid w:val="119B53FC"/>
    <w:rsid w:val="11AE0BD5"/>
    <w:rsid w:val="12424CDC"/>
    <w:rsid w:val="128C586F"/>
    <w:rsid w:val="129008C6"/>
    <w:rsid w:val="129A2738"/>
    <w:rsid w:val="12B56BF1"/>
    <w:rsid w:val="12CB1A89"/>
    <w:rsid w:val="131840FB"/>
    <w:rsid w:val="13467417"/>
    <w:rsid w:val="136E76CF"/>
    <w:rsid w:val="13B70338"/>
    <w:rsid w:val="14B10AE1"/>
    <w:rsid w:val="14D72AB8"/>
    <w:rsid w:val="15BC6B3C"/>
    <w:rsid w:val="1694429A"/>
    <w:rsid w:val="17635326"/>
    <w:rsid w:val="17E525A4"/>
    <w:rsid w:val="18236EFD"/>
    <w:rsid w:val="189D5B1F"/>
    <w:rsid w:val="18A34CD0"/>
    <w:rsid w:val="1925388A"/>
    <w:rsid w:val="197D0C1B"/>
    <w:rsid w:val="19B64DBC"/>
    <w:rsid w:val="1A14399F"/>
    <w:rsid w:val="1A373ACF"/>
    <w:rsid w:val="1A895341"/>
    <w:rsid w:val="1B0D071F"/>
    <w:rsid w:val="1B4568CE"/>
    <w:rsid w:val="1B4C0C41"/>
    <w:rsid w:val="1B9015B7"/>
    <w:rsid w:val="1BED1935"/>
    <w:rsid w:val="1C23247D"/>
    <w:rsid w:val="1C4F461D"/>
    <w:rsid w:val="1C872CE0"/>
    <w:rsid w:val="1D2D0C9B"/>
    <w:rsid w:val="1D3D7931"/>
    <w:rsid w:val="1D5A79EE"/>
    <w:rsid w:val="1DD81A01"/>
    <w:rsid w:val="1E0E2CD0"/>
    <w:rsid w:val="1E5628D4"/>
    <w:rsid w:val="1E831280"/>
    <w:rsid w:val="1EBC4704"/>
    <w:rsid w:val="1F172EB5"/>
    <w:rsid w:val="1F94592D"/>
    <w:rsid w:val="1FB860DE"/>
    <w:rsid w:val="202330E1"/>
    <w:rsid w:val="20286ED6"/>
    <w:rsid w:val="203C5A02"/>
    <w:rsid w:val="209D4C94"/>
    <w:rsid w:val="20E84705"/>
    <w:rsid w:val="218400BA"/>
    <w:rsid w:val="21AB1E2F"/>
    <w:rsid w:val="21D40498"/>
    <w:rsid w:val="225752A3"/>
    <w:rsid w:val="22767047"/>
    <w:rsid w:val="238962FC"/>
    <w:rsid w:val="23A05588"/>
    <w:rsid w:val="23A115B4"/>
    <w:rsid w:val="23D82F6C"/>
    <w:rsid w:val="24035871"/>
    <w:rsid w:val="25431AEB"/>
    <w:rsid w:val="25650D8D"/>
    <w:rsid w:val="25BF43FD"/>
    <w:rsid w:val="25F86BCD"/>
    <w:rsid w:val="2605748B"/>
    <w:rsid w:val="261105FB"/>
    <w:rsid w:val="26375449"/>
    <w:rsid w:val="269E416A"/>
    <w:rsid w:val="26B02FC7"/>
    <w:rsid w:val="27072944"/>
    <w:rsid w:val="272100D3"/>
    <w:rsid w:val="272C72FC"/>
    <w:rsid w:val="274041B2"/>
    <w:rsid w:val="27923EBF"/>
    <w:rsid w:val="27EB149D"/>
    <w:rsid w:val="27FD3E52"/>
    <w:rsid w:val="28E11370"/>
    <w:rsid w:val="294A756A"/>
    <w:rsid w:val="299751C3"/>
    <w:rsid w:val="29D5322D"/>
    <w:rsid w:val="2A025DD9"/>
    <w:rsid w:val="2A7C2231"/>
    <w:rsid w:val="2A8F679F"/>
    <w:rsid w:val="2ABB753D"/>
    <w:rsid w:val="2B0231B6"/>
    <w:rsid w:val="2B1574B4"/>
    <w:rsid w:val="2B685D27"/>
    <w:rsid w:val="2B7A49FA"/>
    <w:rsid w:val="2C615D26"/>
    <w:rsid w:val="2CB679ED"/>
    <w:rsid w:val="2D173C07"/>
    <w:rsid w:val="2D424A86"/>
    <w:rsid w:val="2DC7118A"/>
    <w:rsid w:val="2E6A25C9"/>
    <w:rsid w:val="2E7B52DB"/>
    <w:rsid w:val="2EC7093F"/>
    <w:rsid w:val="2F324CFE"/>
    <w:rsid w:val="2FB21214"/>
    <w:rsid w:val="2FBA09F1"/>
    <w:rsid w:val="2FEF2ACF"/>
    <w:rsid w:val="30310FEA"/>
    <w:rsid w:val="30540211"/>
    <w:rsid w:val="305C5857"/>
    <w:rsid w:val="312D7741"/>
    <w:rsid w:val="316F137F"/>
    <w:rsid w:val="3198371B"/>
    <w:rsid w:val="31DF525F"/>
    <w:rsid w:val="32324C2E"/>
    <w:rsid w:val="32422282"/>
    <w:rsid w:val="327171DF"/>
    <w:rsid w:val="333D0105"/>
    <w:rsid w:val="334768F4"/>
    <w:rsid w:val="33A82050"/>
    <w:rsid w:val="341E3434"/>
    <w:rsid w:val="353E61D4"/>
    <w:rsid w:val="353F533B"/>
    <w:rsid w:val="35A252CE"/>
    <w:rsid w:val="360B7EBA"/>
    <w:rsid w:val="363E352A"/>
    <w:rsid w:val="369C32FD"/>
    <w:rsid w:val="36EB0339"/>
    <w:rsid w:val="37666E72"/>
    <w:rsid w:val="37BA69D8"/>
    <w:rsid w:val="38155281"/>
    <w:rsid w:val="38167A04"/>
    <w:rsid w:val="38BA5B23"/>
    <w:rsid w:val="3922642F"/>
    <w:rsid w:val="392A54D0"/>
    <w:rsid w:val="394B167A"/>
    <w:rsid w:val="39B45610"/>
    <w:rsid w:val="39D76BC3"/>
    <w:rsid w:val="3A4E4336"/>
    <w:rsid w:val="3A6007FE"/>
    <w:rsid w:val="3AB14335"/>
    <w:rsid w:val="3ACC6569"/>
    <w:rsid w:val="3B7C2CE4"/>
    <w:rsid w:val="3BE813A1"/>
    <w:rsid w:val="3C0B5355"/>
    <w:rsid w:val="3C935564"/>
    <w:rsid w:val="3CD4176B"/>
    <w:rsid w:val="3CE872A7"/>
    <w:rsid w:val="3D1F44D9"/>
    <w:rsid w:val="3D5C38CD"/>
    <w:rsid w:val="3DA80295"/>
    <w:rsid w:val="3E5070F1"/>
    <w:rsid w:val="3E6163E7"/>
    <w:rsid w:val="3EBA4E9A"/>
    <w:rsid w:val="3F182A90"/>
    <w:rsid w:val="3F6C3589"/>
    <w:rsid w:val="3F850180"/>
    <w:rsid w:val="3F9004D6"/>
    <w:rsid w:val="3FAC6CB6"/>
    <w:rsid w:val="400E4D5E"/>
    <w:rsid w:val="40245BFB"/>
    <w:rsid w:val="40E1138C"/>
    <w:rsid w:val="412C4F7E"/>
    <w:rsid w:val="413814BA"/>
    <w:rsid w:val="414B1D27"/>
    <w:rsid w:val="41872511"/>
    <w:rsid w:val="41AE6ACB"/>
    <w:rsid w:val="42466655"/>
    <w:rsid w:val="424B7EFB"/>
    <w:rsid w:val="42694B47"/>
    <w:rsid w:val="42A258CA"/>
    <w:rsid w:val="42C82F57"/>
    <w:rsid w:val="42CA6F2D"/>
    <w:rsid w:val="43C76AF7"/>
    <w:rsid w:val="441B1CE9"/>
    <w:rsid w:val="446828F0"/>
    <w:rsid w:val="45C13B4D"/>
    <w:rsid w:val="46054BCA"/>
    <w:rsid w:val="464C6AFC"/>
    <w:rsid w:val="468940FB"/>
    <w:rsid w:val="468B0091"/>
    <w:rsid w:val="46A107C3"/>
    <w:rsid w:val="46B15CE2"/>
    <w:rsid w:val="46BE113D"/>
    <w:rsid w:val="46E44B13"/>
    <w:rsid w:val="46E56AF6"/>
    <w:rsid w:val="4703508A"/>
    <w:rsid w:val="47393D89"/>
    <w:rsid w:val="475023F8"/>
    <w:rsid w:val="479D361E"/>
    <w:rsid w:val="47B74789"/>
    <w:rsid w:val="47CC2C72"/>
    <w:rsid w:val="480F2B9D"/>
    <w:rsid w:val="48282920"/>
    <w:rsid w:val="485321E0"/>
    <w:rsid w:val="48546AD3"/>
    <w:rsid w:val="48574836"/>
    <w:rsid w:val="48CA4868"/>
    <w:rsid w:val="48F005D3"/>
    <w:rsid w:val="494C4B68"/>
    <w:rsid w:val="498F4AF1"/>
    <w:rsid w:val="49C05787"/>
    <w:rsid w:val="49CF518D"/>
    <w:rsid w:val="4A61006A"/>
    <w:rsid w:val="4ADA1F63"/>
    <w:rsid w:val="4AE23D89"/>
    <w:rsid w:val="4AEC2FDE"/>
    <w:rsid w:val="4B2038D0"/>
    <w:rsid w:val="4B296E7D"/>
    <w:rsid w:val="4B610DA5"/>
    <w:rsid w:val="4B877F28"/>
    <w:rsid w:val="4CC60794"/>
    <w:rsid w:val="4D1F0243"/>
    <w:rsid w:val="4D2E044D"/>
    <w:rsid w:val="4D916BA6"/>
    <w:rsid w:val="4DC44169"/>
    <w:rsid w:val="4DE23BA7"/>
    <w:rsid w:val="4E460417"/>
    <w:rsid w:val="4E807274"/>
    <w:rsid w:val="4EF0709E"/>
    <w:rsid w:val="4F2706FC"/>
    <w:rsid w:val="4F4546D1"/>
    <w:rsid w:val="4F6E508A"/>
    <w:rsid w:val="5011784D"/>
    <w:rsid w:val="50590023"/>
    <w:rsid w:val="50BB258C"/>
    <w:rsid w:val="513C043B"/>
    <w:rsid w:val="513C6A7B"/>
    <w:rsid w:val="52120376"/>
    <w:rsid w:val="523D3563"/>
    <w:rsid w:val="5333545B"/>
    <w:rsid w:val="5450213C"/>
    <w:rsid w:val="5483348F"/>
    <w:rsid w:val="54D24048"/>
    <w:rsid w:val="54D64CD5"/>
    <w:rsid w:val="55887D69"/>
    <w:rsid w:val="55C742E5"/>
    <w:rsid w:val="55F11402"/>
    <w:rsid w:val="561A0928"/>
    <w:rsid w:val="56333A15"/>
    <w:rsid w:val="56423872"/>
    <w:rsid w:val="56B279F0"/>
    <w:rsid w:val="57055084"/>
    <w:rsid w:val="579D710E"/>
    <w:rsid w:val="581F22F6"/>
    <w:rsid w:val="585E53B1"/>
    <w:rsid w:val="586E1E17"/>
    <w:rsid w:val="58862C35"/>
    <w:rsid w:val="58C14957"/>
    <w:rsid w:val="5A2C0443"/>
    <w:rsid w:val="5ABD6DAE"/>
    <w:rsid w:val="5AE83A50"/>
    <w:rsid w:val="5BAB2917"/>
    <w:rsid w:val="5BBF6B42"/>
    <w:rsid w:val="5BF666D0"/>
    <w:rsid w:val="5BFC33FA"/>
    <w:rsid w:val="5C2A125B"/>
    <w:rsid w:val="5C3107A4"/>
    <w:rsid w:val="5C3B1B93"/>
    <w:rsid w:val="5C66348F"/>
    <w:rsid w:val="5C9220DF"/>
    <w:rsid w:val="5D4A15F3"/>
    <w:rsid w:val="5D69542A"/>
    <w:rsid w:val="5DB376FA"/>
    <w:rsid w:val="5E0930EF"/>
    <w:rsid w:val="5E3D4D53"/>
    <w:rsid w:val="5E4717E6"/>
    <w:rsid w:val="5E55774C"/>
    <w:rsid w:val="5EAC665A"/>
    <w:rsid w:val="5EB65C00"/>
    <w:rsid w:val="5FA44970"/>
    <w:rsid w:val="60104DDC"/>
    <w:rsid w:val="60183FD9"/>
    <w:rsid w:val="605C0804"/>
    <w:rsid w:val="60AC4252"/>
    <w:rsid w:val="61576206"/>
    <w:rsid w:val="61841BCA"/>
    <w:rsid w:val="6189617B"/>
    <w:rsid w:val="61B52BB6"/>
    <w:rsid w:val="61B749C2"/>
    <w:rsid w:val="622173D3"/>
    <w:rsid w:val="62280D20"/>
    <w:rsid w:val="62377168"/>
    <w:rsid w:val="62A113EA"/>
    <w:rsid w:val="62CA2457"/>
    <w:rsid w:val="638240A1"/>
    <w:rsid w:val="63A5257B"/>
    <w:rsid w:val="63BD3DCC"/>
    <w:rsid w:val="63C61741"/>
    <w:rsid w:val="64560967"/>
    <w:rsid w:val="656B1D10"/>
    <w:rsid w:val="66022B28"/>
    <w:rsid w:val="662F1AB4"/>
    <w:rsid w:val="66581E87"/>
    <w:rsid w:val="66FA11D5"/>
    <w:rsid w:val="674302C7"/>
    <w:rsid w:val="680A5986"/>
    <w:rsid w:val="680D5F4B"/>
    <w:rsid w:val="68113F51"/>
    <w:rsid w:val="68E94770"/>
    <w:rsid w:val="68F949C9"/>
    <w:rsid w:val="69375A90"/>
    <w:rsid w:val="695A4290"/>
    <w:rsid w:val="69961435"/>
    <w:rsid w:val="6A334932"/>
    <w:rsid w:val="6A3353FF"/>
    <w:rsid w:val="6A376131"/>
    <w:rsid w:val="6A5D63E6"/>
    <w:rsid w:val="6A5F24D1"/>
    <w:rsid w:val="6AE347EB"/>
    <w:rsid w:val="6B434AF0"/>
    <w:rsid w:val="6B57675A"/>
    <w:rsid w:val="6BDD7B4D"/>
    <w:rsid w:val="6BFA291A"/>
    <w:rsid w:val="6D497819"/>
    <w:rsid w:val="6EBC0B3A"/>
    <w:rsid w:val="6EF51C7D"/>
    <w:rsid w:val="6F752F80"/>
    <w:rsid w:val="6F760FE5"/>
    <w:rsid w:val="6F8363E5"/>
    <w:rsid w:val="6FC746F5"/>
    <w:rsid w:val="70317AC6"/>
    <w:rsid w:val="70863262"/>
    <w:rsid w:val="70A76ED3"/>
    <w:rsid w:val="71860B17"/>
    <w:rsid w:val="720A7AF8"/>
    <w:rsid w:val="723B27CC"/>
    <w:rsid w:val="72687227"/>
    <w:rsid w:val="72A03FD9"/>
    <w:rsid w:val="72B96427"/>
    <w:rsid w:val="72CE502B"/>
    <w:rsid w:val="73406CFF"/>
    <w:rsid w:val="7383028C"/>
    <w:rsid w:val="73A25E44"/>
    <w:rsid w:val="741F68CF"/>
    <w:rsid w:val="74353480"/>
    <w:rsid w:val="745D7AC7"/>
    <w:rsid w:val="747D01A7"/>
    <w:rsid w:val="75252DF3"/>
    <w:rsid w:val="75621536"/>
    <w:rsid w:val="75BF3154"/>
    <w:rsid w:val="76115521"/>
    <w:rsid w:val="764A07CF"/>
    <w:rsid w:val="764F6B3D"/>
    <w:rsid w:val="76CC6C50"/>
    <w:rsid w:val="76CD2B7B"/>
    <w:rsid w:val="76D80645"/>
    <w:rsid w:val="76E03371"/>
    <w:rsid w:val="774D260F"/>
    <w:rsid w:val="780E5898"/>
    <w:rsid w:val="782642CC"/>
    <w:rsid w:val="7894095E"/>
    <w:rsid w:val="79000679"/>
    <w:rsid w:val="79376689"/>
    <w:rsid w:val="79A416F0"/>
    <w:rsid w:val="79B03EB6"/>
    <w:rsid w:val="7A7F4688"/>
    <w:rsid w:val="7ABC034E"/>
    <w:rsid w:val="7AF37579"/>
    <w:rsid w:val="7AF87F64"/>
    <w:rsid w:val="7B1C0C84"/>
    <w:rsid w:val="7B5A62DF"/>
    <w:rsid w:val="7B7A04A8"/>
    <w:rsid w:val="7C0C3F6D"/>
    <w:rsid w:val="7C22163C"/>
    <w:rsid w:val="7C595075"/>
    <w:rsid w:val="7C6B07B2"/>
    <w:rsid w:val="7D124E8E"/>
    <w:rsid w:val="7D133243"/>
    <w:rsid w:val="7E394207"/>
    <w:rsid w:val="7E4007A2"/>
    <w:rsid w:val="7E791CAD"/>
    <w:rsid w:val="7EA50DFB"/>
    <w:rsid w:val="7EC86878"/>
    <w:rsid w:val="7F067522"/>
    <w:rsid w:val="7F16390D"/>
    <w:rsid w:val="7F752917"/>
    <w:rsid w:val="7FC87D25"/>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4"/>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5"/>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6"/>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6">
    <w:name w:val="Default Paragraph Font"/>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Body Text 2"/>
    <w:basedOn w:val="1"/>
    <w:qFormat/>
    <w:uiPriority w:val="0"/>
    <w:pPr>
      <w:spacing w:after="120" w:line="480" w:lineRule="auto"/>
    </w:p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annotation text"/>
    <w:basedOn w:val="1"/>
    <w:semiHidden/>
    <w:unhideWhenUsed/>
    <w:qFormat/>
    <w:uiPriority w:val="99"/>
    <w:pPr>
      <w:jc w:val="left"/>
    </w:pPr>
  </w:style>
  <w:style w:type="paragraph" w:styleId="9">
    <w:name w:val="Body Text 3"/>
    <w:basedOn w:val="1"/>
    <w:link w:val="44"/>
    <w:unhideWhenUsed/>
    <w:qFormat/>
    <w:uiPriority w:val="99"/>
    <w:pPr>
      <w:spacing w:after="120"/>
    </w:pPr>
    <w:rPr>
      <w:sz w:val="16"/>
      <w:szCs w:val="16"/>
    </w:rPr>
  </w:style>
  <w:style w:type="paragraph" w:styleId="10">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6">
    <w:name w:val="Balloon Text"/>
    <w:basedOn w:val="1"/>
    <w:link w:val="39"/>
    <w:semiHidden/>
    <w:unhideWhenUsed/>
    <w:qFormat/>
    <w:uiPriority w:val="99"/>
    <w:rPr>
      <w:sz w:val="18"/>
      <w:szCs w:val="18"/>
    </w:rPr>
  </w:style>
  <w:style w:type="paragraph" w:styleId="17">
    <w:name w:val="footer"/>
    <w:basedOn w:val="1"/>
    <w:link w:val="33"/>
    <w:unhideWhenUsed/>
    <w:qFormat/>
    <w:uiPriority w:val="99"/>
    <w:pPr>
      <w:tabs>
        <w:tab w:val="center" w:pos="4153"/>
        <w:tab w:val="right" w:pos="8306"/>
      </w:tabs>
      <w:snapToGrid w:val="0"/>
      <w:jc w:val="left"/>
    </w:pPr>
    <w:rPr>
      <w:sz w:val="18"/>
      <w:szCs w:val="18"/>
    </w:rPr>
  </w:style>
  <w:style w:type="paragraph" w:styleId="18">
    <w:name w:val="header"/>
    <w:basedOn w:val="1"/>
    <w:link w:val="3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22">
    <w:name w:val="Body Text First Indent"/>
    <w:basedOn w:val="2"/>
    <w:unhideWhenUsed/>
    <w:qFormat/>
    <w:uiPriority w:val="99"/>
    <w:pPr>
      <w:ind w:firstLine="420"/>
    </w:pPr>
  </w:style>
  <w:style w:type="paragraph" w:styleId="23">
    <w:name w:val="Body Text First Indent 2"/>
    <w:basedOn w:val="10"/>
    <w:qFormat/>
    <w:uiPriority w:val="0"/>
    <w:pPr>
      <w:adjustRightInd w:val="0"/>
      <w:spacing w:line="360" w:lineRule="auto"/>
      <w:ind w:left="0" w:leftChars="0" w:firstLine="420"/>
      <w:textAlignment w:val="baseline"/>
    </w:pPr>
    <w:rPr>
      <w:rFonts w:eastAsia="等线" w:cs="Times New Roman"/>
      <w:color w:val="000000"/>
      <w:szCs w:val="24"/>
    </w:rPr>
  </w:style>
  <w:style w:type="table" w:styleId="25">
    <w:name w:val="Table Grid"/>
    <w:basedOn w:val="2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7">
    <w:name w:val="Strong"/>
    <w:basedOn w:val="26"/>
    <w:qFormat/>
    <w:uiPriority w:val="22"/>
    <w:rPr>
      <w:b/>
      <w:bCs/>
    </w:rPr>
  </w:style>
  <w:style w:type="character" w:styleId="28">
    <w:name w:val="page number"/>
    <w:basedOn w:val="26"/>
    <w:qFormat/>
    <w:uiPriority w:val="0"/>
  </w:style>
  <w:style w:type="character" w:styleId="29">
    <w:name w:val="Hyperlink"/>
    <w:basedOn w:val="26"/>
    <w:unhideWhenUsed/>
    <w:qFormat/>
    <w:uiPriority w:val="99"/>
    <w:rPr>
      <w:color w:val="0000FF" w:themeColor="hyperlink"/>
      <w:u w:val="single"/>
      <w14:textFill>
        <w14:solidFill>
          <w14:schemeClr w14:val="hlink"/>
        </w14:solidFill>
      </w14:textFill>
    </w:rPr>
  </w:style>
  <w:style w:type="paragraph" w:customStyle="1" w:styleId="30">
    <w:name w:val="BodyText"/>
    <w:basedOn w:val="1"/>
    <w:next w:val="31"/>
    <w:qFormat/>
    <w:uiPriority w:val="0"/>
    <w:pPr>
      <w:jc w:val="both"/>
      <w:textAlignment w:val="baseline"/>
    </w:pPr>
    <w:rPr>
      <w:rFonts w:ascii="Times New Roman" w:hAnsi="Times New Roman" w:eastAsia="宋体"/>
      <w:kern w:val="2"/>
      <w:sz w:val="28"/>
      <w:lang w:val="en-US" w:eastAsia="zh-CN" w:bidi="ar-SA"/>
    </w:rPr>
  </w:style>
  <w:style w:type="paragraph" w:customStyle="1" w:styleId="31">
    <w:name w:val="BodyText2"/>
    <w:basedOn w:val="1"/>
    <w:qFormat/>
    <w:uiPriority w:val="0"/>
    <w:pPr>
      <w:spacing w:after="120" w:line="480" w:lineRule="auto"/>
      <w:jc w:val="both"/>
      <w:textAlignment w:val="baseline"/>
    </w:pPr>
  </w:style>
  <w:style w:type="character" w:customStyle="1" w:styleId="32">
    <w:name w:val="页眉 Char"/>
    <w:basedOn w:val="26"/>
    <w:link w:val="18"/>
    <w:semiHidden/>
    <w:qFormat/>
    <w:uiPriority w:val="99"/>
    <w:rPr>
      <w:sz w:val="18"/>
      <w:szCs w:val="18"/>
    </w:rPr>
  </w:style>
  <w:style w:type="character" w:customStyle="1" w:styleId="33">
    <w:name w:val="页脚 Char"/>
    <w:basedOn w:val="26"/>
    <w:link w:val="17"/>
    <w:qFormat/>
    <w:uiPriority w:val="99"/>
    <w:rPr>
      <w:sz w:val="18"/>
      <w:szCs w:val="18"/>
    </w:rPr>
  </w:style>
  <w:style w:type="character" w:customStyle="1" w:styleId="34">
    <w:name w:val="标题 1 Char"/>
    <w:basedOn w:val="26"/>
    <w:link w:val="4"/>
    <w:qFormat/>
    <w:uiPriority w:val="9"/>
    <w:rPr>
      <w:rFonts w:eastAsia="方正小标宋简体"/>
      <w:bCs/>
      <w:kern w:val="44"/>
      <w:sz w:val="44"/>
      <w:szCs w:val="44"/>
    </w:rPr>
  </w:style>
  <w:style w:type="character" w:customStyle="1" w:styleId="35">
    <w:name w:val="标题 2 Char"/>
    <w:basedOn w:val="26"/>
    <w:link w:val="5"/>
    <w:qFormat/>
    <w:uiPriority w:val="9"/>
    <w:rPr>
      <w:rFonts w:eastAsia="方正小标宋简体" w:asciiTheme="majorHAnsi" w:hAnsiTheme="majorHAnsi" w:cstheme="majorBidi"/>
      <w:bCs/>
      <w:sz w:val="36"/>
      <w:szCs w:val="32"/>
    </w:rPr>
  </w:style>
  <w:style w:type="character" w:customStyle="1" w:styleId="36">
    <w:name w:val="标题 3 Char"/>
    <w:basedOn w:val="26"/>
    <w:link w:val="6"/>
    <w:qFormat/>
    <w:uiPriority w:val="9"/>
    <w:rPr>
      <w:rFonts w:ascii="Calibri" w:hAnsi="Calibri" w:eastAsia="宋体" w:cs="Times New Roman"/>
      <w:b/>
      <w:bCs/>
      <w:sz w:val="32"/>
      <w:szCs w:val="32"/>
    </w:rPr>
  </w:style>
  <w:style w:type="paragraph" w:styleId="37">
    <w:name w:val="List Paragraph"/>
    <w:basedOn w:val="1"/>
    <w:link w:val="45"/>
    <w:qFormat/>
    <w:uiPriority w:val="34"/>
    <w:pPr>
      <w:ind w:firstLine="420" w:firstLineChars="200"/>
    </w:pPr>
  </w:style>
  <w:style w:type="paragraph" w:customStyle="1" w:styleId="38">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9">
    <w:name w:val="批注框文本 Char"/>
    <w:basedOn w:val="26"/>
    <w:link w:val="16"/>
    <w:semiHidden/>
    <w:qFormat/>
    <w:uiPriority w:val="99"/>
    <w:rPr>
      <w:sz w:val="18"/>
      <w:szCs w:val="18"/>
    </w:rPr>
  </w:style>
  <w:style w:type="paragraph" w:styleId="40">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1">
    <w:name w:val="CM97"/>
    <w:basedOn w:val="13"/>
    <w:next w:val="13"/>
    <w:qFormat/>
    <w:uiPriority w:val="0"/>
    <w:pPr>
      <w:spacing w:after="373"/>
    </w:pPr>
    <w:rPr>
      <w:color w:val="auto"/>
    </w:rPr>
  </w:style>
  <w:style w:type="paragraph" w:customStyle="1" w:styleId="42">
    <w:name w:val="CM91"/>
    <w:basedOn w:val="13"/>
    <w:next w:val="13"/>
    <w:qFormat/>
    <w:uiPriority w:val="0"/>
    <w:pPr>
      <w:spacing w:after="160"/>
    </w:pPr>
    <w:rPr>
      <w:color w:val="auto"/>
    </w:rPr>
  </w:style>
  <w:style w:type="character" w:customStyle="1" w:styleId="43">
    <w:name w:val="正文文本 3 Char"/>
    <w:link w:val="9"/>
    <w:qFormat/>
    <w:uiPriority w:val="99"/>
    <w:rPr>
      <w:sz w:val="16"/>
      <w:szCs w:val="16"/>
    </w:rPr>
  </w:style>
  <w:style w:type="character" w:customStyle="1" w:styleId="44">
    <w:name w:val="正文文本 3 Char1"/>
    <w:basedOn w:val="26"/>
    <w:link w:val="9"/>
    <w:semiHidden/>
    <w:qFormat/>
    <w:uiPriority w:val="99"/>
    <w:rPr>
      <w:sz w:val="16"/>
      <w:szCs w:val="16"/>
    </w:rPr>
  </w:style>
  <w:style w:type="character" w:customStyle="1" w:styleId="45">
    <w:name w:val="列出段落 Char"/>
    <w:link w:val="37"/>
    <w:qFormat/>
    <w:uiPriority w:val="34"/>
  </w:style>
  <w:style w:type="paragraph" w:customStyle="1" w:styleId="46">
    <w:name w:val="1"/>
    <w:basedOn w:val="1"/>
    <w:next w:val="12"/>
    <w:qFormat/>
    <w:uiPriority w:val="99"/>
    <w:pPr>
      <w:widowControl w:val="0"/>
      <w:jc w:val="both"/>
    </w:pPr>
    <w:rPr>
      <w:rFonts w:ascii="宋体" w:hAnsi="Courier New"/>
      <w:kern w:val="2"/>
    </w:rPr>
  </w:style>
  <w:style w:type="paragraph" w:customStyle="1" w:styleId="47">
    <w:name w:val="WPSOffice手动目录 1"/>
    <w:qFormat/>
    <w:uiPriority w:val="0"/>
    <w:pPr>
      <w:ind w:leftChars="0"/>
    </w:pPr>
    <w:rPr>
      <w:rFonts w:asciiTheme="minorHAnsi" w:hAnsiTheme="minorHAnsi" w:eastAsiaTheme="minorEastAsia" w:cstheme="minorBidi"/>
      <w:sz w:val="20"/>
      <w:szCs w:val="20"/>
    </w:rPr>
  </w:style>
  <w:style w:type="paragraph" w:customStyle="1" w:styleId="48">
    <w:name w:val="WPSOffice手动目录 2"/>
    <w:qFormat/>
    <w:uiPriority w:val="0"/>
    <w:pPr>
      <w:ind w:leftChars="200"/>
    </w:pPr>
    <w:rPr>
      <w:rFonts w:asciiTheme="minorHAnsi" w:hAnsiTheme="minorHAnsi" w:eastAsiaTheme="minorEastAsia" w:cstheme="minorBidi"/>
      <w:sz w:val="20"/>
      <w:szCs w:val="20"/>
    </w:rPr>
  </w:style>
  <w:style w:type="paragraph" w:customStyle="1" w:styleId="49">
    <w:name w:val="WPSOffice手动目录 3"/>
    <w:qFormat/>
    <w:uiPriority w:val="0"/>
    <w:pPr>
      <w:ind w:leftChars="400"/>
    </w:pPr>
    <w:rPr>
      <w:rFonts w:asciiTheme="minorHAnsi" w:hAnsiTheme="minorHAnsi" w:eastAsiaTheme="minorEastAsia" w:cstheme="minorBidi"/>
      <w:sz w:val="20"/>
      <w:szCs w:val="20"/>
    </w:rPr>
  </w:style>
  <w:style w:type="paragraph" w:customStyle="1" w:styleId="50">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51">
    <w:name w:val="font41"/>
    <w:basedOn w:val="26"/>
    <w:qFormat/>
    <w:uiPriority w:val="0"/>
    <w:rPr>
      <w:rFonts w:ascii="Arial" w:hAnsi="Arial" w:cs="Arial"/>
      <w:color w:val="000000"/>
      <w:sz w:val="28"/>
      <w:szCs w:val="28"/>
      <w:u w:val="none"/>
    </w:rPr>
  </w:style>
  <w:style w:type="character" w:customStyle="1" w:styleId="52">
    <w:name w:val="font61"/>
    <w:basedOn w:val="26"/>
    <w:qFormat/>
    <w:uiPriority w:val="0"/>
    <w:rPr>
      <w:rFonts w:hint="eastAsia" w:ascii="宋体" w:hAnsi="宋体" w:eastAsia="宋体" w:cs="宋体"/>
      <w:color w:val="000000"/>
      <w:sz w:val="28"/>
      <w:szCs w:val="28"/>
      <w:u w:val="none"/>
    </w:rPr>
  </w:style>
  <w:style w:type="paragraph" w:customStyle="1" w:styleId="53">
    <w:name w:val="样式 正文文字 + 首行缩进:  2 字符2"/>
    <w:basedOn w:val="1"/>
    <w:qFormat/>
    <w:uiPriority w:val="0"/>
    <w:pPr>
      <w:spacing w:line="480" w:lineRule="atLeast"/>
      <w:ind w:firstLine="560" w:firstLineChars="200"/>
    </w:pPr>
    <w:rPr>
      <w:rFonts w:cs="宋体"/>
      <w:szCs w:val="20"/>
    </w:rPr>
  </w:style>
  <w:style w:type="paragraph" w:customStyle="1" w:styleId="54">
    <w:name w:val="文一"/>
    <w:basedOn w:val="1"/>
    <w:qFormat/>
    <w:uiPriority w:val="0"/>
    <w:pPr>
      <w:topLinePunct/>
      <w:adjustRightInd w:val="0"/>
      <w:snapToGrid w:val="0"/>
      <w:spacing w:line="360" w:lineRule="auto"/>
      <w:ind w:firstLine="200" w:firstLineChars="200"/>
    </w:pPr>
    <w:rPr>
      <w:snapToGrid w:val="0"/>
      <w:spacing w:val="4"/>
      <w:kern w:val="0"/>
      <w:sz w:val="24"/>
    </w:rPr>
  </w:style>
  <w:style w:type="paragraph" w:customStyle="1" w:styleId="55">
    <w:name w:val="style42"/>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86</Pages>
  <Words>31476</Words>
  <Characters>33940</Characters>
  <Lines>300</Lines>
  <Paragraphs>84</Paragraphs>
  <TotalTime>3</TotalTime>
  <ScaleCrop>false</ScaleCrop>
  <LinksUpToDate>false</LinksUpToDate>
  <CharactersWithSpaces>36485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刘琳</cp:lastModifiedBy>
  <cp:lastPrinted>2022-10-08T00:32:00Z</cp:lastPrinted>
  <dcterms:modified xsi:type="dcterms:W3CDTF">2022-10-12T07:54:20Z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F7BD37AE56124F9693F9E3B7CE6D6849</vt:lpwstr>
  </property>
</Properties>
</file>