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一期厂区盖板防腐项目（第二次）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w:t>
      </w:r>
      <w:r>
        <w:rPr>
          <w:rFonts w:hint="eastAsia" w:ascii="黑体" w:hAnsi="黑体" w:eastAsia="黑体" w:cs="仿宋_GB2312"/>
          <w:color w:val="auto"/>
          <w:sz w:val="32"/>
          <w:szCs w:val="32"/>
          <w:highlight w:val="none"/>
          <w:lang w:val="en-US" w:eastAsia="zh-CN"/>
        </w:rPr>
        <w:t>年十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fmt="decimal" w:start="1"/>
          <w:cols w:space="425" w:num="1"/>
          <w:docGrid w:type="lines" w:linePitch="312"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7519"/>
      <w:bookmarkStart w:id="6" w:name="_Toc31938"/>
      <w:bookmarkStart w:id="7" w:name="_Toc11322"/>
      <w:bookmarkStart w:id="8" w:name="_Toc19609"/>
      <w:bookmarkStart w:id="9" w:name="_Toc17801"/>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499110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39.3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广州市净水有限公司石井净分公司一期厂区盖板防腐项目（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广州市净水有限公司石井净分公司一期厂区盖板防腐项目（</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XJ-20221012-8</w:t>
      </w:r>
      <w:bookmarkStart w:id="166" w:name="_GoBack"/>
      <w:bookmarkEnd w:id="166"/>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¥596241.98（其中不含税造价限价为547011.00元，税率9%，绿色施工安全防护措施费包干，费用为38986.58元，绿色施工安全防护措施费为非竞争性费用，报价时须按询价文件规定的金额填写，不得参与竞争，否则亦视为无效报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对一期厂区盖板正反两面进行除锈防腐，完成防锈防腐后加喷“禁止踩踏”、“有限空间 禁止进入”红色字样。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25天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广州市净水有限公司石井净水公司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详见第五章“采购需求”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p>
    <w:p>
      <w:pPr>
        <w:numPr>
          <w:ilvl w:val="0"/>
          <w:numId w:val="2"/>
        </w:numPr>
        <w:adjustRightInd w:val="0"/>
        <w:snapToGrid w:val="0"/>
        <w:spacing w:line="600" w:lineRule="exact"/>
        <w:ind w:left="0" w:right="-370" w:rightChars="-176" w:firstLine="40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盖板打开进行防腐时涉及临边作业，配备五点式安全带等防坠物资；已揭盖的池边需设置临时防护栏；</w:t>
      </w:r>
    </w:p>
    <w:p>
      <w:pPr>
        <w:numPr>
          <w:ilvl w:val="0"/>
          <w:numId w:val="2"/>
        </w:numPr>
        <w:adjustRightInd w:val="0"/>
        <w:snapToGrid w:val="0"/>
        <w:spacing w:line="600" w:lineRule="exact"/>
        <w:ind w:left="0" w:right="-370" w:rightChars="-176" w:firstLine="40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根据公司安全办最新要求做好临时用电管理措施；</w:t>
      </w:r>
    </w:p>
    <w:p>
      <w:pPr>
        <w:numPr>
          <w:ilvl w:val="0"/>
          <w:numId w:val="2"/>
        </w:numPr>
        <w:adjustRightInd w:val="0"/>
        <w:snapToGrid w:val="0"/>
        <w:spacing w:line="600" w:lineRule="exact"/>
        <w:ind w:left="0" w:right="-370" w:rightChars="-176" w:firstLine="40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增设风机，强制通风。</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w:t>
      </w:r>
      <w:r>
        <w:rPr>
          <w:rFonts w:hint="eastAsia" w:ascii="仿宋_GB2312" w:eastAsia="仿宋_GB2312"/>
          <w:color w:val="auto"/>
          <w:sz w:val="28"/>
          <w:szCs w:val="28"/>
          <w:highlight w:val="none"/>
          <w:u w:val="none"/>
        </w:rPr>
        <w:t>当具备</w:t>
      </w:r>
      <w:r>
        <w:rPr>
          <w:rFonts w:hint="eastAsia" w:ascii="仿宋_GB2312" w:eastAsia="仿宋_GB2312"/>
          <w:color w:val="auto"/>
          <w:sz w:val="28"/>
          <w:szCs w:val="28"/>
          <w:highlight w:val="none"/>
          <w:u w:val="none"/>
          <w:lang w:val="en-US" w:eastAsia="zh-CN"/>
        </w:rPr>
        <w:t>防水防腐保温工程专业承包资质二级或以上</w:t>
      </w:r>
      <w:r>
        <w:rPr>
          <w:rFonts w:hint="eastAsia" w:ascii="仿宋_GB2312" w:eastAsia="仿宋_GB2312"/>
          <w:color w:val="auto"/>
          <w:sz w:val="28"/>
          <w:szCs w:val="28"/>
          <w:highlight w:val="none"/>
          <w:u w:val="none"/>
        </w:rPr>
        <w:t xml:space="preserve">                                       资质</w:t>
      </w:r>
      <w:r>
        <w:rPr>
          <w:rFonts w:hint="eastAsia" w:ascii="仿宋_GB2312" w:eastAsia="仿宋_GB2312"/>
          <w:color w:val="auto"/>
          <w:sz w:val="28"/>
          <w:szCs w:val="28"/>
          <w:highlight w:val="none"/>
          <w:u w:val="none"/>
          <w:lang w:eastAsia="zh-CN"/>
        </w:rPr>
        <w:t>，同时持有建设主管部门颁发的《安全生产许可证》并在有效期内。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w:t>
      </w:r>
      <w:r>
        <w:rPr>
          <w:rFonts w:hint="eastAsia" w:ascii="仿宋_GB2312" w:eastAsia="仿宋_GB2312"/>
          <w:color w:val="auto"/>
          <w:sz w:val="28"/>
          <w:szCs w:val="28"/>
          <w:highlight w:val="none"/>
          <w:lang w:val="en-US" w:eastAsia="zh-CN"/>
        </w:rPr>
        <w:t>项</w:t>
      </w:r>
      <w:r>
        <w:rPr>
          <w:rFonts w:hint="eastAsia" w:ascii="仿宋_GB2312" w:eastAsia="仿宋_GB2312"/>
          <w:color w:val="auto"/>
          <w:sz w:val="28"/>
          <w:szCs w:val="28"/>
          <w:highlight w:val="none"/>
          <w:u w:val="none"/>
          <w:lang w:val="en-US" w:eastAsia="zh-CN"/>
        </w:rPr>
        <w:t>防腐类</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建筑工程专业</w:t>
      </w:r>
      <w:r>
        <w:rPr>
          <w:rFonts w:hint="eastAsia" w:ascii="仿宋_GB2312" w:eastAsia="仿宋_GB2312"/>
          <w:color w:val="auto"/>
          <w:sz w:val="28"/>
          <w:szCs w:val="28"/>
          <w:highlight w:val="none"/>
        </w:rPr>
        <w:t>二级（或以上级别）的注册建造师（须提供最新电子证书）或具备符合粤建市〔2010〕26号文规定的小型项目负责人资格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方正仿宋_GB2312" w:hAnsi="方正仿宋_GB2312" w:eastAsia="方正仿宋_GB2312" w:cs="方正仿宋_GB2312"/>
          <w:b w:val="0"/>
          <w:bCs w:val="0"/>
          <w:color w:val="auto"/>
          <w:sz w:val="28"/>
          <w:szCs w:val="28"/>
          <w:highlight w:val="none"/>
          <w:u w:val="none"/>
          <w:lang w:val="en-US" w:eastAsia="zh-CN"/>
        </w:rPr>
        <w:t>可自行选择是否前往现场踏勘 ，若前往现场踏勘需在规定时间内到达集中地点 ，逾期不再接待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2331"/>
      <w:bookmarkStart w:id="16" w:name="_Toc32588"/>
      <w:bookmarkStart w:id="17" w:name="_Toc25603"/>
      <w:bookmarkStart w:id="18" w:name="_Toc16705"/>
      <w:bookmarkStart w:id="19" w:name="_Toc16557"/>
      <w:bookmarkStart w:id="20" w:name="_Toc9448"/>
      <w:bookmarkStart w:id="21" w:name="_Toc19295"/>
      <w:bookmarkStart w:id="22" w:name="_Toc2324"/>
      <w:bookmarkStart w:id="23" w:name="_Toc7340"/>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2372360</wp:posOffset>
                </wp:positionH>
                <wp:positionV relativeFrom="paragraph">
                  <wp:posOffset>539115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8pt;margin-top:42.45pt;height:0pt;width:75.5pt;z-index:251674624;mso-width-relative:page;mso-height-relative:page;" filled="f" stroked="t" coordsize="21600,21600" o:gfxdata="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c85c2Dp&#10;xu8+f//16cvt15+3P76xyTxr1AesKXTlNvG0w7CJmfChjTb/iQo7FF2PZ13VITFBhy9n8/mMFBf3&#10;ruohL0RMr5W3LBsNxxRB77q08s7R5fk4KbLC/g0mqkyJ9wm5qHGsz/DTGYEDDWNLQ0CmDUQI3a7k&#10;ojdaXmtjcgbG3XZlIttDHojyZX6E+1dYLrIG7Ia44hpGpVMgXznJ0jGQUo5eCM8tWCU5M4oeVLYI&#10;EOoE2lwSSaWNow6yxIOo2dp6eSxal3O6/NLjaVDzdP25L9k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dr8XYAAAACQEAAA8AAAAAAAAAAQAgAAAAIgAAAGRycy9kb3ducmV2LnhtbFBLAQIU&#10;ABQAAAAIAIdO4kCXp1Xa8wEAAOQDAAAOAAAAAAAAAAEAIAAAACc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4870"/>
      <w:bookmarkStart w:id="36" w:name="_Toc3156"/>
      <w:bookmarkStart w:id="37" w:name="_Toc7437"/>
      <w:bookmarkStart w:id="38" w:name="_Toc19050"/>
      <w:bookmarkStart w:id="39" w:name="_Toc23581"/>
      <w:bookmarkStart w:id="40" w:name="_Toc20594"/>
      <w:bookmarkStart w:id="41" w:name="_Toc7118"/>
      <w:bookmarkStart w:id="42" w:name="_Toc4952"/>
      <w:bookmarkStart w:id="43" w:name="_Toc10930"/>
      <w:bookmarkStart w:id="44" w:name="_Toc14552"/>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9345"/>
      <w:bookmarkStart w:id="46" w:name="_Toc29484"/>
      <w:bookmarkStart w:id="47" w:name="_Toc7831"/>
      <w:bookmarkStart w:id="48" w:name="_Toc87616378"/>
      <w:bookmarkStart w:id="49" w:name="_Toc88209941"/>
      <w:bookmarkStart w:id="50" w:name="_Toc21840"/>
      <w:bookmarkStart w:id="51" w:name="_Toc12177"/>
      <w:bookmarkStart w:id="52" w:name="_Toc13898"/>
      <w:bookmarkStart w:id="53" w:name="_Toc32607"/>
      <w:bookmarkStart w:id="54" w:name="_Toc21079"/>
      <w:bookmarkStart w:id="55" w:name="_Toc22212"/>
      <w:bookmarkStart w:id="56" w:name="_Toc6308"/>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2356485</wp:posOffset>
                </wp:positionH>
                <wp:positionV relativeFrom="paragraph">
                  <wp:posOffset>530860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55pt;margin-top:41.8pt;height:0pt;width:75.5pt;z-index:251676672;mso-width-relative:page;mso-height-relative:page;" filled="f" stroked="t" coordsize="21600,21600" o:gfxdata="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Ybri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default"/>
          <w:color w:val="auto"/>
          <w:szCs w:val="44"/>
          <w:highlight w:val="none"/>
        </w:rPr>
      </w:pPr>
    </w:p>
    <w:bookmarkEnd w:id="60"/>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一、项目情况介绍</w:t>
      </w:r>
    </w:p>
    <w:p>
      <w:pPr>
        <w:pStyle w:val="12"/>
        <w:adjustRightInd w:val="0"/>
        <w:snapToGrid w:val="0"/>
        <w:spacing w:line="300" w:lineRule="auto"/>
        <w:ind w:firstLine="420" w:firstLineChars="0"/>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val="0"/>
          <w:bCs/>
          <w:color w:val="auto"/>
          <w:sz w:val="28"/>
          <w:szCs w:val="28"/>
          <w:highlight w:val="none"/>
          <w:lang w:val="zh-CN"/>
        </w:rPr>
        <w:t>石井净水分公司为地下净水厂，几乎所有池体构筑物的池面使用不锈钢盖板遮盖。因盖板覆盖池体，直接接触污水产生的腐蚀气体，需定期对盖板进行除锈防腐。</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二、项目技术要求</w:t>
      </w:r>
    </w:p>
    <w:p>
      <w:pPr>
        <w:autoSpaceDE w:val="0"/>
        <w:autoSpaceDN w:val="0"/>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施工内容</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对</w:t>
      </w:r>
      <w:r>
        <w:rPr>
          <w:rFonts w:hint="eastAsia" w:ascii="仿宋_GB2312" w:hAnsi="仿宋_GB2312" w:eastAsia="仿宋_GB2312" w:cs="仿宋_GB2312"/>
          <w:b w:val="0"/>
          <w:bCs/>
          <w:color w:val="auto"/>
          <w:sz w:val="28"/>
          <w:szCs w:val="28"/>
          <w:highlight w:val="none"/>
          <w:lang w:val="zh-CN"/>
        </w:rPr>
        <w:t>一期厂区盖板</w:t>
      </w:r>
      <w:r>
        <w:rPr>
          <w:rFonts w:hint="eastAsia" w:ascii="仿宋_GB2312" w:hAnsi="仿宋_GB2312" w:eastAsia="仿宋_GB2312" w:cs="仿宋_GB2312"/>
          <w:b w:val="0"/>
          <w:bCs/>
          <w:color w:val="auto"/>
          <w:sz w:val="28"/>
          <w:szCs w:val="28"/>
          <w:highlight w:val="none"/>
          <w:lang w:val="en-US" w:eastAsia="zh-CN"/>
        </w:rPr>
        <w:t>正反两面进行除锈防腐，完成防锈防腐后加喷“禁止踩踏”、“有限空间 禁止进入”红色字样。</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①预计需除锈防腐面积共约5576.72m2，组成如下：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20"/>
        <w:gridCol w:w="1420"/>
        <w:gridCol w:w="1421"/>
        <w:gridCol w:w="14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区域</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面积</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面积</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3"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污泥浓缩池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86.25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负二层盖板</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24.75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预处理段</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119.42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一期排空池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15.75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一期生化池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338.91</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一期二沉池</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1612.33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一期出水泵</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45.76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高效池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128.66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紫外</w:t>
            </w:r>
          </w:p>
        </w:tc>
        <w:tc>
          <w:tcPr>
            <w:tcW w:w="1423"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鼓风机房</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230.00</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初雨</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41.88</w:t>
            </w:r>
          </w:p>
        </w:tc>
        <w:tc>
          <w:tcPr>
            <w:tcW w:w="1420"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粗格栅</w:t>
            </w:r>
          </w:p>
        </w:tc>
        <w:tc>
          <w:tcPr>
            <w:tcW w:w="1423"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 w:val="left" w:pos="2379"/>
                <w:tab w:val="center" w:pos="4285"/>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合计：2788.36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正反两面需：2788.36*2=5576.72</w:t>
            </w:r>
          </w:p>
        </w:tc>
      </w:tr>
    </w:tbl>
    <w:p>
      <w:pPr>
        <w:numPr>
          <w:ilvl w:val="0"/>
          <w:numId w:val="0"/>
        </w:numPr>
        <w:tabs>
          <w:tab w:val="left" w:pos="315"/>
          <w:tab w:val="left" w:pos="360"/>
        </w:tabs>
        <w:spacing w:line="360" w:lineRule="auto"/>
        <w:ind w:right="-145" w:rightChars="-69"/>
        <w:rPr>
          <w:rFonts w:hint="eastAsia" w:ascii="宋体" w:hAnsi="宋体" w:cs="宋体"/>
          <w:b w:val="0"/>
          <w:bCs/>
          <w:color w:val="auto"/>
          <w:sz w:val="24"/>
          <w:szCs w:val="24"/>
          <w:highlight w:val="none"/>
          <w:vertAlign w:val="baseline"/>
          <w:lang w:val="en-US" w:eastAsia="zh-CN"/>
        </w:rPr>
      </w:pP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②加喷字样“禁止蹬踏”、“有限空间 禁止进入”。刻字版尺寸：0.8*0.6=0.48m2，预计需喷430个，共206.4m2。</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③需揭盖长度共约1863.69m，组成如下：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区域</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长度</w:t>
            </w:r>
          </w:p>
        </w:tc>
        <w:tc>
          <w:tcPr>
            <w:tcW w:w="1420"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长度</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区域</w:t>
            </w:r>
          </w:p>
        </w:tc>
        <w:tc>
          <w:tcPr>
            <w:tcW w:w="1421" w:type="dxa"/>
            <w:noWrap w:val="0"/>
            <w:vAlign w:val="top"/>
          </w:tcPr>
          <w:p>
            <w:pPr>
              <w:numPr>
                <w:ilvl w:val="0"/>
                <w:numId w:val="0"/>
              </w:numPr>
              <w:tabs>
                <w:tab w:val="left" w:pos="315"/>
                <w:tab w:val="left" w:pos="360"/>
              </w:tabs>
              <w:spacing w:line="360" w:lineRule="auto"/>
              <w:ind w:left="0" w:leftChars="0" w:right="-145" w:rightChars="-69" w:firstLine="0" w:firstLineChars="0"/>
              <w:jc w:val="center"/>
              <w:rPr>
                <w:rFonts w:hint="default"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kern w:val="2"/>
                <w:sz w:val="24"/>
                <w:szCs w:val="24"/>
                <w:highlight w:val="none"/>
                <w:vertAlign w:val="baseline"/>
                <w:lang w:val="en-US" w:eastAsia="zh-CN" w:bidi="ar-SA"/>
              </w:rPr>
              <w:t>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污泥浓缩池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75</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负二层盖板</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22.5</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预处理段</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一期排空池</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9</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一期生化池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271.1</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一期二沉池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1101.88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一期出水泵</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17.6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高效池</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193.3</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紫外</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鼓风机房</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46</w:t>
            </w:r>
          </w:p>
        </w:tc>
        <w:tc>
          <w:tcPr>
            <w:tcW w:w="1420"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初雨</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16.75</w:t>
            </w:r>
          </w:p>
        </w:tc>
        <w:tc>
          <w:tcPr>
            <w:tcW w:w="1421" w:type="dxa"/>
            <w:noWrap w:val="0"/>
            <w:vAlign w:val="top"/>
          </w:tcPr>
          <w:p>
            <w:pPr>
              <w:numPr>
                <w:ilvl w:val="0"/>
                <w:numId w:val="0"/>
              </w:numPr>
              <w:tabs>
                <w:tab w:val="left" w:pos="315"/>
                <w:tab w:val="left" w:pos="360"/>
              </w:tabs>
              <w:spacing w:line="360" w:lineRule="auto"/>
              <w:ind w:right="-145" w:rightChars="-69"/>
              <w:jc w:val="cente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粗格栅</w:t>
            </w:r>
          </w:p>
        </w:tc>
        <w:tc>
          <w:tcPr>
            <w:tcW w:w="1421" w:type="dxa"/>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top"/>
          </w:tcPr>
          <w:p>
            <w:pPr>
              <w:numPr>
                <w:ilvl w:val="0"/>
                <w:numId w:val="0"/>
              </w:numPr>
              <w:tabs>
                <w:tab w:val="left" w:pos="315"/>
                <w:tab w:val="left" w:pos="360"/>
              </w:tabs>
              <w:spacing w:line="360" w:lineRule="auto"/>
              <w:ind w:right="-145" w:rightChars="-69"/>
              <w:jc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合计：1863.69</w:t>
            </w:r>
          </w:p>
        </w:tc>
      </w:tr>
    </w:tbl>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施工相关流程：</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①钢结构构件除锈（1除锈级别:金属面 中锈 砂纸人工除锈、砂轮机除锈 ）</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②机喷防锈漆（1.油漆品种、刷漆遍数:红丹环氧防锈漆、环氧磁漆 机喷防锈漆 防锈漆两遍）</w:t>
      </w:r>
    </w:p>
    <w:p>
      <w:pPr>
        <w:pStyle w:val="12"/>
        <w:adjustRightInd w:val="0"/>
        <w:snapToGrid w:val="0"/>
        <w:spacing w:line="300" w:lineRule="auto"/>
        <w:ind w:firstLine="420" w:firstLineChars="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③金属面油漆（1.油漆品种、刷漆遍数:环氧富锌漆 两遍）</w:t>
      </w:r>
    </w:p>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④手喷漆（红色）</w:t>
      </w:r>
    </w:p>
    <w:p>
      <w:pPr>
        <w:pStyle w:val="12"/>
        <w:adjustRightInd w:val="0"/>
        <w:snapToGrid w:val="0"/>
        <w:spacing w:line="300" w:lineRule="auto"/>
        <w:ind w:firstLine="420" w:firstLine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预计工作量清单：</w:t>
      </w:r>
    </w:p>
    <w:tbl>
      <w:tblPr>
        <w:tblStyle w:val="23"/>
        <w:tblpPr w:leftFromText="180" w:rightFromText="180" w:vertAnchor="text" w:horzAnchor="page" w:tblpX="1764" w:tblpY="669"/>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66"/>
        <w:gridCol w:w="3813"/>
        <w:gridCol w:w="1127"/>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序号</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施工名称</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项目特征描述</w:t>
            </w:r>
          </w:p>
        </w:tc>
        <w:tc>
          <w:tcPr>
            <w:tcW w:w="1127" w:type="dxa"/>
            <w:noWrap w:val="0"/>
            <w:vAlign w:val="center"/>
          </w:tcPr>
          <w:p>
            <w:pPr>
              <w:numPr>
                <w:ilvl w:val="0"/>
                <w:numId w:val="0"/>
              </w:numPr>
              <w:tabs>
                <w:tab w:val="left" w:pos="315"/>
                <w:tab w:val="left" w:pos="360"/>
              </w:tabs>
              <w:spacing w:line="360" w:lineRule="auto"/>
              <w:ind w:right="-145" w:rightChars="-69" w:firstLine="210" w:firstLineChars="100"/>
              <w:jc w:val="left"/>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计量单位</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钢结构构件除锈</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 xml:space="preserve">1除锈级别:金属面 中锈 砂纸人工除锈、砂轮机除锈 </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机喷防锈漆</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1.油漆品种、刷漆遍数:红丹环氧防锈漆、环氧磁漆 机喷防锈漆 防锈漆两遍</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3</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金属面油漆</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1.油漆品种、刷漆遍数:环氧富锌漆 两遍</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5576.72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4</w:t>
            </w: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手喷漆喷字</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红色手喷漆</w:t>
            </w: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vertAlign w:val="baseline"/>
                <w:lang w:val="en-US" w:eastAsia="zh-CN"/>
              </w:rPr>
              <w:t>2</w:t>
            </w: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5</w:t>
            </w: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需揭盖板长度</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m</w:t>
            </w: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1863.69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56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措施项目</w:t>
            </w:r>
          </w:p>
        </w:tc>
        <w:tc>
          <w:tcPr>
            <w:tcW w:w="3813"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c>
          <w:tcPr>
            <w:tcW w:w="1127"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color w:val="auto"/>
                <w:sz w:val="21"/>
                <w:szCs w:val="21"/>
                <w:highlight w:val="none"/>
                <w:lang w:val="en-US" w:eastAsia="zh-CN"/>
              </w:rPr>
            </w:pPr>
          </w:p>
        </w:tc>
        <w:tc>
          <w:tcPr>
            <w:tcW w:w="1516" w:type="dxa"/>
            <w:noWrap w:val="0"/>
            <w:vAlign w:val="center"/>
          </w:tcPr>
          <w:p>
            <w:pPr>
              <w:numPr>
                <w:ilvl w:val="0"/>
                <w:numId w:val="0"/>
              </w:numPr>
              <w:tabs>
                <w:tab w:val="left" w:pos="315"/>
                <w:tab w:val="left" w:pos="360"/>
              </w:tabs>
              <w:spacing w:line="360" w:lineRule="auto"/>
              <w:ind w:left="0" w:leftChars="0" w:right="-145" w:rightChars="-69" w:firstLine="0" w:firstLineChars="0"/>
              <w:jc w:val="center"/>
              <w:rPr>
                <w:rFonts w:hint="eastAsia" w:ascii="宋体" w:hAnsi="宋体" w:eastAsia="宋体" w:cs="宋体"/>
                <w:b w:val="0"/>
                <w:bCs w:val="0"/>
                <w:color w:val="auto"/>
                <w:kern w:val="44"/>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1</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盖板揭盖使用起重设备</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部分盖板较重，需临时使用起重设备吊装，1T内</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台班</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2</w:t>
            </w:r>
          </w:p>
        </w:tc>
        <w:tc>
          <w:tcPr>
            <w:tcW w:w="156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风机</w:t>
            </w:r>
          </w:p>
        </w:tc>
        <w:tc>
          <w:tcPr>
            <w:tcW w:w="3813"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通风,</w:t>
            </w:r>
            <w:r>
              <w:rPr>
                <w:rFonts w:hint="eastAsia" w:ascii="宋体" w:hAnsi="宋体" w:eastAsia="宋体" w:cs="宋体"/>
                <w:b w:val="0"/>
                <w:bCs/>
                <w:color w:val="auto"/>
                <w:sz w:val="21"/>
                <w:szCs w:val="21"/>
                <w:highlight w:val="none"/>
                <w:vertAlign w:val="baseline"/>
                <w:lang w:val="en-US" w:eastAsia="zh-CN"/>
              </w:rPr>
              <w:t>0.75kw，约5000m3/h</w:t>
            </w:r>
          </w:p>
        </w:tc>
        <w:tc>
          <w:tcPr>
            <w:tcW w:w="1127"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台班</w:t>
            </w:r>
          </w:p>
        </w:tc>
        <w:tc>
          <w:tcPr>
            <w:tcW w:w="1516" w:type="dxa"/>
            <w:noWrap w:val="0"/>
            <w:vAlign w:val="center"/>
          </w:tcPr>
          <w:p>
            <w:pPr>
              <w:numPr>
                <w:ilvl w:val="0"/>
                <w:numId w:val="0"/>
              </w:numPr>
              <w:tabs>
                <w:tab w:val="left" w:pos="315"/>
                <w:tab w:val="left" w:pos="360"/>
              </w:tabs>
              <w:spacing w:line="360" w:lineRule="auto"/>
              <w:ind w:right="-145" w:rightChars="-69"/>
              <w:jc w:val="center"/>
              <w:rPr>
                <w:rFonts w:hint="eastAsia" w:ascii="宋体" w:hAnsi="宋体" w:eastAsia="宋体" w:cs="宋体"/>
                <w:b w:val="0"/>
                <w:bCs w:val="0"/>
                <w:color w:val="auto"/>
                <w:kern w:val="44"/>
                <w:sz w:val="21"/>
                <w:szCs w:val="21"/>
                <w:highlight w:val="none"/>
                <w:vertAlign w:val="baseline"/>
                <w:lang w:val="en-US" w:eastAsia="zh-CN" w:bidi="ar-SA"/>
              </w:rPr>
            </w:pPr>
            <w:r>
              <w:rPr>
                <w:rFonts w:hint="eastAsia" w:ascii="宋体" w:hAnsi="宋体" w:eastAsia="宋体" w:cs="宋体"/>
                <w:b w:val="0"/>
                <w:bCs w:val="0"/>
                <w:color w:val="auto"/>
                <w:kern w:val="44"/>
                <w:sz w:val="21"/>
                <w:szCs w:val="21"/>
                <w:highlight w:val="none"/>
                <w:vertAlign w:val="baseline"/>
                <w:lang w:val="en-US" w:eastAsia="zh-CN" w:bidi="ar-SA"/>
              </w:rPr>
              <w:t>40</w:t>
            </w:r>
          </w:p>
        </w:tc>
      </w:tr>
    </w:tbl>
    <w:p>
      <w:pPr>
        <w:pStyle w:val="9"/>
        <w:rPr>
          <w:rFonts w:hint="default"/>
          <w:color w:val="auto"/>
          <w:highlight w:val="none"/>
          <w:lang w:val="en-US" w:eastAsia="zh-CN"/>
        </w:rPr>
      </w:pP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ind w:left="56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25天</w:t>
      </w:r>
    </w:p>
    <w:p>
      <w:pPr>
        <w:autoSpaceDE w:val="0"/>
        <w:autoSpaceDN w:val="0"/>
        <w:ind w:left="560"/>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u w:val="none"/>
        </w:rPr>
        <w:t>施工期：具体日期以甲方（业主）发出的开工令为准</w:t>
      </w:r>
      <w:r>
        <w:rPr>
          <w:rFonts w:hint="eastAsia" w:ascii="仿宋_GB2312" w:hAnsi="仿宋_GB2312" w:eastAsia="仿宋_GB2312" w:cs="仿宋_GB2312"/>
          <w:color w:val="auto"/>
          <w:sz w:val="28"/>
          <w:szCs w:val="28"/>
          <w:highlight w:val="none"/>
          <w:u w:val="none"/>
          <w:lang w:eastAsia="zh-CN"/>
        </w:rPr>
        <w:t>。</w:t>
      </w: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质量要求：</w:t>
      </w:r>
    </w:p>
    <w:p>
      <w:pPr>
        <w:pStyle w:val="45"/>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2.1本项目施工质量必须严格遵循下列施工规范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45"/>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45"/>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45"/>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numPr>
          <w:ilvl w:val="0"/>
          <w:numId w:val="0"/>
        </w:num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widowControl/>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乙方在施工期间应严格遵守《中华人民共和国安全生产法》（国家主席</w:t>
      </w:r>
      <w:r>
        <w:rPr>
          <w:rFonts w:hint="eastAsia" w:ascii="仿宋_GB2312" w:hAnsi="仿宋_GB2312" w:eastAsia="仿宋_GB2312" w:cs="仿宋_GB2312"/>
          <w:color w:val="auto"/>
          <w:sz w:val="28"/>
          <w:szCs w:val="28"/>
          <w:highlight w:val="none"/>
          <w:lang w:val="en-US" w:eastAsia="zh-CN"/>
        </w:rPr>
        <w:t>88</w:t>
      </w:r>
      <w:r>
        <w:rPr>
          <w:rFonts w:hint="eastAsia" w:ascii="仿宋_GB2312" w:hAnsi="仿宋_GB2312" w:eastAsia="仿宋_GB2312" w:cs="仿宋_GB2312"/>
          <w:color w:val="auto"/>
          <w:sz w:val="28"/>
          <w:szCs w:val="28"/>
          <w:highlight w:val="none"/>
        </w:rPr>
        <w:t>号令）、《建设工程安全生产管理条例》（中华人民共和国国务院令第393号）以及文明施工、深夜施工、环卫和城管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autoSpaceDE w:val="0"/>
        <w:autoSpaceDN w:val="0"/>
        <w:ind w:left="19" w:leftChars="9" w:firstLine="537" w:firstLineChars="19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分包</w:t>
      </w:r>
      <w:r>
        <w:rPr>
          <w:rFonts w:hint="eastAsia" w:ascii="仿宋_GB2312" w:hAnsi="仿宋_GB2312" w:eastAsia="仿宋_GB2312" w:cs="仿宋_GB2312"/>
          <w:color w:val="auto"/>
          <w:sz w:val="28"/>
          <w:szCs w:val="28"/>
          <w:highlight w:val="none"/>
        </w:rPr>
        <w:t>。否则，甲方有权单方面终止合同，并令其立即退场，由此而造成的经济损失由乙方负责赔偿。</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w:t>
      </w:r>
    </w:p>
    <w:p>
      <w:pPr>
        <w:keepNext w:val="0"/>
        <w:keepLines w:val="0"/>
        <w:pageBreakBefore w:val="0"/>
        <w:widowControl w:val="0"/>
        <w:kinsoku/>
        <w:wordWrap/>
        <w:overflowPunct/>
        <w:topLinePunct w:val="0"/>
        <w:autoSpaceDE w:val="0"/>
        <w:autoSpaceDN w:val="0"/>
        <w:bidi w:val="0"/>
        <w:snapToGrid/>
        <w:spacing w:line="50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质量保证期时间为</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年内如有任何质量问题，施工方须免费进行维修。</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询价人将自承包人履行完合同义务之日起20天内组织验收，验收要求、验收标准及方法如下：</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（1）验收依据：询价文件、询价响应文件、厂家货物技术标准说明及国家有关的质量标准规定，均为验收依据。</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（2）承包单位根据要求由发包人或政府相关部门进行使用性能方面的验收。</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完工后预期目标</w:t>
      </w:r>
      <w:r>
        <w:rPr>
          <w:rFonts w:hint="eastAsia" w:ascii="仿宋_GB2312" w:hAnsi="仿宋_GB2312" w:eastAsia="仿宋_GB2312" w:cs="仿宋_GB2312"/>
          <w:color w:val="auto"/>
          <w:sz w:val="28"/>
          <w:szCs w:val="28"/>
          <w:highlight w:val="none"/>
        </w:rPr>
        <w:t>：表面平整、密实、坚硬，无明显突起、凹陷、空鼓、大裂纹等现象。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（4）发包人有权委托我国相关具有检验资质的部门、单位、机构针对维修后设备的精度、性能进行检验。其检验结果将作为验收标准的组成部分之一。</w:t>
      </w:r>
    </w:p>
    <w:p>
      <w:pPr>
        <w:keepNext w:val="0"/>
        <w:keepLines w:val="0"/>
        <w:pageBreakBefore w:val="0"/>
        <w:widowControl w:val="0"/>
        <w:kinsoku/>
        <w:wordWrap/>
        <w:overflowPunct/>
        <w:topLinePunct w:val="0"/>
        <w:autoSpaceDE w:val="0"/>
        <w:autoSpaceDN w:val="0"/>
        <w:bidi w:val="0"/>
        <w:snapToGrid/>
        <w:spacing w:line="500" w:lineRule="exact"/>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.付款方式：采用</w:t>
      </w:r>
      <w:r>
        <w:rPr>
          <w:rFonts w:hint="eastAsia" w:ascii="仿宋_GB2312" w:hAnsi="仿宋_GB2312" w:eastAsia="仿宋_GB2312" w:cs="仿宋_GB2312"/>
          <w:color w:val="auto"/>
          <w:sz w:val="28"/>
          <w:szCs w:val="28"/>
          <w:highlight w:val="none"/>
          <w:lang w:val="en-US" w:eastAsia="zh-CN"/>
        </w:rPr>
        <w:t>转账</w:t>
      </w:r>
      <w:r>
        <w:rPr>
          <w:rFonts w:hint="eastAsia" w:ascii="仿宋_GB2312" w:hAnsi="仿宋_GB2312" w:eastAsia="仿宋_GB2312" w:cs="仿宋_GB2312"/>
          <w:color w:val="auto"/>
          <w:sz w:val="28"/>
          <w:szCs w:val="28"/>
          <w:highlight w:val="none"/>
        </w:rPr>
        <w:t>形式。</w:t>
      </w:r>
    </w:p>
    <w:p>
      <w:pPr>
        <w:spacing w:line="300" w:lineRule="auto"/>
        <w:ind w:firstLine="560" w:firstLineChars="200"/>
        <w:jc w:val="lef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.承包方式：</w:t>
      </w:r>
      <w:r>
        <w:rPr>
          <w:rFonts w:hint="eastAsia" w:ascii="仿宋_GB2312" w:hAnsi="仿宋_GB2312" w:eastAsia="仿宋_GB2312" w:cs="仿宋_GB2312"/>
          <w:color w:val="auto"/>
          <w:sz w:val="28"/>
          <w:szCs w:val="28"/>
          <w:highlight w:val="none"/>
          <w:lang w:val="en-US" w:eastAsia="zh-CN"/>
        </w:rPr>
        <w:t>单价包干</w:t>
      </w:r>
      <w:r>
        <w:rPr>
          <w:rFonts w:hint="eastAsia" w:ascii="仿宋_GB2312" w:hAnsi="仿宋_GB2312" w:eastAsia="仿宋_GB2312" w:cs="仿宋_GB2312"/>
          <w:color w:val="auto"/>
          <w:sz w:val="28"/>
          <w:szCs w:val="28"/>
          <w:highlight w:val="none"/>
          <w:lang w:val="zh-CN"/>
        </w:rPr>
        <w:t>。</w:t>
      </w:r>
    </w:p>
    <w:p>
      <w:pPr>
        <w:ind w:firstLine="560" w:firstLineChars="200"/>
        <w:rPr>
          <w:rFonts w:hint="eastAsia"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15570"/>
      <w:bookmarkStart w:id="62" w:name="_Toc1284"/>
      <w:bookmarkStart w:id="63" w:name="_Toc23330"/>
      <w:bookmarkStart w:id="64" w:name="_Toc25925"/>
      <w:bookmarkStart w:id="65" w:name="_Toc537"/>
      <w:bookmarkStart w:id="66" w:name="_Toc23353"/>
      <w:bookmarkStart w:id="67" w:name="_Toc29835"/>
      <w:bookmarkStart w:id="68" w:name="_Toc1496"/>
      <w:bookmarkStart w:id="69" w:name="_Toc4680"/>
      <w:bookmarkStart w:id="70" w:name="_Toc18538"/>
      <w:bookmarkStart w:id="71" w:name="_Toc12135"/>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2314575</wp:posOffset>
                </wp:positionH>
                <wp:positionV relativeFrom="paragraph">
                  <wp:posOffset>513715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25pt;margin-top:40.45pt;height:0pt;width:75.5pt;z-index:251666432;mso-width-relative:page;mso-height-relative:page;" filled="f" stroked="t" coordsize="21600,21600" o:gfxdata="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Ykv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2313305</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15pt;margin-top:2.55pt;height:0pt;width:75.5pt;z-index:251665408;mso-width-relative:page;mso-height-relative:page;" filled="f" stroked="t" coordsize="21600,21600" o:gfxdata="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AnC/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87616386"/>
      <w:bookmarkStart w:id="73" w:name="_Toc19088"/>
      <w:bookmarkStart w:id="74" w:name="_Toc13309"/>
      <w:bookmarkStart w:id="75" w:name="_Toc8183"/>
      <w:bookmarkStart w:id="76" w:name="_Toc22501"/>
      <w:bookmarkStart w:id="77" w:name="_Toc12968"/>
      <w:bookmarkStart w:id="78" w:name="_Toc88209949"/>
      <w:bookmarkStart w:id="79" w:name="_Toc12980"/>
      <w:bookmarkStart w:id="80" w:name="_Toc12721"/>
      <w:bookmarkStart w:id="81" w:name="_Toc19686"/>
      <w:bookmarkStart w:id="82" w:name="_Toc323"/>
      <w:bookmarkStart w:id="83" w:name="_Toc22797"/>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Cs/>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p>
    <w:p>
      <w:pPr>
        <w:pStyle w:val="45"/>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beforeLines="-2147483648" w:line="400" w:lineRule="atLeast"/>
        <w:rPr>
          <w:rFonts w:ascii="宋体" w:hAnsi="宋体" w:cs="宋体"/>
          <w:color w:val="auto"/>
          <w:sz w:val="24"/>
          <w:highlight w:val="none"/>
          <w:u w:val="single"/>
        </w:rPr>
      </w:pPr>
      <w:r>
        <w:rPr>
          <w:rFonts w:hint="eastAsia" w:ascii="宋体" w:hAnsi="宋体" w:cs="宋体"/>
          <w:b/>
          <w:color w:val="auto"/>
          <w:sz w:val="30"/>
          <w:highlight w:val="none"/>
        </w:rPr>
        <w:t>签约地点：广州市</w:t>
      </w:r>
    </w:p>
    <w:p>
      <w:pPr>
        <w:spacing w:beforeLines="30" w:line="384" w:lineRule="auto"/>
        <w:ind w:firstLine="480" w:firstLineChars="200"/>
        <w:rPr>
          <w:rFonts w:hint="eastAsia" w:ascii="宋体" w:hAnsi="宋体" w:cs="宋体"/>
          <w:color w:val="auto"/>
          <w:sz w:val="24"/>
          <w:highlight w:val="none"/>
        </w:rPr>
      </w:pPr>
    </w:p>
    <w:p>
      <w:pPr>
        <w:spacing w:beforeLines="30"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eastAsia="zh-CN"/>
        </w:rPr>
        <w:t>广州市净水有限公司石井净分公司一期厂区盖板防腐项目</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lang w:val="en-US" w:eastAsia="zh-CN"/>
        </w:rPr>
        <w:t>石井净分公司</w:t>
      </w:r>
      <w:r>
        <w:rPr>
          <w:rFonts w:hint="eastAsia" w:ascii="宋体" w:hAnsi="宋体" w:cs="宋体"/>
          <w:color w:val="auto"/>
          <w:sz w:val="24"/>
          <w:highlight w:val="none"/>
          <w:u w:val="single"/>
        </w:rPr>
        <w:t xml:space="preserve">    。</w:t>
      </w:r>
    </w:p>
    <w:p>
      <w:pPr>
        <w:spacing w:line="384"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对</w:t>
      </w:r>
      <w:r>
        <w:rPr>
          <w:rFonts w:hint="eastAsia" w:ascii="宋体" w:hAnsi="宋体" w:cs="宋体"/>
          <w:color w:val="auto"/>
          <w:sz w:val="24"/>
          <w:highlight w:val="none"/>
          <w:u w:val="single"/>
          <w:lang w:val="en-US" w:eastAsia="zh-CN"/>
        </w:rPr>
        <w:t>石井净分公司</w:t>
      </w:r>
      <w:r>
        <w:rPr>
          <w:rFonts w:hint="eastAsia" w:ascii="宋体" w:hAnsi="宋体" w:cs="宋体"/>
          <w:color w:val="auto"/>
          <w:sz w:val="24"/>
          <w:highlight w:val="none"/>
          <w:u w:val="single"/>
        </w:rPr>
        <w:t>一期厂区盖板正反两面进行除锈防腐，完成防锈防腐后加喷“禁止踩踏”、“有限空间 禁止进入”红色字样。</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val="en-US" w:eastAsia="zh-CN"/>
        </w:rPr>
        <w:t xml:space="preserve"> 15</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lang w:val="en-US" w:eastAsia="zh-CN"/>
        </w:rPr>
        <w:t>5</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附件5中的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5.9在合同有效期内，乙方自愿接受甲方按《广州市净水有限公司经营建设项目参建企业不诚信行为管理办法》、《营运项目承包单位日常履约考评参照表（安全）》处理，具体处理标准详见附件</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w:t>
      </w:r>
    </w:p>
    <w:p>
      <w:pPr>
        <w:pStyle w:val="45"/>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r>
        <w:rPr>
          <w:rFonts w:hint="eastAsia" w:ascii="宋体" w:hAnsi="宋体" w:cs="宋体"/>
          <w:color w:val="auto"/>
          <w:sz w:val="24"/>
          <w:highlight w:val="none"/>
          <w:lang w:val="en-US" w:eastAsia="zh-CN"/>
        </w:rPr>
        <w:t>接口，水电费按合同综合单价水电含量计算，从甲方支付的工程款中直接扣回</w:t>
      </w:r>
      <w:r>
        <w:rPr>
          <w:rFonts w:hint="eastAsia" w:ascii="宋体" w:hAnsi="宋体" w:cs="宋体"/>
          <w:color w:val="auto"/>
          <w:sz w:val="24"/>
          <w:highlight w:val="none"/>
        </w:rPr>
        <w:t>。</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F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万元给乙方。</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项目验收合同后，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w:t>
      </w:r>
      <w:r>
        <w:rPr>
          <w:rFonts w:hint="eastAsia" w:ascii="宋体" w:hAnsi="宋体" w:cs="宋体"/>
          <w:color w:val="auto"/>
          <w:sz w:val="24"/>
          <w:highlight w:val="none"/>
          <w:u w:val="none"/>
        </w:rPr>
        <w:t>过本条规定的时限，每逾期一天支付合同暂定总价</w:t>
      </w:r>
      <w:r>
        <w:rPr>
          <w:rFonts w:hint="eastAsia" w:ascii="宋体" w:hAnsi="宋体" w:cs="宋体"/>
          <w:bCs/>
          <w:color w:val="auto"/>
          <w:sz w:val="24"/>
          <w:highlight w:val="none"/>
          <w:u w:val="none"/>
        </w:rPr>
        <w:t>万分之五</w:t>
      </w:r>
      <w:r>
        <w:rPr>
          <w:rFonts w:ascii="宋体" w:hAnsi="宋体" w:cs="宋体"/>
          <w:bCs/>
          <w:color w:val="auto"/>
          <w:sz w:val="24"/>
          <w:highlight w:val="none"/>
          <w:u w:val="none"/>
        </w:rPr>
        <w:t>/</w:t>
      </w:r>
      <w:r>
        <w:rPr>
          <w:rFonts w:hint="eastAsia" w:ascii="宋体" w:hAnsi="宋体" w:cs="宋体"/>
          <w:bCs/>
          <w:color w:val="auto"/>
          <w:sz w:val="24"/>
          <w:highlight w:val="none"/>
          <w:u w:val="none"/>
        </w:rPr>
        <w:t>天</w:t>
      </w:r>
      <w:r>
        <w:rPr>
          <w:rFonts w:hint="eastAsia" w:ascii="宋体" w:hAnsi="宋体" w:cs="宋体"/>
          <w:color w:val="auto"/>
          <w:sz w:val="24"/>
          <w:highlight w:val="none"/>
          <w:u w:val="none"/>
        </w:rPr>
        <w:t>违约金</w:t>
      </w:r>
      <w:r>
        <w:rPr>
          <w:rFonts w:hint="eastAsia" w:ascii="宋体" w:hAnsi="宋体" w:cs="宋体"/>
          <w:color w:val="auto"/>
          <w:sz w:val="24"/>
          <w:highlight w:val="none"/>
        </w:rPr>
        <w:t>。</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color w:val="auto"/>
          <w:sz w:val="24"/>
          <w:highlight w:val="none"/>
        </w:rPr>
      </w:pPr>
      <w:bookmarkStart w:id="85" w:name="_Toc474245220"/>
      <w:bookmarkStart w:id="86" w:name="_Toc520190034"/>
      <w:bookmarkStart w:id="87" w:name="_Toc51899299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壹</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none"/>
        </w:rPr>
        <w:t>合同暂定总价的</w:t>
      </w:r>
      <w:r>
        <w:rPr>
          <w:rFonts w:ascii="宋体" w:hAnsi="宋体" w:cs="宋体"/>
          <w:bCs/>
          <w:color w:val="auto"/>
          <w:sz w:val="24"/>
          <w:highlight w:val="none"/>
          <w:u w:val="none"/>
        </w:rPr>
        <w:t>10%/</w:t>
      </w:r>
      <w:r>
        <w:rPr>
          <w:rFonts w:hint="eastAsia" w:ascii="宋体" w:hAnsi="宋体" w:cs="宋体"/>
          <w:bCs/>
          <w:color w:val="auto"/>
          <w:sz w:val="24"/>
          <w:highlight w:val="none"/>
          <w:u w:val="none"/>
        </w:rPr>
        <w:t>次作为</w:t>
      </w:r>
      <w:r>
        <w:rPr>
          <w:rFonts w:hint="eastAsia" w:ascii="宋体" w:hAnsi="宋体" w:cs="宋体"/>
          <w:bCs/>
          <w:color w:val="auto"/>
          <w:sz w:val="24"/>
          <w:highlight w:val="none"/>
        </w:rPr>
        <w:t>违约金。</w:t>
      </w:r>
    </w:p>
    <w:p>
      <w:pPr>
        <w:spacing w:beforeLines="50" w:afterLines="50" w:line="384" w:lineRule="auto"/>
        <w:ind w:firstLine="422" w:firstLineChars="175"/>
        <w:jc w:val="left"/>
        <w:rPr>
          <w:rFonts w:ascii="宋体" w:hAnsi="宋体" w:cs="宋体"/>
          <w:color w:val="auto"/>
          <w:sz w:val="24"/>
          <w:highlight w:val="none"/>
        </w:rPr>
      </w:pPr>
      <w:bookmarkStart w:id="88" w:name="_Toc306350467"/>
      <w:bookmarkStart w:id="89" w:name="_Toc107446862"/>
      <w:bookmarkStart w:id="90" w:name="_Toc520190040"/>
      <w:bookmarkStart w:id="91" w:name="_Toc19692"/>
      <w:bookmarkStart w:id="92" w:name="_Toc183666531"/>
      <w:bookmarkStart w:id="93" w:name="_Toc474245226"/>
      <w:bookmarkStart w:id="94" w:name="_Toc107447255"/>
      <w:bookmarkStart w:id="95" w:name="_Toc518993000"/>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12010"/>
      <w:bookmarkStart w:id="97" w:name="_Toc183666532"/>
      <w:bookmarkStart w:id="98"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520190041"/>
      <w:bookmarkStart w:id="100" w:name="_Toc107447257"/>
      <w:bookmarkStart w:id="101" w:name="_Toc518993001"/>
      <w:bookmarkStart w:id="102" w:name="_Toc474245227"/>
      <w:bookmarkStart w:id="103" w:name="_Toc107446864"/>
      <w:bookmarkStart w:id="104" w:name="_Toc118172294"/>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520190043"/>
      <w:bookmarkStart w:id="108" w:name="_Toc518993003"/>
      <w:bookmarkStart w:id="109" w:name="_Toc474245229"/>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7264"/>
      <w:bookmarkStart w:id="111" w:name="_Toc107446871"/>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hint="eastAsia" w:ascii="宋体" w:hAnsi="宋体" w:cs="宋体"/>
          <w:color w:val="auto"/>
          <w:sz w:val="24"/>
          <w:highlight w:val="none"/>
          <w:u w:val="single"/>
          <w:lang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p>
    <w:p>
      <w:pPr>
        <w:spacing w:line="384" w:lineRule="auto"/>
        <w:ind w:firstLine="480"/>
        <w:rPr>
          <w:rFonts w:hint="eastAsia" w:ascii="宋体" w:hAnsi="宋体" w:cs="宋体"/>
          <w:color w:val="auto"/>
          <w:sz w:val="24"/>
          <w:highlight w:val="none"/>
          <w:u w:val="single"/>
          <w:lang w:eastAsia="zh-CN"/>
        </w:rPr>
      </w:pPr>
    </w:p>
    <w:p>
      <w:pPr>
        <w:spacing w:line="384" w:lineRule="auto"/>
        <w:ind w:firstLine="480"/>
        <w:rPr>
          <w:rFonts w:hint="eastAsia" w:ascii="宋体" w:hAnsi="宋体" w:cs="宋体"/>
          <w:color w:val="auto"/>
          <w:sz w:val="24"/>
          <w:highlight w:val="none"/>
          <w:u w:val="single"/>
          <w:lang w:eastAsia="zh-CN"/>
        </w:rPr>
      </w:pPr>
    </w:p>
    <w:p>
      <w:pPr>
        <w:spacing w:line="384" w:lineRule="auto"/>
        <w:ind w:firstLine="480"/>
        <w:rPr>
          <w:rFonts w:hint="eastAsia" w:ascii="宋体" w:hAnsi="宋体" w:cs="宋体"/>
          <w:color w:val="auto"/>
          <w:sz w:val="24"/>
          <w:highlight w:val="none"/>
          <w:u w:val="single"/>
          <w:lang w:eastAsia="zh-CN"/>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lang w:val="en-US" w:eastAsia="zh-CN"/>
        </w:rPr>
        <w:t>成交通知书/</w:t>
      </w:r>
      <w:r>
        <w:rPr>
          <w:rFonts w:hint="eastAsia" w:ascii="宋体" w:hAnsi="宋体" w:cs="宋体"/>
          <w:color w:val="auto"/>
          <w:sz w:val="24"/>
          <w:highlight w:val="none"/>
        </w:rPr>
        <w:t>委托函（如有）</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履约保函（模板）</w:t>
      </w:r>
    </w:p>
    <w:p>
      <w:pPr>
        <w:spacing w:line="360" w:lineRule="auto"/>
        <w:ind w:firstLine="720" w:firstLineChars="300"/>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应急救援物资清单</w:t>
      </w:r>
      <w:r>
        <w:rPr>
          <w:rFonts w:hint="eastAsia" w:asciiTheme="minorEastAsia" w:hAnsiTheme="minorEastAsia" w:eastAsiaTheme="minorEastAsia" w:cstheme="minorEastAsia"/>
          <w:b w:val="0"/>
          <w:bCs w:val="0"/>
          <w:color w:val="auto"/>
          <w:sz w:val="24"/>
          <w:szCs w:val="24"/>
          <w:highlight w:val="none"/>
          <w:lang w:eastAsia="zh-CN"/>
        </w:rPr>
        <w:t>（如需）</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.授权委托证明（如需）</w:t>
      </w:r>
    </w:p>
    <w:p>
      <w:pPr>
        <w:adjustRightInd w:val="0"/>
        <w:snapToGrid w:val="0"/>
        <w:ind w:firstLine="720" w:firstLineChars="300"/>
        <w:jc w:val="both"/>
        <w:rPr>
          <w:rFonts w:ascii="宋体" w:hAnsi="宋体" w:cs="宋体"/>
          <w:b w:val="0"/>
          <w:bCs w:val="0"/>
          <w:color w:val="auto"/>
          <w:sz w:val="24"/>
          <w:szCs w:val="24"/>
          <w:highlight w:val="none"/>
        </w:rPr>
      </w:pPr>
    </w:p>
    <w:p>
      <w:pPr>
        <w:spacing w:line="384" w:lineRule="auto"/>
        <w:ind w:firstLine="720" w:firstLineChars="300"/>
        <w:rPr>
          <w:rFonts w:hint="default" w:ascii="宋体" w:hAnsi="宋体" w:eastAsia="宋体" w:cs="宋体"/>
          <w:b w:val="0"/>
          <w:bCs w:val="0"/>
          <w:color w:val="auto"/>
          <w:sz w:val="24"/>
          <w:highlight w:val="none"/>
          <w:lang w:val="en-US" w:eastAsia="zh-CN"/>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bookmarkStart w:id="112" w:name="_Toc389815031"/>
      <w:bookmarkStart w:id="113" w:name="_Toc389815339"/>
      <w:bookmarkStart w:id="114" w:name="_Toc387080836"/>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tbl>
      <w:tblPr>
        <w:tblStyle w:val="22"/>
        <w:tblpPr w:leftFromText="180" w:rightFromText="180" w:vertAnchor="text" w:horzAnchor="page" w:tblpX="225" w:tblpY="58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5"/>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p>
    <w:p>
      <w:pPr>
        <w:spacing w:line="360" w:lineRule="auto"/>
        <w:rPr>
          <w:rFonts w:ascii="宋体" w:hAnsi="宋体" w:cs="宋体"/>
          <w:color w:val="auto"/>
          <w:sz w:val="24"/>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工程量报价</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：项目投入人员架构表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adjustRightInd/>
        <w:snapToGrid/>
        <w:spacing w:beforeLines="-2147483648" w:afterLines="-2147483648" w:line="240" w:lineRule="auto"/>
        <w:ind w:firstLine="645"/>
        <w:jc w:val="left"/>
        <w:rPr>
          <w:rFonts w:ascii="方正小标宋简体" w:eastAsia="方正小标宋简体"/>
          <w:color w:val="auto"/>
          <w:sz w:val="44"/>
          <w:szCs w:val="4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ind w:firstLine="3960" w:firstLineChars="900"/>
        <w:jc w:val="both"/>
        <w:rPr>
          <w:color w:val="auto"/>
          <w:highlight w:val="none"/>
        </w:rPr>
      </w:pPr>
      <w:bookmarkStart w:id="116" w:name="_Toc23515"/>
      <w:bookmarkStart w:id="117" w:name="_Toc3723"/>
      <w:bookmarkStart w:id="118" w:name="_Toc28358"/>
      <w:bookmarkStart w:id="119" w:name="_Toc16552"/>
      <w:bookmarkStart w:id="120" w:name="_Toc30824"/>
      <w:bookmarkStart w:id="121" w:name="_Toc6230"/>
      <w:bookmarkStart w:id="122" w:name="_Toc12169"/>
      <w:bookmarkStart w:id="123" w:name="_Toc1563"/>
      <w:bookmarkStart w:id="124" w:name="_Toc5129"/>
      <w:bookmarkStart w:id="125" w:name="_Toc21847"/>
      <w:bookmarkStart w:id="126" w:name="_Toc8147"/>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5"/>
        <w:rPr>
          <w:color w:val="auto"/>
          <w:highlight w:val="none"/>
        </w:rPr>
      </w:pPr>
    </w:p>
    <w:p>
      <w:pPr>
        <w:pStyle w:val="4"/>
        <w:rPr>
          <w:color w:val="auto"/>
          <w:highlight w:val="none"/>
        </w:rPr>
      </w:pPr>
      <w:bookmarkStart w:id="127" w:name="_Toc31564"/>
      <w:bookmarkStart w:id="128" w:name="_Toc88209951"/>
      <w:bookmarkStart w:id="129" w:name="_Toc24490"/>
      <w:bookmarkStart w:id="130" w:name="_Toc12769"/>
      <w:bookmarkStart w:id="131" w:name="_Toc30157"/>
      <w:bookmarkStart w:id="132" w:name="_Toc5342"/>
      <w:bookmarkStart w:id="133" w:name="_Toc87616388"/>
      <w:bookmarkStart w:id="134" w:name="_Toc24815"/>
      <w:bookmarkStart w:id="135" w:name="_Toc12610"/>
      <w:bookmarkStart w:id="136" w:name="_Toc22764"/>
      <w:bookmarkStart w:id="137" w:name="_Toc17119"/>
      <w:bookmarkStart w:id="138" w:name="_Toc21675"/>
      <w:bookmarkStart w:id="139" w:name="_Toc10840"/>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46" w:name="_Toc6313"/>
      <w:bookmarkStart w:id="147" w:name="_Toc28619645"/>
      <w:bookmarkStart w:id="148" w:name="_Toc12665"/>
      <w:bookmarkStart w:id="149" w:name="_Toc87616394"/>
      <w:bookmarkStart w:id="150" w:name="_Toc88209957"/>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1" w:name="_Toc87616395"/>
      <w:bookmarkStart w:id="152" w:name="_Toc29833"/>
      <w:bookmarkStart w:id="153" w:name="_Toc88209958"/>
      <w:bookmarkStart w:id="15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8209963"/>
      <w:bookmarkStart w:id="156" w:name="_Toc19830"/>
      <w:bookmarkStart w:id="157" w:name="_Toc87616400"/>
      <w:bookmarkStart w:id="15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广州市净水有限公司石井净分公司一期厂区盖板防腐项目（第二次）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6"/>
        </w:numPr>
        <w:rPr>
          <w:rFonts w:hint="default" w:eastAsiaTheme="minorEastAsia"/>
          <w:color w:val="auto"/>
          <w:highlight w:val="none"/>
          <w:lang w:val="en-US" w:eastAsia="zh-CN"/>
        </w:rPr>
      </w:pPr>
      <w:bookmarkStart w:id="160" w:name="_Toc19423"/>
      <w:bookmarkStart w:id="161" w:name="_Toc32430"/>
      <w:r>
        <w:rPr>
          <w:rFonts w:hint="eastAsia" w:asciiTheme="minorEastAsia" w:hAnsiTheme="minorEastAsia" w:eastAsiaTheme="minorEastAsia"/>
          <w:color w:val="auto"/>
          <w:sz w:val="28"/>
          <w:szCs w:val="28"/>
          <w:highlight w:val="none"/>
        </w:rPr>
        <w:t>报价表</w:t>
      </w:r>
      <w:bookmarkEnd w:id="160"/>
      <w:bookmarkEnd w:id="161"/>
    </w:p>
    <w:p>
      <w:pPr>
        <w:rPr>
          <w:rFonts w:hint="default" w:eastAsiaTheme="minorEastAsia"/>
          <w:b/>
          <w:bCs/>
          <w:color w:val="auto"/>
          <w:highlight w:val="none"/>
          <w:lang w:val="en-US" w:eastAsia="zh-CN"/>
        </w:rPr>
      </w:pPr>
      <w:r>
        <w:rPr>
          <w:rFonts w:hint="eastAsia" w:asciiTheme="minorEastAsia" w:hAnsiTheme="minorEastAsia"/>
          <w:b/>
          <w:bCs/>
          <w:color w:val="auto"/>
          <w:sz w:val="28"/>
          <w:szCs w:val="28"/>
          <w:highlight w:val="none"/>
          <w:lang w:val="en-US" w:eastAsia="zh-CN"/>
        </w:rPr>
        <w:t>参照工程清单</w:t>
      </w:r>
    </w:p>
    <w:tbl>
      <w:tblPr>
        <w:tblStyle w:val="22"/>
        <w:tblpPr w:leftFromText="180" w:rightFromText="180" w:vertAnchor="text" w:horzAnchor="page" w:tblpX="967" w:tblpY="93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12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粤010609001001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钢结构构件除锈</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 中锈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2.除锈级别:砂纸人工除锈、砂轮机除锈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3.按设计要求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机喷防锈漆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1.构件名称:金属面机喷防锈漆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2.油漆品种、刷漆遍数:机喷红丹环氧防锈漆二遍、机喷环氧磁漆二遍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金属面油漆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1.构件名称:金属面油漆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2.油漆品种、刷漆遍数:环氧富锌漆二遍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5576.72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揭、盖盖板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1.池盖揭盖</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1863.69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011405001004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手喷漆喷字</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1.红色</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041102040001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盖板揭盖使用起重设备</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1.部分盖板较重，需临时使用起重设备吊装，10T内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041106001002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1.通风、0.75kw、约5000㎥/h</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tbl>
      <w:tblPr>
        <w:tblStyle w:val="22"/>
        <w:tblpPr w:leftFromText="180" w:rightFromText="180" w:vertAnchor="text" w:horzAnchor="page" w:tblpX="982" w:tblpY="208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500"/>
        <w:gridCol w:w="585"/>
        <w:gridCol w:w="225"/>
        <w:gridCol w:w="1005"/>
        <w:gridCol w:w="585"/>
        <w:gridCol w:w="405"/>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38986.58</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WMGDZJF00001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011707002001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GGCSF0000001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4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815" w:type="dxa"/>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2595"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pPr w:leftFromText="180" w:rightFromText="180" w:vertAnchor="text" w:horzAnchor="page" w:tblpX="982" w:tblpY="616"/>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3960"/>
        <w:gridCol w:w="1035"/>
        <w:gridCol w:w="930"/>
        <w:gridCol w:w="885"/>
        <w:gridCol w:w="76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9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9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9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pPr w:leftFromText="180" w:rightFromText="180" w:vertAnchor="text" w:horzAnchor="page" w:tblpX="937" w:tblpY="547"/>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30"/>
        <w:gridCol w:w="108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工程名称：广州市净水有限公司石井净分公司一期厂区盖板防腐项目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441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2" w:name="_Toc87616402"/>
      <w:bookmarkStart w:id="163" w:name="_Toc16386"/>
      <w:bookmarkStart w:id="164" w:name="_Toc88209965"/>
      <w:bookmarkStart w:id="16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59D3729"/>
    <w:multiLevelType w:val="singleLevel"/>
    <w:tmpl w:val="659D3729"/>
    <w:lvl w:ilvl="0" w:tentative="0">
      <w:start w:val="1"/>
      <w:numFmt w:val="decimalEnclosedCircleChinese"/>
      <w:suff w:val="nothing"/>
      <w:lvlText w:val="%1　"/>
      <w:lvlJc w:val="left"/>
      <w:pPr>
        <w:ind w:left="0" w:firstLine="400"/>
      </w:pPr>
      <w:rPr>
        <w:rFonts w:hint="eastAsia"/>
      </w:rPr>
    </w:lvl>
  </w:abstractNum>
  <w:abstractNum w:abstractNumId="4">
    <w:nsid w:val="67E95946"/>
    <w:multiLevelType w:val="singleLevel"/>
    <w:tmpl w:val="67E95946"/>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180F3E"/>
    <w:rsid w:val="013E3461"/>
    <w:rsid w:val="02090C75"/>
    <w:rsid w:val="02A23A3C"/>
    <w:rsid w:val="035D130A"/>
    <w:rsid w:val="039110A9"/>
    <w:rsid w:val="03AC246A"/>
    <w:rsid w:val="03B23056"/>
    <w:rsid w:val="03DC3EBA"/>
    <w:rsid w:val="03F36308"/>
    <w:rsid w:val="03F9794D"/>
    <w:rsid w:val="046A2461"/>
    <w:rsid w:val="051C2970"/>
    <w:rsid w:val="060C3611"/>
    <w:rsid w:val="06C64829"/>
    <w:rsid w:val="070E7B6E"/>
    <w:rsid w:val="077D16D2"/>
    <w:rsid w:val="078651DD"/>
    <w:rsid w:val="07C65FB4"/>
    <w:rsid w:val="082A69F3"/>
    <w:rsid w:val="08675FC8"/>
    <w:rsid w:val="09B713FD"/>
    <w:rsid w:val="09EF6ACC"/>
    <w:rsid w:val="0A315056"/>
    <w:rsid w:val="0AA213B4"/>
    <w:rsid w:val="0AD2452B"/>
    <w:rsid w:val="0AF61C7E"/>
    <w:rsid w:val="0AFB45AD"/>
    <w:rsid w:val="0B351E9B"/>
    <w:rsid w:val="0B4C50D3"/>
    <w:rsid w:val="0B806B92"/>
    <w:rsid w:val="0B827E94"/>
    <w:rsid w:val="0B842F76"/>
    <w:rsid w:val="0BD070E1"/>
    <w:rsid w:val="0C247926"/>
    <w:rsid w:val="0CE502FC"/>
    <w:rsid w:val="0D794204"/>
    <w:rsid w:val="0E2125D1"/>
    <w:rsid w:val="0E214211"/>
    <w:rsid w:val="0E5F2769"/>
    <w:rsid w:val="0E6F08E2"/>
    <w:rsid w:val="0F4D75A3"/>
    <w:rsid w:val="0F5B2DCA"/>
    <w:rsid w:val="0F94520C"/>
    <w:rsid w:val="0FED051E"/>
    <w:rsid w:val="0FEE4C29"/>
    <w:rsid w:val="10031608"/>
    <w:rsid w:val="10046082"/>
    <w:rsid w:val="104974DD"/>
    <w:rsid w:val="111703D2"/>
    <w:rsid w:val="112B101A"/>
    <w:rsid w:val="119B53FC"/>
    <w:rsid w:val="1215733B"/>
    <w:rsid w:val="12424CDC"/>
    <w:rsid w:val="129A2738"/>
    <w:rsid w:val="12B56BF1"/>
    <w:rsid w:val="12BF3085"/>
    <w:rsid w:val="12CB1A89"/>
    <w:rsid w:val="12FE0C9D"/>
    <w:rsid w:val="131840FB"/>
    <w:rsid w:val="13467417"/>
    <w:rsid w:val="136E76CF"/>
    <w:rsid w:val="145F08C6"/>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D0E6976"/>
    <w:rsid w:val="1D5A79EE"/>
    <w:rsid w:val="1E0E2CD0"/>
    <w:rsid w:val="1E831280"/>
    <w:rsid w:val="1EBC4704"/>
    <w:rsid w:val="1F172EB5"/>
    <w:rsid w:val="1F6E6D26"/>
    <w:rsid w:val="1F94592D"/>
    <w:rsid w:val="1FB860DE"/>
    <w:rsid w:val="203C5A02"/>
    <w:rsid w:val="209D4C94"/>
    <w:rsid w:val="20E84705"/>
    <w:rsid w:val="218400BA"/>
    <w:rsid w:val="219C5B87"/>
    <w:rsid w:val="21AB1E2F"/>
    <w:rsid w:val="21D40498"/>
    <w:rsid w:val="22767047"/>
    <w:rsid w:val="23A05588"/>
    <w:rsid w:val="240476A1"/>
    <w:rsid w:val="24F41BDB"/>
    <w:rsid w:val="25431AEB"/>
    <w:rsid w:val="25BE3BFB"/>
    <w:rsid w:val="25BF43FD"/>
    <w:rsid w:val="25F86BCD"/>
    <w:rsid w:val="2605748B"/>
    <w:rsid w:val="264544A6"/>
    <w:rsid w:val="269E416A"/>
    <w:rsid w:val="26C11C6B"/>
    <w:rsid w:val="272100D3"/>
    <w:rsid w:val="272C72FC"/>
    <w:rsid w:val="275131CB"/>
    <w:rsid w:val="27EB149D"/>
    <w:rsid w:val="27FD3E52"/>
    <w:rsid w:val="2816734A"/>
    <w:rsid w:val="28E11370"/>
    <w:rsid w:val="294A756A"/>
    <w:rsid w:val="29781BF8"/>
    <w:rsid w:val="29C33ED0"/>
    <w:rsid w:val="29D5322D"/>
    <w:rsid w:val="2A025DD9"/>
    <w:rsid w:val="2A2619CB"/>
    <w:rsid w:val="2A7C2231"/>
    <w:rsid w:val="2ABB753D"/>
    <w:rsid w:val="2AFE6EC4"/>
    <w:rsid w:val="2B7A49FA"/>
    <w:rsid w:val="2C615D26"/>
    <w:rsid w:val="2CB679ED"/>
    <w:rsid w:val="2D173C07"/>
    <w:rsid w:val="2D424A86"/>
    <w:rsid w:val="2DDA66B7"/>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50E404B"/>
    <w:rsid w:val="35C27DD4"/>
    <w:rsid w:val="360B7EBA"/>
    <w:rsid w:val="36416867"/>
    <w:rsid w:val="369C32FD"/>
    <w:rsid w:val="36F25527"/>
    <w:rsid w:val="37666E72"/>
    <w:rsid w:val="37C23C82"/>
    <w:rsid w:val="38081EA3"/>
    <w:rsid w:val="38167A04"/>
    <w:rsid w:val="381C3783"/>
    <w:rsid w:val="394B167A"/>
    <w:rsid w:val="39DA2868"/>
    <w:rsid w:val="3A055F4B"/>
    <w:rsid w:val="3A4E4336"/>
    <w:rsid w:val="3A6007FE"/>
    <w:rsid w:val="3ABC04B8"/>
    <w:rsid w:val="3AF93D6C"/>
    <w:rsid w:val="3B7C2CE4"/>
    <w:rsid w:val="3BAF716B"/>
    <w:rsid w:val="3C0B5355"/>
    <w:rsid w:val="3CD4176B"/>
    <w:rsid w:val="3D1F44D9"/>
    <w:rsid w:val="3D5C38CD"/>
    <w:rsid w:val="3E5070F1"/>
    <w:rsid w:val="3EC370CB"/>
    <w:rsid w:val="3F4A102E"/>
    <w:rsid w:val="3F571EF6"/>
    <w:rsid w:val="3F6C3589"/>
    <w:rsid w:val="3F850180"/>
    <w:rsid w:val="3F9004D6"/>
    <w:rsid w:val="400E4D5E"/>
    <w:rsid w:val="40E1138C"/>
    <w:rsid w:val="413814BA"/>
    <w:rsid w:val="41872511"/>
    <w:rsid w:val="41DF1251"/>
    <w:rsid w:val="424236D9"/>
    <w:rsid w:val="42466655"/>
    <w:rsid w:val="42C82F57"/>
    <w:rsid w:val="435707E5"/>
    <w:rsid w:val="43C76AF7"/>
    <w:rsid w:val="43E97E4A"/>
    <w:rsid w:val="446828F0"/>
    <w:rsid w:val="44E73A68"/>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005572"/>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48787F"/>
    <w:rsid w:val="4EF0709E"/>
    <w:rsid w:val="4F0469A4"/>
    <w:rsid w:val="50540C73"/>
    <w:rsid w:val="513C6A7B"/>
    <w:rsid w:val="532D486F"/>
    <w:rsid w:val="5333545B"/>
    <w:rsid w:val="538D0E89"/>
    <w:rsid w:val="5450213C"/>
    <w:rsid w:val="54D24048"/>
    <w:rsid w:val="54D64CD5"/>
    <w:rsid w:val="55887D69"/>
    <w:rsid w:val="561A0928"/>
    <w:rsid w:val="56423872"/>
    <w:rsid w:val="569E06BC"/>
    <w:rsid w:val="56B279F0"/>
    <w:rsid w:val="56F20F86"/>
    <w:rsid w:val="579D710E"/>
    <w:rsid w:val="581F22F6"/>
    <w:rsid w:val="586E1E17"/>
    <w:rsid w:val="58862C35"/>
    <w:rsid w:val="58C14957"/>
    <w:rsid w:val="58CC23D2"/>
    <w:rsid w:val="58E66050"/>
    <w:rsid w:val="5AE83A50"/>
    <w:rsid w:val="5AFF028B"/>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633F61"/>
    <w:rsid w:val="6189617B"/>
    <w:rsid w:val="61B52BB6"/>
    <w:rsid w:val="61B749C2"/>
    <w:rsid w:val="62280D20"/>
    <w:rsid w:val="62CA2457"/>
    <w:rsid w:val="638240A1"/>
    <w:rsid w:val="63833423"/>
    <w:rsid w:val="63A5257B"/>
    <w:rsid w:val="63BD3DCC"/>
    <w:rsid w:val="63C61741"/>
    <w:rsid w:val="64560967"/>
    <w:rsid w:val="656B1D10"/>
    <w:rsid w:val="65AE1BCE"/>
    <w:rsid w:val="65B841F9"/>
    <w:rsid w:val="66022B28"/>
    <w:rsid w:val="664A38E2"/>
    <w:rsid w:val="66581E87"/>
    <w:rsid w:val="66FA11D5"/>
    <w:rsid w:val="674302C7"/>
    <w:rsid w:val="680A5986"/>
    <w:rsid w:val="680D5F4B"/>
    <w:rsid w:val="68113F51"/>
    <w:rsid w:val="68784304"/>
    <w:rsid w:val="68E94770"/>
    <w:rsid w:val="68F949C9"/>
    <w:rsid w:val="695A4290"/>
    <w:rsid w:val="6A334932"/>
    <w:rsid w:val="6A3353FF"/>
    <w:rsid w:val="6A5D63E6"/>
    <w:rsid w:val="6A5F24D1"/>
    <w:rsid w:val="6ACA70C4"/>
    <w:rsid w:val="6AE347EB"/>
    <w:rsid w:val="6B330365"/>
    <w:rsid w:val="6B434AF0"/>
    <w:rsid w:val="6B57675A"/>
    <w:rsid w:val="6B87098A"/>
    <w:rsid w:val="6BDD7B4D"/>
    <w:rsid w:val="6BE41873"/>
    <w:rsid w:val="6DBD1BED"/>
    <w:rsid w:val="6E606C6A"/>
    <w:rsid w:val="6EBC0B3A"/>
    <w:rsid w:val="6EF51C7D"/>
    <w:rsid w:val="6F8363E5"/>
    <w:rsid w:val="6FA80CCD"/>
    <w:rsid w:val="6FAC3CC5"/>
    <w:rsid w:val="6FC746F5"/>
    <w:rsid w:val="70317AC6"/>
    <w:rsid w:val="704B26F7"/>
    <w:rsid w:val="70697B21"/>
    <w:rsid w:val="70863262"/>
    <w:rsid w:val="708732A7"/>
    <w:rsid w:val="70A76ED3"/>
    <w:rsid w:val="70D43527"/>
    <w:rsid w:val="71860B17"/>
    <w:rsid w:val="71F7506D"/>
    <w:rsid w:val="723B27CC"/>
    <w:rsid w:val="72687227"/>
    <w:rsid w:val="72A03FD9"/>
    <w:rsid w:val="72F80E51"/>
    <w:rsid w:val="73406CFF"/>
    <w:rsid w:val="7383028C"/>
    <w:rsid w:val="73A25E44"/>
    <w:rsid w:val="73FE0302"/>
    <w:rsid w:val="741F68CF"/>
    <w:rsid w:val="75252DF3"/>
    <w:rsid w:val="75621536"/>
    <w:rsid w:val="75776AEA"/>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CAE4222"/>
    <w:rsid w:val="7D133243"/>
    <w:rsid w:val="7D945420"/>
    <w:rsid w:val="7E394207"/>
    <w:rsid w:val="7E4007A2"/>
    <w:rsid w:val="7E791CAD"/>
    <w:rsid w:val="7E9A0D65"/>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28167</Words>
  <Characters>29926</Characters>
  <Lines>300</Lines>
  <Paragraphs>84</Paragraphs>
  <TotalTime>7</TotalTime>
  <ScaleCrop>false</ScaleCrop>
  <LinksUpToDate>false</LinksUpToDate>
  <CharactersWithSpaces>31978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2022-10-12T07:40:13Z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F8B186FC578149E4AF7DD9F978844375</vt:lpwstr>
  </property>
</Properties>
</file>