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广州市净水有限公司猎德分公司2022年四期生化池搅拌机叶轮及</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导架采购项目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pStyle w:val="2"/>
        <w:rPr>
          <w:color w:val="auto"/>
          <w:highlight w:val="none"/>
        </w:rPr>
      </w:pPr>
    </w:p>
    <w:p>
      <w:pPr>
        <w:pStyle w:val="39"/>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18145"/>
      <w:bookmarkStart w:id="1" w:name="_Toc26148"/>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31938"/>
      <w:bookmarkStart w:id="5" w:name="_Toc11322"/>
      <w:bookmarkStart w:id="6" w:name="_Toc19609"/>
      <w:bookmarkStart w:id="7" w:name="_Toc7519"/>
      <w:bookmarkStart w:id="8" w:name="_Toc4275"/>
      <w:bookmarkStart w:id="9" w:name="_Toc17801"/>
      <w:bookmarkStart w:id="10" w:name="_Toc1669"/>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2118360</wp:posOffset>
                </wp:positionH>
                <wp:positionV relativeFrom="paragraph">
                  <wp:posOffset>483870</wp:posOffset>
                </wp:positionV>
                <wp:extent cx="958850" cy="0"/>
                <wp:effectExtent l="5715" t="6985" r="6985" b="12065"/>
                <wp:wrapNone/>
                <wp:docPr id="30"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66.8pt;margin-top:38.1pt;height:0pt;width:75.5pt;z-index:251673600;mso-width-relative:page;mso-height-relative:page;" filled="f" stroked="t" coordsize="21600,21600" o:gfxdata="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NZo/21wAAAAkBAAAPAAAAAAAAAAEAIAAA&#10;ACIAAABkcnMvZG93bnJldi54bWxQSwECFAAUAAAACACHTuJABcmpp9QBAACzAwAADgAAAAAAAAAB&#10;ACAAAAAmAQAAZHJzL2Uyb0RvYy54bWxQSwUGAAAAAAYABgBZAQAAb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2094230</wp:posOffset>
                </wp:positionH>
                <wp:positionV relativeFrom="paragraph">
                  <wp:posOffset>20955</wp:posOffset>
                </wp:positionV>
                <wp:extent cx="958850" cy="0"/>
                <wp:effectExtent l="13335" t="7620" r="8890" b="11430"/>
                <wp:wrapNone/>
                <wp:docPr id="29"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64.9pt;margin-top:1.65pt;height:0pt;width:75.5pt;z-index:251672576;mso-width-relative:page;mso-height-relative:page;" filled="f" stroked="t" coordsize="21600,21600" o:gfxdata="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u8QnZ1AAAAAcBAAAPAAAAAAAAAAEAIAAAACIA&#10;AABkcnMvZG93bnJldi54bWxQSwECFAAUAAAACACHTuJAkqGveNQBAACzAwAADgAAAAAAAAABACAA&#10;AAAjAQAAZHJzL2Uyb0RvYy54bWxQSwUGAAAAAAYABgBZAQAAaQ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4"/>
        <w:rPr>
          <w:color w:val="auto"/>
          <w:highlight w:val="none"/>
        </w:rPr>
      </w:pPr>
      <w:bookmarkStart w:id="11" w:name="_Toc10122"/>
      <w:bookmarkStart w:id="12" w:name="_Toc999"/>
      <w:bookmarkStart w:id="13" w:name="_Toc14238"/>
      <w:bookmarkStart w:id="14" w:name="_Toc26363"/>
      <w:bookmarkStart w:id="15" w:name="_Toc15709"/>
      <w:bookmarkStart w:id="16" w:name="_Toc28995"/>
      <w:bookmarkStart w:id="17" w:name="_Toc30989"/>
      <w:bookmarkStart w:id="18" w:name="_Toc8201"/>
      <w:bookmarkStart w:id="19" w:name="_Toc30131"/>
      <w:bookmarkStart w:id="20" w:name="_Toc88209924"/>
      <w:bookmarkStart w:id="21" w:name="_Toc5230"/>
      <w:bookmarkStart w:id="22" w:name="_Toc265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90" w:beforeLines="50" w:after="19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spacing w:line="600" w:lineRule="exact"/>
        <w:rPr>
          <w:color w:val="auto"/>
          <w:highlight w:val="none"/>
        </w:rPr>
      </w:pPr>
      <w:bookmarkStart w:id="23" w:name="_Toc21373"/>
      <w:bookmarkStart w:id="24" w:name="_Toc9680"/>
      <w:r>
        <w:rPr>
          <w:rFonts w:hint="eastAsia"/>
          <w:color w:val="auto"/>
          <w:highlight w:val="none"/>
          <w:u w:val="single"/>
        </w:rPr>
        <w:t>广州市净水有限公司猎德分公司2022年四期生化池搅拌机叶轮及导架采购项目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广州市净水有限公司猎德分公司2022年四期生化池搅拌机叶轮及导架采购项目</w:t>
      </w:r>
      <w:r>
        <w:rPr>
          <w:rFonts w:hint="eastAsia" w:ascii="仿宋_GB2312" w:eastAsia="仿宋_GB2312"/>
          <w:color w:val="auto"/>
          <w:sz w:val="28"/>
          <w:szCs w:val="28"/>
          <w:highlight w:val="none"/>
        </w:rPr>
        <w:t xml:space="preserve">已具备采购条件，现对该□施工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non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广州市净水有限公司猎德分公司2022年四期生化池搅拌机叶轮及导架采购项目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XJ-20221012-2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789000</w:t>
      </w:r>
      <w:r>
        <w:rPr>
          <w:rFonts w:hint="eastAsia" w:ascii="仿宋_GB2312" w:hAnsi="仿宋_GB2312" w:eastAsia="仿宋_GB2312" w:cs="仿宋_GB2312"/>
          <w:color w:val="auto"/>
          <w:sz w:val="28"/>
          <w:szCs w:val="28"/>
          <w:highlight w:val="none"/>
          <w:u w:val="single"/>
          <w:lang w:val="zh-CN"/>
        </w:rPr>
        <w:t>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autoSpaceDE w:val="0"/>
        <w:autoSpaceDN w:val="0"/>
        <w:spacing w:line="60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猎德分公司四期生化池共设置三座生化反应池，每座生化池分东、西两条生产线，每条生产线设有25台搅拌器，均为凯士比（KSB）Amamix C6328/A612UDG潜水搅拌器，本项目计划购置50套四期生化池搅拌机叶轮及导架等备件。清单如下：</w:t>
      </w:r>
    </w:p>
    <w:p>
      <w:pPr>
        <w:pStyle w:val="2"/>
        <w:rPr>
          <w:color w:val="auto"/>
          <w:highlight w:val="none"/>
        </w:rPr>
      </w:pPr>
    </w:p>
    <w:tbl>
      <w:tblPr>
        <w:tblStyle w:val="24"/>
        <w:tblW w:w="51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376"/>
        <w:gridCol w:w="3461"/>
        <w:gridCol w:w="906"/>
        <w:gridCol w:w="1580"/>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72"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序号</w:t>
            </w:r>
          </w:p>
        </w:tc>
        <w:tc>
          <w:tcPr>
            <w:tcW w:w="768"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备件名称</w:t>
            </w:r>
          </w:p>
        </w:tc>
        <w:tc>
          <w:tcPr>
            <w:tcW w:w="1932"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规格型号</w:t>
            </w:r>
          </w:p>
        </w:tc>
        <w:tc>
          <w:tcPr>
            <w:tcW w:w="506"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单位</w:t>
            </w:r>
          </w:p>
        </w:tc>
        <w:tc>
          <w:tcPr>
            <w:tcW w:w="882"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购置数量</w:t>
            </w:r>
          </w:p>
        </w:tc>
        <w:tc>
          <w:tcPr>
            <w:tcW w:w="438"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72"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1</w:t>
            </w:r>
          </w:p>
        </w:tc>
        <w:tc>
          <w:tcPr>
            <w:tcW w:w="768"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叶轮</w:t>
            </w:r>
          </w:p>
        </w:tc>
        <w:tc>
          <w:tcPr>
            <w:tcW w:w="1932" w:type="pct"/>
            <w:vAlign w:val="center"/>
          </w:tcPr>
          <w:p>
            <w:pPr>
              <w:autoSpaceDE w:val="0"/>
              <w:autoSpaceDN w:val="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可原装/可国产订制。</w:t>
            </w:r>
          </w:p>
        </w:tc>
        <w:tc>
          <w:tcPr>
            <w:tcW w:w="506"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个</w:t>
            </w:r>
          </w:p>
        </w:tc>
        <w:tc>
          <w:tcPr>
            <w:tcW w:w="882"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50</w:t>
            </w:r>
          </w:p>
        </w:tc>
        <w:tc>
          <w:tcPr>
            <w:tcW w:w="438" w:type="pct"/>
            <w:vAlign w:val="center"/>
          </w:tcPr>
          <w:p>
            <w:pPr>
              <w:autoSpaceDE w:val="0"/>
              <w:autoSpaceDN w:val="0"/>
              <w:ind w:firstLine="560" w:firstLineChars="200"/>
              <w:jc w:val="center"/>
              <w:rPr>
                <w:rFonts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72"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2</w:t>
            </w:r>
          </w:p>
        </w:tc>
        <w:tc>
          <w:tcPr>
            <w:tcW w:w="768"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导架</w:t>
            </w:r>
          </w:p>
        </w:tc>
        <w:tc>
          <w:tcPr>
            <w:tcW w:w="1932" w:type="pct"/>
            <w:vAlign w:val="center"/>
          </w:tcPr>
          <w:p>
            <w:pPr>
              <w:autoSpaceDE w:val="0"/>
              <w:autoSpaceDN w:val="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配合池内导杆尺寸，包含有尼龙内衬、导轮、垫条。</w:t>
            </w:r>
          </w:p>
          <w:p>
            <w:pPr>
              <w:autoSpaceDE w:val="0"/>
              <w:autoSpaceDN w:val="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可原装/可国产订制。</w:t>
            </w:r>
          </w:p>
          <w:p>
            <w:pPr>
              <w:autoSpaceDE w:val="0"/>
              <w:autoSpaceDN w:val="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304不锈钢材质。</w:t>
            </w:r>
          </w:p>
        </w:tc>
        <w:tc>
          <w:tcPr>
            <w:tcW w:w="506"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个</w:t>
            </w:r>
          </w:p>
        </w:tc>
        <w:tc>
          <w:tcPr>
            <w:tcW w:w="882"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50</w:t>
            </w:r>
          </w:p>
        </w:tc>
        <w:tc>
          <w:tcPr>
            <w:tcW w:w="438" w:type="pct"/>
            <w:vAlign w:val="center"/>
          </w:tcPr>
          <w:p>
            <w:pPr>
              <w:autoSpaceDE w:val="0"/>
              <w:autoSpaceDN w:val="0"/>
              <w:ind w:firstLine="560" w:firstLineChars="200"/>
              <w:jc w:val="center"/>
              <w:rPr>
                <w:rFonts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3</w:t>
            </w:r>
          </w:p>
        </w:tc>
        <w:tc>
          <w:tcPr>
            <w:tcW w:w="768"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吊架</w:t>
            </w:r>
          </w:p>
        </w:tc>
        <w:tc>
          <w:tcPr>
            <w:tcW w:w="1932" w:type="pct"/>
            <w:vAlign w:val="center"/>
          </w:tcPr>
          <w:p>
            <w:pPr>
              <w:autoSpaceDE w:val="0"/>
              <w:autoSpaceDN w:val="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可原装/可国产订制。</w:t>
            </w:r>
          </w:p>
          <w:p>
            <w:pPr>
              <w:autoSpaceDE w:val="0"/>
              <w:autoSpaceDN w:val="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304不锈钢材质。</w:t>
            </w:r>
          </w:p>
        </w:tc>
        <w:tc>
          <w:tcPr>
            <w:tcW w:w="506"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个</w:t>
            </w:r>
          </w:p>
        </w:tc>
        <w:tc>
          <w:tcPr>
            <w:tcW w:w="882" w:type="pct"/>
            <w:vAlign w:val="center"/>
          </w:tcPr>
          <w:p>
            <w:pPr>
              <w:autoSpaceDE w:val="0"/>
              <w:autoSpaceDN w:val="0"/>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50</w:t>
            </w:r>
          </w:p>
        </w:tc>
        <w:tc>
          <w:tcPr>
            <w:tcW w:w="438" w:type="pct"/>
            <w:vAlign w:val="center"/>
          </w:tcPr>
          <w:p>
            <w:pPr>
              <w:autoSpaceDE w:val="0"/>
              <w:autoSpaceDN w:val="0"/>
              <w:ind w:firstLine="560" w:firstLineChars="200"/>
              <w:jc w:val="center"/>
              <w:rPr>
                <w:rFonts w:ascii="仿宋_GB2312" w:hAnsi="仿宋_GB2312" w:eastAsia="仿宋_GB2312" w:cs="仿宋_GB2312"/>
                <w:color w:val="auto"/>
                <w:sz w:val="28"/>
                <w:szCs w:val="28"/>
                <w:highlight w:val="none"/>
                <w:lang w:val="zh-CN"/>
              </w:rPr>
            </w:pPr>
          </w:p>
        </w:tc>
      </w:tr>
    </w:tbl>
    <w:p>
      <w:pPr>
        <w:adjustRightInd w:val="0"/>
        <w:snapToGrid w:val="0"/>
        <w:spacing w:line="600" w:lineRule="exact"/>
        <w:ind w:firstLine="425" w:firstLineChars="152"/>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  45天</w:t>
      </w:r>
    </w:p>
    <w:p>
      <w:pPr>
        <w:pStyle w:val="2"/>
        <w:rPr>
          <w:color w:val="auto"/>
          <w:highlight w:val="none"/>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广州市净水有限公司猎德分公司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按合同条款和有关技术标准规范进行验收。使用的各种材料必须符合设计和有关技术标准规范要求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（2）供应商应当具备</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（3）2019年1月1日至今，供应商最少具有一项  污水厂生化池常用设备（如潜水轴流泵、搅拌器、排泥泵等）配件供货 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□（5）其他要求：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bookmarkStart w:id="208" w:name="_GoBack"/>
      <w:r>
        <w:rPr>
          <w:rFonts w:hint="eastAsia" w:ascii="仿宋_GB2312" w:eastAsia="仿宋_GB2312"/>
          <w:color w:val="auto"/>
          <w:sz w:val="28"/>
          <w:szCs w:val="28"/>
          <w:highlight w:val="none"/>
          <w:u w:val="none"/>
        </w:rPr>
        <w:t>不接受</w:t>
      </w:r>
      <w:bookmarkEnd w:id="208"/>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p>
    <w:p>
      <w:pPr>
        <w:adjustRightInd w:val="0"/>
        <w:snapToGrid w:val="0"/>
        <w:spacing w:line="360" w:lineRule="auto"/>
        <w:ind w:firstLine="560"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color w:val="auto"/>
          <w:sz w:val="28"/>
          <w:szCs w:val="28"/>
          <w:highlight w:val="none"/>
          <w:lang w:val="zh-CN"/>
        </w:rPr>
        <w:t>防疫要求：</w:t>
      </w:r>
      <w:r>
        <w:rPr>
          <w:rFonts w:hint="eastAsia" w:ascii="仿宋_GB2312" w:eastAsia="仿宋_GB2312"/>
          <w:color w:val="auto"/>
          <w:sz w:val="28"/>
          <w:szCs w:val="28"/>
          <w:highlight w:val="none"/>
        </w:rPr>
        <w:t>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r>
        <w:rPr>
          <w:rFonts w:hint="eastAsia" w:ascii="仿宋_GB2312" w:hAnsi="仿宋" w:eastAsia="仿宋_GB2312" w:cs="仿宋_GB2312"/>
          <w:color w:val="auto"/>
          <w:sz w:val="28"/>
          <w:szCs w:val="28"/>
          <w:highlight w:val="none"/>
          <w:lang w:val="zh-CN"/>
        </w:rPr>
        <w:t>。</w:t>
      </w:r>
    </w:p>
    <w:p>
      <w:pPr>
        <w:pStyle w:val="2"/>
        <w:ind w:firstLine="0"/>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踏勘现场联系人：胡工</w:t>
      </w:r>
    </w:p>
    <w:p>
      <w:pPr>
        <w:pStyle w:val="2"/>
        <w:ind w:firstLine="0"/>
        <w:rPr>
          <w:rFonts w:ascii="仿宋_GB2312" w:eastAsia="仿宋_GB2312" w:hAnsiTheme="minorHAnsi"/>
          <w:color w:val="auto"/>
          <w:sz w:val="28"/>
          <w:szCs w:val="28"/>
          <w:highlight w:val="none"/>
        </w:rPr>
      </w:pPr>
      <w:r>
        <w:rPr>
          <w:rFonts w:hint="eastAsia" w:ascii="仿宋_GB2312" w:eastAsia="仿宋_GB2312" w:hAnsiTheme="minorHAnsi" w:cstheme="minorBidi"/>
          <w:color w:val="auto"/>
          <w:kern w:val="2"/>
          <w:sz w:val="28"/>
          <w:szCs w:val="28"/>
          <w:highlight w:val="none"/>
        </w:rPr>
        <w:t>踏勘现场联系人联系方式：13560224690</w:t>
      </w:r>
    </w:p>
    <w:p>
      <w:pPr>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踏勘（答疑）集合时间：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分。                     </w:t>
      </w:r>
    </w:p>
    <w:p>
      <w:pPr>
        <w:adjustRightInd w:val="0"/>
        <w:snapToGrid w:val="0"/>
        <w:spacing w:line="600" w:lineRule="exact"/>
        <w:jc w:val="left"/>
        <w:rPr>
          <w:rFonts w:asciiTheme="minorEastAsia" w:hAnsiTheme="minorEastAsia"/>
          <w:b/>
          <w:color w:val="auto"/>
          <w:sz w:val="32"/>
          <w:szCs w:val="32"/>
          <w:highlight w:val="none"/>
        </w:rPr>
      </w:pPr>
      <w:r>
        <w:rPr>
          <w:rFonts w:hint="eastAsia" w:ascii="仿宋_GB2312" w:eastAsia="仿宋_GB2312"/>
          <w:color w:val="auto"/>
          <w:sz w:val="28"/>
          <w:szCs w:val="28"/>
          <w:highlight w:val="none"/>
        </w:rPr>
        <w:t>踏勘集中地点：</w:t>
      </w:r>
      <w:r>
        <w:rPr>
          <w:rFonts w:hint="eastAsia" w:ascii="仿宋_GB2312" w:eastAsia="仿宋_GB2312"/>
          <w:color w:val="auto"/>
          <w:sz w:val="28"/>
          <w:szCs w:val="28"/>
          <w:highlight w:val="none"/>
          <w:lang w:val="en-US" w:eastAsia="zh-CN"/>
        </w:rPr>
        <w:t>广州市天河区临江大道501号（广州市净水有限公司猎德分公司）</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基于目前疫情防控形势，我公司仅接受快递或自行送达形式递交响应文件，响应文件须于递交截止时间前送达，并放置于公司正门保安处，无需电话确认。</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3233"/>
        <w:gridCol w:w="4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pStyle w:val="2"/>
        <w:ind w:firstLine="0"/>
        <w:rPr>
          <w:color w:val="auto"/>
          <w:highlight w:val="none"/>
        </w:rPr>
      </w:pPr>
    </w:p>
    <w:p>
      <w:pPr>
        <w:adjustRightInd w:val="0"/>
        <w:snapToGrid w:val="0"/>
        <w:spacing w:before="190" w:beforeLines="50" w:after="19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ascii="仿宋_GB2312" w:eastAsia="仿宋_GB2312" w:hAnsiTheme="majorEastAsia"/>
          <w:color w:val="auto"/>
          <w:sz w:val="28"/>
          <w:szCs w:val="28"/>
          <w:highlight w:val="none"/>
        </w:rPr>
      </w:pPr>
    </w:p>
    <w:p>
      <w:pPr>
        <w:pStyle w:val="4"/>
        <w:rPr>
          <w:color w:val="auto"/>
          <w:highlight w:val="none"/>
        </w:rPr>
      </w:pPr>
      <w:bookmarkStart w:id="26" w:name="_Toc10891"/>
    </w:p>
    <w:p>
      <w:pPr>
        <w:pStyle w:val="4"/>
        <w:rPr>
          <w:color w:val="auto"/>
          <w:highlight w:val="none"/>
        </w:rPr>
      </w:pPr>
      <w:bookmarkStart w:id="27" w:name="_Toc2324"/>
      <w:bookmarkStart w:id="28" w:name="_Toc16557"/>
      <w:bookmarkStart w:id="29" w:name="_Toc9448"/>
      <w:bookmarkStart w:id="30" w:name="_Toc32588"/>
      <w:bookmarkStart w:id="31" w:name="_Toc7340"/>
      <w:bookmarkStart w:id="32" w:name="_Toc2331"/>
      <w:bookmarkStart w:id="33" w:name="_Toc25603"/>
      <w:bookmarkStart w:id="34" w:name="_Toc19295"/>
      <w:bookmarkStart w:id="35" w:name="_Toc23749"/>
      <w:bookmarkStart w:id="36" w:name="_Toc16705"/>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2277110</wp:posOffset>
                </wp:positionH>
                <wp:positionV relativeFrom="paragraph">
                  <wp:posOffset>483235</wp:posOffset>
                </wp:positionV>
                <wp:extent cx="958850" cy="0"/>
                <wp:effectExtent l="5715" t="8255" r="6985" b="10795"/>
                <wp:wrapNone/>
                <wp:docPr id="28"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79.3pt;margin-top:38.05pt;height:0pt;width:75.5pt;z-index:251675648;mso-width-relative:page;mso-height-relative:page;" filled="f" stroked="t" coordsize="21600,21600" o:gfxdata="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gsoVHXAAAACQEAAA8AAAAAAAAAAQAgAAAA&#10;IgAAAGRycy9kb3ducmV2LnhtbFBLAQIUABQAAAAIAIdO4kA2IdYy0wEAALMDAAAOAAAAAAAAAAEA&#10;IAAAACYBAABkcnMvZTJvRG9jLnhtbFBLBQYAAAAABgAGAFkBAABr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2268855</wp:posOffset>
                </wp:positionH>
                <wp:positionV relativeFrom="paragraph">
                  <wp:posOffset>92075</wp:posOffset>
                </wp:positionV>
                <wp:extent cx="958850" cy="0"/>
                <wp:effectExtent l="13335" t="8890" r="8890" b="10160"/>
                <wp:wrapNone/>
                <wp:docPr id="27"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78.65pt;margin-top:7.25pt;height:0pt;width:75.5pt;z-index:251674624;mso-width-relative:page;mso-height-relative:page;" filled="f" stroked="t" coordsize="21600,21600" o:gfxdata="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8j2x1wAAAAkBAAAPAAAAAAAAAAEAIAAA&#10;ACIAAABkcnMvZG93bnJldi54bWxQSwECFAAUAAAACACHTuJAiQCQPtQBAACzAwAADgAAAAAAAAAB&#10;ACAAAAAmAQAAZHJzL2Uyb0RvYy54bWxQSwUGAAAAAAYABgBZAQAAbA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第二章</w:t>
      </w:r>
      <w:bookmarkEnd w:id="26"/>
      <w:bookmarkEnd w:id="27"/>
      <w:bookmarkEnd w:id="28"/>
      <w:bookmarkEnd w:id="29"/>
      <w:bookmarkEnd w:id="30"/>
      <w:bookmarkEnd w:id="31"/>
      <w:bookmarkEnd w:id="32"/>
      <w:bookmarkEnd w:id="33"/>
      <w:bookmarkEnd w:id="34"/>
      <w:bookmarkEnd w:id="35"/>
      <w:bookmarkEnd w:id="36"/>
    </w:p>
    <w:p>
      <w:pPr>
        <w:pStyle w:val="5"/>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numPr>
          <w:ilvl w:val="-1"/>
          <w:numId w:val="0"/>
        </w:numPr>
        <w:adjustRightInd w:val="0"/>
        <w:snapToGrid w:val="0"/>
        <w:spacing w:before="190" w:beforeLines="50" w:after="190" w:afterLines="50" w:line="500" w:lineRule="exact"/>
        <w:ind w:left="-420" w:leftChars="-200" w:firstLine="320" w:firstLineChars="1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w:t>
      </w: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90" w:beforeLines="50" w:after="190"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39" w:name="_Toc21455"/>
      <w:bookmarkStart w:id="40" w:name="_Toc2867"/>
    </w:p>
    <w:p>
      <w:pPr>
        <w:pStyle w:val="5"/>
        <w:rPr>
          <w:rFonts w:asciiTheme="minorHAnsi" w:hAnsiTheme="minorHAnsi" w:cstheme="minorBidi"/>
          <w:color w:val="auto"/>
          <w:kern w:val="44"/>
          <w:sz w:val="44"/>
          <w:szCs w:val="44"/>
          <w:highlight w:val="none"/>
        </w:rPr>
      </w:pPr>
    </w:p>
    <w:p>
      <w:pPr>
        <w:pStyle w:val="5"/>
        <w:rPr>
          <w:color w:val="auto"/>
          <w:highlight w:val="none"/>
        </w:rPr>
      </w:pP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2262505</wp:posOffset>
                </wp:positionH>
                <wp:positionV relativeFrom="paragraph">
                  <wp:posOffset>428625</wp:posOffset>
                </wp:positionV>
                <wp:extent cx="958850" cy="0"/>
                <wp:effectExtent l="12065" t="13970" r="10160" b="5080"/>
                <wp:wrapNone/>
                <wp:docPr id="26"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78.15pt;margin-top:33.75pt;height:0pt;width:75.5pt;z-index:251663360;mso-width-relative:page;mso-height-relative:page;" filled="f" stroked="t" coordsize="21600,21600" o:gfxdata="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tpHzOymC8jzxL4cEhVossj9jpJrT&#10;NmGHWaE+haf4CPoXiQCbQYXelOTnc+TaWa6o/irJB4rMsh+/Qcs5ivGLWacOfYZkG8SpzOT8MhNz&#10;SkLz5efFcrngaelbqFL1rS4ipa8GvMibRlJCZfshbSAEHjzgrLCo4yOl3JWqbwWZNMCDda7M3wUx&#10;Zqb5ohQQONvmYE4j7Pcbh+Ko8gsqX5HIkddpCIfQXkhcuDqQRV/s20N73uHNGR5l6eb67PJbeX0u&#10;1X9+t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ch6kdcAAAAJAQAADwAAAAAAAAABACAAAAAi&#10;AAAAZHJzL2Rvd25yZXYueG1sUEsBAhQAFAAAAAgAh07iQJ4cj9jSAQAAsgMAAA4AAAAAAAAAAQAg&#10;AAAAJgEAAGRycy9lMm9Eb2MueG1sUEsFBgAAAAAGAAYAWQEAAGo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2261870</wp:posOffset>
                </wp:positionH>
                <wp:positionV relativeFrom="paragraph">
                  <wp:posOffset>34290</wp:posOffset>
                </wp:positionV>
                <wp:extent cx="958850" cy="0"/>
                <wp:effectExtent l="9525" t="12065" r="12700" b="6985"/>
                <wp:wrapNone/>
                <wp:docPr id="25"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78.1pt;margin-top:2.7pt;height:0pt;width:75.5pt;z-index:251662336;mso-width-relative:page;mso-height-relative:page;" filled="f" stroked="t" coordsize="21600,21600" o:gfxdata="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GFxDzUAAAABwEAAA8AAAAAAAAAAQAgAAAAIgAAAGRy&#10;cy9kb3ducmV2LnhtbFBLAQIUABQAAAAIAIdO4kCw3FwL0AEAALIDAAAOAAAAAAAAAAEAIAAAACMB&#10;AABkcnMvZTJvRG9jLnhtbFBLBQYAAAAABgAGAFkBAABl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第三章</w:t>
      </w:r>
      <w:bookmarkEnd w:id="39"/>
      <w:bookmarkEnd w:id="40"/>
    </w:p>
    <w:p>
      <w:pPr>
        <w:pStyle w:val="5"/>
        <w:rPr>
          <w:color w:val="auto"/>
          <w:highlight w:val="none"/>
        </w:rPr>
      </w:pPr>
      <w:bookmarkStart w:id="41" w:name="_Toc87616371"/>
      <w:bookmarkStart w:id="42" w:name="_Toc7040"/>
      <w:bookmarkStart w:id="43" w:name="_Toc88209934"/>
      <w:bookmarkStart w:id="44" w:name="_Toc7303"/>
      <w:r>
        <w:rPr>
          <w:rFonts w:hint="eastAsia"/>
          <w:color w:val="auto"/>
          <w:highlight w:val="none"/>
        </w:rPr>
        <w:t>采购方法</w:t>
      </w:r>
      <w:bookmarkEnd w:id="41"/>
      <w:bookmarkEnd w:id="42"/>
      <w:bookmarkEnd w:id="43"/>
      <w:bookmarkEnd w:id="44"/>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45" w:name="_Toc3156"/>
      <w:bookmarkStart w:id="46" w:name="_Toc14870"/>
      <w:bookmarkStart w:id="47" w:name="_Toc19759"/>
      <w:bookmarkStart w:id="48" w:name="_Toc7118"/>
      <w:bookmarkStart w:id="49" w:name="_Toc19050"/>
      <w:bookmarkStart w:id="50" w:name="_Toc23581"/>
      <w:bookmarkStart w:id="51" w:name="_Toc10930"/>
      <w:bookmarkStart w:id="52" w:name="_Toc4952"/>
      <w:bookmarkStart w:id="53" w:name="_Toc20594"/>
      <w:bookmarkStart w:id="54" w:name="_Toc14552"/>
      <w:bookmarkStart w:id="55"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9525" t="13970" r="12700" b="5080"/>
                <wp:wrapNone/>
                <wp:docPr id="24"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VmwvrXAAAACwEAAA8AAAAAAAAAAQAgAAAA&#10;IgAAAGRycy9kb3ducmV2LnhtbFBLAQIUABQAAAAIAIdO4kCJ5Kt+0wEAALIDAAAOAAAAAAAAAAEA&#10;IAAAACYBAABkcnMvZTJvRG9jLnhtbFBLBQYAAAAABgAGAFkBAABr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9525" t="12065" r="12700" b="6985"/>
                <wp:wrapNone/>
                <wp:docPr id="23"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8OuBDXAAAACQEAAA8AAAAAAAAAAQAgAAAA&#10;IgAAAGRycy9kb3ducmV2LnhtbFBLAQIUABQAAAAIAIdO4kD5bVvK0wEAALIDAAAOAAAAAAAAAAEA&#10;IAAAACYBAABkcnMvZTJvRG9jLnhtbFBLBQYAAAAABgAGAFkBAABr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第四章</w:t>
      </w:r>
      <w:bookmarkEnd w:id="45"/>
      <w:bookmarkEnd w:id="46"/>
      <w:bookmarkEnd w:id="47"/>
      <w:bookmarkEnd w:id="48"/>
      <w:bookmarkEnd w:id="49"/>
      <w:bookmarkEnd w:id="50"/>
      <w:bookmarkEnd w:id="51"/>
      <w:bookmarkEnd w:id="52"/>
      <w:bookmarkEnd w:id="53"/>
      <w:bookmarkEnd w:id="54"/>
      <w:bookmarkEnd w:id="55"/>
    </w:p>
    <w:p>
      <w:pPr>
        <w:pStyle w:val="4"/>
        <w:rPr>
          <w:color w:val="auto"/>
          <w:highlight w:val="none"/>
        </w:rPr>
      </w:pPr>
      <w:bookmarkStart w:id="56" w:name="_Toc87616378"/>
      <w:bookmarkStart w:id="57" w:name="_Toc6308"/>
      <w:bookmarkStart w:id="58" w:name="_Toc13898"/>
      <w:bookmarkStart w:id="59" w:name="_Toc29484"/>
      <w:bookmarkStart w:id="60" w:name="_Toc21840"/>
      <w:bookmarkStart w:id="61" w:name="_Toc21079"/>
      <w:bookmarkStart w:id="62" w:name="_Toc22212"/>
      <w:bookmarkStart w:id="63" w:name="_Toc32607"/>
      <w:bookmarkStart w:id="64" w:name="_Toc12177"/>
      <w:bookmarkStart w:id="65" w:name="_Toc88209941"/>
      <w:bookmarkStart w:id="66" w:name="_Toc30530"/>
      <w:bookmarkStart w:id="67" w:name="_Toc7831"/>
      <w:bookmarkStart w:id="68" w:name="_Toc29345"/>
      <w:r>
        <w:rPr>
          <w:rFonts w:hint="eastAsia"/>
          <w:color w:val="auto"/>
          <w:highlight w:val="none"/>
          <w:lang w:val="en-US" w:eastAsia="zh-CN"/>
        </w:rPr>
        <w:t xml:space="preserve"> </w:t>
      </w:r>
      <w:r>
        <w:rPr>
          <w:rFonts w:hint="eastAsia"/>
          <w:color w:val="auto"/>
          <w:highlight w:val="none"/>
        </w:rPr>
        <w:t>评审办法</w:t>
      </w:r>
      <w:bookmarkEnd w:id="56"/>
      <w:bookmarkEnd w:id="57"/>
      <w:bookmarkEnd w:id="58"/>
      <w:bookmarkEnd w:id="59"/>
      <w:bookmarkEnd w:id="60"/>
      <w:bookmarkEnd w:id="61"/>
      <w:bookmarkEnd w:id="62"/>
      <w:bookmarkEnd w:id="63"/>
      <w:bookmarkEnd w:id="64"/>
      <w:bookmarkEnd w:id="65"/>
      <w:bookmarkEnd w:id="66"/>
      <w:bookmarkEnd w:id="67"/>
      <w:bookmarkEnd w:id="68"/>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69" w:name="_Toc23033"/>
      <w:bookmarkStart w:id="70" w:name="_Toc26826"/>
      <w:r>
        <w:rPr>
          <w:rFonts w:hint="eastAsia"/>
          <w:color w:val="auto"/>
          <w:highlight w:val="none"/>
        </w:rPr>
        <w:t>经评审的最低价法</w:t>
      </w:r>
      <w:bookmarkEnd w:id="69"/>
      <w:bookmarkEnd w:id="70"/>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1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04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27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11"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041"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279"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11" w:type="dxa"/>
            <w:vMerge w:val="continue"/>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27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11" w:type="dxa"/>
            <w:vMerge w:val="continue"/>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p>
            <w:pPr>
              <w:adjustRightInd w:val="0"/>
              <w:snapToGrid w:val="0"/>
              <w:jc w:val="center"/>
              <w:rPr>
                <w:rFonts w:ascii="仿宋_GB2312" w:eastAsia="仿宋_GB2312"/>
                <w:color w:val="auto"/>
                <w:sz w:val="24"/>
                <w:szCs w:val="24"/>
                <w:highlight w:val="none"/>
              </w:rPr>
            </w:pPr>
          </w:p>
        </w:tc>
        <w:tc>
          <w:tcPr>
            <w:tcW w:w="5279"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p>
            <w:pPr>
              <w:adjustRightInd w:val="0"/>
              <w:snapToGrid w:val="0"/>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1"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041"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279"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11" w:type="dxa"/>
            <w:vMerge w:val="continue"/>
            <w:vAlign w:val="center"/>
          </w:tcPr>
          <w:p>
            <w:pPr>
              <w:adjustRightInd w:val="0"/>
              <w:snapToGrid w:val="0"/>
              <w:jc w:val="center"/>
              <w:rPr>
                <w:rFonts w:ascii="仿宋_GB2312" w:eastAsia="仿宋_GB2312"/>
                <w:color w:val="auto"/>
                <w:sz w:val="24"/>
                <w:szCs w:val="24"/>
                <w:highlight w:val="none"/>
              </w:rPr>
            </w:pPr>
          </w:p>
        </w:tc>
        <w:tc>
          <w:tcPr>
            <w:tcW w:w="2041"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279"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1"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041"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279"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1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279"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1"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41"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279"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71" w:name="_Toc88209947"/>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2332355</wp:posOffset>
                </wp:positionH>
                <wp:positionV relativeFrom="paragraph">
                  <wp:posOffset>499745</wp:posOffset>
                </wp:positionV>
                <wp:extent cx="958850" cy="0"/>
                <wp:effectExtent l="5715" t="10795" r="6985" b="8255"/>
                <wp:wrapNone/>
                <wp:docPr id="14"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83.65pt;margin-top:39.35pt;height:0pt;width:75.5pt;z-index:251677696;mso-width-relative:page;mso-height-relative:page;" filled="f" stroked="t" coordsize="21600,21600" o:gfxdata="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Wrb1wAAAAkBAAAPAAAAAAAAAAEAIAAA&#10;ACIAAABkcnMvZG93bnJldi54bWxQSwECFAAUAAAACACHTuJAxsV2R9QBAACzAwAADgAAAAAAAAAB&#10;ACAAAAAmAQAAZHJzL2Uyb0RvYy54bWxQSwUGAAAAAAYABgBZAQAAb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13335" t="11430" r="8890" b="7620"/>
                <wp:wrapNone/>
                <wp:docPr id="12"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K2LetYAAAAJAQAADwAAAAAAAAABACAAAAAiAAAA&#10;ZHJzL2Rvd25yZXYueG1sUEsBAhQAFAAAAAgAh07iQCN9zOvQAQAAswMAAA4AAAAAAAAAAQAgAAAA&#10;JQEAAGRycy9lMm9Eb2MueG1sUEsFBgAAAAAGAAYAWQEAAGc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第五章</w:t>
      </w:r>
    </w:p>
    <w:p>
      <w:pPr>
        <w:pStyle w:val="5"/>
        <w:rPr>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pStyle w:val="5"/>
        <w:rPr>
          <w:color w:val="auto"/>
          <w:szCs w:val="44"/>
          <w:highlight w:val="none"/>
        </w:rPr>
      </w:pPr>
    </w:p>
    <w:p>
      <w:pPr>
        <w:rPr>
          <w:color w:val="auto"/>
          <w:szCs w:val="44"/>
          <w:highlight w:val="none"/>
        </w:rPr>
      </w:pPr>
    </w:p>
    <w:p>
      <w:pPr>
        <w:pStyle w:val="2"/>
        <w:rPr>
          <w:color w:val="auto"/>
          <w:highlight w:val="none"/>
        </w:rPr>
      </w:pPr>
    </w:p>
    <w:p>
      <w:pPr>
        <w:pStyle w:val="13"/>
        <w:numPr>
          <w:ilvl w:val="0"/>
          <w:numId w:val="3"/>
        </w:numPr>
        <w:adjustRightInd w:val="0"/>
        <w:snapToGrid w:val="0"/>
        <w:spacing w:line="360" w:lineRule="auto"/>
        <w:rPr>
          <w:rFonts w:ascii="仿宋" w:hAnsi="仿宋" w:eastAsia="仿宋" w:cs="仿宋_GB2312"/>
          <w:b/>
          <w:bCs/>
          <w:color w:val="auto"/>
          <w:kern w:val="0"/>
          <w:sz w:val="28"/>
          <w:szCs w:val="28"/>
          <w:highlight w:val="none"/>
        </w:rPr>
      </w:pPr>
      <w:r>
        <w:rPr>
          <w:rFonts w:hint="eastAsia" w:ascii="仿宋" w:hAnsi="仿宋" w:eastAsia="仿宋" w:cs="仿宋_GB2312"/>
          <w:b/>
          <w:bCs/>
          <w:color w:val="auto"/>
          <w:kern w:val="0"/>
          <w:sz w:val="28"/>
          <w:szCs w:val="28"/>
          <w:highlight w:val="none"/>
        </w:rPr>
        <w:t>项目内容及需求</w:t>
      </w:r>
    </w:p>
    <w:p>
      <w:pPr>
        <w:pStyle w:val="38"/>
        <w:autoSpaceDE w:val="0"/>
        <w:autoSpaceDN w:val="0"/>
        <w:spacing w:line="360" w:lineRule="auto"/>
        <w:ind w:firstLine="585" w:firstLineChars="20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猎德分公司四期生化池共设置三座生化反应池，每座生化池分东、西两条生产线，每条生产线设有25台搅拌器，均为凯士比（KSB）Amamix C6328/A612UDG潜水搅拌器，本项目计划购置50套四期生化池搅拌机叶轮及导架等备件。</w:t>
      </w:r>
    </w:p>
    <w:p>
      <w:pPr>
        <w:pStyle w:val="13"/>
        <w:adjustRightInd w:val="0"/>
        <w:snapToGrid w:val="0"/>
        <w:spacing w:line="300" w:lineRule="auto"/>
        <w:rPr>
          <w:rFonts w:ascii="仿宋" w:hAnsi="仿宋" w:eastAsia="仿宋" w:cs="仿宋"/>
          <w:color w:val="auto"/>
          <w:highlight w:val="none"/>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pStyle w:val="38"/>
        <w:autoSpaceDE w:val="0"/>
        <w:autoSpaceDN w:val="0"/>
        <w:spacing w:line="360" w:lineRule="auto"/>
        <w:ind w:firstLine="585" w:firstLineChars="209"/>
        <w:rPr>
          <w:rFonts w:ascii="仿宋_GB2312" w:hAnsi="仿宋" w:eastAsia="仿宋_GB2312" w:cs="宋体"/>
          <w:color w:val="auto"/>
          <w:kern w:val="0"/>
          <w:sz w:val="28"/>
          <w:szCs w:val="28"/>
          <w:highlight w:val="none"/>
        </w:rPr>
      </w:pPr>
      <w:r>
        <w:rPr>
          <w:rFonts w:hint="eastAsia" w:ascii="仿宋_GB2312" w:hAnsi="仿宋_GB2312" w:eastAsia="仿宋_GB2312" w:cs="仿宋_GB2312"/>
          <w:color w:val="auto"/>
          <w:sz w:val="28"/>
          <w:szCs w:val="28"/>
          <w:highlight w:val="none"/>
        </w:rPr>
        <w:t>本项目采购的叶轮须满足原凯士比</w:t>
      </w:r>
      <w:r>
        <w:rPr>
          <w:rFonts w:hint="eastAsia" w:ascii="仿宋_GB2312" w:hAnsi="仿宋" w:eastAsia="仿宋_GB2312" w:cs="宋体"/>
          <w:color w:val="auto"/>
          <w:kern w:val="0"/>
          <w:sz w:val="28"/>
          <w:szCs w:val="28"/>
          <w:highlight w:val="none"/>
        </w:rPr>
        <w:t>Amamix C6328/A612UDG潜水搅拌器的叶轮尺寸要求（见下图，如图纸与原产品有偏差，以原产品的尺寸为准），能在无需任何改造的前提下直接安装到搅拌器上使用，搅拌器叶轮动平衡的不平衡量不大于5g。叶轮的材质为不锈钢材质，在四期生化池池底运行的工况下不易锈蚀。</w:t>
      </w:r>
    </w:p>
    <w:p>
      <w:pPr>
        <w:pStyle w:val="38"/>
        <w:autoSpaceDE w:val="0"/>
        <w:autoSpaceDN w:val="0"/>
        <w:spacing w:line="360" w:lineRule="auto"/>
        <w:ind w:firstLine="438" w:firstLineChars="209"/>
        <w:rPr>
          <w:rFonts w:ascii="仿宋_GB2312" w:hAnsi="仿宋" w:eastAsia="仿宋_GB2312" w:cs="宋体"/>
          <w:color w:val="auto"/>
          <w:kern w:val="0"/>
          <w:sz w:val="28"/>
          <w:szCs w:val="28"/>
          <w:highlight w:val="none"/>
        </w:rPr>
      </w:pPr>
      <w:r>
        <w:rPr>
          <w:color w:val="auto"/>
          <w:highlight w:val="none"/>
        </w:rPr>
        <w:drawing>
          <wp:inline distT="0" distB="0" distL="114300" distR="114300">
            <wp:extent cx="5140325" cy="2978150"/>
            <wp:effectExtent l="0" t="0" r="3175" b="1270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140325" cy="2978150"/>
                    </a:xfrm>
                    <a:prstGeom prst="rect">
                      <a:avLst/>
                    </a:prstGeom>
                    <a:noFill/>
                    <a:ln>
                      <a:noFill/>
                    </a:ln>
                  </pic:spPr>
                </pic:pic>
              </a:graphicData>
            </a:graphic>
          </wp:inline>
        </w:drawing>
      </w:r>
    </w:p>
    <w:p>
      <w:pPr>
        <w:autoSpaceDE w:val="0"/>
        <w:autoSpaceDN w:val="0"/>
        <w:spacing w:line="360" w:lineRule="auto"/>
        <w:ind w:left="-567" w:leftChars="-270"/>
        <w:rPr>
          <w:rFonts w:ascii="仿宋_GB2312" w:hAnsi="仿宋_GB2312" w:eastAsia="仿宋_GB2312" w:cs="仿宋_GB2312"/>
          <w:color w:val="auto"/>
          <w:sz w:val="28"/>
          <w:szCs w:val="28"/>
          <w:highlight w:val="none"/>
        </w:rPr>
      </w:pPr>
      <w:r>
        <w:rPr>
          <w:rFonts w:hint="eastAsia"/>
          <w:color w:val="auto"/>
          <w:highlight w:val="none"/>
        </w:rPr>
        <w:drawing>
          <wp:inline distT="0" distB="0" distL="114300" distR="114300">
            <wp:extent cx="6257290" cy="3654425"/>
            <wp:effectExtent l="0" t="0" r="10160" b="3175"/>
            <wp:docPr id="9" name="图片 9" descr="四期搅拌器叶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四期搅拌器叶轮"/>
                    <pic:cNvPicPr>
                      <a:picLocks noChangeAspect="1"/>
                    </pic:cNvPicPr>
                  </pic:nvPicPr>
                  <pic:blipFill>
                    <a:blip r:embed="rId12"/>
                    <a:stretch>
                      <a:fillRect/>
                    </a:stretch>
                  </pic:blipFill>
                  <pic:spPr>
                    <a:xfrm>
                      <a:off x="0" y="0"/>
                      <a:ext cx="6257290" cy="3654425"/>
                    </a:xfrm>
                    <a:prstGeom prst="rect">
                      <a:avLst/>
                    </a:prstGeom>
                  </pic:spPr>
                </pic:pic>
              </a:graphicData>
            </a:graphic>
          </wp:inline>
        </w:drawing>
      </w:r>
    </w:p>
    <w:p>
      <w:pPr>
        <w:pStyle w:val="38"/>
        <w:autoSpaceDE w:val="0"/>
        <w:autoSpaceDN w:val="0"/>
        <w:spacing w:line="360" w:lineRule="auto"/>
        <w:ind w:firstLine="585" w:firstLineChars="209"/>
        <w:rPr>
          <w:rFonts w:ascii="仿宋_GB2312" w:hAnsi="仿宋" w:eastAsia="仿宋_GB2312" w:cs="宋体"/>
          <w:color w:val="auto"/>
          <w:kern w:val="0"/>
          <w:sz w:val="28"/>
          <w:szCs w:val="28"/>
          <w:highlight w:val="none"/>
        </w:rPr>
      </w:pPr>
      <w:r>
        <w:rPr>
          <w:rFonts w:hint="eastAsia" w:ascii="仿宋_GB2312" w:hAnsi="仿宋_GB2312" w:eastAsia="仿宋_GB2312" w:cs="仿宋_GB2312"/>
          <w:color w:val="auto"/>
          <w:sz w:val="28"/>
          <w:szCs w:val="28"/>
          <w:highlight w:val="none"/>
        </w:rPr>
        <w:t>导架、吊架备件须满足原设计标准，材质为304不锈钢。详细尺寸根据凯士比</w:t>
      </w:r>
      <w:r>
        <w:rPr>
          <w:rFonts w:hint="eastAsia" w:ascii="仿宋_GB2312" w:hAnsi="仿宋" w:eastAsia="仿宋_GB2312" w:cs="宋体"/>
          <w:color w:val="auto"/>
          <w:kern w:val="0"/>
          <w:sz w:val="28"/>
          <w:szCs w:val="28"/>
          <w:highlight w:val="none"/>
        </w:rPr>
        <w:t>Amamix C6328/A612UDG潜水搅拌器的尺寸和现场情况定制。</w:t>
      </w:r>
    </w:p>
    <w:p>
      <w:pPr>
        <w:pStyle w:val="38"/>
        <w:autoSpaceDE w:val="0"/>
        <w:autoSpaceDN w:val="0"/>
        <w:spacing w:line="360" w:lineRule="auto"/>
        <w:ind w:firstLine="585" w:firstLineChars="209"/>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drawing>
          <wp:inline distT="0" distB="0" distL="114300" distR="114300">
            <wp:extent cx="5361940" cy="3841115"/>
            <wp:effectExtent l="0" t="0" r="10160" b="6985"/>
            <wp:docPr id="13" name="图片 13" descr="四期生化池搅拌器大样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四期生化池搅拌器大样图"/>
                    <pic:cNvPicPr>
                      <a:picLocks noChangeAspect="1"/>
                    </pic:cNvPicPr>
                  </pic:nvPicPr>
                  <pic:blipFill>
                    <a:blip r:embed="rId13"/>
                    <a:stretch>
                      <a:fillRect/>
                    </a:stretch>
                  </pic:blipFill>
                  <pic:spPr>
                    <a:xfrm>
                      <a:off x="0" y="0"/>
                      <a:ext cx="5361940" cy="3841115"/>
                    </a:xfrm>
                    <a:prstGeom prst="rect">
                      <a:avLst/>
                    </a:prstGeom>
                  </pic:spPr>
                </pic:pic>
              </a:graphicData>
            </a:graphic>
          </wp:inline>
        </w:drawing>
      </w:r>
    </w:p>
    <w:p>
      <w:pPr>
        <w:pStyle w:val="38"/>
        <w:autoSpaceDE w:val="0"/>
        <w:autoSpaceDN w:val="0"/>
        <w:spacing w:line="360" w:lineRule="auto"/>
        <w:ind w:left="-144" w:leftChars="-203" w:hanging="282" w:hangingChars="101"/>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drawing>
          <wp:inline distT="0" distB="0" distL="114300" distR="114300">
            <wp:extent cx="4030345" cy="5626735"/>
            <wp:effectExtent l="0" t="0" r="12065" b="8255"/>
            <wp:docPr id="15" name="图片 15" descr="四期生化池叶轮、导架、吊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四期生化池叶轮、导架、吊架"/>
                    <pic:cNvPicPr>
                      <a:picLocks noChangeAspect="1"/>
                    </pic:cNvPicPr>
                  </pic:nvPicPr>
                  <pic:blipFill>
                    <a:blip r:embed="rId14"/>
                    <a:stretch>
                      <a:fillRect/>
                    </a:stretch>
                  </pic:blipFill>
                  <pic:spPr>
                    <a:xfrm rot="16200000">
                      <a:off x="0" y="0"/>
                      <a:ext cx="4030345" cy="5626735"/>
                    </a:xfrm>
                    <a:prstGeom prst="rect">
                      <a:avLst/>
                    </a:prstGeom>
                  </pic:spPr>
                </pic:pic>
              </a:graphicData>
            </a:graphic>
          </wp:inline>
        </w:drawing>
      </w:r>
    </w:p>
    <w:p>
      <w:pPr>
        <w:pStyle w:val="38"/>
        <w:autoSpaceDE w:val="0"/>
        <w:autoSpaceDN w:val="0"/>
        <w:spacing w:line="360" w:lineRule="auto"/>
        <w:ind w:firstLine="585" w:firstLineChars="209"/>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采购清单如下：</w:t>
      </w:r>
    </w:p>
    <w:tbl>
      <w:tblPr>
        <w:tblStyle w:val="24"/>
        <w:tblW w:w="51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77"/>
        <w:gridCol w:w="3284"/>
        <w:gridCol w:w="1057"/>
        <w:gridCol w:w="1406"/>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31"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序号</w:t>
            </w:r>
          </w:p>
        </w:tc>
        <w:tc>
          <w:tcPr>
            <w:tcW w:w="713"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备件名称</w:t>
            </w:r>
          </w:p>
        </w:tc>
        <w:tc>
          <w:tcPr>
            <w:tcW w:w="1834"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规格型号</w:t>
            </w:r>
          </w:p>
        </w:tc>
        <w:tc>
          <w:tcPr>
            <w:tcW w:w="590"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单位</w:t>
            </w:r>
          </w:p>
        </w:tc>
        <w:tc>
          <w:tcPr>
            <w:tcW w:w="785"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购置数量</w:t>
            </w:r>
          </w:p>
        </w:tc>
        <w:tc>
          <w:tcPr>
            <w:tcW w:w="647"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31"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1</w:t>
            </w:r>
          </w:p>
        </w:tc>
        <w:tc>
          <w:tcPr>
            <w:tcW w:w="713"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ascii="仿宋_GB2312" w:hAnsi="Times New Roman" w:eastAsia="仿宋_GB2312" w:cs="Times New Roman"/>
                <w:color w:val="auto"/>
                <w:sz w:val="28"/>
                <w:szCs w:val="32"/>
                <w:highlight w:val="none"/>
              </w:rPr>
              <w:t>叶轮</w:t>
            </w:r>
          </w:p>
        </w:tc>
        <w:tc>
          <w:tcPr>
            <w:tcW w:w="1834"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ascii="仿宋_GB2312" w:hAnsi="Times New Roman" w:eastAsia="仿宋_GB2312" w:cs="Times New Roman"/>
                <w:color w:val="auto"/>
                <w:sz w:val="28"/>
                <w:szCs w:val="32"/>
                <w:highlight w:val="none"/>
              </w:rPr>
              <w:t>可原装</w:t>
            </w:r>
            <w:r>
              <w:rPr>
                <w:rFonts w:hint="eastAsia" w:ascii="仿宋_GB2312" w:hAnsi="Times New Roman" w:eastAsia="仿宋_GB2312" w:cs="Times New Roman"/>
                <w:color w:val="auto"/>
                <w:sz w:val="28"/>
                <w:szCs w:val="32"/>
                <w:highlight w:val="none"/>
              </w:rPr>
              <w:t>/可国产订制。</w:t>
            </w:r>
          </w:p>
        </w:tc>
        <w:tc>
          <w:tcPr>
            <w:tcW w:w="590"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个</w:t>
            </w:r>
          </w:p>
        </w:tc>
        <w:tc>
          <w:tcPr>
            <w:tcW w:w="785"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50</w:t>
            </w:r>
          </w:p>
        </w:tc>
        <w:tc>
          <w:tcPr>
            <w:tcW w:w="647"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31"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2</w:t>
            </w:r>
          </w:p>
        </w:tc>
        <w:tc>
          <w:tcPr>
            <w:tcW w:w="713" w:type="pct"/>
            <w:vAlign w:val="center"/>
          </w:tcPr>
          <w:p>
            <w:pPr>
              <w:spacing w:line="360" w:lineRule="auto"/>
              <w:ind w:right="-56" w:rightChars="-27"/>
              <w:jc w:val="center"/>
              <w:rPr>
                <w:rFonts w:ascii="仿宋_GB2312" w:hAnsi="Times New Roman" w:eastAsia="仿宋_GB2312" w:cs="Times New Roman"/>
                <w:color w:val="auto"/>
                <w:sz w:val="28"/>
                <w:szCs w:val="28"/>
                <w:highlight w:val="none"/>
              </w:rPr>
            </w:pPr>
            <w:r>
              <w:rPr>
                <w:rFonts w:hint="eastAsia" w:ascii="仿宋_GB2312" w:hAnsi="仿宋" w:eastAsia="仿宋_GB2312" w:cs="宋体"/>
                <w:color w:val="auto"/>
                <w:kern w:val="0"/>
                <w:sz w:val="28"/>
                <w:szCs w:val="28"/>
                <w:highlight w:val="none"/>
              </w:rPr>
              <w:t>导架</w:t>
            </w:r>
          </w:p>
        </w:tc>
        <w:tc>
          <w:tcPr>
            <w:tcW w:w="1834"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配合池内导杆尺寸，包含有尼龙内衬、</w:t>
            </w:r>
            <w:r>
              <w:rPr>
                <w:rFonts w:ascii="仿宋_GB2312" w:hAnsi="Times New Roman" w:eastAsia="仿宋_GB2312" w:cs="Times New Roman"/>
                <w:color w:val="auto"/>
                <w:sz w:val="28"/>
                <w:szCs w:val="32"/>
                <w:highlight w:val="none"/>
              </w:rPr>
              <w:t>导轮</w:t>
            </w:r>
            <w:r>
              <w:rPr>
                <w:rFonts w:hint="eastAsia" w:ascii="仿宋_GB2312" w:hAnsi="Times New Roman" w:eastAsia="仿宋_GB2312" w:cs="Times New Roman"/>
                <w:color w:val="auto"/>
                <w:sz w:val="28"/>
                <w:szCs w:val="32"/>
                <w:highlight w:val="none"/>
              </w:rPr>
              <w:t>、</w:t>
            </w:r>
            <w:r>
              <w:rPr>
                <w:rFonts w:ascii="仿宋_GB2312" w:hAnsi="Times New Roman" w:eastAsia="仿宋_GB2312" w:cs="Times New Roman"/>
                <w:color w:val="auto"/>
                <w:sz w:val="28"/>
                <w:szCs w:val="32"/>
                <w:highlight w:val="none"/>
              </w:rPr>
              <w:t>垫条</w:t>
            </w:r>
            <w:r>
              <w:rPr>
                <w:rFonts w:hint="eastAsia" w:ascii="仿宋_GB2312" w:hAnsi="Times New Roman" w:eastAsia="仿宋_GB2312" w:cs="Times New Roman"/>
                <w:color w:val="auto"/>
                <w:sz w:val="28"/>
                <w:szCs w:val="32"/>
                <w:highlight w:val="none"/>
              </w:rPr>
              <w:t>。</w:t>
            </w:r>
            <w:r>
              <w:rPr>
                <w:rFonts w:ascii="仿宋_GB2312" w:hAnsi="Times New Roman" w:eastAsia="仿宋_GB2312" w:cs="Times New Roman"/>
                <w:color w:val="auto"/>
                <w:sz w:val="28"/>
                <w:szCs w:val="32"/>
                <w:highlight w:val="none"/>
              </w:rPr>
              <w:t>可原装</w:t>
            </w:r>
            <w:r>
              <w:rPr>
                <w:rFonts w:hint="eastAsia" w:ascii="仿宋_GB2312" w:hAnsi="Times New Roman" w:eastAsia="仿宋_GB2312" w:cs="Times New Roman"/>
                <w:color w:val="auto"/>
                <w:sz w:val="28"/>
                <w:szCs w:val="32"/>
                <w:highlight w:val="none"/>
              </w:rPr>
              <w:t>/可国产订制。</w:t>
            </w:r>
          </w:p>
        </w:tc>
        <w:tc>
          <w:tcPr>
            <w:tcW w:w="590"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ascii="仿宋_GB2312" w:hAnsi="Times New Roman" w:eastAsia="仿宋_GB2312" w:cs="Times New Roman"/>
                <w:color w:val="auto"/>
                <w:sz w:val="28"/>
                <w:szCs w:val="32"/>
                <w:highlight w:val="none"/>
              </w:rPr>
              <w:t>个</w:t>
            </w:r>
          </w:p>
        </w:tc>
        <w:tc>
          <w:tcPr>
            <w:tcW w:w="785"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50</w:t>
            </w:r>
          </w:p>
        </w:tc>
        <w:tc>
          <w:tcPr>
            <w:tcW w:w="647"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3</w:t>
            </w:r>
          </w:p>
        </w:tc>
        <w:tc>
          <w:tcPr>
            <w:tcW w:w="713"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ascii="仿宋_GB2312" w:hAnsi="Times New Roman" w:eastAsia="仿宋_GB2312" w:cs="Times New Roman"/>
                <w:color w:val="auto"/>
                <w:sz w:val="28"/>
                <w:szCs w:val="32"/>
                <w:highlight w:val="none"/>
              </w:rPr>
              <w:t>吊架</w:t>
            </w:r>
          </w:p>
        </w:tc>
        <w:tc>
          <w:tcPr>
            <w:tcW w:w="1834"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ascii="仿宋_GB2312" w:hAnsi="Times New Roman" w:eastAsia="仿宋_GB2312" w:cs="Times New Roman"/>
                <w:color w:val="auto"/>
                <w:sz w:val="28"/>
                <w:szCs w:val="32"/>
                <w:highlight w:val="none"/>
              </w:rPr>
              <w:t>可原装</w:t>
            </w:r>
            <w:r>
              <w:rPr>
                <w:rFonts w:hint="eastAsia" w:ascii="仿宋_GB2312" w:hAnsi="Times New Roman" w:eastAsia="仿宋_GB2312" w:cs="Times New Roman"/>
                <w:color w:val="auto"/>
                <w:sz w:val="28"/>
                <w:szCs w:val="32"/>
                <w:highlight w:val="none"/>
              </w:rPr>
              <w:t>/可国产订制。</w:t>
            </w:r>
          </w:p>
        </w:tc>
        <w:tc>
          <w:tcPr>
            <w:tcW w:w="590"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ascii="仿宋_GB2312" w:hAnsi="Times New Roman" w:eastAsia="仿宋_GB2312" w:cs="Times New Roman"/>
                <w:color w:val="auto"/>
                <w:sz w:val="28"/>
                <w:szCs w:val="32"/>
                <w:highlight w:val="none"/>
              </w:rPr>
              <w:t>个</w:t>
            </w:r>
          </w:p>
        </w:tc>
        <w:tc>
          <w:tcPr>
            <w:tcW w:w="785"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r>
              <w:rPr>
                <w:rFonts w:hint="eastAsia" w:ascii="仿宋_GB2312" w:hAnsi="Times New Roman" w:eastAsia="仿宋_GB2312" w:cs="Times New Roman"/>
                <w:color w:val="auto"/>
                <w:sz w:val="28"/>
                <w:szCs w:val="32"/>
                <w:highlight w:val="none"/>
              </w:rPr>
              <w:t>50</w:t>
            </w:r>
          </w:p>
        </w:tc>
        <w:tc>
          <w:tcPr>
            <w:tcW w:w="647" w:type="pct"/>
            <w:vAlign w:val="center"/>
          </w:tcPr>
          <w:p>
            <w:pPr>
              <w:spacing w:line="360" w:lineRule="auto"/>
              <w:ind w:right="-56" w:rightChars="-27"/>
              <w:jc w:val="center"/>
              <w:rPr>
                <w:rFonts w:ascii="仿宋_GB2312" w:hAnsi="Times New Roman" w:eastAsia="仿宋_GB2312" w:cs="Times New Roman"/>
                <w:color w:val="auto"/>
                <w:sz w:val="28"/>
                <w:szCs w:val="32"/>
                <w:highlight w:val="none"/>
              </w:rPr>
            </w:pPr>
          </w:p>
        </w:tc>
      </w:tr>
    </w:tbl>
    <w:p>
      <w:pPr>
        <w:pStyle w:val="38"/>
        <w:spacing w:line="360" w:lineRule="auto"/>
        <w:ind w:right="-56" w:rightChars="-27" w:firstLine="0" w:firstLineChars="0"/>
        <w:rPr>
          <w:rFonts w:ascii="仿宋_GB2312" w:hAnsi="Times New Roman" w:eastAsia="仿宋_GB2312"/>
          <w:color w:val="auto"/>
          <w:sz w:val="28"/>
          <w:szCs w:val="28"/>
          <w:highlight w:val="none"/>
        </w:rPr>
      </w:pPr>
      <w:r>
        <w:rPr>
          <w:rFonts w:hint="eastAsia" w:ascii="仿宋_GB2312" w:hAnsi="仿宋_GB2312" w:eastAsia="仿宋_GB2312" w:cs="仿宋_GB2312"/>
          <w:color w:val="auto"/>
          <w:sz w:val="28"/>
          <w:szCs w:val="28"/>
          <w:highlight w:val="none"/>
        </w:rPr>
        <w:t xml:space="preserve">    1、报价单位提供的货物必须是全新的货物，符合有关机构发布的最新行业标准或国家标准，满足原设计标准、原四期生化池的使用要求，能直接安装到四期生化池搅拌器上使用，规格尺寸须与原系统一致，</w:t>
      </w:r>
      <w:r>
        <w:rPr>
          <w:rFonts w:hint="eastAsia" w:ascii="仿宋_GB2312" w:hAnsi="Times New Roman" w:eastAsia="仿宋_GB2312"/>
          <w:color w:val="auto"/>
          <w:sz w:val="28"/>
          <w:szCs w:val="28"/>
          <w:highlight w:val="none"/>
        </w:rPr>
        <w:t>配件均可以为国产订制配件，规格尺寸须与原配件完全一致，以猎德分公司四期生化池内目前使用的搅拌器现场测量为准。</w:t>
      </w:r>
    </w:p>
    <w:p>
      <w:pPr>
        <w:pStyle w:val="38"/>
        <w:spacing w:line="360" w:lineRule="auto"/>
        <w:ind w:right="-56" w:rightChars="-27" w:firstLine="560"/>
        <w:rPr>
          <w:rFonts w:ascii="仿宋_GB2312" w:hAnsi="Times New Roman" w:eastAsia="仿宋_GB2312"/>
          <w:color w:val="auto"/>
          <w:sz w:val="28"/>
          <w:szCs w:val="28"/>
          <w:highlight w:val="none"/>
        </w:rPr>
      </w:pPr>
      <w:r>
        <w:rPr>
          <w:rFonts w:hint="eastAsia" w:ascii="仿宋_GB2312" w:hAnsi="Times New Roman" w:eastAsia="仿宋_GB2312"/>
          <w:color w:val="auto"/>
          <w:sz w:val="28"/>
          <w:szCs w:val="28"/>
          <w:highlight w:val="none"/>
        </w:rPr>
        <w:t>2、叶轮材质为不锈钢材质，其余备件材质应为不低于ASTM 304不锈钢材质。</w:t>
      </w:r>
    </w:p>
    <w:p>
      <w:pPr>
        <w:spacing w:line="360" w:lineRule="auto"/>
        <w:ind w:firstLine="560" w:firstLineChars="200"/>
        <w:rPr>
          <w:rFonts w:ascii="仿宋" w:hAnsi="仿宋" w:eastAsia="仿宋" w:cs="仿宋"/>
          <w:color w:val="auto"/>
          <w:sz w:val="28"/>
          <w:szCs w:val="28"/>
          <w:highlight w:val="none"/>
        </w:rPr>
      </w:pPr>
      <w:r>
        <w:rPr>
          <w:rFonts w:hint="eastAsia" w:ascii="仿宋_GB2312" w:hAnsi="Times New Roman" w:eastAsia="仿宋_GB2312"/>
          <w:color w:val="auto"/>
          <w:sz w:val="28"/>
          <w:szCs w:val="28"/>
          <w:highlight w:val="none"/>
        </w:rPr>
        <w:t>3、最终成品的备件与原设备部件均满足互换性要求，不接受任何改造。</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1.</w:t>
      </w:r>
      <w:r>
        <w:rPr>
          <w:rFonts w:hint="eastAsia" w:ascii="仿宋" w:hAnsi="仿宋" w:eastAsia="仿宋" w:cs="仿宋"/>
          <w:color w:val="auto"/>
          <w:sz w:val="28"/>
          <w:szCs w:val="28"/>
          <w:highlight w:val="none"/>
        </w:rPr>
        <w:t xml:space="preserve"> 货期：合同签订后，45天内交货。</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（1）在运输送货卸货过程中，承包单位要注意保护场内的各种管线和设施。若有任何损坏，须立即通知有关部门和发包人，并由损坏单位承担损失和修复费用。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供货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rPr>
        <w:t>保修期：质保期为经验收合格之日起1年。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bookmarkEnd w:id="71"/>
    <w:p>
      <w:pPr>
        <w:pStyle w:val="2"/>
        <w:ind w:firstLine="0"/>
        <w:rPr>
          <w:color w:val="auto"/>
          <w:highlight w:val="none"/>
        </w:rPr>
      </w:pPr>
      <w:bookmarkStart w:id="72" w:name="_Toc1496"/>
      <w:bookmarkStart w:id="73" w:name="_Toc25925"/>
      <w:bookmarkStart w:id="74" w:name="_Toc12135"/>
      <w:bookmarkStart w:id="75" w:name="_Toc23330"/>
      <w:bookmarkStart w:id="76" w:name="_Toc23353"/>
      <w:bookmarkStart w:id="77" w:name="_Toc537"/>
      <w:bookmarkStart w:id="78" w:name="_Toc4680"/>
      <w:bookmarkStart w:id="79" w:name="_Toc15570"/>
      <w:bookmarkStart w:id="80" w:name="_Toc1284"/>
      <w:bookmarkStart w:id="81" w:name="_Toc18538"/>
      <w:bookmarkStart w:id="82" w:name="_Toc29835"/>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jc w:val="both"/>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2186940</wp:posOffset>
                </wp:positionH>
                <wp:positionV relativeFrom="paragraph">
                  <wp:posOffset>114935</wp:posOffset>
                </wp:positionV>
                <wp:extent cx="958850" cy="0"/>
                <wp:effectExtent l="0" t="0" r="12700" b="19050"/>
                <wp:wrapNone/>
                <wp:docPr id="10" name="AutoShape 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172.2pt;margin-top:9.05pt;height:0pt;width:75.5pt;z-index:251666432;mso-width-relative:page;mso-height-relative:page;" filled="f" stroked="t" coordsize="21600,21600" o:gfxdata="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nW/vtcAAAAJAQAADwAAAAAAAAABACAAAAAi&#10;AAAAZHJzL2Rvd25yZXYueG1sUEsBAhQAFAAAAAgAh07iQGkZCYrSAQAAsgMAAA4AAAAAAAAAAQAg&#10;AAAAJgEAAGRycy9lMm9Eb2MueG1sUEsFBgAAAAAGAAYAWQEAAGo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487045</wp:posOffset>
                </wp:positionV>
                <wp:extent cx="958850" cy="0"/>
                <wp:effectExtent l="0" t="0" r="12700" b="19050"/>
                <wp:wrapNone/>
                <wp:docPr id="11" name="AutoShape 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72.05pt;margin-top:38.35pt;height:0pt;width:75.5pt;z-index:251667456;mso-width-relative:page;mso-height-relative:page;" filled="f" stroked="t" coordsize="21600,21600" o:gfxdata="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r2Xe9cAAAAJAQAADwAAAAAAAAABACAAAAAi&#10;AAAAZHJzL2Rvd25yZXYueG1sUEsBAhQAFAAAAAgAh07iQELmozTSAQAAsgMAAA4AAAAAAAAAAQAg&#10;AAAAJgEAAGRycy9lMm9Eb2MueG1sUEsFBgAAAAAGAAYAWQEAAGoFAAAAAA==&#10;">
                <v:fill on="f" focussize="0,0"/>
                <v:stroke color="#000000" joinstyle="round"/>
                <v:imagedata o:title=""/>
                <o:lock v:ext="edit" aspectratio="f"/>
              </v:shape>
            </w:pict>
          </mc:Fallback>
        </mc:AlternateContent>
      </w:r>
      <w:r>
        <w:rPr>
          <w:rFonts w:hint="eastAsia"/>
          <w:color w:val="auto"/>
          <w:highlight w:val="none"/>
        </w:rPr>
        <w:t>第六章</w:t>
      </w:r>
      <w:bookmarkEnd w:id="72"/>
      <w:bookmarkEnd w:id="73"/>
      <w:bookmarkEnd w:id="74"/>
      <w:bookmarkEnd w:id="75"/>
      <w:bookmarkEnd w:id="76"/>
      <w:bookmarkEnd w:id="77"/>
      <w:bookmarkEnd w:id="78"/>
      <w:bookmarkEnd w:id="79"/>
      <w:bookmarkEnd w:id="80"/>
      <w:bookmarkEnd w:id="81"/>
      <w:bookmarkEnd w:id="82"/>
    </w:p>
    <w:p>
      <w:pPr>
        <w:pStyle w:val="4"/>
        <w:rPr>
          <w:color w:val="auto"/>
          <w:highlight w:val="none"/>
        </w:rPr>
      </w:pPr>
      <w:bookmarkStart w:id="83" w:name="_Toc87616386"/>
      <w:bookmarkStart w:id="84" w:name="_Toc8183"/>
      <w:bookmarkStart w:id="85" w:name="_Toc22797"/>
      <w:bookmarkStart w:id="86" w:name="_Toc1375"/>
      <w:bookmarkStart w:id="87" w:name="_Toc22501"/>
      <w:bookmarkStart w:id="88" w:name="_Toc323"/>
      <w:bookmarkStart w:id="89" w:name="_Toc88209949"/>
      <w:bookmarkStart w:id="90" w:name="_Toc12968"/>
      <w:bookmarkStart w:id="91" w:name="_Toc13309"/>
      <w:bookmarkStart w:id="92" w:name="_Toc12980"/>
      <w:bookmarkStart w:id="93" w:name="_Toc12721"/>
      <w:bookmarkStart w:id="94" w:name="_Toc19088"/>
      <w:bookmarkStart w:id="95" w:name="_Toc19686"/>
      <w:r>
        <w:rPr>
          <w:rFonts w:hint="eastAsia"/>
          <w:color w:val="auto"/>
          <w:highlight w:val="none"/>
        </w:rPr>
        <w:t>合同</w:t>
      </w:r>
      <w:bookmarkEnd w:id="83"/>
      <w:bookmarkEnd w:id="84"/>
      <w:bookmarkEnd w:id="85"/>
      <w:bookmarkEnd w:id="86"/>
      <w:bookmarkEnd w:id="87"/>
      <w:bookmarkEnd w:id="88"/>
      <w:bookmarkEnd w:id="89"/>
      <w:bookmarkEnd w:id="90"/>
      <w:bookmarkEnd w:id="91"/>
      <w:bookmarkEnd w:id="92"/>
      <w:bookmarkEnd w:id="93"/>
      <w:bookmarkEnd w:id="94"/>
      <w:bookmarkEnd w:id="95"/>
    </w:p>
    <w:p>
      <w:pPr>
        <w:adjustRightInd w:val="0"/>
        <w:snapToGrid w:val="0"/>
        <w:spacing w:before="190" w:beforeLines="50" w:after="190" w:afterLines="50" w:line="600" w:lineRule="exact"/>
        <w:jc w:val="center"/>
        <w:rPr>
          <w:rFonts w:ascii="方正小标宋简体" w:eastAsia="方正小标宋简体"/>
          <w:color w:val="auto"/>
          <w:sz w:val="44"/>
          <w:szCs w:val="44"/>
          <w:highlight w:val="none"/>
        </w:rPr>
      </w:pPr>
    </w:p>
    <w:p>
      <w:pPr>
        <w:adjustRightInd w:val="0"/>
        <w:snapToGrid w:val="0"/>
        <w:spacing w:before="190" w:beforeLines="50" w:after="190" w:afterLines="50" w:line="600" w:lineRule="exact"/>
        <w:jc w:val="center"/>
        <w:rPr>
          <w:rFonts w:ascii="方正小标宋简体" w:eastAsia="方正小标宋简体"/>
          <w:color w:val="auto"/>
          <w:sz w:val="28"/>
          <w:szCs w:val="28"/>
          <w:highlight w:val="none"/>
        </w:rPr>
      </w:pPr>
    </w:p>
    <w:p>
      <w:pPr>
        <w:adjustRightInd w:val="0"/>
        <w:snapToGrid w:val="0"/>
        <w:spacing w:before="190" w:beforeLines="50" w:after="190" w:afterLines="50" w:line="600" w:lineRule="exact"/>
        <w:jc w:val="center"/>
        <w:rPr>
          <w:rFonts w:ascii="方正小标宋简体" w:eastAsia="方正小标宋简体"/>
          <w:color w:val="auto"/>
          <w:sz w:val="28"/>
          <w:szCs w:val="28"/>
          <w:highlight w:val="none"/>
        </w:rPr>
      </w:pPr>
    </w:p>
    <w:p>
      <w:pPr>
        <w:adjustRightInd w:val="0"/>
        <w:snapToGrid w:val="0"/>
        <w:spacing w:before="190" w:beforeLines="50" w:after="190" w:afterLines="50" w:line="600" w:lineRule="exact"/>
        <w:rPr>
          <w:rFonts w:ascii="方正小标宋简体" w:eastAsia="方正小标宋简体"/>
          <w:color w:val="auto"/>
          <w:sz w:val="28"/>
          <w:szCs w:val="28"/>
          <w:highlight w:val="none"/>
        </w:rPr>
      </w:pPr>
    </w:p>
    <w:p>
      <w:pPr>
        <w:adjustRightInd w:val="0"/>
        <w:snapToGrid w:val="0"/>
        <w:spacing w:before="190" w:beforeLines="50" w:after="190" w:afterLines="50" w:line="600" w:lineRule="exact"/>
        <w:rPr>
          <w:rFonts w:ascii="方正小标宋简体" w:eastAsia="方正小标宋简体"/>
          <w:color w:val="auto"/>
          <w:sz w:val="28"/>
          <w:szCs w:val="28"/>
          <w:highlight w:val="none"/>
        </w:rPr>
      </w:pPr>
    </w:p>
    <w:p>
      <w:pPr>
        <w:widowControl/>
        <w:jc w:val="left"/>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br w:type="page"/>
      </w:r>
    </w:p>
    <w:p>
      <w:pPr>
        <w:spacing w:line="400" w:lineRule="atLeast"/>
        <w:jc w:val="both"/>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u w:val="none"/>
        </w:rPr>
        <w:t>厂区设备备件</w:t>
      </w:r>
      <w:r>
        <w:rPr>
          <w:rFonts w:hint="eastAsia"/>
          <w:b/>
          <w:color w:val="auto"/>
          <w:sz w:val="48"/>
          <w:szCs w:val="48"/>
          <w:highlight w:val="none"/>
        </w:rPr>
        <w:t>采购合同</w:t>
      </w:r>
    </w:p>
    <w:p>
      <w:pPr>
        <w:spacing w:line="360" w:lineRule="auto"/>
        <w:jc w:val="center"/>
        <w:rPr>
          <w:rFonts w:ascii="宋体" w:hAnsi="宋体" w:cs="宋体"/>
          <w:color w:val="auto"/>
          <w:sz w:val="28"/>
          <w:szCs w:val="28"/>
          <w:highlight w:val="none"/>
        </w:rPr>
      </w:pPr>
    </w:p>
    <w:p>
      <w:pPr>
        <w:jc w:val="center"/>
        <w:rPr>
          <w:b/>
          <w:color w:val="auto"/>
          <w:sz w:val="28"/>
          <w:szCs w:val="28"/>
          <w:highlight w:val="none"/>
        </w:rPr>
      </w:pPr>
    </w:p>
    <w:p>
      <w:pPr>
        <w:jc w:val="center"/>
        <w:rPr>
          <w:b/>
          <w:color w:val="auto"/>
          <w:sz w:val="30"/>
          <w:highlight w:val="none"/>
        </w:rPr>
      </w:pPr>
    </w:p>
    <w:p>
      <w:pPr>
        <w:ind w:left="1500" w:hanging="1500" w:hangingChars="500"/>
        <w:rPr>
          <w:b/>
          <w:color w:val="auto"/>
          <w:sz w:val="30"/>
          <w:highlight w:val="none"/>
        </w:rPr>
      </w:pPr>
      <w:r>
        <w:rPr>
          <w:rFonts w:hint="eastAsia"/>
          <w:b/>
          <w:color w:val="auto"/>
          <w:sz w:val="30"/>
          <w:highlight w:val="none"/>
        </w:rPr>
        <w:t>项目名称：广州市净水有限公司猎德分公司2022年四期生化池搅拌机叶轮及导架采购项目</w:t>
      </w:r>
    </w:p>
    <w:p>
      <w:pPr>
        <w:rPr>
          <w:b/>
          <w:color w:val="auto"/>
          <w:sz w:val="30"/>
          <w:highlight w:val="none"/>
        </w:rPr>
      </w:pPr>
      <w:r>
        <w:rPr>
          <w:rFonts w:hint="eastAsia"/>
          <w:b/>
          <w:color w:val="auto"/>
          <w:sz w:val="30"/>
          <w:highlight w:val="none"/>
        </w:rPr>
        <w:t>项目编号：</w:t>
      </w:r>
    </w:p>
    <w:p>
      <w:pPr>
        <w:rPr>
          <w:b/>
          <w:color w:val="auto"/>
          <w:sz w:val="30"/>
          <w:highlight w:val="none"/>
        </w:rPr>
      </w:pPr>
    </w:p>
    <w:p>
      <w:pPr>
        <w:rPr>
          <w:b/>
          <w:color w:val="auto"/>
          <w:sz w:val="30"/>
          <w:szCs w:val="30"/>
          <w:highlight w:val="none"/>
        </w:rPr>
      </w:pPr>
      <w:r>
        <w:rPr>
          <w:rFonts w:hint="eastAsia"/>
          <w:b/>
          <w:color w:val="auto"/>
          <w:sz w:val="30"/>
          <w:highlight w:val="none"/>
        </w:rPr>
        <w:t>合同编号：</w:t>
      </w:r>
      <w:r>
        <w:rPr>
          <w:rFonts w:hint="eastAsia" w:ascii="宋体" w:hAnsi="宋体" w:cs="宋体"/>
          <w:b/>
          <w:color w:val="auto"/>
          <w:sz w:val="30"/>
          <w:szCs w:val="30"/>
          <w:highlight w:val="none"/>
        </w:rPr>
        <w:t>穗净水合</w:t>
      </w:r>
      <w:r>
        <w:rPr>
          <w:rFonts w:ascii="宋体" w:hAnsi="宋体" w:cs="宋体"/>
          <w:b/>
          <w:color w:val="auto"/>
          <w:sz w:val="30"/>
          <w:szCs w:val="30"/>
          <w:highlight w:val="none"/>
        </w:rPr>
        <w:t xml:space="preserve">[     ]    </w:t>
      </w:r>
      <w:r>
        <w:rPr>
          <w:rFonts w:hint="eastAsia" w:ascii="宋体" w:hAnsi="宋体" w:cs="宋体"/>
          <w:b/>
          <w:color w:val="auto"/>
          <w:sz w:val="30"/>
          <w:szCs w:val="30"/>
          <w:highlight w:val="none"/>
        </w:rPr>
        <w:t>号</w:t>
      </w:r>
    </w:p>
    <w:p>
      <w:pPr>
        <w:rPr>
          <w:b/>
          <w:color w:val="auto"/>
          <w:sz w:val="30"/>
          <w:szCs w:val="30"/>
          <w:highlight w:val="none"/>
        </w:rPr>
      </w:pPr>
    </w:p>
    <w:p>
      <w:pPr>
        <w:rPr>
          <w:b/>
          <w:color w:val="auto"/>
          <w:sz w:val="30"/>
          <w:highlight w:val="none"/>
          <w:u w:val="single"/>
        </w:rPr>
      </w:pPr>
      <w:r>
        <w:rPr>
          <w:rFonts w:hint="eastAsia"/>
          <w:b/>
          <w:color w:val="auto"/>
          <w:sz w:val="30"/>
          <w:highlight w:val="none"/>
        </w:rPr>
        <w:t>甲方（买方）：广州市净水有限公司</w:t>
      </w:r>
    </w:p>
    <w:p>
      <w:pPr>
        <w:rPr>
          <w:b/>
          <w:color w:val="auto"/>
          <w:sz w:val="30"/>
          <w:highlight w:val="none"/>
        </w:rPr>
      </w:pPr>
    </w:p>
    <w:p>
      <w:pPr>
        <w:rPr>
          <w:b/>
          <w:color w:val="auto"/>
          <w:sz w:val="30"/>
          <w:highlight w:val="none"/>
          <w:u w:val="single"/>
        </w:rPr>
      </w:pPr>
      <w:r>
        <w:rPr>
          <w:rFonts w:hint="eastAsia"/>
          <w:b/>
          <w:color w:val="auto"/>
          <w:sz w:val="30"/>
          <w:highlight w:val="none"/>
        </w:rPr>
        <w:t>乙方（卖方）：</w:t>
      </w:r>
      <w:r>
        <w:rPr>
          <w:b/>
          <w:color w:val="auto"/>
          <w:sz w:val="30"/>
          <w:highlight w:val="none"/>
        </w:rPr>
        <w:t xml:space="preserve">                  </w:t>
      </w:r>
    </w:p>
    <w:p>
      <w:pPr>
        <w:pStyle w:val="2"/>
        <w:ind w:firstLine="1131"/>
        <w:rPr>
          <w:b/>
          <w:color w:val="auto"/>
          <w:highlight w:val="none"/>
        </w:rPr>
      </w:pPr>
    </w:p>
    <w:p>
      <w:pPr>
        <w:spacing w:line="500" w:lineRule="exact"/>
        <w:rPr>
          <w:b/>
          <w:color w:val="auto"/>
          <w:sz w:val="30"/>
          <w:highlight w:val="none"/>
        </w:rPr>
      </w:pPr>
      <w:r>
        <w:rPr>
          <w:rFonts w:hint="eastAsia" w:ascii="宋体" w:hAnsi="宋体" w:cs="宋体"/>
          <w:b/>
          <w:color w:val="auto"/>
          <w:sz w:val="30"/>
          <w:szCs w:val="30"/>
          <w:highlight w:val="none"/>
        </w:rPr>
        <w:t xml:space="preserve">签订日期：       年   月   日   </w:t>
      </w:r>
    </w:p>
    <w:p>
      <w:pPr>
        <w:spacing w:line="500" w:lineRule="exact"/>
        <w:jc w:val="left"/>
        <w:rPr>
          <w:b/>
          <w:color w:val="auto"/>
          <w:sz w:val="30"/>
          <w:highlight w:val="none"/>
        </w:rPr>
      </w:pPr>
    </w:p>
    <w:p>
      <w:pPr>
        <w:spacing w:line="500" w:lineRule="exact"/>
        <w:jc w:val="left"/>
        <w:rPr>
          <w:rFonts w:ascii="宋体" w:hAnsi="宋体" w:cs="宋体"/>
          <w:b/>
          <w:color w:val="auto"/>
          <w:sz w:val="36"/>
          <w:szCs w:val="36"/>
          <w:highlight w:val="none"/>
          <w:lang w:val="zh-CN"/>
        </w:rPr>
      </w:pPr>
      <w:r>
        <w:rPr>
          <w:rFonts w:hint="eastAsia"/>
          <w:b/>
          <w:color w:val="auto"/>
          <w:sz w:val="30"/>
          <w:highlight w:val="none"/>
        </w:rPr>
        <w:t>签约地点：广州市</w:t>
      </w:r>
    </w:p>
    <w:p>
      <w:pPr>
        <w:spacing w:line="360" w:lineRule="auto"/>
        <w:rPr>
          <w:b/>
          <w:color w:val="auto"/>
          <w:highlight w:val="none"/>
        </w:rPr>
      </w:pPr>
      <w:r>
        <w:rPr>
          <w:rFonts w:hint="eastAsia"/>
          <w:b/>
          <w:color w:val="auto"/>
          <w:highlight w:val="none"/>
        </w:rPr>
        <w:t xml:space="preserve">    </w:t>
      </w:r>
    </w:p>
    <w:p>
      <w:pPr>
        <w:rPr>
          <w:color w:val="auto"/>
          <w:highlight w:val="none"/>
        </w:rPr>
        <w:sectPr>
          <w:footerReference r:id="rId6" w:type="default"/>
          <w:pgSz w:w="11907" w:h="16840"/>
          <w:pgMar w:top="1440" w:right="1746" w:bottom="1440" w:left="1746" w:header="851" w:footer="992" w:gutter="0"/>
          <w:pgNumType w:start="1"/>
          <w:cols w:space="0" w:num="1"/>
          <w:docGrid w:type="linesAndChars" w:linePitch="381" w:charSpace="0"/>
        </w:sectPr>
      </w:pP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根据《中华人民共和国民法典》及其他有关法律、行政法规，</w:t>
      </w:r>
      <w:r>
        <w:rPr>
          <w:rFonts w:hint="eastAsia" w:ascii="宋体" w:hAnsi="宋体" w:cs="宋体"/>
          <w:color w:val="auto"/>
          <w:sz w:val="28"/>
          <w:szCs w:val="28"/>
          <w:highlight w:val="none"/>
          <w:u w:val="single"/>
        </w:rPr>
        <w:t>广州市净水有限公司</w:t>
      </w:r>
      <w:r>
        <w:rPr>
          <w:rFonts w:hint="eastAsia" w:ascii="宋体" w:hAnsi="宋体" w:cs="宋体"/>
          <w:color w:val="auto"/>
          <w:sz w:val="28"/>
          <w:szCs w:val="28"/>
          <w:highlight w:val="none"/>
        </w:rPr>
        <w:t xml:space="preserve"> （以下简称“甲方”）与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（以下简称“乙方”）就</w:t>
      </w:r>
      <w:r>
        <w:rPr>
          <w:rFonts w:hint="eastAsia" w:ascii="宋体" w:hAnsi="宋体" w:cs="宋体"/>
          <w:color w:val="auto"/>
          <w:sz w:val="28"/>
          <w:szCs w:val="28"/>
          <w:highlight w:val="none"/>
          <w:u w:val="single"/>
        </w:rPr>
        <w:t xml:space="preserve">       采购</w:t>
      </w:r>
      <w:r>
        <w:rPr>
          <w:rFonts w:hint="eastAsia" w:ascii="宋体" w:hAnsi="宋体" w:cs="宋体"/>
          <w:color w:val="auto"/>
          <w:sz w:val="28"/>
          <w:szCs w:val="28"/>
          <w:highlight w:val="none"/>
        </w:rPr>
        <w:t>和相应技术服务事宜，遵循平等、自愿、公平和诚实信用的原则，双方协商一致，订立本合同。</w:t>
      </w:r>
      <w:bookmarkStart w:id="96" w:name="_Toc520190026"/>
      <w:bookmarkStart w:id="97" w:name="_Toc474245210"/>
      <w:bookmarkStart w:id="98" w:name="_Toc183666513"/>
      <w:bookmarkStart w:id="99" w:name="_Toc518992986"/>
      <w:bookmarkStart w:id="100" w:name="_Toc1018"/>
    </w:p>
    <w:p>
      <w:pPr>
        <w:spacing w:line="520" w:lineRule="exact"/>
        <w:ind w:firstLine="540"/>
        <w:rPr>
          <w:rFonts w:ascii="宋体" w:hAnsi="宋体" w:cs="宋体"/>
          <w:b/>
          <w:bCs/>
          <w:color w:val="auto"/>
          <w:sz w:val="28"/>
          <w:szCs w:val="28"/>
          <w:highlight w:val="none"/>
        </w:rPr>
      </w:pPr>
      <w:r>
        <w:rPr>
          <w:rFonts w:hint="eastAsia" w:ascii="宋体" w:hAnsi="宋体" w:cs="宋体"/>
          <w:b/>
          <w:bCs/>
          <w:color w:val="auto"/>
          <w:sz w:val="28"/>
          <w:szCs w:val="28"/>
          <w:highlight w:val="none"/>
        </w:rPr>
        <w:t>第一条 组成合同的文件及优先顺序</w:t>
      </w:r>
    </w:p>
    <w:p>
      <w:pPr>
        <w:spacing w:line="520" w:lineRule="exact"/>
        <w:ind w:firstLine="560" w:firstLineChars="200"/>
        <w:rPr>
          <w:rFonts w:ascii="宋体" w:hAnsi="宋体" w:cs="宋体"/>
          <w:color w:val="auto"/>
          <w:sz w:val="28"/>
          <w:szCs w:val="28"/>
          <w:highlight w:val="none"/>
        </w:rPr>
      </w:pPr>
      <w:r>
        <w:rPr>
          <w:rFonts w:hint="eastAsia" w:ascii="宋体" w:hAnsi="宋体" w:cs="宋体"/>
          <w:bCs/>
          <w:color w:val="auto"/>
          <w:sz w:val="28"/>
          <w:szCs w:val="28"/>
          <w:highlight w:val="none"/>
        </w:rPr>
        <w:t>下列文件（如有）均为本合同的组成部分，可视为能相互说明和补充的，如果合同文件存在歧义或相矛盾的地方，则根据以下次序判断：</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⑴ </w:t>
      </w:r>
      <w:r>
        <w:rPr>
          <w:rFonts w:hint="eastAsia" w:ascii="宋体" w:hAnsi="宋体" w:cs="宋体"/>
          <w:color w:val="auto"/>
          <w:sz w:val="28"/>
          <w:szCs w:val="28"/>
          <w:highlight w:val="none"/>
        </w:rPr>
        <w:t>在本合同实施过程双方签署的补充与修正文件</w:t>
      </w:r>
      <w:r>
        <w:rPr>
          <w:rFonts w:hint="eastAsia" w:ascii="宋体" w:hAnsi="宋体" w:cs="宋体"/>
          <w:bCs/>
          <w:color w:val="auto"/>
          <w:sz w:val="28"/>
          <w:szCs w:val="28"/>
          <w:highlight w:val="none"/>
        </w:rPr>
        <w:t>；</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⑵ 本合同书及附件；</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⑶ 中标通知书/发包通知书/成交通知书；</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⑷ 招标文件/询价文件；</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⑸ 投标文件/响应文件；</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⑹ 标准、规范及有关技术性文件；</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⑺ 图纸；</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⑻ 工程量清单/</w:t>
      </w:r>
      <w:r>
        <w:rPr>
          <w:rFonts w:hint="eastAsia" w:ascii="宋体" w:hAnsi="宋体" w:cs="宋体"/>
          <w:color w:val="auto"/>
          <w:sz w:val="28"/>
          <w:szCs w:val="28"/>
          <w:highlight w:val="none"/>
        </w:rPr>
        <w:t>工程报价单或预算书；</w:t>
      </w:r>
    </w:p>
    <w:p>
      <w:pPr>
        <w:spacing w:line="520" w:lineRule="exact"/>
        <w:rPr>
          <w:rFonts w:ascii="宋体" w:hAnsi="宋体" w:cs="宋体"/>
          <w:bCs/>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b/>
          <w:bCs/>
          <w:color w:val="auto"/>
          <w:sz w:val="28"/>
          <w:szCs w:val="28"/>
          <w:highlight w:val="none"/>
        </w:rPr>
        <w:t xml:space="preserve"> 第二条 </w:t>
      </w:r>
      <w:bookmarkEnd w:id="96"/>
      <w:bookmarkEnd w:id="97"/>
      <w:bookmarkEnd w:id="98"/>
      <w:bookmarkEnd w:id="99"/>
      <w:bookmarkEnd w:id="100"/>
      <w:r>
        <w:rPr>
          <w:rFonts w:hint="eastAsia" w:ascii="宋体" w:hAnsi="宋体" w:cs="宋体"/>
          <w:b/>
          <w:color w:val="auto"/>
          <w:sz w:val="28"/>
          <w:szCs w:val="28"/>
          <w:highlight w:val="none"/>
        </w:rPr>
        <w:t>合同标的</w:t>
      </w:r>
    </w:p>
    <w:p>
      <w:pPr>
        <w:autoSpaceDE w:val="0"/>
        <w:autoSpaceDN w:val="0"/>
        <w:adjustRightInd w:val="0"/>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zh-CN"/>
        </w:rPr>
        <w:t>本合同所指</w:t>
      </w:r>
      <w:r>
        <w:rPr>
          <w:rFonts w:hint="eastAsia" w:ascii="宋体" w:hAnsi="宋体" w:cs="宋体"/>
          <w:color w:val="auto"/>
          <w:kern w:val="0"/>
          <w:sz w:val="28"/>
          <w:szCs w:val="28"/>
          <w:highlight w:val="none"/>
        </w:rPr>
        <w:t>货物</w:t>
      </w:r>
      <w:r>
        <w:rPr>
          <w:rFonts w:hint="eastAsia" w:ascii="宋体" w:hAnsi="宋体" w:cs="宋体"/>
          <w:color w:val="auto"/>
          <w:kern w:val="0"/>
          <w:sz w:val="28"/>
          <w:szCs w:val="28"/>
          <w:highlight w:val="none"/>
          <w:lang w:val="zh-CN"/>
        </w:rPr>
        <w:t>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zh-CN"/>
        </w:rPr>
        <w:t xml:space="preserve">猎德分公司四期生化池搅拌机叶轮及导架 </w:t>
      </w:r>
      <w:r>
        <w:rPr>
          <w:rFonts w:hint="eastAsia" w:ascii="宋体" w:hAnsi="宋体" w:cs="宋体"/>
          <w:color w:val="auto"/>
          <w:kern w:val="0"/>
          <w:sz w:val="28"/>
          <w:szCs w:val="28"/>
          <w:highlight w:val="none"/>
          <w:lang w:val="zh-CN"/>
        </w:rPr>
        <w:t>全新的原装产品，</w:t>
      </w:r>
      <w:r>
        <w:rPr>
          <w:rFonts w:hint="eastAsia" w:ascii="宋体" w:hAnsi="宋体" w:cs="宋体"/>
          <w:color w:val="auto"/>
          <w:kern w:val="0"/>
          <w:sz w:val="28"/>
          <w:szCs w:val="28"/>
          <w:highlight w:val="none"/>
        </w:rPr>
        <w:t>其</w:t>
      </w:r>
      <w:r>
        <w:rPr>
          <w:rFonts w:hint="eastAsia" w:ascii="宋体" w:hAnsi="宋体" w:cs="宋体"/>
          <w:color w:val="auto"/>
          <w:kern w:val="0"/>
          <w:sz w:val="28"/>
          <w:szCs w:val="28"/>
          <w:highlight w:val="none"/>
          <w:lang w:val="zh-CN"/>
        </w:rPr>
        <w:t>名称、型号、规格、数量、</w:t>
      </w:r>
      <w:r>
        <w:rPr>
          <w:rFonts w:hint="eastAsia" w:ascii="宋体" w:hAnsi="宋体" w:cs="宋体"/>
          <w:color w:val="auto"/>
          <w:kern w:val="0"/>
          <w:sz w:val="28"/>
          <w:szCs w:val="28"/>
          <w:highlight w:val="none"/>
        </w:rPr>
        <w:t>品牌</w:t>
      </w:r>
      <w:r>
        <w:rPr>
          <w:rFonts w:hint="eastAsia" w:ascii="宋体" w:hAnsi="宋体" w:cs="宋体"/>
          <w:color w:val="auto"/>
          <w:kern w:val="0"/>
          <w:sz w:val="28"/>
          <w:szCs w:val="28"/>
          <w:highlight w:val="none"/>
          <w:lang w:val="zh-CN"/>
        </w:rPr>
        <w:t>详见</w:t>
      </w:r>
      <w:r>
        <w:rPr>
          <w:rFonts w:hint="eastAsia" w:ascii="宋体" w:hAnsi="宋体" w:cs="宋体"/>
          <w:color w:val="auto"/>
          <w:kern w:val="0"/>
          <w:sz w:val="28"/>
          <w:szCs w:val="28"/>
          <w:highlight w:val="none"/>
        </w:rPr>
        <w:t>附件报价清单。</w:t>
      </w:r>
      <w:bookmarkStart w:id="101" w:name="_Toc17140"/>
      <w:bookmarkStart w:id="102" w:name="_Toc474245211"/>
      <w:bookmarkStart w:id="103" w:name="_Toc520190027"/>
      <w:bookmarkStart w:id="104" w:name="_Toc518992987"/>
    </w:p>
    <w:bookmarkEnd w:id="101"/>
    <w:p>
      <w:pPr>
        <w:spacing w:after="156" w:afterLines="50" w:line="520" w:lineRule="exact"/>
        <w:ind w:firstLine="562" w:firstLineChars="200"/>
        <w:rPr>
          <w:rFonts w:ascii="宋体" w:hAnsi="宋体" w:cs="宋体"/>
          <w:color w:val="auto"/>
          <w:sz w:val="28"/>
          <w:szCs w:val="28"/>
          <w:highlight w:val="none"/>
        </w:rPr>
      </w:pPr>
      <w:bookmarkStart w:id="105" w:name="_Toc107446842"/>
      <w:bookmarkStart w:id="106" w:name="_Toc183666514"/>
      <w:bookmarkStart w:id="107" w:name="_Toc26357"/>
      <w:bookmarkStart w:id="108" w:name="_Toc107447235"/>
      <w:r>
        <w:rPr>
          <w:rFonts w:hint="eastAsia" w:ascii="宋体" w:hAnsi="宋体" w:cs="宋体"/>
          <w:b/>
          <w:color w:val="auto"/>
          <w:sz w:val="28"/>
          <w:szCs w:val="28"/>
          <w:highlight w:val="none"/>
        </w:rPr>
        <w:t>第三条 交货日期及地点</w:t>
      </w:r>
    </w:p>
    <w:p>
      <w:pPr>
        <w:spacing w:after="156" w:afterLines="50" w:line="52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3.1交货日期：</w:t>
      </w:r>
      <w:r>
        <w:rPr>
          <w:rFonts w:hint="eastAsia" w:ascii="宋体" w:hAnsi="宋体" w:cs="宋体"/>
          <w:color w:val="auto"/>
          <w:sz w:val="28"/>
          <w:szCs w:val="28"/>
          <w:highlight w:val="none"/>
          <w:u w:val="single"/>
        </w:rPr>
        <w:t>合同生效之日起45日内到货，并开箱验收合格。</w:t>
      </w:r>
    </w:p>
    <w:p>
      <w:pPr>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3.2交货地点：</w:t>
      </w:r>
      <w:r>
        <w:rPr>
          <w:rFonts w:hint="eastAsia" w:ascii="宋体" w:hAnsi="宋体" w:cs="宋体"/>
          <w:bCs/>
          <w:color w:val="auto"/>
          <w:sz w:val="28"/>
          <w:szCs w:val="28"/>
          <w:highlight w:val="none"/>
          <w:u w:val="single"/>
        </w:rPr>
        <w:t>广州市净水有限公司猎德分公司（包括甲方指定的任一收货点）</w:t>
      </w:r>
      <w:r>
        <w:rPr>
          <w:rFonts w:hint="eastAsia" w:ascii="宋体" w:hAnsi="宋体" w:cs="宋体"/>
          <w:bCs/>
          <w:color w:val="auto"/>
          <w:sz w:val="28"/>
          <w:szCs w:val="28"/>
          <w:highlight w:val="none"/>
        </w:rPr>
        <w:t>，最终具体交货地点以甲方通知为准。</w:t>
      </w:r>
    </w:p>
    <w:p>
      <w:pPr>
        <w:spacing w:after="156" w:afterLines="50" w:line="520" w:lineRule="exact"/>
        <w:ind w:firstLine="560" w:firstLineChars="200"/>
        <w:rPr>
          <w:rFonts w:ascii="宋体" w:hAnsi="宋体" w:cs="宋体"/>
          <w:b/>
          <w:color w:val="auto"/>
          <w:sz w:val="28"/>
          <w:szCs w:val="28"/>
          <w:highlight w:val="none"/>
        </w:rPr>
      </w:pPr>
      <w:r>
        <w:rPr>
          <w:rFonts w:hint="eastAsia" w:ascii="宋体" w:hAnsi="宋体" w:cs="宋体"/>
          <w:bCs/>
          <w:color w:val="auto"/>
          <w:sz w:val="28"/>
          <w:szCs w:val="28"/>
          <w:highlight w:val="none"/>
        </w:rPr>
        <w:t>3.3 其他：</w:t>
      </w:r>
      <w:r>
        <w:rPr>
          <w:rFonts w:hint="eastAsia" w:ascii="宋体" w:hAnsi="宋体" w:cs="宋体"/>
          <w:bCs/>
          <w:color w:val="auto"/>
          <w:sz w:val="28"/>
          <w:szCs w:val="28"/>
          <w:highlight w:val="none"/>
          <w:u w:val="single"/>
        </w:rPr>
        <w:t xml:space="preserve"> … </w:t>
      </w:r>
    </w:p>
    <w:p>
      <w:pPr>
        <w:spacing w:line="520" w:lineRule="exact"/>
        <w:ind w:firstLine="562" w:firstLineChars="200"/>
        <w:rPr>
          <w:rFonts w:ascii="宋体" w:hAnsi="宋体" w:cs="宋体"/>
          <w:color w:val="auto"/>
          <w:kern w:val="0"/>
          <w:sz w:val="28"/>
          <w:szCs w:val="28"/>
          <w:highlight w:val="none"/>
          <w:lang w:val="zh-CN"/>
        </w:rPr>
      </w:pPr>
      <w:r>
        <w:rPr>
          <w:rFonts w:hint="eastAsia" w:ascii="宋体" w:hAnsi="宋体" w:cs="宋体"/>
          <w:b/>
          <w:color w:val="auto"/>
          <w:sz w:val="28"/>
          <w:szCs w:val="28"/>
          <w:highlight w:val="none"/>
        </w:rPr>
        <w:t>第四条 合同价格</w:t>
      </w:r>
    </w:p>
    <w:p>
      <w:pPr>
        <w:autoSpaceDE w:val="0"/>
        <w:autoSpaceDN w:val="0"/>
        <w:adjustRightInd w:val="0"/>
        <w:spacing w:line="520" w:lineRule="exact"/>
        <w:ind w:firstLine="560" w:firstLineChars="200"/>
        <w:rPr>
          <w:rFonts w:ascii="宋体" w:hAnsi="宋体" w:cs="宋体"/>
          <w:color w:val="auto"/>
          <w:kern w:val="0"/>
          <w:sz w:val="28"/>
          <w:szCs w:val="28"/>
          <w:highlight w:val="none"/>
          <w:lang w:val="zh-CN"/>
        </w:rPr>
      </w:pPr>
      <w:r>
        <w:rPr>
          <w:rFonts w:hint="eastAsia" w:ascii="宋体" w:hAnsi="宋体" w:cs="宋体"/>
          <w:color w:val="auto"/>
          <w:sz w:val="28"/>
          <w:szCs w:val="28"/>
          <w:highlight w:val="none"/>
        </w:rPr>
        <w:t xml:space="preserve">4.1 </w:t>
      </w:r>
      <w:r>
        <w:rPr>
          <w:rFonts w:hint="eastAsia" w:ascii="宋体" w:hAnsi="宋体" w:cs="宋体"/>
          <w:color w:val="auto"/>
          <w:kern w:val="0"/>
          <w:sz w:val="28"/>
          <w:szCs w:val="28"/>
          <w:highlight w:val="none"/>
          <w:lang w:val="zh-CN"/>
        </w:rPr>
        <w:t>本合同</w:t>
      </w:r>
      <w:r>
        <w:rPr>
          <w:rFonts w:hint="eastAsia" w:ascii="宋体" w:hAnsi="宋体" w:cs="宋体"/>
          <w:color w:val="auto"/>
          <w:kern w:val="0"/>
          <w:sz w:val="28"/>
          <w:szCs w:val="28"/>
          <w:highlight w:val="none"/>
        </w:rPr>
        <w:t>暂定</w:t>
      </w:r>
      <w:r>
        <w:rPr>
          <w:rFonts w:hint="eastAsia" w:ascii="宋体" w:hAnsi="宋体" w:cs="宋体"/>
          <w:color w:val="auto"/>
          <w:kern w:val="0"/>
          <w:sz w:val="28"/>
          <w:szCs w:val="28"/>
          <w:highlight w:val="none"/>
          <w:lang w:val="zh-CN"/>
        </w:rPr>
        <w:t>总价为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lang w:val="zh-CN"/>
        </w:rPr>
        <w:t>万元，（人民币）大写：</w:t>
      </w:r>
      <w:r>
        <w:rPr>
          <w:rFonts w:hint="eastAsia" w:ascii="宋体" w:hAnsi="宋体" w:cs="宋体"/>
          <w:color w:val="auto"/>
          <w:kern w:val="0"/>
          <w:sz w:val="28"/>
          <w:szCs w:val="28"/>
          <w:highlight w:val="none"/>
          <w:u w:val="single"/>
        </w:rPr>
        <w:t xml:space="preserve"> …  </w:t>
      </w:r>
      <w:r>
        <w:rPr>
          <w:rFonts w:hint="eastAsia" w:ascii="宋体" w:hAnsi="宋体" w:cs="宋体"/>
          <w:color w:val="auto"/>
          <w:kern w:val="0"/>
          <w:sz w:val="28"/>
          <w:szCs w:val="28"/>
          <w:highlight w:val="none"/>
          <w:lang w:val="zh-CN"/>
        </w:rPr>
        <w:t xml:space="preserve">。 </w:t>
      </w:r>
    </w:p>
    <w:p>
      <w:pPr>
        <w:autoSpaceDE w:val="0"/>
        <w:autoSpaceDN w:val="0"/>
        <w:adjustRightInd w:val="0"/>
        <w:spacing w:line="520" w:lineRule="exact"/>
        <w:ind w:firstLine="560" w:firstLineChars="200"/>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4</w:t>
      </w:r>
      <w:r>
        <w:rPr>
          <w:rFonts w:hint="eastAsia" w:ascii="宋体" w:hAnsi="宋体" w:cs="宋体"/>
          <w:color w:val="auto"/>
          <w:kern w:val="0"/>
          <w:sz w:val="28"/>
          <w:szCs w:val="28"/>
          <w:highlight w:val="none"/>
          <w:lang w:val="zh-CN"/>
        </w:rPr>
        <w:t>.2</w:t>
      </w:r>
      <w:r>
        <w:rPr>
          <w:rFonts w:hint="eastAsia" w:ascii="宋体" w:hAnsi="宋体" w:cs="宋体"/>
          <w:color w:val="auto"/>
          <w:kern w:val="0"/>
          <w:sz w:val="28"/>
          <w:szCs w:val="28"/>
          <w:highlight w:val="none"/>
        </w:rPr>
        <w:t xml:space="preserve"> </w:t>
      </w:r>
      <w:r>
        <w:rPr>
          <w:rFonts w:hint="eastAsia" w:ascii="宋体" w:hAnsi="宋体" w:cs="宋体"/>
          <w:color w:val="auto"/>
          <w:kern w:val="0"/>
          <w:sz w:val="28"/>
          <w:szCs w:val="28"/>
          <w:highlight w:val="none"/>
          <w:lang w:val="zh-CN"/>
        </w:rPr>
        <w:t>合同单价为综合单价，指货物运到甲方指定地点的交货价，该价格包括但不限于：货物的生产、产品检验（含出厂及到货验收）、运输（含转运）、包装、装卸（含卸车费用）、</w:t>
      </w:r>
      <w:r>
        <w:rPr>
          <w:rFonts w:hint="eastAsia" w:ascii="宋体" w:hAnsi="宋体" w:cs="宋体"/>
          <w:color w:val="auto"/>
          <w:kern w:val="0"/>
          <w:sz w:val="28"/>
          <w:szCs w:val="28"/>
          <w:highlight w:val="none"/>
          <w:u w:val="single"/>
          <w:lang w:val="zh-CN"/>
        </w:rPr>
        <w:t>指导安装调试运行</w:t>
      </w:r>
      <w:r>
        <w:rPr>
          <w:rFonts w:hint="eastAsia" w:ascii="宋体" w:hAnsi="宋体" w:cs="宋体"/>
          <w:color w:val="auto"/>
          <w:kern w:val="0"/>
          <w:sz w:val="28"/>
          <w:szCs w:val="28"/>
          <w:highlight w:val="none"/>
          <w:lang w:val="zh-CN"/>
        </w:rPr>
        <w:t>（具体按“采购需求”）、质量抽检、培训、相关税费、保险费、物货伴随服务（包括安装使用说明书、图纸的提供、质保期服务）等全部费用。</w:t>
      </w:r>
    </w:p>
    <w:p>
      <w:pPr>
        <w:autoSpaceDE w:val="0"/>
        <w:autoSpaceDN w:val="0"/>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w:t>
      </w:r>
      <w:r>
        <w:rPr>
          <w:rFonts w:hint="eastAsia" w:ascii="宋体" w:hAnsi="宋体" w:cs="宋体"/>
          <w:color w:val="auto"/>
          <w:kern w:val="0"/>
          <w:sz w:val="28"/>
          <w:szCs w:val="28"/>
          <w:highlight w:val="none"/>
          <w:lang w:val="zh-CN"/>
        </w:rPr>
        <w:t>.3</w:t>
      </w:r>
      <w:r>
        <w:rPr>
          <w:rFonts w:hint="eastAsia" w:ascii="宋体" w:hAnsi="宋体" w:cs="宋体"/>
          <w:color w:val="auto"/>
          <w:kern w:val="0"/>
          <w:sz w:val="28"/>
          <w:szCs w:val="28"/>
          <w:highlight w:val="none"/>
        </w:rPr>
        <w:t xml:space="preserve"> 本合同约定的价格为含税价价格</w:t>
      </w:r>
      <w:r>
        <w:rPr>
          <w:rFonts w:hint="eastAsia" w:ascii="宋体" w:hAnsi="宋体" w:cs="宋体"/>
          <w:color w:val="auto"/>
          <w:sz w:val="28"/>
          <w:szCs w:val="28"/>
          <w:highlight w:val="none"/>
        </w:rPr>
        <w:t>（税率</w:t>
      </w:r>
      <w:r>
        <w:rPr>
          <w:rFonts w:hint="eastAsia" w:ascii="宋体" w:hAnsi="宋体" w:cs="宋体"/>
          <w:color w:val="auto"/>
          <w:sz w:val="28"/>
          <w:szCs w:val="28"/>
          <w:highlight w:val="none"/>
          <w:u w:val="single"/>
        </w:rPr>
        <w:t xml:space="preserve"> 13 %</w:t>
      </w:r>
      <w:r>
        <w:rPr>
          <w:rFonts w:hint="eastAsia" w:ascii="宋体" w:hAnsi="宋体" w:cs="宋体"/>
          <w:color w:val="auto"/>
          <w:sz w:val="28"/>
          <w:szCs w:val="28"/>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line="520" w:lineRule="exact"/>
        <w:ind w:firstLine="562" w:firstLineChars="200"/>
        <w:rPr>
          <w:rFonts w:ascii="宋体" w:hAnsi="宋体" w:cs="宋体"/>
          <w:b/>
          <w:color w:val="auto"/>
          <w:sz w:val="28"/>
          <w:szCs w:val="28"/>
          <w:highlight w:val="none"/>
        </w:rPr>
      </w:pPr>
      <w:bookmarkStart w:id="109" w:name="_Toc518992989"/>
      <w:bookmarkStart w:id="110" w:name="_Toc520190029"/>
      <w:bookmarkStart w:id="111" w:name="_Toc474245213"/>
      <w:bookmarkStart w:id="112" w:name="_Toc107446843"/>
      <w:bookmarkStart w:id="113" w:name="_Toc107447236"/>
      <w:r>
        <w:rPr>
          <w:rFonts w:hint="eastAsia" w:ascii="宋体" w:hAnsi="宋体" w:cs="宋体"/>
          <w:b/>
          <w:color w:val="auto"/>
          <w:sz w:val="28"/>
          <w:szCs w:val="28"/>
          <w:highlight w:val="none"/>
        </w:rPr>
        <w:t>第五条 支付方式</w:t>
      </w:r>
      <w:bookmarkEnd w:id="109"/>
      <w:bookmarkEnd w:id="110"/>
      <w:bookmarkEnd w:id="111"/>
    </w:p>
    <w:bookmarkEnd w:id="112"/>
    <w:bookmarkEnd w:id="113"/>
    <w:p>
      <w:pPr>
        <w:tabs>
          <w:tab w:val="left" w:pos="851"/>
        </w:tabs>
        <w:adjustRightInd w:val="0"/>
        <w:spacing w:line="520" w:lineRule="exact"/>
        <w:ind w:firstLine="560" w:firstLineChars="200"/>
        <w:rPr>
          <w:rFonts w:ascii="宋体" w:hAnsi="宋体" w:cs="宋体"/>
          <w:color w:val="auto"/>
          <w:sz w:val="28"/>
          <w:szCs w:val="28"/>
          <w:highlight w:val="none"/>
        </w:rPr>
      </w:pPr>
      <w:bookmarkStart w:id="114" w:name="_Toc14703"/>
      <w:bookmarkStart w:id="115" w:name="_Toc183666516"/>
      <w:r>
        <w:rPr>
          <w:rFonts w:hint="eastAsia" w:ascii="宋体" w:hAnsi="宋体" w:cs="宋体"/>
          <w:color w:val="auto"/>
          <w:sz w:val="28"/>
          <w:szCs w:val="28"/>
          <w:highlight w:val="none"/>
        </w:rPr>
        <w:t>5.1</w:t>
      </w:r>
      <w:r>
        <w:rPr>
          <w:rFonts w:hint="eastAsia" w:ascii="宋体" w:hAnsi="宋体" w:cs="宋体"/>
          <w:bCs/>
          <w:color w:val="auto"/>
          <w:sz w:val="28"/>
          <w:szCs w:val="28"/>
          <w:highlight w:val="none"/>
        </w:rPr>
        <w:t>预付款的支付：</w:t>
      </w:r>
      <w:r>
        <w:rPr>
          <w:rFonts w:hint="eastAsia" w:ascii="宋体" w:hAnsi="宋体" w:cs="宋体"/>
          <w:color w:val="auto"/>
          <w:sz w:val="28"/>
          <w:szCs w:val="28"/>
          <w:highlight w:val="none"/>
        </w:rPr>
        <w:sym w:font="Wingdings 2" w:char="00A3"/>
      </w:r>
      <w:r>
        <w:rPr>
          <w:rFonts w:hint="eastAsia" w:ascii="宋体" w:hAnsi="宋体" w:cs="宋体"/>
          <w:bCs/>
          <w:color w:val="auto"/>
          <w:sz w:val="28"/>
          <w:szCs w:val="28"/>
          <w:highlight w:val="none"/>
        </w:rPr>
        <w:t xml:space="preserve">无；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rPr>
        <w:sym w:font="Wingdings 2" w:char="F052"/>
      </w:r>
      <w:r>
        <w:rPr>
          <w:rFonts w:hint="eastAsia" w:ascii="宋体" w:hAnsi="宋体" w:cs="宋体"/>
          <w:bCs/>
          <w:color w:val="auto"/>
          <w:sz w:val="28"/>
          <w:szCs w:val="28"/>
          <w:highlight w:val="none"/>
        </w:rPr>
        <w:t>有</w:t>
      </w:r>
      <w:r>
        <w:rPr>
          <w:rFonts w:hint="eastAsia" w:ascii="宋体" w:hAnsi="宋体" w:cs="宋体"/>
          <w:color w:val="auto"/>
          <w:sz w:val="28"/>
          <w:szCs w:val="28"/>
          <w:highlight w:val="none"/>
        </w:rPr>
        <w:t>，</w:t>
      </w:r>
      <w:r>
        <w:rPr>
          <w:rFonts w:hint="eastAsia" w:ascii="宋体" w:hAnsi="宋体" w:cs="宋体"/>
          <w:bCs/>
          <w:color w:val="auto"/>
          <w:sz w:val="28"/>
          <w:szCs w:val="28"/>
          <w:highlight w:val="none"/>
        </w:rPr>
        <w:t>合同签订后，乙方开具等额的增值税专用发票</w:t>
      </w:r>
      <w:r>
        <w:rPr>
          <w:rFonts w:hint="eastAsia" w:ascii="宋体" w:hAnsi="宋体" w:cs="宋体"/>
          <w:bCs/>
          <w:color w:val="auto"/>
          <w:sz w:val="28"/>
          <w:szCs w:val="28"/>
          <w:highlight w:val="none"/>
          <w:u w:val="single"/>
        </w:rPr>
        <w:t>及提交预付款担保/履约担保（如需）</w:t>
      </w:r>
      <w:r>
        <w:rPr>
          <w:rFonts w:hint="eastAsia" w:ascii="宋体" w:hAnsi="宋体" w:cs="宋体"/>
          <w:bCs/>
          <w:color w:val="auto"/>
          <w:sz w:val="28"/>
          <w:szCs w:val="28"/>
          <w:highlight w:val="none"/>
        </w:rPr>
        <w:t>后</w:t>
      </w:r>
      <w:r>
        <w:rPr>
          <w:rFonts w:hint="eastAsia" w:ascii="宋体" w:hAnsi="宋体" w:cs="宋体"/>
          <w:bCs/>
          <w:color w:val="auto"/>
          <w:sz w:val="28"/>
          <w:szCs w:val="28"/>
          <w:highlight w:val="none"/>
          <w:u w:val="single"/>
        </w:rPr>
        <w:t>20</w:t>
      </w:r>
      <w:r>
        <w:rPr>
          <w:rFonts w:hint="eastAsia" w:ascii="宋体" w:hAnsi="宋体" w:cs="宋体"/>
          <w:bCs/>
          <w:color w:val="auto"/>
          <w:sz w:val="28"/>
          <w:szCs w:val="28"/>
          <w:highlight w:val="none"/>
        </w:rPr>
        <w:t>个工作日内，</w:t>
      </w:r>
      <w:r>
        <w:rPr>
          <w:rFonts w:hint="eastAsia" w:ascii="宋体" w:hAnsi="宋体" w:cs="宋体"/>
          <w:color w:val="auto"/>
          <w:sz w:val="28"/>
          <w:szCs w:val="28"/>
          <w:highlight w:val="none"/>
          <w:u w:val="single"/>
        </w:rPr>
        <w:t>甲方属下猎德分公司</w:t>
      </w:r>
      <w:r>
        <w:rPr>
          <w:rFonts w:hint="eastAsia" w:ascii="宋体" w:hAnsi="宋体" w:cs="宋体"/>
          <w:bCs/>
          <w:color w:val="auto"/>
          <w:sz w:val="28"/>
          <w:szCs w:val="28"/>
          <w:highlight w:val="none"/>
        </w:rPr>
        <w:t xml:space="preserve">支付合同暂定总价的 </w:t>
      </w:r>
      <w:r>
        <w:rPr>
          <w:rFonts w:hint="eastAsia" w:ascii="宋体" w:hAnsi="宋体" w:cs="宋体"/>
          <w:bCs/>
          <w:color w:val="auto"/>
          <w:sz w:val="28"/>
          <w:szCs w:val="28"/>
          <w:highlight w:val="none"/>
          <w:u w:val="single"/>
        </w:rPr>
        <w:t xml:space="preserve"> 30%</w:t>
      </w:r>
      <w:r>
        <w:rPr>
          <w:rFonts w:hint="eastAsia" w:ascii="宋体" w:hAnsi="宋体" w:cs="宋体"/>
          <w:color w:val="auto"/>
          <w:sz w:val="28"/>
          <w:szCs w:val="28"/>
          <w:highlight w:val="none"/>
        </w:rPr>
        <w:t>即</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元，（大写：</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bCs/>
          <w:color w:val="auto"/>
          <w:sz w:val="28"/>
          <w:szCs w:val="28"/>
          <w:highlight w:val="none"/>
        </w:rPr>
        <w:t>作为预付款。</w:t>
      </w:r>
      <w:r>
        <w:rPr>
          <w:rFonts w:hint="eastAsia" w:ascii="宋体" w:hAnsi="宋体" w:cs="宋体"/>
          <w:color w:val="auto"/>
          <w:sz w:val="28"/>
          <w:szCs w:val="28"/>
          <w:highlight w:val="none"/>
        </w:rPr>
        <w:t>若合同解除或终止，乙方在</w:t>
      </w:r>
      <w:r>
        <w:rPr>
          <w:rFonts w:hint="eastAsia" w:ascii="宋体" w:hAnsi="宋体" w:cs="宋体"/>
          <w:color w:val="auto"/>
          <w:sz w:val="28"/>
          <w:szCs w:val="28"/>
          <w:highlight w:val="none"/>
          <w:u w:val="single"/>
        </w:rPr>
        <w:t xml:space="preserve"> 5 </w:t>
      </w:r>
      <w:r>
        <w:rPr>
          <w:rFonts w:hint="eastAsia" w:ascii="宋体" w:hAnsi="宋体" w:cs="宋体"/>
          <w:color w:val="auto"/>
          <w:sz w:val="28"/>
          <w:szCs w:val="28"/>
          <w:highlight w:val="none"/>
        </w:rPr>
        <w:t>个工作日内返还预付款（无息）。</w:t>
      </w:r>
      <w:r>
        <w:rPr>
          <w:rFonts w:hint="eastAsia" w:ascii="宋体" w:hAnsi="宋体" w:cs="宋体"/>
          <w:bCs/>
          <w:color w:val="auto"/>
          <w:kern w:val="0"/>
          <w:sz w:val="28"/>
          <w:szCs w:val="28"/>
          <w:highlight w:val="none"/>
        </w:rPr>
        <w:t>逾期未返还，每逾期一天，乙方应按合同暂定总价的</w:t>
      </w:r>
      <w:r>
        <w:rPr>
          <w:rFonts w:hint="eastAsia" w:ascii="宋体" w:hAnsi="宋体" w:cs="宋体"/>
          <w:bCs/>
          <w:color w:val="auto"/>
          <w:kern w:val="0"/>
          <w:sz w:val="28"/>
          <w:szCs w:val="28"/>
          <w:highlight w:val="none"/>
          <w:u w:val="single"/>
        </w:rPr>
        <w:t>万分之五/天</w:t>
      </w:r>
      <w:r>
        <w:rPr>
          <w:rFonts w:hint="eastAsia" w:ascii="宋体" w:hAnsi="宋体" w:cs="宋体"/>
          <w:bCs/>
          <w:color w:val="auto"/>
          <w:kern w:val="0"/>
          <w:sz w:val="28"/>
          <w:szCs w:val="28"/>
          <w:highlight w:val="none"/>
        </w:rPr>
        <w:t>支付违约金</w:t>
      </w:r>
      <w:r>
        <w:rPr>
          <w:rFonts w:hint="eastAsia" w:ascii="宋体" w:hAnsi="宋体" w:cs="宋体"/>
          <w:color w:val="auto"/>
          <w:sz w:val="28"/>
          <w:szCs w:val="28"/>
          <w:highlight w:val="none"/>
        </w:rPr>
        <w:t>。</w:t>
      </w:r>
    </w:p>
    <w:p>
      <w:pPr>
        <w:tabs>
          <w:tab w:val="left" w:pos="851"/>
        </w:tabs>
        <w:adjustRightInd w:val="0"/>
        <w:spacing w:line="520" w:lineRule="exact"/>
        <w:ind w:left="479" w:leftChars="228"/>
        <w:rPr>
          <w:rFonts w:ascii="宋体" w:hAnsi="宋体" w:cs="宋体"/>
          <w:color w:val="auto"/>
          <w:sz w:val="28"/>
          <w:szCs w:val="28"/>
          <w:highlight w:val="none"/>
        </w:rPr>
      </w:pPr>
      <w:r>
        <w:rPr>
          <w:rFonts w:hint="eastAsia" w:ascii="宋体" w:hAnsi="宋体" w:cs="宋体"/>
          <w:color w:val="auto"/>
          <w:sz w:val="28"/>
          <w:szCs w:val="28"/>
          <w:highlight w:val="none"/>
        </w:rPr>
        <w:t>5.2 支付方式</w:t>
      </w:r>
    </w:p>
    <w:p>
      <w:pPr>
        <w:tabs>
          <w:tab w:val="left" w:pos="851"/>
        </w:tabs>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5.2.1乙方按时交付合同货物后，</w:t>
      </w:r>
      <w:r>
        <w:rPr>
          <w:rFonts w:hint="eastAsia" w:ascii="宋体" w:hAnsi="宋体" w:cs="宋体"/>
          <w:color w:val="auto"/>
          <w:sz w:val="28"/>
          <w:szCs w:val="28"/>
          <w:highlight w:val="none"/>
          <w:u w:val="single"/>
        </w:rPr>
        <w:t>甲方属下猎德分公司</w:t>
      </w:r>
      <w:r>
        <w:rPr>
          <w:rFonts w:hint="eastAsia" w:ascii="宋体" w:hAnsi="宋体" w:cs="宋体"/>
          <w:color w:val="auto"/>
          <w:sz w:val="28"/>
          <w:szCs w:val="28"/>
          <w:highlight w:val="none"/>
        </w:rPr>
        <w:t>向乙方支付至该批次设备合同价格的</w:t>
      </w:r>
      <w:r>
        <w:rPr>
          <w:rFonts w:hint="eastAsia" w:ascii="宋体" w:hAnsi="宋体" w:cs="宋体"/>
          <w:color w:val="auto"/>
          <w:sz w:val="28"/>
          <w:szCs w:val="28"/>
          <w:highlight w:val="none"/>
          <w:u w:val="single"/>
        </w:rPr>
        <w:t>80%</w:t>
      </w:r>
      <w:r>
        <w:rPr>
          <w:rFonts w:hint="eastAsia" w:ascii="宋体" w:hAnsi="宋体" w:cs="宋体"/>
          <w:color w:val="auto"/>
          <w:sz w:val="28"/>
          <w:szCs w:val="28"/>
          <w:highlight w:val="none"/>
        </w:rPr>
        <w:t>。当预付款不足抵扣时，</w:t>
      </w:r>
      <w:r>
        <w:rPr>
          <w:rFonts w:hint="eastAsia" w:ascii="宋体" w:hAnsi="宋体" w:cs="宋体"/>
          <w:color w:val="auto"/>
          <w:sz w:val="28"/>
          <w:szCs w:val="28"/>
          <w:highlight w:val="none"/>
          <w:u w:val="single"/>
        </w:rPr>
        <w:t>甲方属下猎德分公司</w:t>
      </w:r>
      <w:r>
        <w:rPr>
          <w:rFonts w:hint="eastAsia" w:ascii="宋体" w:hAnsi="宋体" w:cs="宋体"/>
          <w:color w:val="auto"/>
          <w:sz w:val="28"/>
          <w:szCs w:val="28"/>
          <w:highlight w:val="none"/>
        </w:rPr>
        <w:t>在该部分设备经检验合格及收到等额的增值税专用发票后</w:t>
      </w:r>
      <w:r>
        <w:rPr>
          <w:rFonts w:hint="eastAsia" w:ascii="宋体" w:hAnsi="宋体" w:cs="宋体"/>
          <w:color w:val="auto"/>
          <w:sz w:val="28"/>
          <w:szCs w:val="28"/>
          <w:highlight w:val="none"/>
          <w:u w:val="single"/>
        </w:rPr>
        <w:t> 28 </w:t>
      </w:r>
      <w:r>
        <w:rPr>
          <w:rFonts w:hint="eastAsia" w:ascii="宋体" w:hAnsi="宋体" w:cs="宋体"/>
          <w:color w:val="auto"/>
          <w:sz w:val="28"/>
          <w:szCs w:val="28"/>
          <w:highlight w:val="none"/>
        </w:rPr>
        <w:t>日内向乙方支付至该批次设备合同价格的</w:t>
      </w:r>
      <w:r>
        <w:rPr>
          <w:rFonts w:hint="eastAsia" w:ascii="宋体" w:hAnsi="宋体" w:cs="宋体"/>
          <w:color w:val="auto"/>
          <w:sz w:val="28"/>
          <w:szCs w:val="28"/>
          <w:highlight w:val="none"/>
          <w:u w:val="single"/>
        </w:rPr>
        <w:t>80%</w:t>
      </w:r>
      <w:r>
        <w:rPr>
          <w:rFonts w:hint="eastAsia" w:ascii="宋体" w:hAnsi="宋体" w:cs="宋体"/>
          <w:color w:val="auto"/>
          <w:sz w:val="28"/>
          <w:szCs w:val="28"/>
          <w:highlight w:val="none"/>
        </w:rPr>
        <w:t>。</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xml:space="preserve">    5.2.2乙方按合同约定交付全部合同设备后，经甲方结算审核后，</w:t>
      </w:r>
      <w:r>
        <w:rPr>
          <w:rFonts w:hint="eastAsia" w:ascii="宋体" w:hAnsi="宋体" w:cs="宋体"/>
          <w:color w:val="auto"/>
          <w:sz w:val="28"/>
          <w:szCs w:val="28"/>
          <w:highlight w:val="none"/>
          <w:u w:val="single"/>
        </w:rPr>
        <w:t>甲方属下猎德分公司</w:t>
      </w:r>
      <w:r>
        <w:rPr>
          <w:rFonts w:hint="eastAsia" w:ascii="宋体" w:hAnsi="宋体" w:cs="宋体"/>
          <w:color w:val="auto"/>
          <w:sz w:val="28"/>
          <w:szCs w:val="28"/>
          <w:highlight w:val="none"/>
        </w:rPr>
        <w:t>收到等额的增值税专用发票后</w:t>
      </w:r>
      <w:r>
        <w:rPr>
          <w:rFonts w:hint="eastAsia" w:ascii="宋体" w:hAnsi="宋体" w:cs="宋体"/>
          <w:color w:val="auto"/>
          <w:sz w:val="28"/>
          <w:szCs w:val="28"/>
          <w:highlight w:val="none"/>
          <w:u w:val="single"/>
        </w:rPr>
        <w:t> 30 </w:t>
      </w:r>
      <w:r>
        <w:rPr>
          <w:rFonts w:hint="eastAsia" w:ascii="宋体" w:hAnsi="宋体" w:cs="宋体"/>
          <w:color w:val="auto"/>
          <w:sz w:val="28"/>
          <w:szCs w:val="28"/>
          <w:highlight w:val="none"/>
        </w:rPr>
        <w:t>个工作日内，支付至合同结算审定价的95%（含预付款）（若结算审核价低于合同暂定总价，则以结算审核价作为合同结算价，否则以合同暂定总价为合同结算价），合同结算价的5%作为质保金留存。</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xml:space="preserve">    5.2.3质保期按合同规定执行，质保期满且乙方不存在违约情形，乙方提交请款资料及等额增值税专用发票，甲方审核无误后在</w:t>
      </w:r>
      <w:r>
        <w:rPr>
          <w:rFonts w:hint="eastAsia" w:ascii="宋体" w:hAnsi="宋体" w:cs="宋体"/>
          <w:color w:val="auto"/>
          <w:sz w:val="28"/>
          <w:szCs w:val="28"/>
          <w:highlight w:val="none"/>
          <w:u w:val="single"/>
        </w:rPr>
        <w:t> 30 </w:t>
      </w:r>
      <w:r>
        <w:rPr>
          <w:rFonts w:hint="eastAsia" w:ascii="宋体" w:hAnsi="宋体" w:cs="宋体"/>
          <w:color w:val="auto"/>
          <w:sz w:val="28"/>
          <w:szCs w:val="28"/>
          <w:highlight w:val="none"/>
        </w:rPr>
        <w:t>个工作日内支付合同结算价的5％（质保金）给乙方(无息)。</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5.2.4乙方收款账户：</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w:t>
      </w:r>
    </w:p>
    <w:p>
      <w:pPr>
        <w:spacing w:line="520" w:lineRule="exact"/>
        <w:ind w:firstLine="1400" w:firstLineChars="500"/>
        <w:rPr>
          <w:rFonts w:ascii="宋体" w:hAnsi="宋体" w:cs="宋体"/>
          <w:color w:val="auto"/>
          <w:sz w:val="28"/>
          <w:szCs w:val="28"/>
          <w:highlight w:val="none"/>
        </w:rPr>
      </w:pPr>
      <w:r>
        <w:rPr>
          <w:rFonts w:hint="eastAsia" w:ascii="宋体" w:hAnsi="宋体" w:cs="宋体"/>
          <w:color w:val="auto"/>
          <w:sz w:val="28"/>
          <w:szCs w:val="28"/>
          <w:highlight w:val="none"/>
        </w:rPr>
        <w:t>收款账号：</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w:t>
      </w:r>
    </w:p>
    <w:p>
      <w:pPr>
        <w:spacing w:line="520" w:lineRule="exact"/>
        <w:ind w:firstLine="1400" w:firstLineChars="500"/>
        <w:rPr>
          <w:rFonts w:ascii="宋体" w:hAnsi="宋体" w:cs="宋体"/>
          <w:color w:val="auto"/>
          <w:sz w:val="28"/>
          <w:szCs w:val="28"/>
          <w:highlight w:val="none"/>
        </w:rPr>
      </w:pPr>
      <w:r>
        <w:rPr>
          <w:rFonts w:hint="eastAsia" w:ascii="宋体" w:hAnsi="宋体" w:cs="宋体"/>
          <w:color w:val="auto"/>
          <w:sz w:val="28"/>
          <w:szCs w:val="28"/>
          <w:highlight w:val="none"/>
        </w:rPr>
        <w:t>开户行：</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5.2.5乙方在收款前需向甲方提交等额增值税专用发票，增值税专用发票信息：</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名称：广州市净水有限公司</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税号：</w:t>
      </w:r>
      <w:r>
        <w:rPr>
          <w:rFonts w:hint="eastAsia" w:ascii="宋体" w:hAnsi="宋体" w:cs="宋体"/>
          <w:color w:val="auto"/>
          <w:sz w:val="28"/>
          <w:szCs w:val="28"/>
          <w:highlight w:val="none"/>
          <w:u w:val="single"/>
        </w:rPr>
        <w:t>91440101755584729Q</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地址及电话：</w:t>
      </w:r>
      <w:r>
        <w:rPr>
          <w:rFonts w:hint="eastAsia" w:ascii="宋体" w:hAnsi="宋体" w:cs="宋体"/>
          <w:color w:val="auto"/>
          <w:sz w:val="28"/>
          <w:szCs w:val="28"/>
          <w:highlight w:val="none"/>
          <w:u w:val="single"/>
        </w:rPr>
        <w:t>广州市天河区临江大道501号 020-38890283</w:t>
      </w:r>
      <w:r>
        <w:rPr>
          <w:rFonts w:hint="eastAsia" w:ascii="宋体" w:hAnsi="宋体" w:cs="宋体"/>
          <w:color w:val="auto"/>
          <w:sz w:val="28"/>
          <w:szCs w:val="28"/>
          <w:highlight w:val="none"/>
        </w:rPr>
        <w:t>；</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开户行/账号：</w:t>
      </w:r>
      <w:r>
        <w:rPr>
          <w:rFonts w:hint="eastAsia" w:ascii="宋体" w:hAnsi="宋体" w:cs="宋体"/>
          <w:color w:val="auto"/>
          <w:sz w:val="28"/>
          <w:szCs w:val="28"/>
          <w:highlight w:val="none"/>
          <w:u w:val="single"/>
        </w:rPr>
        <w:t>民生银行广州分行0301014140006932</w:t>
      </w:r>
      <w:r>
        <w:rPr>
          <w:rFonts w:hint="eastAsia" w:ascii="宋体" w:hAnsi="宋体" w:cs="宋体"/>
          <w:color w:val="auto"/>
          <w:sz w:val="28"/>
          <w:szCs w:val="28"/>
          <w:highlight w:val="none"/>
        </w:rPr>
        <w:t>。</w:t>
      </w:r>
    </w:p>
    <w:p>
      <w:pPr>
        <w:tabs>
          <w:tab w:val="left" w:pos="851"/>
        </w:tabs>
        <w:adjustRightInd w:val="0"/>
        <w:spacing w:line="520" w:lineRule="exact"/>
        <w:ind w:firstLine="560" w:firstLineChars="200"/>
        <w:outlineLvl w:val="1"/>
        <w:rPr>
          <w:rFonts w:ascii="宋体" w:hAnsi="宋体" w:cs="宋体"/>
          <w:color w:val="auto"/>
          <w:sz w:val="28"/>
          <w:szCs w:val="28"/>
          <w:highlight w:val="none"/>
        </w:rPr>
      </w:pPr>
      <w:r>
        <w:rPr>
          <w:rFonts w:hint="eastAsia" w:ascii="宋体" w:hAnsi="宋体" w:cs="宋体"/>
          <w:color w:val="auto"/>
          <w:sz w:val="28"/>
          <w:szCs w:val="28"/>
          <w:highlight w:val="none"/>
        </w:rPr>
        <w:t xml:space="preserve">5.3付款方式： </w:t>
      </w:r>
      <w:r>
        <w:rPr>
          <w:rFonts w:hint="eastAsia" w:ascii="宋体" w:hAnsi="宋体" w:cs="宋体"/>
          <w:color w:val="auto"/>
          <w:sz w:val="28"/>
          <w:szCs w:val="28"/>
          <w:highlight w:val="none"/>
        </w:rPr>
        <w:sym w:font="Wingdings 2" w:char="F052"/>
      </w:r>
      <w:r>
        <w:rPr>
          <w:rFonts w:hint="eastAsia" w:ascii="宋体" w:hAnsi="宋体" w:cs="宋体"/>
          <w:color w:val="auto"/>
          <w:sz w:val="28"/>
          <w:szCs w:val="28"/>
          <w:highlight w:val="none"/>
        </w:rPr>
        <w:t xml:space="preserve">网银支付；  </w:t>
      </w:r>
      <w:r>
        <w:rPr>
          <w:rFonts w:hint="eastAsia" w:ascii="宋体" w:hAnsi="宋体" w:cs="宋体"/>
          <w:color w:val="auto"/>
          <w:sz w:val="28"/>
          <w:szCs w:val="28"/>
          <w:highlight w:val="none"/>
        </w:rPr>
        <w:sym w:font="Wingdings" w:char="00A8"/>
      </w:r>
      <w:r>
        <w:rPr>
          <w:rFonts w:hint="eastAsia" w:ascii="宋体" w:hAnsi="宋体" w:cs="宋体"/>
          <w:color w:val="auto"/>
          <w:sz w:val="28"/>
          <w:szCs w:val="28"/>
          <w:highlight w:val="none"/>
        </w:rPr>
        <w:t xml:space="preserve">支票；   </w:t>
      </w:r>
      <w:r>
        <w:rPr>
          <w:rFonts w:hint="eastAsia" w:ascii="宋体" w:hAnsi="宋体" w:cs="宋体"/>
          <w:color w:val="auto"/>
          <w:sz w:val="28"/>
          <w:szCs w:val="28"/>
          <w:highlight w:val="none"/>
        </w:rPr>
        <w:sym w:font="Wingdings" w:char="00A8"/>
      </w:r>
      <w:r>
        <w:rPr>
          <w:rFonts w:hint="eastAsia" w:ascii="宋体" w:hAnsi="宋体" w:cs="宋体"/>
          <w:color w:val="auto"/>
          <w:sz w:val="28"/>
          <w:szCs w:val="28"/>
          <w:highlight w:val="none"/>
        </w:rPr>
        <w:t xml:space="preserve">其他：       </w:t>
      </w:r>
    </w:p>
    <w:p>
      <w:pPr>
        <w:numPr>
          <w:ilvl w:val="0"/>
          <w:numId w:val="4"/>
        </w:numPr>
        <w:autoSpaceDE w:val="0"/>
        <w:autoSpaceDN w:val="0"/>
        <w:adjustRightInd w:val="0"/>
        <w:spacing w:line="520" w:lineRule="exact"/>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履约担保及预付款保函</w:t>
      </w:r>
    </w:p>
    <w:p>
      <w:pPr>
        <w:spacing w:line="520" w:lineRule="exact"/>
        <w:ind w:firstLine="560" w:firstLineChars="200"/>
        <w:outlineLvl w:val="0"/>
        <w:rPr>
          <w:rFonts w:ascii="宋体" w:hAnsi="宋体" w:cs="宋体"/>
          <w:color w:val="auto"/>
          <w:sz w:val="28"/>
          <w:szCs w:val="28"/>
          <w:highlight w:val="none"/>
          <w:u w:val="single"/>
        </w:rPr>
      </w:pPr>
      <w:r>
        <w:rPr>
          <w:rFonts w:hint="eastAsia" w:ascii="宋体" w:hAnsi="宋体" w:cs="宋体"/>
          <w:color w:val="auto"/>
          <w:sz w:val="28"/>
          <w:szCs w:val="28"/>
          <w:highlight w:val="none"/>
        </w:rPr>
        <w:t>6.1履约担保：</w:t>
      </w:r>
      <w:r>
        <w:rPr>
          <w:rFonts w:hint="eastAsia" w:ascii="宋体" w:hAnsi="宋体" w:cs="宋体"/>
          <w:color w:val="auto"/>
          <w:sz w:val="28"/>
          <w:szCs w:val="28"/>
          <w:highlight w:val="none"/>
        </w:rPr>
        <w:sym w:font="Wingdings" w:char="00A8"/>
      </w:r>
      <w:r>
        <w:rPr>
          <w:rFonts w:hint="eastAsia" w:ascii="宋体" w:hAnsi="宋体" w:cs="宋体"/>
          <w:bCs/>
          <w:color w:val="auto"/>
          <w:sz w:val="28"/>
          <w:szCs w:val="28"/>
          <w:highlight w:val="none"/>
        </w:rPr>
        <w:t xml:space="preserve">无；   </w:t>
      </w:r>
      <w:r>
        <w:rPr>
          <w:rFonts w:hint="eastAsia" w:ascii="宋体" w:hAnsi="宋体" w:cs="宋体"/>
          <w:color w:val="auto"/>
          <w:sz w:val="28"/>
          <w:szCs w:val="28"/>
          <w:highlight w:val="none"/>
        </w:rPr>
        <w:sym w:font="Wingdings 2" w:char="F052"/>
      </w:r>
      <w:r>
        <w:rPr>
          <w:rFonts w:hint="eastAsia" w:ascii="宋体" w:hAnsi="宋体" w:cs="宋体"/>
          <w:bCs/>
          <w:color w:val="auto"/>
          <w:sz w:val="28"/>
          <w:szCs w:val="28"/>
          <w:highlight w:val="none"/>
        </w:rPr>
        <w:t>有，</w:t>
      </w:r>
      <w:r>
        <w:rPr>
          <w:rFonts w:hint="eastAsia" w:ascii="宋体" w:hAnsi="宋体" w:cs="宋体"/>
          <w:color w:val="auto"/>
          <w:sz w:val="28"/>
          <w:szCs w:val="28"/>
          <w:highlight w:val="none"/>
        </w:rPr>
        <w:t>本合同签订后10日内</w:t>
      </w:r>
      <w:r>
        <w:rPr>
          <w:rFonts w:hint="eastAsia" w:ascii="宋体" w:hAnsi="宋体" w:cs="宋体"/>
          <w:color w:val="auto"/>
          <w:sz w:val="28"/>
          <w:szCs w:val="28"/>
          <w:highlight w:val="none"/>
          <w:u w:val="single"/>
        </w:rPr>
        <w:t>以合同暂定总价的15%作为履约保证金，</w:t>
      </w:r>
      <w:r>
        <w:rPr>
          <w:rFonts w:hint="eastAsia" w:ascii="宋体" w:hAnsi="宋体" w:cs="宋体"/>
          <w:color w:val="auto"/>
          <w:sz w:val="28"/>
          <w:szCs w:val="28"/>
          <w:highlight w:val="none"/>
        </w:rPr>
        <w:t>金额为：</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（大写人民币：</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w:t>
      </w:r>
    </w:p>
    <w:p>
      <w:pPr>
        <w:pStyle w:val="22"/>
        <w:spacing w:before="0" w:beforeAutospacing="0" w:after="0" w:afterAutospacing="0" w:line="520" w:lineRule="exact"/>
        <w:ind w:firstLine="480"/>
        <w:rPr>
          <w:rFonts w:cs="宋体"/>
          <w:color w:val="auto"/>
          <w:sz w:val="28"/>
          <w:szCs w:val="28"/>
          <w:highlight w:val="none"/>
        </w:rPr>
      </w:pPr>
      <w:r>
        <w:rPr>
          <w:rFonts w:hint="eastAsia" w:cs="宋体"/>
          <w:color w:val="auto"/>
          <w:sz w:val="28"/>
          <w:szCs w:val="28"/>
          <w:highlight w:val="none"/>
        </w:rPr>
        <w:t>6.2履约担保按以下任一种形式提供：</w:t>
      </w:r>
    </w:p>
    <w:p>
      <w:pPr>
        <w:pStyle w:val="22"/>
        <w:spacing w:before="0" w:beforeAutospacing="0" w:after="0" w:afterAutospacing="0" w:line="520" w:lineRule="exact"/>
        <w:ind w:firstLine="480"/>
        <w:rPr>
          <w:rFonts w:cs="宋体"/>
          <w:color w:val="auto"/>
          <w:sz w:val="28"/>
          <w:szCs w:val="28"/>
          <w:highlight w:val="none"/>
        </w:rPr>
      </w:pPr>
      <w:r>
        <w:rPr>
          <w:rFonts w:hint="eastAsia" w:cs="宋体"/>
          <w:color w:val="auto"/>
          <w:sz w:val="28"/>
          <w:szCs w:val="28"/>
          <w:highlight w:val="none"/>
        </w:rPr>
        <w:t>1、符合甲方要求（详见附件保函格式）的银行独立保函，</w:t>
      </w:r>
    </w:p>
    <w:p>
      <w:pPr>
        <w:pStyle w:val="22"/>
        <w:spacing w:before="0" w:beforeAutospacing="0" w:after="0" w:afterAutospacing="0" w:line="520" w:lineRule="exact"/>
        <w:ind w:firstLine="480"/>
        <w:rPr>
          <w:rFonts w:cs="宋体"/>
          <w:color w:val="auto"/>
          <w:sz w:val="28"/>
          <w:szCs w:val="28"/>
          <w:highlight w:val="none"/>
        </w:rPr>
      </w:pPr>
      <w:r>
        <w:rPr>
          <w:rFonts w:hint="eastAsia" w:cs="宋体"/>
          <w:color w:val="auto"/>
          <w:sz w:val="28"/>
          <w:szCs w:val="28"/>
          <w:highlight w:val="none"/>
        </w:rPr>
        <w:t>2、现金转账至甲方以下指定账户：</w:t>
      </w:r>
    </w:p>
    <w:p>
      <w:pPr>
        <w:tabs>
          <w:tab w:val="left" w:pos="1995"/>
        </w:tabs>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户名：广州市净水有限公司</w:t>
      </w:r>
    </w:p>
    <w:p>
      <w:pPr>
        <w:tabs>
          <w:tab w:val="left" w:pos="1995"/>
        </w:tabs>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账号：82010154900000342</w:t>
      </w:r>
    </w:p>
    <w:p>
      <w:pPr>
        <w:tabs>
          <w:tab w:val="left" w:pos="1995"/>
        </w:tabs>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开户行：浦发银行广州分行</w:t>
      </w:r>
    </w:p>
    <w:p>
      <w:pPr>
        <w:spacing w:line="520" w:lineRule="exact"/>
        <w:ind w:firstLine="480"/>
        <w:outlineLvl w:val="0"/>
        <w:rPr>
          <w:rFonts w:ascii="宋体" w:hAnsi="宋体" w:cs="宋体"/>
          <w:color w:val="auto"/>
          <w:sz w:val="28"/>
          <w:szCs w:val="28"/>
          <w:highlight w:val="none"/>
        </w:rPr>
      </w:pPr>
      <w:r>
        <w:rPr>
          <w:rFonts w:hint="eastAsia" w:ascii="宋体" w:hAnsi="宋体" w:cs="宋体"/>
          <w:color w:val="auto"/>
          <w:sz w:val="28"/>
          <w:szCs w:val="28"/>
          <w:highlight w:val="none"/>
        </w:rPr>
        <w:t>6.3履约担保的担保期限和返还</w:t>
      </w:r>
    </w:p>
    <w:p>
      <w:pPr>
        <w:spacing w:line="520" w:lineRule="exact"/>
        <w:ind w:firstLine="480"/>
        <w:outlineLvl w:val="0"/>
        <w:rPr>
          <w:rFonts w:ascii="宋体" w:hAnsi="宋体" w:cs="宋体"/>
          <w:color w:val="auto"/>
          <w:sz w:val="28"/>
          <w:szCs w:val="28"/>
          <w:highlight w:val="none"/>
        </w:rPr>
      </w:pPr>
      <w:r>
        <w:rPr>
          <w:rFonts w:hint="eastAsia" w:ascii="宋体" w:hAnsi="宋体" w:cs="宋体"/>
          <w:color w:val="auto"/>
          <w:sz w:val="28"/>
          <w:szCs w:val="28"/>
          <w:highlight w:val="none"/>
        </w:rPr>
        <w:t>6.4履约银行保函（或现金履约保证金）的担保期限：从提供履约担保（或转账成功）之日起至合同履行完成。</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6.5履约银行保函在合同履行完成后，由乙方提出申请，甲方在28日内返还，不支付利息； </w:t>
      </w:r>
    </w:p>
    <w:p>
      <w:pPr>
        <w:spacing w:line="520" w:lineRule="exact"/>
        <w:ind w:firstLine="560" w:firstLineChars="200"/>
        <w:outlineLvl w:val="0"/>
        <w:rPr>
          <w:rFonts w:ascii="宋体" w:hAnsi="宋体" w:cs="宋体"/>
          <w:color w:val="auto"/>
          <w:sz w:val="28"/>
          <w:szCs w:val="28"/>
          <w:highlight w:val="none"/>
        </w:rPr>
      </w:pPr>
      <w:r>
        <w:rPr>
          <w:rFonts w:hint="eastAsia" w:ascii="宋体" w:hAnsi="宋体" w:cs="宋体"/>
          <w:color w:val="auto"/>
          <w:sz w:val="28"/>
          <w:szCs w:val="28"/>
          <w:highlight w:val="none"/>
        </w:rPr>
        <w:t>6.6延长担保期限：履约银行保函形式提交履约保证金的，在银行保函到期前，乙方应提前</w:t>
      </w:r>
      <w:r>
        <w:rPr>
          <w:rFonts w:hint="eastAsia" w:ascii="宋体" w:hAnsi="宋体" w:cs="宋体"/>
          <w:color w:val="auto"/>
          <w:sz w:val="28"/>
          <w:szCs w:val="28"/>
          <w:highlight w:val="none"/>
          <w:u w:val="single"/>
        </w:rPr>
        <w:t xml:space="preserve"> 7 </w:t>
      </w:r>
      <w:r>
        <w:rPr>
          <w:rFonts w:hint="eastAsia" w:ascii="宋体" w:hAnsi="宋体" w:cs="宋体"/>
          <w:color w:val="auto"/>
          <w:sz w:val="28"/>
          <w:szCs w:val="28"/>
          <w:highlight w:val="none"/>
        </w:rPr>
        <w:t>天向甲方提交新的保函以替换即将到期的保函。如乙方未及时提交的，甲方有权直接要求担保银行支付其担保的全部金额并解除合同。</w:t>
      </w:r>
    </w:p>
    <w:p>
      <w:pPr>
        <w:pStyle w:val="22"/>
        <w:spacing w:before="0" w:beforeAutospacing="0" w:after="0" w:afterAutospacing="0" w:line="520" w:lineRule="exact"/>
        <w:ind w:firstLine="525"/>
        <w:rPr>
          <w:rFonts w:cs="宋体"/>
          <w:color w:val="auto"/>
          <w:sz w:val="28"/>
          <w:szCs w:val="28"/>
          <w:highlight w:val="none"/>
        </w:rPr>
      </w:pPr>
      <w:r>
        <w:rPr>
          <w:rFonts w:hint="eastAsia" w:cs="宋体"/>
          <w:color w:val="auto"/>
          <w:sz w:val="28"/>
          <w:szCs w:val="28"/>
          <w:highlight w:val="none"/>
        </w:rPr>
        <w:t>6.7现金履约保证金的退还：合同履行完成后，由乙方提出申请，甲方在28天内将剩余履约保证金（无息）返还。</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6.8甲方按合同约定提取履约担保金额后，乙方应在收到甲方通知后</w:t>
      </w:r>
      <w:r>
        <w:rPr>
          <w:rFonts w:hint="eastAsia" w:ascii="宋体" w:hAnsi="宋体" w:cs="宋体"/>
          <w:color w:val="auto"/>
          <w:sz w:val="28"/>
          <w:szCs w:val="28"/>
          <w:highlight w:val="none"/>
          <w:u w:val="single"/>
        </w:rPr>
        <w:t xml:space="preserve"> 7 </w:t>
      </w:r>
      <w:r>
        <w:rPr>
          <w:rFonts w:hint="eastAsia" w:ascii="宋体" w:hAnsi="宋体" w:cs="宋体"/>
          <w:color w:val="auto"/>
          <w:sz w:val="28"/>
          <w:szCs w:val="28"/>
          <w:highlight w:val="none"/>
        </w:rPr>
        <w:t>天内补足数额，逾期未补足，则甲方有权提取履约担保的全部余额并解除合同。</w:t>
      </w:r>
    </w:p>
    <w:p>
      <w:pPr>
        <w:spacing w:line="480" w:lineRule="exact"/>
        <w:ind w:firstLine="480"/>
        <w:rPr>
          <w:rFonts w:ascii="宋体" w:hAnsi="宋体" w:cs="宋体"/>
          <w:color w:val="auto"/>
          <w:sz w:val="28"/>
          <w:szCs w:val="28"/>
          <w:highlight w:val="none"/>
        </w:rPr>
      </w:pPr>
      <w:r>
        <w:rPr>
          <w:rFonts w:hint="eastAsia" w:ascii="宋体" w:hAnsi="宋体" w:cs="宋体"/>
          <w:color w:val="auto"/>
          <w:sz w:val="28"/>
          <w:szCs w:val="28"/>
          <w:highlight w:val="none"/>
        </w:rPr>
        <w:t>6.9预付款保函</w:t>
      </w:r>
    </w:p>
    <w:p>
      <w:pPr>
        <w:spacing w:line="480" w:lineRule="exact"/>
        <w:ind w:firstLine="480"/>
        <w:rPr>
          <w:rFonts w:ascii="宋体" w:hAnsi="宋体" w:cs="宋体"/>
          <w:color w:val="auto"/>
          <w:sz w:val="28"/>
          <w:szCs w:val="28"/>
          <w:highlight w:val="none"/>
        </w:rPr>
      </w:pPr>
      <w:r>
        <w:rPr>
          <w:rFonts w:hint="eastAsia" w:ascii="宋体" w:hAnsi="宋体" w:cs="宋体"/>
          <w:color w:val="auto"/>
          <w:sz w:val="28"/>
          <w:szCs w:val="28"/>
          <w:highlight w:val="none"/>
        </w:rPr>
        <w:t>6.9.1预付款保函的担保金额应与预付款金额相同。预付款保函的担保金额可根据完成的工作量的金额相应递减。</w:t>
      </w:r>
    </w:p>
    <w:p>
      <w:pPr>
        <w:pStyle w:val="7"/>
        <w:ind w:firstLine="560"/>
        <w:rPr>
          <w:rFonts w:ascii="宋体" w:hAnsi="宋体" w:cs="宋体" w:eastAsiaTheme="minorEastAsia"/>
          <w:color w:val="auto"/>
          <w:kern w:val="2"/>
          <w:sz w:val="28"/>
          <w:szCs w:val="28"/>
          <w:highlight w:val="none"/>
        </w:rPr>
      </w:pPr>
      <w:r>
        <w:rPr>
          <w:rFonts w:hint="eastAsia" w:ascii="宋体" w:hAnsi="宋体" w:cs="宋体" w:eastAsiaTheme="minorEastAsia"/>
          <w:color w:val="auto"/>
          <w:kern w:val="2"/>
          <w:sz w:val="28"/>
          <w:szCs w:val="28"/>
          <w:highlight w:val="none"/>
        </w:rPr>
        <w:t>6.9.2预付款保函应与甲方确认相应完成的工作量后14天内退还给乙方。甲方不承当乙方与预付款保函有关的任何利息或其他类似的费用或收益。</w:t>
      </w:r>
    </w:p>
    <w:bookmarkEnd w:id="114"/>
    <w:bookmarkEnd w:id="115"/>
    <w:p>
      <w:pPr>
        <w:spacing w:line="520" w:lineRule="exact"/>
        <w:ind w:firstLine="562" w:firstLineChars="200"/>
        <w:rPr>
          <w:rFonts w:ascii="宋体" w:hAnsi="宋体" w:cs="宋体"/>
          <w:b/>
          <w:color w:val="auto"/>
          <w:sz w:val="28"/>
          <w:szCs w:val="28"/>
          <w:highlight w:val="none"/>
        </w:rPr>
      </w:pPr>
      <w:r>
        <w:rPr>
          <w:rFonts w:hint="eastAsia" w:ascii="宋体" w:hAnsi="宋体" w:cs="宋体"/>
          <w:b/>
          <w:bCs/>
          <w:color w:val="auto"/>
          <w:kern w:val="0"/>
          <w:sz w:val="28"/>
          <w:szCs w:val="28"/>
          <w:highlight w:val="none"/>
        </w:rPr>
        <w:t xml:space="preserve">第七条 </w:t>
      </w:r>
      <w:r>
        <w:rPr>
          <w:rFonts w:hint="eastAsia" w:ascii="宋体" w:hAnsi="宋体" w:cs="宋体"/>
          <w:b/>
          <w:color w:val="auto"/>
          <w:sz w:val="28"/>
          <w:szCs w:val="28"/>
          <w:highlight w:val="none"/>
        </w:rPr>
        <w:t>交货及检验要求</w:t>
      </w:r>
    </w:p>
    <w:p>
      <w:pPr>
        <w:autoSpaceDE w:val="0"/>
        <w:autoSpaceDN w:val="0"/>
        <w:adjustRightInd w:val="0"/>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7.1 交货要求：乙方应在交货时向甲方提供出厂合格证、</w:t>
      </w:r>
      <w:r>
        <w:rPr>
          <w:rFonts w:hint="eastAsia" w:ascii="宋体" w:hAnsi="宋体" w:cs="宋体"/>
          <w:bCs/>
          <w:color w:val="auto"/>
          <w:sz w:val="28"/>
          <w:szCs w:val="28"/>
          <w:highlight w:val="none"/>
          <w:u w:val="single"/>
        </w:rPr>
        <w:t>厂家品牌授权（如需）</w:t>
      </w:r>
      <w:r>
        <w:rPr>
          <w:rFonts w:hint="eastAsia" w:ascii="宋体" w:hAnsi="宋体" w:cs="宋体"/>
          <w:bCs/>
          <w:color w:val="auto"/>
          <w:sz w:val="28"/>
          <w:szCs w:val="28"/>
          <w:highlight w:val="none"/>
        </w:rPr>
        <w:t>、产品质量证明文件、操作维修手册等（手册应包含货物情况、系统和主要部件常见故障、保养要求、紧急维修电话等内容）。</w:t>
      </w:r>
    </w:p>
    <w:p>
      <w:pPr>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7.2外观验收：货物运抵交货地点后，甲乙双方根据合同约定对合同货物的包装、外观与件数进行清点检查，并共同签署合同货物外观检查记录。</w:t>
      </w:r>
    </w:p>
    <w:p>
      <w:pPr>
        <w:spacing w:line="520" w:lineRule="exact"/>
        <w:ind w:firstLine="560" w:firstLineChars="200"/>
        <w:rPr>
          <w:rFonts w:ascii="宋体" w:hAnsi="宋体" w:cs="宋体"/>
          <w:color w:val="auto"/>
          <w:sz w:val="28"/>
          <w:szCs w:val="28"/>
          <w:highlight w:val="none"/>
        </w:rPr>
      </w:pPr>
      <w:r>
        <w:rPr>
          <w:rFonts w:hint="eastAsia" w:ascii="宋体" w:hAnsi="宋体" w:cs="宋体"/>
          <w:bCs/>
          <w:color w:val="auto"/>
          <w:sz w:val="28"/>
          <w:szCs w:val="28"/>
          <w:highlight w:val="none"/>
        </w:rPr>
        <w:t>7.3 开箱验收：开箱检验在合同货物交付地点进行，</w:t>
      </w:r>
      <w:r>
        <w:rPr>
          <w:rFonts w:hint="eastAsia" w:ascii="宋体" w:hAnsi="宋体" w:cs="宋体"/>
          <w:color w:val="auto"/>
          <w:sz w:val="28"/>
          <w:szCs w:val="28"/>
          <w:highlight w:val="none"/>
        </w:rPr>
        <w:t>包括但不限于对合同货物数量、规格、外观完好性进行检验。经验收合格后，甲方签发开箱检验合格证明。开箱验收合格前，货物的损坏风险由乙方承担。</w:t>
      </w:r>
    </w:p>
    <w:p>
      <w:pPr>
        <w:adjustRightInd w:val="0"/>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7.4如双方对合同货物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7.5对货物外观检查与开箱检查发现的问题，如数量、规格、外表质量等与合同约定不符，货物或部件因包装、运输、装卸问题造成的任何损坏、丢失，装箱文件短缺等，乙方应在不影响甲方生产运营的前提下，在甲方规定期限内消除合同货物中存在的缺陷，用合格的新货物更换有缺陷的货物、退货或补发，并自行承担费用。甲方有权在货物缺陷消除或货物更换后，委托第三方检测机构进行检测，检测结果及费用承担按本合同第7.4条执行，交货时间不顺延。</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7.6 甲方有权对合同货物进行原厂正品验证，若合同货物无法获原厂验证，甲方有权退回货物，要求乙方在</w:t>
      </w:r>
      <w:r>
        <w:rPr>
          <w:rFonts w:hint="eastAsia" w:ascii="宋体" w:hAnsi="宋体" w:cs="宋体"/>
          <w:color w:val="auto"/>
          <w:sz w:val="28"/>
          <w:szCs w:val="28"/>
          <w:highlight w:val="none"/>
          <w:u w:val="single"/>
        </w:rPr>
        <w:t xml:space="preserve"> 5 </w:t>
      </w:r>
      <w:r>
        <w:rPr>
          <w:rFonts w:hint="eastAsia" w:ascii="宋体" w:hAnsi="宋体" w:cs="宋体"/>
          <w:color w:val="auto"/>
          <w:sz w:val="28"/>
          <w:szCs w:val="28"/>
          <w:highlight w:val="none"/>
        </w:rPr>
        <w:t>个工作日内退回已支付款项并按货物价格的</w:t>
      </w:r>
      <w:r>
        <w:rPr>
          <w:rFonts w:hint="eastAsia" w:ascii="宋体" w:hAnsi="宋体" w:cs="宋体"/>
          <w:color w:val="auto"/>
          <w:sz w:val="28"/>
          <w:szCs w:val="28"/>
          <w:highlight w:val="none"/>
          <w:u w:val="single"/>
        </w:rPr>
        <w:t xml:space="preserve"> 5%</w:t>
      </w:r>
      <w:r>
        <w:rPr>
          <w:rFonts w:hint="eastAsia" w:ascii="宋体" w:hAnsi="宋体" w:cs="宋体"/>
          <w:color w:val="auto"/>
          <w:sz w:val="28"/>
          <w:szCs w:val="28"/>
          <w:highlight w:val="none"/>
        </w:rPr>
        <w:t>支付违约金。</w:t>
      </w:r>
    </w:p>
    <w:bookmarkEnd w:id="102"/>
    <w:bookmarkEnd w:id="103"/>
    <w:bookmarkEnd w:id="104"/>
    <w:bookmarkEnd w:id="105"/>
    <w:bookmarkEnd w:id="106"/>
    <w:bookmarkEnd w:id="107"/>
    <w:bookmarkEnd w:id="108"/>
    <w:p>
      <w:pPr>
        <w:spacing w:before="120" w:after="120" w:line="520" w:lineRule="exact"/>
        <w:ind w:firstLine="562" w:firstLineChars="200"/>
        <w:rPr>
          <w:rFonts w:ascii="宋体" w:hAnsi="宋体" w:cs="宋体"/>
          <w:b/>
          <w:color w:val="auto"/>
          <w:sz w:val="28"/>
          <w:szCs w:val="28"/>
          <w:highlight w:val="none"/>
        </w:rPr>
      </w:pPr>
      <w:bookmarkStart w:id="116" w:name="_Toc518992990"/>
      <w:bookmarkStart w:id="117" w:name="_Toc520190030"/>
      <w:bookmarkStart w:id="118" w:name="_Toc474245215"/>
      <w:bookmarkStart w:id="119" w:name="_Toc183666534"/>
      <w:bookmarkStart w:id="120" w:name="_Toc257"/>
      <w:r>
        <w:rPr>
          <w:rFonts w:hint="eastAsia" w:ascii="宋体" w:hAnsi="宋体" w:cs="宋体"/>
          <w:b/>
          <w:color w:val="auto"/>
          <w:sz w:val="28"/>
          <w:szCs w:val="28"/>
          <w:highlight w:val="none"/>
        </w:rPr>
        <w:t>第八条 包装</w:t>
      </w:r>
      <w:bookmarkEnd w:id="116"/>
      <w:bookmarkEnd w:id="117"/>
      <w:bookmarkEnd w:id="118"/>
      <w:r>
        <w:rPr>
          <w:rFonts w:hint="eastAsia" w:ascii="宋体" w:hAnsi="宋体" w:cs="宋体"/>
          <w:b/>
          <w:color w:val="auto"/>
          <w:sz w:val="28"/>
          <w:szCs w:val="28"/>
          <w:highlight w:val="none"/>
        </w:rPr>
        <w:t>、标示及运输要求</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8.1 包装</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8.1.1乙方根据货物的特点，按照有关国家、行业标准要求，对货物及其零配件进行适合长途运输、多次搬运与装卸、防震、防水、防潮、防霉、防锈、防腐蚀等的坚固可靠包装，确保货物能适应高温、雨淋、潮湿环境下的长途运输、多次装卸与现场存放。</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8.1.2超限货物的包装要求：</w:t>
      </w:r>
      <w:r>
        <w:rPr>
          <w:rFonts w:hint="eastAsia" w:ascii="宋体" w:hAnsi="宋体" w:cs="宋体"/>
          <w:bCs/>
          <w:color w:val="auto"/>
          <w:sz w:val="28"/>
          <w:szCs w:val="28"/>
          <w:highlight w:val="none"/>
          <w:u w:val="single"/>
        </w:rPr>
        <w:t xml:space="preserve">  /  </w:t>
      </w:r>
      <w:r>
        <w:rPr>
          <w:rFonts w:hint="eastAsia" w:ascii="宋体" w:hAnsi="宋体" w:cs="宋体"/>
          <w:bCs/>
          <w:color w:val="auto"/>
          <w:sz w:val="28"/>
          <w:szCs w:val="28"/>
          <w:highlight w:val="none"/>
        </w:rPr>
        <w:t>。</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8.2 </w:t>
      </w:r>
      <w:bookmarkStart w:id="121" w:name="_Toc107446851"/>
      <w:bookmarkStart w:id="122" w:name="_Toc107447244"/>
      <w:r>
        <w:rPr>
          <w:rFonts w:hint="eastAsia" w:ascii="宋体" w:hAnsi="宋体" w:cs="宋体"/>
          <w:bCs/>
          <w:color w:val="auto"/>
          <w:sz w:val="28"/>
          <w:szCs w:val="28"/>
          <w:highlight w:val="none"/>
        </w:rPr>
        <w:t>标志</w:t>
      </w:r>
    </w:p>
    <w:bookmarkEnd w:id="121"/>
    <w:bookmarkEnd w:id="122"/>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8.2.1乙方应按照国家标准对货物的外包装进行标志。</w:t>
      </w:r>
    </w:p>
    <w:p>
      <w:pPr>
        <w:adjustRightInd w:val="0"/>
        <w:spacing w:line="520" w:lineRule="exact"/>
        <w:ind w:firstLine="560" w:firstLineChars="200"/>
        <w:rPr>
          <w:rFonts w:ascii="宋体" w:hAnsi="宋体" w:cs="宋体"/>
          <w:bCs/>
          <w:color w:val="auto"/>
          <w:sz w:val="28"/>
          <w:szCs w:val="28"/>
          <w:highlight w:val="none"/>
        </w:rPr>
      </w:pPr>
      <w:r>
        <w:rPr>
          <w:rFonts w:hint="eastAsia" w:ascii="宋体" w:hAnsi="宋体" w:cs="宋体"/>
          <w:color w:val="auto"/>
          <w:sz w:val="28"/>
          <w:szCs w:val="28"/>
          <w:highlight w:val="none"/>
        </w:rPr>
        <w:t>8.2.2根据合同货物的特点和运输、保管的不同要求，乙方应在包装箱上清楚地标注“小心轻放”、“此端朝上，请勿倒置”、“保持干燥”等字样和其他适当标记。对于超大超重件，乙方应在包装箱两侧标注“重心”和“起吊点”以便装卸和搬运。如货物中含有易燃易爆物品、腐蚀物品、放射性物质等危险品，则应在包装箱上标明危险品标志。</w:t>
      </w:r>
    </w:p>
    <w:p>
      <w:pPr>
        <w:adjustRightInd w:val="0"/>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8.2.3  如由于包装不当或包装箱内部保护措施不符合要求而导致在装车或运输中发生货物或其任何部件的损坏或遗失，乙方应自费对缺损的货物、部件进行修理、更换或补供。</w:t>
      </w:r>
      <w:bookmarkStart w:id="123" w:name="_Toc474245218"/>
      <w:bookmarkStart w:id="124" w:name="_Toc183666521"/>
      <w:bookmarkStart w:id="125" w:name="_Toc520190032"/>
      <w:bookmarkStart w:id="126" w:name="_Toc518992992"/>
      <w:bookmarkStart w:id="127" w:name="_Toc306350457"/>
      <w:bookmarkStart w:id="128" w:name="_Toc9269"/>
    </w:p>
    <w:p>
      <w:pPr>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8.3运输</w:t>
      </w:r>
    </w:p>
    <w:p>
      <w:pPr>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8.3.1乙方应自行选择适宜的运输工具及线路安排合同货物运输。</w:t>
      </w:r>
    </w:p>
    <w:p>
      <w:pPr>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8.3.2 除合同条款另有约定外，每件货物的备品备件应整套装运。</w:t>
      </w:r>
    </w:p>
    <w:p>
      <w:pPr>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8.3.3 除合同条款另有约定外，乙方应在合同货物预计启运7日前，将合同货物名称、数量、箱数、总毛重、每箱尺寸、装运合同货物总金额、运输方式、预计交付日期和合同货物在运输、装卸、保管中的注意事项等预通知甲方（如涉及易燃易爆物品、腐蚀物品、放射性物质等危险品，应告知危险品的品名、性质、在运输、装卸、保管方面的特殊要求、注意事项和意外情况的处理方法），并在合同货物启运后 24 小时之内正式通知甲方。</w:t>
      </w:r>
    </w:p>
    <w:bookmarkEnd w:id="123"/>
    <w:bookmarkEnd w:id="124"/>
    <w:bookmarkEnd w:id="125"/>
    <w:bookmarkEnd w:id="126"/>
    <w:bookmarkEnd w:id="127"/>
    <w:bookmarkEnd w:id="128"/>
    <w:p>
      <w:pPr>
        <w:adjustRightInd w:val="0"/>
        <w:spacing w:before="156" w:beforeLines="50" w:after="156" w:afterLines="50" w:line="520" w:lineRule="exact"/>
        <w:ind w:firstLine="562" w:firstLineChars="200"/>
        <w:rPr>
          <w:rFonts w:ascii="宋体" w:hAnsi="宋体" w:cs="宋体"/>
          <w:color w:val="auto"/>
          <w:sz w:val="28"/>
          <w:szCs w:val="28"/>
          <w:highlight w:val="none"/>
        </w:rPr>
      </w:pPr>
      <w:bookmarkStart w:id="129" w:name="_Toc18496"/>
      <w:bookmarkStart w:id="130" w:name="_Toc306350458"/>
      <w:bookmarkStart w:id="131" w:name="_Toc183666522"/>
      <w:r>
        <w:rPr>
          <w:rFonts w:hint="eastAsia" w:ascii="宋体" w:hAnsi="宋体" w:cs="宋体"/>
          <w:b/>
          <w:color w:val="auto"/>
          <w:sz w:val="28"/>
          <w:szCs w:val="28"/>
          <w:highlight w:val="none"/>
        </w:rPr>
        <w:t>第九条 技术服务</w:t>
      </w:r>
    </w:p>
    <w:p>
      <w:pPr>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9.1  乙方应按甲方需求，派遣技术熟练、称职的技术人员到现场为甲方提供货物调试运行等技术服务。</w:t>
      </w:r>
    </w:p>
    <w:p>
      <w:pPr>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9.2  甲方为乙方技术人员提供工作条件及便利，包括但不限于必要的办公场所、技术资料及出入许可等。除合同另有约定外，乙方技术人员的交通、食宿费用由乙方承担。</w:t>
      </w:r>
    </w:p>
    <w:p>
      <w:pPr>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9.3  乙方技术人员应遵守甲方施工现场的各项规章制度和安全操作规程，并服从甲方的现场管理。</w:t>
      </w:r>
    </w:p>
    <w:p>
      <w:pPr>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9"/>
    <w:bookmarkEnd w:id="130"/>
    <w:bookmarkEnd w:id="131"/>
    <w:p>
      <w:pPr>
        <w:autoSpaceDE w:val="0"/>
        <w:autoSpaceDN w:val="0"/>
        <w:adjustRightInd w:val="0"/>
        <w:spacing w:line="520" w:lineRule="exact"/>
        <w:ind w:firstLine="562" w:firstLineChars="200"/>
        <w:rPr>
          <w:rFonts w:ascii="宋体" w:hAnsi="宋体" w:cs="宋体"/>
          <w:b/>
          <w:color w:val="auto"/>
          <w:sz w:val="28"/>
          <w:szCs w:val="28"/>
          <w:highlight w:val="none"/>
        </w:rPr>
      </w:pPr>
      <w:bookmarkStart w:id="132" w:name="_Toc520190034"/>
      <w:bookmarkStart w:id="133" w:name="_Toc518992994"/>
      <w:bookmarkStart w:id="134" w:name="_Toc474245220"/>
      <w:bookmarkStart w:id="135" w:name="_Toc183666523"/>
      <w:bookmarkStart w:id="136" w:name="_Toc4682"/>
      <w:bookmarkStart w:id="137" w:name="_Toc306350459"/>
      <w:r>
        <w:rPr>
          <w:rFonts w:hint="eastAsia" w:ascii="宋体" w:hAnsi="宋体" w:cs="宋体"/>
          <w:b/>
          <w:color w:val="auto"/>
          <w:sz w:val="28"/>
          <w:szCs w:val="28"/>
          <w:highlight w:val="none"/>
        </w:rPr>
        <w:t>第十条 质量保</w:t>
      </w:r>
      <w:bookmarkEnd w:id="132"/>
      <w:bookmarkEnd w:id="133"/>
      <w:bookmarkEnd w:id="134"/>
      <w:r>
        <w:rPr>
          <w:rFonts w:hint="eastAsia" w:ascii="宋体" w:hAnsi="宋体" w:cs="宋体"/>
          <w:b/>
          <w:color w:val="auto"/>
          <w:sz w:val="28"/>
          <w:szCs w:val="28"/>
          <w:highlight w:val="none"/>
        </w:rPr>
        <w:t>修</w:t>
      </w:r>
    </w:p>
    <w:p>
      <w:pPr>
        <w:tabs>
          <w:tab w:val="left" w:pos="851"/>
        </w:tabs>
        <w:adjustRightInd w:val="0"/>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10.1保修期：自</w:t>
      </w:r>
      <w:r>
        <w:rPr>
          <w:rFonts w:hint="eastAsia" w:ascii="宋体" w:hAnsi="宋体" w:cs="宋体"/>
          <w:color w:val="auto"/>
          <w:kern w:val="0"/>
          <w:sz w:val="28"/>
          <w:szCs w:val="28"/>
          <w:highlight w:val="none"/>
          <w:lang w:val="zh-CN"/>
        </w:rPr>
        <w:t>货物</w:t>
      </w:r>
      <w:r>
        <w:rPr>
          <w:rFonts w:hint="eastAsia" w:ascii="宋体" w:hAnsi="宋体" w:cs="宋体"/>
          <w:color w:val="auto"/>
          <w:kern w:val="0"/>
          <w:sz w:val="28"/>
          <w:szCs w:val="28"/>
          <w:highlight w:val="none"/>
        </w:rPr>
        <w:t>安装调试</w:t>
      </w:r>
      <w:r>
        <w:rPr>
          <w:rFonts w:hint="eastAsia" w:ascii="宋体" w:hAnsi="宋体" w:cs="宋体"/>
          <w:color w:val="auto"/>
          <w:kern w:val="0"/>
          <w:sz w:val="28"/>
          <w:szCs w:val="28"/>
          <w:highlight w:val="none"/>
          <w:lang w:val="zh-CN"/>
        </w:rPr>
        <w:t>验收合格之日起</w:t>
      </w:r>
      <w:r>
        <w:rPr>
          <w:rFonts w:hint="eastAsia" w:ascii="宋体" w:hAnsi="宋体" w:cs="宋体"/>
          <w:color w:val="auto"/>
          <w:sz w:val="28"/>
          <w:szCs w:val="28"/>
          <w:highlight w:val="none"/>
          <w:u w:val="single"/>
        </w:rPr>
        <w:t xml:space="preserve"> 壹 </w:t>
      </w:r>
      <w:r>
        <w:rPr>
          <w:rFonts w:hint="eastAsia" w:ascii="宋体" w:hAnsi="宋体" w:cs="宋体"/>
          <w:color w:val="auto"/>
          <w:sz w:val="28"/>
          <w:szCs w:val="28"/>
          <w:highlight w:val="none"/>
        </w:rPr>
        <w:t xml:space="preserve">年且不得低于法定规定保修时间。保修期内乙方应免费对货物进行日常维护保养及质量缺陷修复。                                          </w:t>
      </w:r>
    </w:p>
    <w:p>
      <w:pPr>
        <w:tabs>
          <w:tab w:val="left" w:pos="851"/>
        </w:tabs>
        <w:adjustRightInd w:val="0"/>
        <w:spacing w:line="520" w:lineRule="exact"/>
        <w:ind w:firstLine="560" w:firstLineChars="200"/>
        <w:rPr>
          <w:rFonts w:ascii="宋体" w:hAnsi="宋体" w:cs="宋体"/>
          <w:color w:val="auto"/>
          <w:kern w:val="0"/>
          <w:sz w:val="28"/>
          <w:szCs w:val="28"/>
          <w:highlight w:val="none"/>
          <w:lang w:val="zh-CN"/>
        </w:rPr>
      </w:pPr>
      <w:r>
        <w:rPr>
          <w:rFonts w:hint="eastAsia" w:ascii="宋体" w:hAnsi="宋体" w:cs="宋体"/>
          <w:color w:val="auto"/>
          <w:sz w:val="28"/>
          <w:szCs w:val="28"/>
          <w:highlight w:val="none"/>
        </w:rPr>
        <w:t>10.2</w:t>
      </w:r>
      <w:r>
        <w:rPr>
          <w:rFonts w:hint="eastAsia" w:ascii="宋体" w:hAnsi="宋体" w:cs="宋体"/>
          <w:color w:val="auto"/>
          <w:kern w:val="0"/>
          <w:sz w:val="28"/>
          <w:szCs w:val="28"/>
          <w:highlight w:val="none"/>
        </w:rPr>
        <w:t>保修</w:t>
      </w:r>
      <w:r>
        <w:rPr>
          <w:rFonts w:hint="eastAsia" w:ascii="宋体" w:hAnsi="宋体" w:cs="宋体"/>
          <w:color w:val="auto"/>
          <w:kern w:val="0"/>
          <w:sz w:val="28"/>
          <w:szCs w:val="28"/>
          <w:highlight w:val="none"/>
          <w:lang w:val="zh-CN"/>
        </w:rPr>
        <w:t>期内，乙方应对货物质量问题负责。如货物质量问题导致处理水量、出水水质达不到合同要求的，乙方需无条件免费更换货物并支付合</w:t>
      </w:r>
      <w:r>
        <w:rPr>
          <w:rFonts w:hint="eastAsia" w:ascii="宋体" w:hAnsi="宋体" w:cs="宋体"/>
          <w:color w:val="auto"/>
          <w:kern w:val="0"/>
          <w:sz w:val="28"/>
          <w:szCs w:val="28"/>
          <w:highlight w:val="none"/>
          <w:u w:val="single"/>
          <w:lang w:val="zh-CN"/>
        </w:rPr>
        <w:t>同暂定总价的10%作为</w:t>
      </w:r>
      <w:r>
        <w:rPr>
          <w:rFonts w:hint="eastAsia" w:ascii="宋体" w:hAnsi="宋体" w:cs="宋体"/>
          <w:color w:val="auto"/>
          <w:kern w:val="0"/>
          <w:sz w:val="28"/>
          <w:szCs w:val="28"/>
          <w:highlight w:val="none"/>
          <w:lang w:val="zh-CN"/>
        </w:rPr>
        <w:t>违约金，</w:t>
      </w:r>
      <w:r>
        <w:rPr>
          <w:rFonts w:hint="eastAsia" w:ascii="宋体" w:hAnsi="宋体" w:cs="宋体"/>
          <w:color w:val="auto"/>
          <w:kern w:val="0"/>
          <w:sz w:val="28"/>
          <w:szCs w:val="28"/>
          <w:highlight w:val="none"/>
        </w:rPr>
        <w:t>由此产生的</w:t>
      </w:r>
      <w:r>
        <w:rPr>
          <w:rFonts w:hint="eastAsia" w:ascii="宋体" w:hAnsi="宋体" w:cs="宋体"/>
          <w:color w:val="auto"/>
          <w:kern w:val="0"/>
          <w:sz w:val="28"/>
          <w:szCs w:val="28"/>
          <w:highlight w:val="none"/>
          <w:lang w:val="zh-CN"/>
        </w:rPr>
        <w:t>费用由乙方承担。</w:t>
      </w:r>
    </w:p>
    <w:p>
      <w:pPr>
        <w:tabs>
          <w:tab w:val="left" w:pos="851"/>
        </w:tabs>
        <w:adjustRightInd w:val="0"/>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10.3 保修期间由于货物本身原因产生的故障仍属质保范围，对更换或维修过的零部件从更换或维修完成并验收合格之日起，质量保修期重新计算。</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10.4 质量保修期间，如合同货物出现故障，乙方应在接到甲方通知后</w:t>
      </w:r>
      <w:r>
        <w:rPr>
          <w:rFonts w:hint="eastAsia" w:ascii="宋体" w:hAnsi="宋体" w:cs="宋体"/>
          <w:bCs/>
          <w:color w:val="auto"/>
          <w:sz w:val="28"/>
          <w:szCs w:val="28"/>
          <w:highlight w:val="none"/>
          <w:u w:val="single"/>
        </w:rPr>
        <w:t>12</w:t>
      </w:r>
      <w:r>
        <w:rPr>
          <w:rFonts w:hint="eastAsia" w:ascii="宋体" w:hAnsi="宋体" w:cs="宋体"/>
          <w:bCs/>
          <w:color w:val="auto"/>
          <w:sz w:val="28"/>
          <w:szCs w:val="28"/>
          <w:highlight w:val="none"/>
        </w:rPr>
        <w:t xml:space="preserve"> 小时内通过电话、网络等提供远程技术指导，如甲方需要乙方到场的，乙方应在收到甲方通知后</w:t>
      </w:r>
      <w:r>
        <w:rPr>
          <w:rFonts w:hint="eastAsia" w:ascii="宋体" w:hAnsi="宋体" w:cs="宋体"/>
          <w:bCs/>
          <w:color w:val="auto"/>
          <w:sz w:val="28"/>
          <w:szCs w:val="28"/>
          <w:highlight w:val="none"/>
          <w:u w:val="single"/>
        </w:rPr>
        <w:t xml:space="preserve"> 24 </w:t>
      </w:r>
      <w:r>
        <w:rPr>
          <w:rFonts w:hint="eastAsia" w:ascii="宋体" w:hAnsi="宋体" w:cs="宋体"/>
          <w:bCs/>
          <w:color w:val="auto"/>
          <w:sz w:val="28"/>
          <w:szCs w:val="28"/>
          <w:highlight w:val="none"/>
        </w:rPr>
        <w:t>小时内派专业技术人员到场负责解决及维修故障。</w:t>
      </w:r>
      <w:bookmarkEnd w:id="135"/>
      <w:bookmarkEnd w:id="136"/>
      <w:bookmarkEnd w:id="137"/>
      <w:bookmarkStart w:id="138" w:name="_Toc520190037"/>
      <w:bookmarkStart w:id="139" w:name="_Toc183666528"/>
      <w:bookmarkStart w:id="140" w:name="_Toc27734"/>
      <w:bookmarkStart w:id="141" w:name="_Toc474245223"/>
      <w:bookmarkStart w:id="142" w:name="_Toc107447250"/>
      <w:bookmarkStart w:id="143" w:name="_Toc518992997"/>
      <w:bookmarkStart w:id="144" w:name="_Toc107446857"/>
      <w:bookmarkStart w:id="145" w:name="_Toc306350464"/>
      <w:r>
        <w:rPr>
          <w:rFonts w:hint="eastAsia" w:ascii="宋体" w:hAnsi="宋体" w:cs="宋体"/>
          <w:bCs/>
          <w:color w:val="auto"/>
          <w:sz w:val="28"/>
          <w:szCs w:val="28"/>
          <w:highlight w:val="none"/>
        </w:rPr>
        <w:t>如果乙方不按时到场维修或到场后不能修复的，甲方有权委托他人予以维修，乙方承担由此发生的费用并支付</w:t>
      </w:r>
      <w:r>
        <w:rPr>
          <w:rFonts w:hint="eastAsia" w:ascii="宋体" w:hAnsi="宋体" w:cs="宋体"/>
          <w:bCs/>
          <w:color w:val="auto"/>
          <w:sz w:val="28"/>
          <w:szCs w:val="28"/>
          <w:highlight w:val="none"/>
          <w:u w:val="single"/>
        </w:rPr>
        <w:t>合同暂定总价10%/次</w:t>
      </w:r>
      <w:r>
        <w:rPr>
          <w:rFonts w:hint="eastAsia" w:ascii="宋体" w:hAnsi="宋体" w:cs="宋体"/>
          <w:bCs/>
          <w:color w:val="auto"/>
          <w:sz w:val="28"/>
          <w:szCs w:val="28"/>
          <w:highlight w:val="none"/>
        </w:rPr>
        <w:t>作为违约金。</w:t>
      </w:r>
    </w:p>
    <w:p>
      <w:pPr>
        <w:spacing w:line="520" w:lineRule="exact"/>
        <w:ind w:firstLine="482"/>
        <w:rPr>
          <w:rFonts w:ascii="宋体" w:hAnsi="宋体" w:cs="宋体"/>
          <w:bCs/>
          <w:color w:val="auto"/>
          <w:sz w:val="28"/>
          <w:szCs w:val="28"/>
          <w:highlight w:val="none"/>
        </w:rPr>
      </w:pPr>
      <w:r>
        <w:rPr>
          <w:rFonts w:hint="eastAsia" w:ascii="宋体" w:hAnsi="宋体" w:cs="宋体"/>
          <w:b/>
          <w:color w:val="auto"/>
          <w:sz w:val="28"/>
          <w:szCs w:val="28"/>
          <w:highlight w:val="none"/>
        </w:rPr>
        <w:t>第十一条 违约责任</w:t>
      </w:r>
      <w:bookmarkEnd w:id="138"/>
      <w:bookmarkEnd w:id="139"/>
      <w:bookmarkEnd w:id="140"/>
      <w:bookmarkEnd w:id="141"/>
      <w:bookmarkEnd w:id="142"/>
      <w:bookmarkEnd w:id="143"/>
      <w:bookmarkEnd w:id="144"/>
      <w:bookmarkEnd w:id="145"/>
    </w:p>
    <w:p>
      <w:pPr>
        <w:spacing w:line="520" w:lineRule="exact"/>
        <w:ind w:firstLine="482"/>
        <w:rPr>
          <w:rFonts w:ascii="宋体" w:hAnsi="宋体" w:cs="宋体"/>
          <w:bCs/>
          <w:color w:val="auto"/>
          <w:sz w:val="28"/>
          <w:szCs w:val="28"/>
          <w:highlight w:val="none"/>
        </w:rPr>
      </w:pPr>
      <w:bookmarkStart w:id="146" w:name="_Toc183666529"/>
      <w:bookmarkStart w:id="147" w:name="_Toc5166"/>
      <w:bookmarkStart w:id="148" w:name="_Toc306350465"/>
      <w:r>
        <w:rPr>
          <w:rFonts w:hint="eastAsia" w:ascii="宋体" w:hAnsi="宋体" w:cs="宋体"/>
          <w:bCs/>
          <w:color w:val="auto"/>
          <w:sz w:val="28"/>
          <w:szCs w:val="28"/>
          <w:highlight w:val="none"/>
        </w:rPr>
        <w:t>11.1 延期交货的违约责任</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11.1.1 乙方应按照本合同约定的时间交货。如乙方因客观情况导致无法按时交货，乙方应在交货期前</w:t>
      </w:r>
      <w:r>
        <w:rPr>
          <w:rFonts w:hint="eastAsia" w:ascii="宋体" w:hAnsi="宋体" w:cs="宋体"/>
          <w:bCs/>
          <w:color w:val="auto"/>
          <w:sz w:val="28"/>
          <w:szCs w:val="28"/>
          <w:highlight w:val="none"/>
          <w:u w:val="single"/>
        </w:rPr>
        <w:t xml:space="preserve"> 15 </w:t>
      </w:r>
      <w:r>
        <w:rPr>
          <w:rFonts w:hint="eastAsia" w:ascii="宋体" w:hAnsi="宋体" w:cs="宋体"/>
          <w:bCs/>
          <w:color w:val="auto"/>
          <w:sz w:val="28"/>
          <w:szCs w:val="28"/>
          <w:highlight w:val="none"/>
        </w:rPr>
        <w:t>日，以书面形式将原因及预计拖延的时间通知甲方。经甲方同意后，交货期顺延。</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11.1.2乙方未能在合同规定期限内交货并交付完整技术资料的，每逾期一天，甲方有权按迟</w:t>
      </w:r>
      <w:r>
        <w:rPr>
          <w:rFonts w:hint="eastAsia" w:ascii="宋体" w:hAnsi="宋体" w:cs="宋体"/>
          <w:bCs/>
          <w:color w:val="auto"/>
          <w:sz w:val="28"/>
          <w:szCs w:val="28"/>
          <w:highlight w:val="none"/>
          <w:u w:val="single"/>
        </w:rPr>
        <w:t>交货货物价格的1%/天</w:t>
      </w:r>
      <w:r>
        <w:rPr>
          <w:rFonts w:hint="eastAsia" w:ascii="宋体" w:hAnsi="宋体" w:cs="宋体"/>
          <w:bCs/>
          <w:color w:val="auto"/>
          <w:sz w:val="28"/>
          <w:szCs w:val="28"/>
          <w:highlight w:val="none"/>
        </w:rPr>
        <w:t>要求乙方支付违约金。逾期超过</w:t>
      </w:r>
      <w:r>
        <w:rPr>
          <w:rFonts w:hint="eastAsia" w:ascii="宋体" w:hAnsi="宋体" w:cs="宋体"/>
          <w:bCs/>
          <w:color w:val="auto"/>
          <w:sz w:val="28"/>
          <w:szCs w:val="28"/>
          <w:highlight w:val="none"/>
          <w:u w:val="single"/>
        </w:rPr>
        <w:t xml:space="preserve"> 15 </w:t>
      </w:r>
      <w:r>
        <w:rPr>
          <w:rFonts w:hint="eastAsia" w:ascii="宋体" w:hAnsi="宋体" w:cs="宋体"/>
          <w:bCs/>
          <w:color w:val="auto"/>
          <w:sz w:val="28"/>
          <w:szCs w:val="28"/>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11.2 质量问题的违约责任</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11.2.1 自乙方交货后至质量保修期满的期间内，甲方经检查发现或合同货物经安装、调试、试车或运行显示，合同货物或其任何部件存在质量问题，达不到本合同技术要求。甲方有权要求乙方采取下列一种或多种方式予以解决：</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（1）乙方承担费用，用合格的新货物更换有缺陷的货物或修补缺陷部分；</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（2）退还货物，同时将甲方已经支付的合同价款全额退还甲方，并承担甲方因履行本合同而支出的一切费用，包括但不限于利息、银行手续费、仓储费、卸货费以及因退回货物所需的其他费用。</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（3）按不合格货物价格的</w:t>
      </w:r>
      <w:r>
        <w:rPr>
          <w:rFonts w:hint="eastAsia" w:ascii="宋体" w:hAnsi="宋体" w:cs="宋体"/>
          <w:bCs/>
          <w:color w:val="auto"/>
          <w:sz w:val="28"/>
          <w:szCs w:val="28"/>
          <w:highlight w:val="none"/>
          <w:u w:val="single"/>
        </w:rPr>
        <w:t>50</w:t>
      </w:r>
      <w:r>
        <w:rPr>
          <w:rFonts w:hint="eastAsia" w:ascii="宋体" w:hAnsi="宋体" w:cs="宋体"/>
          <w:bCs/>
          <w:color w:val="auto"/>
          <w:sz w:val="28"/>
          <w:szCs w:val="28"/>
          <w:highlight w:val="none"/>
        </w:rPr>
        <w:t>%支付违约金。</w:t>
      </w:r>
    </w:p>
    <w:p>
      <w:pPr>
        <w:numPr>
          <w:ilvl w:val="255"/>
          <w:numId w:val="0"/>
        </w:numPr>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（4）赔偿甲方因货物质量问题导致的一切损失。</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11.2.2 如果乙方提供的技术资料有错误，或者由于乙方技术人员原因造成货物安装、调试不成功和（或）造成合同货物损坏的情况，乙方应在</w:t>
      </w:r>
      <w:r>
        <w:rPr>
          <w:rFonts w:hint="eastAsia" w:ascii="宋体" w:hAnsi="宋体" w:cs="宋体"/>
          <w:bCs/>
          <w:color w:val="auto"/>
          <w:sz w:val="28"/>
          <w:szCs w:val="28"/>
          <w:highlight w:val="none"/>
          <w:u w:val="single"/>
        </w:rPr>
        <w:t>24</w:t>
      </w:r>
      <w:r>
        <w:rPr>
          <w:rFonts w:hint="eastAsia" w:ascii="宋体" w:hAnsi="宋体" w:cs="宋体"/>
          <w:bCs/>
          <w:color w:val="auto"/>
          <w:sz w:val="28"/>
          <w:szCs w:val="28"/>
          <w:highlight w:val="none"/>
        </w:rPr>
        <w:t>小时内采取修理、更换、退货等补救措施并负担因此发生的费用，同时需向甲方支付</w:t>
      </w:r>
      <w:r>
        <w:rPr>
          <w:rFonts w:hint="eastAsia" w:ascii="宋体" w:hAnsi="宋体" w:cs="宋体"/>
          <w:bCs/>
          <w:color w:val="auto"/>
          <w:sz w:val="28"/>
          <w:szCs w:val="28"/>
          <w:highlight w:val="none"/>
          <w:u w:val="single"/>
        </w:rPr>
        <w:t xml:space="preserve">不合格货物价格的 50 </w:t>
      </w:r>
      <w:r>
        <w:rPr>
          <w:rFonts w:hint="eastAsia" w:ascii="宋体" w:hAnsi="宋体" w:cs="宋体"/>
          <w:bCs/>
          <w:color w:val="auto"/>
          <w:sz w:val="28"/>
          <w:szCs w:val="28"/>
          <w:highlight w:val="none"/>
        </w:rPr>
        <w:t>%作为违约金。</w:t>
      </w:r>
    </w:p>
    <w:p>
      <w:pPr>
        <w:spacing w:line="520" w:lineRule="exact"/>
        <w:ind w:firstLine="482"/>
        <w:rPr>
          <w:rFonts w:ascii="宋体" w:hAnsi="宋体" w:cs="宋体"/>
          <w:color w:val="auto"/>
          <w:sz w:val="28"/>
          <w:szCs w:val="28"/>
          <w:highlight w:val="none"/>
        </w:rPr>
      </w:pPr>
      <w:r>
        <w:rPr>
          <w:rFonts w:hint="eastAsia" w:ascii="宋体" w:hAnsi="宋体" w:cs="宋体"/>
          <w:bCs/>
          <w:color w:val="auto"/>
          <w:sz w:val="28"/>
          <w:szCs w:val="28"/>
          <w:highlight w:val="none"/>
        </w:rPr>
        <w:t>11.2.3 在开箱检验、或使用过程中发现乙方提交的合同货物为贴牌、假冒、伪劣、翻新产品，或生产组成合同货物的原材料、配件是贴牌、假冒、伪劣货物时，乙方应在甲方通知之日自行收回货物，甲方不负保管责任，货物毁损灭失风险自甲方通知之时起由乙方承担，乙方将已支付款项（含预付款）退还甲方，并按</w:t>
      </w:r>
      <w:r>
        <w:rPr>
          <w:rFonts w:hint="eastAsia" w:ascii="宋体" w:hAnsi="宋体" w:cs="宋体"/>
          <w:bCs/>
          <w:color w:val="auto"/>
          <w:sz w:val="28"/>
          <w:szCs w:val="28"/>
          <w:highlight w:val="none"/>
          <w:u w:val="single"/>
        </w:rPr>
        <w:t>合同暂定总价的 100 %</w:t>
      </w:r>
      <w:r>
        <w:rPr>
          <w:rFonts w:hint="eastAsia" w:ascii="宋体" w:hAnsi="宋体" w:cs="宋体"/>
          <w:bCs/>
          <w:color w:val="auto"/>
          <w:sz w:val="28"/>
          <w:szCs w:val="28"/>
          <w:highlight w:val="none"/>
        </w:rPr>
        <w:t>支付违约金。</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11.2.4 在合同货物设计使用寿命期内，如果乙方发现合同货物由于设计、制造、标识等原因存在足以危及人身、财产安全的缺陷，应及时通知甲方并采取修正或者补充标识、修理、更换等措施消除缺陷，因货物缺陷造成的一切损害，乙方应承担全部赔偿责任。</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11.3 如乙方未按合同六条约定递交履约保证金，甲方有权解除合同并要求乙方支付</w:t>
      </w:r>
      <w:r>
        <w:rPr>
          <w:rFonts w:hint="eastAsia" w:ascii="宋体" w:hAnsi="宋体" w:cs="宋体"/>
          <w:bCs/>
          <w:color w:val="auto"/>
          <w:sz w:val="28"/>
          <w:szCs w:val="28"/>
          <w:highlight w:val="none"/>
          <w:u w:val="single"/>
        </w:rPr>
        <w:t>合同暂定总价的20%</w:t>
      </w:r>
      <w:r>
        <w:rPr>
          <w:rFonts w:hint="eastAsia" w:ascii="宋体" w:hAnsi="宋体" w:cs="宋体"/>
          <w:bCs/>
          <w:color w:val="auto"/>
          <w:sz w:val="28"/>
          <w:szCs w:val="28"/>
          <w:highlight w:val="none"/>
        </w:rPr>
        <w:t xml:space="preserve">作为违约金。 </w:t>
      </w:r>
    </w:p>
    <w:p>
      <w:pPr>
        <w:spacing w:line="520" w:lineRule="exact"/>
        <w:ind w:firstLine="482"/>
        <w:rPr>
          <w:rFonts w:ascii="宋体" w:hAnsi="宋体" w:cs="宋体"/>
          <w:color w:val="auto"/>
          <w:sz w:val="28"/>
          <w:szCs w:val="28"/>
          <w:highlight w:val="none"/>
        </w:rPr>
      </w:pPr>
      <w:r>
        <w:rPr>
          <w:rFonts w:hint="eastAsia" w:ascii="宋体" w:hAnsi="宋体" w:cs="宋体"/>
          <w:bCs/>
          <w:color w:val="auto"/>
          <w:sz w:val="28"/>
          <w:szCs w:val="28"/>
          <w:highlight w:val="none"/>
        </w:rPr>
        <w:t>11.4 如双方对质量责任认定有争议，</w:t>
      </w:r>
      <w:r>
        <w:rPr>
          <w:rFonts w:hint="eastAsia" w:ascii="宋体" w:hAnsi="宋体" w:cs="宋体"/>
          <w:color w:val="auto"/>
          <w:sz w:val="28"/>
          <w:szCs w:val="28"/>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8"/>
          <w:szCs w:val="28"/>
          <w:highlight w:val="none"/>
          <w:u w:val="single"/>
        </w:rPr>
        <w:t>15</w:t>
      </w:r>
      <w:r>
        <w:rPr>
          <w:rFonts w:hint="eastAsia" w:ascii="宋体" w:hAnsi="宋体" w:cs="宋体"/>
          <w:bCs/>
          <w:color w:val="auto"/>
          <w:sz w:val="28"/>
          <w:szCs w:val="28"/>
          <w:highlight w:val="none"/>
        </w:rPr>
        <w:t>日，甲方有权解除合同并要求乙方支付</w:t>
      </w:r>
      <w:r>
        <w:rPr>
          <w:rFonts w:hint="eastAsia" w:ascii="宋体" w:hAnsi="宋体" w:cs="宋体"/>
          <w:bCs/>
          <w:color w:val="auto"/>
          <w:sz w:val="28"/>
          <w:szCs w:val="28"/>
          <w:highlight w:val="none"/>
          <w:u w:val="single"/>
        </w:rPr>
        <w:t>合同暂定总价的20%</w:t>
      </w:r>
      <w:r>
        <w:rPr>
          <w:rFonts w:hint="eastAsia" w:ascii="宋体" w:hAnsi="宋体" w:cs="宋体"/>
          <w:bCs/>
          <w:color w:val="auto"/>
          <w:sz w:val="28"/>
          <w:szCs w:val="28"/>
          <w:highlight w:val="none"/>
        </w:rPr>
        <w:t>作为违约金（</w:t>
      </w:r>
      <w:r>
        <w:rPr>
          <w:rFonts w:hint="eastAsia" w:ascii="宋体" w:hAnsi="宋体" w:cs="宋体"/>
          <w:color w:val="auto"/>
          <w:sz w:val="28"/>
          <w:szCs w:val="28"/>
          <w:highlight w:val="none"/>
        </w:rPr>
        <w:t>如合同另行约定违约责任，从其约定</w:t>
      </w:r>
      <w:r>
        <w:rPr>
          <w:rFonts w:hint="eastAsia" w:ascii="宋体" w:hAnsi="宋体" w:cs="宋体"/>
          <w:bCs/>
          <w:color w:val="auto"/>
          <w:sz w:val="28"/>
          <w:szCs w:val="28"/>
          <w:highlight w:val="none"/>
        </w:rPr>
        <w:t xml:space="preserve">）。 </w:t>
      </w:r>
    </w:p>
    <w:p>
      <w:pPr>
        <w:spacing w:line="520" w:lineRule="exact"/>
        <w:ind w:firstLine="482"/>
        <w:rPr>
          <w:rFonts w:ascii="宋体" w:hAnsi="宋体" w:cs="宋体"/>
          <w:color w:val="auto"/>
          <w:sz w:val="28"/>
          <w:szCs w:val="28"/>
          <w:highlight w:val="none"/>
        </w:rPr>
      </w:pPr>
      <w:r>
        <w:rPr>
          <w:rFonts w:hint="eastAsia" w:ascii="宋体" w:hAnsi="宋体" w:cs="宋体"/>
          <w:bCs/>
          <w:color w:val="auto"/>
          <w:sz w:val="28"/>
          <w:szCs w:val="28"/>
          <w:highlight w:val="none"/>
        </w:rPr>
        <w:t>11.6在合同有效期内，若乙方发生不诚信行为情形的，乙方自愿接受甲方按《广州市净水有限公司经营建设项目参建企业不诚信行为管理办法》处理，具体处理标准详见附件。</w:t>
      </w:r>
    </w:p>
    <w:p>
      <w:pPr>
        <w:spacing w:line="520" w:lineRule="exact"/>
        <w:ind w:firstLine="562" w:firstLineChars="200"/>
        <w:rPr>
          <w:rFonts w:ascii="宋体" w:hAnsi="宋体" w:cs="宋体"/>
          <w:b/>
          <w:color w:val="auto"/>
          <w:sz w:val="28"/>
          <w:szCs w:val="28"/>
          <w:highlight w:val="none"/>
        </w:rPr>
      </w:pPr>
      <w:bookmarkStart w:id="149" w:name="_Toc107446860"/>
      <w:bookmarkStart w:id="150" w:name="_Toc107446861"/>
      <w:bookmarkStart w:id="151" w:name="_Toc107447253"/>
      <w:bookmarkStart w:id="152" w:name="_Toc520190038"/>
      <w:bookmarkStart w:id="153" w:name="_Toc518992998"/>
      <w:bookmarkStart w:id="154" w:name="_Toc474245224"/>
      <w:bookmarkStart w:id="155" w:name="_Toc118086592"/>
      <w:bookmarkStart w:id="156" w:name="_Toc107447254"/>
      <w:r>
        <w:rPr>
          <w:rFonts w:hint="eastAsia" w:ascii="宋体" w:hAnsi="宋体" w:cs="宋体"/>
          <w:b/>
          <w:color w:val="auto"/>
          <w:sz w:val="28"/>
          <w:szCs w:val="28"/>
          <w:highlight w:val="none"/>
        </w:rPr>
        <w:t>第十二条 变更或解除</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12.1 甲方解除合同</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如乙方存在下述情况之一，甲方有权向乙方发出书面通知，全部或部分解除本合同：</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12.1.1 乙方未能在本合同约定或甲方另行指定的期限内提供部分或全部货物或提供技术服务，并经甲方催告后仍未提供； </w:t>
      </w:r>
    </w:p>
    <w:p>
      <w:pPr>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12.1.2乙方交付的货物存在严重的质量问题，导致本合同目的不能实现；</w:t>
      </w:r>
    </w:p>
    <w:p>
      <w:pPr>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12.1.3 乙方存在违反合同义务的其他情形，经甲方催告后仍未作出补救或完成整改；</w:t>
      </w:r>
    </w:p>
    <w:p>
      <w:pPr>
        <w:spacing w:line="52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12.1.4 乙方投标时提交的资料不真实，或任何时候发现乙方有违反投标时的承诺和（或）声明的情况；</w:t>
      </w:r>
    </w:p>
    <w:p>
      <w:pPr>
        <w:spacing w:line="520" w:lineRule="exact"/>
        <w:ind w:firstLine="482"/>
        <w:rPr>
          <w:rFonts w:ascii="宋体" w:hAnsi="宋体" w:cs="宋体"/>
          <w:bCs/>
          <w:color w:val="auto"/>
          <w:sz w:val="28"/>
          <w:szCs w:val="28"/>
          <w:highlight w:val="none"/>
        </w:rPr>
      </w:pPr>
      <w:r>
        <w:rPr>
          <w:rFonts w:hint="eastAsia" w:ascii="宋体" w:hAnsi="宋体" w:cs="宋体"/>
          <w:bCs/>
          <w:color w:val="auto"/>
          <w:sz w:val="28"/>
          <w:szCs w:val="28"/>
          <w:highlight w:val="none"/>
        </w:rPr>
        <w:t>12.2 乙方解除合同</w:t>
      </w:r>
    </w:p>
    <w:p>
      <w:pPr>
        <w:spacing w:line="520" w:lineRule="exact"/>
        <w:ind w:firstLine="482"/>
        <w:rPr>
          <w:rFonts w:ascii="宋体" w:hAnsi="宋体" w:cs="宋体"/>
          <w:color w:val="auto"/>
          <w:sz w:val="28"/>
          <w:szCs w:val="28"/>
          <w:highlight w:val="none"/>
        </w:rPr>
      </w:pPr>
      <w:r>
        <w:rPr>
          <w:rFonts w:hint="eastAsia" w:ascii="宋体" w:hAnsi="宋体" w:cs="宋体"/>
          <w:bCs/>
          <w:color w:val="auto"/>
          <w:sz w:val="28"/>
          <w:szCs w:val="28"/>
          <w:highlight w:val="none"/>
        </w:rPr>
        <w:t>如甲方无正当理由未能按本合同约定期限向乙方支付合同款，并经乙方催告后超过</w:t>
      </w:r>
      <w:r>
        <w:rPr>
          <w:rFonts w:hint="eastAsia" w:ascii="宋体" w:hAnsi="宋体" w:cs="宋体"/>
          <w:bCs/>
          <w:color w:val="auto"/>
          <w:sz w:val="28"/>
          <w:szCs w:val="28"/>
          <w:highlight w:val="none"/>
          <w:u w:val="single"/>
        </w:rPr>
        <w:t xml:space="preserve"> 90 </w:t>
      </w:r>
      <w:r>
        <w:rPr>
          <w:rFonts w:hint="eastAsia" w:ascii="宋体" w:hAnsi="宋体" w:cs="宋体"/>
          <w:bCs/>
          <w:color w:val="auto"/>
          <w:sz w:val="28"/>
          <w:szCs w:val="28"/>
          <w:highlight w:val="none"/>
        </w:rPr>
        <w:t>天仍未支付，乙方有权以书面通知解除本合同。</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12.3甲乙双方经协商一致后解除合同。</w:t>
      </w:r>
    </w:p>
    <w:p>
      <w:pPr>
        <w:spacing w:line="520" w:lineRule="exact"/>
        <w:ind w:firstLine="562" w:firstLineChars="200"/>
        <w:rPr>
          <w:rFonts w:ascii="宋体" w:hAnsi="宋体" w:cs="宋体"/>
          <w:color w:val="auto"/>
          <w:sz w:val="28"/>
          <w:szCs w:val="28"/>
          <w:highlight w:val="none"/>
        </w:rPr>
      </w:pPr>
      <w:r>
        <w:rPr>
          <w:rFonts w:hint="eastAsia" w:ascii="宋体" w:hAnsi="宋体" w:cs="宋体"/>
          <w:b/>
          <w:bCs/>
          <w:color w:val="auto"/>
          <w:sz w:val="28"/>
          <w:szCs w:val="28"/>
          <w:highlight w:val="none"/>
        </w:rPr>
        <w:t>第十三条 不可抗力</w:t>
      </w:r>
    </w:p>
    <w:p>
      <w:pPr>
        <w:numPr>
          <w:ilvl w:val="255"/>
          <w:numId w:val="0"/>
        </w:num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（1）地震、火山爆发、滑坡、暴雨（橙色预警及以上）、台风（黄色预警及以上）、海啸、龙卷风、大面积流行病(如：非典型性肺炎等)或瘟疫；</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（2）战争行为、入侵、武装冲突或外敌行为、封锁、暴乱、恐怖行为或军事演习；</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第十四条 争议解决方式：</w:t>
      </w:r>
    </w:p>
    <w:p>
      <w:pPr>
        <w:spacing w:line="520" w:lineRule="exact"/>
        <w:ind w:firstLine="700" w:firstLineChars="250"/>
        <w:rPr>
          <w:rFonts w:ascii="宋体" w:hAnsi="宋体" w:cs="宋体"/>
          <w:color w:val="auto"/>
          <w:sz w:val="28"/>
          <w:szCs w:val="28"/>
          <w:highlight w:val="none"/>
        </w:rPr>
      </w:pPr>
      <w:r>
        <w:rPr>
          <w:rFonts w:hint="eastAsia" w:ascii="宋体" w:hAnsi="宋体" w:cs="宋体"/>
          <w:color w:val="auto"/>
          <w:sz w:val="28"/>
          <w:szCs w:val="28"/>
          <w:highlight w:val="none"/>
        </w:rPr>
        <w:t>14.1 因本合同引起的或与本合同有关的任何争议，甲乙双方应友好协商解决，如协商不成，任何一方均可依法向</w:t>
      </w:r>
      <w:r>
        <w:rPr>
          <w:rFonts w:hint="eastAsia" w:ascii="宋体" w:hAnsi="宋体" w:cs="宋体"/>
          <w:color w:val="auto"/>
          <w:sz w:val="28"/>
          <w:szCs w:val="28"/>
          <w:highlight w:val="none"/>
          <w:u w:val="single"/>
        </w:rPr>
        <w:t>甲方所在地人民法院</w:t>
      </w:r>
      <w:r>
        <w:rPr>
          <w:rFonts w:hint="eastAsia" w:ascii="宋体" w:hAnsi="宋体" w:cs="宋体"/>
          <w:color w:val="auto"/>
          <w:sz w:val="28"/>
          <w:szCs w:val="28"/>
          <w:highlight w:val="none"/>
        </w:rPr>
        <w:t>提起诉讼。</w:t>
      </w:r>
    </w:p>
    <w:p>
      <w:pPr>
        <w:spacing w:line="520" w:lineRule="exact"/>
        <w:ind w:firstLine="700" w:firstLineChars="250"/>
        <w:rPr>
          <w:rFonts w:ascii="宋体" w:hAnsi="宋体" w:cs="宋体"/>
          <w:color w:val="auto"/>
          <w:sz w:val="28"/>
          <w:szCs w:val="28"/>
          <w:highlight w:val="none"/>
        </w:rPr>
      </w:pPr>
      <w:r>
        <w:rPr>
          <w:rFonts w:hint="eastAsia" w:ascii="宋体" w:hAnsi="宋体" w:cs="宋体"/>
          <w:color w:val="auto"/>
          <w:sz w:val="28"/>
          <w:szCs w:val="28"/>
          <w:highlight w:val="none"/>
        </w:rPr>
        <w:t>14.2 在甲方同意的情况下，除有争端之外的合同其它部分在争端解决前应继续执行。</w:t>
      </w:r>
    </w:p>
    <w:p>
      <w:pPr>
        <w:spacing w:line="520" w:lineRule="exact"/>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第十五条 其他：</w:t>
      </w:r>
    </w:p>
    <w:p>
      <w:pPr>
        <w:spacing w:line="520" w:lineRule="exact"/>
        <w:ind w:firstLine="694" w:firstLineChars="248"/>
        <w:rPr>
          <w:rFonts w:ascii="宋体" w:hAnsi="宋体" w:cs="宋体"/>
          <w:b/>
          <w:color w:val="auto"/>
          <w:sz w:val="28"/>
          <w:szCs w:val="28"/>
          <w:highlight w:val="none"/>
        </w:rPr>
      </w:pPr>
      <w:r>
        <w:rPr>
          <w:rFonts w:hint="eastAsia" w:ascii="宋体" w:hAnsi="宋体" w:cs="宋体"/>
          <w:bCs/>
          <w:color w:val="auto"/>
          <w:sz w:val="28"/>
          <w:szCs w:val="28"/>
          <w:highlight w:val="none"/>
        </w:rPr>
        <w:t>15.1</w:t>
      </w:r>
      <w:r>
        <w:rPr>
          <w:rFonts w:hint="eastAsia" w:ascii="宋体" w:hAnsi="宋体" w:cs="宋体"/>
          <w:color w:val="auto"/>
          <w:sz w:val="28"/>
          <w:szCs w:val="28"/>
          <w:highlight w:val="none"/>
        </w:rPr>
        <w:t>本合同未尽事宜，可由甲乙双方另行签订补充协议。补充协议与本合同具有同等法律效力。</w:t>
      </w:r>
    </w:p>
    <w:p>
      <w:pPr>
        <w:spacing w:line="520" w:lineRule="exact"/>
        <w:ind w:firstLine="700" w:firstLineChars="250"/>
        <w:rPr>
          <w:rFonts w:ascii="宋体" w:hAnsi="宋体" w:cs="宋体"/>
          <w:color w:val="auto"/>
          <w:sz w:val="28"/>
          <w:szCs w:val="28"/>
          <w:highlight w:val="none"/>
        </w:rPr>
      </w:pPr>
      <w:r>
        <w:rPr>
          <w:rFonts w:hint="eastAsia" w:ascii="宋体" w:hAnsi="宋体" w:cs="宋体"/>
          <w:color w:val="auto"/>
          <w:sz w:val="28"/>
          <w:szCs w:val="28"/>
          <w:highlight w:val="none"/>
        </w:rPr>
        <w:t>15.2本合同自甲乙双方法定代表人或授权代理人签字并盖章之日起生效。</w:t>
      </w:r>
    </w:p>
    <w:p>
      <w:pPr>
        <w:spacing w:line="520" w:lineRule="exact"/>
        <w:ind w:firstLine="700" w:firstLineChars="250"/>
        <w:rPr>
          <w:rFonts w:ascii="宋体" w:hAnsi="宋体" w:cs="宋体"/>
          <w:color w:val="auto"/>
          <w:sz w:val="28"/>
          <w:szCs w:val="28"/>
          <w:highlight w:val="none"/>
        </w:rPr>
      </w:pPr>
      <w:r>
        <w:rPr>
          <w:rFonts w:hint="eastAsia" w:ascii="宋体" w:hAnsi="宋体" w:cs="宋体"/>
          <w:color w:val="auto"/>
          <w:sz w:val="28"/>
          <w:szCs w:val="28"/>
          <w:highlight w:val="none"/>
        </w:rPr>
        <w:t>15.3本合同一式</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份，甲方执</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份，乙方执</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份。均具有同等法律效力。</w:t>
      </w:r>
    </w:p>
    <w:p>
      <w:pPr>
        <w:spacing w:line="520" w:lineRule="exact"/>
        <w:ind w:firstLine="840" w:firstLineChars="300"/>
        <w:rPr>
          <w:rFonts w:ascii="宋体" w:hAnsi="宋体" w:cs="宋体"/>
          <w:color w:val="auto"/>
          <w:sz w:val="28"/>
          <w:szCs w:val="28"/>
          <w:highlight w:val="none"/>
        </w:rPr>
      </w:pPr>
      <w:r>
        <w:rPr>
          <w:rFonts w:hint="eastAsia" w:ascii="宋体" w:hAnsi="宋体" w:cs="宋体"/>
          <w:color w:val="auto"/>
          <w:sz w:val="28"/>
          <w:szCs w:val="28"/>
          <w:highlight w:val="none"/>
        </w:rPr>
        <w:t>15.4补充条款：</w:t>
      </w:r>
      <w:r>
        <w:rPr>
          <w:rFonts w:hint="eastAsia" w:ascii="宋体" w:hAnsi="宋体" w:cs="宋体"/>
          <w:color w:val="auto"/>
          <w:sz w:val="28"/>
          <w:szCs w:val="28"/>
          <w:highlight w:val="none"/>
          <w:u w:val="single"/>
        </w:rPr>
        <w:t xml:space="preserve">   /  </w:t>
      </w:r>
      <w:r>
        <w:rPr>
          <w:rFonts w:hint="eastAsia" w:ascii="宋体" w:hAnsi="宋体" w:cs="宋体"/>
          <w:color w:val="auto"/>
          <w:sz w:val="28"/>
          <w:szCs w:val="28"/>
          <w:highlight w:val="none"/>
        </w:rPr>
        <w:t xml:space="preserve">。     </w:t>
      </w:r>
      <w:bookmarkEnd w:id="119"/>
      <w:bookmarkEnd w:id="120"/>
      <w:bookmarkEnd w:id="146"/>
      <w:bookmarkEnd w:id="147"/>
      <w:bookmarkEnd w:id="148"/>
      <w:bookmarkEnd w:id="149"/>
      <w:bookmarkEnd w:id="150"/>
      <w:bookmarkEnd w:id="151"/>
      <w:bookmarkEnd w:id="152"/>
      <w:bookmarkEnd w:id="153"/>
      <w:bookmarkEnd w:id="154"/>
      <w:bookmarkEnd w:id="155"/>
      <w:bookmarkEnd w:id="156"/>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附件：1.中标通知书/成交通知书</w:t>
      </w:r>
    </w:p>
    <w:p>
      <w:pPr>
        <w:spacing w:line="520" w:lineRule="exact"/>
        <w:ind w:left="848" w:leftChars="404"/>
        <w:rPr>
          <w:rFonts w:ascii="宋体" w:hAnsi="宋体" w:cs="宋体"/>
          <w:color w:val="auto"/>
          <w:sz w:val="28"/>
          <w:szCs w:val="28"/>
          <w:highlight w:val="none"/>
        </w:rPr>
      </w:pPr>
      <w:r>
        <w:rPr>
          <w:rFonts w:hint="eastAsia" w:ascii="宋体" w:hAnsi="宋体" w:cs="宋体"/>
          <w:color w:val="auto"/>
          <w:sz w:val="28"/>
          <w:szCs w:val="28"/>
          <w:highlight w:val="none"/>
        </w:rPr>
        <w:t>2.廉洁协议</w:t>
      </w:r>
    </w:p>
    <w:p>
      <w:pPr>
        <w:spacing w:line="520" w:lineRule="exact"/>
        <w:ind w:left="848" w:leftChars="404"/>
        <w:rPr>
          <w:rFonts w:ascii="宋体" w:hAnsi="宋体" w:cs="宋体"/>
          <w:color w:val="auto"/>
          <w:sz w:val="28"/>
          <w:szCs w:val="28"/>
          <w:highlight w:val="none"/>
        </w:rPr>
      </w:pPr>
      <w:r>
        <w:rPr>
          <w:rFonts w:hint="eastAsia" w:ascii="宋体" w:hAnsi="宋体" w:cs="宋体"/>
          <w:color w:val="auto"/>
          <w:sz w:val="28"/>
          <w:szCs w:val="28"/>
          <w:highlight w:val="none"/>
        </w:rPr>
        <w:t>3.不诚信行为的情形及相应被暂停参与投标活动的处理标准</w:t>
      </w:r>
    </w:p>
    <w:p>
      <w:pPr>
        <w:spacing w:line="520" w:lineRule="exact"/>
        <w:ind w:left="848" w:leftChars="404"/>
        <w:rPr>
          <w:rFonts w:ascii="宋体" w:hAnsi="宋体" w:cs="宋体"/>
          <w:color w:val="auto"/>
          <w:sz w:val="28"/>
          <w:szCs w:val="28"/>
          <w:highlight w:val="none"/>
        </w:rPr>
      </w:pPr>
      <w:r>
        <w:rPr>
          <w:rFonts w:hint="eastAsia" w:ascii="宋体" w:hAnsi="宋体" w:cs="宋体"/>
          <w:color w:val="auto"/>
          <w:sz w:val="28"/>
          <w:szCs w:val="28"/>
          <w:highlight w:val="none"/>
        </w:rPr>
        <w:t>4.物品采购安全协议书</w:t>
      </w:r>
    </w:p>
    <w:p>
      <w:pPr>
        <w:spacing w:line="520" w:lineRule="exact"/>
        <w:ind w:left="848" w:leftChars="404"/>
        <w:rPr>
          <w:rFonts w:ascii="宋体" w:hAnsi="宋体" w:cs="宋体"/>
          <w:color w:val="auto"/>
          <w:kern w:val="0"/>
          <w:sz w:val="28"/>
          <w:szCs w:val="28"/>
          <w:highlight w:val="none"/>
        </w:rPr>
      </w:pPr>
      <w:r>
        <w:rPr>
          <w:rFonts w:hint="eastAsia" w:ascii="宋体" w:hAnsi="宋体" w:cs="宋体"/>
          <w:color w:val="auto"/>
          <w:kern w:val="0"/>
          <w:sz w:val="28"/>
          <w:szCs w:val="28"/>
          <w:highlight w:val="none"/>
        </w:rPr>
        <w:t>5</w:t>
      </w:r>
      <w:r>
        <w:rPr>
          <w:rFonts w:hint="eastAsia" w:ascii="宋体" w:hAnsi="宋体" w:cs="宋体"/>
          <w:color w:val="auto"/>
          <w:kern w:val="0"/>
          <w:sz w:val="28"/>
          <w:szCs w:val="28"/>
          <w:highlight w:val="none"/>
          <w:lang w:val="zh-CN"/>
        </w:rPr>
        <w:t>.</w:t>
      </w:r>
      <w:r>
        <w:rPr>
          <w:rFonts w:hint="eastAsia" w:ascii="宋体" w:hAnsi="宋体" w:cs="宋体"/>
          <w:color w:val="auto"/>
          <w:kern w:val="0"/>
          <w:sz w:val="28"/>
          <w:szCs w:val="28"/>
          <w:highlight w:val="none"/>
        </w:rPr>
        <w:t>报价清单</w:t>
      </w:r>
    </w:p>
    <w:p>
      <w:pPr>
        <w:spacing w:line="520" w:lineRule="exact"/>
        <w:ind w:left="848" w:leftChars="404"/>
        <w:rPr>
          <w:rFonts w:ascii="宋体" w:hAnsi="宋体" w:cs="宋体"/>
          <w:color w:val="auto"/>
          <w:sz w:val="28"/>
          <w:szCs w:val="28"/>
          <w:highlight w:val="none"/>
        </w:rPr>
      </w:pPr>
      <w:r>
        <w:rPr>
          <w:rFonts w:hint="eastAsia" w:ascii="宋体" w:hAnsi="宋体" w:cs="宋体"/>
          <w:color w:val="auto"/>
          <w:sz w:val="28"/>
          <w:szCs w:val="28"/>
          <w:highlight w:val="none"/>
        </w:rPr>
        <w:t>6.履约保函（模板）</w:t>
      </w:r>
    </w:p>
    <w:p>
      <w:pPr>
        <w:spacing w:line="520" w:lineRule="exact"/>
        <w:ind w:left="848" w:leftChars="404"/>
        <w:rPr>
          <w:rFonts w:ascii="宋体" w:hAnsi="宋体" w:cs="宋体"/>
          <w:color w:val="auto"/>
          <w:sz w:val="28"/>
          <w:szCs w:val="28"/>
          <w:highlight w:val="none"/>
        </w:rPr>
      </w:pPr>
      <w:r>
        <w:rPr>
          <w:rFonts w:hint="eastAsia" w:ascii="宋体" w:hAnsi="宋体" w:cs="宋体"/>
          <w:color w:val="auto"/>
          <w:sz w:val="28"/>
          <w:szCs w:val="28"/>
          <w:highlight w:val="none"/>
        </w:rPr>
        <w:t>7.预付款保函（模板）</w:t>
      </w:r>
    </w:p>
    <w:p>
      <w:pPr>
        <w:pStyle w:val="7"/>
        <w:spacing w:line="520" w:lineRule="exact"/>
        <w:ind w:firstLine="560"/>
        <w:rPr>
          <w:rFonts w:ascii="宋体" w:hAnsi="宋体" w:cs="宋体"/>
          <w:color w:val="auto"/>
          <w:sz w:val="28"/>
          <w:szCs w:val="28"/>
          <w:highlight w:val="none"/>
        </w:rPr>
      </w:pPr>
    </w:p>
    <w:p>
      <w:pPr>
        <w:pStyle w:val="7"/>
        <w:spacing w:line="520" w:lineRule="exact"/>
        <w:ind w:firstLine="560"/>
        <w:rPr>
          <w:rFonts w:ascii="宋体" w:hAnsi="宋体" w:cs="宋体"/>
          <w:color w:val="auto"/>
          <w:sz w:val="28"/>
          <w:szCs w:val="28"/>
          <w:highlight w:val="none"/>
        </w:rPr>
      </w:pP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b/>
                <w:color w:val="auto"/>
                <w:sz w:val="28"/>
                <w:szCs w:val="28"/>
                <w:highlight w:val="none"/>
              </w:rPr>
              <w:t>甲方</w:t>
            </w:r>
            <w:r>
              <w:rPr>
                <w:rFonts w:hint="eastAsia" w:ascii="宋体" w:hAnsi="宋体" w:cs="宋体"/>
                <w:color w:val="auto"/>
                <w:sz w:val="28"/>
                <w:szCs w:val="28"/>
                <w:highlight w:val="none"/>
              </w:rPr>
              <w:t>：（章）广州市净水有限公司</w:t>
            </w:r>
          </w:p>
        </w:tc>
        <w:tc>
          <w:tcPr>
            <w:tcW w:w="4696"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b/>
                <w:color w:val="auto"/>
                <w:sz w:val="28"/>
                <w:szCs w:val="28"/>
                <w:highlight w:val="none"/>
              </w:rPr>
              <w:t>乙方</w:t>
            </w:r>
            <w:r>
              <w:rPr>
                <w:rFonts w:hint="eastAsia" w:ascii="宋体" w:hAnsi="宋体" w:cs="宋体"/>
                <w:color w:val="auto"/>
                <w:sz w:val="28"/>
                <w:szCs w:val="28"/>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法定代表人或授权代理人：</w:t>
            </w:r>
          </w:p>
        </w:tc>
        <w:tc>
          <w:tcPr>
            <w:tcW w:w="4696"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经办人：</w:t>
            </w:r>
          </w:p>
        </w:tc>
        <w:tc>
          <w:tcPr>
            <w:tcW w:w="4696"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电话：</w:t>
            </w:r>
          </w:p>
        </w:tc>
        <w:tc>
          <w:tcPr>
            <w:tcW w:w="4696"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传真：</w:t>
            </w:r>
          </w:p>
        </w:tc>
        <w:tc>
          <w:tcPr>
            <w:tcW w:w="4696" w:type="dxa"/>
            <w:tcBorders>
              <w:top w:val="nil"/>
              <w:left w:val="nil"/>
              <w:bottom w:val="nil"/>
              <w:right w:val="nil"/>
            </w:tcBorders>
          </w:tcPr>
          <w:p>
            <w:pPr>
              <w:adjustRightInd w:val="0"/>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pacing w:line="520" w:lineRule="exact"/>
              <w:ind w:left="280" w:hanging="280" w:hangingChars="100"/>
              <w:rPr>
                <w:rFonts w:ascii="宋体" w:hAnsi="宋体" w:cs="宋体"/>
                <w:color w:val="auto"/>
                <w:sz w:val="28"/>
                <w:szCs w:val="28"/>
                <w:highlight w:val="none"/>
              </w:rPr>
            </w:pPr>
            <w:r>
              <w:rPr>
                <w:rFonts w:hint="eastAsia" w:ascii="宋体" w:hAnsi="宋体" w:cs="宋体"/>
                <w:color w:val="auto"/>
                <w:sz w:val="28"/>
                <w:szCs w:val="28"/>
                <w:highlight w:val="none"/>
              </w:rPr>
              <w:t xml:space="preserve">签订日期：                                                     </w:t>
            </w:r>
          </w:p>
        </w:tc>
        <w:tc>
          <w:tcPr>
            <w:tcW w:w="4696" w:type="dxa"/>
            <w:tcBorders>
              <w:top w:val="nil"/>
              <w:left w:val="nil"/>
              <w:bottom w:val="nil"/>
              <w:right w:val="nil"/>
            </w:tcBorders>
          </w:tcPr>
          <w:p>
            <w:pPr>
              <w:adjustRightInd w:val="0"/>
              <w:spacing w:line="520" w:lineRule="exact"/>
              <w:ind w:left="4878" w:hanging="4877" w:hangingChars="1742"/>
              <w:rPr>
                <w:rFonts w:ascii="宋体" w:hAnsi="宋体" w:cs="宋体"/>
                <w:color w:val="auto"/>
                <w:sz w:val="28"/>
                <w:szCs w:val="28"/>
                <w:highlight w:val="none"/>
              </w:rPr>
            </w:pPr>
            <w:r>
              <w:rPr>
                <w:rFonts w:hint="eastAsia" w:ascii="宋体" w:hAnsi="宋体" w:cs="宋体"/>
                <w:color w:val="auto"/>
                <w:sz w:val="28"/>
                <w:szCs w:val="28"/>
                <w:highlight w:val="none"/>
              </w:rPr>
              <w:t>签订日期:</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  中标通知书</w:t>
      </w:r>
    </w:p>
    <w:p>
      <w:pPr>
        <w:pStyle w:val="2"/>
        <w:rPr>
          <w:color w:val="auto"/>
          <w:highlight w:val="none"/>
        </w:rPr>
      </w:pPr>
    </w:p>
    <w:p>
      <w:pPr>
        <w:spacing w:line="520" w:lineRule="exact"/>
        <w:jc w:val="left"/>
        <w:rPr>
          <w:rFonts w:ascii="仿宋_GB2312" w:hAnsi="仿宋_GB2312" w:eastAsia="仿宋_GB2312" w:cs="仿宋_GB2312"/>
          <w:bCs/>
          <w:color w:val="auto"/>
          <w:sz w:val="28"/>
          <w:szCs w:val="28"/>
          <w:highlight w:val="none"/>
        </w:rPr>
      </w:pPr>
      <w:r>
        <w:rPr>
          <w:rFonts w:hint="eastAsia" w:ascii="宋体" w:hAnsi="宋体" w:cs="宋体"/>
          <w:b/>
          <w:bCs/>
          <w:color w:val="auto"/>
          <w:szCs w:val="21"/>
          <w:highlight w:val="none"/>
        </w:rPr>
        <w:t xml:space="preserve">附件2  廉洁协议   </w:t>
      </w:r>
      <w:r>
        <w:rPr>
          <w:rFonts w:hint="eastAsia" w:ascii="仿宋_GB2312" w:hAnsi="仿宋_GB2312" w:eastAsia="仿宋_GB2312" w:cs="仿宋_GB2312"/>
          <w:bCs/>
          <w:color w:val="auto"/>
          <w:sz w:val="28"/>
          <w:szCs w:val="28"/>
          <w:highlight w:val="none"/>
        </w:rPr>
        <w:t xml:space="preserve">                   </w:t>
      </w:r>
    </w:p>
    <w:p>
      <w:pPr>
        <w:spacing w:line="480" w:lineRule="exact"/>
        <w:ind w:firstLine="3640" w:firstLineChars="1300"/>
        <w:rPr>
          <w:rFonts w:ascii="宋体" w:hAnsi="宋体" w:cs="宋体"/>
          <w:bCs/>
          <w:color w:val="auto"/>
          <w:sz w:val="28"/>
          <w:szCs w:val="28"/>
          <w:highlight w:val="none"/>
        </w:rPr>
      </w:pPr>
      <w:r>
        <w:rPr>
          <w:rFonts w:hint="eastAsia" w:ascii="宋体" w:hAnsi="宋体" w:cs="宋体"/>
          <w:bCs/>
          <w:color w:val="auto"/>
          <w:sz w:val="28"/>
          <w:szCs w:val="28"/>
          <w:highlight w:val="none"/>
        </w:rPr>
        <w:t>廉洁协议</w:t>
      </w:r>
    </w:p>
    <w:p>
      <w:pPr>
        <w:spacing w:line="480" w:lineRule="exact"/>
        <w:ind w:firstLine="630" w:firstLineChars="225"/>
        <w:rPr>
          <w:rFonts w:ascii="宋体" w:hAnsi="宋体" w:cs="宋体"/>
          <w:bCs/>
          <w:color w:val="auto"/>
          <w:sz w:val="28"/>
          <w:szCs w:val="28"/>
          <w:highlight w:val="none"/>
        </w:rPr>
      </w:pPr>
      <w:r>
        <w:rPr>
          <w:rFonts w:hint="eastAsia" w:ascii="宋体" w:hAnsi="宋体" w:cs="宋体"/>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宋体" w:hAnsi="宋体" w:cs="宋体"/>
          <w:bCs/>
          <w:color w:val="auto"/>
          <w:sz w:val="28"/>
          <w:szCs w:val="28"/>
          <w:highlight w:val="none"/>
          <w:u w:val="single"/>
        </w:rPr>
        <w:t>广州市净水有限公司</w:t>
      </w:r>
      <w:r>
        <w:rPr>
          <w:rFonts w:hint="eastAsia" w:ascii="宋体" w:hAnsi="宋体" w:cs="宋体"/>
          <w:bCs/>
          <w:color w:val="auto"/>
          <w:sz w:val="28"/>
          <w:szCs w:val="28"/>
          <w:highlight w:val="none"/>
        </w:rPr>
        <w:t xml:space="preserve">(以下称甲方)与 </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(以下称乙方)，特此订立本协议共同遵照执行。</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第一条 甲乙双方的权利和义务</w:t>
      </w:r>
    </w:p>
    <w:p>
      <w:pPr>
        <w:spacing w:line="480" w:lineRule="exact"/>
        <w:ind w:firstLine="420" w:firstLineChars="150"/>
        <w:rPr>
          <w:rFonts w:ascii="宋体" w:hAnsi="宋体" w:cs="宋体"/>
          <w:bCs/>
          <w:color w:val="auto"/>
          <w:sz w:val="28"/>
          <w:szCs w:val="28"/>
          <w:highlight w:val="none"/>
        </w:rPr>
      </w:pPr>
      <w:r>
        <w:rPr>
          <w:rFonts w:hint="eastAsia" w:ascii="宋体" w:hAnsi="宋体" w:cs="宋体"/>
          <w:bCs/>
          <w:color w:val="auto"/>
          <w:sz w:val="28"/>
          <w:szCs w:val="28"/>
          <w:highlight w:val="none"/>
        </w:rPr>
        <w:t>（一）甲乙双方严格遵守国家关于市场准入、项目招标投标、市场经营活动等有关法律、法规相关政策及廉政建设的各项规定。</w:t>
      </w:r>
    </w:p>
    <w:p>
      <w:pPr>
        <w:spacing w:line="480" w:lineRule="exact"/>
        <w:ind w:firstLine="420" w:firstLineChars="150"/>
        <w:rPr>
          <w:rFonts w:ascii="宋体" w:hAnsi="宋体" w:cs="宋体"/>
          <w:bCs/>
          <w:color w:val="auto"/>
          <w:sz w:val="28"/>
          <w:szCs w:val="28"/>
          <w:highlight w:val="none"/>
        </w:rPr>
      </w:pPr>
      <w:r>
        <w:rPr>
          <w:rFonts w:hint="eastAsia" w:ascii="宋体" w:hAnsi="宋体" w:cs="宋体"/>
          <w:bCs/>
          <w:color w:val="auto"/>
          <w:sz w:val="28"/>
          <w:szCs w:val="28"/>
          <w:highlight w:val="none"/>
        </w:rPr>
        <w:t>（二）严格执行</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合同（以下简称：主合同），自觉履行合同约定的相关义务。</w:t>
      </w:r>
    </w:p>
    <w:p>
      <w:pPr>
        <w:spacing w:line="480" w:lineRule="exact"/>
        <w:ind w:firstLine="420" w:firstLineChars="150"/>
        <w:rPr>
          <w:rFonts w:ascii="宋体" w:hAnsi="宋体" w:cs="宋体"/>
          <w:bCs/>
          <w:color w:val="auto"/>
          <w:sz w:val="28"/>
          <w:szCs w:val="28"/>
          <w:highlight w:val="none"/>
        </w:rPr>
      </w:pPr>
      <w:r>
        <w:rPr>
          <w:rFonts w:hint="eastAsia" w:ascii="宋体" w:hAnsi="宋体" w:cs="宋体"/>
          <w:bCs/>
          <w:color w:val="auto"/>
          <w:sz w:val="28"/>
          <w:szCs w:val="28"/>
          <w:highlight w:val="none"/>
        </w:rPr>
        <w:t>（三）在业务活动中坚持公开、公正、诚信、透明的原则，不得损害国家、集体利益。</w:t>
      </w:r>
    </w:p>
    <w:p>
      <w:pPr>
        <w:spacing w:line="480" w:lineRule="exact"/>
        <w:ind w:firstLine="420" w:firstLineChars="150"/>
        <w:rPr>
          <w:rFonts w:ascii="宋体" w:hAnsi="宋体" w:cs="宋体"/>
          <w:bCs/>
          <w:color w:val="auto"/>
          <w:sz w:val="28"/>
          <w:szCs w:val="28"/>
          <w:highlight w:val="none"/>
        </w:rPr>
      </w:pPr>
      <w:r>
        <w:rPr>
          <w:rFonts w:hint="eastAsia" w:ascii="宋体" w:hAnsi="宋体" w:cs="宋体"/>
          <w:bCs/>
          <w:color w:val="auto"/>
          <w:sz w:val="28"/>
          <w:szCs w:val="28"/>
          <w:highlight w:val="none"/>
        </w:rPr>
        <w:t>（四）建立健全廉洁从业制度，开展廉洁教育，公布举报电话，监督并认真查处不廉洁及违法违纪行为。</w:t>
      </w:r>
    </w:p>
    <w:p>
      <w:pPr>
        <w:spacing w:line="480" w:lineRule="exact"/>
        <w:ind w:firstLine="420" w:firstLineChars="150"/>
        <w:rPr>
          <w:rFonts w:ascii="宋体" w:hAnsi="宋体" w:cs="宋体"/>
          <w:bCs/>
          <w:color w:val="auto"/>
          <w:sz w:val="28"/>
          <w:szCs w:val="28"/>
          <w:highlight w:val="none"/>
        </w:rPr>
      </w:pPr>
      <w:r>
        <w:rPr>
          <w:rFonts w:hint="eastAsia" w:ascii="宋体" w:hAnsi="宋体" w:cs="宋体"/>
          <w:bCs/>
          <w:color w:val="auto"/>
          <w:sz w:val="28"/>
          <w:szCs w:val="28"/>
          <w:highlight w:val="none"/>
        </w:rPr>
        <w:t>（五）发现对方在业务活动中有不廉洁行为，应及时提醒对方纠正。情节严重的，应向其有关监督部门检举。</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第二条甲方的义务</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（一）甲方及其工作人员不得索要或接受乙方的礼金、有价证券和贵重物品，不得在乙方报销任何应由甲方或个人支付的费用等。</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480" w:lineRule="exact"/>
        <w:ind w:left="15" w:leftChars="7"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（三）甲方及其工作人员不得要求或者接受乙方为其住房装修、婚丧嫁娶活动、配偶子女工作安排以及出国出境、旅游等提供方便等。</w:t>
      </w:r>
    </w:p>
    <w:p>
      <w:pPr>
        <w:spacing w:line="480" w:lineRule="exact"/>
        <w:ind w:left="15" w:leftChars="7"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（四）甲方工作人员不得在乙方或与乙方有股权关联的企业兼职，不得向乙方介绍家属或者亲友从事与甲方业务有关的经济活动。</w:t>
      </w:r>
    </w:p>
    <w:p>
      <w:pPr>
        <w:spacing w:line="480" w:lineRule="exact"/>
        <w:ind w:left="15" w:leftChars="7"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480" w:lineRule="exact"/>
        <w:ind w:left="15" w:leftChars="7"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（六）甲方工作人员不得利用职务之便收受乙方以回扣、手续费、加班费、咨询费、劳务费、协调费、辛苦费等各种名义给予或赠送的钱物。</w:t>
      </w:r>
    </w:p>
    <w:p>
      <w:pPr>
        <w:spacing w:line="480" w:lineRule="exact"/>
        <w:ind w:left="15" w:leftChars="7"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（七）甲方工作人员不得接受乙方给予或赠送的干股或红利。</w:t>
      </w:r>
    </w:p>
    <w:p>
      <w:pPr>
        <w:spacing w:line="480" w:lineRule="exact"/>
        <w:ind w:left="15" w:leftChars="7"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(八）不得存在其他违反廉洁规定的行为。</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第三条乙方的义务</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（一）乙方不得以任何理由向甲方及其工作人员行贿或馈赠礼金、有价证券、贵重礼品。</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（二)乙方不得以任何名义为甲方及其工作人员报销应由甲方单位或个人支付的任何费用。</w:t>
      </w:r>
    </w:p>
    <w:p>
      <w:pPr>
        <w:spacing w:line="480" w:lineRule="exact"/>
        <w:ind w:left="25" w:leftChars="12"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（三）乙方不得以任何理由安排甲方工作人员参加可能影响相关业务公开、公正、公平性的宴请及娱乐活动。</w:t>
      </w:r>
    </w:p>
    <w:p>
      <w:pPr>
        <w:pStyle w:val="16"/>
        <w:adjustRightInd/>
        <w:spacing w:line="480" w:lineRule="exact"/>
        <w:textAlignment w:val="auto"/>
        <w:rPr>
          <w:rFonts w:ascii="宋体" w:hAnsi="宋体" w:cs="宋体"/>
          <w:bCs/>
          <w:color w:val="auto"/>
          <w:szCs w:val="28"/>
          <w:highlight w:val="none"/>
        </w:rPr>
      </w:pPr>
      <w:r>
        <w:rPr>
          <w:rFonts w:hint="eastAsia" w:ascii="宋体" w:hAnsi="宋体" w:cs="宋体"/>
          <w:bCs/>
          <w:color w:val="auto"/>
          <w:szCs w:val="28"/>
          <w:highlight w:val="none"/>
        </w:rPr>
        <w:t>（四）乙方不得为甲方单位和个人购置或提供通讯工具和高档办公用品等物品，也不得为甲方提供与工作无关的房屋、汽车等。</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（五）乙方不得擅自与甲方工作人员就主合同中的质量、数量、价格、工程量、验收等条款进行私下商谈或者达成默契。</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（六）乙方不得以回扣、手续费、加班费、咨询费、劳务费、协调费、辛苦费等各种名义向甲方工作人员给予或赠送钱物。</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（七）乙方不得向甲方工作人员提供干股或红利。</w:t>
      </w:r>
    </w:p>
    <w:p>
      <w:pPr>
        <w:spacing w:line="480" w:lineRule="exact"/>
        <w:ind w:left="15" w:leftChars="7"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(八）不得存在其他违反廉洁规定的行为。</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第四条违约责任</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甲方举报投诉联系部门：广州市净水有限公司</w:t>
      </w:r>
      <w:r>
        <w:rPr>
          <w:rFonts w:hint="eastAsia" w:ascii="宋体" w:hAnsi="宋体" w:cs="宋体"/>
          <w:bCs/>
          <w:color w:val="auto"/>
          <w:sz w:val="28"/>
          <w:szCs w:val="28"/>
          <w:highlight w:val="none"/>
          <w:u w:val="single"/>
        </w:rPr>
        <w:t>纪检室</w:t>
      </w:r>
      <w:r>
        <w:rPr>
          <w:rFonts w:hint="eastAsia" w:ascii="宋体" w:hAnsi="宋体" w:cs="宋体"/>
          <w:bCs/>
          <w:color w:val="auto"/>
          <w:sz w:val="28"/>
          <w:szCs w:val="28"/>
          <w:highlight w:val="none"/>
        </w:rPr>
        <w:t>，联系电话：</w:t>
      </w:r>
      <w:r>
        <w:rPr>
          <w:rFonts w:hint="eastAsia" w:ascii="宋体" w:hAnsi="宋体" w:cs="宋体"/>
          <w:bCs/>
          <w:color w:val="auto"/>
          <w:sz w:val="28"/>
          <w:szCs w:val="28"/>
          <w:highlight w:val="none"/>
          <w:u w:val="single"/>
        </w:rPr>
        <w:t xml:space="preserve"> 020-38890265 </w:t>
      </w:r>
      <w:r>
        <w:rPr>
          <w:rFonts w:hint="eastAsia" w:ascii="宋体" w:hAnsi="宋体" w:cs="宋体"/>
          <w:bCs/>
          <w:color w:val="auto"/>
          <w:sz w:val="28"/>
          <w:szCs w:val="28"/>
          <w:highlight w:val="none"/>
        </w:rPr>
        <w:t>。</w:t>
      </w:r>
    </w:p>
    <w:p>
      <w:pPr>
        <w:pStyle w:val="22"/>
        <w:spacing w:line="480" w:lineRule="exact"/>
        <w:rPr>
          <w:rFonts w:cs="宋体"/>
          <w:bCs/>
          <w:color w:val="auto"/>
          <w:sz w:val="28"/>
          <w:szCs w:val="28"/>
          <w:highlight w:val="none"/>
        </w:rPr>
      </w:pPr>
      <w:r>
        <w:rPr>
          <w:rFonts w:hint="eastAsia" w:cs="宋体"/>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line="480" w:lineRule="exact"/>
        <w:rPr>
          <w:rFonts w:cs="宋体"/>
          <w:bCs/>
          <w:color w:val="auto"/>
          <w:sz w:val="28"/>
          <w:szCs w:val="28"/>
          <w:highlight w:val="none"/>
        </w:rPr>
      </w:pPr>
      <w:r>
        <w:rPr>
          <w:rFonts w:hint="eastAsia" w:cs="宋体"/>
          <w:bCs/>
          <w:color w:val="auto"/>
          <w:sz w:val="28"/>
          <w:szCs w:val="28"/>
          <w:highlight w:val="none"/>
        </w:rPr>
        <w:t>1、扣除主合同的全部履约保证金；</w:t>
      </w:r>
    </w:p>
    <w:p>
      <w:pPr>
        <w:pStyle w:val="22"/>
        <w:spacing w:line="480" w:lineRule="exact"/>
        <w:rPr>
          <w:rFonts w:cs="宋体"/>
          <w:bCs/>
          <w:color w:val="auto"/>
          <w:sz w:val="28"/>
          <w:szCs w:val="28"/>
          <w:highlight w:val="none"/>
        </w:rPr>
      </w:pPr>
      <w:r>
        <w:rPr>
          <w:rFonts w:hint="eastAsia" w:cs="宋体"/>
          <w:bCs/>
          <w:color w:val="auto"/>
          <w:sz w:val="28"/>
          <w:szCs w:val="28"/>
          <w:highlight w:val="none"/>
        </w:rPr>
        <w:t>2、解除主合同；</w:t>
      </w:r>
    </w:p>
    <w:p>
      <w:pPr>
        <w:pStyle w:val="22"/>
        <w:spacing w:line="480" w:lineRule="exact"/>
        <w:rPr>
          <w:rFonts w:cs="宋体"/>
          <w:bCs/>
          <w:color w:val="auto"/>
          <w:sz w:val="28"/>
          <w:szCs w:val="28"/>
          <w:highlight w:val="none"/>
        </w:rPr>
      </w:pPr>
      <w:r>
        <w:rPr>
          <w:rFonts w:hint="eastAsia" w:cs="宋体"/>
          <w:bCs/>
          <w:color w:val="auto"/>
          <w:sz w:val="28"/>
          <w:szCs w:val="28"/>
          <w:highlight w:val="none"/>
        </w:rPr>
        <w:t>3、追究乙方其他违约责任；</w:t>
      </w:r>
    </w:p>
    <w:p>
      <w:pPr>
        <w:pStyle w:val="22"/>
        <w:spacing w:line="480" w:lineRule="exact"/>
        <w:rPr>
          <w:rFonts w:cs="宋体"/>
          <w:bCs/>
          <w:color w:val="auto"/>
          <w:sz w:val="28"/>
          <w:szCs w:val="28"/>
          <w:highlight w:val="none"/>
        </w:rPr>
      </w:pPr>
      <w:r>
        <w:rPr>
          <w:rFonts w:hint="eastAsia" w:cs="宋体"/>
          <w:bCs/>
          <w:color w:val="auto"/>
          <w:sz w:val="28"/>
          <w:szCs w:val="28"/>
          <w:highlight w:val="none"/>
        </w:rPr>
        <w:t>4、根据甲方的有关规章制度，在一定时间内暂停乙方参与甲方及下属单位所有项目的交易资格；</w:t>
      </w:r>
    </w:p>
    <w:p>
      <w:pPr>
        <w:pStyle w:val="22"/>
        <w:spacing w:line="480" w:lineRule="exact"/>
        <w:rPr>
          <w:rFonts w:cs="宋体"/>
          <w:bCs/>
          <w:color w:val="auto"/>
          <w:sz w:val="28"/>
          <w:szCs w:val="28"/>
          <w:highlight w:val="none"/>
        </w:rPr>
      </w:pPr>
      <w:r>
        <w:rPr>
          <w:rFonts w:hint="eastAsia" w:cs="宋体"/>
          <w:bCs/>
          <w:color w:val="auto"/>
          <w:sz w:val="28"/>
          <w:szCs w:val="28"/>
          <w:highlight w:val="none"/>
        </w:rPr>
        <w:t>5、根据甲方的有关规章制度，将乙方清退出甲方相关企业库；</w:t>
      </w:r>
    </w:p>
    <w:p>
      <w:pPr>
        <w:pStyle w:val="22"/>
        <w:spacing w:line="480" w:lineRule="exact"/>
        <w:rPr>
          <w:rFonts w:cs="宋体"/>
          <w:bCs/>
          <w:color w:val="auto"/>
          <w:sz w:val="28"/>
          <w:szCs w:val="28"/>
          <w:highlight w:val="none"/>
        </w:rPr>
      </w:pPr>
      <w:r>
        <w:rPr>
          <w:rFonts w:hint="eastAsia" w:cs="宋体"/>
          <w:bCs/>
          <w:color w:val="auto"/>
          <w:sz w:val="28"/>
          <w:szCs w:val="28"/>
          <w:highlight w:val="none"/>
        </w:rPr>
        <w:t>6、根据甲方上级单位、行政主管部门的意见、决定执行；</w:t>
      </w:r>
    </w:p>
    <w:p>
      <w:pPr>
        <w:pStyle w:val="22"/>
        <w:spacing w:line="480" w:lineRule="exact"/>
        <w:rPr>
          <w:rFonts w:cs="宋体"/>
          <w:bCs/>
          <w:color w:val="auto"/>
          <w:sz w:val="28"/>
          <w:szCs w:val="28"/>
          <w:highlight w:val="none"/>
        </w:rPr>
      </w:pPr>
      <w:r>
        <w:rPr>
          <w:rFonts w:hint="eastAsia" w:cs="宋体"/>
          <w:bCs/>
          <w:color w:val="auto"/>
          <w:sz w:val="28"/>
          <w:szCs w:val="28"/>
          <w:highlight w:val="none"/>
        </w:rPr>
        <w:t>7、按规定向有关行政监督部门、乙方业务管理部门进行投诉、报告。</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乙方无条件接受甲方的处理决定并承担给甲方造成的损失，全额返还通过不正当手段获取的非法所得，并承担相应的法律责任。</w:t>
      </w:r>
    </w:p>
    <w:p>
      <w:pPr>
        <w:spacing w:line="480" w:lineRule="exact"/>
        <w:ind w:firstLine="560" w:firstLineChars="200"/>
        <w:rPr>
          <w:rFonts w:ascii="宋体" w:hAnsi="宋体" w:cs="宋体"/>
          <w:bCs/>
          <w:color w:val="auto"/>
          <w:kern w:val="0"/>
          <w:sz w:val="28"/>
          <w:szCs w:val="28"/>
          <w:highlight w:val="none"/>
        </w:rPr>
      </w:pPr>
      <w:r>
        <w:rPr>
          <w:rFonts w:hint="eastAsia" w:ascii="宋体" w:hAnsi="宋体" w:cs="宋体"/>
          <w:bCs/>
          <w:color w:val="auto"/>
          <w:sz w:val="28"/>
          <w:szCs w:val="28"/>
          <w:highlight w:val="none"/>
        </w:rPr>
        <w:t xml:space="preserve">第五条 </w:t>
      </w:r>
      <w:r>
        <w:rPr>
          <w:rFonts w:hint="eastAsia" w:ascii="宋体" w:hAnsi="宋体" w:cs="宋体"/>
          <w:bCs/>
          <w:color w:val="auto"/>
          <w:kern w:val="0"/>
          <w:sz w:val="28"/>
          <w:szCs w:val="28"/>
          <w:highlight w:val="none"/>
        </w:rPr>
        <w:t xml:space="preserve">本协议执行情况，接受有管辖权的纪检、监察部门的监督，双方应予以配合检查调查。 </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第六条本协议作为</w:t>
      </w:r>
      <w:r>
        <w:rPr>
          <w:rFonts w:hint="eastAsia" w:ascii="宋体" w:hAnsi="宋体" w:cs="宋体"/>
          <w:bCs/>
          <w:color w:val="auto"/>
          <w:sz w:val="28"/>
          <w:szCs w:val="28"/>
          <w:highlight w:val="none"/>
          <w:u w:val="single"/>
        </w:rPr>
        <w:t>（合同名称）+（合同编号）</w:t>
      </w:r>
      <w:r>
        <w:rPr>
          <w:rFonts w:hint="eastAsia" w:ascii="宋体" w:hAnsi="宋体" w:cs="宋体"/>
          <w:bCs/>
          <w:color w:val="auto"/>
          <w:sz w:val="28"/>
          <w:szCs w:val="28"/>
          <w:highlight w:val="none"/>
        </w:rPr>
        <w:t>合同的附件，并具有同等的法律效力，本协议自双方签字盖章之日起生效，与主合同同时终止。</w:t>
      </w:r>
    </w:p>
    <w:p>
      <w:pPr>
        <w:spacing w:line="48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第七条本协议一式</w:t>
      </w:r>
      <w:r>
        <w:rPr>
          <w:rFonts w:hint="eastAsia" w:ascii="宋体" w:hAnsi="宋体" w:cs="宋体"/>
          <w:bCs/>
          <w:color w:val="auto"/>
          <w:sz w:val="28"/>
          <w:szCs w:val="28"/>
          <w:highlight w:val="none"/>
          <w:u w:val="single"/>
        </w:rPr>
        <w:t>…</w:t>
      </w:r>
      <w:r>
        <w:rPr>
          <w:rFonts w:hint="eastAsia" w:ascii="宋体" w:hAnsi="宋体" w:cs="宋体"/>
          <w:bCs/>
          <w:color w:val="auto"/>
          <w:sz w:val="28"/>
          <w:szCs w:val="28"/>
          <w:highlight w:val="none"/>
        </w:rPr>
        <w:t>份，甲方</w:t>
      </w:r>
      <w:r>
        <w:rPr>
          <w:rFonts w:hint="eastAsia" w:ascii="宋体" w:hAnsi="宋体" w:cs="宋体"/>
          <w:bCs/>
          <w:color w:val="auto"/>
          <w:sz w:val="28"/>
          <w:szCs w:val="28"/>
          <w:highlight w:val="none"/>
          <w:u w:val="single"/>
        </w:rPr>
        <w:t>…</w:t>
      </w:r>
      <w:r>
        <w:rPr>
          <w:rFonts w:hint="eastAsia" w:ascii="宋体" w:hAnsi="宋体" w:cs="宋体"/>
          <w:bCs/>
          <w:color w:val="auto"/>
          <w:sz w:val="28"/>
          <w:szCs w:val="28"/>
          <w:highlight w:val="none"/>
        </w:rPr>
        <w:t>份，乙方</w:t>
      </w:r>
      <w:r>
        <w:rPr>
          <w:rFonts w:hint="eastAsia" w:ascii="宋体" w:hAnsi="宋体" w:cs="宋体"/>
          <w:bCs/>
          <w:color w:val="auto"/>
          <w:sz w:val="28"/>
          <w:szCs w:val="28"/>
          <w:highlight w:val="none"/>
          <w:u w:val="single"/>
        </w:rPr>
        <w:t>…</w:t>
      </w:r>
      <w:r>
        <w:rPr>
          <w:rFonts w:hint="eastAsia" w:ascii="宋体" w:hAnsi="宋体" w:cs="宋体"/>
          <w:bCs/>
          <w:color w:val="auto"/>
          <w:sz w:val="28"/>
          <w:szCs w:val="28"/>
          <w:highlight w:val="none"/>
        </w:rPr>
        <w:t>份。</w:t>
      </w:r>
    </w:p>
    <w:p>
      <w:pPr>
        <w:spacing w:line="480" w:lineRule="exact"/>
        <w:ind w:firstLine="560" w:firstLineChars="200"/>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r>
        <w:rPr>
          <w:rFonts w:hint="eastAsia" w:ascii="宋体" w:hAnsi="宋体" w:cs="宋体"/>
          <w:bCs/>
          <w:color w:val="auto"/>
          <w:sz w:val="28"/>
          <w:szCs w:val="28"/>
          <w:highlight w:val="none"/>
        </w:rPr>
        <w:t>甲方（盖章）：                     乙方（盖章）：</w:t>
      </w:r>
    </w:p>
    <w:p>
      <w:pPr>
        <w:pStyle w:val="38"/>
        <w:tabs>
          <w:tab w:val="left" w:pos="5100"/>
        </w:tabs>
        <w:spacing w:line="480" w:lineRule="exact"/>
        <w:ind w:left="420" w:firstLine="0" w:firstLineChars="0"/>
        <w:jc w:val="left"/>
        <w:rPr>
          <w:rFonts w:ascii="宋体" w:hAnsi="宋体" w:cs="宋体"/>
          <w:bCs/>
          <w:color w:val="auto"/>
          <w:sz w:val="28"/>
          <w:szCs w:val="28"/>
          <w:highlight w:val="none"/>
        </w:rPr>
      </w:pPr>
    </w:p>
    <w:p>
      <w:pPr>
        <w:tabs>
          <w:tab w:val="left" w:pos="5100"/>
        </w:tabs>
        <w:spacing w:line="480" w:lineRule="exact"/>
        <w:ind w:left="8400" w:hanging="8400" w:hangingChars="3000"/>
        <w:rPr>
          <w:rFonts w:ascii="宋体" w:hAnsi="宋体" w:cs="宋体"/>
          <w:bCs/>
          <w:color w:val="auto"/>
          <w:sz w:val="28"/>
          <w:szCs w:val="28"/>
          <w:highlight w:val="none"/>
        </w:rPr>
      </w:pPr>
      <w:r>
        <w:rPr>
          <w:rFonts w:hint="eastAsia" w:ascii="宋体" w:hAnsi="宋体" w:cs="宋体"/>
          <w:bCs/>
          <w:color w:val="auto"/>
          <w:sz w:val="28"/>
          <w:szCs w:val="28"/>
          <w:highlight w:val="none"/>
        </w:rPr>
        <w:t>签约代表：                         签约代表：</w:t>
      </w:r>
    </w:p>
    <w:p>
      <w:pPr>
        <w:tabs>
          <w:tab w:val="left" w:pos="4170"/>
        </w:tabs>
        <w:spacing w:line="480" w:lineRule="exact"/>
        <w:rPr>
          <w:rFonts w:ascii="宋体" w:hAnsi="宋体" w:cs="宋体"/>
          <w:bCs/>
          <w:color w:val="auto"/>
          <w:sz w:val="28"/>
          <w:szCs w:val="28"/>
          <w:highlight w:val="none"/>
        </w:rPr>
      </w:pPr>
      <w:r>
        <w:rPr>
          <w:rFonts w:hint="eastAsia" w:ascii="宋体" w:hAnsi="宋体" w:cs="宋体"/>
          <w:bCs/>
          <w:color w:val="auto"/>
          <w:sz w:val="28"/>
          <w:szCs w:val="28"/>
          <w:highlight w:val="none"/>
        </w:rPr>
        <w:t>日期:    年  月  日</w:t>
      </w:r>
      <w:r>
        <w:rPr>
          <w:rFonts w:hint="eastAsia" w:ascii="宋体" w:hAnsi="宋体" w:cs="宋体"/>
          <w:bCs/>
          <w:color w:val="auto"/>
          <w:sz w:val="28"/>
          <w:szCs w:val="28"/>
          <w:highlight w:val="none"/>
        </w:rPr>
        <w:tab/>
      </w:r>
      <w:r>
        <w:rPr>
          <w:rFonts w:hint="eastAsia" w:ascii="宋体" w:hAnsi="宋体" w:cs="宋体"/>
          <w:bCs/>
          <w:color w:val="auto"/>
          <w:sz w:val="28"/>
          <w:szCs w:val="28"/>
          <w:highlight w:val="none"/>
        </w:rPr>
        <w:t>日期：  年  月  日</w:t>
      </w:r>
    </w:p>
    <w:p>
      <w:pPr>
        <w:adjustRightInd w:val="0"/>
        <w:snapToGrid w:val="0"/>
        <w:spacing w:line="500" w:lineRule="exact"/>
        <w:rPr>
          <w:rFonts w:ascii="宋体" w:hAnsi="宋体" w:cs="宋体"/>
          <w:b/>
          <w:bCs/>
          <w:color w:val="auto"/>
          <w:szCs w:val="21"/>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520" w:lineRule="exact"/>
        <w:rPr>
          <w:rFonts w:ascii="宋体" w:hAnsi="宋体" w:cs="宋体"/>
          <w:color w:val="auto"/>
          <w:szCs w:val="21"/>
          <w:highlight w:val="none"/>
        </w:rPr>
      </w:pPr>
      <w:r>
        <w:rPr>
          <w:rFonts w:hint="eastAsia" w:ascii="宋体" w:hAnsi="宋体" w:cs="宋体"/>
          <w:b/>
          <w:bCs/>
          <w:color w:val="auto"/>
          <w:szCs w:val="21"/>
          <w:highlight w:val="none"/>
        </w:rPr>
        <w:t>附件3.</w:t>
      </w:r>
      <w:r>
        <w:rPr>
          <w:rFonts w:hint="eastAsia" w:ascii="宋体" w:hAnsi="宋体" w:cs="宋体"/>
          <w:color w:val="auto"/>
          <w:szCs w:val="21"/>
          <w:highlight w:val="none"/>
        </w:rPr>
        <w:t>不诚信行为的情形及相应被暂停参与投标活动的处理标准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2"/>
        <w:gridCol w:w="5037"/>
        <w:gridCol w:w="591"/>
        <w:gridCol w:w="1943"/>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不诚信行为的情形</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处理</w:t>
            </w:r>
          </w:p>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情节严重或拒不改正的延长处理期限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1</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安全不诚信行为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（一）建设生产现场发生人员重伤或死亡的。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发生重伤或死亡1～2人的，暂停投标1年至2年（含）。</w:t>
            </w:r>
          </w:p>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发生重伤或死亡3～9人的，暂停投标2年以上至4年。</w:t>
            </w:r>
          </w:p>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发生重伤10人以上（含）、或重大及以上事故的，暂停投标4年或以上。</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视情况暂停投标1至2年。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（三）根据《广州市净水有限公司工程项目承包单位考评细则》安全管理未达标且符合限制投标处罚标准的。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4</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质量不诚信行为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（一）由于质量问题对建设项目的使用功能造成影响且无法挽回的。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暂停投标1年。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（二）根据《广州市净水有限公司工程项目承包单位考评细则》质量管理未达标且符合限制投标处罚标准的。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（三）发生其他由质量问题而引起的重大社会负面影响事件的。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7</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其他不诚信</w:t>
            </w:r>
          </w:p>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（一）投标、询价过程弄虚作假、串通报价投标、任意弃标</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（二）发生质量事故或安全事故造成社会负面影响需要面对媒体和进行危机公关，参建企业法定代表人在规定的时间内未到现场面对媒体进行危机公关的。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（三）因参建企业原因造成信访、维稳事件，造成较大社会影响。</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（四）中标后转包工程、非法分包工程、非法转让业务的。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（五）因人员、机械投入及配套服务投入不足，主要管理人员未按照投标文件响应到位，导致严重影响工期，被市水投集团相关部门及发包人督办、警告和约谈3次的。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（六）未经批准擅自更换项目经理的。</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（七）严重违反合同约定的，具体包括但不限于以下行为：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1.提供或使用假冒伪劣或以次充好产品、不符合国家规范规定材料的。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2.工程竣工验收后，不出具质量保修书的，或质量保修的内容、期限违反规定的。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3.不履行保修义务或者拖延履行保修义务的。</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4.其他经认定为严重违反合同规定的。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（八）违反廉洁协议约定的。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（九）拖欠农民工工资，造成不良后果的。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（十）为谋取非法利益，给市水投集团或发包人造成损失的。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（十一）因参建企业原因造成第三者财产重大损失的。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spacing w:line="200" w:lineRule="exact"/>
              <w:rPr>
                <w:rFonts w:ascii="宋体" w:hAnsi="宋体" w:cs="宋体"/>
                <w:color w:val="auto"/>
                <w:sz w:val="15"/>
                <w:szCs w:val="15"/>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jc w:val="left"/>
              <w:rPr>
                <w:rFonts w:ascii="宋体" w:hAnsi="宋体" w:cs="宋体"/>
                <w:color w:val="auto"/>
                <w:sz w:val="15"/>
                <w:szCs w:val="15"/>
                <w:highlight w:val="none"/>
              </w:rPr>
            </w:pPr>
            <w:r>
              <w:rPr>
                <w:rFonts w:hint="eastAsia" w:ascii="宋体" w:hAnsi="宋体" w:cs="宋体"/>
                <w:color w:val="auto"/>
                <w:sz w:val="15"/>
                <w:szCs w:val="15"/>
                <w:highlight w:val="none"/>
              </w:rPr>
              <w:t>（十二）经发包人认定的其他不诚信行为。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r>
              <w:rPr>
                <w:rFonts w:hint="eastAsia" w:ascii="宋体" w:hAnsi="宋体" w:cs="宋体"/>
                <w:color w:val="auto"/>
                <w:sz w:val="15"/>
                <w:szCs w:val="15"/>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00" w:lineRule="exact"/>
              <w:rPr>
                <w:rFonts w:ascii="宋体" w:hAnsi="宋体" w:cs="宋体"/>
                <w:color w:val="auto"/>
                <w:sz w:val="15"/>
                <w:szCs w:val="15"/>
                <w:highlight w:val="none"/>
              </w:rPr>
            </w:pPr>
          </w:p>
        </w:tc>
      </w:tr>
    </w:tbl>
    <w:p>
      <w:pPr>
        <w:spacing w:line="200" w:lineRule="exact"/>
        <w:contextualSpacing/>
        <w:jc w:val="left"/>
        <w:rPr>
          <w:rFonts w:ascii="宋体" w:hAnsi="宋体" w:cs="宋体"/>
          <w:color w:val="auto"/>
          <w:sz w:val="15"/>
          <w:szCs w:val="15"/>
          <w:highlight w:val="none"/>
        </w:rPr>
      </w:pPr>
      <w:r>
        <w:rPr>
          <w:rFonts w:hint="eastAsia" w:ascii="宋体" w:hAnsi="宋体" w:cs="宋体"/>
          <w:color w:val="auto"/>
          <w:sz w:val="15"/>
          <w:szCs w:val="15"/>
          <w:highlight w:val="none"/>
        </w:rPr>
        <w:t>备注：本处理标准出自《广州市净水有限公司经营建设项目参建企业不诚信行为管理办法》。</w:t>
      </w:r>
    </w:p>
    <w:p>
      <w:pPr>
        <w:spacing w:line="520" w:lineRule="exact"/>
        <w:rPr>
          <w:rFonts w:ascii="宋体" w:hAnsi="宋体" w:cs="宋体"/>
          <w:b/>
          <w:color w:val="auto"/>
          <w:sz w:val="24"/>
          <w:highlight w:val="none"/>
        </w:rPr>
      </w:pPr>
    </w:p>
    <w:p>
      <w:pPr>
        <w:pStyle w:val="2"/>
        <w:spacing w:line="520" w:lineRule="exact"/>
        <w:ind w:firstLine="0"/>
        <w:rPr>
          <w:rFonts w:eastAsia="宋体" w:cs="宋体"/>
          <w:b/>
          <w:color w:val="auto"/>
          <w:szCs w:val="21"/>
          <w:highlight w:val="none"/>
        </w:rPr>
      </w:pPr>
    </w:p>
    <w:p>
      <w:pPr>
        <w:spacing w:line="360" w:lineRule="auto"/>
        <w:rPr>
          <w:rFonts w:ascii="黑体" w:hAnsi="宋体" w:eastAsia="黑体" w:cs="宋体"/>
          <w:bCs/>
          <w:color w:val="auto"/>
          <w:kern w:val="0"/>
          <w:sz w:val="44"/>
          <w:szCs w:val="44"/>
          <w:highlight w:val="none"/>
        </w:rPr>
      </w:pPr>
      <w:r>
        <w:rPr>
          <w:rFonts w:hint="eastAsia" w:ascii="宋体" w:hAnsi="宋体" w:cs="宋体"/>
          <w:b/>
          <w:bCs/>
          <w:color w:val="auto"/>
          <w:szCs w:val="21"/>
          <w:highlight w:val="none"/>
        </w:rPr>
        <w:t>附件4：安全管理协议书</w:t>
      </w:r>
    </w:p>
    <w:p>
      <w:pPr>
        <w:spacing w:line="520" w:lineRule="exact"/>
        <w:jc w:val="center"/>
        <w:rPr>
          <w:rFonts w:ascii="宋体" w:hAnsi="宋体" w:cs="Arial"/>
          <w:color w:val="auto"/>
          <w:kern w:val="0"/>
          <w:sz w:val="2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20" w:lineRule="exact"/>
        <w:rPr>
          <w:rFonts w:ascii="宋体" w:hAnsi="宋体" w:cs="Arial"/>
          <w:color w:val="auto"/>
          <w:kern w:val="0"/>
          <w:sz w:val="24"/>
          <w:highlight w:val="none"/>
        </w:rPr>
      </w:pPr>
      <w:r>
        <w:rPr>
          <w:rFonts w:hint="eastAsia" w:ascii="宋体" w:hAnsi="宋体" w:cs="Arial"/>
          <w:color w:val="auto"/>
          <w:kern w:val="0"/>
          <w:sz w:val="24"/>
          <w:highlight w:val="none"/>
        </w:rPr>
        <w:t>乙方：</w:t>
      </w:r>
    </w:p>
    <w:p>
      <w:pPr>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2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一、本协议与主合同的关系</w:t>
      </w:r>
    </w:p>
    <w:p>
      <w:pPr>
        <w:adjustRightInd w:val="0"/>
        <w:snapToGrid w:val="0"/>
        <w:spacing w:line="52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本协议作为</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的组成部分，与主合同具有同等法律效力。</w:t>
      </w:r>
    </w:p>
    <w:p>
      <w:pPr>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2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2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所售物品为正品。货物类物品应提供与货物型号一致的使用说明书（进口货物应有中文说明书），如物品有保质期要求的应在保质期范围内，</w:t>
      </w:r>
      <w:r>
        <w:rPr>
          <w:rFonts w:hint="eastAsia" w:ascii="宋体" w:hAnsi="宋体" w:cs="宋体"/>
          <w:color w:val="auto"/>
          <w:kern w:val="0"/>
          <w:sz w:val="24"/>
          <w:highlight w:val="none"/>
        </w:rPr>
        <w:t>特殊货物应在运输前做好定检工作，包装要完整完好。</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货物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widowControl/>
        <w:numPr>
          <w:ilvl w:val="0"/>
          <w:numId w:val="5"/>
        </w:num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4.如货物类物品需进行安装、调试，乙方应安排熟悉货物或有货物操作相关资质的专业人员与甲方进行货物验收及培训等工作，确保操作货物过程安全。</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41"/>
        <w:spacing w:line="520" w:lineRule="exact"/>
        <w:ind w:firstLine="482" w:firstLineChars="200"/>
        <w:rPr>
          <w:rFonts w:asciiTheme="minorEastAsia" w:hAnsiTheme="minorEastAsia"/>
          <w:color w:val="auto"/>
          <w:sz w:val="24"/>
          <w:highlight w:val="none"/>
        </w:rPr>
      </w:pPr>
      <w:r>
        <w:rPr>
          <w:rFonts w:hint="eastAsia" w:asciiTheme="minorEastAsia" w:hAnsiTheme="minorEastAsia"/>
          <w:b/>
          <w:color w:val="auto"/>
          <w:sz w:val="24"/>
          <w:highlight w:val="none"/>
        </w:rPr>
        <w:t>四、补充条款：</w:t>
      </w:r>
      <w:r>
        <w:rPr>
          <w:rFonts w:hint="eastAsia" w:asciiTheme="minorEastAsia" w:hAnsiTheme="minorEastAsia"/>
          <w:color w:val="auto"/>
          <w:sz w:val="24"/>
          <w:highlight w:val="none"/>
          <w:u w:val="single"/>
        </w:rPr>
        <w:t xml:space="preserve">         </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w:t>
      </w:r>
    </w:p>
    <w:p>
      <w:pPr>
        <w:adjustRightInd w:val="0"/>
        <w:snapToGrid w:val="0"/>
        <w:spacing w:line="520" w:lineRule="exact"/>
        <w:ind w:firstLine="482" w:firstLineChars="200"/>
        <w:jc w:val="left"/>
        <w:rPr>
          <w:rFonts w:asciiTheme="minorEastAsia" w:hAnsiTheme="minorEastAsia"/>
          <w:b/>
          <w:color w:val="auto"/>
          <w:sz w:val="24"/>
          <w:highlight w:val="none"/>
        </w:rPr>
      </w:pPr>
      <w:r>
        <w:rPr>
          <w:rFonts w:hint="eastAsia" w:asciiTheme="minorEastAsia" w:hAnsiTheme="minorEastAsia"/>
          <w:b/>
          <w:color w:val="auto"/>
          <w:sz w:val="24"/>
          <w:highlight w:val="none"/>
        </w:rPr>
        <w:t>五、附则</w:t>
      </w:r>
    </w:p>
    <w:p>
      <w:pPr>
        <w:adjustRightInd w:val="0"/>
        <w:snapToGrid w:val="0"/>
        <w:spacing w:line="52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（一）本协议未尽事宜，依据有关法律、法规、规章处理。法律、法规、规章没有明确规定的，经双方协商处理解决。</w:t>
      </w:r>
    </w:p>
    <w:p>
      <w:pPr>
        <w:adjustRightInd w:val="0"/>
        <w:snapToGrid w:val="0"/>
        <w:spacing w:line="520" w:lineRule="exact"/>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5"/>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20" w:lineRule="exact"/>
              <w:textAlignment w:val="baseline"/>
              <w:rPr>
                <w:rFonts w:asciiTheme="minorEastAsia" w:hAnsiTheme="minorEastAsia"/>
                <w:color w:val="auto"/>
                <w:sz w:val="24"/>
                <w:highlight w:val="none"/>
              </w:rPr>
            </w:pPr>
            <w:r>
              <w:rPr>
                <w:rFonts w:hint="eastAsia" w:asciiTheme="minorEastAsia" w:hAnsiTheme="minorEastAsia"/>
                <w:color w:val="auto"/>
                <w:sz w:val="24"/>
                <w:highlight w:val="none"/>
              </w:rPr>
              <w:t>甲方：</w:t>
            </w:r>
          </w:p>
          <w:p>
            <w:pPr>
              <w:adjustRightInd w:val="0"/>
              <w:snapToGrid w:val="0"/>
              <w:spacing w:line="520" w:lineRule="exact"/>
              <w:textAlignment w:val="baseline"/>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20" w:lineRule="exact"/>
              <w:textAlignment w:val="baseline"/>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20" w:lineRule="exact"/>
              <w:ind w:firstLine="240" w:firstLineChars="100"/>
              <w:jc w:val="right"/>
              <w:textAlignment w:val="baseline"/>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c>
          <w:tcPr>
            <w:tcW w:w="4474" w:type="dxa"/>
          </w:tcPr>
          <w:p>
            <w:pPr>
              <w:adjustRightInd w:val="0"/>
              <w:snapToGrid w:val="0"/>
              <w:spacing w:line="520" w:lineRule="exact"/>
              <w:textAlignment w:val="baseline"/>
              <w:rPr>
                <w:rFonts w:asciiTheme="minorEastAsia" w:hAnsiTheme="minorEastAsia"/>
                <w:color w:val="auto"/>
                <w:sz w:val="24"/>
                <w:highlight w:val="none"/>
              </w:rPr>
            </w:pPr>
            <w:r>
              <w:rPr>
                <w:rFonts w:hint="eastAsia" w:asciiTheme="minorEastAsia" w:hAnsiTheme="minorEastAsia"/>
                <w:color w:val="auto"/>
                <w:sz w:val="24"/>
                <w:highlight w:val="none"/>
              </w:rPr>
              <w:t>乙方：</w:t>
            </w:r>
          </w:p>
          <w:p>
            <w:pPr>
              <w:adjustRightInd w:val="0"/>
              <w:snapToGrid w:val="0"/>
              <w:spacing w:line="520" w:lineRule="exact"/>
              <w:textAlignment w:val="baseline"/>
              <w:rPr>
                <w:rFonts w:asciiTheme="minorEastAsia" w:hAnsiTheme="minorEastAsia"/>
                <w:color w:val="auto"/>
                <w:sz w:val="24"/>
                <w:highlight w:val="none"/>
              </w:rPr>
            </w:pPr>
            <w:r>
              <w:rPr>
                <w:rFonts w:hint="eastAsia" w:asciiTheme="minorEastAsia" w:hAnsiTheme="minorEastAsia"/>
                <w:color w:val="auto"/>
                <w:sz w:val="24"/>
                <w:highlight w:val="none"/>
              </w:rPr>
              <w:t>签约代表：</w:t>
            </w:r>
          </w:p>
          <w:p>
            <w:pPr>
              <w:adjustRightInd w:val="0"/>
              <w:snapToGrid w:val="0"/>
              <w:spacing w:line="520" w:lineRule="exact"/>
              <w:textAlignment w:val="baseline"/>
              <w:rPr>
                <w:rFonts w:asciiTheme="minorEastAsia" w:hAnsiTheme="minorEastAsia"/>
                <w:color w:val="auto"/>
                <w:sz w:val="24"/>
                <w:highlight w:val="none"/>
              </w:rPr>
            </w:pPr>
            <w:r>
              <w:rPr>
                <w:rFonts w:hint="eastAsia" w:asciiTheme="minorEastAsia" w:hAnsiTheme="minorEastAsia"/>
                <w:color w:val="auto"/>
                <w:sz w:val="24"/>
                <w:highlight w:val="none"/>
              </w:rPr>
              <w:t>联系电话：</w:t>
            </w:r>
          </w:p>
          <w:p>
            <w:pPr>
              <w:adjustRightInd w:val="0"/>
              <w:snapToGrid w:val="0"/>
              <w:spacing w:line="520" w:lineRule="exact"/>
              <w:jc w:val="right"/>
              <w:textAlignment w:val="baseline"/>
              <w:rPr>
                <w:rFonts w:asciiTheme="minorEastAsia" w:hAnsiTheme="minorEastAsia"/>
                <w:color w:val="auto"/>
                <w:sz w:val="24"/>
                <w:highlight w:val="none"/>
              </w:rPr>
            </w:pP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w:t>
            </w:r>
          </w:p>
        </w:tc>
      </w:tr>
    </w:tbl>
    <w:p>
      <w:pPr>
        <w:adjustRightInd w:val="0"/>
        <w:snapToGrid w:val="0"/>
        <w:spacing w:line="520" w:lineRule="exact"/>
        <w:ind w:firstLine="480" w:firstLineChars="200"/>
        <w:jc w:val="left"/>
        <w:rPr>
          <w:rFonts w:asciiTheme="minorEastAsia" w:hAnsiTheme="minorEastAsia"/>
          <w:color w:val="auto"/>
          <w:sz w:val="24"/>
          <w:highlight w:val="none"/>
        </w:rPr>
      </w:pPr>
    </w:p>
    <w:p>
      <w:pPr>
        <w:spacing w:line="560" w:lineRule="exact"/>
        <w:rPr>
          <w:rFonts w:ascii="宋体" w:hAnsi="宋体" w:cs="宋体"/>
          <w:b/>
          <w:bCs/>
          <w:color w:val="auto"/>
          <w:szCs w:val="21"/>
          <w:highlight w:val="none"/>
        </w:rPr>
      </w:pPr>
    </w:p>
    <w:p>
      <w:pPr>
        <w:spacing w:line="560" w:lineRule="exact"/>
        <w:rPr>
          <w:rFonts w:ascii="宋体" w:hAnsi="宋体" w:cs="宋体"/>
          <w:b/>
          <w:bCs/>
          <w:color w:val="auto"/>
          <w:szCs w:val="21"/>
          <w:highlight w:val="none"/>
        </w:rPr>
      </w:pPr>
      <w:r>
        <w:rPr>
          <w:rFonts w:hint="eastAsia" w:ascii="宋体" w:hAnsi="宋体" w:cs="宋体"/>
          <w:b/>
          <w:bCs/>
          <w:color w:val="auto"/>
          <w:szCs w:val="21"/>
          <w:highlight w:val="none"/>
        </w:rPr>
        <w:t>附件5 报价清单</w:t>
      </w:r>
    </w:p>
    <w:p>
      <w:pPr>
        <w:pStyle w:val="2"/>
        <w:ind w:firstLine="1126"/>
        <w:rPr>
          <w:color w:val="auto"/>
          <w:highlight w:val="none"/>
        </w:rPr>
      </w:pPr>
    </w:p>
    <w:tbl>
      <w:tblPr>
        <w:tblStyle w:val="24"/>
        <w:tblW w:w="0" w:type="auto"/>
        <w:jc w:val="center"/>
        <w:tblLayout w:type="fixed"/>
        <w:tblCellMar>
          <w:top w:w="0" w:type="dxa"/>
          <w:left w:w="108" w:type="dxa"/>
          <w:bottom w:w="0" w:type="dxa"/>
          <w:right w:w="108" w:type="dxa"/>
        </w:tblCellMar>
      </w:tblPr>
      <w:tblGrid>
        <w:gridCol w:w="791"/>
        <w:gridCol w:w="840"/>
        <w:gridCol w:w="1076"/>
        <w:gridCol w:w="643"/>
        <w:gridCol w:w="756"/>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64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75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64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5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sz w:val="28"/>
                <w:szCs w:val="28"/>
                <w:highlight w:val="none"/>
                <w:lang w:val="zh-CN"/>
              </w:rPr>
              <w:t>叶轮</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rPr>
            </w:pPr>
            <w:r>
              <w:rPr>
                <w:rFonts w:hint="eastAsia" w:ascii="仿宋_GB2312" w:hAnsi="仿宋_GB2312" w:eastAsia="仿宋_GB2312" w:cs="仿宋_GB2312"/>
                <w:color w:val="auto"/>
                <w:sz w:val="28"/>
                <w:szCs w:val="28"/>
                <w:highlight w:val="none"/>
                <w:lang w:val="zh-CN"/>
              </w:rPr>
              <w:t>个</w:t>
            </w:r>
          </w:p>
        </w:tc>
        <w:tc>
          <w:tcPr>
            <w:tcW w:w="7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rPr>
            </w:pPr>
            <w:r>
              <w:rPr>
                <w:rFonts w:hint="eastAsia" w:ascii="仿宋_GB2312" w:hAnsi="仿宋_GB2312" w:eastAsia="仿宋_GB2312" w:cs="仿宋_GB2312"/>
                <w:color w:val="auto"/>
                <w:sz w:val="28"/>
                <w:szCs w:val="28"/>
                <w:highlight w:val="none"/>
                <w:lang w:val="zh-CN"/>
              </w:rPr>
              <w:t>50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sz w:val="28"/>
                <w:szCs w:val="28"/>
                <w:highlight w:val="none"/>
                <w:lang w:val="zh-CN"/>
              </w:rPr>
              <w:t>导架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sz w:val="28"/>
                <w:szCs w:val="28"/>
                <w:highlight w:val="none"/>
                <w:lang w:val="zh-CN"/>
              </w:rPr>
              <w:t>个</w:t>
            </w:r>
          </w:p>
        </w:tc>
        <w:tc>
          <w:tcPr>
            <w:tcW w:w="7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sz w:val="28"/>
                <w:szCs w:val="28"/>
                <w:highlight w:val="none"/>
                <w:lang w:val="zh-CN"/>
              </w:rPr>
              <w:t>50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sz w:val="28"/>
                <w:szCs w:val="28"/>
                <w:highlight w:val="none"/>
                <w:lang w:val="zh-CN"/>
              </w:rPr>
              <w:t>吊架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6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sz w:val="28"/>
                <w:szCs w:val="28"/>
                <w:highlight w:val="none"/>
                <w:lang w:val="zh-CN"/>
              </w:rPr>
              <w:t>个</w:t>
            </w:r>
          </w:p>
        </w:tc>
        <w:tc>
          <w:tcPr>
            <w:tcW w:w="7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sz w:val="28"/>
                <w:szCs w:val="28"/>
                <w:highlight w:val="none"/>
                <w:lang w:val="zh-CN"/>
              </w:rPr>
              <w:t>50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pStyle w:val="2"/>
        <w:ind w:firstLine="1126"/>
        <w:rPr>
          <w:color w:val="auto"/>
          <w:highlight w:val="none"/>
        </w:rPr>
      </w:pPr>
    </w:p>
    <w:p>
      <w:pPr>
        <w:pStyle w:val="2"/>
        <w:ind w:firstLine="1126"/>
        <w:rPr>
          <w:color w:val="auto"/>
          <w:highlight w:val="none"/>
        </w:rPr>
      </w:pPr>
    </w:p>
    <w:p>
      <w:pPr>
        <w:pStyle w:val="2"/>
        <w:ind w:firstLine="1126"/>
        <w:rPr>
          <w:color w:val="auto"/>
          <w:highlight w:val="none"/>
        </w:rPr>
      </w:pPr>
    </w:p>
    <w:p>
      <w:pPr>
        <w:pStyle w:val="2"/>
        <w:ind w:firstLine="1126"/>
        <w:rPr>
          <w:color w:val="auto"/>
          <w:highlight w:val="none"/>
        </w:rPr>
      </w:pPr>
    </w:p>
    <w:p>
      <w:pPr>
        <w:pStyle w:val="2"/>
        <w:ind w:firstLine="1126"/>
        <w:rPr>
          <w:color w:val="auto"/>
          <w:highlight w:val="none"/>
        </w:rPr>
      </w:pPr>
    </w:p>
    <w:p>
      <w:pPr>
        <w:pStyle w:val="2"/>
        <w:ind w:firstLine="1126"/>
        <w:rPr>
          <w:color w:val="auto"/>
          <w:highlight w:val="none"/>
        </w:rPr>
      </w:pPr>
    </w:p>
    <w:p>
      <w:pPr>
        <w:pStyle w:val="2"/>
        <w:ind w:firstLine="1126"/>
        <w:rPr>
          <w:color w:val="auto"/>
          <w:highlight w:val="none"/>
        </w:rPr>
      </w:pPr>
    </w:p>
    <w:p>
      <w:pPr>
        <w:pStyle w:val="2"/>
        <w:ind w:firstLine="1126"/>
        <w:rPr>
          <w:color w:val="auto"/>
          <w:highlight w:val="none"/>
        </w:rPr>
      </w:pPr>
    </w:p>
    <w:p>
      <w:pPr>
        <w:spacing w:line="560" w:lineRule="exact"/>
        <w:rPr>
          <w:rFonts w:ascii="宋体" w:hAnsi="宋体" w:cs="宋体"/>
          <w:color w:val="auto"/>
          <w:kern w:val="0"/>
          <w:sz w:val="24"/>
          <w:highlight w:val="none"/>
        </w:rPr>
      </w:pPr>
      <w:r>
        <w:rPr>
          <w:rFonts w:hint="eastAsia" w:ascii="宋体" w:hAnsi="宋体" w:cs="宋体"/>
          <w:b/>
          <w:bCs/>
          <w:color w:val="auto"/>
          <w:szCs w:val="21"/>
          <w:highlight w:val="none"/>
        </w:rPr>
        <w:t xml:space="preserve">附件6履约保函模板     </w:t>
      </w:r>
      <w:r>
        <w:rPr>
          <w:rFonts w:hint="eastAsia" w:ascii="宋体" w:hAnsi="宋体" w:cs="宋体"/>
          <w:color w:val="auto"/>
          <w:kern w:val="0"/>
          <w:sz w:val="24"/>
          <w:highlight w:val="none"/>
        </w:rPr>
        <w:t xml:space="preserve">                    </w:t>
      </w:r>
    </w:p>
    <w:p>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履约保函模板</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致：               （受益人）</w:t>
      </w:r>
      <w:r>
        <w:rPr>
          <w:rFonts w:hint="eastAsia" w:ascii="宋体" w:hAnsi="宋体" w:cs="宋体"/>
          <w:color w:val="auto"/>
          <w:kern w:val="0"/>
          <w:sz w:val="24"/>
          <w:szCs w:val="24"/>
          <w:highlight w:val="none"/>
        </w:rPr>
        <w:br w:type="textWrapping"/>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二、贵单位的索赔申请应符合下述条件：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（一）贵单位法定代表人或其授权代表签字并加盖单位公章；</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（二）在保函有效期内送达我行；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（三）明确的索赔金额（不得超过本保函第一条所列之限额）。</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三、本保函自签发之日起生效，有效期至  年  月  日。本保函于下述任一事项发生之时立即失效，我行在本保函项下的保证义务即刻解除：</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（一）本保函有效期限届满；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（二）我行保证的义务履行完毕。</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五、我行向你方支付索赔金额后，本保函担保金额即按贵方通知的索赔金额予以递减。</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六、保函失效后请将保函退回我行注销，无论正本最终退回与否，不影响本保函依上述约定自动失效。</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落款</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保函说明：</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保函不得有下列或类似含义的表述：</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1.银行承担的为连带责任保证、一般保证。</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2.未经银行书面同意，受益人与申请人修改合同或其项下附件时，银行的保证义务解除。</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3.合同撤销或无效的，保函失效。</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4.申请人对受益人的抗辩，银行有权向受益人主张。</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5.受益人请求付款的请款单据包含法院裁判文书、仲裁裁决、第三方单位出具的鉴定书等申请人违约的证明材料。</w:t>
      </w:r>
    </w:p>
    <w:p>
      <w:pPr>
        <w:pStyle w:val="51"/>
        <w:spacing w:line="400" w:lineRule="exact"/>
        <w:rPr>
          <w:rFonts w:hAnsi="宋体" w:eastAsia="宋体"/>
          <w:b/>
          <w:bCs/>
          <w:color w:val="auto"/>
          <w:highlight w:val="none"/>
        </w:rPr>
      </w:pPr>
      <w:r>
        <w:rPr>
          <w:rFonts w:hint="eastAsia" w:hAnsi="宋体" w:eastAsia="宋体"/>
          <w:b/>
          <w:bCs/>
          <w:color w:val="auto"/>
          <w:highlight w:val="none"/>
        </w:rPr>
        <w:t xml:space="preserve">附件7预付款保函模板    </w:t>
      </w:r>
    </w:p>
    <w:p>
      <w:pPr>
        <w:spacing w:line="400" w:lineRule="exact"/>
        <w:rPr>
          <w:rFonts w:ascii="宋体" w:hAnsi="宋体" w:cs="宋体"/>
          <w:color w:val="auto"/>
          <w:sz w:val="24"/>
          <w:szCs w:val="24"/>
          <w:highlight w:val="none"/>
        </w:rPr>
      </w:pPr>
    </w:p>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预付款保函（模板）</w:t>
      </w:r>
    </w:p>
    <w:p>
      <w:pPr>
        <w:spacing w:line="400" w:lineRule="exact"/>
        <w:rPr>
          <w:rFonts w:ascii="宋体" w:hAnsi="宋体" w:cs="宋体"/>
          <w:color w:val="auto"/>
          <w:sz w:val="24"/>
          <w:szCs w:val="24"/>
          <w:highlight w:val="none"/>
        </w:rPr>
      </w:pPr>
    </w:p>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（受益人）</w:t>
      </w:r>
    </w:p>
    <w:p>
      <w:pPr>
        <w:spacing w:line="400" w:lineRule="exact"/>
        <w:rPr>
          <w:rFonts w:ascii="宋体" w:hAnsi="宋体" w:cs="宋体"/>
          <w:color w:val="auto"/>
          <w:sz w:val="24"/>
          <w:szCs w:val="24"/>
          <w:highlight w:val="none"/>
        </w:rPr>
      </w:pPr>
    </w:p>
    <w:p>
      <w:pPr>
        <w:spacing w:line="40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鉴于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（以下简称“委托人”）与你方于</w:t>
      </w:r>
      <w:r>
        <w:rPr>
          <w:rFonts w:hint="eastAsia" w:ascii="宋体" w:hAnsi="宋体" w:cs="宋体"/>
          <w:color w:val="auto"/>
          <w:sz w:val="24"/>
          <w:szCs w:val="24"/>
          <w:highlight w:val="none"/>
          <w:u w:val="single"/>
        </w:rPr>
        <w:t xml:space="preserve">   年  月  日</w:t>
      </w:r>
      <w:r>
        <w:rPr>
          <w:rFonts w:hint="eastAsia" w:ascii="宋体" w:hAnsi="宋体" w:cs="宋体"/>
          <w:color w:val="auto"/>
          <w:sz w:val="24"/>
          <w:szCs w:val="24"/>
          <w:highlight w:val="none"/>
        </w:rPr>
        <w:t>签订了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（以下简称“合同”），你方将按上述基础交易合同约定向委托人支付预付款人民币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）。我行接受委托人的申请，特此开立以你方为受益人的最高金额为人民币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）（以下称“保函金额”）的保函。</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一、本保函为不可撤销、见索即付的独立保函。</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日内，以上述保函金额为限向你方支付相应款项。</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（一）索赔通知书须写明请求付款的金额，并声明该款项并未由委托人或其代理人直接或间接地支付给你方；</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（二）索赔通知书应由你方法定代表人签字并加盖公章；</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（三）索赔通知书必须于本保函有效期截止日前送达我行。</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三、合同的任何修改、变更、解释或不可执行都不能削弱或免除我行按本保函应承担的义务。</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本保函金额将随我行已向你方支付的金额而自动作相应递减。</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四、本保函未经我行书面同意不得转让。</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五、本保函自签发之日起生效，有效期至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止。在上述期限内若累计赔偿额达到前述保函金额，本保函提前失效。本保函到期后，无论保函原件是否退回我行，皆告失效。</w:t>
      </w:r>
    </w:p>
    <w:p>
      <w:pPr>
        <w:spacing w:line="40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本预付款担保格式可采用经甲方认可的其他格式，但相关内容不得违背合同文件约定的实质性内容。</w:t>
      </w:r>
    </w:p>
    <w:p>
      <w:pPr>
        <w:pStyle w:val="51"/>
        <w:spacing w:line="400" w:lineRule="exact"/>
        <w:rPr>
          <w:rFonts w:hAnsi="宋体" w:eastAsia="宋体"/>
          <w:b/>
          <w:bCs/>
          <w:color w:val="auto"/>
          <w:highlight w:val="none"/>
        </w:rPr>
      </w:pPr>
    </w:p>
    <w:p>
      <w:pPr>
        <w:pStyle w:val="2"/>
        <w:rPr>
          <w:rFonts w:ascii="仿宋_GB2312" w:eastAsia="仿宋_GB2312"/>
          <w:color w:val="auto"/>
          <w:sz w:val="28"/>
          <w:szCs w:val="28"/>
          <w:highlight w:val="none"/>
        </w:rPr>
      </w:pPr>
    </w:p>
    <w:p>
      <w:pPr>
        <w:pStyle w:val="4"/>
        <w:rPr>
          <w:color w:val="auto"/>
          <w:highlight w:val="none"/>
        </w:rPr>
      </w:pPr>
      <w:bookmarkStart w:id="157" w:name="_Toc8147"/>
      <w:bookmarkStart w:id="158" w:name="_Toc30824"/>
      <w:bookmarkStart w:id="159" w:name="_Toc16552"/>
      <w:bookmarkStart w:id="160" w:name="_Toc6230"/>
      <w:bookmarkStart w:id="161" w:name="_Toc23515"/>
      <w:bookmarkStart w:id="162" w:name="_Toc28358"/>
      <w:bookmarkStart w:id="163" w:name="_Toc1563"/>
      <w:bookmarkStart w:id="164" w:name="_Toc21847"/>
      <w:bookmarkStart w:id="165" w:name="_Toc12169"/>
      <w:bookmarkStart w:id="166" w:name="_Toc5129"/>
      <w:bookmarkStart w:id="167" w:name="_Toc372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9525" t="5080" r="12700" b="13970"/>
                <wp:wrapNone/>
                <wp:docPr id="7" name="AutoShape 11"/>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WbC+tcAAAALAQAADwAAAAAAAAABACAAAAAi&#10;AAAAZHJzL2Rvd25yZXYueG1sUEsBAhQAFAAAAAgAh07iQAB5EsnSAQAAsgMAAA4AAAAAAAAAAQAg&#10;AAAAJgEAAGRycy9lMm9Eb2MueG1sUEsFBgAAAAAGAAYAWQEAAGo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9525" t="12700" r="12700" b="6350"/>
                <wp:wrapNone/>
                <wp:docPr id="6" name="AutoShape 10"/>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8OuBDXAAAACQEAAA8AAAAAAAAAAQAgAAAA&#10;IgAAAGRycy9kb3ducmV2LnhtbFBLAQIUABQAAAAIAIdO4kDTtvwF0wEAALIDAAAOAAAAAAAAAAEA&#10;IAAAACYBAABkcnMvZTJvRG9jLnhtbFBLBQYAAAAABgAGAFkBAABrBQAAAAA=&#10;">
                <v:fill on="f" focussize="0,0"/>
                <v:stroke color="#000000" joinstyle="round"/>
                <v:imagedata o:title=""/>
                <o:lock v:ext="edit" aspectratio="f"/>
              </v:shape>
            </w:pict>
          </mc:Fallback>
        </mc:AlternateContent>
      </w:r>
      <w:r>
        <w:rPr>
          <w:rFonts w:hint="eastAsia"/>
          <w:color w:val="auto"/>
          <w:highlight w:val="none"/>
        </w:rPr>
        <w:t>第七章</w:t>
      </w:r>
      <w:bookmarkEnd w:id="157"/>
      <w:bookmarkEnd w:id="158"/>
      <w:bookmarkEnd w:id="159"/>
      <w:bookmarkEnd w:id="160"/>
      <w:bookmarkEnd w:id="161"/>
      <w:bookmarkEnd w:id="162"/>
      <w:bookmarkEnd w:id="163"/>
      <w:bookmarkEnd w:id="164"/>
      <w:bookmarkEnd w:id="165"/>
      <w:bookmarkEnd w:id="166"/>
      <w:bookmarkEnd w:id="167"/>
    </w:p>
    <w:p>
      <w:pPr>
        <w:pStyle w:val="41"/>
        <w:rPr>
          <w:color w:val="auto"/>
          <w:highlight w:val="none"/>
        </w:rPr>
      </w:pPr>
    </w:p>
    <w:p>
      <w:pPr>
        <w:pStyle w:val="4"/>
        <w:rPr>
          <w:color w:val="auto"/>
          <w:highlight w:val="none"/>
        </w:rPr>
      </w:pPr>
      <w:bookmarkStart w:id="168" w:name="_Toc10840"/>
      <w:bookmarkStart w:id="169" w:name="_Toc21675"/>
      <w:bookmarkStart w:id="170" w:name="_Toc22764"/>
      <w:bookmarkStart w:id="171" w:name="_Toc87616388"/>
      <w:bookmarkStart w:id="172" w:name="_Toc12610"/>
      <w:bookmarkStart w:id="173" w:name="_Toc17119"/>
      <w:bookmarkStart w:id="174" w:name="_Toc12769"/>
      <w:bookmarkStart w:id="175" w:name="_Toc31564"/>
      <w:bookmarkStart w:id="176" w:name="_Toc24815"/>
      <w:bookmarkStart w:id="177" w:name="_Toc24490"/>
      <w:bookmarkStart w:id="178" w:name="_Toc30157"/>
      <w:bookmarkStart w:id="179" w:name="_Toc5342"/>
      <w:bookmarkStart w:id="180" w:name="_Toc88209951"/>
      <w:r>
        <w:rPr>
          <w:rFonts w:hint="eastAsia"/>
          <w:color w:val="auto"/>
          <w:highlight w:val="none"/>
        </w:rPr>
        <w:t>响应文件格式要求</w:t>
      </w:r>
      <w:bookmarkEnd w:id="168"/>
      <w:bookmarkEnd w:id="169"/>
      <w:bookmarkEnd w:id="170"/>
      <w:bookmarkEnd w:id="171"/>
      <w:bookmarkEnd w:id="172"/>
      <w:bookmarkEnd w:id="173"/>
      <w:bookmarkEnd w:id="174"/>
      <w:bookmarkEnd w:id="175"/>
      <w:bookmarkEnd w:id="176"/>
      <w:bookmarkEnd w:id="177"/>
      <w:bookmarkEnd w:id="178"/>
      <w:bookmarkEnd w:id="179"/>
      <w:bookmarkEnd w:id="180"/>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81" w:name="_Toc87616389"/>
      <w:bookmarkStart w:id="182" w:name="_Toc88209952"/>
      <w:r>
        <w:rPr>
          <w:rFonts w:hint="eastAsia" w:ascii="仿宋_GB2312" w:eastAsia="仿宋_GB2312"/>
          <w:color w:val="auto"/>
          <w:sz w:val="28"/>
          <w:szCs w:val="28"/>
          <w:highlight w:val="none"/>
        </w:rPr>
        <w:t>1.响应函</w:t>
      </w:r>
      <w:bookmarkEnd w:id="181"/>
      <w:bookmarkEnd w:id="182"/>
    </w:p>
    <w:p>
      <w:pPr>
        <w:spacing w:line="600" w:lineRule="exact"/>
        <w:rPr>
          <w:rFonts w:ascii="仿宋_GB2312" w:eastAsia="仿宋_GB2312"/>
          <w:color w:val="auto"/>
          <w:sz w:val="28"/>
          <w:szCs w:val="28"/>
          <w:highlight w:val="none"/>
        </w:rPr>
      </w:pPr>
      <w:bookmarkStart w:id="183" w:name="_Toc87616390"/>
      <w:bookmarkStart w:id="184" w:name="_Toc88209953"/>
      <w:r>
        <w:rPr>
          <w:rFonts w:hint="eastAsia" w:ascii="仿宋_GB2312" w:eastAsia="仿宋_GB2312"/>
          <w:color w:val="auto"/>
          <w:sz w:val="28"/>
          <w:szCs w:val="28"/>
          <w:highlight w:val="none"/>
        </w:rPr>
        <w:t>2.法定代表人证明或授权委托书</w:t>
      </w:r>
      <w:bookmarkEnd w:id="183"/>
      <w:bookmarkEnd w:id="184"/>
      <w:bookmarkStart w:id="185" w:name="_Toc87616393"/>
      <w:bookmarkStart w:id="18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85"/>
      <w:bookmarkEnd w:id="186"/>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rFonts w:ascii="宋体" w:eastAsia="等线"/>
          <w:sz w:val="24"/>
          <w:szCs w:val="24"/>
        </w:rPr>
      </w:pPr>
    </w:p>
    <w:p>
      <w:pPr>
        <w:pStyle w:val="6"/>
        <w:rPr>
          <w:rFonts w:asciiTheme="minorEastAsia" w:hAnsiTheme="minorEastAsia" w:eastAsiaTheme="minorEastAsia"/>
          <w:color w:val="auto"/>
          <w:sz w:val="28"/>
          <w:szCs w:val="28"/>
          <w:highlight w:val="none"/>
        </w:rPr>
      </w:pPr>
      <w:bookmarkStart w:id="187" w:name="_Toc12665"/>
      <w:bookmarkStart w:id="188" w:name="_Toc28619645"/>
      <w:bookmarkStart w:id="189" w:name="_Toc88209957"/>
      <w:bookmarkStart w:id="190" w:name="_Toc87616394"/>
      <w:bookmarkStart w:id="191" w:name="_Toc6313"/>
      <w:r>
        <w:rPr>
          <w:rFonts w:hint="eastAsia" w:asciiTheme="minorEastAsia" w:hAnsiTheme="minorEastAsia" w:eastAsiaTheme="minorEastAsia"/>
          <w:color w:val="auto"/>
          <w:sz w:val="28"/>
          <w:szCs w:val="28"/>
          <w:highlight w:val="none"/>
        </w:rPr>
        <w:t>1.响应函</w:t>
      </w:r>
      <w:bookmarkEnd w:id="187"/>
      <w:bookmarkEnd w:id="188"/>
      <w:bookmarkEnd w:id="189"/>
      <w:bookmarkEnd w:id="190"/>
      <w:bookmarkEnd w:id="191"/>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92" w:name="_Toc88209958"/>
      <w:bookmarkStart w:id="193" w:name="_Toc22527"/>
      <w:bookmarkStart w:id="194" w:name="_Toc87616395"/>
      <w:bookmarkStart w:id="195"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92"/>
      <w:bookmarkEnd w:id="193"/>
      <w:bookmarkEnd w:id="194"/>
      <w:bookmarkEnd w:id="19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0" t="0" r="19050" b="26670"/>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pSEEkCAACW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G5aUhB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41"/>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0" t="0" r="19050" b="2667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H6sdQp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k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rHUK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96" w:name="_Toc19830"/>
      <w:bookmarkStart w:id="197" w:name="_Toc8086"/>
      <w:bookmarkStart w:id="198" w:name="_Toc88209963"/>
      <w:bookmarkStart w:id="199" w:name="_Toc8761640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96"/>
      <w:bookmarkEnd w:id="197"/>
      <w:bookmarkEnd w:id="198"/>
      <w:bookmarkEnd w:id="19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200"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200"/>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rPr>
        <w:t>广州市净水有限公司猎德分公司2022年四期生化池搅拌机叶轮及导架采购项目（项目编号：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201" w:name="_Toc32430"/>
      <w:bookmarkStart w:id="202" w:name="_Toc19423"/>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201"/>
      <w:bookmarkEnd w:id="202"/>
    </w:p>
    <w:tbl>
      <w:tblPr>
        <w:tblStyle w:val="25"/>
        <w:tblW w:w="9896"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0"/>
        <w:gridCol w:w="818"/>
        <w:gridCol w:w="883"/>
        <w:gridCol w:w="992"/>
        <w:gridCol w:w="596"/>
        <w:gridCol w:w="567"/>
        <w:gridCol w:w="880"/>
        <w:gridCol w:w="566"/>
        <w:gridCol w:w="982"/>
        <w:gridCol w:w="844"/>
        <w:gridCol w:w="566"/>
        <w:gridCol w:w="982"/>
        <w:gridCol w:w="5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0"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序号</w:t>
            </w:r>
          </w:p>
        </w:tc>
        <w:tc>
          <w:tcPr>
            <w:tcW w:w="818"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名称</w:t>
            </w:r>
          </w:p>
        </w:tc>
        <w:tc>
          <w:tcPr>
            <w:tcW w:w="883" w:type="dxa"/>
            <w:vMerge w:val="restart"/>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产地、品牌</w:t>
            </w:r>
          </w:p>
        </w:tc>
        <w:tc>
          <w:tcPr>
            <w:tcW w:w="596" w:type="dxa"/>
            <w:vMerge w:val="restart"/>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单价</w:t>
            </w:r>
          </w:p>
        </w:tc>
        <w:tc>
          <w:tcPr>
            <w:tcW w:w="2392"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总价</w:t>
            </w:r>
          </w:p>
        </w:tc>
        <w:tc>
          <w:tcPr>
            <w:tcW w:w="510" w:type="dxa"/>
            <w:tcBorders>
              <w:left w:val="single" w:color="auto" w:sz="4" w:space="0"/>
            </w:tcBorders>
            <w:vAlign w:val="center"/>
          </w:tcPr>
          <w:p>
            <w:pPr>
              <w:adjustRightInd w:val="0"/>
              <w:snapToGrid w:val="0"/>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0" w:type="dxa"/>
            <w:vMerge w:val="continue"/>
          </w:tcPr>
          <w:p>
            <w:pPr>
              <w:adjustRightInd w:val="0"/>
              <w:snapToGrid w:val="0"/>
              <w:rPr>
                <w:rFonts w:ascii="仿宋_GB2312" w:eastAsia="仿宋_GB2312" w:hAnsiTheme="minorEastAsia"/>
                <w:color w:val="auto"/>
                <w:sz w:val="28"/>
                <w:szCs w:val="28"/>
                <w:highlight w:val="none"/>
              </w:rPr>
            </w:pPr>
          </w:p>
        </w:tc>
        <w:tc>
          <w:tcPr>
            <w:tcW w:w="818" w:type="dxa"/>
            <w:vMerge w:val="continue"/>
          </w:tcPr>
          <w:p>
            <w:pPr>
              <w:adjustRightInd w:val="0"/>
              <w:snapToGrid w:val="0"/>
              <w:rPr>
                <w:rFonts w:ascii="仿宋_GB2312" w:eastAsia="仿宋_GB2312" w:hAnsiTheme="minorEastAsia"/>
                <w:color w:val="auto"/>
                <w:sz w:val="28"/>
                <w:szCs w:val="28"/>
                <w:highlight w:val="none"/>
              </w:rPr>
            </w:pPr>
          </w:p>
        </w:tc>
        <w:tc>
          <w:tcPr>
            <w:tcW w:w="883" w:type="dxa"/>
            <w:vMerge w:val="continue"/>
          </w:tcPr>
          <w:p>
            <w:pPr>
              <w:adjustRightInd w:val="0"/>
              <w:snapToGrid w:val="0"/>
              <w:rPr>
                <w:rFonts w:ascii="仿宋_GB2312" w:eastAsia="仿宋_GB2312" w:hAnsiTheme="minorEastAsia"/>
                <w:color w:val="auto"/>
                <w:sz w:val="28"/>
                <w:szCs w:val="28"/>
                <w:highlight w:val="none"/>
              </w:rPr>
            </w:pPr>
          </w:p>
        </w:tc>
        <w:tc>
          <w:tcPr>
            <w:tcW w:w="992" w:type="dxa"/>
            <w:vMerge w:val="continue"/>
            <w:tcBorders>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596" w:type="dxa"/>
            <w:vMerge w:val="continue"/>
            <w:tcBorders>
              <w:right w:val="single" w:color="auto" w:sz="4" w:space="0"/>
            </w:tcBorders>
          </w:tcPr>
          <w:p>
            <w:pPr>
              <w:adjustRightInd w:val="0"/>
              <w:snapToGrid w:val="0"/>
              <w:rPr>
                <w:rFonts w:ascii="仿宋_GB2312" w:eastAsia="仿宋_GB2312" w:hAnsiTheme="minorEastAsia"/>
                <w:color w:val="auto"/>
                <w:sz w:val="28"/>
                <w:szCs w:val="28"/>
                <w:highlight w:val="none"/>
              </w:rPr>
            </w:pPr>
          </w:p>
        </w:tc>
        <w:tc>
          <w:tcPr>
            <w:tcW w:w="567" w:type="dxa"/>
            <w:vMerge w:val="continue"/>
            <w:tcBorders>
              <w:left w:val="single" w:color="auto" w:sz="4" w:space="0"/>
            </w:tcBorders>
          </w:tcPr>
          <w:p>
            <w:pPr>
              <w:adjustRightInd w:val="0"/>
              <w:snapToGrid w:val="0"/>
              <w:rPr>
                <w:rFonts w:ascii="仿宋_GB2312" w:eastAsia="仿宋_GB2312" w:hAnsiTheme="minorEastAsia"/>
                <w:color w:val="auto"/>
                <w:sz w:val="28"/>
                <w:szCs w:val="28"/>
                <w:highlight w:val="none"/>
              </w:rPr>
            </w:pPr>
          </w:p>
        </w:tc>
        <w:tc>
          <w:tcPr>
            <w:tcW w:w="880" w:type="dxa"/>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不含税金额</w:t>
            </w:r>
          </w:p>
        </w:tc>
        <w:tc>
          <w:tcPr>
            <w:tcW w:w="566" w:type="dxa"/>
            <w:tcBorders>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不含税金额</w:t>
            </w:r>
          </w:p>
        </w:tc>
        <w:tc>
          <w:tcPr>
            <w:tcW w:w="566" w:type="dxa"/>
            <w:tcBorders>
              <w:lef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税额</w:t>
            </w:r>
          </w:p>
        </w:tc>
        <w:tc>
          <w:tcPr>
            <w:tcW w:w="982" w:type="dxa"/>
            <w:tcBorders>
              <w:right w:val="single" w:color="auto" w:sz="4" w:space="0"/>
            </w:tcBorders>
          </w:tcPr>
          <w:p>
            <w:pPr>
              <w:adjustRightInd w:val="0"/>
              <w:snapToGrid w:val="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价税合计</w:t>
            </w:r>
          </w:p>
        </w:tc>
        <w:tc>
          <w:tcPr>
            <w:tcW w:w="510" w:type="dxa"/>
            <w:tcBorders>
              <w:left w:val="single" w:color="auto" w:sz="4" w:space="0"/>
            </w:tcBorders>
          </w:tcPr>
          <w:p>
            <w:pPr>
              <w:adjustRightInd w:val="0"/>
              <w:snapToGrid w:val="0"/>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0" w:type="dxa"/>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w:t>
            </w:r>
          </w:p>
        </w:tc>
        <w:tc>
          <w:tcPr>
            <w:tcW w:w="818" w:type="dxa"/>
            <w:vAlign w:val="center"/>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hAnsi="仿宋_GB2312" w:eastAsia="仿宋_GB2312" w:cs="仿宋_GB2312"/>
                <w:color w:val="auto"/>
                <w:sz w:val="28"/>
                <w:szCs w:val="28"/>
                <w:highlight w:val="none"/>
                <w:lang w:val="zh-CN"/>
              </w:rPr>
              <w:t>叶轮</w:t>
            </w:r>
          </w:p>
        </w:tc>
        <w:tc>
          <w:tcPr>
            <w:tcW w:w="883" w:type="dxa"/>
            <w:vAlign w:val="center"/>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vAlign w:val="center"/>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hAnsi="仿宋_GB2312" w:eastAsia="仿宋_GB2312" w:cs="仿宋_GB2312"/>
                <w:color w:val="auto"/>
                <w:sz w:val="28"/>
                <w:szCs w:val="28"/>
                <w:highlight w:val="none"/>
                <w:lang w:val="zh-CN"/>
              </w:rPr>
              <w:t>个</w:t>
            </w:r>
          </w:p>
        </w:tc>
        <w:tc>
          <w:tcPr>
            <w:tcW w:w="596" w:type="dxa"/>
            <w:tcBorders>
              <w:right w:val="single" w:color="auto" w:sz="4" w:space="0"/>
            </w:tcBorders>
            <w:vAlign w:val="center"/>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hAnsi="仿宋_GB2312" w:eastAsia="仿宋_GB2312" w:cs="仿宋_GB2312"/>
                <w:color w:val="auto"/>
                <w:sz w:val="28"/>
                <w:szCs w:val="28"/>
                <w:highlight w:val="none"/>
                <w:lang w:val="zh-CN"/>
              </w:rPr>
              <w:t>50</w:t>
            </w:r>
          </w:p>
        </w:tc>
        <w:tc>
          <w:tcPr>
            <w:tcW w:w="567" w:type="dxa"/>
            <w:tcBorders>
              <w:left w:val="single" w:color="auto" w:sz="4" w:space="0"/>
            </w:tcBorders>
            <w:vAlign w:val="center"/>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0" w:type="dxa"/>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w:t>
            </w:r>
          </w:p>
        </w:tc>
        <w:tc>
          <w:tcPr>
            <w:tcW w:w="818" w:type="dxa"/>
            <w:vAlign w:val="center"/>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hAnsi="仿宋_GB2312" w:eastAsia="仿宋_GB2312" w:cs="仿宋_GB2312"/>
                <w:color w:val="auto"/>
                <w:sz w:val="28"/>
                <w:szCs w:val="28"/>
                <w:highlight w:val="none"/>
                <w:lang w:val="zh-CN"/>
              </w:rPr>
              <w:t>导架</w:t>
            </w:r>
          </w:p>
        </w:tc>
        <w:tc>
          <w:tcPr>
            <w:tcW w:w="883" w:type="dxa"/>
            <w:vAlign w:val="center"/>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vAlign w:val="center"/>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hAnsi="仿宋_GB2312" w:eastAsia="仿宋_GB2312" w:cs="仿宋_GB2312"/>
                <w:color w:val="auto"/>
                <w:sz w:val="28"/>
                <w:szCs w:val="28"/>
                <w:highlight w:val="none"/>
                <w:lang w:val="zh-CN"/>
              </w:rPr>
              <w:t>个</w:t>
            </w:r>
          </w:p>
        </w:tc>
        <w:tc>
          <w:tcPr>
            <w:tcW w:w="596" w:type="dxa"/>
            <w:tcBorders>
              <w:right w:val="single" w:color="auto" w:sz="4" w:space="0"/>
            </w:tcBorders>
            <w:vAlign w:val="center"/>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hAnsi="仿宋_GB2312" w:eastAsia="仿宋_GB2312" w:cs="仿宋_GB2312"/>
                <w:color w:val="auto"/>
                <w:sz w:val="28"/>
                <w:szCs w:val="28"/>
                <w:highlight w:val="none"/>
                <w:lang w:val="zh-CN"/>
              </w:rPr>
              <w:t>50</w:t>
            </w:r>
          </w:p>
        </w:tc>
        <w:tc>
          <w:tcPr>
            <w:tcW w:w="567" w:type="dxa"/>
            <w:tcBorders>
              <w:left w:val="single" w:color="auto" w:sz="4" w:space="0"/>
            </w:tcBorders>
            <w:vAlign w:val="center"/>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0" w:type="dxa"/>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w:t>
            </w:r>
          </w:p>
        </w:tc>
        <w:tc>
          <w:tcPr>
            <w:tcW w:w="818" w:type="dxa"/>
            <w:vAlign w:val="center"/>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hAnsi="仿宋_GB2312" w:eastAsia="仿宋_GB2312" w:cs="仿宋_GB2312"/>
                <w:color w:val="auto"/>
                <w:sz w:val="28"/>
                <w:szCs w:val="28"/>
                <w:highlight w:val="none"/>
                <w:lang w:val="zh-CN"/>
              </w:rPr>
              <w:t>吊架</w:t>
            </w:r>
          </w:p>
        </w:tc>
        <w:tc>
          <w:tcPr>
            <w:tcW w:w="883" w:type="dxa"/>
            <w:vAlign w:val="center"/>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vAlign w:val="center"/>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hAnsi="仿宋_GB2312" w:eastAsia="仿宋_GB2312" w:cs="仿宋_GB2312"/>
                <w:color w:val="auto"/>
                <w:sz w:val="28"/>
                <w:szCs w:val="28"/>
                <w:highlight w:val="none"/>
                <w:lang w:val="zh-CN"/>
              </w:rPr>
              <w:t>个</w:t>
            </w:r>
          </w:p>
        </w:tc>
        <w:tc>
          <w:tcPr>
            <w:tcW w:w="596" w:type="dxa"/>
            <w:tcBorders>
              <w:right w:val="single" w:color="auto" w:sz="4" w:space="0"/>
            </w:tcBorders>
            <w:vAlign w:val="center"/>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hAnsi="仿宋_GB2312" w:eastAsia="仿宋_GB2312" w:cs="仿宋_GB2312"/>
                <w:color w:val="auto"/>
                <w:sz w:val="28"/>
                <w:szCs w:val="28"/>
                <w:highlight w:val="none"/>
                <w:lang w:val="zh-CN"/>
              </w:rPr>
              <w:t>50</w:t>
            </w:r>
          </w:p>
        </w:tc>
        <w:tc>
          <w:tcPr>
            <w:tcW w:w="567" w:type="dxa"/>
            <w:tcBorders>
              <w:left w:val="single" w:color="auto" w:sz="4" w:space="0"/>
            </w:tcBorders>
            <w:vAlign w:val="center"/>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0"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w:t>
            </w:r>
          </w:p>
        </w:tc>
        <w:tc>
          <w:tcPr>
            <w:tcW w:w="818" w:type="dxa"/>
          </w:tcPr>
          <w:p>
            <w:pPr>
              <w:adjustRightInd w:val="0"/>
              <w:snapToGrid w:val="0"/>
              <w:spacing w:line="600" w:lineRule="exact"/>
              <w:rPr>
                <w:rFonts w:ascii="仿宋_GB2312" w:eastAsia="仿宋_GB2312" w:hAnsiTheme="minorEastAsia"/>
                <w:color w:val="auto"/>
                <w:sz w:val="28"/>
                <w:szCs w:val="28"/>
                <w:highlight w:val="none"/>
              </w:rPr>
            </w:pPr>
          </w:p>
        </w:tc>
        <w:tc>
          <w:tcPr>
            <w:tcW w:w="883" w:type="dxa"/>
          </w:tcPr>
          <w:p>
            <w:pPr>
              <w:adjustRightInd w:val="0"/>
              <w:snapToGrid w:val="0"/>
              <w:spacing w:line="600" w:lineRule="exact"/>
              <w:rPr>
                <w:rFonts w:ascii="仿宋_GB2312" w:eastAsia="仿宋_GB2312" w:hAnsiTheme="minorEastAsia"/>
                <w:color w:val="auto"/>
                <w:sz w:val="28"/>
                <w:szCs w:val="28"/>
                <w:highlight w:val="none"/>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9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80" w:type="dxa"/>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94" w:type="dxa"/>
            <w:gridSpan w:val="9"/>
            <w:tcBorders>
              <w:right w:val="single" w:color="auto" w:sz="4" w:space="0"/>
            </w:tcBorders>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color w:val="auto"/>
                <w:sz w:val="28"/>
                <w:szCs w:val="28"/>
                <w:highlight w:val="none"/>
              </w:rPr>
            </w:pPr>
          </w:p>
        </w:tc>
      </w:tr>
    </w:tbl>
    <w:p>
      <w:pPr>
        <w:pStyle w:val="32"/>
        <w:rPr>
          <w:rFonts w:ascii="仿宋" w:hAnsi="仿宋" w:eastAsia="仿宋" w:cs="仿宋_GB2312"/>
          <w:b/>
          <w:color w:val="auto"/>
          <w:sz w:val="28"/>
          <w:szCs w:val="28"/>
          <w:highlight w:val="none"/>
        </w:rPr>
      </w:pPr>
      <w:bookmarkStart w:id="203" w:name="工程量清单"/>
      <w:bookmarkEnd w:id="203"/>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报价单位代表（签名或盖私章）：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1"/>
        <w:rPr>
          <w:rFonts w:ascii="仿宋" w:hAnsi="仿宋" w:eastAsia="仿宋" w:cs="仿宋_GB2312"/>
          <w:color w:val="auto"/>
          <w:szCs w:val="28"/>
          <w:highlight w:val="none"/>
        </w:rPr>
      </w:pPr>
      <w:r>
        <w:rPr>
          <w:rFonts w:hint="eastAsia" w:ascii="仿宋" w:hAnsi="仿宋" w:eastAsia="仿宋" w:cs="仿宋_GB2312"/>
          <w:color w:val="auto"/>
          <w:szCs w:val="28"/>
          <w:highlight w:val="none"/>
        </w:rPr>
        <w:t>日期：          年      月     日</w:t>
      </w:r>
    </w:p>
    <w:p>
      <w:pPr>
        <w:pStyle w:val="2"/>
        <w:rPr>
          <w:rFonts w:ascii="仿宋" w:hAnsi="仿宋" w:eastAsia="仿宋" w:cs="仿宋"/>
          <w:b/>
          <w:bCs/>
          <w:color w:val="auto"/>
          <w:sz w:val="28"/>
          <w:szCs w:val="36"/>
          <w:highlight w:val="none"/>
        </w:rPr>
      </w:pPr>
    </w:p>
    <w:p>
      <w:pPr>
        <w:pStyle w:val="2"/>
        <w:rPr>
          <w:rFonts w:ascii="仿宋" w:hAnsi="仿宋" w:eastAsia="仿宋" w:cs="仿宋"/>
          <w:b/>
          <w:bCs/>
          <w:color w:val="auto"/>
          <w:sz w:val="28"/>
          <w:szCs w:val="36"/>
          <w:highlight w:val="none"/>
        </w:rPr>
      </w:pPr>
    </w:p>
    <w:p>
      <w:pPr>
        <w:pStyle w:val="6"/>
        <w:rPr>
          <w:rFonts w:asciiTheme="majorEastAsia" w:hAnsiTheme="majorEastAsia" w:eastAsiaTheme="majorEastAsia"/>
          <w:color w:val="auto"/>
          <w:sz w:val="28"/>
          <w:szCs w:val="28"/>
          <w:highlight w:val="none"/>
        </w:rPr>
      </w:pPr>
      <w:bookmarkStart w:id="204" w:name="_Toc87616402"/>
      <w:bookmarkStart w:id="205" w:name="_Toc88209965"/>
      <w:bookmarkStart w:id="206" w:name="_Toc6058"/>
      <w:bookmarkStart w:id="207" w:name="_Toc16386"/>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204"/>
      <w:bookmarkEnd w:id="205"/>
      <w:bookmarkEnd w:id="206"/>
      <w:bookmarkEnd w:id="20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pPr>
        <w:rPr>
          <w:color w:val="auto"/>
          <w:highlight w:val="none"/>
        </w:rPr>
      </w:pPr>
    </w:p>
    <w:sectPr>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2540" r="3175" b="635"/>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W7l30AAAAAIBAAAPAAAAAAAAAAEAIAAAACIAAABkcnMvZG93bnJldi54bWxQSwECFAAU&#10;AAAACACHTuJAja+z4PkBAAAABAAADgAAAAAAAAABACAAAAAfAQAAZHJzL2Uyb0RvYy54bWxQSwUG&#10;AAAAAAYABgBZAQAAig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4445" t="2540" r="4445"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8"/>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7G5YnRAAAAAwEAAA8AAAAAAAAAAQAgAAAAIgAAAGRycy9kb3ducmV2LnhtbFBLAQIU&#10;ABQAAAAIAIdO4kDrskLz+gEAAAEEAAAOAAAAAAAAAAEAIAAAACABAABkcnMvZTJvRG9jLnhtbFBL&#10;BQYAAAAABgAGAFkBAACM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4445" t="0" r="381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EEF36D1F"/>
    <w:multiLevelType w:val="singleLevel"/>
    <w:tmpl w:val="EEF36D1F"/>
    <w:lvl w:ilvl="0" w:tentative="0">
      <w:start w:val="1"/>
      <w:numFmt w:val="chineseCounting"/>
      <w:suff w:val="nothing"/>
      <w:lvlText w:val="%1、"/>
      <w:lvlJc w:val="left"/>
      <w:rPr>
        <w:rFonts w:hint="eastAsia"/>
      </w:rPr>
    </w:lvl>
  </w:abstractNum>
  <w:abstractNum w:abstractNumId="2">
    <w:nsid w:val="F86B6C30"/>
    <w:multiLevelType w:val="singleLevel"/>
    <w:tmpl w:val="F86B6C30"/>
    <w:lvl w:ilvl="0" w:tentative="0">
      <w:start w:val="6"/>
      <w:numFmt w:val="chineseCounting"/>
      <w:suff w:val="space"/>
      <w:lvlText w:val="第%1条"/>
      <w:lvlJc w:val="left"/>
      <w:rPr>
        <w:rFonts w:hint="eastAsia"/>
      </w:rPr>
    </w:lvl>
  </w:abstractNum>
  <w:abstractNum w:abstractNumId="3">
    <w:nsid w:val="5D076128"/>
    <w:multiLevelType w:val="singleLevel"/>
    <w:tmpl w:val="5D076128"/>
    <w:lvl w:ilvl="0" w:tentative="0">
      <w:start w:val="2"/>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16469"/>
    <w:rsid w:val="00025C4D"/>
    <w:rsid w:val="000E4BAB"/>
    <w:rsid w:val="000F3FEA"/>
    <w:rsid w:val="00317922"/>
    <w:rsid w:val="003D60BA"/>
    <w:rsid w:val="003D7967"/>
    <w:rsid w:val="003F001B"/>
    <w:rsid w:val="00411689"/>
    <w:rsid w:val="0047593F"/>
    <w:rsid w:val="005450D2"/>
    <w:rsid w:val="005D618A"/>
    <w:rsid w:val="006A677C"/>
    <w:rsid w:val="00760E52"/>
    <w:rsid w:val="00910F26"/>
    <w:rsid w:val="00911ECD"/>
    <w:rsid w:val="00974E68"/>
    <w:rsid w:val="00A04055"/>
    <w:rsid w:val="00A042E0"/>
    <w:rsid w:val="00B26BB1"/>
    <w:rsid w:val="00B26E21"/>
    <w:rsid w:val="00C2654C"/>
    <w:rsid w:val="00C5221C"/>
    <w:rsid w:val="00D25F07"/>
    <w:rsid w:val="00E34DB9"/>
    <w:rsid w:val="00E86DF4"/>
    <w:rsid w:val="00E93042"/>
    <w:rsid w:val="00ED14F5"/>
    <w:rsid w:val="00F83B64"/>
    <w:rsid w:val="01F42D45"/>
    <w:rsid w:val="02090C75"/>
    <w:rsid w:val="02A23A3C"/>
    <w:rsid w:val="02B86948"/>
    <w:rsid w:val="03AC246A"/>
    <w:rsid w:val="03B23056"/>
    <w:rsid w:val="03DC3EBA"/>
    <w:rsid w:val="03F9794D"/>
    <w:rsid w:val="046A2461"/>
    <w:rsid w:val="065A53BA"/>
    <w:rsid w:val="0685597A"/>
    <w:rsid w:val="06C64829"/>
    <w:rsid w:val="077D16D2"/>
    <w:rsid w:val="08675FC8"/>
    <w:rsid w:val="08F46FC3"/>
    <w:rsid w:val="09692C79"/>
    <w:rsid w:val="09B713FD"/>
    <w:rsid w:val="09EF6ACC"/>
    <w:rsid w:val="0A315056"/>
    <w:rsid w:val="0AFB45AD"/>
    <w:rsid w:val="0B351E9B"/>
    <w:rsid w:val="0B4C50D3"/>
    <w:rsid w:val="0B806B92"/>
    <w:rsid w:val="0B827E94"/>
    <w:rsid w:val="0BD070E1"/>
    <w:rsid w:val="0C247926"/>
    <w:rsid w:val="0D302A9E"/>
    <w:rsid w:val="0D794204"/>
    <w:rsid w:val="0E2125D1"/>
    <w:rsid w:val="0E214211"/>
    <w:rsid w:val="0E5F2769"/>
    <w:rsid w:val="0EFF0A15"/>
    <w:rsid w:val="0F4D75A3"/>
    <w:rsid w:val="0F510E72"/>
    <w:rsid w:val="0F5B2DCA"/>
    <w:rsid w:val="0FED051E"/>
    <w:rsid w:val="0FEE4C29"/>
    <w:rsid w:val="10046082"/>
    <w:rsid w:val="106802DE"/>
    <w:rsid w:val="10765325"/>
    <w:rsid w:val="112B101A"/>
    <w:rsid w:val="116003F7"/>
    <w:rsid w:val="119B53FC"/>
    <w:rsid w:val="11A26319"/>
    <w:rsid w:val="11AE0BD5"/>
    <w:rsid w:val="12424CDC"/>
    <w:rsid w:val="129A2738"/>
    <w:rsid w:val="12B56BF1"/>
    <w:rsid w:val="12CB1A89"/>
    <w:rsid w:val="131840FB"/>
    <w:rsid w:val="13467417"/>
    <w:rsid w:val="136E76CF"/>
    <w:rsid w:val="14B10AE1"/>
    <w:rsid w:val="15BC6B3C"/>
    <w:rsid w:val="1694429A"/>
    <w:rsid w:val="17635326"/>
    <w:rsid w:val="17B374D2"/>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D7931"/>
    <w:rsid w:val="1D5A79EE"/>
    <w:rsid w:val="1E0E2CD0"/>
    <w:rsid w:val="1E7B6870"/>
    <w:rsid w:val="1E831280"/>
    <w:rsid w:val="1EBC4704"/>
    <w:rsid w:val="1F172EB5"/>
    <w:rsid w:val="1F94592D"/>
    <w:rsid w:val="1FB860DE"/>
    <w:rsid w:val="203C5A02"/>
    <w:rsid w:val="209D4C94"/>
    <w:rsid w:val="20E84705"/>
    <w:rsid w:val="218400BA"/>
    <w:rsid w:val="21AB1E2F"/>
    <w:rsid w:val="21D40498"/>
    <w:rsid w:val="225752A3"/>
    <w:rsid w:val="22767047"/>
    <w:rsid w:val="23A05588"/>
    <w:rsid w:val="23D82F6C"/>
    <w:rsid w:val="2435723C"/>
    <w:rsid w:val="25431AEB"/>
    <w:rsid w:val="25650D8D"/>
    <w:rsid w:val="25BF43FD"/>
    <w:rsid w:val="25F86BCD"/>
    <w:rsid w:val="2605748B"/>
    <w:rsid w:val="261105FB"/>
    <w:rsid w:val="269E416A"/>
    <w:rsid w:val="26B02FC7"/>
    <w:rsid w:val="26B172D2"/>
    <w:rsid w:val="27027B2E"/>
    <w:rsid w:val="272100D3"/>
    <w:rsid w:val="272C72FC"/>
    <w:rsid w:val="27923EBF"/>
    <w:rsid w:val="27EB149D"/>
    <w:rsid w:val="27FD3E52"/>
    <w:rsid w:val="28E11370"/>
    <w:rsid w:val="294A756A"/>
    <w:rsid w:val="29564161"/>
    <w:rsid w:val="29D5322D"/>
    <w:rsid w:val="2A025DD9"/>
    <w:rsid w:val="2A7C2231"/>
    <w:rsid w:val="2A8F679F"/>
    <w:rsid w:val="2ABB753D"/>
    <w:rsid w:val="2B0231B6"/>
    <w:rsid w:val="2B1574B4"/>
    <w:rsid w:val="2B7A49FA"/>
    <w:rsid w:val="2C1A76C8"/>
    <w:rsid w:val="2C615D26"/>
    <w:rsid w:val="2C844B41"/>
    <w:rsid w:val="2CB679ED"/>
    <w:rsid w:val="2D173C07"/>
    <w:rsid w:val="2D424A86"/>
    <w:rsid w:val="2E6A25C9"/>
    <w:rsid w:val="2E7B52DB"/>
    <w:rsid w:val="2EC7093F"/>
    <w:rsid w:val="2F324CFE"/>
    <w:rsid w:val="2FBA09F1"/>
    <w:rsid w:val="2FEF2ACF"/>
    <w:rsid w:val="30540211"/>
    <w:rsid w:val="305C5857"/>
    <w:rsid w:val="312D7741"/>
    <w:rsid w:val="316F137F"/>
    <w:rsid w:val="3198371B"/>
    <w:rsid w:val="31DF525F"/>
    <w:rsid w:val="321B5F48"/>
    <w:rsid w:val="32324C2E"/>
    <w:rsid w:val="327171DF"/>
    <w:rsid w:val="33FE78CF"/>
    <w:rsid w:val="341E3434"/>
    <w:rsid w:val="353F533B"/>
    <w:rsid w:val="35A252CE"/>
    <w:rsid w:val="360B7EBA"/>
    <w:rsid w:val="369C32FD"/>
    <w:rsid w:val="37666E72"/>
    <w:rsid w:val="38155281"/>
    <w:rsid w:val="38167A04"/>
    <w:rsid w:val="386D5023"/>
    <w:rsid w:val="3922642F"/>
    <w:rsid w:val="394B167A"/>
    <w:rsid w:val="39B45610"/>
    <w:rsid w:val="39D76BC3"/>
    <w:rsid w:val="3A4E4336"/>
    <w:rsid w:val="3A6007FE"/>
    <w:rsid w:val="3A886145"/>
    <w:rsid w:val="3AB14335"/>
    <w:rsid w:val="3B7C2CE4"/>
    <w:rsid w:val="3C0B5355"/>
    <w:rsid w:val="3C935564"/>
    <w:rsid w:val="3CD4176B"/>
    <w:rsid w:val="3D1F44D9"/>
    <w:rsid w:val="3D5C38CD"/>
    <w:rsid w:val="3DA80295"/>
    <w:rsid w:val="3E5070F1"/>
    <w:rsid w:val="3E6163E7"/>
    <w:rsid w:val="3F6C3589"/>
    <w:rsid w:val="3F850180"/>
    <w:rsid w:val="3F9004D6"/>
    <w:rsid w:val="400E4D5E"/>
    <w:rsid w:val="40245BFB"/>
    <w:rsid w:val="40E1138C"/>
    <w:rsid w:val="41120663"/>
    <w:rsid w:val="411A5F94"/>
    <w:rsid w:val="413814BA"/>
    <w:rsid w:val="414B1D27"/>
    <w:rsid w:val="41872511"/>
    <w:rsid w:val="42466655"/>
    <w:rsid w:val="424B7EFB"/>
    <w:rsid w:val="42694B47"/>
    <w:rsid w:val="42C82F57"/>
    <w:rsid w:val="43C76AF7"/>
    <w:rsid w:val="441B1CE9"/>
    <w:rsid w:val="446828F0"/>
    <w:rsid w:val="45C13B4D"/>
    <w:rsid w:val="46054BCA"/>
    <w:rsid w:val="464C6AFC"/>
    <w:rsid w:val="468B0091"/>
    <w:rsid w:val="46A107C3"/>
    <w:rsid w:val="46B15CE2"/>
    <w:rsid w:val="46BE113D"/>
    <w:rsid w:val="46E44B13"/>
    <w:rsid w:val="46E56AF6"/>
    <w:rsid w:val="4703508A"/>
    <w:rsid w:val="475023F8"/>
    <w:rsid w:val="479D361E"/>
    <w:rsid w:val="47B74789"/>
    <w:rsid w:val="480F2B9D"/>
    <w:rsid w:val="48282920"/>
    <w:rsid w:val="485321E0"/>
    <w:rsid w:val="48546AD3"/>
    <w:rsid w:val="48574836"/>
    <w:rsid w:val="48CA4868"/>
    <w:rsid w:val="48F005D3"/>
    <w:rsid w:val="49311755"/>
    <w:rsid w:val="498F4AF1"/>
    <w:rsid w:val="49C05787"/>
    <w:rsid w:val="49CF518D"/>
    <w:rsid w:val="4ADA1F63"/>
    <w:rsid w:val="4AE23D89"/>
    <w:rsid w:val="4AEC2FDE"/>
    <w:rsid w:val="4B2038D0"/>
    <w:rsid w:val="4B296E7D"/>
    <w:rsid w:val="4B877F28"/>
    <w:rsid w:val="4CC60794"/>
    <w:rsid w:val="4D2E044D"/>
    <w:rsid w:val="4D916BA6"/>
    <w:rsid w:val="4DC44169"/>
    <w:rsid w:val="4E460417"/>
    <w:rsid w:val="4EF0709E"/>
    <w:rsid w:val="4F2706FC"/>
    <w:rsid w:val="4F4546D1"/>
    <w:rsid w:val="5011784D"/>
    <w:rsid w:val="50590023"/>
    <w:rsid w:val="513C043B"/>
    <w:rsid w:val="513C6A7B"/>
    <w:rsid w:val="51644DBE"/>
    <w:rsid w:val="523D3563"/>
    <w:rsid w:val="5333545B"/>
    <w:rsid w:val="5450213C"/>
    <w:rsid w:val="5483348F"/>
    <w:rsid w:val="54D24048"/>
    <w:rsid w:val="54D64CD5"/>
    <w:rsid w:val="55887D69"/>
    <w:rsid w:val="561A0928"/>
    <w:rsid w:val="56423872"/>
    <w:rsid w:val="56B279F0"/>
    <w:rsid w:val="56FC2D59"/>
    <w:rsid w:val="57735AAD"/>
    <w:rsid w:val="579D710E"/>
    <w:rsid w:val="581F22F6"/>
    <w:rsid w:val="586E1E17"/>
    <w:rsid w:val="58862C35"/>
    <w:rsid w:val="58C14957"/>
    <w:rsid w:val="5A78387B"/>
    <w:rsid w:val="5AE83A50"/>
    <w:rsid w:val="5BAB2917"/>
    <w:rsid w:val="5BBF6B42"/>
    <w:rsid w:val="5BDC37A3"/>
    <w:rsid w:val="5BFC33FA"/>
    <w:rsid w:val="5C3107A4"/>
    <w:rsid w:val="5C3B1B93"/>
    <w:rsid w:val="5C66348F"/>
    <w:rsid w:val="5C9220DF"/>
    <w:rsid w:val="5CE16573"/>
    <w:rsid w:val="5D4A15F3"/>
    <w:rsid w:val="5D69542A"/>
    <w:rsid w:val="5E0930EF"/>
    <w:rsid w:val="5E27164D"/>
    <w:rsid w:val="5E3D4D53"/>
    <w:rsid w:val="5E4717E6"/>
    <w:rsid w:val="5E55774C"/>
    <w:rsid w:val="60104DDC"/>
    <w:rsid w:val="605C0804"/>
    <w:rsid w:val="606E3563"/>
    <w:rsid w:val="61841BCA"/>
    <w:rsid w:val="6189617B"/>
    <w:rsid w:val="61B52BB6"/>
    <w:rsid w:val="61B749C2"/>
    <w:rsid w:val="62280D20"/>
    <w:rsid w:val="62CA2457"/>
    <w:rsid w:val="638240A1"/>
    <w:rsid w:val="63A5257B"/>
    <w:rsid w:val="63BD3DCC"/>
    <w:rsid w:val="63C61741"/>
    <w:rsid w:val="64560967"/>
    <w:rsid w:val="656B1D10"/>
    <w:rsid w:val="66022B28"/>
    <w:rsid w:val="662F1AB4"/>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BFA291A"/>
    <w:rsid w:val="6EBC0B3A"/>
    <w:rsid w:val="6EF51C7D"/>
    <w:rsid w:val="6F752F80"/>
    <w:rsid w:val="6F8363E5"/>
    <w:rsid w:val="6FC746F5"/>
    <w:rsid w:val="70317AC6"/>
    <w:rsid w:val="70863262"/>
    <w:rsid w:val="70A76ED3"/>
    <w:rsid w:val="71860B17"/>
    <w:rsid w:val="720A7AF8"/>
    <w:rsid w:val="723B27CC"/>
    <w:rsid w:val="72687227"/>
    <w:rsid w:val="72A03FD9"/>
    <w:rsid w:val="72B96427"/>
    <w:rsid w:val="73406CFF"/>
    <w:rsid w:val="7383028C"/>
    <w:rsid w:val="73A25E44"/>
    <w:rsid w:val="741F68CF"/>
    <w:rsid w:val="747D01A7"/>
    <w:rsid w:val="75252DF3"/>
    <w:rsid w:val="75621536"/>
    <w:rsid w:val="75BF3154"/>
    <w:rsid w:val="76115521"/>
    <w:rsid w:val="764A07CF"/>
    <w:rsid w:val="764F6B3D"/>
    <w:rsid w:val="76CC6C50"/>
    <w:rsid w:val="76CD2B7B"/>
    <w:rsid w:val="76D80645"/>
    <w:rsid w:val="76E03371"/>
    <w:rsid w:val="780E5898"/>
    <w:rsid w:val="782642CC"/>
    <w:rsid w:val="7894095E"/>
    <w:rsid w:val="79000679"/>
    <w:rsid w:val="79376689"/>
    <w:rsid w:val="79A416F0"/>
    <w:rsid w:val="79B03EB6"/>
    <w:rsid w:val="7A7F4688"/>
    <w:rsid w:val="7ABC034E"/>
    <w:rsid w:val="7AF37579"/>
    <w:rsid w:val="7AF87F64"/>
    <w:rsid w:val="7B0E063C"/>
    <w:rsid w:val="7B1C0C84"/>
    <w:rsid w:val="7B5A62DF"/>
    <w:rsid w:val="7B7A04A8"/>
    <w:rsid w:val="7C0C3F6D"/>
    <w:rsid w:val="7C22163C"/>
    <w:rsid w:val="7C595075"/>
    <w:rsid w:val="7C6B07B2"/>
    <w:rsid w:val="7D124E8E"/>
    <w:rsid w:val="7D133243"/>
    <w:rsid w:val="7D7B6E68"/>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5"/>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0"/>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10"/>
    <w:unhideWhenUsed/>
    <w:qFormat/>
    <w:uiPriority w:val="99"/>
    <w:pPr>
      <w:ind w:firstLine="420"/>
    </w:p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paragraph" w:customStyle="1" w:styleId="31">
    <w:name w:val="BodyText"/>
    <w:basedOn w:val="1"/>
    <w:next w:val="32"/>
    <w:qFormat/>
    <w:uiPriority w:val="0"/>
    <w:pPr>
      <w:textAlignment w:val="baseline"/>
    </w:pPr>
    <w:rPr>
      <w:rFonts w:ascii="Times New Roman" w:hAnsi="Times New Roman" w:eastAsia="宋体"/>
      <w:sz w:val="28"/>
    </w:rPr>
  </w:style>
  <w:style w:type="paragraph" w:customStyle="1" w:styleId="32">
    <w:name w:val="BodyText2"/>
    <w:basedOn w:val="1"/>
    <w:qFormat/>
    <w:uiPriority w:val="0"/>
    <w:pPr>
      <w:spacing w:after="120" w:line="480" w:lineRule="auto"/>
      <w:textAlignment w:val="baseline"/>
    </w:pPr>
  </w:style>
  <w:style w:type="character" w:customStyle="1" w:styleId="33">
    <w:name w:val="页眉 Char"/>
    <w:basedOn w:val="26"/>
    <w:link w:val="19"/>
    <w:qFormat/>
    <w:uiPriority w:val="99"/>
    <w:rPr>
      <w:sz w:val="18"/>
      <w:szCs w:val="18"/>
    </w:rPr>
  </w:style>
  <w:style w:type="character" w:customStyle="1" w:styleId="34">
    <w:name w:val="页脚 Char"/>
    <w:basedOn w:val="26"/>
    <w:link w:val="18"/>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2 Char"/>
    <w:basedOn w:val="26"/>
    <w:link w:val="5"/>
    <w:qFormat/>
    <w:uiPriority w:val="9"/>
    <w:rPr>
      <w:rFonts w:eastAsia="方正小标宋简体" w:asciiTheme="majorHAnsi" w:hAnsiTheme="majorHAnsi" w:cstheme="majorBidi"/>
      <w:bCs/>
      <w:sz w:val="36"/>
      <w:szCs w:val="32"/>
    </w:rPr>
  </w:style>
  <w:style w:type="character" w:customStyle="1" w:styleId="37">
    <w:name w:val="标题 3 Char"/>
    <w:basedOn w:val="26"/>
    <w:link w:val="6"/>
    <w:qFormat/>
    <w:uiPriority w:val="9"/>
    <w:rPr>
      <w:rFonts w:ascii="Calibri" w:hAnsi="Calibri" w:eastAsia="宋体" w:cs="Times New Roman"/>
      <w:b/>
      <w:bCs/>
      <w:sz w:val="32"/>
      <w:szCs w:val="32"/>
    </w:rPr>
  </w:style>
  <w:style w:type="paragraph" w:styleId="38">
    <w:name w:val="List Paragraph"/>
    <w:basedOn w:val="1"/>
    <w:link w:val="46"/>
    <w:qFormat/>
    <w:uiPriority w:val="99"/>
    <w:pPr>
      <w:ind w:firstLine="420" w:firstLineChars="200"/>
    </w:pPr>
  </w:style>
  <w:style w:type="paragraph" w:customStyle="1" w:styleId="3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6"/>
    <w:link w:val="17"/>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qFormat/>
    <w:uiPriority w:val="99"/>
    <w:rPr>
      <w:sz w:val="16"/>
      <w:szCs w:val="16"/>
    </w:rPr>
  </w:style>
  <w:style w:type="character" w:customStyle="1" w:styleId="45">
    <w:name w:val="正文文本 3 Char1"/>
    <w:basedOn w:val="26"/>
    <w:link w:val="9"/>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rPr>
      <w:rFonts w:ascii="宋体" w:hAnsi="Courier New"/>
    </w:rPr>
  </w:style>
  <w:style w:type="paragraph" w:customStyle="1" w:styleId="48">
    <w:name w:val="WPSOffice手动目录 1"/>
    <w:qFormat/>
    <w:uiPriority w:val="0"/>
    <w:rPr>
      <w:rFonts w:asciiTheme="minorHAnsi" w:hAnsiTheme="minorHAnsi" w:eastAsiaTheme="minorEastAsia" w:cstheme="minorBidi"/>
      <w:lang w:val="en-US" w:eastAsia="zh-CN" w:bidi="ar-SA"/>
    </w:rPr>
  </w:style>
  <w:style w:type="paragraph" w:customStyle="1" w:styleId="4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50">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2">
    <w:name w:val="font41"/>
    <w:basedOn w:val="26"/>
    <w:qFormat/>
    <w:uiPriority w:val="0"/>
    <w:rPr>
      <w:rFonts w:ascii="Arial" w:hAnsi="Arial" w:cs="Arial"/>
      <w:color w:val="000000"/>
      <w:sz w:val="28"/>
      <w:szCs w:val="28"/>
      <w:u w:val="none"/>
    </w:rPr>
  </w:style>
  <w:style w:type="character" w:customStyle="1" w:styleId="53">
    <w:name w:val="font61"/>
    <w:basedOn w:val="26"/>
    <w:qFormat/>
    <w:uiPriority w:val="0"/>
    <w:rPr>
      <w:rFonts w:hint="eastAsia" w:ascii="宋体" w:hAnsi="宋体" w:eastAsia="宋体" w:cs="宋体"/>
      <w:color w:val="000000"/>
      <w:sz w:val="28"/>
      <w:szCs w:val="28"/>
      <w:u w:val="none"/>
    </w:rPr>
  </w:style>
  <w:style w:type="paragraph" w:customStyle="1" w:styleId="54">
    <w:name w:val="样式 正文文字 + 首行缩进:  2 字符2"/>
    <w:basedOn w:val="1"/>
    <w:qFormat/>
    <w:uiPriority w:val="0"/>
    <w:pPr>
      <w:spacing w:line="480" w:lineRule="atLeast"/>
      <w:ind w:firstLine="560" w:firstLineChars="200"/>
    </w:pPr>
    <w:rPr>
      <w:rFonts w:cs="宋体"/>
      <w:szCs w:val="20"/>
    </w:rPr>
  </w:style>
  <w:style w:type="paragraph" w:customStyle="1" w:styleId="55">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6">
    <w:name w:val="页眉 Char1"/>
    <w:basedOn w:val="26"/>
    <w:qFormat/>
    <w:uiPriority w:val="99"/>
    <w:rPr>
      <w:rFonts w:ascii="Calibri" w:hAnsi="Calibri" w:eastAsia="Calibri" w:cs="Calibri"/>
      <w:color w:val="000000"/>
      <w:sz w:val="18"/>
      <w:szCs w:val="18"/>
    </w:rPr>
  </w:style>
  <w:style w:type="character" w:customStyle="1" w:styleId="57">
    <w:name w:val="页脚 Char2"/>
    <w:basedOn w:val="26"/>
    <w:qFormat/>
    <w:uiPriority w:val="99"/>
    <w:rPr>
      <w:rFonts w:ascii="Calibri" w:hAnsi="Calibri" w:eastAsia="Calibri" w:cs="Calibr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22665</Words>
  <Characters>23610</Characters>
  <Lines>196</Lines>
  <Paragraphs>55</Paragraphs>
  <TotalTime>12</TotalTime>
  <ScaleCrop>false</ScaleCrop>
  <LinksUpToDate>false</LinksUpToDate>
  <CharactersWithSpaces>25820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2022-09-06T01:20:00Z</dcterms:created>
  <dc:creator>陈义春</dc:creator>
  <cp:lastModifiedBy>刘琳</cp:lastModifiedBy>
  <cp:lastPrinted>2022-09-08T02:34:00Z</cp:lastPrinted>
  <dcterms:modified xsi:type="dcterms:W3CDTF">2022-10-12T07:06:44Z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94CF843C7A8E44049ED4774B5315E7D7</vt:lpwstr>
  </property>
</Properties>
</file>