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98" w:name="_GoBack"/>
      <w:bookmarkEnd w:id="198"/>
    </w:p>
    <w:p>
      <w:pPr>
        <w:rPr>
          <w:color w:val="auto"/>
          <w:highlight w:val="none"/>
        </w:rPr>
      </w:pPr>
    </w:p>
    <w:p>
      <w:pP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广州市净水有限公司2022年大坦沙、石井分公司其他生产设备购置项目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4" w:type="default"/>
          <w:footerReference r:id="rId5" w:type="even"/>
          <w:pgSz w:w="11906" w:h="16838"/>
          <w:pgMar w:top="2098" w:right="1474" w:bottom="1985" w:left="1588"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pPr>
        <w:pStyle w:val="2"/>
        <w:rPr>
          <w:color w:val="auto"/>
          <w:highlight w:val="none"/>
        </w:rPr>
      </w:pPr>
    </w:p>
    <w:p>
      <w:pPr>
        <w:pStyle w:val="36"/>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8"/>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8"/>
        <w:numPr>
          <w:ilvl w:val="0"/>
          <w:numId w:val="1"/>
        </w:numPr>
        <w:tabs>
          <w:tab w:val="right" w:pos="8844"/>
        </w:tabs>
        <w:rPr>
          <w:color w:val="auto"/>
          <w:highlight w:val="none"/>
        </w:rPr>
      </w:pPr>
      <w:r>
        <w:rPr>
          <w:rFonts w:hint="eastAsia"/>
          <w:color w:val="auto"/>
          <w:highlight w:val="none"/>
          <w:lang w:val="en-US" w:eastAsia="zh-CN"/>
        </w:rPr>
        <w:t>供应商须知</w:t>
      </w:r>
    </w:p>
    <w:p>
      <w:pPr>
        <w:pStyle w:val="18"/>
        <w:numPr>
          <w:ilvl w:val="0"/>
          <w:numId w:val="1"/>
        </w:numPr>
        <w:tabs>
          <w:tab w:val="right" w:pos="8844"/>
        </w:tabs>
        <w:rPr>
          <w:color w:val="auto"/>
          <w:highlight w:val="none"/>
        </w:rPr>
      </w:pPr>
      <w:r>
        <w:rPr>
          <w:rFonts w:hint="eastAsia"/>
          <w:color w:val="auto"/>
          <w:highlight w:val="none"/>
          <w:lang w:val="en-US" w:eastAsia="zh-CN"/>
        </w:rPr>
        <w:t>采购方法</w:t>
      </w:r>
    </w:p>
    <w:p>
      <w:pPr>
        <w:pStyle w:val="18"/>
        <w:numPr>
          <w:ilvl w:val="0"/>
          <w:numId w:val="1"/>
        </w:numPr>
        <w:tabs>
          <w:tab w:val="right" w:pos="8844"/>
        </w:tabs>
        <w:rPr>
          <w:color w:val="auto"/>
          <w:highlight w:val="none"/>
        </w:rPr>
      </w:pPr>
      <w:r>
        <w:rPr>
          <w:rFonts w:hint="eastAsia"/>
          <w:color w:val="auto"/>
          <w:highlight w:val="none"/>
          <w:lang w:val="en-US" w:eastAsia="zh-CN"/>
        </w:rPr>
        <w:t>评审方法</w:t>
      </w:r>
    </w:p>
    <w:p>
      <w:pPr>
        <w:pStyle w:val="18"/>
        <w:numPr>
          <w:ilvl w:val="0"/>
          <w:numId w:val="1"/>
        </w:numPr>
        <w:tabs>
          <w:tab w:val="right" w:pos="8844"/>
        </w:tabs>
        <w:rPr>
          <w:color w:val="auto"/>
          <w:highlight w:val="none"/>
        </w:rPr>
      </w:pPr>
      <w:r>
        <w:rPr>
          <w:rFonts w:hint="eastAsia"/>
          <w:color w:val="auto"/>
          <w:highlight w:val="none"/>
          <w:lang w:val="en-US" w:eastAsia="zh-CN"/>
        </w:rPr>
        <w:t>采购需求</w:t>
      </w:r>
    </w:p>
    <w:p>
      <w:pPr>
        <w:pStyle w:val="18"/>
        <w:numPr>
          <w:ilvl w:val="0"/>
          <w:numId w:val="1"/>
        </w:numPr>
        <w:tabs>
          <w:tab w:val="right" w:pos="8844"/>
        </w:tabs>
        <w:rPr>
          <w:color w:val="auto"/>
          <w:highlight w:val="none"/>
        </w:rPr>
      </w:pPr>
      <w:r>
        <w:rPr>
          <w:rFonts w:hint="eastAsia"/>
          <w:color w:val="auto"/>
          <w:highlight w:val="none"/>
        </w:rPr>
        <w:t>合同草案</w:t>
      </w:r>
    </w:p>
    <w:p>
      <w:pPr>
        <w:pStyle w:val="18"/>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8"/>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8"/>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1"/>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3"/>
        <w:rPr>
          <w:rFonts w:hint="eastAsia"/>
          <w:color w:val="auto"/>
          <w:highlight w:val="none"/>
        </w:rPr>
      </w:pPr>
      <w:bookmarkStart w:id="4" w:name="_Toc17801"/>
      <w:bookmarkStart w:id="5" w:name="_Toc19609"/>
      <w:bookmarkStart w:id="6" w:name="_Toc1669"/>
      <w:bookmarkStart w:id="7" w:name="_Toc7519"/>
      <w:bookmarkStart w:id="8" w:name="_Toc31938"/>
      <w:bookmarkStart w:id="9" w:name="_Toc11322"/>
      <w:bookmarkStart w:id="10" w:name="_Toc4275"/>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广州市净水有限公司2022年大坦沙、石井分公司其他生产设备购置项目</w:t>
      </w:r>
      <w:r>
        <w:rPr>
          <w:rFonts w:hint="eastAsia" w:ascii="仿宋_GB2312" w:eastAsia="仿宋_GB2312"/>
          <w:color w:val="auto"/>
          <w:sz w:val="28"/>
          <w:szCs w:val="28"/>
          <w:highlight w:val="none"/>
        </w:rPr>
        <w:t>已具备采购条件，</w:t>
      </w:r>
      <w:r>
        <w:rPr>
          <w:rFonts w:hint="eastAsia" w:ascii="仿宋_GB2312" w:eastAsia="仿宋_GB2312"/>
          <w:color w:val="auto"/>
          <w:sz w:val="28"/>
          <w:szCs w:val="28"/>
          <w:highlight w:val="none"/>
        </w:rPr>
        <w:t>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 xml:space="preserve">参加本□施工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 □服务项目采购活动，采用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广州市净水有限公司2022年大坦沙、石井分公司其他生产设备购置项目</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XJ-20221009-6</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rPr>
        <w:t>：</w:t>
      </w:r>
      <w:r>
        <w:rPr>
          <w:rFonts w:hint="eastAsia" w:ascii="仿宋_GB2312" w:eastAsia="仿宋_GB2312"/>
          <w:color w:val="auto"/>
          <w:sz w:val="28"/>
          <w:szCs w:val="28"/>
          <w:highlight w:val="none"/>
          <w:u w:val="single"/>
          <w:lang w:val="en-US" w:eastAsia="zh-CN"/>
        </w:rPr>
        <w:t xml:space="preserve">  610307.3元 （项目一：</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40000元、项目二：83130元、项目三：30000元、项目四：61200元、项目五：38794元、项目六：44874.2元、项目七：20819.1元、项目八：33930元、项目九：187560元、项目十：70000）(人民币）</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numPr>
          <w:ilvl w:val="0"/>
          <w:numId w:val="2"/>
        </w:num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p>
    <w:p>
      <w:pPr>
        <w:pStyle w:val="12"/>
        <w:rPr>
          <w:rFonts w:hint="eastAsia" w:ascii="仿宋_GB2312" w:eastAsia="仿宋_GB2312"/>
          <w:color w:val="auto"/>
          <w:sz w:val="28"/>
          <w:szCs w:val="28"/>
          <w:highlight w:val="none"/>
        </w:rPr>
      </w:pPr>
    </w:p>
    <w:p>
      <w:pPr>
        <w:pStyle w:val="13"/>
        <w:rPr>
          <w:rFonts w:hint="eastAsia" w:ascii="仿宋_GB2312" w:eastAsia="仿宋_GB2312"/>
          <w:color w:val="auto"/>
          <w:sz w:val="28"/>
          <w:szCs w:val="28"/>
          <w:highlight w:val="none"/>
        </w:rPr>
      </w:pPr>
    </w:p>
    <w:p>
      <w:pPr>
        <w:rPr>
          <w:rFonts w:hint="eastAsia"/>
          <w:color w:val="auto"/>
          <w:highlight w:val="none"/>
        </w:rPr>
      </w:pPr>
    </w:p>
    <w:p>
      <w:pPr>
        <w:rPr>
          <w:rFonts w:hint="eastAsia"/>
          <w:color w:val="auto"/>
          <w:highlight w:val="none"/>
        </w:rPr>
      </w:pPr>
    </w:p>
    <w:tbl>
      <w:tblPr>
        <w:tblStyle w:val="23"/>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954"/>
        <w:gridCol w:w="1913"/>
        <w:gridCol w:w="738"/>
        <w:gridCol w:w="750"/>
        <w:gridCol w:w="1355"/>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77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954" w:type="dxa"/>
            <w:vAlign w:val="top"/>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rPr>
              <w:t>序号</w:t>
            </w:r>
          </w:p>
        </w:tc>
        <w:tc>
          <w:tcPr>
            <w:tcW w:w="1913"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738"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单位</w:t>
            </w:r>
          </w:p>
        </w:tc>
        <w:tc>
          <w:tcPr>
            <w:tcW w:w="750"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数量</w:t>
            </w:r>
          </w:p>
        </w:tc>
        <w:tc>
          <w:tcPr>
            <w:tcW w:w="135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限价（元）</w:t>
            </w:r>
          </w:p>
        </w:tc>
        <w:tc>
          <w:tcPr>
            <w:tcW w:w="1355"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77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954"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rPr>
            </w:pPr>
            <w:r>
              <w:rPr>
                <w:rFonts w:hint="eastAsia" w:ascii="仿宋_GB2312" w:hAnsi="仿宋" w:eastAsia="仿宋_GB2312" w:cs="宋体"/>
                <w:color w:val="auto"/>
                <w:kern w:val="0"/>
                <w:sz w:val="24"/>
                <w:szCs w:val="28"/>
                <w:highlight w:val="none"/>
                <w:lang w:val="en-US" w:eastAsia="zh-CN"/>
              </w:rPr>
              <w:t>项目一</w:t>
            </w:r>
          </w:p>
        </w:tc>
        <w:tc>
          <w:tcPr>
            <w:tcW w:w="1913" w:type="dxa"/>
            <w:vAlign w:val="center"/>
          </w:tcPr>
          <w:p>
            <w:pPr>
              <w:spacing w:line="360" w:lineRule="auto"/>
              <w:jc w:val="center"/>
              <w:rPr>
                <w:rFonts w:hint="eastAsia" w:ascii="仿宋_GB2312" w:hAnsi="Times New Roman" w:eastAsia="仿宋_GB2312" w:cs="Times New Roman"/>
                <w:color w:val="auto"/>
                <w:sz w:val="24"/>
                <w:szCs w:val="28"/>
                <w:highlight w:val="none"/>
                <w:lang w:eastAsia="zh-CN"/>
              </w:rPr>
            </w:pPr>
            <w:r>
              <w:rPr>
                <w:rFonts w:hint="eastAsia" w:ascii="仿宋_GB2312" w:hAnsi="仿宋_GB2312" w:eastAsia="仿宋_GB2312" w:cs="仿宋_GB2312"/>
                <w:color w:val="auto"/>
                <w:sz w:val="24"/>
                <w:szCs w:val="24"/>
                <w:highlight w:val="none"/>
                <w:lang w:val="en-US" w:eastAsia="zh-CN"/>
              </w:rPr>
              <w:t>雕刻机床</w:t>
            </w:r>
          </w:p>
        </w:tc>
        <w:tc>
          <w:tcPr>
            <w:tcW w:w="738"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台</w:t>
            </w:r>
          </w:p>
        </w:tc>
        <w:tc>
          <w:tcPr>
            <w:tcW w:w="750"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40000</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p>
        </w:tc>
        <w:tc>
          <w:tcPr>
            <w:tcW w:w="954" w:type="dxa"/>
            <w:vMerge w:val="restart"/>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Times New Roman" w:eastAsia="仿宋_GB2312" w:cs="Times New Roman"/>
                <w:color w:val="auto"/>
                <w:sz w:val="24"/>
                <w:szCs w:val="28"/>
                <w:highlight w:val="none"/>
                <w:lang w:val="en-US" w:eastAsia="zh-CN"/>
              </w:rPr>
              <w:t>项目二</w:t>
            </w:r>
          </w:p>
        </w:tc>
        <w:tc>
          <w:tcPr>
            <w:tcW w:w="1913" w:type="dxa"/>
            <w:vAlign w:val="center"/>
          </w:tcPr>
          <w:p>
            <w:pPr>
              <w:spacing w:line="360" w:lineRule="auto"/>
              <w:ind w:right="-57" w:rightChars="-27"/>
              <w:jc w:val="center"/>
              <w:rPr>
                <w:rFonts w:hint="eastAsia" w:ascii="仿宋_GB2312" w:hAnsi="仿宋_GB2312" w:eastAsia="仿宋_GB2312" w:cs="仿宋_GB2312"/>
                <w:color w:val="auto"/>
                <w:kern w:val="0"/>
                <w:sz w:val="24"/>
                <w:szCs w:val="28"/>
                <w:highlight w:val="none"/>
                <w:u w:val="none"/>
              </w:rPr>
            </w:pPr>
            <w:r>
              <w:rPr>
                <w:rFonts w:hint="eastAsia" w:ascii="仿宋_GB2312" w:hAnsi="仿宋_GB2312" w:eastAsia="仿宋_GB2312" w:cs="仿宋_GB2312"/>
                <w:color w:val="auto"/>
                <w:sz w:val="24"/>
                <w:szCs w:val="24"/>
                <w:highlight w:val="none"/>
                <w:u w:val="none"/>
                <w:lang w:val="en-US" w:eastAsia="zh-CN"/>
              </w:rPr>
              <w:t>螺杆式空气压缩机</w:t>
            </w:r>
          </w:p>
        </w:tc>
        <w:tc>
          <w:tcPr>
            <w:tcW w:w="738"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u w:val="none"/>
                <w:lang w:val="en-US" w:eastAsia="zh-CN"/>
              </w:rPr>
            </w:pPr>
            <w:r>
              <w:rPr>
                <w:rFonts w:hint="eastAsia" w:ascii="仿宋_GB2312" w:hAnsi="Times New Roman" w:eastAsia="仿宋_GB2312" w:cs="Times New Roman"/>
                <w:color w:val="auto"/>
                <w:sz w:val="24"/>
                <w:szCs w:val="32"/>
                <w:highlight w:val="none"/>
                <w:u w:val="none"/>
                <w:lang w:val="en-US" w:eastAsia="zh-CN"/>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u w:val="none"/>
                <w:lang w:val="en-US" w:eastAsia="zh-CN"/>
              </w:rPr>
            </w:pPr>
            <w:r>
              <w:rPr>
                <w:rFonts w:hint="eastAsia" w:ascii="仿宋_GB2312" w:hAnsi="Times New Roman" w:eastAsia="仿宋_GB2312" w:cs="Times New Roman"/>
                <w:color w:val="auto"/>
                <w:sz w:val="24"/>
                <w:szCs w:val="32"/>
                <w:highlight w:val="none"/>
                <w:u w:val="none"/>
                <w:lang w:val="en-US" w:eastAsia="zh-CN"/>
              </w:rPr>
              <w:t>2</w:t>
            </w:r>
          </w:p>
        </w:tc>
        <w:tc>
          <w:tcPr>
            <w:tcW w:w="135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u w:val="none"/>
                <w:lang w:val="en-US" w:eastAsia="zh-CN"/>
              </w:rPr>
            </w:pPr>
            <w:r>
              <w:rPr>
                <w:rFonts w:hint="eastAsia" w:ascii="仿宋_GB2312" w:hAnsi="Times New Roman" w:eastAsia="仿宋_GB2312" w:cs="Times New Roman"/>
                <w:color w:val="auto"/>
                <w:sz w:val="24"/>
                <w:szCs w:val="32"/>
                <w:highlight w:val="none"/>
                <w:u w:val="none"/>
                <w:lang w:val="en-US" w:eastAsia="zh-CN"/>
              </w:rPr>
              <w:t>83130</w:t>
            </w:r>
          </w:p>
        </w:tc>
        <w:tc>
          <w:tcPr>
            <w:tcW w:w="1355" w:type="dxa"/>
            <w:vMerge w:val="restart"/>
          </w:tcPr>
          <w:p>
            <w:pPr>
              <w:spacing w:line="360" w:lineRule="auto"/>
              <w:ind w:right="-57" w:rightChars="-27"/>
              <w:jc w:val="center"/>
              <w:rPr>
                <w:rFonts w:ascii="仿宋_GB2312" w:hAnsi="Times New Roman" w:eastAsia="仿宋_GB2312" w:cs="Times New Roman"/>
                <w:color w:val="auto"/>
                <w:sz w:val="24"/>
                <w:szCs w:val="32"/>
                <w:highlight w:val="none"/>
                <w:u w:val="none"/>
              </w:rPr>
            </w:pPr>
            <w:r>
              <w:rPr>
                <w:rFonts w:hint="eastAsia" w:ascii="仿宋_GB2312" w:hAnsi="仿宋_GB2312" w:eastAsia="仿宋_GB2312" w:cs="仿宋_GB2312"/>
                <w:color w:val="auto"/>
                <w:sz w:val="24"/>
                <w:szCs w:val="24"/>
                <w:highlight w:val="none"/>
                <w:u w:val="none"/>
                <w:lang w:val="en-US" w:eastAsia="zh-CN"/>
              </w:rPr>
              <w:t>整机配备安装附件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p>
        </w:tc>
        <w:tc>
          <w:tcPr>
            <w:tcW w:w="954" w:type="dxa"/>
            <w:vMerge w:val="continue"/>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p>
        </w:tc>
        <w:tc>
          <w:tcPr>
            <w:tcW w:w="1913" w:type="dxa"/>
            <w:vAlign w:val="center"/>
          </w:tcPr>
          <w:p>
            <w:pPr>
              <w:spacing w:line="360" w:lineRule="auto"/>
              <w:ind w:right="-57" w:rightChars="-27"/>
              <w:jc w:val="center"/>
              <w:rPr>
                <w:rFonts w:hint="eastAsia" w:ascii="仿宋_GB2312" w:hAnsi="仿宋_GB2312" w:eastAsia="仿宋_GB2312" w:cs="仿宋_GB2312"/>
                <w:color w:val="auto"/>
                <w:kern w:val="0"/>
                <w:sz w:val="24"/>
                <w:szCs w:val="28"/>
                <w:highlight w:val="none"/>
                <w:u w:val="none"/>
              </w:rPr>
            </w:pPr>
            <w:r>
              <w:rPr>
                <w:rFonts w:hint="eastAsia" w:ascii="仿宋_GB2312" w:hAnsi="仿宋_GB2312" w:eastAsia="仿宋_GB2312" w:cs="仿宋_GB2312"/>
                <w:color w:val="auto"/>
                <w:sz w:val="24"/>
                <w:szCs w:val="24"/>
                <w:highlight w:val="none"/>
                <w:u w:val="none"/>
                <w:lang w:val="en-US" w:eastAsia="zh-CN"/>
              </w:rPr>
              <w:t>冷冻式干燥机</w:t>
            </w:r>
          </w:p>
        </w:tc>
        <w:tc>
          <w:tcPr>
            <w:tcW w:w="738"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Merge w:val="continue"/>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u w:val="none"/>
                <w:lang w:val="en-US" w:eastAsia="zh-CN"/>
              </w:rPr>
            </w:pPr>
          </w:p>
        </w:tc>
        <w:tc>
          <w:tcPr>
            <w:tcW w:w="1355" w:type="dxa"/>
            <w:vMerge w:val="continue"/>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vAlign w:val="center"/>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95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913"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rPr>
            </w:pPr>
            <w:r>
              <w:rPr>
                <w:rFonts w:hint="eastAsia" w:ascii="仿宋_GB2312" w:hAnsi="仿宋" w:eastAsia="仿宋_GB2312" w:cs="宋体"/>
                <w:color w:val="auto"/>
                <w:kern w:val="0"/>
                <w:sz w:val="24"/>
                <w:szCs w:val="28"/>
                <w:highlight w:val="none"/>
                <w:lang w:val="en-US" w:eastAsia="zh-CN"/>
              </w:rPr>
              <w:t>立钻钻床</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30000</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vAlign w:val="center"/>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954" w:type="dxa"/>
            <w:vAlign w:val="center"/>
          </w:tcPr>
          <w:p>
            <w:pPr>
              <w:spacing w:line="360" w:lineRule="auto"/>
              <w:ind w:right="-57" w:rightChars="-27"/>
              <w:jc w:val="center"/>
              <w:rPr>
                <w:rFonts w:hint="default"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kern w:val="2"/>
                <w:sz w:val="24"/>
                <w:szCs w:val="28"/>
                <w:highlight w:val="none"/>
                <w:lang w:val="en-US" w:eastAsia="zh-CN" w:bidi="ar-SA"/>
              </w:rPr>
              <w:t>项目四</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rPr>
            </w:pPr>
            <w:r>
              <w:rPr>
                <w:rFonts w:hint="eastAsia" w:ascii="仿宋_GB2312" w:hAnsi="仿宋_GB2312" w:eastAsia="仿宋_GB2312" w:cs="仿宋_GB2312"/>
                <w:color w:val="auto"/>
                <w:sz w:val="24"/>
                <w:szCs w:val="24"/>
                <w:highlight w:val="none"/>
                <w:lang w:val="en-US" w:eastAsia="zh-CN"/>
              </w:rPr>
              <w:t>对中仪</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61200</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vAlign w:val="center"/>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95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项目五</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移动式一体化防爆布控球</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38794</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vAlign w:val="center"/>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95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项目六</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吸尘清洁车</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44874.2</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石井分公司</w:t>
            </w:r>
          </w:p>
        </w:tc>
        <w:tc>
          <w:tcPr>
            <w:tcW w:w="95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项目七</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移动式高压疏通清洗机</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20819.1</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大沙地分公司</w:t>
            </w:r>
          </w:p>
        </w:tc>
        <w:tc>
          <w:tcPr>
            <w:tcW w:w="95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项目八</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空压机</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33930</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含安装调试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竹料分公司</w:t>
            </w:r>
          </w:p>
        </w:tc>
        <w:tc>
          <w:tcPr>
            <w:tcW w:w="954"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项目九</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宋体" w:hAnsi="宋体" w:eastAsia="宋体" w:cs="宋体"/>
                <w:color w:val="auto"/>
                <w:kern w:val="0"/>
                <w:sz w:val="20"/>
                <w:szCs w:val="20"/>
                <w:highlight w:val="none"/>
                <w:u w:val="none"/>
                <w:lang w:val="en-US" w:eastAsia="zh-CN" w:bidi="ar"/>
              </w:rPr>
              <w:t>12V65AH(UPS不间断电源）</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2</w:t>
            </w:r>
          </w:p>
        </w:tc>
        <w:tc>
          <w:tcPr>
            <w:tcW w:w="135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187560</w:t>
            </w:r>
          </w:p>
        </w:tc>
        <w:tc>
          <w:tcPr>
            <w:tcW w:w="135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Merge w:val="continue"/>
            <w:vAlign w:val="center"/>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954" w:type="dxa"/>
            <w:vMerge w:val="continue"/>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宋体" w:hAnsi="宋体" w:eastAsia="宋体" w:cs="宋体"/>
                <w:color w:val="auto"/>
                <w:kern w:val="0"/>
                <w:sz w:val="20"/>
                <w:szCs w:val="20"/>
                <w:highlight w:val="none"/>
                <w:u w:val="none"/>
                <w:lang w:val="en-US" w:eastAsia="zh-CN" w:bidi="ar"/>
              </w:rPr>
              <w:t>12V100AH(UPS不间断电源）</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Merge w:val="continue"/>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p>
        </w:tc>
        <w:tc>
          <w:tcPr>
            <w:tcW w:w="1355" w:type="dxa"/>
            <w:vMerge w:val="continue"/>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75"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西朗二期分公司</w:t>
            </w:r>
          </w:p>
        </w:tc>
        <w:tc>
          <w:tcPr>
            <w:tcW w:w="95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项目十</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管道潜望镜QV</w:t>
            </w:r>
          </w:p>
        </w:tc>
        <w:tc>
          <w:tcPr>
            <w:tcW w:w="738" w:type="dxa"/>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750" w:type="dxa"/>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70000</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130" w:type="dxa"/>
            <w:gridSpan w:val="5"/>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合计</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610307.3</w:t>
            </w:r>
          </w:p>
        </w:tc>
        <w:tc>
          <w:tcPr>
            <w:tcW w:w="1355"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p>
        </w:tc>
      </w:tr>
    </w:tbl>
    <w:p>
      <w:pPr>
        <w:pStyle w:val="12"/>
        <w:rPr>
          <w:rFonts w:hint="eastAsia"/>
          <w:color w:val="auto"/>
          <w:highlight w:val="none"/>
        </w:rPr>
      </w:pP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交货期  □服务期为</w:t>
      </w:r>
      <w:r>
        <w:rPr>
          <w:rFonts w:hint="eastAsia" w:ascii="仿宋_GB2312" w:eastAsia="仿宋_GB2312"/>
          <w:color w:val="auto"/>
          <w:sz w:val="28"/>
          <w:szCs w:val="28"/>
          <w:highlight w:val="none"/>
          <w:u w:val="single"/>
        </w:rPr>
        <w:t xml:space="preserve">           </w:t>
      </w:r>
    </w:p>
    <w:tbl>
      <w:tblPr>
        <w:tblStyle w:val="23"/>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904"/>
        <w:gridCol w:w="3195"/>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序号</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3195"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1214"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项目一</w:t>
            </w:r>
          </w:p>
        </w:tc>
        <w:tc>
          <w:tcPr>
            <w:tcW w:w="1904"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_GB2312" w:eastAsia="仿宋_GB2312" w:cs="仿宋_GB2312"/>
                <w:color w:val="auto"/>
                <w:sz w:val="24"/>
                <w:szCs w:val="24"/>
                <w:highlight w:val="none"/>
                <w:lang w:val="en-US" w:eastAsia="zh-CN"/>
              </w:rPr>
              <w:t>雕刻机床</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项目二</w:t>
            </w:r>
          </w:p>
        </w:tc>
        <w:tc>
          <w:tcPr>
            <w:tcW w:w="1904"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rPr>
            </w:pPr>
            <w:r>
              <w:rPr>
                <w:rFonts w:hint="eastAsia" w:ascii="仿宋_GB2312" w:hAnsi="仿宋_GB2312" w:eastAsia="仿宋_GB2312" w:cs="仿宋_GB2312"/>
                <w:color w:val="auto"/>
                <w:sz w:val="24"/>
                <w:szCs w:val="24"/>
                <w:highlight w:val="none"/>
                <w:u w:val="none"/>
                <w:lang w:val="en-US" w:eastAsia="zh-CN"/>
              </w:rPr>
              <w:t>螺杆式空气压缩机及冷冻式干燥机</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90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lang w:val="en-US" w:eastAsia="zh-CN"/>
              </w:rPr>
              <w:t>立钻钻床</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kern w:val="2"/>
                <w:sz w:val="24"/>
                <w:szCs w:val="28"/>
                <w:highlight w:val="none"/>
                <w:lang w:val="en-US" w:eastAsia="zh-CN" w:bidi="ar-SA"/>
              </w:rPr>
              <w:t>项目四</w:t>
            </w:r>
          </w:p>
        </w:tc>
        <w:tc>
          <w:tcPr>
            <w:tcW w:w="1904" w:type="dxa"/>
            <w:vAlign w:val="center"/>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_GB2312" w:eastAsia="仿宋_GB2312" w:cs="仿宋_GB2312"/>
                <w:color w:val="auto"/>
                <w:sz w:val="24"/>
                <w:szCs w:val="24"/>
                <w:highlight w:val="none"/>
                <w:lang w:val="en-US" w:eastAsia="zh-CN"/>
              </w:rPr>
              <w:t>对中仪</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项目五</w:t>
            </w:r>
          </w:p>
        </w:tc>
        <w:tc>
          <w:tcPr>
            <w:tcW w:w="1904"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移动式一体化防爆布控球</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项目六</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吸尘清洁车</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项目七</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石井分公司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移动式高压疏通清洗机</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项目八</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大沙地分公司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空压机</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项目九</w:t>
            </w:r>
          </w:p>
        </w:tc>
        <w:tc>
          <w:tcPr>
            <w:tcW w:w="1904"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竹料分公司</w:t>
            </w:r>
          </w:p>
        </w:tc>
        <w:tc>
          <w:tcPr>
            <w:tcW w:w="319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宋体" w:hAnsi="宋体" w:eastAsia="宋体" w:cs="宋体"/>
                <w:color w:val="auto"/>
                <w:kern w:val="0"/>
                <w:sz w:val="20"/>
                <w:szCs w:val="20"/>
                <w:highlight w:val="none"/>
                <w:u w:val="none"/>
                <w:lang w:val="en-US" w:eastAsia="zh-CN" w:bidi="ar"/>
              </w:rPr>
              <w:t>12V65AH(UPS不间断电源）及12V100AH(UPS不间断电源）</w:t>
            </w:r>
          </w:p>
        </w:tc>
        <w:tc>
          <w:tcPr>
            <w:tcW w:w="1214"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项目十</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西朗二期分公司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管道潜望镜QV</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30天</w:t>
            </w:r>
          </w:p>
        </w:tc>
      </w:tr>
    </w:tbl>
    <w:p>
      <w:pPr>
        <w:pStyle w:val="12"/>
        <w:rPr>
          <w:rFonts w:hint="eastAsia"/>
          <w:color w:val="auto"/>
          <w:highlight w:val="non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项目一二三四五六：大坦沙分公司、项目七：石井分公司、项目八：大沙地分公司、项目九：</w:t>
      </w:r>
      <w:r>
        <w:rPr>
          <w:rFonts w:hint="eastAsia" w:ascii="仿宋" w:hAnsi="仿宋" w:eastAsia="仿宋" w:cs="仿宋"/>
          <w:color w:val="auto"/>
          <w:sz w:val="28"/>
          <w:szCs w:val="28"/>
          <w:highlight w:val="none"/>
          <w:u w:val="single"/>
          <w:lang w:val="en-US" w:eastAsia="zh-CN"/>
        </w:rPr>
        <w:t>竹料分公司、项目十：西朗二期分公司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color w:val="auto"/>
          <w:sz w:val="28"/>
          <w:szCs w:val="28"/>
          <w:highlight w:val="none"/>
          <w:u w:val="single"/>
          <w:lang w:val="en-US" w:eastAsia="zh-CN"/>
        </w:rPr>
        <w:t xml:space="preserve"> 所提供报价设备均为制造商全新原装产品，并有相关合格证、出厂证明，技术参数要求详见第五章采购需求。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2019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本项目采购设备之一的供货</w:t>
      </w:r>
      <w:r>
        <w:rPr>
          <w:rFonts w:hint="eastAsia" w:ascii="仿宋_GB2312" w:eastAsia="仿宋_GB2312"/>
          <w:color w:val="auto"/>
          <w:sz w:val="28"/>
          <w:szCs w:val="28"/>
          <w:highlight w:val="none"/>
        </w:rPr>
        <w:t>业绩。（提供合同复印件证明，包括但不限于项目名称、金额及实施内容、合同签字盖章、签订日期，加盖单位公章）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1"/>
        <w:ind w:left="0" w:leftChars="0" w:firstLine="0" w:firstLineChars="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供应商须出具承诺函，承诺所提供报价货物/设备均为制造商全新原装产品</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投标人提交的响应文件需说明响应设备的品牌和型号，并附设备说明书或型式试验证书等资料用于核实响应设备是否满足技术要求，如无相关资料报价一律视为无效报价。</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ind w:firstLine="280" w:firstLineChars="10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600" w:lineRule="exact"/>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□组织</w:t>
      </w:r>
    </w:p>
    <w:p>
      <w:pPr>
        <w:adjustRightInd w:val="0"/>
        <w:snapToGrid w:val="0"/>
        <w:spacing w:line="600" w:lineRule="exact"/>
        <w:ind w:firstLine="560" w:firstLineChars="200"/>
        <w:rPr>
          <w:rFonts w:hint="eastAsia" w:ascii="仿宋_GB2312" w:eastAsia="仿宋_GB2312" w:hAnsiTheme="minorHAnsi"/>
          <w:color w:val="auto"/>
          <w:sz w:val="28"/>
          <w:szCs w:val="28"/>
          <w:highlight w:val="none"/>
          <w:u w:val="none"/>
        </w:rPr>
      </w:pPr>
      <w:r>
        <w:rPr>
          <w:rFonts w:hint="eastAsia" w:ascii="仿宋_GB2312" w:eastAsia="仿宋_GB2312" w:hAnsiTheme="minorHAnsi"/>
          <w:color w:val="auto"/>
          <w:sz w:val="28"/>
          <w:szCs w:val="28"/>
          <w:highlight w:val="none"/>
          <w:u w:val="none"/>
        </w:rPr>
        <w:t>项目根据实际情况须在提交响应文件前进行现场踏勘，未进行现场踏勘的，报价一律视为无效报价，提交报价响应文件时需附上现场踏勘委派书（需求单位及报价单位均需盖章，详见附件现场踏勘委派书）</w:t>
      </w:r>
    </w:p>
    <w:p>
      <w:pPr>
        <w:adjustRightInd w:val="0"/>
        <w:snapToGrid w:val="0"/>
        <w:spacing w:line="600" w:lineRule="exact"/>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踏勘时间：</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1"/>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防疫要求：基于疫情防控形势，授权委托人须通过“广州净水公司”微信公众号（提前）预约，填写访客预约信息（包括：1.近14天内行程有异地中高风险地区及所在的地级市（、盟、州、直辖市的区）旅居史的来（返）穗人员拒绝来访；2.近14天行程内有异地本土疫情报告的地级市（、盟、州、直辖市的区）旅居史的来（返）穗人员拒绝来访3.近14天行程内有省外来（返）穗人员应持有抵穗后来访前三天的两次核酸检测证明，即“三天两检”（每次至少间隔24小时）4.如确需工作需要来访，应持有抵穗后来访前24小时内的核酸检测证明）。待被访部室审核员审批通过后，凭访客手机生成的“通行访客码”通行。于门岗处测温并扫码填写调查问卷，手机显示问卷“提交成功”后方可进入厂区。如以快递形式递交响应文件，须在递交截止时间前送达，不参加见证报价开启程序的报价单位视其认可所有报价</w:t>
      </w:r>
    </w:p>
    <w:p>
      <w:pPr>
        <w:pStyle w:val="21"/>
        <w:ind w:firstLine="560" w:firstLineChars="200"/>
        <w:rPr>
          <w:rFonts w:hint="default" w:ascii="仿宋_GB2312" w:eastAsia="仿宋_GB2312"/>
          <w:color w:val="auto"/>
          <w:sz w:val="28"/>
          <w:szCs w:val="28"/>
          <w:highlight w:val="none"/>
          <w:lang w:val="en-US" w:eastAsia="zh-CN"/>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38890467</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3"/>
        <w:rPr>
          <w:rFonts w:hint="eastAsia"/>
          <w:color w:val="auto"/>
          <w:highlight w:val="none"/>
        </w:rPr>
      </w:pPr>
      <w:bookmarkStart w:id="13" w:name="_Toc10891"/>
    </w:p>
    <w:p>
      <w:pPr>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3"/>
        <w:rPr>
          <w:rFonts w:hint="eastAsia"/>
          <w:color w:val="auto"/>
          <w:highlight w:val="none"/>
        </w:rPr>
      </w:pPr>
      <w:bookmarkStart w:id="14" w:name="_Toc7340"/>
      <w:bookmarkStart w:id="15" w:name="_Toc9448"/>
      <w:bookmarkStart w:id="16" w:name="_Toc16705"/>
      <w:bookmarkStart w:id="17" w:name="_Toc23749"/>
      <w:bookmarkStart w:id="18" w:name="_Toc32588"/>
      <w:bookmarkStart w:id="19" w:name="_Toc2331"/>
      <w:bookmarkStart w:id="20" w:name="_Toc25603"/>
      <w:bookmarkStart w:id="21" w:name="_Toc16557"/>
      <w:bookmarkStart w:id="22" w:name="_Toc19295"/>
      <w:bookmarkStart w:id="23" w:name="_Toc2324"/>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1"/>
        <w:ind w:left="0" w:leftChars="0" w:firstLine="0" w:firstLineChars="0"/>
        <w:rPr>
          <w:rFonts w:hint="eastAsia" w:asciiTheme="minorEastAsia" w:hAnsiTheme="minorEastAsia"/>
          <w:b/>
          <w:color w:val="auto"/>
          <w:sz w:val="32"/>
          <w:szCs w:val="32"/>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1"/>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1"/>
        <w:rPr>
          <w:color w:val="auto"/>
          <w:highlight w:val="none"/>
        </w:rPr>
      </w:pPr>
    </w:p>
    <w:p>
      <w:pPr>
        <w:pStyle w:val="21"/>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8"/>
        <w:rPr>
          <w:color w:val="auto"/>
          <w:highlight w:val="none"/>
        </w:rPr>
      </w:pPr>
    </w:p>
    <w:p>
      <w:pPr>
        <w:pStyle w:val="4"/>
        <w:rPr>
          <w:color w:val="auto"/>
          <w:highlight w:val="none"/>
        </w:rPr>
      </w:pPr>
      <w:bookmarkStart w:id="28" w:name="_Toc87616371"/>
      <w:bookmarkStart w:id="29" w:name="_Toc88209934"/>
      <w:bookmarkStart w:id="30" w:name="_Toc7303"/>
      <w:bookmarkStart w:id="31" w:name="_Toc7040"/>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4952"/>
      <w:bookmarkStart w:id="35" w:name="_Toc20594"/>
      <w:bookmarkStart w:id="36" w:name="_Toc14552"/>
      <w:bookmarkStart w:id="37" w:name="_Toc19759"/>
      <w:bookmarkStart w:id="38" w:name="_Toc3156"/>
      <w:bookmarkStart w:id="39" w:name="_Toc7437"/>
      <w:bookmarkStart w:id="40" w:name="_Toc23581"/>
      <w:bookmarkStart w:id="41" w:name="_Toc14870"/>
      <w:bookmarkStart w:id="42" w:name="_Toc7118"/>
      <w:bookmarkStart w:id="43" w:name="_Toc19050"/>
      <w:bookmarkStart w:id="44" w:name="_Toc1093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3"/>
        <w:rPr>
          <w:color w:val="auto"/>
          <w:highlight w:val="none"/>
        </w:rPr>
      </w:pPr>
      <w:bookmarkStart w:id="45" w:name="_Toc21079"/>
      <w:bookmarkStart w:id="46" w:name="_Toc87616378"/>
      <w:bookmarkStart w:id="47" w:name="_Toc29484"/>
      <w:bookmarkStart w:id="48" w:name="_Toc30530"/>
      <w:bookmarkStart w:id="49" w:name="_Toc6308"/>
      <w:bookmarkStart w:id="50" w:name="_Toc88209941"/>
      <w:bookmarkStart w:id="51" w:name="_Toc7831"/>
      <w:bookmarkStart w:id="52" w:name="_Toc32607"/>
      <w:bookmarkStart w:id="53" w:name="_Toc13898"/>
      <w:bookmarkStart w:id="54" w:name="_Toc12177"/>
      <w:bookmarkStart w:id="55" w:name="_Toc22212"/>
      <w:bookmarkStart w:id="56" w:name="_Toc21840"/>
      <w:bookmarkStart w:id="57" w:name="_Toc29345"/>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1"/>
        <w:rPr>
          <w:color w:val="auto"/>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3"/>
        <w:rPr>
          <w:rFonts w:hint="eastAsia"/>
          <w:color w:val="auto"/>
          <w:highlight w:val="none"/>
        </w:rPr>
      </w:pPr>
      <w:bookmarkStart w:id="60" w:name="_Toc88209947"/>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bookmarkEnd w:id="60"/>
    <w:p>
      <w:pPr>
        <w:pStyle w:val="4"/>
        <w:rPr>
          <w:color w:val="auto"/>
          <w:szCs w:val="44"/>
          <w:highlight w:val="none"/>
        </w:rPr>
      </w:pPr>
    </w:p>
    <w:p>
      <w:pPr>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pStyle w:val="21"/>
        <w:rPr>
          <w:color w:val="auto"/>
          <w:szCs w:val="44"/>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项目</w:t>
      </w:r>
      <w:r>
        <w:rPr>
          <w:rFonts w:hint="eastAsia" w:ascii="仿宋_GB2312" w:hAnsi="仿宋_GB2312" w:eastAsia="仿宋_GB2312" w:cs="仿宋_GB2312"/>
          <w:b/>
          <w:color w:val="auto"/>
          <w:sz w:val="28"/>
          <w:szCs w:val="28"/>
          <w:highlight w:val="none"/>
          <w:lang w:val="zh-CN"/>
        </w:rPr>
        <w:t>一：</w:t>
      </w:r>
    </w:p>
    <w:p>
      <w:pPr>
        <w:pStyle w:val="21"/>
        <w:rPr>
          <w:rFonts w:hint="default"/>
          <w:color w:val="auto"/>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1.技术参数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50"/>
        <w:gridCol w:w="6191"/>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noWrap w:val="0"/>
            <w:vAlign w:val="top"/>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689" w:type="pct"/>
            <w:noWrap w:val="0"/>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3416" w:type="pct"/>
            <w:noWrap w:val="0"/>
            <w:vAlign w:val="top"/>
          </w:tcPr>
          <w:p>
            <w:pPr>
              <w:spacing w:line="360" w:lineRule="auto"/>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技术参数</w:t>
            </w:r>
          </w:p>
        </w:tc>
        <w:tc>
          <w:tcPr>
            <w:tcW w:w="471"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89"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雕刻机床</w:t>
            </w:r>
          </w:p>
          <w:p>
            <w:pPr>
              <w:pStyle w:val="12"/>
              <w:rPr>
                <w:rFonts w:hint="eastAsia"/>
                <w:color w:val="auto"/>
                <w:highlight w:val="none"/>
                <w:lang w:val="en-US" w:eastAsia="zh-CN"/>
              </w:rPr>
            </w:pPr>
          </w:p>
        </w:tc>
        <w:tc>
          <w:tcPr>
            <w:tcW w:w="3416" w:type="pct"/>
            <w:noWrap w:val="0"/>
            <w:vAlign w:val="top"/>
          </w:tcPr>
          <w:tbl>
            <w:tblPr>
              <w:tblStyle w:val="22"/>
              <w:tblW w:w="5832" w:type="dxa"/>
              <w:tblInd w:w="-2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41"/>
              <w:gridCol w:w="2106"/>
              <w:gridCol w:w="2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型号</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1325以上</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可选/Optional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XY轴行程</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1300x2500mm</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&lt;2000x4000mm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乙轴行程</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200mm</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&lt;450mm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平台尺寸</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14800*3000mm</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最高进行速度</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25m/min</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装型式</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夹具 by suction</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真空吸附（柜门选用)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雕刻指令</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G代码*. u00* mmg*. plt</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软件运行环境</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windows98/2000/XP</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功率(不含主轴)</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1.5KW</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工作电压</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AC380V /50Hz</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主轴功率</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3(水冷)</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4.5/6(风冷)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主轴转速</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0-24000rpm/min</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工作方式</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步进/Stepper</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伺服/Servo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可切割材质</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木质板材/PVC/亚克力/有机玻璃/其他硬质碳化合物等</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仿宋" w:hAnsi="仿宋" w:eastAsia="仿宋" w:cs="仿宋"/>
                      <w:i w:val="0"/>
                      <w:iCs w:val="0"/>
                      <w:color w:val="auto"/>
                      <w:kern w:val="0"/>
                      <w:sz w:val="21"/>
                      <w:szCs w:val="21"/>
                      <w:highlight w:val="none"/>
                      <w:u w:val="none"/>
                      <w:lang w:val="en-US" w:eastAsia="zh-CN" w:bidi="ar"/>
                    </w:rPr>
                  </w:pPr>
                </w:p>
              </w:tc>
            </w:tr>
          </w:tbl>
          <w:p>
            <w:pPr>
              <w:pStyle w:val="12"/>
              <w:rPr>
                <w:rFonts w:hint="default"/>
                <w:color w:val="auto"/>
                <w:highlight w:val="none"/>
                <w:lang w:val="en-US" w:eastAsia="zh-CN"/>
              </w:rPr>
            </w:pPr>
          </w:p>
        </w:tc>
        <w:tc>
          <w:tcPr>
            <w:tcW w:w="471"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bl>
    <w:p>
      <w:pPr>
        <w:pStyle w:val="21"/>
        <w:numPr>
          <w:ilvl w:val="0"/>
          <w:numId w:val="0"/>
        </w:numPr>
        <w:rPr>
          <w:rFonts w:hint="default"/>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项目二：</w:t>
      </w:r>
    </w:p>
    <w:p>
      <w:pPr>
        <w:pStyle w:val="21"/>
        <w:rPr>
          <w:rFonts w:hint="default"/>
          <w:color w:val="auto"/>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1.技术参数</w:t>
      </w:r>
    </w:p>
    <w:tbl>
      <w:tblPr>
        <w:tblStyle w:val="23"/>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908"/>
        <w:gridCol w:w="1203"/>
        <w:gridCol w:w="3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67" w:type="dxa"/>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i w:val="0"/>
                <w:color w:val="auto"/>
                <w:kern w:val="0"/>
                <w:sz w:val="22"/>
                <w:szCs w:val="22"/>
                <w:highlight w:val="none"/>
                <w:u w:val="none"/>
                <w:lang w:val="en-US" w:eastAsia="zh-CN" w:bidi="ar"/>
              </w:rPr>
              <w:t>序号</w:t>
            </w:r>
          </w:p>
        </w:tc>
        <w:tc>
          <w:tcPr>
            <w:tcW w:w="1908" w:type="dxa"/>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i w:val="0"/>
                <w:color w:val="auto"/>
                <w:kern w:val="0"/>
                <w:sz w:val="22"/>
                <w:szCs w:val="22"/>
                <w:highlight w:val="none"/>
                <w:u w:val="none"/>
                <w:lang w:val="en-US" w:eastAsia="zh-CN" w:bidi="ar"/>
              </w:rPr>
              <w:t>设备名称</w:t>
            </w:r>
          </w:p>
        </w:tc>
        <w:tc>
          <w:tcPr>
            <w:tcW w:w="1203" w:type="dxa"/>
            <w:vAlign w:val="center"/>
          </w:tcPr>
          <w:p>
            <w:pPr>
              <w:jc w:val="center"/>
              <w:rPr>
                <w:rFonts w:hint="eastAsia" w:ascii="仿宋_GB2312" w:hAnsi="仿宋_GB2312" w:eastAsia="仿宋_GB2312" w:cs="仿宋_GB2312"/>
                <w:b/>
                <w:i w:val="0"/>
                <w:color w:val="auto"/>
                <w:kern w:val="0"/>
                <w:sz w:val="22"/>
                <w:szCs w:val="22"/>
                <w:highlight w:val="none"/>
                <w:u w:val="none"/>
                <w:lang w:val="en-US" w:eastAsia="zh-CN" w:bidi="ar"/>
              </w:rPr>
            </w:pPr>
            <w:r>
              <w:rPr>
                <w:rFonts w:hint="eastAsia" w:ascii="仿宋_GB2312" w:hAnsi="仿宋_GB2312" w:eastAsia="仿宋_GB2312" w:cs="仿宋_GB2312"/>
                <w:b/>
                <w:i w:val="0"/>
                <w:color w:val="auto"/>
                <w:kern w:val="0"/>
                <w:sz w:val="22"/>
                <w:szCs w:val="22"/>
                <w:highlight w:val="none"/>
                <w:u w:val="none"/>
                <w:lang w:val="en-US" w:eastAsia="zh-CN" w:bidi="ar"/>
              </w:rPr>
              <w:t>数量（台）</w:t>
            </w:r>
          </w:p>
        </w:tc>
        <w:tc>
          <w:tcPr>
            <w:tcW w:w="3841" w:type="dxa"/>
            <w:vAlign w:val="center"/>
          </w:tcPr>
          <w:p>
            <w:pPr>
              <w:jc w:val="center"/>
              <w:rPr>
                <w:rFonts w:hint="eastAsia" w:ascii="仿宋_GB2312" w:hAnsi="仿宋_GB2312" w:eastAsia="仿宋_GB2312" w:cs="仿宋_GB2312"/>
                <w:b/>
                <w:i w:val="0"/>
                <w:color w:val="auto"/>
                <w:kern w:val="0"/>
                <w:sz w:val="22"/>
                <w:szCs w:val="22"/>
                <w:highlight w:val="none"/>
                <w:u w:val="none"/>
                <w:lang w:val="en-US" w:eastAsia="zh-CN" w:bidi="ar"/>
              </w:rPr>
            </w:pPr>
            <w:r>
              <w:rPr>
                <w:rFonts w:hint="eastAsia" w:ascii="仿宋_GB2312" w:hAnsi="仿宋_GB2312" w:eastAsia="仿宋_GB2312" w:cs="仿宋_GB2312"/>
                <w:b/>
                <w:i w:val="0"/>
                <w:color w:val="auto"/>
                <w:kern w:val="0"/>
                <w:sz w:val="22"/>
                <w:szCs w:val="22"/>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6" w:hRule="atLeast"/>
          <w:jc w:val="center"/>
        </w:trPr>
        <w:tc>
          <w:tcPr>
            <w:tcW w:w="1067" w:type="dxa"/>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908"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螺杆式空气压缩机</w:t>
            </w:r>
          </w:p>
        </w:tc>
        <w:tc>
          <w:tcPr>
            <w:tcW w:w="1203"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841"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整机配备安装附件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067"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908"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冷冻式干燥机</w:t>
            </w:r>
          </w:p>
        </w:tc>
        <w:tc>
          <w:tcPr>
            <w:tcW w:w="1203"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841" w:type="dxa"/>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整机配备安装附件</w:t>
            </w:r>
          </w:p>
        </w:tc>
      </w:tr>
    </w:tbl>
    <w:p>
      <w:pPr>
        <w:pStyle w:val="13"/>
        <w:rPr>
          <w:rFonts w:hint="eastAsia" w:ascii="仿宋_GB2312" w:hAnsi="仿宋_GB2312" w:eastAsia="仿宋_GB2312" w:cs="仿宋_GB2312"/>
          <w:color w:val="auto"/>
          <w:highlight w:val="none"/>
          <w:lang w:val="en-US" w:eastAsia="zh-CN"/>
        </w:rPr>
      </w:pPr>
    </w:p>
    <w:p>
      <w:pPr>
        <w:pStyle w:val="13"/>
        <w:ind w:firstLine="560" w:firstLineChars="200"/>
        <w:rPr>
          <w:rFonts w:hint="eastAsia" w:ascii="仿宋_GB2312" w:hAnsi="仿宋_GB2312" w:eastAsia="仿宋_GB2312" w:cs="仿宋_GB2312"/>
          <w:b/>
          <w:bCs/>
          <w:color w:val="auto"/>
          <w:kern w:val="0"/>
          <w:sz w:val="28"/>
          <w:szCs w:val="28"/>
          <w:highlight w:val="none"/>
        </w:rPr>
      </w:pPr>
      <w:r>
        <w:rPr>
          <w:rFonts w:hint="eastAsia" w:ascii="仿宋_GB2312" w:hAnsi="仿宋_GB2312" w:eastAsia="仿宋_GB2312" w:cs="仿宋_GB2312"/>
          <w:color w:val="auto"/>
          <w:sz w:val="28"/>
          <w:szCs w:val="28"/>
          <w:highlight w:val="none"/>
          <w:lang w:val="en-US" w:eastAsia="zh-CN"/>
        </w:rPr>
        <w:t>供货时附带维修保养手册，使用说明书，设备生产合格证或厂家提供的产品合格证明。</w:t>
      </w:r>
      <w:r>
        <w:rPr>
          <w:rFonts w:hint="eastAsia" w:ascii="仿宋_GB2312" w:hAnsi="仿宋_GB2312" w:eastAsia="仿宋_GB2312" w:cs="仿宋_GB2312"/>
          <w:color w:val="auto"/>
          <w:sz w:val="28"/>
          <w:szCs w:val="28"/>
          <w:highlight w:val="none"/>
          <w:lang w:val="en-US" w:eastAsia="zh-CN"/>
        </w:rPr>
        <w:t>必须是全新合格产品，不需要对原有安装附件改动，能顺利安装适配至相关位置中，并能正常使用。</w:t>
      </w:r>
    </w:p>
    <w:p>
      <w:pPr>
        <w:rPr>
          <w:rFonts w:hint="eastAsia" w:ascii="仿宋_GB2312" w:hAnsi="仿宋_GB2312" w:eastAsia="仿宋_GB2312" w:cs="仿宋_GB2312"/>
          <w:b w:val="0"/>
          <w:bCs w:val="0"/>
          <w:color w:val="auto"/>
          <w:kern w:val="2"/>
          <w:sz w:val="21"/>
          <w:szCs w:val="22"/>
          <w:highlight w:val="none"/>
        </w:rPr>
      </w:pPr>
    </w:p>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bookmarkStart w:id="61" w:name="采购需求"/>
      <w:bookmarkEnd w:id="61"/>
      <w:r>
        <w:rPr>
          <w:rFonts w:hint="eastAsia" w:ascii="仿宋_GB2312" w:hAnsi="仿宋_GB2312" w:eastAsia="仿宋_GB2312" w:cs="仿宋_GB2312"/>
          <w:color w:val="auto"/>
          <w:sz w:val="28"/>
          <w:szCs w:val="28"/>
          <w:highlight w:val="none"/>
          <w:lang w:val="en-US" w:eastAsia="zh-CN"/>
        </w:rPr>
        <w:t>（1）空压机技术需求：</w:t>
      </w: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风冷型40度环境温度设计，满足全天候运行的要求。</w:t>
      </w:r>
    </w:p>
    <w:p>
      <w:pPr>
        <w:pStyle w:val="2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一体化主机，内置双层圆锥滚柱轴承设计</w:t>
      </w: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308V/3pH/50hz,IEC标准设计，IP23 ODP三相感应电机</w:t>
      </w: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自动启/停控制、恒速运行控制器，继电器控制器。</w:t>
      </w: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驱动方式：皮带驱动</w:t>
      </w: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冷热室隔离设计</w:t>
      </w:r>
    </w:p>
    <w:p>
      <w:pPr>
        <w:pStyle w:val="21"/>
        <w:ind w:firstLine="56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机组尺寸（mm）含底座：≤L826* 759W*782H</w:t>
      </w: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空压机性能参数：</w:t>
      </w:r>
    </w:p>
    <w:tbl>
      <w:tblPr>
        <w:tblStyle w:val="22"/>
        <w:tblW w:w="8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设备</w:t>
            </w:r>
            <w:r>
              <w:rPr>
                <w:rFonts w:hint="eastAsia" w:ascii="仿宋_GB2312" w:hAnsi="仿宋_GB2312" w:eastAsia="仿宋_GB2312" w:cs="仿宋_GB2312"/>
                <w:color w:val="auto"/>
                <w:sz w:val="28"/>
                <w:szCs w:val="28"/>
                <w:highlight w:val="none"/>
              </w:rPr>
              <w:t>名称</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螺杆式空气压缩机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数量</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功率（KW）</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气量（m³/min）</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电压（V）</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额定压力(bar(g))</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10</w:t>
            </w:r>
          </w:p>
        </w:tc>
      </w:tr>
    </w:tbl>
    <w:p>
      <w:pPr>
        <w:pStyle w:val="21"/>
        <w:ind w:firstLine="0"/>
        <w:rPr>
          <w:rFonts w:hint="eastAsia" w:ascii="仿宋_GB2312" w:hAnsi="仿宋_GB2312" w:eastAsia="仿宋_GB2312" w:cs="仿宋_GB2312"/>
          <w:color w:val="auto"/>
          <w:sz w:val="28"/>
          <w:szCs w:val="28"/>
          <w:highlight w:val="none"/>
          <w:lang w:val="en-US" w:eastAsia="zh-CN"/>
        </w:rPr>
      </w:pPr>
    </w:p>
    <w:p>
      <w:pPr>
        <w:pStyle w:val="21"/>
        <w:ind w:firstLine="560" w:firstLineChars="200"/>
        <w:rPr>
          <w:rFonts w:hint="eastAsia" w:ascii="仿宋_GB2312" w:hAnsi="仿宋_GB2312" w:eastAsia="仿宋_GB2312" w:cs="仿宋_GB2312"/>
          <w:color w:val="auto"/>
          <w:sz w:val="28"/>
          <w:szCs w:val="28"/>
          <w:highlight w:val="none"/>
          <w:lang w:val="en-US" w:eastAsia="zh-CN"/>
        </w:rPr>
      </w:pPr>
    </w:p>
    <w:p>
      <w:pPr>
        <w:pStyle w:val="12"/>
        <w:ind w:firstLine="480" w:firstLineChars="200"/>
        <w:rPr>
          <w:rFonts w:hint="eastAsia" w:ascii="仿宋_GB2312" w:hAnsi="仿宋_GB2312" w:eastAsia="仿宋_GB2312" w:cs="仿宋_GB2312"/>
          <w:color w:val="auto"/>
          <w:highlight w:val="none"/>
          <w:lang w:val="en-US" w:eastAsia="zh-CN"/>
        </w:rPr>
      </w:pPr>
    </w:p>
    <w:p>
      <w:pPr>
        <w:pStyle w:val="12"/>
        <w:rPr>
          <w:rFonts w:hint="eastAsia" w:ascii="仿宋_GB2312" w:hAnsi="仿宋_GB2312" w:eastAsia="仿宋_GB2312" w:cs="仿宋_GB2312"/>
          <w:color w:val="auto"/>
          <w:highlight w:val="none"/>
        </w:rPr>
      </w:pPr>
    </w:p>
    <w:p>
      <w:pPr>
        <w:rPr>
          <w:rFonts w:hint="eastAsia" w:ascii="仿宋_GB2312" w:hAnsi="仿宋_GB2312" w:eastAsia="仿宋_GB2312" w:cs="仿宋_GB2312"/>
          <w:b/>
          <w:color w:val="auto"/>
          <w:sz w:val="28"/>
          <w:szCs w:val="28"/>
          <w:highlight w:val="none"/>
          <w:lang w:val="en-US" w:eastAsia="zh-CN"/>
        </w:rPr>
      </w:pPr>
    </w:p>
    <w:p>
      <w:pPr>
        <w:pStyle w:val="21"/>
        <w:rPr>
          <w:rFonts w:hint="eastAsia" w:ascii="仿宋_GB2312" w:hAnsi="仿宋_GB2312" w:eastAsia="仿宋_GB2312" w:cs="仿宋_GB2312"/>
          <w:color w:val="auto"/>
          <w:highlight w:val="none"/>
          <w:lang w:val="en-US" w:eastAsia="zh-CN"/>
        </w:rPr>
      </w:pPr>
    </w:p>
    <w:p>
      <w:pPr>
        <w:pStyle w:val="13"/>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螺杆式空压机尺寸:</w:t>
      </w:r>
    </w:p>
    <w:p>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drawing>
          <wp:inline distT="0" distB="0" distL="114300" distR="114300">
            <wp:extent cx="5595620" cy="3522345"/>
            <wp:effectExtent l="0" t="0" r="5080" b="1905"/>
            <wp:docPr id="32" name="图片 32" descr="9e5efb4558a53b87a3865dd4fd40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e5efb4558a53b87a3865dd4fd409b6"/>
                    <pic:cNvPicPr>
                      <a:picLocks noChangeAspect="1"/>
                    </pic:cNvPicPr>
                  </pic:nvPicPr>
                  <pic:blipFill>
                    <a:blip r:embed="rId9"/>
                    <a:stretch>
                      <a:fillRect/>
                    </a:stretch>
                  </pic:blipFill>
                  <pic:spPr>
                    <a:xfrm>
                      <a:off x="0" y="0"/>
                      <a:ext cx="5595620" cy="3522345"/>
                    </a:xfrm>
                    <a:prstGeom prst="rect">
                      <a:avLst/>
                    </a:prstGeom>
                  </pic:spPr>
                </pic:pic>
              </a:graphicData>
            </a:graphic>
          </wp:inline>
        </w:drawing>
      </w:r>
    </w:p>
    <w:p>
      <w:pPr>
        <w:rPr>
          <w:rFonts w:hint="eastAsia" w:ascii="仿宋_GB2312" w:hAnsi="仿宋_GB2312" w:eastAsia="仿宋_GB2312" w:cs="仿宋_GB2312"/>
          <w:color w:val="auto"/>
          <w:highlight w:val="none"/>
          <w:lang w:val="en-US" w:eastAsia="zh-CN"/>
        </w:rPr>
      </w:pPr>
    </w:p>
    <w:p>
      <w:pPr>
        <w:pStyle w:val="13"/>
        <w:rPr>
          <w:rFonts w:hint="eastAsia" w:ascii="仿宋_GB2312" w:hAnsi="仿宋_GB2312" w:eastAsia="仿宋_GB2312" w:cs="仿宋_GB2312"/>
          <w:color w:val="auto"/>
          <w:highlight w:val="none"/>
          <w:lang w:val="en-US" w:eastAsia="zh-CN"/>
        </w:rPr>
      </w:pPr>
    </w:p>
    <w:p>
      <w:pPr>
        <w:pStyle w:val="21"/>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（2）冷冻式干燥机性能参数：</w:t>
      </w:r>
    </w:p>
    <w:tbl>
      <w:tblPr>
        <w:tblStyle w:val="22"/>
        <w:tblpPr w:leftFromText="180" w:rightFromText="180" w:vertAnchor="text" w:horzAnchor="page" w:tblpX="1886" w:tblpY="228"/>
        <w:tblOverlap w:val="never"/>
        <w:tblW w:w="8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设备</w:t>
            </w:r>
            <w:r>
              <w:rPr>
                <w:rFonts w:hint="eastAsia" w:ascii="仿宋_GB2312" w:hAnsi="仿宋_GB2312" w:eastAsia="仿宋_GB2312" w:cs="仿宋_GB2312"/>
                <w:color w:val="auto"/>
                <w:sz w:val="28"/>
                <w:szCs w:val="28"/>
                <w:highlight w:val="none"/>
              </w:rPr>
              <w:t>名称</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冷冻式干燥机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数量</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rPr>
            </w:pPr>
            <w:r>
              <w:rPr>
                <w:rFonts w:hint="eastAsia" w:ascii="仿宋_GB2312" w:hAnsi="仿宋_GB2312" w:eastAsia="仿宋_GB2312" w:cs="仿宋_GB2312"/>
                <w:color w:val="auto"/>
                <w:sz w:val="28"/>
                <w:szCs w:val="28"/>
                <w:highlight w:val="none"/>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0" w:firstLineChars="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公称进口容积流量(m³/min)</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压力露点（℃）</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额定电压（V）</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额定工作压力（Mpa）</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0.6-1.0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1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外形尺寸</w:t>
            </w:r>
          </w:p>
        </w:tc>
        <w:tc>
          <w:tcPr>
            <w:tcW w:w="4320" w:type="dxa"/>
            <w:vAlign w:val="center"/>
          </w:tcPr>
          <w:p>
            <w:pPr>
              <w:spacing w:line="360" w:lineRule="auto"/>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≤L680*W440*H720</w:t>
            </w:r>
          </w:p>
        </w:tc>
      </w:tr>
    </w:tbl>
    <w:p>
      <w:pPr>
        <w:pStyle w:val="21"/>
        <w:rPr>
          <w:rFonts w:hint="eastAsia" w:ascii="仿宋" w:hAnsi="仿宋" w:eastAsia="仿宋" w:cs="仿宋"/>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b/>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项目三：</w:t>
      </w:r>
    </w:p>
    <w:p>
      <w:pPr>
        <w:pStyle w:val="21"/>
        <w:rPr>
          <w:rFonts w:hint="default"/>
          <w:b w:val="0"/>
          <w:bCs/>
          <w:color w:val="auto"/>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1、技术参数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98"/>
        <w:gridCol w:w="604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top"/>
          </w:tcPr>
          <w:p>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立钻钻床</w:t>
            </w:r>
            <w:r>
              <w:rPr>
                <w:rFonts w:hint="eastAsia" w:ascii="仿宋_GB2312" w:hAnsi="仿宋_GB2312" w:eastAsia="仿宋_GB2312" w:cs="仿宋_GB2312"/>
                <w:color w:val="auto"/>
                <w:sz w:val="24"/>
                <w:szCs w:val="24"/>
                <w:highlight w:val="none"/>
                <w:lang w:val="en-US" w:eastAsia="zh-CN"/>
              </w:rPr>
              <w:t>设备技术参数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2" w:type="pct"/>
            <w:noWrap w:val="0"/>
            <w:vAlign w:val="top"/>
          </w:tcPr>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71" w:type="pct"/>
            <w:noWrap w:val="0"/>
            <w:vAlign w:val="top"/>
          </w:tcPr>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设备名称</w:t>
            </w:r>
          </w:p>
        </w:tc>
        <w:tc>
          <w:tcPr>
            <w:tcW w:w="3334" w:type="pct"/>
            <w:noWrap w:val="0"/>
            <w:vAlign w:val="top"/>
          </w:tcPr>
          <w:p>
            <w:pPr>
              <w:spacing w:line="360" w:lineRule="auto"/>
              <w:jc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技术参数</w:t>
            </w:r>
          </w:p>
        </w:tc>
        <w:tc>
          <w:tcPr>
            <w:tcW w:w="471" w:type="pct"/>
            <w:noWrap w:val="0"/>
            <w:vAlign w:val="top"/>
          </w:tcPr>
          <w:p>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top"/>
          </w:tcPr>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71" w:type="pct"/>
            <w:noWrap w:val="0"/>
            <w:vAlign w:val="top"/>
          </w:tcPr>
          <w:p>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立钻钻床</w:t>
            </w:r>
          </w:p>
        </w:tc>
        <w:tc>
          <w:tcPr>
            <w:tcW w:w="3334" w:type="pct"/>
            <w:noWrap w:val="0"/>
            <w:vAlign w:val="top"/>
          </w:tcPr>
          <w:tbl>
            <w:tblPr>
              <w:tblStyle w:val="22"/>
              <w:tblW w:w="11673" w:type="dxa"/>
              <w:tblInd w:w="-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
            <w:tblGrid>
              <w:gridCol w:w="2634"/>
              <w:gridCol w:w="1285"/>
              <w:gridCol w:w="7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lang w:val="en-US" w:eastAsia="zh-CN"/>
                    </w:rPr>
                    <w:t>最大</w:t>
                  </w:r>
                  <w:r>
                    <w:rPr>
                      <w:rFonts w:hint="eastAsia" w:ascii="仿宋_GB2312" w:hAnsi="仿宋_GB2312" w:eastAsia="仿宋_GB2312" w:cs="仿宋_GB2312"/>
                      <w:b/>
                      <w:bCs/>
                      <w:i w:val="0"/>
                      <w:iCs w:val="0"/>
                      <w:caps w:val="0"/>
                      <w:color w:val="auto"/>
                      <w:spacing w:val="0"/>
                      <w:sz w:val="21"/>
                      <w:szCs w:val="21"/>
                      <w:highlight w:val="none"/>
                    </w:rPr>
                    <w:t>钻孔直径</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lang w:val="en-US" w:eastAsia="zh-CN"/>
                    </w:rPr>
                    <w:t>40-</w:t>
                  </w:r>
                  <w:r>
                    <w:rPr>
                      <w:rFonts w:hint="eastAsia" w:ascii="仿宋_GB2312" w:hAnsi="仿宋_GB2312" w:eastAsia="仿宋_GB2312" w:cs="仿宋_GB2312"/>
                      <w:b/>
                      <w:bCs/>
                      <w:i w:val="0"/>
                      <w:iCs w:val="0"/>
                      <w:caps w:val="0"/>
                      <w:color w:val="auto"/>
                      <w:spacing w:val="0"/>
                      <w:sz w:val="21"/>
                      <w:szCs w:val="21"/>
                      <w:highlight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主轴孔锥度</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mores.no</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主轴行程</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主轴箱行程</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主轴转速范围</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r/min</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31.5-1400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主轴转速级数</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step</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主轴进给量范围</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mm/r</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0.056-1.80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主轴进给量级数</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step</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主轴端面至工作台面距离</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工作台行程</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工作台尺寸</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560×480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立柱导轨面至主轴中心距离</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主轴最大扭矩</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nm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主轴最大进给抗力</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n</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16000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主电机功率</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kw</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机床重量</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kg</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1250/1560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2634"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机床轮廓尺寸</w:t>
                  </w:r>
                </w:p>
              </w:tc>
              <w:tc>
                <w:tcPr>
                  <w:tcW w:w="1285"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mm</w:t>
                  </w:r>
                </w:p>
              </w:tc>
              <w:tc>
                <w:tcPr>
                  <w:tcW w:w="775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i w:val="0"/>
                      <w:iCs w:val="0"/>
                      <w:caps w:val="0"/>
                      <w:color w:val="auto"/>
                      <w:spacing w:val="0"/>
                      <w:sz w:val="21"/>
                      <w:szCs w:val="21"/>
                      <w:highlight w:val="none"/>
                    </w:rPr>
                    <w:t>1090×900×2530</w:t>
                  </w:r>
                </w:p>
              </w:tc>
            </w:tr>
          </w:tbl>
          <w:p>
            <w:pPr>
              <w:pStyle w:val="12"/>
              <w:rPr>
                <w:rFonts w:hint="eastAsia" w:ascii="仿宋_GB2312" w:hAnsi="仿宋_GB2312" w:eastAsia="仿宋_GB2312" w:cs="仿宋_GB2312"/>
                <w:color w:val="auto"/>
                <w:highlight w:val="none"/>
                <w:lang w:val="en-US" w:eastAsia="zh-CN"/>
              </w:rPr>
            </w:pPr>
          </w:p>
        </w:tc>
        <w:tc>
          <w:tcPr>
            <w:tcW w:w="471" w:type="pct"/>
            <w:noWrap w:val="0"/>
            <w:vAlign w:val="top"/>
          </w:tcPr>
          <w:p>
            <w:pPr>
              <w:spacing w:line="360" w:lineRule="auto"/>
              <w:jc w:val="center"/>
              <w:rPr>
                <w:rFonts w:hint="eastAsia" w:ascii="仿宋_GB2312" w:hAnsi="仿宋_GB2312" w:eastAsia="仿宋_GB2312" w:cs="仿宋_GB2312"/>
                <w:color w:val="auto"/>
                <w:sz w:val="24"/>
                <w:szCs w:val="24"/>
                <w:highlight w:val="none"/>
              </w:rPr>
            </w:pPr>
          </w:p>
        </w:tc>
      </w:tr>
    </w:tbl>
    <w:p>
      <w:pPr>
        <w:pStyle w:val="12"/>
        <w:rPr>
          <w:rFonts w:hint="eastAsia"/>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b/>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项目四：</w:t>
      </w:r>
    </w:p>
    <w:p>
      <w:pPr>
        <w:pStyle w:val="21"/>
        <w:rPr>
          <w:rFonts w:hint="default"/>
          <w:color w:val="auto"/>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1.技术参数</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369"/>
        <w:gridCol w:w="5897"/>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noWrap w:val="0"/>
            <w:vAlign w:val="top"/>
          </w:tcPr>
          <w:p>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对中仪</w:t>
            </w:r>
            <w:r>
              <w:rPr>
                <w:rFonts w:hint="eastAsia" w:ascii="仿宋_GB2312" w:hAnsi="仿宋_GB2312" w:eastAsia="仿宋_GB2312" w:cs="仿宋_GB2312"/>
                <w:color w:val="auto"/>
                <w:sz w:val="24"/>
                <w:szCs w:val="24"/>
                <w:highlight w:val="none"/>
                <w:lang w:val="en-US" w:eastAsia="zh-CN"/>
              </w:rPr>
              <w:t>设备技术参数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noWrap w:val="0"/>
            <w:vAlign w:val="top"/>
          </w:tcPr>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56" w:type="pct"/>
            <w:noWrap w:val="0"/>
            <w:vAlign w:val="top"/>
          </w:tcPr>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设备名称</w:t>
            </w:r>
          </w:p>
        </w:tc>
        <w:tc>
          <w:tcPr>
            <w:tcW w:w="3256" w:type="pct"/>
            <w:noWrap w:val="0"/>
            <w:vAlign w:val="top"/>
          </w:tcPr>
          <w:p>
            <w:pPr>
              <w:spacing w:line="360" w:lineRule="auto"/>
              <w:jc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技术参数</w:t>
            </w:r>
          </w:p>
        </w:tc>
        <w:tc>
          <w:tcPr>
            <w:tcW w:w="501" w:type="pct"/>
            <w:noWrap w:val="0"/>
            <w:vAlign w:val="top"/>
          </w:tcPr>
          <w:p>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noWrap w:val="0"/>
            <w:vAlign w:val="top"/>
          </w:tcPr>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56" w:type="pct"/>
            <w:noWrap w:val="0"/>
            <w:vAlign w:val="top"/>
          </w:tcPr>
          <w:p>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对中仪</w:t>
            </w:r>
          </w:p>
        </w:tc>
        <w:tc>
          <w:tcPr>
            <w:tcW w:w="3256" w:type="pct"/>
            <w:noWrap w:val="0"/>
            <w:vAlign w:val="top"/>
          </w:tcPr>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参考型号：TKSA7或TKSA71/PRO。</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传感器和通信：20mm（0.8in.）线激光等级为2。倾角仪±0.1°；蓝牙4.0LE”。</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系统测量距离：0.04至10m（0.13至32.8ft.）。</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测量误差/显示分辨率：＜1%±10μm/10μm（0.1mil）</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续航时间和充电：约8小时，可充电锂电池，无线充电10分钟可使用1小时。</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测量单元的尺寸/重量：52×64×33mm（2.1×2.5×1.3in.）/130g（4.6oz.）。</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操作设备：推荐TKSA DISPLAY、Galaxy Tab Active和iPad mini，也可使用iPad三代、iPod touch五代、iphone4S、Galaxy S4或更高版本产品（不限于此）。</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软件/APP升级：在Apple AppStore或Google Play Store上进行。</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操作系统要求：Apple IOS 9或安卓OS 4.4.2（以及更高）。</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对中应用：水平轴对中、垂直轴对中、软脚、调距轴对中、数值、阵列机组轴对中。</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对中方式：三点测量（9-12-3）、自由测量（最小总旋转角为40°）、自动测量、振动干扰补偿、目标对中值。</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动态对中纠正：垂直和水平机位校准。</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额外特性：对中测量指导、3D动态视图、屏幕方向翻转、自动生成的PDF报告。</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轴径：直径为20至150mm（0.8至5.9in），选用延长链时直径最大为450mm（17.7in.）。</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推荐的联轴器最大高度：使用标准杆最大可达45mm（1.8in.），使用延长杆最大可达120mm（4.7in.）。</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防护等级：IP67。</w:t>
            </w:r>
          </w:p>
          <w:p>
            <w:pPr>
              <w:pStyle w:val="1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总重量（包括仪器箱）：TKSA71：3.9kg（8.6lb），TKSA71/PRO:12.5kg（27.6lb）。</w:t>
            </w:r>
          </w:p>
        </w:tc>
        <w:tc>
          <w:tcPr>
            <w:tcW w:w="501" w:type="pct"/>
            <w:noWrap w:val="0"/>
            <w:vAlign w:val="top"/>
          </w:tcPr>
          <w:p>
            <w:pPr>
              <w:spacing w:line="360" w:lineRule="auto"/>
              <w:jc w:val="center"/>
              <w:rPr>
                <w:rFonts w:hint="eastAsia" w:ascii="仿宋_GB2312" w:hAnsi="仿宋_GB2312" w:eastAsia="仿宋_GB2312" w:cs="仿宋_GB2312"/>
                <w:color w:val="auto"/>
                <w:sz w:val="24"/>
                <w:szCs w:val="24"/>
                <w:highlight w:val="none"/>
              </w:rPr>
            </w:pPr>
          </w:p>
        </w:tc>
      </w:tr>
    </w:tbl>
    <w:p>
      <w:pPr>
        <w:pStyle w:val="12"/>
        <w:rPr>
          <w:rFonts w:hint="eastAsia" w:ascii="仿宋_GB2312" w:hAnsi="仿宋_GB2312" w:eastAsia="仿宋_GB2312" w:cs="仿宋_GB2312"/>
          <w:color w:val="auto"/>
          <w:highlight w:val="none"/>
          <w:lang w:val="en-US" w:eastAsia="zh-CN"/>
        </w:rPr>
      </w:pPr>
    </w:p>
    <w:p>
      <w:pPr>
        <w:pStyle w:val="12"/>
        <w:rPr>
          <w:rFonts w:hint="eastAsia" w:ascii="仿宋_GB2312" w:hAnsi="仿宋_GB2312" w:eastAsia="仿宋_GB2312" w:cs="仿宋_GB2312"/>
          <w:b/>
          <w:color w:val="auto"/>
          <w:kern w:val="2"/>
          <w:sz w:val="28"/>
          <w:szCs w:val="28"/>
          <w:highlight w:val="none"/>
          <w:lang w:val="en-US" w:eastAsia="zh-CN" w:bidi="ar-SA"/>
        </w:rPr>
      </w:pPr>
    </w:p>
    <w:p>
      <w:pPr>
        <w:pStyle w:val="12"/>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项目五：</w:t>
      </w:r>
    </w:p>
    <w:p>
      <w:pPr>
        <w:pStyle w:val="11"/>
        <w:numPr>
          <w:ilvl w:val="0"/>
          <w:numId w:val="0"/>
        </w:numPr>
        <w:adjustRightInd w:val="0"/>
        <w:snapToGrid w:val="0"/>
        <w:spacing w:line="300" w:lineRule="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1.采购清单</w:t>
      </w:r>
    </w:p>
    <w:tbl>
      <w:tblPr>
        <w:tblStyle w:val="22"/>
        <w:tblW w:w="88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56"/>
        <w:gridCol w:w="1165"/>
        <w:gridCol w:w="3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0" w:hRule="atLeast"/>
        </w:trPr>
        <w:tc>
          <w:tcPr>
            <w:tcW w:w="395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2"/>
                <w:szCs w:val="22"/>
                <w:highlight w:val="none"/>
                <w:u w:val="none"/>
              </w:rPr>
            </w:pPr>
            <w:r>
              <w:rPr>
                <w:rFonts w:hint="eastAsia" w:ascii="仿宋" w:hAnsi="仿宋" w:eastAsia="仿宋" w:cs="仿宋"/>
                <w:b/>
                <w:i w:val="0"/>
                <w:color w:val="auto"/>
                <w:kern w:val="0"/>
                <w:sz w:val="22"/>
                <w:szCs w:val="22"/>
                <w:highlight w:val="none"/>
                <w:u w:val="none"/>
                <w:lang w:val="en-US" w:eastAsia="zh-CN" w:bidi="ar"/>
              </w:rPr>
              <w:t>设备名称</w:t>
            </w:r>
          </w:p>
        </w:tc>
        <w:tc>
          <w:tcPr>
            <w:tcW w:w="116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2"/>
                <w:szCs w:val="22"/>
                <w:highlight w:val="none"/>
                <w:u w:val="none"/>
              </w:rPr>
            </w:pPr>
            <w:r>
              <w:rPr>
                <w:rFonts w:hint="eastAsia" w:ascii="仿宋" w:hAnsi="仿宋" w:eastAsia="仿宋" w:cs="仿宋"/>
                <w:b/>
                <w:i w:val="0"/>
                <w:color w:val="auto"/>
                <w:kern w:val="0"/>
                <w:sz w:val="22"/>
                <w:szCs w:val="22"/>
                <w:highlight w:val="none"/>
                <w:u w:val="none"/>
                <w:lang w:val="en-US" w:eastAsia="zh-CN" w:bidi="ar"/>
              </w:rPr>
              <w:t>数量</w:t>
            </w:r>
          </w:p>
        </w:tc>
        <w:tc>
          <w:tcPr>
            <w:tcW w:w="369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i w:val="0"/>
                <w:color w:val="auto"/>
                <w:kern w:val="0"/>
                <w:sz w:val="22"/>
                <w:szCs w:val="22"/>
                <w:highlight w:val="none"/>
                <w:u w:val="none"/>
                <w:lang w:val="en-US" w:eastAsia="zh-CN" w:bidi="ar"/>
              </w:rPr>
            </w:pPr>
            <w:r>
              <w:rPr>
                <w:rFonts w:hint="eastAsia" w:ascii="仿宋" w:hAnsi="仿宋" w:eastAsia="仿宋" w:cs="仿宋"/>
                <w:b/>
                <w:i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rPr>
        <w:tc>
          <w:tcPr>
            <w:tcW w:w="395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_GB2312"/>
                <w:b/>
                <w:color w:val="auto"/>
                <w:sz w:val="28"/>
                <w:szCs w:val="28"/>
                <w:highlight w:val="none"/>
                <w:u w:val="single"/>
                <w:lang w:val="en-US" w:eastAsia="zh-CN"/>
              </w:rPr>
            </w:pPr>
            <w:r>
              <w:rPr>
                <w:rFonts w:hint="eastAsia" w:ascii="仿宋" w:hAnsi="仿宋" w:eastAsia="仿宋" w:cs="仿宋_GB2312"/>
                <w:b/>
                <w:color w:val="auto"/>
                <w:sz w:val="28"/>
                <w:szCs w:val="28"/>
                <w:highlight w:val="none"/>
                <w:u w:val="single"/>
                <w:lang w:val="en-US" w:eastAsia="zh-CN"/>
              </w:rPr>
              <w:t>iDS MCD202-B/30X/I/5G/EX</w:t>
            </w:r>
          </w:p>
          <w:p>
            <w:pPr>
              <w:keepNext w:val="0"/>
              <w:keepLines w:val="0"/>
              <w:widowControl/>
              <w:suppressLineNumbers w:val="0"/>
              <w:jc w:val="center"/>
              <w:textAlignment w:val="center"/>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_GB2312"/>
                <w:b/>
                <w:color w:val="auto"/>
                <w:sz w:val="28"/>
                <w:szCs w:val="28"/>
                <w:highlight w:val="none"/>
                <w:u w:val="single"/>
                <w:lang w:val="en-US" w:eastAsia="zh-CN"/>
              </w:rPr>
              <w:t>移动式一体化防爆布控球</w:t>
            </w:r>
          </w:p>
        </w:tc>
        <w:tc>
          <w:tcPr>
            <w:tcW w:w="11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1台</w:t>
            </w:r>
          </w:p>
        </w:tc>
        <w:tc>
          <w:tcPr>
            <w:tcW w:w="36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摄像头含配件：摄像头、锂电充电器、专用便携箱、专用布控平板、专用三角支架</w:t>
            </w:r>
          </w:p>
        </w:tc>
      </w:tr>
    </w:tbl>
    <w:p>
      <w:pPr>
        <w:pStyle w:val="11"/>
        <w:numPr>
          <w:ilvl w:val="0"/>
          <w:numId w:val="0"/>
        </w:numPr>
        <w:adjustRightInd w:val="0"/>
        <w:snapToGrid w:val="0"/>
        <w:spacing w:line="300" w:lineRule="auto"/>
        <w:rPr>
          <w:rFonts w:hint="eastAsia" w:ascii="仿宋_GB2312" w:hAnsi="仿宋_GB2312" w:eastAsia="仿宋_GB2312" w:cs="仿宋_GB2312"/>
          <w:b w:val="0"/>
          <w:bCs/>
          <w:color w:val="auto"/>
          <w:sz w:val="28"/>
          <w:szCs w:val="28"/>
          <w:highlight w:val="none"/>
          <w:lang w:val="en-US" w:eastAsia="zh-CN"/>
        </w:rPr>
      </w:pPr>
    </w:p>
    <w:p>
      <w:pPr>
        <w:pStyle w:val="11"/>
        <w:numPr>
          <w:ilvl w:val="0"/>
          <w:numId w:val="0"/>
        </w:numPr>
        <w:adjustRightInd w:val="0"/>
        <w:snapToGrid w:val="0"/>
        <w:spacing w:line="300" w:lineRule="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2.使用要求：采购货物必须是全新、质量合格产品，出厂时间少于半年</w:t>
      </w:r>
      <w:r>
        <w:rPr>
          <w:rFonts w:hint="eastAsia" w:ascii="仿宋_GB2312" w:hAnsi="仿宋_GB2312" w:eastAsia="仿宋_GB2312" w:cs="仿宋_GB2312"/>
          <w:color w:val="auto"/>
          <w:sz w:val="28"/>
          <w:szCs w:val="28"/>
          <w:highlight w:val="none"/>
          <w:lang w:val="en-US" w:eastAsia="zh-CN"/>
        </w:rPr>
        <w:t>。</w:t>
      </w:r>
    </w:p>
    <w:p>
      <w:pPr>
        <w:pStyle w:val="11"/>
        <w:numPr>
          <w:ilvl w:val="0"/>
          <w:numId w:val="5"/>
        </w:numPr>
        <w:adjustRightInd w:val="0"/>
        <w:snapToGrid w:val="0"/>
        <w:spacing w:line="300" w:lineRule="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设备技术要求：</w:t>
      </w:r>
    </w:p>
    <w:p>
      <w:pPr>
        <w:widowControl w:val="0"/>
        <w:numPr>
          <w:ilvl w:val="0"/>
          <w:numId w:val="0"/>
        </w:numPr>
        <w:spacing w:line="360" w:lineRule="auto"/>
        <w:jc w:val="center"/>
        <w:rPr>
          <w:rFonts w:hint="eastAsia"/>
          <w:b/>
          <w:color w:val="auto"/>
          <w:highlight w:val="none"/>
          <w:lang w:val="en-US" w:eastAsia="zh-CN"/>
        </w:rPr>
      </w:pPr>
      <w:r>
        <w:rPr>
          <w:rFonts w:hint="eastAsia"/>
          <w:b/>
          <w:color w:val="auto"/>
          <w:highlight w:val="none"/>
          <w:lang w:val="en-US" w:eastAsia="zh-CN"/>
        </w:rPr>
        <w:drawing>
          <wp:inline distT="0" distB="0" distL="114300" distR="114300">
            <wp:extent cx="5870575" cy="5058410"/>
            <wp:effectExtent l="0" t="0" r="15875" b="8890"/>
            <wp:docPr id="34" name="图片 34" descr="技术参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技术参数1"/>
                    <pic:cNvPicPr>
                      <a:picLocks noChangeAspect="1"/>
                    </pic:cNvPicPr>
                  </pic:nvPicPr>
                  <pic:blipFill>
                    <a:blip r:embed="rId10"/>
                    <a:srcRect t="7897"/>
                    <a:stretch>
                      <a:fillRect/>
                    </a:stretch>
                  </pic:blipFill>
                  <pic:spPr>
                    <a:xfrm>
                      <a:off x="0" y="0"/>
                      <a:ext cx="5870575" cy="5058410"/>
                    </a:xfrm>
                    <a:prstGeom prst="rect">
                      <a:avLst/>
                    </a:prstGeom>
                  </pic:spPr>
                </pic:pic>
              </a:graphicData>
            </a:graphic>
          </wp:inline>
        </w:drawing>
      </w:r>
    </w:p>
    <w:p>
      <w:pPr>
        <w:pStyle w:val="13"/>
        <w:rPr>
          <w:rFonts w:hint="default"/>
          <w:color w:val="auto"/>
          <w:highlight w:val="none"/>
          <w:lang w:val="en-US" w:eastAsia="zh-CN"/>
        </w:rPr>
      </w:pPr>
      <w:r>
        <w:rPr>
          <w:rFonts w:hint="eastAsia"/>
          <w:b/>
          <w:color w:val="auto"/>
          <w:highlight w:val="none"/>
          <w:lang w:val="en-US" w:eastAsia="zh-CN"/>
        </w:rPr>
        <w:drawing>
          <wp:inline distT="0" distB="0" distL="114300" distR="114300">
            <wp:extent cx="5671185" cy="6391910"/>
            <wp:effectExtent l="0" t="0" r="5715" b="8890"/>
            <wp:docPr id="35" name="图片 35" descr="技术参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技术参数2"/>
                    <pic:cNvPicPr>
                      <a:picLocks noChangeAspect="1"/>
                    </pic:cNvPicPr>
                  </pic:nvPicPr>
                  <pic:blipFill>
                    <a:blip r:embed="rId11"/>
                    <a:stretch>
                      <a:fillRect/>
                    </a:stretch>
                  </pic:blipFill>
                  <pic:spPr>
                    <a:xfrm>
                      <a:off x="0" y="0"/>
                      <a:ext cx="5671185" cy="6391910"/>
                    </a:xfrm>
                    <a:prstGeom prst="rect">
                      <a:avLst/>
                    </a:prstGeom>
                  </pic:spPr>
                </pic:pic>
              </a:graphicData>
            </a:graphic>
          </wp:inline>
        </w:drawing>
      </w:r>
    </w:p>
    <w:p>
      <w:pPr>
        <w:pStyle w:val="12"/>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项目六：</w:t>
      </w:r>
    </w:p>
    <w:p>
      <w:pPr>
        <w:pStyle w:val="21"/>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1.技术参数</w:t>
      </w:r>
    </w:p>
    <w:tbl>
      <w:tblPr>
        <w:tblStyle w:val="22"/>
        <w:tblW w:w="51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98"/>
        <w:gridCol w:w="5701"/>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noWrap w:val="0"/>
            <w:vAlign w:val="top"/>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_GB2312" w:eastAsia="仿宋_GB2312"/>
                <w:color w:val="auto"/>
                <w:sz w:val="24"/>
                <w:szCs w:val="24"/>
                <w:highlight w:val="none"/>
                <w:lang w:val="en-US" w:eastAsia="zh-CN"/>
              </w:rPr>
              <w:t>立钻钻床</w:t>
            </w:r>
            <w:r>
              <w:rPr>
                <w:rFonts w:hint="eastAsia" w:ascii="仿宋" w:hAnsi="仿宋" w:eastAsia="仿宋" w:cs="仿宋"/>
                <w:color w:val="auto"/>
                <w:sz w:val="24"/>
                <w:szCs w:val="24"/>
                <w:highlight w:val="none"/>
                <w:lang w:val="en-US" w:eastAsia="zh-CN"/>
              </w:rPr>
              <w:t>设备技术参数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742" w:type="pct"/>
            <w:noWrap w:val="0"/>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3026" w:type="pct"/>
            <w:noWrap w:val="0"/>
            <w:vAlign w:val="top"/>
          </w:tcPr>
          <w:p>
            <w:pPr>
              <w:spacing w:line="360" w:lineRule="auto"/>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技术参数</w:t>
            </w:r>
          </w:p>
        </w:tc>
        <w:tc>
          <w:tcPr>
            <w:tcW w:w="825"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42" w:type="pct"/>
            <w:noWrap w:val="0"/>
            <w:vAlign w:val="top"/>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_GB2312" w:eastAsia="仿宋_GB2312"/>
                <w:color w:val="auto"/>
                <w:sz w:val="21"/>
                <w:szCs w:val="21"/>
                <w:highlight w:val="none"/>
                <w:lang w:val="en-US" w:eastAsia="zh-CN"/>
              </w:rPr>
              <w:t>吸尘清洁车</w:t>
            </w:r>
          </w:p>
        </w:tc>
        <w:tc>
          <w:tcPr>
            <w:tcW w:w="3026" w:type="pct"/>
            <w:noWrap w:val="0"/>
            <w:vAlign w:val="top"/>
          </w:tcPr>
          <w:tbl>
            <w:tblPr>
              <w:tblStyle w:val="22"/>
              <w:tblW w:w="11673" w:type="dxa"/>
              <w:tblInd w:w="-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
            <w:tblGrid>
              <w:gridCol w:w="1687"/>
              <w:gridCol w:w="1172"/>
              <w:gridCol w:w="8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项目</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刷盘宽度</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MM</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吸扒宽度</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MM</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清水箱容量</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L</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污水箱容量</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L</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吸水电机</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W</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工作时间</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小时</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清洁效率</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㎡/h</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default" w:ascii="仿宋" w:hAnsi="仿宋" w:eastAsia="仿宋" w:cs="仿宋"/>
                      <w:b/>
                      <w:bCs/>
                      <w:color w:val="auto"/>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4000以上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整机重量</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Style w:val="49"/>
                      <w:color w:val="auto"/>
                      <w:sz w:val="24"/>
                      <w:szCs w:val="24"/>
                      <w:highlight w:val="none"/>
                      <w:lang w:val="en-US" w:eastAsia="zh-CN" w:bidi="ar"/>
                    </w:rPr>
                    <w:t>KG</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刷盘电机</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W</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电瓶配置</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AH</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36V(6200ah)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87" w:type="dxa"/>
                  <w:tcBorders>
                    <w:top w:val="nil"/>
                    <w:left w:val="inset" w:color="CCCCCC" w:sz="6" w:space="0"/>
                    <w:bottom w:val="nil"/>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机器尺寸</w:t>
                  </w:r>
                </w:p>
              </w:tc>
              <w:tc>
                <w:tcPr>
                  <w:tcW w:w="1172" w:type="dxa"/>
                  <w:tcBorders>
                    <w:top w:val="nil"/>
                    <w:left w:val="nil"/>
                    <w:bottom w:val="nil"/>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MM</w:t>
                  </w:r>
                </w:p>
              </w:tc>
              <w:tc>
                <w:tcPr>
                  <w:tcW w:w="8814" w:type="dxa"/>
                  <w:tcBorders>
                    <w:top w:val="nil"/>
                    <w:left w:val="nil"/>
                    <w:bottom w:val="nil"/>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1780*1350*1400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0" w:type="dxa"/>
                  <w:bottom w:w="0" w:type="dxa"/>
                  <w:right w:w="0" w:type="dxa"/>
                </w:tblCellMar>
              </w:tblPrEx>
              <w:tc>
                <w:tcPr>
                  <w:tcW w:w="1687" w:type="dxa"/>
                  <w:tcBorders>
                    <w:top w:val="nil"/>
                    <w:left w:val="inset" w:color="CCCCCC" w:sz="6" w:space="0"/>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清洁配件</w:t>
                  </w:r>
                </w:p>
              </w:tc>
              <w:tc>
                <w:tcPr>
                  <w:tcW w:w="1172"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8814" w:type="dxa"/>
                  <w:tcBorders>
                    <w:top w:val="nil"/>
                    <w:left w:val="nil"/>
                    <w:bottom w:val="inset" w:color="CCCCCC" w:sz="6" w:space="0"/>
                    <w:right w:val="inset" w:color="CCCCCC" w:sz="6" w:space="0"/>
                  </w:tcBorders>
                  <w:shd w:val="clear" w:color="auto" w:fill="FFFFFF" w:themeFill="background1"/>
                  <w:tcMar>
                    <w:top w:w="45" w:type="dxa"/>
                    <w:bottom w:w="45" w:type="dxa"/>
                  </w:tcMar>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r>
          </w:tbl>
          <w:p>
            <w:pPr>
              <w:pStyle w:val="12"/>
              <w:rPr>
                <w:rFonts w:hint="default"/>
                <w:color w:val="auto"/>
                <w:highlight w:val="none"/>
                <w:lang w:val="en-US" w:eastAsia="zh-CN"/>
              </w:rPr>
            </w:pPr>
          </w:p>
        </w:tc>
        <w:tc>
          <w:tcPr>
            <w:tcW w:w="825" w:type="pct"/>
            <w:noWrap w:val="0"/>
            <w:vAlign w:val="top"/>
          </w:tcPr>
          <w:p>
            <w:pPr>
              <w:spacing w:line="360" w:lineRule="auto"/>
              <w:jc w:val="center"/>
              <w:rPr>
                <w:rFonts w:hint="eastAsia" w:ascii="仿宋" w:hAnsi="仿宋" w:eastAsia="仿宋" w:cs="仿宋"/>
                <w:color w:val="auto"/>
                <w:sz w:val="24"/>
                <w:szCs w:val="24"/>
                <w:highlight w:val="none"/>
              </w:rPr>
            </w:pPr>
          </w:p>
        </w:tc>
      </w:tr>
    </w:tbl>
    <w:p>
      <w:pPr>
        <w:pStyle w:val="12"/>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项目七：</w:t>
      </w:r>
    </w:p>
    <w:p>
      <w:pPr>
        <w:pStyle w:val="21"/>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1.技术参数</w:t>
      </w:r>
    </w:p>
    <w:tbl>
      <w:tblPr>
        <w:tblStyle w:val="23"/>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697"/>
        <w:gridCol w:w="1058"/>
        <w:gridCol w:w="814"/>
        <w:gridCol w:w="828"/>
        <w:gridCol w:w="958"/>
        <w:gridCol w:w="871"/>
        <w:gridCol w:w="776"/>
        <w:gridCol w:w="1527"/>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序号</w:t>
            </w:r>
          </w:p>
        </w:tc>
        <w:tc>
          <w:tcPr>
            <w:tcW w:w="697"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分公司</w:t>
            </w:r>
          </w:p>
        </w:tc>
        <w:tc>
          <w:tcPr>
            <w:tcW w:w="1058"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货物</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名称</w:t>
            </w:r>
          </w:p>
        </w:tc>
        <w:tc>
          <w:tcPr>
            <w:tcW w:w="814" w:type="dxa"/>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流量</w:t>
            </w:r>
          </w:p>
        </w:tc>
        <w:tc>
          <w:tcPr>
            <w:tcW w:w="828" w:type="dxa"/>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工作</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rPr>
              <w:t>压力</w:t>
            </w:r>
          </w:p>
        </w:tc>
        <w:tc>
          <w:tcPr>
            <w:tcW w:w="958" w:type="dxa"/>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rPr>
              <w:t>电压</w:t>
            </w:r>
          </w:p>
        </w:tc>
        <w:tc>
          <w:tcPr>
            <w:tcW w:w="871" w:type="dxa"/>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rPr>
              <w:t>功率</w:t>
            </w:r>
          </w:p>
        </w:tc>
        <w:tc>
          <w:tcPr>
            <w:tcW w:w="776" w:type="dxa"/>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rPr>
              <w:t>介质</w:t>
            </w:r>
          </w:p>
        </w:tc>
        <w:tc>
          <w:tcPr>
            <w:tcW w:w="1527"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val="en-US" w:eastAsia="zh-CN"/>
              </w:rPr>
              <w:t>动力</w:t>
            </w:r>
          </w:p>
        </w:tc>
        <w:tc>
          <w:tcPr>
            <w:tcW w:w="900"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数量（台）</w:t>
            </w:r>
          </w:p>
        </w:tc>
        <w:tc>
          <w:tcPr>
            <w:tcW w:w="900"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pStyle w:val="12"/>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1</w:t>
            </w:r>
          </w:p>
        </w:tc>
        <w:tc>
          <w:tcPr>
            <w:tcW w:w="697" w:type="dxa"/>
            <w:vAlign w:val="center"/>
          </w:tcPr>
          <w:p>
            <w:pPr>
              <w:pStyle w:val="12"/>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石井分公司</w:t>
            </w:r>
          </w:p>
        </w:tc>
        <w:tc>
          <w:tcPr>
            <w:tcW w:w="10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移动式高压疏通清洗机</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41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L/h</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bar</w:t>
            </w:r>
          </w:p>
        </w:tc>
        <w:tc>
          <w:tcPr>
            <w:tcW w:w="958" w:type="dxa"/>
            <w:vAlign w:val="center"/>
          </w:tcPr>
          <w:p>
            <w:pPr>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U=380V</w:t>
            </w:r>
          </w:p>
        </w:tc>
        <w:tc>
          <w:tcPr>
            <w:tcW w:w="871" w:type="dxa"/>
            <w:vAlign w:val="center"/>
          </w:tcPr>
          <w:p>
            <w:pPr>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15kW</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水</w:t>
            </w: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电机（插电）</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配套水管10米</w:t>
            </w:r>
          </w:p>
        </w:tc>
      </w:tr>
    </w:tbl>
    <w:p>
      <w:pPr>
        <w:pStyle w:val="21"/>
        <w:rPr>
          <w:rFonts w:hint="eastAsia" w:ascii="仿宋_GB2312" w:eastAsia="仿宋_GB2312"/>
          <w:color w:val="auto"/>
          <w:sz w:val="28"/>
          <w:szCs w:val="28"/>
          <w:highlight w:val="none"/>
        </w:rPr>
      </w:pPr>
      <w:r>
        <w:rPr>
          <w:rFonts w:hint="eastAsia" w:ascii="仿宋_GB2312" w:hAnsi="仿宋_GB2312" w:eastAsia="仿宋_GB2312" w:cs="仿宋_GB2312"/>
          <w:bCs/>
          <w:color w:val="auto"/>
          <w:sz w:val="28"/>
          <w:szCs w:val="28"/>
          <w:highlight w:val="none"/>
        </w:rPr>
        <w:t>报价人必须在报价明细表中列明所投货物的品牌、型号，如报价响应时无列明品牌，则中选后履行合同时须按照询价人指定的品牌、型号、技术参数及报价人的中选价进行供货，不予增加任何费用。</w:t>
      </w:r>
    </w:p>
    <w:p>
      <w:pPr>
        <w:pStyle w:val="12"/>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项目八：</w:t>
      </w:r>
    </w:p>
    <w:p>
      <w:pPr>
        <w:pStyle w:val="21"/>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1.技术参数</w:t>
      </w:r>
    </w:p>
    <w:tbl>
      <w:tblPr>
        <w:tblStyle w:val="50"/>
        <w:tblW w:w="9633" w:type="dxa"/>
        <w:tblInd w:w="1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2630"/>
        <w:gridCol w:w="3066"/>
        <w:gridCol w:w="30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853" w:type="dxa"/>
            <w:noWrap w:val="0"/>
            <w:vAlign w:val="top"/>
          </w:tcPr>
          <w:p>
            <w:pPr>
              <w:spacing w:before="156" w:line="204" w:lineRule="auto"/>
              <w:ind w:firstLine="195"/>
              <w:jc w:val="left"/>
              <w:rPr>
                <w:rFonts w:ascii="新宋体" w:hAnsi="新宋体" w:eastAsia="新宋体" w:cs="新宋体"/>
                <w:color w:val="auto"/>
                <w:sz w:val="24"/>
                <w:szCs w:val="24"/>
                <w:highlight w:val="none"/>
              </w:rPr>
            </w:pPr>
            <w:r>
              <w:rPr>
                <w:rFonts w:ascii="新宋体" w:hAnsi="新宋体" w:eastAsia="新宋体" w:cs="新宋体"/>
                <w:color w:val="auto"/>
                <w:spacing w:val="-4"/>
                <w:sz w:val="24"/>
                <w:szCs w:val="24"/>
                <w:highlight w:val="none"/>
              </w:rPr>
              <w:t>项次</w:t>
            </w:r>
          </w:p>
        </w:tc>
        <w:tc>
          <w:tcPr>
            <w:tcW w:w="2630" w:type="dxa"/>
            <w:noWrap w:val="0"/>
            <w:vAlign w:val="top"/>
          </w:tcPr>
          <w:p>
            <w:pPr>
              <w:spacing w:before="156" w:line="204" w:lineRule="auto"/>
              <w:ind w:firstLine="963"/>
              <w:jc w:val="left"/>
              <w:rPr>
                <w:rFonts w:ascii="新宋体" w:hAnsi="新宋体" w:eastAsia="新宋体" w:cs="新宋体"/>
                <w:color w:val="auto"/>
                <w:sz w:val="24"/>
                <w:szCs w:val="24"/>
                <w:highlight w:val="none"/>
              </w:rPr>
            </w:pPr>
            <w:r>
              <w:rPr>
                <w:rFonts w:ascii="新宋体" w:hAnsi="新宋体" w:eastAsia="新宋体" w:cs="新宋体"/>
                <w:color w:val="auto"/>
                <w:spacing w:val="-7"/>
                <w:sz w:val="24"/>
                <w:szCs w:val="24"/>
                <w:highlight w:val="none"/>
              </w:rPr>
              <w:t>项</w:t>
            </w:r>
            <w:r>
              <w:rPr>
                <w:rFonts w:ascii="新宋体" w:hAnsi="新宋体" w:eastAsia="新宋体" w:cs="新宋体"/>
                <w:color w:val="auto"/>
                <w:spacing w:val="27"/>
                <w:sz w:val="24"/>
                <w:szCs w:val="24"/>
                <w:highlight w:val="none"/>
              </w:rPr>
              <w:t xml:space="preserve">  </w:t>
            </w:r>
            <w:r>
              <w:rPr>
                <w:rFonts w:ascii="新宋体" w:hAnsi="新宋体" w:eastAsia="新宋体" w:cs="新宋体"/>
                <w:color w:val="auto"/>
                <w:spacing w:val="-7"/>
                <w:sz w:val="24"/>
                <w:szCs w:val="24"/>
                <w:highlight w:val="none"/>
              </w:rPr>
              <w:t>目</w:t>
            </w:r>
          </w:p>
        </w:tc>
        <w:tc>
          <w:tcPr>
            <w:tcW w:w="3066" w:type="dxa"/>
            <w:noWrap w:val="0"/>
            <w:vAlign w:val="top"/>
          </w:tcPr>
          <w:p>
            <w:pPr>
              <w:spacing w:before="195" w:line="204" w:lineRule="auto"/>
              <w:ind w:firstLine="144"/>
              <w:jc w:val="left"/>
              <w:rPr>
                <w:rFonts w:ascii="新宋体" w:hAnsi="新宋体" w:eastAsia="新宋体" w:cs="新宋体"/>
                <w:color w:val="auto"/>
                <w:sz w:val="24"/>
                <w:szCs w:val="24"/>
                <w:highlight w:val="none"/>
              </w:rPr>
            </w:pPr>
            <w:r>
              <w:rPr>
                <w:rFonts w:ascii="新宋体" w:hAnsi="新宋体" w:eastAsia="新宋体" w:cs="新宋体"/>
                <w:color w:val="auto"/>
                <w:spacing w:val="-4"/>
                <w:sz w:val="24"/>
                <w:szCs w:val="24"/>
                <w:highlight w:val="none"/>
              </w:rPr>
              <w:t>G11P</w:t>
            </w:r>
            <w:r>
              <w:rPr>
                <w:rFonts w:ascii="新宋体" w:hAnsi="新宋体" w:eastAsia="新宋体" w:cs="新宋体"/>
                <w:color w:val="auto"/>
                <w:spacing w:val="14"/>
                <w:sz w:val="24"/>
                <w:szCs w:val="24"/>
                <w:highlight w:val="none"/>
              </w:rPr>
              <w:t xml:space="preserve"> </w:t>
            </w:r>
            <w:r>
              <w:rPr>
                <w:rFonts w:ascii="新宋体" w:hAnsi="新宋体" w:eastAsia="新宋体" w:cs="新宋体"/>
                <w:color w:val="auto"/>
                <w:spacing w:val="-4"/>
                <w:sz w:val="24"/>
                <w:szCs w:val="24"/>
                <w:highlight w:val="none"/>
              </w:rPr>
              <w:t>A</w:t>
            </w:r>
            <w:r>
              <w:rPr>
                <w:rFonts w:ascii="新宋体" w:hAnsi="新宋体" w:eastAsia="新宋体" w:cs="新宋体"/>
                <w:color w:val="auto"/>
                <w:spacing w:val="29"/>
                <w:sz w:val="24"/>
                <w:szCs w:val="24"/>
                <w:highlight w:val="none"/>
              </w:rPr>
              <w:t xml:space="preserve"> </w:t>
            </w:r>
            <w:r>
              <w:rPr>
                <w:rFonts w:ascii="新宋体" w:hAnsi="新宋体" w:eastAsia="新宋体" w:cs="新宋体"/>
                <w:color w:val="auto"/>
                <w:spacing w:val="-4"/>
                <w:sz w:val="24"/>
                <w:szCs w:val="24"/>
                <w:highlight w:val="none"/>
              </w:rPr>
              <w:t>10</w:t>
            </w:r>
            <w:r>
              <w:rPr>
                <w:rFonts w:ascii="新宋体" w:hAnsi="新宋体" w:eastAsia="新宋体" w:cs="新宋体"/>
                <w:color w:val="auto"/>
                <w:spacing w:val="8"/>
                <w:sz w:val="24"/>
                <w:szCs w:val="24"/>
                <w:highlight w:val="none"/>
              </w:rPr>
              <w:t xml:space="preserve"> </w:t>
            </w:r>
            <w:r>
              <w:rPr>
                <w:rFonts w:ascii="新宋体" w:hAnsi="新宋体" w:eastAsia="新宋体" w:cs="新宋体"/>
                <w:color w:val="auto"/>
                <w:spacing w:val="-4"/>
                <w:sz w:val="24"/>
                <w:szCs w:val="24"/>
                <w:highlight w:val="none"/>
              </w:rPr>
              <w:t>CHN</w:t>
            </w:r>
            <w:r>
              <w:rPr>
                <w:rFonts w:ascii="新宋体" w:hAnsi="新宋体" w:eastAsia="新宋体" w:cs="新宋体"/>
                <w:color w:val="auto"/>
                <w:spacing w:val="10"/>
                <w:sz w:val="24"/>
                <w:szCs w:val="24"/>
                <w:highlight w:val="none"/>
              </w:rPr>
              <w:t xml:space="preserve"> </w:t>
            </w:r>
            <w:r>
              <w:rPr>
                <w:rFonts w:ascii="新宋体" w:hAnsi="新宋体" w:eastAsia="新宋体" w:cs="新宋体"/>
                <w:color w:val="auto"/>
                <w:spacing w:val="-4"/>
                <w:sz w:val="24"/>
                <w:szCs w:val="24"/>
                <w:highlight w:val="none"/>
              </w:rPr>
              <w:t>400</w:t>
            </w:r>
            <w:r>
              <w:rPr>
                <w:rFonts w:ascii="新宋体" w:hAnsi="新宋体" w:eastAsia="新宋体" w:cs="新宋体"/>
                <w:color w:val="auto"/>
                <w:spacing w:val="15"/>
                <w:sz w:val="24"/>
                <w:szCs w:val="24"/>
                <w:highlight w:val="none"/>
              </w:rPr>
              <w:t xml:space="preserve"> </w:t>
            </w:r>
            <w:r>
              <w:rPr>
                <w:rFonts w:ascii="新宋体" w:hAnsi="新宋体" w:eastAsia="新宋体" w:cs="新宋体"/>
                <w:color w:val="auto"/>
                <w:spacing w:val="-4"/>
                <w:sz w:val="24"/>
                <w:szCs w:val="24"/>
                <w:highlight w:val="none"/>
              </w:rPr>
              <w:t>50</w:t>
            </w:r>
            <w:r>
              <w:rPr>
                <w:rFonts w:ascii="新宋体" w:hAnsi="新宋体" w:eastAsia="新宋体" w:cs="新宋体"/>
                <w:color w:val="auto"/>
                <w:spacing w:val="7"/>
                <w:sz w:val="24"/>
                <w:szCs w:val="24"/>
                <w:highlight w:val="none"/>
              </w:rPr>
              <w:t xml:space="preserve"> </w:t>
            </w:r>
            <w:r>
              <w:rPr>
                <w:rFonts w:ascii="新宋体" w:hAnsi="新宋体" w:eastAsia="新宋体" w:cs="新宋体"/>
                <w:color w:val="auto"/>
                <w:spacing w:val="-4"/>
                <w:sz w:val="24"/>
                <w:szCs w:val="24"/>
                <w:highlight w:val="none"/>
              </w:rPr>
              <w:t>FM</w:t>
            </w:r>
          </w:p>
        </w:tc>
        <w:tc>
          <w:tcPr>
            <w:tcW w:w="3086" w:type="dxa"/>
            <w:vMerge w:val="restart"/>
            <w:tcBorders>
              <w:bottom w:val="nil"/>
            </w:tcBorders>
            <w:noWrap w:val="0"/>
            <w:vAlign w:val="top"/>
          </w:tcPr>
          <w:p>
            <w:pPr>
              <w:spacing w:line="240" w:lineRule="auto"/>
              <w:jc w:val="left"/>
              <w:rPr>
                <w:rFonts w:ascii="Arial" w:hAnsi="Arial" w:eastAsia="Arial" w:cs="Arial"/>
                <w:color w:val="auto"/>
                <w:sz w:val="21"/>
                <w:szCs w:val="21"/>
                <w:highlight w:val="none"/>
              </w:rPr>
            </w:pPr>
          </w:p>
          <w:p>
            <w:pPr>
              <w:spacing w:before="186" w:line="3235" w:lineRule="exact"/>
              <w:ind w:firstLine="71"/>
              <w:jc w:val="left"/>
              <w:textAlignment w:val="center"/>
              <w:rPr>
                <w:color w:val="auto"/>
                <w:highlight w:val="none"/>
              </w:rPr>
            </w:pPr>
            <w:r>
              <w:rPr>
                <w:color w:val="auto"/>
                <w:highlight w:val="none"/>
              </w:rPr>
              <w:drawing>
                <wp:inline distT="0" distB="0" distL="114300" distR="114300">
                  <wp:extent cx="1857375" cy="2054225"/>
                  <wp:effectExtent l="0" t="0" r="9525" b="3175"/>
                  <wp:docPr id="36" name="图片 1" descr="IM 5"/>
                  <wp:cNvGraphicFramePr/>
                  <a:graphic xmlns:a="http://schemas.openxmlformats.org/drawingml/2006/main">
                    <a:graphicData uri="http://schemas.openxmlformats.org/drawingml/2006/picture">
                      <pic:pic xmlns:pic="http://schemas.openxmlformats.org/drawingml/2006/picture">
                        <pic:nvPicPr>
                          <pic:cNvPr id="36" name="图片 1" descr="IM 5"/>
                          <pic:cNvPicPr/>
                        </pic:nvPicPr>
                        <pic:blipFill>
                          <a:blip r:embed="rId12"/>
                          <a:stretch>
                            <a:fillRect/>
                          </a:stretch>
                        </pic:blipFill>
                        <pic:spPr>
                          <a:xfrm>
                            <a:off x="0" y="0"/>
                            <a:ext cx="1857375" cy="205422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 w:hRule="atLeast"/>
        </w:trPr>
        <w:tc>
          <w:tcPr>
            <w:tcW w:w="853" w:type="dxa"/>
            <w:noWrap w:val="0"/>
            <w:vAlign w:val="top"/>
          </w:tcPr>
          <w:p>
            <w:pPr>
              <w:spacing w:before="72" w:line="181" w:lineRule="auto"/>
              <w:ind w:firstLine="392"/>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1</w:t>
            </w:r>
          </w:p>
        </w:tc>
        <w:tc>
          <w:tcPr>
            <w:tcW w:w="2630" w:type="dxa"/>
            <w:noWrap w:val="0"/>
            <w:vAlign w:val="top"/>
          </w:tcPr>
          <w:p>
            <w:pPr>
              <w:spacing w:before="38" w:line="192" w:lineRule="auto"/>
              <w:ind w:firstLine="53"/>
              <w:jc w:val="left"/>
              <w:rPr>
                <w:rFonts w:ascii="新宋体" w:hAnsi="新宋体" w:eastAsia="新宋体" w:cs="新宋体"/>
                <w:color w:val="auto"/>
                <w:sz w:val="24"/>
                <w:szCs w:val="24"/>
                <w:highlight w:val="none"/>
              </w:rPr>
            </w:pPr>
            <w:r>
              <w:rPr>
                <w:rFonts w:ascii="新宋体" w:hAnsi="新宋体" w:eastAsia="新宋体" w:cs="新宋体"/>
                <w:color w:val="auto"/>
                <w:spacing w:val="-14"/>
                <w:sz w:val="24"/>
                <w:szCs w:val="24"/>
                <w:highlight w:val="none"/>
              </w:rPr>
              <w:t>出</w:t>
            </w:r>
            <w:r>
              <w:rPr>
                <w:rFonts w:ascii="新宋体" w:hAnsi="新宋体" w:eastAsia="新宋体" w:cs="新宋体"/>
                <w:color w:val="auto"/>
                <w:spacing w:val="12"/>
                <w:sz w:val="24"/>
                <w:szCs w:val="24"/>
                <w:highlight w:val="none"/>
              </w:rPr>
              <w:t xml:space="preserve"> </w:t>
            </w:r>
            <w:r>
              <w:rPr>
                <w:rFonts w:ascii="新宋体" w:hAnsi="新宋体" w:eastAsia="新宋体" w:cs="新宋体"/>
                <w:color w:val="auto"/>
                <w:spacing w:val="-14"/>
                <w:sz w:val="24"/>
                <w:szCs w:val="24"/>
                <w:highlight w:val="none"/>
              </w:rPr>
              <w:t>风</w:t>
            </w:r>
            <w:r>
              <w:rPr>
                <w:rFonts w:ascii="新宋体" w:hAnsi="新宋体" w:eastAsia="新宋体" w:cs="新宋体"/>
                <w:color w:val="auto"/>
                <w:spacing w:val="9"/>
                <w:sz w:val="24"/>
                <w:szCs w:val="24"/>
                <w:highlight w:val="none"/>
              </w:rPr>
              <w:t xml:space="preserve"> </w:t>
            </w:r>
            <w:r>
              <w:rPr>
                <w:rFonts w:ascii="新宋体" w:hAnsi="新宋体" w:eastAsia="新宋体" w:cs="新宋体"/>
                <w:color w:val="auto"/>
                <w:spacing w:val="-14"/>
                <w:sz w:val="24"/>
                <w:szCs w:val="24"/>
                <w:highlight w:val="none"/>
              </w:rPr>
              <w:t>量</w:t>
            </w:r>
          </w:p>
        </w:tc>
        <w:tc>
          <w:tcPr>
            <w:tcW w:w="3066" w:type="dxa"/>
            <w:noWrap w:val="0"/>
            <w:vAlign w:val="top"/>
          </w:tcPr>
          <w:p>
            <w:pPr>
              <w:spacing w:before="38" w:line="192" w:lineRule="auto"/>
              <w:ind w:firstLine="52"/>
              <w:jc w:val="left"/>
              <w:rPr>
                <w:rFonts w:ascii="新宋体" w:hAnsi="新宋体" w:eastAsia="新宋体" w:cs="新宋体"/>
                <w:color w:val="auto"/>
                <w:sz w:val="24"/>
                <w:szCs w:val="24"/>
                <w:highlight w:val="none"/>
              </w:rPr>
            </w:pPr>
            <w:r>
              <w:rPr>
                <w:rFonts w:ascii="新宋体" w:hAnsi="新宋体" w:eastAsia="新宋体" w:cs="新宋体"/>
                <w:color w:val="auto"/>
                <w:spacing w:val="-3"/>
                <w:sz w:val="24"/>
                <w:szCs w:val="24"/>
                <w:highlight w:val="none"/>
              </w:rPr>
              <w:t>1.46m</w:t>
            </w:r>
            <w:r>
              <w:rPr>
                <w:rFonts w:ascii="新宋体" w:hAnsi="新宋体" w:eastAsia="新宋体" w:cs="新宋体"/>
                <w:color w:val="auto"/>
                <w:spacing w:val="-3"/>
                <w:position w:val="11"/>
                <w:sz w:val="12"/>
                <w:szCs w:val="12"/>
                <w:highlight w:val="none"/>
              </w:rPr>
              <w:t>3</w:t>
            </w:r>
            <w:r>
              <w:rPr>
                <w:rFonts w:ascii="新宋体" w:hAnsi="新宋体" w:eastAsia="新宋体" w:cs="新宋体"/>
                <w:color w:val="auto"/>
                <w:spacing w:val="-3"/>
                <w:sz w:val="24"/>
                <w:szCs w:val="24"/>
                <w:highlight w:val="none"/>
              </w:rPr>
              <w:t>/min</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 w:hRule="atLeast"/>
        </w:trPr>
        <w:tc>
          <w:tcPr>
            <w:tcW w:w="853" w:type="dxa"/>
            <w:noWrap w:val="0"/>
            <w:vAlign w:val="top"/>
          </w:tcPr>
          <w:p>
            <w:pPr>
              <w:spacing w:before="72" w:line="181" w:lineRule="auto"/>
              <w:ind w:firstLine="378"/>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2</w:t>
            </w:r>
          </w:p>
        </w:tc>
        <w:tc>
          <w:tcPr>
            <w:tcW w:w="2630" w:type="dxa"/>
            <w:noWrap w:val="0"/>
            <w:vAlign w:val="top"/>
          </w:tcPr>
          <w:p>
            <w:pPr>
              <w:spacing w:before="35" w:line="194" w:lineRule="auto"/>
              <w:ind w:firstLine="35"/>
              <w:jc w:val="left"/>
              <w:rPr>
                <w:rFonts w:ascii="新宋体" w:hAnsi="新宋体" w:eastAsia="新宋体" w:cs="新宋体"/>
                <w:color w:val="auto"/>
                <w:sz w:val="24"/>
                <w:szCs w:val="24"/>
                <w:highlight w:val="none"/>
              </w:rPr>
            </w:pPr>
            <w:r>
              <w:rPr>
                <w:rFonts w:ascii="新宋体" w:hAnsi="新宋体" w:eastAsia="新宋体" w:cs="新宋体"/>
                <w:color w:val="auto"/>
                <w:spacing w:val="-2"/>
                <w:sz w:val="24"/>
                <w:szCs w:val="24"/>
                <w:highlight w:val="none"/>
              </w:rPr>
              <w:t>最高工作压力</w:t>
            </w:r>
          </w:p>
        </w:tc>
        <w:tc>
          <w:tcPr>
            <w:tcW w:w="3066" w:type="dxa"/>
            <w:noWrap w:val="0"/>
            <w:vAlign w:val="top"/>
          </w:tcPr>
          <w:p>
            <w:pPr>
              <w:spacing w:before="35" w:line="194" w:lineRule="auto"/>
              <w:ind w:firstLine="52"/>
              <w:jc w:val="left"/>
              <w:rPr>
                <w:rFonts w:ascii="新宋体" w:hAnsi="新宋体" w:eastAsia="新宋体" w:cs="新宋体"/>
                <w:color w:val="auto"/>
                <w:sz w:val="12"/>
                <w:szCs w:val="12"/>
                <w:highlight w:val="none"/>
              </w:rPr>
            </w:pPr>
            <w:r>
              <w:rPr>
                <w:rFonts w:ascii="新宋体" w:hAnsi="新宋体" w:eastAsia="新宋体" w:cs="新宋体"/>
                <w:color w:val="auto"/>
                <w:spacing w:val="-4"/>
                <w:sz w:val="24"/>
                <w:szCs w:val="24"/>
                <w:highlight w:val="none"/>
              </w:rPr>
              <w:t>10kg/cm</w:t>
            </w:r>
            <w:r>
              <w:rPr>
                <w:rFonts w:ascii="新宋体" w:hAnsi="新宋体" w:eastAsia="新宋体" w:cs="新宋体"/>
                <w:color w:val="auto"/>
                <w:spacing w:val="-4"/>
                <w:position w:val="11"/>
                <w:sz w:val="12"/>
                <w:szCs w:val="12"/>
                <w:highlight w:val="none"/>
              </w:rPr>
              <w:t>2</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5" w:hRule="atLeast"/>
        </w:trPr>
        <w:tc>
          <w:tcPr>
            <w:tcW w:w="853" w:type="dxa"/>
            <w:noWrap w:val="0"/>
            <w:vAlign w:val="top"/>
          </w:tcPr>
          <w:p>
            <w:pPr>
              <w:spacing w:before="72" w:line="179" w:lineRule="auto"/>
              <w:ind w:firstLine="380"/>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3</w:t>
            </w:r>
          </w:p>
        </w:tc>
        <w:tc>
          <w:tcPr>
            <w:tcW w:w="2630" w:type="dxa"/>
            <w:noWrap w:val="0"/>
            <w:vAlign w:val="top"/>
          </w:tcPr>
          <w:p>
            <w:pPr>
              <w:spacing w:before="35" w:line="192" w:lineRule="auto"/>
              <w:ind w:firstLine="31"/>
              <w:jc w:val="left"/>
              <w:rPr>
                <w:rFonts w:ascii="新宋体" w:hAnsi="新宋体" w:eastAsia="新宋体" w:cs="新宋体"/>
                <w:color w:val="auto"/>
                <w:sz w:val="24"/>
                <w:szCs w:val="24"/>
                <w:highlight w:val="none"/>
              </w:rPr>
            </w:pPr>
            <w:r>
              <w:rPr>
                <w:rFonts w:ascii="新宋体" w:hAnsi="新宋体" w:eastAsia="新宋体" w:cs="新宋体"/>
                <w:color w:val="auto"/>
                <w:spacing w:val="-2"/>
                <w:sz w:val="24"/>
                <w:szCs w:val="24"/>
                <w:highlight w:val="none"/>
              </w:rPr>
              <w:t>控制盘型式</w:t>
            </w:r>
          </w:p>
        </w:tc>
        <w:tc>
          <w:tcPr>
            <w:tcW w:w="3066" w:type="dxa"/>
            <w:noWrap w:val="0"/>
            <w:vAlign w:val="top"/>
          </w:tcPr>
          <w:p>
            <w:pPr>
              <w:spacing w:before="35" w:line="192" w:lineRule="auto"/>
              <w:ind w:firstLine="62"/>
              <w:jc w:val="left"/>
              <w:rPr>
                <w:rFonts w:ascii="新宋体" w:hAnsi="新宋体" w:eastAsia="新宋体" w:cs="新宋体"/>
                <w:color w:val="auto"/>
                <w:sz w:val="24"/>
                <w:szCs w:val="24"/>
                <w:highlight w:val="none"/>
              </w:rPr>
            </w:pPr>
            <w:r>
              <w:rPr>
                <w:rFonts w:ascii="新宋体" w:hAnsi="新宋体" w:eastAsia="新宋体" w:cs="新宋体"/>
                <w:color w:val="auto"/>
                <w:spacing w:val="-9"/>
                <w:sz w:val="24"/>
                <w:szCs w:val="24"/>
                <w:highlight w:val="none"/>
              </w:rPr>
              <w:t>电脑型</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53" w:type="dxa"/>
            <w:noWrap w:val="0"/>
            <w:vAlign w:val="top"/>
          </w:tcPr>
          <w:p>
            <w:pPr>
              <w:spacing w:before="74" w:line="179" w:lineRule="auto"/>
              <w:ind w:firstLine="375"/>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4</w:t>
            </w:r>
          </w:p>
        </w:tc>
        <w:tc>
          <w:tcPr>
            <w:tcW w:w="2630" w:type="dxa"/>
            <w:noWrap w:val="0"/>
            <w:vAlign w:val="top"/>
          </w:tcPr>
          <w:p>
            <w:pPr>
              <w:spacing w:before="38" w:line="192" w:lineRule="auto"/>
              <w:ind w:firstLine="34"/>
              <w:jc w:val="left"/>
              <w:rPr>
                <w:rFonts w:ascii="新宋体" w:hAnsi="新宋体" w:eastAsia="新宋体" w:cs="新宋体"/>
                <w:color w:val="auto"/>
                <w:sz w:val="24"/>
                <w:szCs w:val="24"/>
                <w:highlight w:val="none"/>
              </w:rPr>
            </w:pPr>
            <w:r>
              <w:rPr>
                <w:rFonts w:ascii="新宋体" w:hAnsi="新宋体" w:eastAsia="新宋体" w:cs="新宋体"/>
                <w:color w:val="auto"/>
                <w:spacing w:val="-3"/>
                <w:sz w:val="24"/>
                <w:szCs w:val="24"/>
                <w:highlight w:val="none"/>
              </w:rPr>
              <w:t>冷却方式</w:t>
            </w:r>
          </w:p>
        </w:tc>
        <w:tc>
          <w:tcPr>
            <w:tcW w:w="3066" w:type="dxa"/>
            <w:noWrap w:val="0"/>
            <w:vAlign w:val="top"/>
          </w:tcPr>
          <w:p>
            <w:pPr>
              <w:spacing w:before="38" w:line="192" w:lineRule="auto"/>
              <w:ind w:firstLine="42"/>
              <w:jc w:val="left"/>
              <w:rPr>
                <w:rFonts w:ascii="新宋体" w:hAnsi="新宋体" w:eastAsia="新宋体" w:cs="新宋体"/>
                <w:color w:val="auto"/>
                <w:sz w:val="24"/>
                <w:szCs w:val="24"/>
                <w:highlight w:val="none"/>
              </w:rPr>
            </w:pPr>
            <w:r>
              <w:rPr>
                <w:rFonts w:ascii="新宋体" w:hAnsi="新宋体" w:eastAsia="新宋体" w:cs="新宋体"/>
                <w:color w:val="auto"/>
                <w:spacing w:val="-3"/>
                <w:sz w:val="24"/>
                <w:szCs w:val="24"/>
                <w:highlight w:val="none"/>
              </w:rPr>
              <w:t>空氣冷卻式</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 w:hRule="atLeast"/>
        </w:trPr>
        <w:tc>
          <w:tcPr>
            <w:tcW w:w="853" w:type="dxa"/>
            <w:noWrap w:val="0"/>
            <w:vAlign w:val="top"/>
          </w:tcPr>
          <w:p>
            <w:pPr>
              <w:spacing w:before="74" w:line="179" w:lineRule="auto"/>
              <w:ind w:firstLine="380"/>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5</w:t>
            </w:r>
          </w:p>
        </w:tc>
        <w:tc>
          <w:tcPr>
            <w:tcW w:w="2630" w:type="dxa"/>
            <w:noWrap w:val="0"/>
            <w:vAlign w:val="top"/>
          </w:tcPr>
          <w:p>
            <w:pPr>
              <w:spacing w:before="38" w:line="192" w:lineRule="auto"/>
              <w:ind w:firstLine="44"/>
              <w:jc w:val="left"/>
              <w:rPr>
                <w:rFonts w:ascii="新宋体" w:hAnsi="新宋体" w:eastAsia="新宋体" w:cs="新宋体"/>
                <w:color w:val="auto"/>
                <w:sz w:val="24"/>
                <w:szCs w:val="24"/>
                <w:highlight w:val="none"/>
              </w:rPr>
            </w:pPr>
            <w:r>
              <w:rPr>
                <w:rFonts w:ascii="新宋体" w:hAnsi="新宋体" w:eastAsia="新宋体" w:cs="新宋体"/>
                <w:color w:val="auto"/>
                <w:spacing w:val="-3"/>
                <w:sz w:val="24"/>
                <w:szCs w:val="24"/>
                <w:highlight w:val="none"/>
              </w:rPr>
              <w:t>噪音值(一米内)</w:t>
            </w:r>
          </w:p>
        </w:tc>
        <w:tc>
          <w:tcPr>
            <w:tcW w:w="3066" w:type="dxa"/>
            <w:noWrap w:val="0"/>
            <w:vAlign w:val="top"/>
          </w:tcPr>
          <w:p>
            <w:pPr>
              <w:spacing w:before="38" w:line="192" w:lineRule="auto"/>
              <w:ind w:firstLine="36"/>
              <w:jc w:val="left"/>
              <w:rPr>
                <w:rFonts w:ascii="新宋体" w:hAnsi="新宋体" w:eastAsia="新宋体" w:cs="新宋体"/>
                <w:color w:val="auto"/>
                <w:sz w:val="24"/>
                <w:szCs w:val="24"/>
                <w:highlight w:val="none"/>
              </w:rPr>
            </w:pPr>
            <w:r>
              <w:rPr>
                <w:rFonts w:ascii="新宋体" w:hAnsi="新宋体" w:eastAsia="新宋体" w:cs="新宋体"/>
                <w:color w:val="auto"/>
                <w:spacing w:val="-2"/>
                <w:sz w:val="24"/>
                <w:szCs w:val="24"/>
                <w:highlight w:val="none"/>
              </w:rPr>
              <w:t>67dB(A)</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53" w:type="dxa"/>
            <w:noWrap w:val="0"/>
            <w:vAlign w:val="top"/>
          </w:tcPr>
          <w:p>
            <w:pPr>
              <w:spacing w:before="72" w:line="181" w:lineRule="auto"/>
              <w:ind w:firstLine="377"/>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6</w:t>
            </w:r>
          </w:p>
        </w:tc>
        <w:tc>
          <w:tcPr>
            <w:tcW w:w="2630" w:type="dxa"/>
            <w:noWrap w:val="0"/>
            <w:vAlign w:val="top"/>
          </w:tcPr>
          <w:p>
            <w:pPr>
              <w:spacing w:before="38" w:line="192" w:lineRule="auto"/>
              <w:ind w:firstLine="53"/>
              <w:jc w:val="left"/>
              <w:rPr>
                <w:rFonts w:ascii="新宋体" w:hAnsi="新宋体" w:eastAsia="新宋体" w:cs="新宋体"/>
                <w:color w:val="auto"/>
                <w:sz w:val="24"/>
                <w:szCs w:val="24"/>
                <w:highlight w:val="none"/>
              </w:rPr>
            </w:pPr>
            <w:r>
              <w:rPr>
                <w:rFonts w:ascii="新宋体" w:hAnsi="新宋体" w:eastAsia="新宋体" w:cs="新宋体"/>
                <w:color w:val="auto"/>
                <w:spacing w:val="-5"/>
                <w:sz w:val="24"/>
                <w:szCs w:val="24"/>
                <w:highlight w:val="none"/>
              </w:rPr>
              <w:t>出气含油量</w:t>
            </w:r>
          </w:p>
        </w:tc>
        <w:tc>
          <w:tcPr>
            <w:tcW w:w="3066" w:type="dxa"/>
            <w:noWrap w:val="0"/>
            <w:vAlign w:val="top"/>
          </w:tcPr>
          <w:p>
            <w:pPr>
              <w:spacing w:before="78" w:line="161" w:lineRule="auto"/>
              <w:ind w:firstLine="37"/>
              <w:jc w:val="left"/>
              <w:rPr>
                <w:rFonts w:ascii="新宋体" w:hAnsi="新宋体" w:eastAsia="新宋体" w:cs="新宋体"/>
                <w:color w:val="auto"/>
                <w:sz w:val="24"/>
                <w:szCs w:val="24"/>
                <w:highlight w:val="none"/>
              </w:rPr>
            </w:pPr>
            <w:r>
              <w:rPr>
                <w:rFonts w:ascii="新宋体" w:hAnsi="新宋体" w:eastAsia="新宋体" w:cs="新宋体"/>
                <w:color w:val="auto"/>
                <w:spacing w:val="-3"/>
                <w:sz w:val="24"/>
                <w:szCs w:val="24"/>
                <w:highlight w:val="none"/>
              </w:rPr>
              <w:t>2-3</w:t>
            </w:r>
            <w:r>
              <w:rPr>
                <w:rFonts w:ascii="新宋体" w:hAnsi="新宋体" w:eastAsia="新宋体" w:cs="新宋体"/>
                <w:color w:val="auto"/>
                <w:spacing w:val="7"/>
                <w:sz w:val="24"/>
                <w:szCs w:val="24"/>
                <w:highlight w:val="none"/>
              </w:rPr>
              <w:t xml:space="preserve"> </w:t>
            </w:r>
            <w:r>
              <w:rPr>
                <w:rFonts w:ascii="新宋体" w:hAnsi="新宋体" w:eastAsia="新宋体" w:cs="新宋体"/>
                <w:color w:val="auto"/>
                <w:spacing w:val="-3"/>
                <w:sz w:val="24"/>
                <w:szCs w:val="24"/>
                <w:highlight w:val="none"/>
              </w:rPr>
              <w:t>PPM</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 w:hRule="atLeast"/>
        </w:trPr>
        <w:tc>
          <w:tcPr>
            <w:tcW w:w="853" w:type="dxa"/>
            <w:noWrap w:val="0"/>
            <w:vAlign w:val="top"/>
          </w:tcPr>
          <w:p>
            <w:pPr>
              <w:spacing w:before="74" w:line="179" w:lineRule="auto"/>
              <w:ind w:firstLine="381"/>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7</w:t>
            </w:r>
          </w:p>
        </w:tc>
        <w:tc>
          <w:tcPr>
            <w:tcW w:w="2630" w:type="dxa"/>
            <w:noWrap w:val="0"/>
            <w:vAlign w:val="top"/>
          </w:tcPr>
          <w:p>
            <w:pPr>
              <w:spacing w:before="38" w:line="192" w:lineRule="auto"/>
              <w:ind w:firstLine="40"/>
              <w:jc w:val="left"/>
              <w:rPr>
                <w:rFonts w:ascii="新宋体" w:hAnsi="新宋体" w:eastAsia="新宋体" w:cs="新宋体"/>
                <w:color w:val="auto"/>
                <w:sz w:val="24"/>
                <w:szCs w:val="24"/>
                <w:highlight w:val="none"/>
              </w:rPr>
            </w:pPr>
            <w:r>
              <w:rPr>
                <w:rFonts w:ascii="新宋体" w:hAnsi="新宋体" w:eastAsia="新宋体" w:cs="新宋体"/>
                <w:color w:val="auto"/>
                <w:spacing w:val="-4"/>
                <w:sz w:val="24"/>
                <w:szCs w:val="24"/>
                <w:highlight w:val="none"/>
              </w:rPr>
              <w:t>马达功率</w:t>
            </w:r>
          </w:p>
        </w:tc>
        <w:tc>
          <w:tcPr>
            <w:tcW w:w="3066" w:type="dxa"/>
            <w:noWrap w:val="0"/>
            <w:vAlign w:val="top"/>
          </w:tcPr>
          <w:p>
            <w:pPr>
              <w:spacing w:before="77" w:line="162" w:lineRule="auto"/>
              <w:ind w:firstLine="52"/>
              <w:jc w:val="left"/>
              <w:rPr>
                <w:rFonts w:ascii="新宋体" w:hAnsi="新宋体" w:eastAsia="新宋体" w:cs="新宋体"/>
                <w:color w:val="auto"/>
                <w:sz w:val="24"/>
                <w:szCs w:val="24"/>
                <w:highlight w:val="none"/>
              </w:rPr>
            </w:pPr>
            <w:r>
              <w:rPr>
                <w:rFonts w:ascii="新宋体" w:hAnsi="新宋体" w:eastAsia="新宋体" w:cs="新宋体"/>
                <w:color w:val="auto"/>
                <w:spacing w:val="-6"/>
                <w:sz w:val="24"/>
                <w:szCs w:val="24"/>
                <w:highlight w:val="none"/>
              </w:rPr>
              <w:t>11KW</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53" w:type="dxa"/>
            <w:noWrap w:val="0"/>
            <w:vAlign w:val="top"/>
          </w:tcPr>
          <w:p>
            <w:pPr>
              <w:spacing w:before="72" w:line="181" w:lineRule="auto"/>
              <w:ind w:firstLine="376"/>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8</w:t>
            </w:r>
          </w:p>
        </w:tc>
        <w:tc>
          <w:tcPr>
            <w:tcW w:w="2630" w:type="dxa"/>
            <w:noWrap w:val="0"/>
            <w:vAlign w:val="top"/>
          </w:tcPr>
          <w:p>
            <w:pPr>
              <w:spacing w:before="38" w:line="192" w:lineRule="auto"/>
              <w:ind w:firstLine="60"/>
              <w:jc w:val="left"/>
              <w:rPr>
                <w:rFonts w:ascii="新宋体" w:hAnsi="新宋体" w:eastAsia="新宋体" w:cs="新宋体"/>
                <w:color w:val="auto"/>
                <w:sz w:val="24"/>
                <w:szCs w:val="24"/>
                <w:highlight w:val="none"/>
              </w:rPr>
            </w:pPr>
            <w:r>
              <w:rPr>
                <w:rFonts w:ascii="新宋体" w:hAnsi="新宋体" w:eastAsia="新宋体" w:cs="新宋体"/>
                <w:color w:val="auto"/>
                <w:spacing w:val="-19"/>
                <w:sz w:val="24"/>
                <w:szCs w:val="24"/>
                <w:highlight w:val="none"/>
              </w:rPr>
              <w:t>电</w:t>
            </w:r>
            <w:r>
              <w:rPr>
                <w:rFonts w:ascii="新宋体" w:hAnsi="新宋体" w:eastAsia="新宋体" w:cs="新宋体"/>
                <w:color w:val="auto"/>
                <w:spacing w:val="2"/>
                <w:sz w:val="24"/>
                <w:szCs w:val="24"/>
                <w:highlight w:val="none"/>
              </w:rPr>
              <w:t xml:space="preserve">   </w:t>
            </w:r>
            <w:r>
              <w:rPr>
                <w:rFonts w:ascii="新宋体" w:hAnsi="新宋体" w:eastAsia="新宋体" w:cs="新宋体"/>
                <w:color w:val="auto"/>
                <w:spacing w:val="-19"/>
                <w:sz w:val="24"/>
                <w:szCs w:val="24"/>
                <w:highlight w:val="none"/>
              </w:rPr>
              <w:t>源</w:t>
            </w:r>
          </w:p>
        </w:tc>
        <w:tc>
          <w:tcPr>
            <w:tcW w:w="3066" w:type="dxa"/>
            <w:noWrap w:val="0"/>
            <w:vAlign w:val="top"/>
          </w:tcPr>
          <w:p>
            <w:pPr>
              <w:spacing w:before="38" w:line="192" w:lineRule="auto"/>
              <w:ind w:firstLine="39"/>
              <w:jc w:val="left"/>
              <w:rPr>
                <w:rFonts w:ascii="新宋体" w:hAnsi="新宋体" w:eastAsia="新宋体" w:cs="新宋体"/>
                <w:color w:val="auto"/>
                <w:sz w:val="24"/>
                <w:szCs w:val="24"/>
                <w:highlight w:val="none"/>
              </w:rPr>
            </w:pPr>
            <w:r>
              <w:rPr>
                <w:rFonts w:ascii="新宋体" w:hAnsi="新宋体" w:eastAsia="新宋体" w:cs="新宋体"/>
                <w:color w:val="auto"/>
                <w:spacing w:val="-2"/>
                <w:sz w:val="24"/>
                <w:szCs w:val="24"/>
                <w:highlight w:val="none"/>
              </w:rPr>
              <w:t>380V/50HZ/3</w:t>
            </w:r>
            <w:r>
              <w:rPr>
                <w:rFonts w:ascii="新宋体" w:hAnsi="新宋体" w:eastAsia="新宋体" w:cs="新宋体"/>
                <w:color w:val="auto"/>
                <w:spacing w:val="-53"/>
                <w:sz w:val="24"/>
                <w:szCs w:val="24"/>
                <w:highlight w:val="none"/>
              </w:rPr>
              <w:t xml:space="preserve"> </w:t>
            </w:r>
            <w:r>
              <w:rPr>
                <w:rFonts w:ascii="新宋体" w:hAnsi="新宋体" w:eastAsia="新宋体" w:cs="新宋体"/>
                <w:color w:val="auto"/>
                <w:spacing w:val="-2"/>
                <w:sz w:val="24"/>
                <w:szCs w:val="24"/>
                <w:highlight w:val="none"/>
              </w:rPr>
              <w:t>φ</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 w:hRule="atLeast"/>
        </w:trPr>
        <w:tc>
          <w:tcPr>
            <w:tcW w:w="853" w:type="dxa"/>
            <w:noWrap w:val="0"/>
            <w:vAlign w:val="top"/>
          </w:tcPr>
          <w:p>
            <w:pPr>
              <w:spacing w:before="72" w:line="181" w:lineRule="auto"/>
              <w:ind w:firstLine="376"/>
              <w:jc w:val="left"/>
              <w:rPr>
                <w:rFonts w:ascii="新宋体" w:hAnsi="新宋体" w:eastAsia="新宋体" w:cs="新宋体"/>
                <w:color w:val="auto"/>
                <w:sz w:val="22"/>
                <w:szCs w:val="22"/>
                <w:highlight w:val="none"/>
              </w:rPr>
            </w:pPr>
            <w:r>
              <w:rPr>
                <w:rFonts w:ascii="新宋体" w:hAnsi="新宋体" w:eastAsia="新宋体" w:cs="新宋体"/>
                <w:color w:val="auto"/>
                <w:sz w:val="22"/>
                <w:szCs w:val="22"/>
                <w:highlight w:val="none"/>
              </w:rPr>
              <w:t>9</w:t>
            </w:r>
          </w:p>
        </w:tc>
        <w:tc>
          <w:tcPr>
            <w:tcW w:w="2630" w:type="dxa"/>
            <w:noWrap w:val="0"/>
            <w:vAlign w:val="top"/>
          </w:tcPr>
          <w:p>
            <w:pPr>
              <w:spacing w:before="38" w:line="192" w:lineRule="auto"/>
              <w:ind w:firstLine="60"/>
              <w:jc w:val="left"/>
              <w:rPr>
                <w:rFonts w:ascii="新宋体" w:hAnsi="新宋体" w:eastAsia="新宋体" w:cs="新宋体"/>
                <w:color w:val="auto"/>
                <w:sz w:val="24"/>
                <w:szCs w:val="24"/>
                <w:highlight w:val="none"/>
              </w:rPr>
            </w:pPr>
            <w:r>
              <w:rPr>
                <w:rFonts w:ascii="新宋体" w:hAnsi="新宋体" w:eastAsia="新宋体" w:cs="新宋体"/>
                <w:color w:val="auto"/>
                <w:spacing w:val="-6"/>
                <w:sz w:val="24"/>
                <w:szCs w:val="24"/>
                <w:highlight w:val="none"/>
              </w:rPr>
              <w:t>电机防护等级</w:t>
            </w:r>
          </w:p>
        </w:tc>
        <w:tc>
          <w:tcPr>
            <w:tcW w:w="3066" w:type="dxa"/>
            <w:noWrap w:val="0"/>
            <w:vAlign w:val="top"/>
          </w:tcPr>
          <w:p>
            <w:pPr>
              <w:spacing w:before="79" w:line="160" w:lineRule="auto"/>
              <w:ind w:firstLine="47"/>
              <w:jc w:val="left"/>
              <w:rPr>
                <w:rFonts w:ascii="新宋体" w:hAnsi="新宋体" w:eastAsia="新宋体" w:cs="新宋体"/>
                <w:color w:val="auto"/>
                <w:sz w:val="24"/>
                <w:szCs w:val="24"/>
                <w:highlight w:val="none"/>
              </w:rPr>
            </w:pPr>
            <w:r>
              <w:rPr>
                <w:rFonts w:ascii="新宋体" w:hAnsi="新宋体" w:eastAsia="新宋体" w:cs="新宋体"/>
                <w:color w:val="auto"/>
                <w:spacing w:val="-6"/>
                <w:sz w:val="24"/>
                <w:szCs w:val="24"/>
                <w:highlight w:val="none"/>
              </w:rPr>
              <w:t>IP55</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853" w:type="dxa"/>
            <w:noWrap w:val="0"/>
            <w:vAlign w:val="top"/>
          </w:tcPr>
          <w:p>
            <w:pPr>
              <w:spacing w:before="71" w:line="182" w:lineRule="auto"/>
              <w:ind w:firstLine="337"/>
              <w:jc w:val="left"/>
              <w:rPr>
                <w:rFonts w:ascii="新宋体" w:hAnsi="新宋体" w:eastAsia="新宋体" w:cs="新宋体"/>
                <w:color w:val="auto"/>
                <w:sz w:val="22"/>
                <w:szCs w:val="22"/>
                <w:highlight w:val="none"/>
              </w:rPr>
            </w:pPr>
            <w:r>
              <w:rPr>
                <w:rFonts w:ascii="新宋体" w:hAnsi="新宋体" w:eastAsia="新宋体" w:cs="新宋体"/>
                <w:color w:val="auto"/>
                <w:spacing w:val="-7"/>
                <w:sz w:val="22"/>
                <w:szCs w:val="22"/>
                <w:highlight w:val="none"/>
              </w:rPr>
              <w:t>10</w:t>
            </w:r>
          </w:p>
        </w:tc>
        <w:tc>
          <w:tcPr>
            <w:tcW w:w="2630" w:type="dxa"/>
            <w:noWrap w:val="0"/>
            <w:vAlign w:val="top"/>
          </w:tcPr>
          <w:p>
            <w:pPr>
              <w:spacing w:before="38" w:line="192" w:lineRule="auto"/>
              <w:ind w:firstLine="37"/>
              <w:jc w:val="left"/>
              <w:rPr>
                <w:rFonts w:ascii="新宋体" w:hAnsi="新宋体" w:eastAsia="新宋体" w:cs="新宋体"/>
                <w:color w:val="auto"/>
                <w:sz w:val="24"/>
                <w:szCs w:val="24"/>
                <w:highlight w:val="none"/>
              </w:rPr>
            </w:pPr>
            <w:r>
              <w:rPr>
                <w:rFonts w:ascii="新宋体" w:hAnsi="新宋体" w:eastAsia="新宋体" w:cs="新宋体"/>
                <w:color w:val="auto"/>
                <w:spacing w:val="-3"/>
                <w:sz w:val="24"/>
                <w:szCs w:val="24"/>
                <w:highlight w:val="none"/>
              </w:rPr>
              <w:t>外形尺寸</w:t>
            </w:r>
          </w:p>
        </w:tc>
        <w:tc>
          <w:tcPr>
            <w:tcW w:w="3066" w:type="dxa"/>
            <w:noWrap w:val="0"/>
            <w:vAlign w:val="top"/>
          </w:tcPr>
          <w:p>
            <w:pPr>
              <w:spacing w:before="78" w:line="161" w:lineRule="auto"/>
              <w:ind w:firstLine="40"/>
              <w:jc w:val="left"/>
              <w:rPr>
                <w:rFonts w:ascii="新宋体" w:hAnsi="新宋体" w:eastAsia="新宋体" w:cs="新宋体"/>
                <w:color w:val="auto"/>
                <w:sz w:val="24"/>
                <w:szCs w:val="24"/>
                <w:highlight w:val="none"/>
              </w:rPr>
            </w:pPr>
            <w:r>
              <w:rPr>
                <w:rFonts w:ascii="新宋体" w:hAnsi="新宋体" w:eastAsia="新宋体" w:cs="新宋体"/>
                <w:color w:val="auto"/>
                <w:spacing w:val="-1"/>
                <w:sz w:val="24"/>
                <w:szCs w:val="24"/>
                <w:highlight w:val="none"/>
              </w:rPr>
              <w:t>767mm*623mm*972mm</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53" w:type="dxa"/>
            <w:noWrap w:val="0"/>
            <w:vAlign w:val="top"/>
          </w:tcPr>
          <w:p>
            <w:pPr>
              <w:spacing w:before="70" w:line="182" w:lineRule="auto"/>
              <w:ind w:firstLine="337"/>
              <w:jc w:val="left"/>
              <w:rPr>
                <w:rFonts w:ascii="新宋体" w:hAnsi="新宋体" w:eastAsia="新宋体" w:cs="新宋体"/>
                <w:color w:val="auto"/>
                <w:sz w:val="22"/>
                <w:szCs w:val="22"/>
                <w:highlight w:val="none"/>
              </w:rPr>
            </w:pPr>
            <w:r>
              <w:rPr>
                <w:rFonts w:ascii="新宋体" w:hAnsi="新宋体" w:eastAsia="新宋体" w:cs="新宋体"/>
                <w:color w:val="auto"/>
                <w:spacing w:val="-7"/>
                <w:sz w:val="22"/>
                <w:szCs w:val="22"/>
                <w:highlight w:val="none"/>
              </w:rPr>
              <w:t>11</w:t>
            </w:r>
          </w:p>
        </w:tc>
        <w:tc>
          <w:tcPr>
            <w:tcW w:w="2630" w:type="dxa"/>
            <w:noWrap w:val="0"/>
            <w:vAlign w:val="top"/>
          </w:tcPr>
          <w:p>
            <w:pPr>
              <w:spacing w:before="38" w:line="192" w:lineRule="auto"/>
              <w:ind w:firstLine="33"/>
              <w:jc w:val="left"/>
              <w:rPr>
                <w:rFonts w:ascii="新宋体" w:hAnsi="新宋体" w:eastAsia="新宋体" w:cs="新宋体"/>
                <w:color w:val="auto"/>
                <w:sz w:val="24"/>
                <w:szCs w:val="24"/>
                <w:highlight w:val="none"/>
              </w:rPr>
            </w:pPr>
            <w:r>
              <w:rPr>
                <w:rFonts w:ascii="新宋体" w:hAnsi="新宋体" w:eastAsia="新宋体" w:cs="新宋体"/>
                <w:color w:val="auto"/>
                <w:spacing w:val="-6"/>
                <w:sz w:val="24"/>
                <w:szCs w:val="24"/>
                <w:highlight w:val="none"/>
              </w:rPr>
              <w:t>重</w:t>
            </w:r>
            <w:r>
              <w:rPr>
                <w:rFonts w:ascii="新宋体" w:hAnsi="新宋体" w:eastAsia="新宋体" w:cs="新宋体"/>
                <w:color w:val="auto"/>
                <w:spacing w:val="3"/>
                <w:sz w:val="24"/>
                <w:szCs w:val="24"/>
                <w:highlight w:val="none"/>
              </w:rPr>
              <w:t xml:space="preserve">   </w:t>
            </w:r>
            <w:r>
              <w:rPr>
                <w:rFonts w:ascii="新宋体" w:hAnsi="新宋体" w:eastAsia="新宋体" w:cs="新宋体"/>
                <w:color w:val="auto"/>
                <w:spacing w:val="-6"/>
                <w:sz w:val="24"/>
                <w:szCs w:val="24"/>
                <w:highlight w:val="none"/>
              </w:rPr>
              <w:t>量</w:t>
            </w:r>
          </w:p>
        </w:tc>
        <w:tc>
          <w:tcPr>
            <w:tcW w:w="3066" w:type="dxa"/>
            <w:noWrap w:val="0"/>
            <w:vAlign w:val="top"/>
          </w:tcPr>
          <w:p>
            <w:pPr>
              <w:spacing w:before="78" w:line="161" w:lineRule="auto"/>
              <w:ind w:firstLine="37"/>
              <w:jc w:val="left"/>
              <w:rPr>
                <w:rFonts w:ascii="新宋体" w:hAnsi="新宋体" w:eastAsia="新宋体" w:cs="新宋体"/>
                <w:color w:val="auto"/>
                <w:sz w:val="24"/>
                <w:szCs w:val="24"/>
                <w:highlight w:val="none"/>
              </w:rPr>
            </w:pPr>
            <w:r>
              <w:rPr>
                <w:rFonts w:ascii="新宋体" w:hAnsi="新宋体" w:eastAsia="新宋体" w:cs="新宋体"/>
                <w:color w:val="auto"/>
                <w:spacing w:val="-2"/>
                <w:sz w:val="24"/>
                <w:szCs w:val="24"/>
                <w:highlight w:val="none"/>
              </w:rPr>
              <w:t>238Kg</w:t>
            </w:r>
          </w:p>
        </w:tc>
        <w:tc>
          <w:tcPr>
            <w:tcW w:w="3086" w:type="dxa"/>
            <w:vMerge w:val="continue"/>
            <w:tcBorders>
              <w:top w:val="nil"/>
              <w:bottom w:val="nil"/>
            </w:tcBorders>
            <w:noWrap w:val="0"/>
            <w:vAlign w:val="top"/>
          </w:tcPr>
          <w:p>
            <w:pPr>
              <w:spacing w:line="240" w:lineRule="auto"/>
              <w:jc w:val="left"/>
              <w:rPr>
                <w:rFonts w:ascii="Arial" w:hAnsi="Arial" w:eastAsia="Arial" w:cs="Arial"/>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53" w:type="dxa"/>
            <w:noWrap w:val="0"/>
            <w:vAlign w:val="top"/>
          </w:tcPr>
          <w:p>
            <w:pPr>
              <w:spacing w:before="70" w:line="182" w:lineRule="auto"/>
              <w:ind w:firstLine="337"/>
              <w:jc w:val="left"/>
              <w:rPr>
                <w:rFonts w:ascii="新宋体" w:hAnsi="新宋体" w:eastAsia="新宋体" w:cs="新宋体"/>
                <w:color w:val="auto"/>
                <w:sz w:val="22"/>
                <w:szCs w:val="22"/>
                <w:highlight w:val="none"/>
              </w:rPr>
            </w:pPr>
            <w:r>
              <w:rPr>
                <w:rFonts w:ascii="新宋体" w:hAnsi="新宋体" w:eastAsia="新宋体" w:cs="新宋体"/>
                <w:color w:val="auto"/>
                <w:spacing w:val="-7"/>
                <w:sz w:val="22"/>
                <w:szCs w:val="22"/>
                <w:highlight w:val="none"/>
              </w:rPr>
              <w:t>12</w:t>
            </w:r>
          </w:p>
        </w:tc>
        <w:tc>
          <w:tcPr>
            <w:tcW w:w="2630" w:type="dxa"/>
            <w:noWrap w:val="0"/>
            <w:vAlign w:val="top"/>
          </w:tcPr>
          <w:p>
            <w:pPr>
              <w:spacing w:before="38" w:line="192" w:lineRule="auto"/>
              <w:ind w:firstLine="53"/>
              <w:jc w:val="left"/>
              <w:rPr>
                <w:rFonts w:ascii="新宋体" w:hAnsi="新宋体" w:eastAsia="新宋体" w:cs="新宋体"/>
                <w:color w:val="auto"/>
                <w:sz w:val="24"/>
                <w:szCs w:val="24"/>
                <w:highlight w:val="none"/>
              </w:rPr>
            </w:pPr>
            <w:r>
              <w:rPr>
                <w:rFonts w:ascii="新宋体" w:hAnsi="新宋体" w:eastAsia="新宋体" w:cs="新宋体"/>
                <w:color w:val="auto"/>
                <w:spacing w:val="-6"/>
                <w:sz w:val="24"/>
                <w:szCs w:val="24"/>
                <w:highlight w:val="none"/>
              </w:rPr>
              <w:t>出口尺寸</w:t>
            </w:r>
          </w:p>
        </w:tc>
        <w:tc>
          <w:tcPr>
            <w:tcW w:w="3066" w:type="dxa"/>
            <w:noWrap w:val="0"/>
            <w:vAlign w:val="top"/>
          </w:tcPr>
          <w:p>
            <w:pPr>
              <w:spacing w:before="38" w:line="192" w:lineRule="auto"/>
              <w:ind w:firstLine="31"/>
              <w:jc w:val="left"/>
              <w:rPr>
                <w:rFonts w:ascii="新宋体" w:hAnsi="新宋体" w:eastAsia="新宋体" w:cs="新宋体"/>
                <w:color w:val="auto"/>
                <w:sz w:val="24"/>
                <w:szCs w:val="24"/>
                <w:highlight w:val="none"/>
              </w:rPr>
            </w:pPr>
            <w:r>
              <w:rPr>
                <w:rFonts w:ascii="新宋体" w:hAnsi="新宋体" w:eastAsia="新宋体" w:cs="新宋体"/>
                <w:color w:val="auto"/>
                <w:spacing w:val="-2"/>
                <w:sz w:val="24"/>
                <w:szCs w:val="24"/>
                <w:highlight w:val="none"/>
              </w:rPr>
              <w:t>G3/4</w:t>
            </w:r>
          </w:p>
        </w:tc>
        <w:tc>
          <w:tcPr>
            <w:tcW w:w="3086" w:type="dxa"/>
            <w:vMerge w:val="continue"/>
            <w:tcBorders>
              <w:top w:val="nil"/>
            </w:tcBorders>
            <w:noWrap w:val="0"/>
            <w:vAlign w:val="top"/>
          </w:tcPr>
          <w:p>
            <w:pPr>
              <w:spacing w:line="240" w:lineRule="auto"/>
              <w:jc w:val="left"/>
              <w:rPr>
                <w:rFonts w:ascii="Arial" w:hAnsi="Arial" w:eastAsia="Arial" w:cs="Arial"/>
                <w:color w:val="auto"/>
                <w:sz w:val="21"/>
                <w:szCs w:val="21"/>
                <w:highlight w:val="none"/>
              </w:rPr>
            </w:pPr>
          </w:p>
        </w:tc>
      </w:tr>
    </w:tbl>
    <w:p>
      <w:pPr>
        <w:spacing w:line="360" w:lineRule="auto"/>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.安装和调试要求</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报价人必须依照询价文件的要求和响应文件的承诺，将设备、系统安装并调试至正常运行的最佳状态。若有国家标准按照国家标准验收，若无国家标准按行业标准验收，为原制造商制造的全新产品，整机无污染，无侵权行为、表面无划损、无任何缺陷隐患，在中国境内可依常规安全合法使用。设备为原厂商未启封全新包装，具出厂合格证，序列号、包装箱号与出厂批号一致，并可追索查阅。所有随设备的附件必须齐全。</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rPr>
        <w:t>）报价人应将关键主机设备的用户手册、保修手册、有关单证资料及配备件、随机工具等交付给询价人，使用操作及安全须知等重要资料应附有中文说明。</w:t>
      </w:r>
    </w:p>
    <w:p>
      <w:pPr>
        <w:spacing w:line="360" w:lineRule="auto"/>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ascii="仿宋_GB2312" w:hAnsi="仿宋_GB2312" w:eastAsia="仿宋_GB2312" w:cs="仿宋_GB2312"/>
          <w:color w:val="auto"/>
          <w:sz w:val="28"/>
          <w:szCs w:val="28"/>
          <w:highlight w:val="none"/>
        </w:rPr>
        <w:t>3</w:t>
      </w:r>
      <w:r>
        <w:rPr>
          <w:rFonts w:hint="eastAsia" w:ascii="仿宋_GB2312" w:hAnsi="仿宋_GB2312" w:eastAsia="仿宋_GB2312" w:cs="仿宋_GB2312"/>
          <w:color w:val="auto"/>
          <w:sz w:val="28"/>
          <w:szCs w:val="28"/>
          <w:highlight w:val="none"/>
        </w:rPr>
        <w:t>）询价人组成验收小组按国家有关规定、规范进行验收，必要时邀请相关的专业人员或机构参与验收。因设备质量问题发生争议时，由本地质量技术监督部门鉴定。设备符合质量技术标准的，鉴定费由询价人承担；否则鉴定费由报价人承担。验收后报价人应派技术人员对询价人的使用人员进行免费系统培训直至完全能独立操作（包括仪器原理、结构、维护、应用方法开发）。</w:t>
      </w:r>
    </w:p>
    <w:p>
      <w:pPr>
        <w:pStyle w:val="12"/>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项目九：</w:t>
      </w:r>
    </w:p>
    <w:p>
      <w:pPr>
        <w:pStyle w:val="21"/>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1.技术参数</w:t>
      </w:r>
    </w:p>
    <w:tbl>
      <w:tblPr>
        <w:tblStyle w:val="22"/>
        <w:tblW w:w="7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950"/>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00" w:type="dxa"/>
            <w:vAlign w:val="center"/>
          </w:tcPr>
          <w:p>
            <w:pPr>
              <w:pStyle w:val="2"/>
              <w:ind w:firstLine="0"/>
              <w:jc w:val="both"/>
              <w:rPr>
                <w:rFonts w:hint="eastAsia" w:ascii="宋体" w:hAnsi="宋体" w:eastAsia="宋体" w:cs="宋体"/>
                <w:color w:val="auto"/>
                <w:sz w:val="20"/>
                <w:szCs w:val="20"/>
                <w:highlight w:val="none"/>
                <w:u w:val="none"/>
                <w:vertAlign w:val="baseli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设备名称</w:t>
            </w:r>
          </w:p>
        </w:tc>
        <w:tc>
          <w:tcPr>
            <w:tcW w:w="950" w:type="dxa"/>
            <w:vAlign w:val="center"/>
          </w:tcPr>
          <w:p>
            <w:pPr>
              <w:pStyle w:val="2"/>
              <w:ind w:firstLine="0"/>
              <w:jc w:val="both"/>
              <w:rPr>
                <w:rFonts w:hint="eastAsia" w:ascii="宋体" w:hAnsi="宋体" w:eastAsia="宋体" w:cs="宋体"/>
                <w:color w:val="auto"/>
                <w:sz w:val="20"/>
                <w:szCs w:val="20"/>
                <w:highlight w:val="none"/>
                <w:u w:val="none"/>
                <w:vertAlign w:val="baseline"/>
                <w:lang w:val="en-US" w:eastAsia="zh-CN" w:bidi="ar"/>
              </w:rPr>
            </w:pPr>
            <w:r>
              <w:rPr>
                <w:rFonts w:hint="eastAsia" w:ascii="宋体" w:hAnsi="宋体" w:eastAsia="宋体" w:cs="宋体"/>
                <w:color w:val="auto"/>
                <w:sz w:val="20"/>
                <w:szCs w:val="20"/>
                <w:highlight w:val="none"/>
                <w:u w:val="none"/>
                <w:vertAlign w:val="baseline"/>
                <w:lang w:val="en-US" w:eastAsia="zh-CN" w:bidi="ar"/>
              </w:rPr>
              <w:t>数量</w:t>
            </w:r>
          </w:p>
        </w:tc>
        <w:tc>
          <w:tcPr>
            <w:tcW w:w="4905" w:type="dxa"/>
            <w:vAlign w:val="center"/>
          </w:tcPr>
          <w:p>
            <w:pPr>
              <w:pStyle w:val="2"/>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0"/>
                <w:szCs w:val="20"/>
                <w:highlight w:val="none"/>
                <w:u w:val="none"/>
                <w:vertAlign w:val="baseli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1500" w:type="dxa"/>
            <w:vAlign w:val="center"/>
          </w:tcPr>
          <w:p>
            <w:pPr>
              <w:pStyle w:val="2"/>
              <w:ind w:firstLine="0" w:firstLineChars="0"/>
              <w:jc w:val="both"/>
              <w:rPr>
                <w:rFonts w:hint="eastAsia" w:ascii="宋体" w:hAnsi="宋体" w:eastAsia="宋体" w:cs="宋体"/>
                <w:color w:val="auto"/>
                <w:sz w:val="20"/>
                <w:szCs w:val="20"/>
                <w:highlight w:val="none"/>
                <w:u w:val="none"/>
                <w:vertAlign w:val="baseline"/>
                <w:lang w:val="en-US" w:eastAsia="zh-CN" w:bidi="ar"/>
              </w:rPr>
            </w:pPr>
            <w:r>
              <w:rPr>
                <w:rFonts w:hint="eastAsia" w:ascii="宋体" w:hAnsi="宋体" w:eastAsia="宋体" w:cs="宋体"/>
                <w:color w:val="auto"/>
                <w:kern w:val="0"/>
                <w:sz w:val="20"/>
                <w:szCs w:val="20"/>
                <w:highlight w:val="none"/>
                <w:u w:val="none"/>
                <w:lang w:val="en-US" w:eastAsia="zh-CN" w:bidi="ar"/>
              </w:rPr>
              <w:t>12V65AH(UPS不间断电源）</w:t>
            </w:r>
          </w:p>
        </w:tc>
        <w:tc>
          <w:tcPr>
            <w:tcW w:w="950" w:type="dxa"/>
            <w:vAlign w:val="center"/>
          </w:tcPr>
          <w:p>
            <w:pPr>
              <w:pStyle w:val="2"/>
              <w:ind w:firstLine="200" w:firstLineChars="100"/>
              <w:jc w:val="both"/>
              <w:rPr>
                <w:rFonts w:hint="eastAsia" w:ascii="宋体" w:hAnsi="宋体" w:eastAsia="宋体" w:cs="宋体"/>
                <w:color w:val="auto"/>
                <w:sz w:val="20"/>
                <w:szCs w:val="20"/>
                <w:highlight w:val="none"/>
                <w:u w:val="none"/>
                <w:vertAlign w:val="baseline"/>
                <w:lang w:val="en-US" w:eastAsia="zh-CN" w:bidi="ar"/>
              </w:rPr>
            </w:pPr>
            <w:r>
              <w:rPr>
                <w:rFonts w:hint="eastAsia" w:ascii="宋体" w:hAnsi="宋体" w:eastAsia="宋体" w:cs="宋体"/>
                <w:color w:val="auto"/>
                <w:sz w:val="20"/>
                <w:szCs w:val="20"/>
                <w:highlight w:val="none"/>
                <w:u w:val="none"/>
                <w:vertAlign w:val="baseline"/>
                <w:lang w:val="en-US" w:eastAsia="zh-CN" w:bidi="ar"/>
              </w:rPr>
              <w:t>2</w:t>
            </w:r>
          </w:p>
        </w:tc>
        <w:tc>
          <w:tcPr>
            <w:tcW w:w="4905" w:type="dxa"/>
            <w:vMerge w:val="restart"/>
            <w:vAlign w:val="center"/>
          </w:tcPr>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输出：</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输出功率容量5.4kW / 6.0kVA</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最大可配置功率(瓦)5.4kW / 6.0kVA</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额定输出电压230V；输出电压注释</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可设置为220、230或240 ；输出电压满负载效率94.0 %；输出电压失真低于 5%，输出频率(不同步)</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60Hz +/- 0.1%，额定 60Hz, 50Hz +/- 0.1%；其它输出电压220, 240；负载高峰因素</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03:01；拓朴 双转换联机；波形类型</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正弦波，输出连接</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 xml:space="preserve">(1) Hard Wire 3-wire (H N + G) (备用电池)，旁路 内置静态旁路 </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输入：</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额定输入电压</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220V, 230V</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输入频率</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40 - 70 Hz（自动感测）</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输入端子类型</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Hard Wire 3-wire</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工作电压范围</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160 – 285V</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满负载效率</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94.0 %</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电池与运行时间</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电池类型</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免维护密封铅酸电池(悬浮电解液)：防漏</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通讯与管理：接口端口（多个）</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RJ-45 Serial, USB</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物理参数：</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高</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133mm, 13.3cm，宽</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433mm, 43.3cm</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深</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706mm, 70.6cm，净重</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18.5kg</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毛重</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23.5kg，装运高度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275mm, 27.5cm</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装运宽度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570mm, 57.0cm</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装运深度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790mm, 79.0cm</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环境：</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工作温度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0 - 40 °C，工作相对湿度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0 - 95 (non-condensing) %，操作高度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0-900米，存储温度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-15 - 65 °C，存储相对湿度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0-95 (non-condensing) %，存储高度</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0-900米，在设备表面1米外可听到的噪音55.0dBA，保护等级</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IP 20</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相符性</w:t>
            </w:r>
          </w:p>
          <w:p>
            <w:pPr>
              <w:spacing w:before="1"/>
              <w:rPr>
                <w:rFonts w:hint="default"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标准质保</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2年内维修或更换</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可持续提供状态\r</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RoHS</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符合</w:t>
            </w:r>
          </w:p>
          <w:p>
            <w:pPr>
              <w:spacing w:before="1"/>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REACH</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REACH: 不含SVHC</w:t>
            </w:r>
          </w:p>
          <w:p>
            <w:pPr>
              <w:spacing w:before="1"/>
              <w:ind w:firstLine="0" w:firstLineChars="0"/>
              <w:jc w:val="both"/>
              <w:rPr>
                <w:rFonts w:hint="default" w:ascii="仿宋" w:hAnsi="仿宋" w:eastAsia="仿宋" w:cs="仿宋"/>
                <w:b/>
                <w:bCs/>
                <w:color w:val="auto"/>
                <w:sz w:val="24"/>
                <w:szCs w:val="24"/>
                <w:highlight w:val="none"/>
                <w:vertAlign w:val="baseline"/>
                <w:lang w:val="en-US" w:eastAsia="zh-CN"/>
              </w:rPr>
            </w:pPr>
            <w:r>
              <w:rPr>
                <w:rFonts w:hint="eastAsia" w:ascii="宋体" w:hAnsi="宋体" w:eastAsia="宋体" w:cs="宋体"/>
                <w:color w:val="auto"/>
                <w:kern w:val="0"/>
                <w:sz w:val="20"/>
                <w:szCs w:val="20"/>
                <w:highlight w:val="none"/>
                <w:u w:val="none"/>
                <w:lang w:val="en-US" w:eastAsia="zh-CN" w:bidi="ar"/>
              </w:rPr>
              <w:t>电池指令</w:t>
            </w:r>
            <w:r>
              <w:rPr>
                <w:rFonts w:hint="eastAsia" w:ascii="宋体" w:hAnsi="宋体" w:eastAsia="宋体" w:cs="宋体"/>
                <w:color w:val="auto"/>
                <w:kern w:val="0"/>
                <w:sz w:val="20"/>
                <w:szCs w:val="20"/>
                <w:highlight w:val="none"/>
                <w:u w:val="none"/>
                <w:lang w:val="en-US" w:eastAsia="zh-CN" w:bidi="ar"/>
              </w:rPr>
              <w:tab/>
            </w:r>
            <w:r>
              <w:rPr>
                <w:rFonts w:hint="eastAsia" w:ascii="宋体" w:hAnsi="宋体" w:eastAsia="宋体" w:cs="宋体"/>
                <w:color w:val="auto"/>
                <w:kern w:val="0"/>
                <w:sz w:val="20"/>
                <w:szCs w:val="20"/>
                <w:highlight w:val="none"/>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0" w:type="dxa"/>
            <w:vAlign w:val="center"/>
          </w:tcPr>
          <w:p>
            <w:pPr>
              <w:pStyle w:val="2"/>
              <w:ind w:firstLine="0" w:firstLineChars="0"/>
              <w:jc w:val="both"/>
              <w:rPr>
                <w:rFonts w:hint="eastAsia" w:ascii="宋体" w:hAnsi="宋体" w:eastAsia="宋体" w:cs="宋体"/>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12V100AH(UPS不间断电源）</w:t>
            </w:r>
          </w:p>
        </w:tc>
        <w:tc>
          <w:tcPr>
            <w:tcW w:w="950" w:type="dxa"/>
            <w:vAlign w:val="center"/>
          </w:tcPr>
          <w:p>
            <w:pPr>
              <w:pStyle w:val="2"/>
              <w:ind w:firstLine="200" w:firstLineChars="100"/>
              <w:jc w:val="both"/>
              <w:rPr>
                <w:rFonts w:hint="eastAsia" w:ascii="宋体" w:hAnsi="宋体" w:eastAsia="宋体" w:cs="宋体"/>
                <w:color w:val="auto"/>
                <w:sz w:val="20"/>
                <w:szCs w:val="20"/>
                <w:highlight w:val="none"/>
                <w:u w:val="none"/>
                <w:vertAlign w:val="baseline"/>
                <w:lang w:val="en-US" w:eastAsia="zh-CN" w:bidi="ar"/>
              </w:rPr>
            </w:pPr>
            <w:r>
              <w:rPr>
                <w:rFonts w:hint="eastAsia" w:ascii="宋体" w:hAnsi="宋体" w:eastAsia="宋体" w:cs="宋体"/>
                <w:color w:val="auto"/>
                <w:sz w:val="20"/>
                <w:szCs w:val="20"/>
                <w:highlight w:val="none"/>
                <w:u w:val="none"/>
                <w:vertAlign w:val="baseline"/>
                <w:lang w:val="en-US" w:eastAsia="zh-CN" w:bidi="ar"/>
              </w:rPr>
              <w:t>1</w:t>
            </w:r>
          </w:p>
        </w:tc>
        <w:tc>
          <w:tcPr>
            <w:tcW w:w="4905" w:type="dxa"/>
            <w:vMerge w:val="continue"/>
            <w:vAlign w:val="center"/>
          </w:tcPr>
          <w:p>
            <w:pPr>
              <w:pStyle w:val="2"/>
              <w:ind w:firstLine="420" w:firstLineChars="0"/>
              <w:jc w:val="center"/>
              <w:rPr>
                <w:rFonts w:hint="default" w:ascii="仿宋" w:hAnsi="仿宋" w:eastAsia="仿宋" w:cs="仿宋"/>
                <w:b/>
                <w:bCs/>
                <w:color w:val="auto"/>
                <w:sz w:val="24"/>
                <w:szCs w:val="24"/>
                <w:highlight w:val="none"/>
                <w:vertAlign w:val="baseline"/>
                <w:lang w:val="en-US" w:eastAsia="zh-CN"/>
              </w:rPr>
            </w:pPr>
          </w:p>
        </w:tc>
      </w:tr>
    </w:tbl>
    <w:p>
      <w:pPr>
        <w:spacing w:line="360" w:lineRule="auto"/>
        <w:ind w:firstLine="560" w:firstLineChars="20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所提供的产品能匹配原设备安装位置和电气控制要求，不接受对现有支架底座以及电气控制系统进行改造。</w:t>
      </w:r>
      <w:r>
        <w:rPr>
          <w:rFonts w:hint="eastAsia" w:ascii="仿宋_GB2312" w:eastAsia="仿宋_GB2312"/>
          <w:color w:val="auto"/>
          <w:sz w:val="28"/>
          <w:szCs w:val="28"/>
          <w:highlight w:val="none"/>
        </w:rPr>
        <w:t>能顺利安装适配至相关位置中，并能正常使用。</w:t>
      </w:r>
    </w:p>
    <w:p>
      <w:pPr>
        <w:pStyle w:val="28"/>
        <w:ind w:firstLine="560" w:firstLineChars="200"/>
        <w:rPr>
          <w:rFonts w:hint="eastAsia"/>
          <w:color w:val="auto"/>
          <w:highlight w:val="none"/>
          <w:lang w:val="en-US" w:eastAsia="zh-CN"/>
        </w:rPr>
      </w:pPr>
      <w:r>
        <w:rPr>
          <w:rFonts w:hint="eastAsia" w:ascii="仿宋_GB2312" w:eastAsia="仿宋_GB2312" w:hAnsiTheme="minorEastAsia"/>
          <w:color w:val="auto"/>
          <w:sz w:val="28"/>
          <w:szCs w:val="28"/>
          <w:highlight w:val="none"/>
        </w:rPr>
        <w:t>设备更新升级的，需要提供厂家的改进证明，性能不能低于原设备。</w:t>
      </w:r>
    </w:p>
    <w:p>
      <w:pPr>
        <w:pStyle w:val="12"/>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项目十：</w:t>
      </w:r>
    </w:p>
    <w:p>
      <w:pPr>
        <w:pStyle w:val="21"/>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1.技术参数</w:t>
      </w:r>
    </w:p>
    <w:p>
      <w:pPr>
        <w:spacing w:line="360" w:lineRule="auto"/>
        <w:ind w:firstLine="480" w:firstLineChars="200"/>
        <w:rPr>
          <w:rFonts w:ascii="Times New Roman" w:hAnsi="Times New Roman" w:eastAsia="宋体" w:cs="Times New Roman"/>
          <w:bCs/>
          <w:color w:val="auto"/>
          <w:sz w:val="24"/>
          <w:szCs w:val="24"/>
          <w:highlight w:val="none"/>
          <w:lang w:val="zh-CN"/>
        </w:rPr>
      </w:pPr>
      <w:r>
        <w:rPr>
          <w:rFonts w:ascii="Times New Roman" w:hAnsi="Times New Roman" w:eastAsia="宋体" w:cs="Times New Roman"/>
          <w:bCs/>
          <w:color w:val="auto"/>
          <w:sz w:val="24"/>
          <w:szCs w:val="24"/>
          <w:highlight w:val="none"/>
        </w:rPr>
        <w:t>标准化的外观、运行、维修、备品备件以及制造商服务，所提供的设备必须是一个制造商的最终产品。每台</w:t>
      </w:r>
      <w:r>
        <w:rPr>
          <w:rFonts w:hint="eastAsia" w:ascii="Times New Roman" w:hAnsi="Times New Roman" w:eastAsia="宋体" w:cs="Times New Roman"/>
          <w:bCs/>
          <w:color w:val="auto"/>
          <w:sz w:val="24"/>
          <w:szCs w:val="24"/>
          <w:highlight w:val="none"/>
          <w:lang w:val="en-US" w:eastAsia="zh-CN"/>
        </w:rPr>
        <w:t>管道潜望镜QV</w:t>
      </w:r>
      <w:r>
        <w:rPr>
          <w:rFonts w:ascii="Times New Roman" w:hAnsi="Times New Roman" w:eastAsia="宋体" w:cs="Times New Roman"/>
          <w:bCs/>
          <w:color w:val="auto"/>
          <w:sz w:val="24"/>
          <w:szCs w:val="24"/>
          <w:highlight w:val="none"/>
        </w:rPr>
        <w:t>应成套地配备安全、有效及可靠运行所需的附件，</w:t>
      </w:r>
      <w:r>
        <w:rPr>
          <w:rFonts w:hint="eastAsia" w:ascii="Times New Roman" w:hAnsi="Times New Roman" w:eastAsia="宋体" w:cs="Times New Roman"/>
          <w:bCs/>
          <w:color w:val="auto"/>
          <w:sz w:val="24"/>
          <w:szCs w:val="24"/>
          <w:highlight w:val="none"/>
          <w:lang w:val="en-US" w:eastAsia="zh-CN"/>
        </w:rPr>
        <w:t>管道潜望镜QV</w:t>
      </w:r>
      <w:r>
        <w:rPr>
          <w:rFonts w:ascii="Times New Roman" w:hAnsi="Times New Roman" w:eastAsia="宋体" w:cs="Times New Roman"/>
          <w:bCs/>
          <w:color w:val="auto"/>
          <w:sz w:val="24"/>
          <w:szCs w:val="24"/>
          <w:highlight w:val="none"/>
        </w:rPr>
        <w:t>主要包括，但不限于：</w:t>
      </w:r>
    </w:p>
    <w:p>
      <w:pPr>
        <w:spacing w:line="360" w:lineRule="auto"/>
        <w:ind w:firstLine="480" w:firstLineChars="200"/>
        <w:rPr>
          <w:rFonts w:ascii="Times New Roman" w:hAnsi="Times New Roman" w:eastAsia="宋体" w:cs="Times New Roman"/>
          <w:bCs/>
          <w:color w:val="auto"/>
          <w:sz w:val="24"/>
          <w:szCs w:val="24"/>
          <w:highlight w:val="none"/>
          <w:lang w:val="zh-CN"/>
        </w:rPr>
      </w:pPr>
      <w:r>
        <w:rPr>
          <w:rFonts w:hint="eastAsia" w:ascii="Times New Roman" w:hAnsi="Times New Roman" w:eastAsia="宋体" w:cs="Times New Roman"/>
          <w:bCs/>
          <w:color w:val="auto"/>
          <w:sz w:val="24"/>
          <w:szCs w:val="24"/>
          <w:highlight w:val="none"/>
          <w:lang w:val="zh-CN"/>
        </w:rPr>
        <w:t>★</w:t>
      </w:r>
      <w:r>
        <w:rPr>
          <w:rFonts w:ascii="Times New Roman" w:hAnsi="Times New Roman" w:eastAsia="宋体" w:cs="Times New Roman"/>
          <w:bCs/>
          <w:color w:val="auto"/>
          <w:sz w:val="24"/>
          <w:szCs w:val="24"/>
          <w:highlight w:val="none"/>
          <w:lang w:val="zh-CN"/>
        </w:rPr>
        <w:t>装配完整的全新、未经使用的</w:t>
      </w:r>
      <w:r>
        <w:rPr>
          <w:rFonts w:hint="eastAsia" w:ascii="Times New Roman" w:hAnsi="Times New Roman" w:eastAsia="宋体" w:cs="Times New Roman"/>
          <w:bCs/>
          <w:color w:val="auto"/>
          <w:sz w:val="24"/>
          <w:szCs w:val="24"/>
          <w:highlight w:val="none"/>
          <w:lang w:val="en-US" w:eastAsia="zh-CN"/>
        </w:rPr>
        <w:t>管道潜望镜QV</w:t>
      </w:r>
      <w:r>
        <w:rPr>
          <w:rFonts w:ascii="Times New Roman" w:hAnsi="Times New Roman" w:eastAsia="宋体" w:cs="Times New Roman"/>
          <w:bCs/>
          <w:color w:val="auto"/>
          <w:sz w:val="24"/>
          <w:szCs w:val="24"/>
          <w:highlight w:val="none"/>
          <w:lang w:val="zh-CN"/>
        </w:rPr>
        <w:t>；</w:t>
      </w:r>
    </w:p>
    <w:p>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rPr>
        <w:t>★</w:t>
      </w:r>
      <w:r>
        <w:rPr>
          <w:rFonts w:hint="eastAsia" w:ascii="Times New Roman" w:hAnsi="Times New Roman" w:eastAsia="宋体" w:cs="Times New Roman"/>
          <w:bCs/>
          <w:color w:val="auto"/>
          <w:sz w:val="24"/>
          <w:szCs w:val="24"/>
          <w:highlight w:val="none"/>
          <w:lang w:val="en-US" w:eastAsia="zh-CN"/>
        </w:rPr>
        <w:t>10寸高清显示屏；</w:t>
      </w:r>
    </w:p>
    <w:p>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rPr>
        <w:t>★</w:t>
      </w:r>
      <w:r>
        <w:rPr>
          <w:rFonts w:hint="eastAsia" w:ascii="Times New Roman" w:hAnsi="Times New Roman" w:eastAsia="宋体" w:cs="Times New Roman"/>
          <w:bCs/>
          <w:color w:val="auto"/>
          <w:sz w:val="24"/>
          <w:szCs w:val="24"/>
          <w:highlight w:val="none"/>
          <w:lang w:val="en-US" w:eastAsia="zh-CN"/>
        </w:rPr>
        <w:t>无线中继器；</w:t>
      </w:r>
    </w:p>
    <w:p>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rPr>
        <w:t>★</w:t>
      </w:r>
      <w:r>
        <w:rPr>
          <w:rFonts w:hint="eastAsia" w:ascii="Times New Roman" w:hAnsi="Times New Roman" w:eastAsia="宋体" w:cs="Times New Roman"/>
          <w:bCs/>
          <w:color w:val="auto"/>
          <w:sz w:val="24"/>
          <w:szCs w:val="24"/>
          <w:highlight w:val="none"/>
          <w:lang w:val="en-US" w:eastAsia="zh-CN"/>
        </w:rPr>
        <w:t>绝缘可调式碳纤维伸缩杆，长度1.58m。</w:t>
      </w:r>
    </w:p>
    <w:p>
      <w:pPr>
        <w:spacing w:line="360" w:lineRule="auto"/>
        <w:ind w:firstLine="480" w:firstLineChars="200"/>
        <w:rPr>
          <w:rFonts w:hint="eastAsia" w:ascii="Times New Roman" w:hAnsi="Times New Roman" w:eastAsia="宋体" w:cs="Times New Roman"/>
          <w:bCs/>
          <w:color w:val="auto"/>
          <w:sz w:val="24"/>
          <w:szCs w:val="24"/>
          <w:highlight w:val="none"/>
          <w:lang w:val="zh-CN"/>
        </w:rPr>
      </w:pPr>
      <w:r>
        <w:rPr>
          <w:rFonts w:hint="eastAsia" w:ascii="Times New Roman" w:hAnsi="Times New Roman" w:eastAsia="宋体" w:cs="Times New Roman"/>
          <w:bCs/>
          <w:color w:val="auto"/>
          <w:sz w:val="24"/>
          <w:szCs w:val="24"/>
          <w:highlight w:val="none"/>
        </w:rPr>
        <w:t>2、</w:t>
      </w:r>
      <w:r>
        <w:rPr>
          <w:rFonts w:hint="eastAsia" w:ascii="Times New Roman" w:hAnsi="Times New Roman" w:eastAsia="宋体" w:cs="Times New Roman"/>
          <w:bCs/>
          <w:color w:val="auto"/>
          <w:sz w:val="24"/>
          <w:szCs w:val="24"/>
          <w:highlight w:val="none"/>
          <w:lang w:val="zh-CN"/>
        </w:rPr>
        <w:t xml:space="preserve"> 技术参数（供货商需</w:t>
      </w:r>
      <w:r>
        <w:rPr>
          <w:rFonts w:hint="eastAsia" w:ascii="Times New Roman" w:hAnsi="Times New Roman" w:eastAsia="宋体" w:cs="Times New Roman"/>
          <w:bCs/>
          <w:color w:val="auto"/>
          <w:sz w:val="24"/>
          <w:szCs w:val="24"/>
          <w:highlight w:val="none"/>
          <w:lang w:val="en-US" w:eastAsia="zh-CN"/>
        </w:rPr>
        <w:t>提供设备的说明书和安装维护手册，培训及答疑等</w:t>
      </w:r>
      <w:r>
        <w:rPr>
          <w:rFonts w:hint="default" w:ascii="Times New Roman" w:hAnsi="Times New Roman" w:eastAsia="宋体" w:cs="Times New Roman"/>
          <w:bCs/>
          <w:color w:val="auto"/>
          <w:sz w:val="24"/>
          <w:szCs w:val="24"/>
          <w:highlight w:val="none"/>
          <w:lang w:val="en-US"/>
        </w:rPr>
        <w:t>技术支持</w:t>
      </w:r>
      <w:r>
        <w:rPr>
          <w:rFonts w:hint="eastAsia" w:ascii="Times New Roman" w:hAnsi="Times New Roman" w:eastAsia="宋体" w:cs="Times New Roman"/>
          <w:bCs/>
          <w:color w:val="auto"/>
          <w:sz w:val="24"/>
          <w:szCs w:val="24"/>
          <w:highlight w:val="none"/>
          <w:lang w:val="zh-CN"/>
        </w:rPr>
        <w:t>）</w:t>
      </w:r>
    </w:p>
    <w:p>
      <w:pPr>
        <w:spacing w:line="360" w:lineRule="auto"/>
        <w:ind w:firstLine="0" w:firstLineChars="0"/>
        <w:jc w:val="center"/>
        <w:rPr>
          <w:rFonts w:hint="eastAsia" w:ascii="Times New Roman" w:hAnsi="Times New Roman" w:eastAsia="宋体" w:cs="Times New Roman"/>
          <w:bCs/>
          <w:color w:val="auto"/>
          <w:sz w:val="24"/>
          <w:szCs w:val="24"/>
          <w:highlight w:val="none"/>
          <w:lang w:val="zh-CN"/>
        </w:rPr>
      </w:pPr>
      <w:r>
        <w:rPr>
          <w:color w:val="auto"/>
          <w:highlight w:val="none"/>
        </w:rPr>
        <w:drawing>
          <wp:inline distT="0" distB="0" distL="114300" distR="114300">
            <wp:extent cx="3809365" cy="3923030"/>
            <wp:effectExtent l="0" t="0" r="63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a:stretch>
                      <a:fillRect/>
                    </a:stretch>
                  </pic:blipFill>
                  <pic:spPr>
                    <a:xfrm>
                      <a:off x="0" y="0"/>
                      <a:ext cx="3809365" cy="3923030"/>
                    </a:xfrm>
                    <a:prstGeom prst="rect">
                      <a:avLst/>
                    </a:prstGeom>
                    <a:noFill/>
                    <a:ln>
                      <a:noFill/>
                    </a:ln>
                  </pic:spPr>
                </pic:pic>
              </a:graphicData>
            </a:graphic>
          </wp:inline>
        </w:drawing>
      </w:r>
    </w:p>
    <w:p>
      <w:pPr>
        <w:spacing w:line="360" w:lineRule="auto"/>
        <w:rPr>
          <w:rFonts w:hint="eastAsia"/>
          <w:b/>
          <w:bCs/>
          <w:color w:val="auto"/>
          <w:sz w:val="24"/>
          <w:szCs w:val="24"/>
          <w:highlight w:val="none"/>
        </w:rPr>
      </w:pPr>
      <w:r>
        <w:rPr>
          <w:color w:val="auto"/>
          <w:highlight w:val="none"/>
        </w:rPr>
        <w:drawing>
          <wp:inline distT="0" distB="0" distL="114300" distR="114300">
            <wp:extent cx="5257800" cy="7891780"/>
            <wp:effectExtent l="0" t="0" r="0" b="139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5257800" cy="7891780"/>
                    </a:xfrm>
                    <a:prstGeom prst="rect">
                      <a:avLst/>
                    </a:prstGeom>
                    <a:noFill/>
                    <a:ln>
                      <a:noFill/>
                    </a:ln>
                  </pic:spPr>
                </pic:pic>
              </a:graphicData>
            </a:graphic>
          </wp:inline>
        </w:drawing>
      </w:r>
    </w:p>
    <w:p>
      <w:pPr>
        <w:pStyle w:val="21"/>
        <w:rPr>
          <w:rFonts w:hint="eastAsia" w:ascii="仿宋_GB2312" w:eastAsia="仿宋_GB2312"/>
          <w:color w:val="auto"/>
          <w:sz w:val="28"/>
          <w:szCs w:val="28"/>
          <w:highlight w:val="none"/>
          <w:lang w:val="en-US" w:eastAsia="zh-CN"/>
        </w:rPr>
      </w:pPr>
      <w:r>
        <w:rPr>
          <w:color w:val="auto"/>
          <w:highlight w:val="none"/>
        </w:rPr>
        <w:drawing>
          <wp:inline distT="0" distB="0" distL="114300" distR="114300">
            <wp:extent cx="5266690" cy="2101215"/>
            <wp:effectExtent l="0" t="0" r="10160"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5266690" cy="2101215"/>
                    </a:xfrm>
                    <a:prstGeom prst="rect">
                      <a:avLst/>
                    </a:prstGeom>
                    <a:noFill/>
                    <a:ln>
                      <a:noFill/>
                    </a:ln>
                  </pic:spPr>
                </pic:pic>
              </a:graphicData>
            </a:graphic>
          </wp:inline>
        </w:drawing>
      </w:r>
    </w:p>
    <w:p>
      <w:pPr>
        <w:pStyle w:val="21"/>
        <w:rPr>
          <w:rFonts w:hint="eastAsia" w:ascii="仿宋_GB2312" w:eastAsia="仿宋_GB2312"/>
          <w:b/>
          <w:bCs/>
          <w:color w:val="auto"/>
          <w:sz w:val="28"/>
          <w:szCs w:val="28"/>
          <w:highlight w:val="none"/>
        </w:rPr>
      </w:pPr>
    </w:p>
    <w:p>
      <w:pPr>
        <w:pStyle w:val="21"/>
        <w:rPr>
          <w:rFonts w:hint="eastAsia" w:ascii="仿宋_GB2312" w:eastAsia="仿宋_GB2312"/>
          <w:b/>
          <w:bCs/>
          <w:color w:val="auto"/>
          <w:sz w:val="28"/>
          <w:szCs w:val="28"/>
          <w:highlight w:val="none"/>
        </w:rPr>
      </w:pPr>
    </w:p>
    <w:p>
      <w:pPr>
        <w:pStyle w:val="21"/>
        <w:rPr>
          <w:rFonts w:hint="eastAsia" w:ascii="仿宋_GB2312" w:eastAsia="仿宋_GB2312"/>
          <w:b/>
          <w:bCs/>
          <w:color w:val="auto"/>
          <w:sz w:val="28"/>
          <w:szCs w:val="28"/>
          <w:highlight w:val="none"/>
        </w:rPr>
      </w:pPr>
      <w:r>
        <w:rPr>
          <w:rFonts w:hint="eastAsia" w:ascii="仿宋_GB2312" w:eastAsia="仿宋_GB2312"/>
          <w:b/>
          <w:bCs/>
          <w:color w:val="auto"/>
          <w:sz w:val="28"/>
          <w:szCs w:val="28"/>
          <w:highlight w:val="none"/>
        </w:rPr>
        <w:t>项目商务要求</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1.包装、运输、安装及保管、保险：</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（1）报价人所供货物应为制造商原装出厂包装，包装须符合同等相关标准，因包装不良造成的损失由报价人负责。</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（2）报价人负责将产品送到现场过程中的全部运输，包括装卸车、货物现场的搬运等。</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（3）供货期：</w:t>
      </w:r>
      <w:r>
        <w:rPr>
          <w:rFonts w:hint="eastAsia" w:ascii="仿宋" w:hAnsi="仿宋" w:eastAsia="仿宋" w:cs="仿宋"/>
          <w:color w:val="auto"/>
          <w:sz w:val="28"/>
          <w:szCs w:val="28"/>
          <w:highlight w:val="none"/>
          <w:lang w:val="en-US" w:eastAsia="zh-CN"/>
        </w:rPr>
        <w:t>按照供货期供货</w:t>
      </w:r>
      <w:r>
        <w:rPr>
          <w:rFonts w:hint="eastAsia" w:ascii="仿宋" w:hAnsi="仿宋" w:eastAsia="仿宋" w:cs="仿宋"/>
          <w:color w:val="auto"/>
          <w:sz w:val="28"/>
          <w:szCs w:val="28"/>
          <w:highlight w:val="none"/>
        </w:rPr>
        <w:t>；</w:t>
      </w:r>
    </w:p>
    <w:p>
      <w:pPr>
        <w:pStyle w:val="21"/>
        <w:ind w:firstLine="1120" w:firstLineChars="4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交货地点：项目一二三四五六：大坦沙分公司、项目七：石井分公司、项目八：大沙地分公司、项目九：竹料分公司、项目十：西朗二期分公司。</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2.质量保证及售后服务：</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（1）确保货物为原装未拆封或未使用的产品；</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（2）货物在质保期为自供货验收合格之日起1年内免费提供维保服务。</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（3）质保期如有质量问题，报价人必须24小时内派技术人员免费到现场进行维修。</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3.总包及分包规定：</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乙方不得转包、分包。否则，甲方有权单方面终止合同，拒收其货物，由此而造成的经济损失由乙方负责赔偿。</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4.询价人将自承包商履行完合同义务之日起15个工作日内组织验收，审定报价人供货的货物合格情况，进行结算审核。</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5.付款方式：</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（1）采用支票、银行汇票形式。</w:t>
      </w:r>
    </w:p>
    <w:p>
      <w:pPr>
        <w:pStyle w:val="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（2）报价人在收款前需提交所交货物相应金额增值税专用发票给需求单位。</w:t>
      </w:r>
    </w:p>
    <w:p>
      <w:pPr>
        <w:pStyle w:val="21"/>
        <w:rPr>
          <w:rFonts w:ascii="仿宋_GB2312" w:eastAsia="仿宋_GB2312"/>
          <w:color w:val="auto"/>
          <w:sz w:val="28"/>
          <w:szCs w:val="28"/>
          <w:highlight w:val="none"/>
        </w:rPr>
      </w:pPr>
      <w:r>
        <w:rPr>
          <w:rFonts w:hint="eastAsia" w:ascii="仿宋" w:hAnsi="仿宋" w:eastAsia="仿宋" w:cs="仿宋"/>
          <w:color w:val="auto"/>
          <w:sz w:val="28"/>
          <w:szCs w:val="28"/>
          <w:highlight w:val="none"/>
        </w:rPr>
        <w:t>6.承包方式：单价包干。</w:t>
      </w:r>
    </w:p>
    <w:p>
      <w:pPr>
        <w:pStyle w:val="21"/>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3"/>
        <w:rPr>
          <w:rFonts w:hint="eastAsia"/>
          <w:color w:val="auto"/>
          <w:highlight w:val="none"/>
        </w:rPr>
      </w:pPr>
      <w:bookmarkStart w:id="62" w:name="_Toc537"/>
      <w:bookmarkStart w:id="63" w:name="_Toc12135"/>
      <w:bookmarkStart w:id="64" w:name="_Toc15570"/>
      <w:bookmarkStart w:id="65" w:name="_Toc1496"/>
      <w:bookmarkStart w:id="66" w:name="_Toc1284"/>
      <w:bookmarkStart w:id="67" w:name="_Toc29835"/>
      <w:bookmarkStart w:id="68" w:name="_Toc25925"/>
      <w:bookmarkStart w:id="69" w:name="_Toc4680"/>
      <w:bookmarkStart w:id="70" w:name="_Toc23330"/>
      <w:bookmarkStart w:id="71" w:name="_Toc23353"/>
      <w:bookmarkStart w:id="72" w:name="_Toc185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8"/>
        <w:rPr>
          <w:color w:val="auto"/>
          <w:highlight w:val="none"/>
        </w:rPr>
      </w:pPr>
    </w:p>
    <w:p>
      <w:pPr>
        <w:pStyle w:val="3"/>
        <w:rPr>
          <w:color w:val="auto"/>
          <w:highlight w:val="none"/>
        </w:rPr>
      </w:pPr>
      <w:bookmarkStart w:id="73" w:name="_Toc22501"/>
      <w:bookmarkStart w:id="74" w:name="_Toc1375"/>
      <w:bookmarkStart w:id="75" w:name="_Toc19088"/>
      <w:bookmarkStart w:id="76" w:name="_Toc12721"/>
      <w:bookmarkStart w:id="77" w:name="_Toc13309"/>
      <w:bookmarkStart w:id="78" w:name="_Toc323"/>
      <w:bookmarkStart w:id="79" w:name="_Toc19686"/>
      <w:bookmarkStart w:id="80" w:name="_Toc88209949"/>
      <w:bookmarkStart w:id="81" w:name="_Toc22797"/>
      <w:bookmarkStart w:id="82" w:name="_Toc8183"/>
      <w:bookmarkStart w:id="83" w:name="_Toc87616386"/>
      <w:bookmarkStart w:id="84" w:name="_Toc12980"/>
      <w:bookmarkStart w:id="85" w:name="_Toc12968"/>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center"/>
        <w:rPr>
          <w:rFonts w:hint="eastAsia" w:ascii="宋体" w:hAnsi="宋体" w:cs="Times New Roman"/>
          <w:b/>
          <w:color w:val="auto"/>
          <w:sz w:val="48"/>
          <w:szCs w:val="48"/>
          <w:highlight w:val="none"/>
        </w:rPr>
      </w:pPr>
    </w:p>
    <w:p>
      <w:pPr>
        <w:widowControl w:val="0"/>
        <w:spacing w:after="0" w:line="400" w:lineRule="atLeast"/>
        <w:jc w:val="both"/>
        <w:rPr>
          <w:rFonts w:hint="eastAsia" w:ascii="宋体" w:hAnsi="宋体" w:cs="Times New Roman"/>
          <w:b/>
          <w:color w:val="auto"/>
          <w:sz w:val="48"/>
          <w:szCs w:val="48"/>
          <w:highlight w:val="none"/>
        </w:rPr>
      </w:pPr>
    </w:p>
    <w:p>
      <w:pPr>
        <w:widowControl/>
        <w:spacing w:after="160" w:line="259" w:lineRule="auto"/>
        <w:jc w:val="center"/>
        <w:rPr>
          <w:rFonts w:ascii="Calibri" w:hAnsi="Calibri" w:cs="Calibri"/>
          <w:b/>
          <w:color w:val="auto"/>
          <w:sz w:val="48"/>
          <w:szCs w:val="48"/>
          <w:highlight w:val="none"/>
        </w:rPr>
      </w:pPr>
      <w:r>
        <w:rPr>
          <w:rFonts w:hint="eastAsia" w:ascii="Calibri" w:hAnsi="Calibri" w:cs="Calibri"/>
          <w:b/>
          <w:color w:val="auto"/>
          <w:sz w:val="48"/>
          <w:szCs w:val="48"/>
          <w:highlight w:val="none"/>
        </w:rPr>
        <w:t>广州市净水有限公司</w:t>
      </w:r>
    </w:p>
    <w:p>
      <w:pPr>
        <w:widowControl/>
        <w:spacing w:after="160" w:line="259" w:lineRule="auto"/>
        <w:jc w:val="center"/>
        <w:rPr>
          <w:rFonts w:ascii="Calibri" w:hAnsi="Calibri" w:cs="Calibri"/>
          <w:b/>
          <w:color w:val="auto"/>
          <w:sz w:val="48"/>
          <w:szCs w:val="48"/>
          <w:highlight w:val="none"/>
        </w:rPr>
      </w:pPr>
      <w:r>
        <w:rPr>
          <w:rFonts w:hint="eastAsia" w:ascii="Calibri" w:hAnsi="Calibri" w:cs="Calibri"/>
          <w:b/>
          <w:color w:val="auto"/>
          <w:sz w:val="48"/>
          <w:szCs w:val="48"/>
          <w:highlight w:val="none"/>
        </w:rPr>
        <w:t>设备采购合同</w:t>
      </w:r>
    </w:p>
    <w:p>
      <w:pPr>
        <w:widowControl/>
        <w:spacing w:after="160" w:line="259" w:lineRule="auto"/>
        <w:jc w:val="center"/>
        <w:rPr>
          <w:rFonts w:ascii="Calibri" w:hAnsi="Calibri" w:cs="Calibri"/>
          <w:color w:val="auto"/>
          <w:sz w:val="30"/>
          <w:szCs w:val="22"/>
          <w:highlight w:val="none"/>
        </w:rPr>
      </w:pPr>
    </w:p>
    <w:p>
      <w:pPr>
        <w:widowControl/>
        <w:spacing w:after="160" w:line="259" w:lineRule="auto"/>
        <w:jc w:val="left"/>
        <w:rPr>
          <w:rFonts w:hint="eastAsia" w:ascii="Calibri" w:hAnsi="Calibri" w:cs="Calibri" w:eastAsiaTheme="minorEastAsia"/>
          <w:b w:val="0"/>
          <w:bCs w:val="0"/>
          <w:color w:val="auto"/>
          <w:w w:val="100"/>
          <w:kern w:val="2"/>
          <w:sz w:val="30"/>
          <w:szCs w:val="22"/>
          <w:highlight w:val="none"/>
          <w:lang w:val="en-US" w:eastAsia="zh-CN"/>
        </w:rPr>
      </w:pPr>
      <w:r>
        <w:rPr>
          <w:rFonts w:hint="eastAsia" w:ascii="Calibri" w:hAnsi="Calibri" w:cs="Calibri"/>
          <w:color w:val="auto"/>
          <w:sz w:val="30"/>
          <w:szCs w:val="22"/>
          <w:highlight w:val="none"/>
        </w:rPr>
        <w:t>项目名称：</w:t>
      </w:r>
      <w:r>
        <w:rPr>
          <w:rFonts w:hint="eastAsia" w:ascii="Calibri" w:hAnsi="Calibri" w:cs="Calibri"/>
          <w:color w:val="auto"/>
          <w:sz w:val="30"/>
          <w:szCs w:val="22"/>
          <w:highlight w:val="none"/>
          <w:lang w:val="en-US" w:eastAsia="zh-CN"/>
        </w:rPr>
        <w:t>广州市净水有限公司2022年大坦沙、石井分公司其他生产设备购置项目</w:t>
      </w:r>
    </w:p>
    <w:p>
      <w:pPr>
        <w:widowControl/>
        <w:spacing w:after="160" w:line="259" w:lineRule="auto"/>
        <w:jc w:val="left"/>
        <w:rPr>
          <w:rFonts w:hint="eastAsia" w:ascii="Calibri" w:hAnsi="Calibri" w:cs="Calibri"/>
          <w:color w:val="auto"/>
          <w:sz w:val="30"/>
          <w:szCs w:val="22"/>
          <w:highlight w:val="none"/>
          <w:lang w:val="en-US" w:eastAsia="zh-CN"/>
        </w:rPr>
      </w:pPr>
      <w:r>
        <w:rPr>
          <w:rFonts w:hint="eastAsia" w:ascii="Calibri" w:hAnsi="Calibri" w:cs="Calibri"/>
          <w:color w:val="auto"/>
          <w:sz w:val="30"/>
          <w:szCs w:val="22"/>
          <w:highlight w:val="none"/>
          <w:lang w:val="en-US" w:eastAsia="zh-CN"/>
        </w:rPr>
        <w:t>项目编号：</w:t>
      </w:r>
    </w:p>
    <w:p>
      <w:pPr>
        <w:widowControl/>
        <w:spacing w:after="160" w:line="259" w:lineRule="auto"/>
        <w:jc w:val="left"/>
        <w:rPr>
          <w:rFonts w:hint="eastAsia" w:ascii="Calibri" w:hAnsi="Calibri" w:cs="Calibri"/>
          <w:color w:val="auto"/>
          <w:sz w:val="30"/>
          <w:szCs w:val="22"/>
          <w:highlight w:val="none"/>
          <w:lang w:val="en-US" w:eastAsia="zh-CN"/>
        </w:rPr>
      </w:pPr>
    </w:p>
    <w:p>
      <w:pPr>
        <w:widowControl/>
        <w:spacing w:after="160" w:line="259" w:lineRule="auto"/>
        <w:jc w:val="left"/>
        <w:rPr>
          <w:rFonts w:ascii="Calibri" w:hAnsi="Calibri" w:cs="Calibri"/>
          <w:color w:val="auto"/>
          <w:sz w:val="30"/>
          <w:szCs w:val="30"/>
          <w:highlight w:val="none"/>
        </w:rPr>
      </w:pPr>
      <w:r>
        <w:rPr>
          <w:rFonts w:hint="eastAsia" w:ascii="Calibri" w:hAnsi="Calibri" w:cs="Calibri"/>
          <w:color w:val="auto"/>
          <w:sz w:val="30"/>
          <w:szCs w:val="22"/>
          <w:highlight w:val="none"/>
        </w:rPr>
        <w:t>合同编号：</w:t>
      </w:r>
      <w:r>
        <w:rPr>
          <w:rFonts w:hint="eastAsia" w:ascii="宋体" w:hAnsi="宋体" w:cs="宋体"/>
          <w:b/>
          <w:bCs/>
          <w:color w:val="auto"/>
          <w:sz w:val="30"/>
          <w:szCs w:val="30"/>
          <w:highlight w:val="none"/>
        </w:rPr>
        <w:t>穗净水合</w:t>
      </w:r>
      <w:r>
        <w:rPr>
          <w:rFonts w:ascii="宋体" w:hAnsi="宋体" w:cs="宋体"/>
          <w:b/>
          <w:bCs/>
          <w:color w:val="auto"/>
          <w:sz w:val="30"/>
          <w:szCs w:val="30"/>
          <w:highlight w:val="none"/>
        </w:rPr>
        <w:t xml:space="preserve">[     ]    </w:t>
      </w:r>
      <w:r>
        <w:rPr>
          <w:rFonts w:hint="eastAsia" w:ascii="宋体" w:hAnsi="宋体" w:cs="宋体"/>
          <w:b/>
          <w:bCs/>
          <w:color w:val="auto"/>
          <w:sz w:val="30"/>
          <w:szCs w:val="30"/>
          <w:highlight w:val="none"/>
        </w:rPr>
        <w:t>号</w:t>
      </w:r>
    </w:p>
    <w:p>
      <w:pPr>
        <w:widowControl/>
        <w:spacing w:after="160" w:line="259" w:lineRule="auto"/>
        <w:jc w:val="left"/>
        <w:rPr>
          <w:rFonts w:ascii="Calibri" w:hAnsi="Calibri" w:cs="Calibri"/>
          <w:color w:val="auto"/>
          <w:sz w:val="30"/>
          <w:szCs w:val="30"/>
          <w:highlight w:val="none"/>
        </w:rPr>
      </w:pPr>
    </w:p>
    <w:p>
      <w:pPr>
        <w:widowControl/>
        <w:spacing w:after="160" w:line="259" w:lineRule="auto"/>
        <w:jc w:val="left"/>
        <w:rPr>
          <w:rFonts w:ascii="Calibri" w:hAnsi="Calibri" w:cs="Calibri"/>
          <w:color w:val="auto"/>
          <w:sz w:val="30"/>
          <w:szCs w:val="22"/>
          <w:highlight w:val="none"/>
          <w:u w:val="single"/>
        </w:rPr>
      </w:pPr>
      <w:r>
        <w:rPr>
          <w:rFonts w:hint="eastAsia" w:ascii="Calibri" w:hAnsi="Calibri" w:cs="Calibri"/>
          <w:color w:val="auto"/>
          <w:sz w:val="30"/>
          <w:szCs w:val="22"/>
          <w:highlight w:val="none"/>
        </w:rPr>
        <w:t>甲方（买方）：</w:t>
      </w:r>
      <w:r>
        <w:rPr>
          <w:rFonts w:hint="eastAsia" w:ascii="Calibri" w:hAnsi="Calibri" w:cs="Calibri"/>
          <w:color w:val="auto"/>
          <w:sz w:val="30"/>
          <w:szCs w:val="22"/>
          <w:highlight w:val="none"/>
          <w:u w:val="single"/>
        </w:rPr>
        <w:t>广州市净水有限公司</w:t>
      </w:r>
    </w:p>
    <w:p>
      <w:pPr>
        <w:widowControl/>
        <w:spacing w:after="160" w:line="259" w:lineRule="auto"/>
        <w:jc w:val="left"/>
        <w:rPr>
          <w:rFonts w:ascii="Calibri" w:hAnsi="Calibri" w:cs="Calibri"/>
          <w:color w:val="auto"/>
          <w:sz w:val="30"/>
          <w:szCs w:val="22"/>
          <w:highlight w:val="none"/>
        </w:rPr>
      </w:pPr>
      <w:r>
        <w:rPr>
          <w:rFonts w:hint="eastAsia" w:ascii="Calibri" w:hAnsi="Calibri" w:cs="Calibri"/>
          <w:color w:val="auto"/>
          <w:sz w:val="30"/>
          <w:szCs w:val="22"/>
          <w:highlight w:val="none"/>
        </w:rPr>
        <w:t>乙方（卖方）：</w:t>
      </w:r>
      <w:r>
        <w:rPr>
          <w:rFonts w:ascii="Calibri" w:hAnsi="Calibri" w:cs="Calibri"/>
          <w:color w:val="auto"/>
          <w:sz w:val="30"/>
          <w:szCs w:val="22"/>
          <w:highlight w:val="none"/>
          <w:u w:val="single"/>
        </w:rPr>
        <w:t xml:space="preserve">                                        </w:t>
      </w:r>
      <w:r>
        <w:rPr>
          <w:rFonts w:ascii="Calibri" w:hAnsi="Calibri" w:cs="Calibri"/>
          <w:color w:val="auto"/>
          <w:sz w:val="30"/>
          <w:szCs w:val="22"/>
          <w:highlight w:val="none"/>
        </w:rPr>
        <w:t xml:space="preserve"> </w:t>
      </w:r>
    </w:p>
    <w:p>
      <w:pPr>
        <w:widowControl/>
        <w:spacing w:after="160" w:line="259" w:lineRule="auto"/>
        <w:jc w:val="left"/>
        <w:rPr>
          <w:rFonts w:ascii="Calibri" w:hAnsi="Calibri" w:cs="Calibri"/>
          <w:color w:val="auto"/>
          <w:sz w:val="30"/>
          <w:szCs w:val="22"/>
          <w:highlight w:val="none"/>
        </w:rPr>
      </w:pPr>
      <w:r>
        <w:rPr>
          <w:rFonts w:hint="eastAsia" w:ascii="Calibri" w:hAnsi="Calibri" w:cs="Calibri"/>
          <w:color w:val="auto"/>
          <w:sz w:val="30"/>
          <w:szCs w:val="22"/>
          <w:highlight w:val="none"/>
        </w:rPr>
        <w:t>签订日期：</w:t>
      </w:r>
      <w:r>
        <w:rPr>
          <w:rFonts w:ascii="Calibri" w:hAnsi="Calibri" w:cs="Calibri"/>
          <w:color w:val="auto"/>
          <w:sz w:val="30"/>
          <w:szCs w:val="22"/>
          <w:highlight w:val="none"/>
        </w:rPr>
        <w:t xml:space="preserve">           </w:t>
      </w:r>
      <w:r>
        <w:rPr>
          <w:rFonts w:hint="eastAsia" w:ascii="Calibri" w:hAnsi="Calibri" w:cs="Calibri"/>
          <w:color w:val="auto"/>
          <w:sz w:val="30"/>
          <w:szCs w:val="22"/>
          <w:highlight w:val="none"/>
        </w:rPr>
        <w:t>年</w:t>
      </w:r>
      <w:r>
        <w:rPr>
          <w:rFonts w:ascii="Calibri" w:hAnsi="Calibri" w:cs="Calibri"/>
          <w:color w:val="auto"/>
          <w:sz w:val="30"/>
          <w:szCs w:val="22"/>
          <w:highlight w:val="none"/>
        </w:rPr>
        <w:t xml:space="preserve">       </w:t>
      </w:r>
      <w:r>
        <w:rPr>
          <w:rFonts w:hint="eastAsia" w:ascii="Calibri" w:hAnsi="Calibri" w:cs="Calibri"/>
          <w:color w:val="auto"/>
          <w:sz w:val="30"/>
          <w:szCs w:val="22"/>
          <w:highlight w:val="none"/>
        </w:rPr>
        <w:t>月</w:t>
      </w:r>
      <w:r>
        <w:rPr>
          <w:rFonts w:ascii="Calibri" w:hAnsi="Calibri" w:cs="Calibri"/>
          <w:color w:val="auto"/>
          <w:sz w:val="30"/>
          <w:szCs w:val="22"/>
          <w:highlight w:val="none"/>
        </w:rPr>
        <w:t xml:space="preserve">     </w:t>
      </w:r>
      <w:r>
        <w:rPr>
          <w:rFonts w:hint="eastAsia" w:ascii="Calibri" w:hAnsi="Calibri" w:cs="Calibri"/>
          <w:color w:val="auto"/>
          <w:sz w:val="30"/>
          <w:szCs w:val="22"/>
          <w:highlight w:val="none"/>
        </w:rPr>
        <w:t>日</w:t>
      </w:r>
    </w:p>
    <w:p>
      <w:pPr>
        <w:widowControl/>
        <w:spacing w:after="160" w:line="259" w:lineRule="auto"/>
        <w:jc w:val="left"/>
        <w:rPr>
          <w:rFonts w:ascii="Calibri" w:hAnsi="Calibri" w:cs="Calibri"/>
          <w:color w:val="auto"/>
          <w:sz w:val="30"/>
          <w:szCs w:val="22"/>
          <w:highlight w:val="none"/>
        </w:rPr>
      </w:pPr>
      <w:r>
        <w:rPr>
          <w:rFonts w:hint="eastAsia" w:ascii="Calibri" w:hAnsi="Calibri" w:cs="Calibri"/>
          <w:color w:val="auto"/>
          <w:sz w:val="30"/>
          <w:szCs w:val="22"/>
          <w:highlight w:val="none"/>
        </w:rPr>
        <w:t>签约地点：广州市</w:t>
      </w:r>
    </w:p>
    <w:p>
      <w:pPr>
        <w:keepNext w:val="0"/>
        <w:keepLines w:val="0"/>
        <w:widowControl w:val="0"/>
        <w:spacing w:after="0" w:line="500" w:lineRule="exact"/>
        <w:ind w:left="0" w:right="0" w:firstLine="0"/>
        <w:jc w:val="center"/>
        <w:outlineLvl w:val="9"/>
        <w:rPr>
          <w:rFonts w:ascii="宋体" w:hAnsi="宋体" w:eastAsia="宋体" w:cs="宋体"/>
          <w:b/>
          <w:bCs/>
          <w:color w:val="auto"/>
          <w:kern w:val="0"/>
          <w:sz w:val="36"/>
          <w:szCs w:val="36"/>
          <w:highlight w:val="none"/>
          <w:lang w:val="zh-CN" w:eastAsia="zh-CN" w:bidi="ar-SA"/>
        </w:rPr>
      </w:pPr>
    </w:p>
    <w:p>
      <w:pPr>
        <w:widowControl/>
        <w:spacing w:after="160" w:line="360" w:lineRule="auto"/>
        <w:ind w:firstLine="720" w:firstLineChars="300"/>
        <w:jc w:val="left"/>
        <w:rPr>
          <w:rFonts w:hint="eastAsia" w:ascii="宋体" w:hAnsi="宋体" w:cs="宋体"/>
          <w:color w:val="auto"/>
          <w:sz w:val="24"/>
          <w:szCs w:val="24"/>
          <w:highlight w:val="none"/>
        </w:rPr>
      </w:pPr>
    </w:p>
    <w:p>
      <w:pPr>
        <w:widowControl/>
        <w:spacing w:after="160" w:line="360" w:lineRule="auto"/>
        <w:ind w:firstLine="720" w:firstLineChars="300"/>
        <w:jc w:val="left"/>
        <w:rPr>
          <w:rFonts w:hint="eastAsia" w:ascii="宋体" w:hAnsi="宋体" w:cs="宋体"/>
          <w:color w:val="auto"/>
          <w:sz w:val="24"/>
          <w:szCs w:val="24"/>
          <w:highlight w:val="none"/>
        </w:rPr>
      </w:pPr>
    </w:p>
    <w:p>
      <w:pPr>
        <w:widowControl/>
        <w:spacing w:after="160" w:line="360" w:lineRule="auto"/>
        <w:jc w:val="left"/>
        <w:rPr>
          <w:rFonts w:hint="eastAsia" w:ascii="宋体" w:hAnsi="宋体" w:cs="宋体"/>
          <w:color w:val="auto"/>
          <w:sz w:val="24"/>
          <w:szCs w:val="24"/>
          <w:highlight w:val="none"/>
        </w:rPr>
      </w:pPr>
    </w:p>
    <w:p>
      <w:pPr>
        <w:widowControl/>
        <w:spacing w:after="160" w:line="360" w:lineRule="auto"/>
        <w:ind w:firstLine="720" w:firstLineChars="3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》及其他有关法律、行政法规，</w:t>
      </w:r>
      <w:r>
        <w:rPr>
          <w:rFonts w:hint="eastAsia" w:ascii="宋体" w:hAnsi="宋体" w:cs="宋体"/>
          <w:color w:val="auto"/>
          <w:sz w:val="24"/>
          <w:szCs w:val="24"/>
          <w:highlight w:val="none"/>
          <w:u w:val="single"/>
        </w:rPr>
        <w:t>广州市净水有限公司</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（以下简称“甲方”）与</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（以下简称“乙方”）就</w:t>
      </w:r>
      <w:r>
        <w:rPr>
          <w:rFonts w:ascii="宋体" w:hAnsi="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广州市净水有限公司2022年大坦沙、石井分公司其他生产设备购置项目</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rPr>
        <w:t>采购和相应技术服务事宜，遵循平等、自愿、公平和诚实信用的原则，双方协商一致，订立本合同。</w:t>
      </w:r>
      <w:bookmarkStart w:id="86" w:name="_Toc1018"/>
      <w:bookmarkStart w:id="87" w:name="_Toc518992986"/>
      <w:bookmarkStart w:id="88" w:name="_Toc474245210"/>
      <w:bookmarkStart w:id="89" w:name="_Toc183666513"/>
      <w:bookmarkStart w:id="90" w:name="_Toc520190026"/>
    </w:p>
    <w:p>
      <w:pPr>
        <w:pStyle w:val="21"/>
        <w:rPr>
          <w:color w:val="auto"/>
          <w:highlight w:val="none"/>
        </w:rPr>
      </w:pPr>
    </w:p>
    <w:p>
      <w:pPr>
        <w:widowControl/>
        <w:spacing w:after="160" w:line="360" w:lineRule="auto"/>
        <w:ind w:firstLine="540"/>
        <w:jc w:val="left"/>
        <w:rPr>
          <w:rFonts w:ascii="宋体" w:hAnsi="宋体" w:cs="宋体"/>
          <w:b/>
          <w:bCs/>
          <w:color w:val="auto"/>
          <w:sz w:val="24"/>
          <w:szCs w:val="24"/>
          <w:highlight w:val="none"/>
        </w:rPr>
      </w:pPr>
      <w:r>
        <w:rPr>
          <w:rFonts w:ascii="宋体" w:hAnsi="宋体" w:cs="宋体"/>
          <w:b/>
          <w:bCs/>
          <w:color w:val="auto"/>
          <w:sz w:val="24"/>
          <w:szCs w:val="24"/>
          <w:highlight w:val="none"/>
        </w:rPr>
        <w:t>第一条 组成合同的文件及优先顺序</w:t>
      </w:r>
    </w:p>
    <w:p>
      <w:pPr>
        <w:widowControl w:val="0"/>
        <w:spacing w:after="0" w:line="360" w:lineRule="auto"/>
        <w:ind w:firstLine="480" w:firstLineChars="200"/>
        <w:jc w:val="both"/>
        <w:rPr>
          <w:rFonts w:ascii="宋体" w:hAnsi="宋体" w:eastAsia="宋体" w:cs="宋体"/>
          <w:color w:val="auto"/>
          <w:sz w:val="24"/>
          <w:szCs w:val="24"/>
          <w:highlight w:val="none"/>
        </w:rPr>
      </w:pPr>
      <w:r>
        <w:rPr>
          <w:rFonts w:hint="eastAsia" w:ascii="Times New Roman" w:hAnsi="宋体" w:eastAsia="宋体" w:cs="宋体"/>
          <w:bCs/>
          <w:color w:val="auto"/>
          <w:sz w:val="24"/>
          <w:szCs w:val="20"/>
          <w:highlight w:val="none"/>
        </w:rPr>
        <w:t>下列文件（如有）均为本合同的组成部分，可视为能相互说明和补充的，如果合同文件存在歧义或相矛盾的地方，则根据以下次序判断：</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⑴</w:t>
      </w:r>
      <w:r>
        <w:rPr>
          <w:rFonts w:ascii="宋体" w:hAnsi="宋体" w:eastAsia="宋体" w:cs="宋体"/>
          <w:bCs/>
          <w:color w:val="auto"/>
          <w:sz w:val="24"/>
          <w:szCs w:val="20"/>
          <w:highlight w:val="none"/>
        </w:rPr>
        <w:t xml:space="preserve"> </w:t>
      </w:r>
      <w:r>
        <w:rPr>
          <w:rFonts w:hint="eastAsia" w:ascii="宋体" w:hAnsi="宋体" w:eastAsia="宋体" w:cs="宋体"/>
          <w:color w:val="auto"/>
          <w:sz w:val="24"/>
          <w:szCs w:val="20"/>
          <w:highlight w:val="none"/>
        </w:rPr>
        <w:t>在本合同实施过程双方签署的补充与修正文件</w:t>
      </w:r>
      <w:r>
        <w:rPr>
          <w:rFonts w:hint="eastAsia" w:ascii="宋体" w:hAnsi="宋体" w:eastAsia="宋体" w:cs="宋体"/>
          <w:bCs/>
          <w:color w:val="auto"/>
          <w:sz w:val="24"/>
          <w:szCs w:val="20"/>
          <w:highlight w:val="none"/>
        </w:rPr>
        <w:t>；</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⑵</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本合同书；</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⑶</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发包通知书</w:t>
      </w:r>
      <w:r>
        <w:rPr>
          <w:rFonts w:ascii="宋体" w:hAnsi="宋体" w:eastAsia="宋体" w:cs="宋体"/>
          <w:bCs/>
          <w:color w:val="auto"/>
          <w:sz w:val="24"/>
          <w:szCs w:val="20"/>
          <w:highlight w:val="none"/>
        </w:rPr>
        <w:t>/</w:t>
      </w:r>
      <w:r>
        <w:rPr>
          <w:rFonts w:hint="eastAsia" w:ascii="宋体" w:hAnsi="宋体" w:eastAsia="宋体" w:cs="宋体"/>
          <w:bCs/>
          <w:color w:val="auto"/>
          <w:sz w:val="24"/>
          <w:szCs w:val="20"/>
          <w:highlight w:val="none"/>
        </w:rPr>
        <w:t>委托函；</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⑷</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询价文件；</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⑸</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响应文件；</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⑹</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标准、规范及有关技术性文件；</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⑺</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图纸；</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⑻</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工程量清单</w:t>
      </w:r>
      <w:r>
        <w:rPr>
          <w:rFonts w:ascii="宋体" w:hAnsi="宋体" w:eastAsia="宋体" w:cs="宋体"/>
          <w:bCs/>
          <w:color w:val="auto"/>
          <w:sz w:val="24"/>
          <w:szCs w:val="20"/>
          <w:highlight w:val="none"/>
        </w:rPr>
        <w:t>/</w:t>
      </w:r>
      <w:r>
        <w:rPr>
          <w:rFonts w:hint="eastAsia" w:ascii="宋体" w:hAnsi="宋体" w:eastAsia="宋体" w:cs="宋体"/>
          <w:color w:val="auto"/>
          <w:sz w:val="24"/>
          <w:szCs w:val="20"/>
          <w:highlight w:val="none"/>
        </w:rPr>
        <w:t>工程报价单或预算书；</w:t>
      </w:r>
    </w:p>
    <w:p>
      <w:pPr>
        <w:widowControl w:val="0"/>
        <w:spacing w:after="0" w:line="360" w:lineRule="auto"/>
        <w:ind w:firstLine="480" w:firstLineChars="200"/>
        <w:jc w:val="both"/>
        <w:rPr>
          <w:rFonts w:hint="eastAsia"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⑼</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本合同其他附件；</w:t>
      </w:r>
    </w:p>
    <w:p>
      <w:pPr>
        <w:pStyle w:val="21"/>
        <w:rPr>
          <w:color w:val="auto"/>
          <w:highlight w:val="none"/>
        </w:rPr>
      </w:pPr>
    </w:p>
    <w:p>
      <w:pPr>
        <w:widowControl/>
        <w:spacing w:after="160" w:line="360" w:lineRule="auto"/>
        <w:jc w:val="left"/>
        <w:rPr>
          <w:rFonts w:ascii="宋体" w:hAnsi="宋体" w:cs="宋体"/>
          <w:bCs/>
          <w:color w:val="auto"/>
          <w:sz w:val="24"/>
          <w:szCs w:val="24"/>
          <w:highlight w:val="none"/>
        </w:rPr>
      </w:pPr>
      <w:r>
        <w:rPr>
          <w:rFonts w:ascii="宋体" w:hAnsi="宋体" w:cs="宋体"/>
          <w:color w:val="auto"/>
          <w:sz w:val="24"/>
          <w:szCs w:val="24"/>
          <w:highlight w:val="none"/>
        </w:rPr>
        <w:t xml:space="preserve">   </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第二条</w:t>
      </w:r>
      <w:r>
        <w:rPr>
          <w:rFonts w:ascii="宋体" w:hAnsi="宋体" w:cs="宋体"/>
          <w:b/>
          <w:bCs/>
          <w:color w:val="auto"/>
          <w:sz w:val="24"/>
          <w:szCs w:val="24"/>
          <w:highlight w:val="none"/>
        </w:rPr>
        <w:t xml:space="preserve"> </w:t>
      </w:r>
      <w:bookmarkEnd w:id="86"/>
      <w:bookmarkEnd w:id="87"/>
      <w:bookmarkEnd w:id="88"/>
      <w:bookmarkEnd w:id="89"/>
      <w:bookmarkEnd w:id="90"/>
      <w:r>
        <w:rPr>
          <w:rFonts w:hint="eastAsia" w:ascii="宋体" w:hAnsi="宋体" w:cs="宋体"/>
          <w:b/>
          <w:color w:val="auto"/>
          <w:sz w:val="24"/>
          <w:szCs w:val="24"/>
          <w:highlight w:val="none"/>
        </w:rPr>
        <w:t>合同标的</w:t>
      </w:r>
    </w:p>
    <w:p>
      <w:pPr>
        <w:keepNext w:val="0"/>
        <w:keepLines w:val="0"/>
        <w:pageBreakBefore w:val="0"/>
        <w:widowControl/>
        <w:kinsoku/>
        <w:wordWrap/>
        <w:overflowPunct/>
        <w:topLinePunct w:val="0"/>
        <w:autoSpaceDE w:val="0"/>
        <w:autoSpaceDN w:val="0"/>
        <w:bidi w:val="0"/>
        <w:adjustRightInd w:val="0"/>
        <w:snapToGrid/>
        <w:spacing w:after="160" w:line="240" w:lineRule="auto"/>
        <w:ind w:firstLine="480" w:firstLineChars="200"/>
        <w:jc w:val="left"/>
        <w:textAlignment w:val="auto"/>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本合同所指设备为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全新的原装产品，原产地为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zh-CN"/>
        </w:rPr>
        <w:t>，</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名称、型号、规格、数量、金额详见下表：</w:t>
      </w:r>
    </w:p>
    <w:p>
      <w:pPr>
        <w:pStyle w:val="21"/>
        <w:ind w:left="0" w:leftChars="0" w:firstLine="0" w:firstLineChars="0"/>
        <w:rPr>
          <w:rFonts w:hint="eastAsia" w:ascii="宋体" w:hAnsi="宋体" w:cs="宋体"/>
          <w:color w:val="auto"/>
          <w:kern w:val="0"/>
          <w:sz w:val="24"/>
          <w:szCs w:val="24"/>
          <w:highlight w:val="none"/>
          <w:lang w:val="zh-CN"/>
        </w:rPr>
      </w:pPr>
    </w:p>
    <w:tbl>
      <w:tblPr>
        <w:tblStyle w:val="22"/>
        <w:tblW w:w="0" w:type="auto"/>
        <w:tblInd w:w="0" w:type="dxa"/>
        <w:tblLayout w:type="fixed"/>
        <w:tblCellMar>
          <w:top w:w="0" w:type="dxa"/>
          <w:left w:w="79" w:type="dxa"/>
          <w:bottom w:w="0" w:type="dxa"/>
          <w:right w:w="79" w:type="dxa"/>
        </w:tblCellMar>
      </w:tblPr>
      <w:tblGrid>
        <w:gridCol w:w="779"/>
        <w:gridCol w:w="1178"/>
        <w:gridCol w:w="709"/>
        <w:gridCol w:w="698"/>
        <w:gridCol w:w="679"/>
        <w:gridCol w:w="901"/>
        <w:gridCol w:w="1050"/>
        <w:gridCol w:w="827"/>
        <w:gridCol w:w="1148"/>
        <w:gridCol w:w="926"/>
        <w:tblGridChange w:id="0">
          <w:tblGrid>
            <w:gridCol w:w="779"/>
            <w:gridCol w:w="827"/>
            <w:gridCol w:w="351"/>
            <w:gridCol w:w="709"/>
            <w:gridCol w:w="698"/>
            <w:gridCol w:w="679"/>
            <w:gridCol w:w="901"/>
            <w:gridCol w:w="1050"/>
            <w:gridCol w:w="827"/>
            <w:gridCol w:w="1148"/>
            <w:gridCol w:w="926"/>
          </w:tblGrid>
        </w:tblGridChange>
      </w:tblGrid>
      <w:tr>
        <w:tblPrEx>
          <w:tblCellMar>
            <w:top w:w="0" w:type="dxa"/>
            <w:left w:w="79" w:type="dxa"/>
            <w:bottom w:w="0" w:type="dxa"/>
            <w:right w:w="79" w:type="dxa"/>
          </w:tblCellMar>
        </w:tblPrEx>
        <w:trPr>
          <w:trHeight w:val="567"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序号</w:t>
            </w:r>
          </w:p>
        </w:tc>
        <w:tc>
          <w:tcPr>
            <w:tcW w:w="1178"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名称</w:t>
            </w:r>
          </w:p>
        </w:tc>
        <w:tc>
          <w:tcPr>
            <w:tcW w:w="70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生产厂家及品牌</w:t>
            </w:r>
          </w:p>
        </w:tc>
        <w:tc>
          <w:tcPr>
            <w:tcW w:w="698"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单位</w:t>
            </w:r>
          </w:p>
        </w:tc>
        <w:tc>
          <w:tcPr>
            <w:tcW w:w="67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数量</w:t>
            </w:r>
          </w:p>
        </w:tc>
        <w:tc>
          <w:tcPr>
            <w:tcW w:w="195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单价（万元）</w:t>
            </w:r>
          </w:p>
        </w:tc>
        <w:tc>
          <w:tcPr>
            <w:tcW w:w="1975"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金额（万元）</w:t>
            </w:r>
          </w:p>
        </w:tc>
        <w:tc>
          <w:tcPr>
            <w:tcW w:w="926"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备注</w:t>
            </w:r>
          </w:p>
        </w:tc>
      </w:tr>
      <w:tr>
        <w:trPr>
          <w:trHeight w:val="990"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1178"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70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698"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67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926"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default" w:ascii="仿宋_GB2312" w:hAnsi="仿宋" w:eastAsia="仿宋_GB2312" w:cs="宋体"/>
                <w:color w:val="auto"/>
                <w:kern w:val="0"/>
                <w:sz w:val="24"/>
                <w:szCs w:val="28"/>
                <w:highlight w:val="none"/>
                <w:lang w:val="zh-CN" w:eastAsia="zh-CN" w:bidi="ar-SA"/>
              </w:rPr>
            </w:pPr>
            <w:r>
              <w:rPr>
                <w:rFonts w:hint="eastAsia" w:ascii="仿宋_GB2312" w:hAnsi="仿宋" w:eastAsia="仿宋_GB2312" w:cs="宋体"/>
                <w:color w:val="auto"/>
                <w:kern w:val="0"/>
                <w:sz w:val="24"/>
                <w:szCs w:val="28"/>
                <w:highlight w:val="none"/>
                <w:lang w:val="en-US" w:eastAsia="zh-CN"/>
              </w:rPr>
              <w:t>项目一</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雕刻机床</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仿宋" w:eastAsia="仿宋_GB2312" w:cs="宋体"/>
                <w:color w:val="auto"/>
                <w:kern w:val="0"/>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项目二</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default"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u w:val="none"/>
                <w:lang w:val="en-US" w:eastAsia="zh-CN"/>
              </w:rPr>
              <w:t>螺杆式空气压缩机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sz w:val="24"/>
                <w:szCs w:val="32"/>
                <w:highlight w:val="none"/>
                <w:u w:val="none"/>
                <w:lang w:val="en-US" w:eastAsia="zh-CN"/>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sz w:val="24"/>
                <w:szCs w:val="32"/>
                <w:highlight w:val="none"/>
                <w:u w:val="none"/>
                <w:lang w:val="en-US" w:eastAsia="zh-CN"/>
              </w:rPr>
              <w:t>2</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ascii="仿宋_GB2312" w:hAnsi="Times New Roman" w:eastAsia="仿宋_GB2312" w:cs="Times New Roman"/>
                <w:color w:val="auto"/>
                <w:kern w:val="2"/>
                <w:sz w:val="24"/>
                <w:szCs w:val="32"/>
                <w:highlight w:val="none"/>
                <w:u w:val="none"/>
                <w:lang w:val="zh-CN" w:eastAsia="zh-CN" w:bidi="ar-SA"/>
              </w:rPr>
            </w:pPr>
            <w:r>
              <w:rPr>
                <w:rFonts w:hint="eastAsia" w:ascii="仿宋_GB2312" w:hAnsi="仿宋_GB2312" w:eastAsia="仿宋_GB2312" w:cs="仿宋_GB2312"/>
                <w:color w:val="auto"/>
                <w:sz w:val="24"/>
                <w:szCs w:val="24"/>
                <w:highlight w:val="none"/>
                <w:u w:val="none"/>
                <w:lang w:val="en-US" w:eastAsia="zh-CN"/>
              </w:rPr>
              <w:t>整机配备安装附件</w:t>
            </w:r>
          </w:p>
        </w:tc>
      </w:tr>
      <w:tr>
        <w:tblPrEx>
          <w:tblCellMar>
            <w:top w:w="0" w:type="dxa"/>
            <w:left w:w="79" w:type="dxa"/>
            <w:bottom w:w="0" w:type="dxa"/>
            <w:right w:w="79" w:type="dxa"/>
          </w:tblCellMar>
        </w:tblPrEx>
        <w:trPr>
          <w:trHeight w:val="995"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hint="eastAsia" w:ascii="宋体" w:hAnsi="宋体" w:cs="宋体"/>
                <w:color w:val="auto"/>
                <w:kern w:val="0"/>
                <w:sz w:val="24"/>
                <w:szCs w:val="24"/>
                <w:highlight w:val="none"/>
                <w:lang w:val="en-US" w:eastAsia="zh-CN"/>
              </w:rPr>
            </w:pP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u w:val="none"/>
                <w:lang w:val="en-US" w:eastAsia="zh-CN"/>
              </w:rPr>
              <w:t>冷冻式干燥机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项目三</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lang w:val="en-US" w:eastAsia="zh-CN"/>
              </w:rPr>
              <w:t>立钻钻床</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kern w:val="2"/>
                <w:sz w:val="24"/>
                <w:szCs w:val="28"/>
                <w:highlight w:val="none"/>
                <w:lang w:val="en-US" w:eastAsia="zh-CN" w:bidi="ar-SA"/>
              </w:rPr>
              <w:t>项目四</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对中仪</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项目五</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移动式一体化防爆布控球</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项目六</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吸尘清洁车</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项目七</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移动式高压疏通清洗机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项目八</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空压机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lang w:val="zh-CN" w:eastAsia="zh-CN" w:bidi="ar-SA"/>
              </w:rPr>
            </w:pPr>
            <w:r>
              <w:rPr>
                <w:rFonts w:hint="eastAsia" w:ascii="仿宋_GB2312" w:hAnsi="Times New Roman" w:eastAsia="仿宋_GB2312" w:cs="Times New Roman"/>
                <w:color w:val="auto"/>
                <w:sz w:val="24"/>
                <w:szCs w:val="32"/>
                <w:highlight w:val="none"/>
                <w:lang w:val="en-US" w:eastAsia="zh-CN"/>
              </w:rPr>
              <w:t>含安装调试</w:t>
            </w:r>
          </w:p>
        </w:tc>
      </w:tr>
      <w:tr>
        <w:trPr>
          <w:trHeight w:val="995"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项目九</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0"/>
                <w:szCs w:val="20"/>
                <w:highlight w:val="none"/>
                <w:u w:val="none"/>
                <w:lang w:val="en-US" w:eastAsia="zh-CN" w:bidi="ar"/>
              </w:rPr>
              <w:t>12V65AH(UPS不间断电源）</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2</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hint="eastAsia" w:ascii="宋体" w:hAnsi="宋体" w:cs="宋体"/>
                <w:color w:val="auto"/>
                <w:kern w:val="0"/>
                <w:sz w:val="24"/>
                <w:szCs w:val="24"/>
                <w:highlight w:val="none"/>
                <w:lang w:val="en-US" w:eastAsia="zh-CN"/>
              </w:rPr>
            </w:pP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0"/>
                <w:szCs w:val="20"/>
                <w:highlight w:val="none"/>
                <w:u w:val="none"/>
                <w:lang w:val="en-US" w:eastAsia="zh-CN" w:bidi="ar"/>
              </w:rPr>
              <w:t>12V100AH(UPS不间断电源）</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项目十</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管道潜望镜QV</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576" w:hRule="atLeast"/>
        </w:trPr>
        <w:tc>
          <w:tcPr>
            <w:tcW w:w="3364"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widowControl/>
              <w:autoSpaceDE w:val="0"/>
              <w:autoSpaceDN w:val="0"/>
              <w:adjustRightInd w:val="0"/>
              <w:spacing w:after="160"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合同暂定总价</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0"/>
            <w:vAlign w:val="top"/>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widowControl/>
              <w:autoSpaceDE w:val="0"/>
              <w:autoSpaceDN w:val="0"/>
              <w:adjustRightInd w:val="0"/>
              <w:spacing w:after="160"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p>
        </w:tc>
      </w:tr>
    </w:tbl>
    <w:p>
      <w:pPr>
        <w:widowControl/>
        <w:spacing w:after="120" w:afterLines="50" w:line="360" w:lineRule="auto"/>
        <w:ind w:firstLine="480" w:firstLineChars="200"/>
        <w:jc w:val="left"/>
        <w:rPr>
          <w:rFonts w:ascii="宋体" w:hAnsi="宋体" w:cs="宋体"/>
          <w:color w:val="auto"/>
          <w:kern w:val="0"/>
          <w:sz w:val="24"/>
          <w:szCs w:val="24"/>
          <w:highlight w:val="none"/>
        </w:rPr>
      </w:pPr>
      <w:bookmarkStart w:id="91" w:name="_Toc17140"/>
      <w:bookmarkStart w:id="92" w:name="_Toc518992987"/>
      <w:bookmarkStart w:id="93" w:name="_Toc520190027"/>
      <w:bookmarkStart w:id="94" w:name="_Toc474245211"/>
    </w:p>
    <w:p>
      <w:pPr>
        <w:widowControl/>
        <w:spacing w:after="120" w:afterLines="50" w:line="360" w:lineRule="auto"/>
        <w:ind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其他技术需求见附件（如需）。</w:t>
      </w:r>
      <w:bookmarkEnd w:id="91"/>
      <w:bookmarkStart w:id="95" w:name="_Toc183666514"/>
      <w:bookmarkStart w:id="96" w:name="_Toc107446842"/>
      <w:bookmarkStart w:id="97" w:name="_Toc26357"/>
      <w:bookmarkStart w:id="98" w:name="_Toc107447235"/>
    </w:p>
    <w:p>
      <w:pPr>
        <w:widowControl/>
        <w:spacing w:after="120" w:afterLines="50" w:line="360" w:lineRule="auto"/>
        <w:ind w:firstLine="482" w:firstLineChars="200"/>
        <w:jc w:val="left"/>
        <w:rPr>
          <w:rFonts w:ascii="宋体" w:hAnsi="宋体" w:cs="宋体"/>
          <w:color w:val="auto"/>
          <w:sz w:val="24"/>
          <w:szCs w:val="24"/>
          <w:highlight w:val="none"/>
        </w:rPr>
      </w:pPr>
      <w:r>
        <w:rPr>
          <w:rFonts w:hint="eastAsia" w:ascii="宋体" w:hAnsi="宋体" w:cs="宋体"/>
          <w:b/>
          <w:color w:val="auto"/>
          <w:sz w:val="24"/>
          <w:szCs w:val="24"/>
          <w:highlight w:val="none"/>
        </w:rPr>
        <w:t>第三条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交货日期及地点</w:t>
      </w:r>
    </w:p>
    <w:p>
      <w:pPr>
        <w:widowControl/>
        <w:spacing w:after="120" w:afterLines="50" w:line="360" w:lineRule="auto"/>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rPr>
        <w:t>交货日期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 xml:space="preserve">合同签订后/天内 ，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日前完成供货（如需有不同交货时间注明）</w:t>
      </w:r>
      <w:r>
        <w:rPr>
          <w:rFonts w:ascii="宋体" w:hAnsi="宋体" w:cs="宋体"/>
          <w:color w:val="auto"/>
          <w:sz w:val="24"/>
          <w:szCs w:val="24"/>
          <w:highlight w:val="none"/>
        </w:rPr>
        <w:t>,</w:t>
      </w:r>
      <w:r>
        <w:rPr>
          <w:rFonts w:hint="eastAsia" w:ascii="宋体" w:hAnsi="宋体" w:cs="宋体"/>
          <w:color w:val="auto"/>
          <w:sz w:val="24"/>
          <w:szCs w:val="24"/>
          <w:highlight w:val="none"/>
        </w:rPr>
        <w:t>具体交货时间以</w:t>
      </w:r>
      <w:r>
        <w:rPr>
          <w:rFonts w:hint="eastAsia" w:ascii="宋体" w:hAnsi="宋体" w:cs="宋体"/>
          <w:color w:val="auto"/>
          <w:sz w:val="24"/>
          <w:szCs w:val="24"/>
          <w:highlight w:val="none"/>
          <w:lang w:val="en-US" w:eastAsia="zh-CN"/>
        </w:rPr>
        <w:t>下列表格</w:t>
      </w:r>
      <w:r>
        <w:rPr>
          <w:rFonts w:hint="eastAsia" w:ascii="宋体" w:hAnsi="宋体" w:cs="宋体"/>
          <w:color w:val="auto"/>
          <w:sz w:val="24"/>
          <w:szCs w:val="24"/>
          <w:highlight w:val="none"/>
        </w:rPr>
        <w:t>为准。</w:t>
      </w:r>
    </w:p>
    <w:tbl>
      <w:tblPr>
        <w:tblStyle w:val="23"/>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904"/>
        <w:gridCol w:w="3195"/>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序号</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3195"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1214"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项目一</w:t>
            </w:r>
          </w:p>
        </w:tc>
        <w:tc>
          <w:tcPr>
            <w:tcW w:w="1904"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_GB2312" w:eastAsia="仿宋_GB2312" w:cs="仿宋_GB2312"/>
                <w:color w:val="auto"/>
                <w:sz w:val="24"/>
                <w:szCs w:val="24"/>
                <w:highlight w:val="none"/>
                <w:lang w:val="en-US" w:eastAsia="zh-CN"/>
              </w:rPr>
              <w:t>雕刻机床</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项目二</w:t>
            </w:r>
          </w:p>
        </w:tc>
        <w:tc>
          <w:tcPr>
            <w:tcW w:w="1904"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rPr>
            </w:pPr>
            <w:r>
              <w:rPr>
                <w:rFonts w:hint="eastAsia" w:ascii="仿宋_GB2312" w:hAnsi="仿宋_GB2312" w:eastAsia="仿宋_GB2312" w:cs="仿宋_GB2312"/>
                <w:color w:val="auto"/>
                <w:sz w:val="24"/>
                <w:szCs w:val="24"/>
                <w:highlight w:val="none"/>
                <w:u w:val="none"/>
                <w:lang w:val="en-US" w:eastAsia="zh-CN"/>
              </w:rPr>
              <w:t>螺杆式空气压缩机及冷冻式干燥机</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904"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lang w:val="en-US" w:eastAsia="zh-CN"/>
              </w:rPr>
              <w:t>立钻钻床</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kern w:val="2"/>
                <w:sz w:val="24"/>
                <w:szCs w:val="28"/>
                <w:highlight w:val="none"/>
                <w:lang w:val="en-US" w:eastAsia="zh-CN" w:bidi="ar-SA"/>
              </w:rPr>
              <w:t>项目四</w:t>
            </w:r>
          </w:p>
        </w:tc>
        <w:tc>
          <w:tcPr>
            <w:tcW w:w="1904" w:type="dxa"/>
            <w:vAlign w:val="center"/>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_GB2312" w:eastAsia="仿宋_GB2312" w:cs="仿宋_GB2312"/>
                <w:color w:val="auto"/>
                <w:sz w:val="24"/>
                <w:szCs w:val="24"/>
                <w:highlight w:val="none"/>
                <w:lang w:val="en-US" w:eastAsia="zh-CN"/>
              </w:rPr>
              <w:t>对中仪</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项目五</w:t>
            </w:r>
          </w:p>
        </w:tc>
        <w:tc>
          <w:tcPr>
            <w:tcW w:w="1904"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移动式一体化防爆布控球</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项目六</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吸尘清洁车</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项目七</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石井分公司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移动式高压疏通清洗机</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项目八</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大沙地分公司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空压机</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项目九</w:t>
            </w:r>
          </w:p>
        </w:tc>
        <w:tc>
          <w:tcPr>
            <w:tcW w:w="1904"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竹料分公司</w:t>
            </w:r>
          </w:p>
        </w:tc>
        <w:tc>
          <w:tcPr>
            <w:tcW w:w="319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宋体" w:hAnsi="宋体" w:eastAsia="宋体" w:cs="宋体"/>
                <w:color w:val="auto"/>
                <w:kern w:val="0"/>
                <w:sz w:val="20"/>
                <w:szCs w:val="20"/>
                <w:highlight w:val="none"/>
                <w:u w:val="none"/>
                <w:lang w:val="en-US" w:eastAsia="zh-CN" w:bidi="ar"/>
              </w:rPr>
              <w:t>12V65AH(UPS不间断电源）及12V100AH(UPS不间断电源）</w:t>
            </w:r>
          </w:p>
        </w:tc>
        <w:tc>
          <w:tcPr>
            <w:tcW w:w="1214"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项目十</w:t>
            </w:r>
          </w:p>
        </w:tc>
        <w:tc>
          <w:tcPr>
            <w:tcW w:w="1904" w:type="dxa"/>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西朗二期分公司</w:t>
            </w:r>
          </w:p>
        </w:tc>
        <w:tc>
          <w:tcPr>
            <w:tcW w:w="3195"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管道潜望镜QV</w:t>
            </w:r>
          </w:p>
        </w:tc>
        <w:tc>
          <w:tcPr>
            <w:tcW w:w="1214"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30天</w:t>
            </w:r>
          </w:p>
        </w:tc>
      </w:tr>
    </w:tbl>
    <w:p>
      <w:pPr>
        <w:pStyle w:val="28"/>
        <w:rPr>
          <w:color w:val="auto"/>
          <w:highlight w:val="none"/>
        </w:rPr>
      </w:pPr>
    </w:p>
    <w:p>
      <w:pPr>
        <w:widowControl/>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项目一二三四五六：大坦沙分公司、项目七：石井分公司、项目八：大沙地分公司、项目九：竹料分公司、项目十：西朗二期分公司</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最终具体交货地点以甲方书面通知为准。</w:t>
      </w:r>
    </w:p>
    <w:p>
      <w:pPr>
        <w:widowControl/>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7</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widowControl/>
        <w:spacing w:after="0" w:line="360" w:lineRule="auto"/>
        <w:ind w:firstLine="480" w:firstLineChars="200"/>
        <w:jc w:val="left"/>
        <w:rPr>
          <w:rFonts w:ascii="宋体" w:hAnsi="宋体" w:cs="宋体"/>
          <w:b/>
          <w:color w:val="auto"/>
          <w:sz w:val="24"/>
          <w:szCs w:val="24"/>
          <w:highlight w:val="none"/>
        </w:rPr>
      </w:pPr>
      <w:r>
        <w:rPr>
          <w:rFonts w:ascii="宋体" w:hAnsi="宋体" w:cs="宋体"/>
          <w:bCs/>
          <w:color w:val="auto"/>
          <w:sz w:val="24"/>
          <w:szCs w:val="24"/>
          <w:highlight w:val="none"/>
        </w:rPr>
        <w:t>3.4</w:t>
      </w:r>
      <w:r>
        <w:rPr>
          <w:rFonts w:hint="eastAsia" w:ascii="宋体" w:hAnsi="宋体" w:cs="宋体"/>
          <w:bCs/>
          <w:color w:val="auto"/>
          <w:sz w:val="24"/>
          <w:szCs w:val="24"/>
          <w:highlight w:val="none"/>
        </w:rPr>
        <w:t>其他：</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widowControl/>
        <w:spacing w:after="0" w:line="360" w:lineRule="auto"/>
        <w:ind w:firstLine="482" w:firstLineChars="200"/>
        <w:jc w:val="left"/>
        <w:rPr>
          <w:rFonts w:ascii="宋体" w:hAnsi="宋体" w:cs="宋体"/>
          <w:color w:val="auto"/>
          <w:kern w:val="0"/>
          <w:sz w:val="24"/>
          <w:szCs w:val="24"/>
          <w:highlight w:val="none"/>
          <w:lang w:val="zh-CN"/>
        </w:rPr>
      </w:pPr>
      <w:r>
        <w:rPr>
          <w:rFonts w:hint="eastAsia" w:ascii="宋体" w:hAnsi="宋体" w:cs="宋体"/>
          <w:b/>
          <w:color w:val="auto"/>
          <w:sz w:val="24"/>
          <w:szCs w:val="24"/>
          <w:highlight w:val="none"/>
        </w:rPr>
        <w:t>第四条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合同价格</w:t>
      </w:r>
    </w:p>
    <w:p>
      <w:pPr>
        <w:widowControl/>
        <w:autoSpaceDE w:val="0"/>
        <w:autoSpaceDN w:val="0"/>
        <w:adjustRightInd w:val="0"/>
        <w:spacing w:after="0" w:line="360" w:lineRule="auto"/>
        <w:ind w:firstLine="480" w:firstLineChars="200"/>
        <w:jc w:val="left"/>
        <w:rPr>
          <w:rFonts w:ascii="宋体" w:hAnsi="宋体" w:cs="宋体"/>
          <w:color w:val="auto"/>
          <w:kern w:val="0"/>
          <w:sz w:val="24"/>
          <w:szCs w:val="24"/>
          <w:highlight w:val="non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ascii="宋体" w:hAnsi="宋体" w:cs="宋体"/>
          <w:color w:val="auto"/>
          <w:kern w:val="0"/>
          <w:sz w:val="24"/>
          <w:szCs w:val="24"/>
          <w:highlight w:val="none"/>
          <w:lang w:val="zh-CN"/>
        </w:rPr>
        <w:t xml:space="preserve"> </w:t>
      </w:r>
    </w:p>
    <w:p>
      <w:pPr>
        <w:widowControl/>
        <w:autoSpaceDE w:val="0"/>
        <w:autoSpaceDN w:val="0"/>
        <w:adjustRightInd w:val="0"/>
        <w:spacing w:after="0" w:line="360" w:lineRule="auto"/>
        <w:ind w:firstLine="480" w:firstLineChars="200"/>
        <w:jc w:val="left"/>
        <w:rPr>
          <w:rFonts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设备价格包括</w:t>
      </w:r>
      <w:r>
        <w:rPr>
          <w:rFonts w:hint="eastAsia" w:ascii="宋体" w:hAnsi="宋体" w:cs="宋体"/>
          <w:color w:val="auto"/>
          <w:kern w:val="0"/>
          <w:sz w:val="24"/>
          <w:szCs w:val="24"/>
          <w:highlight w:val="none"/>
          <w:u w:val="single"/>
          <w:lang w:val="zh-CN"/>
        </w:rPr>
        <w:t>设备及随机附件的制造、包装、运输（设备运输过程中所需的相关手续</w:t>
      </w:r>
      <w:r>
        <w:rPr>
          <w:rFonts w:hint="eastAsia" w:ascii="宋体" w:hAnsi="宋体" w:cs="宋体"/>
          <w:color w:val="auto"/>
          <w:kern w:val="0"/>
          <w:sz w:val="24"/>
          <w:szCs w:val="24"/>
          <w:highlight w:val="none"/>
          <w:u w:val="single"/>
        </w:rPr>
        <w:t>及费用</w:t>
      </w:r>
      <w:r>
        <w:rPr>
          <w:rFonts w:hint="eastAsia" w:ascii="宋体" w:hAnsi="宋体" w:cs="宋体"/>
          <w:color w:val="auto"/>
          <w:kern w:val="0"/>
          <w:sz w:val="24"/>
          <w:szCs w:val="24"/>
          <w:highlight w:val="none"/>
          <w:u w:val="single"/>
          <w:lang w:val="zh-CN"/>
        </w:rPr>
        <w:t>）、装卸、验收、技术服务（包括技术资料、图纸的提供）、质保期保修、税费、保险费等全部费用。</w:t>
      </w:r>
    </w:p>
    <w:p>
      <w:pPr>
        <w:widowControl/>
        <w:autoSpaceDE w:val="0"/>
        <w:autoSpaceDN w:val="0"/>
        <w:adjustRightInd w:val="0"/>
        <w:spacing w:after="0"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widowControl/>
        <w:tabs>
          <w:tab w:val="left" w:pos="851"/>
        </w:tabs>
        <w:adjustRightInd w:val="0"/>
        <w:snapToGrid w:val="0"/>
        <w:spacing w:after="0" w:line="360" w:lineRule="auto"/>
        <w:ind w:firstLine="480" w:firstLineChars="200"/>
        <w:jc w:val="left"/>
        <w:rPr>
          <w:rFonts w:hint="eastAsia" w:ascii="宋体" w:hAnsi="宋体" w:cs="宋体"/>
          <w:color w:val="auto"/>
          <w:kern w:val="0"/>
          <w:sz w:val="24"/>
          <w:szCs w:val="24"/>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p>
    <w:p>
      <w:pPr>
        <w:widowControl/>
        <w:autoSpaceDE w:val="0"/>
        <w:autoSpaceDN w:val="0"/>
        <w:adjustRightInd w:val="0"/>
        <w:spacing w:after="0" w:line="360" w:lineRule="auto"/>
        <w:ind w:firstLine="482" w:firstLineChars="200"/>
        <w:jc w:val="left"/>
        <w:rPr>
          <w:rFonts w:ascii="宋体" w:hAnsi="宋体" w:cs="宋体"/>
          <w:b/>
          <w:color w:val="auto"/>
          <w:sz w:val="24"/>
          <w:szCs w:val="24"/>
          <w:highlight w:val="none"/>
        </w:rPr>
      </w:pPr>
      <w:bookmarkStart w:id="99" w:name="_Toc474245213"/>
      <w:bookmarkStart w:id="100" w:name="_Toc518992989"/>
      <w:bookmarkStart w:id="101" w:name="_Toc520190029"/>
      <w:bookmarkStart w:id="102" w:name="_Toc107446843"/>
      <w:bookmarkStart w:id="103" w:name="_Toc107447236"/>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支付方式</w:t>
      </w:r>
      <w:bookmarkEnd w:id="99"/>
      <w:bookmarkEnd w:id="100"/>
      <w:bookmarkEnd w:id="101"/>
    </w:p>
    <w:bookmarkEnd w:id="102"/>
    <w:bookmarkEnd w:id="103"/>
    <w:p>
      <w:pPr>
        <w:widowControl/>
        <w:tabs>
          <w:tab w:val="left" w:pos="851"/>
        </w:tabs>
        <w:adjustRightInd w:val="0"/>
        <w:snapToGrid w:val="0"/>
        <w:spacing w:after="0" w:line="360" w:lineRule="auto"/>
        <w:ind w:firstLine="480" w:firstLineChars="200"/>
        <w:jc w:val="left"/>
        <w:rPr>
          <w:rFonts w:ascii="宋体" w:hAnsi="宋体" w:cs="宋体"/>
          <w:color w:val="auto"/>
          <w:sz w:val="24"/>
          <w:szCs w:val="24"/>
          <w:highlight w:val="none"/>
        </w:rPr>
      </w:pPr>
      <w:bookmarkStart w:id="104" w:name="_Toc183666516"/>
      <w:bookmarkStart w:id="105" w:name="_Toc14703"/>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rPr>
        <w:sym w:font="Wingdings 2" w:char="0052"/>
      </w:r>
      <w:r>
        <w:rPr>
          <w:rFonts w:hint="eastAsia" w:ascii="宋体" w:hAnsi="宋体" w:cs="宋体"/>
          <w:color w:val="auto"/>
          <w:szCs w:val="21"/>
          <w:highlight w:val="none"/>
          <w:lang w:val="en-US" w:eastAsia="zh-CN"/>
        </w:rPr>
        <w:t>有，</w:t>
      </w:r>
      <w:r>
        <w:rPr>
          <w:rFonts w:hint="eastAsia" w:ascii="宋体" w:hAnsi="宋体" w:cs="宋体"/>
          <w:bCs/>
          <w:color w:val="auto"/>
          <w:sz w:val="24"/>
          <w:szCs w:val="24"/>
          <w:highlight w:val="none"/>
        </w:rPr>
        <w:t>合同签订后，乙方开具等额的增值税专用发票及提交履约担保（如有）后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widowControl/>
        <w:tabs>
          <w:tab w:val="left" w:pos="851"/>
        </w:tabs>
        <w:adjustRightInd w:val="0"/>
        <w:snapToGrid w:val="0"/>
        <w:spacing w:after="0" w:line="360" w:lineRule="auto"/>
        <w:ind w:firstLine="480" w:firstLineChars="200"/>
        <w:jc w:val="left"/>
        <w:rPr>
          <w:rFonts w:ascii="宋体" w:hAnsi="宋体" w:cs="宋体"/>
          <w:bCs/>
          <w:color w:val="auto"/>
          <w:sz w:val="24"/>
          <w:szCs w:val="24"/>
          <w:highlight w:val="none"/>
        </w:rPr>
      </w:pPr>
      <w:r>
        <w:rPr>
          <w:rFonts w:ascii="宋体" w:hAnsi="宋体" w:cs="宋体"/>
          <w:color w:val="auto"/>
          <w:sz w:val="24"/>
          <w:szCs w:val="24"/>
          <w:highlight w:val="none"/>
        </w:rPr>
        <w:t xml:space="preserve">5.2 </w:t>
      </w:r>
      <w:r>
        <w:rPr>
          <w:rFonts w:hint="eastAsia" w:ascii="宋体" w:hAnsi="宋体" w:cs="宋体"/>
          <w:color w:val="auto"/>
          <w:sz w:val="24"/>
          <w:szCs w:val="24"/>
          <w:highlight w:val="none"/>
        </w:rPr>
        <w:t>支付方式：</w:t>
      </w:r>
    </w:p>
    <w:p>
      <w:pPr>
        <w:widowControl w:val="0"/>
        <w:spacing w:after="0" w:line="360" w:lineRule="auto"/>
        <w:ind w:firstLine="600" w:firstLineChars="250"/>
        <w:jc w:val="both"/>
        <w:outlineLvl w:val="1"/>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5.2.1各设备到达现场，经开箱验收合格完毕，甲方在收到乙方提交的请款资料及等额增值税专用发票后30个工作日内向乙方支付至合同总额的80%（含预付款），经甲方结算审核后，乙方提交请款资料及等额增值税专用发票 30 个工作日内，支付至合同结算价的95%（含预付款）（若审核价低于合同暂定总价，则以审核价作为合同结算价，否则以合同暂定总价为合同结算价），合同结算价的5%作为质保金留存。</w:t>
      </w:r>
      <w:r>
        <w:rPr>
          <w:rFonts w:ascii="宋体" w:hAnsi="宋体" w:eastAsia="宋体" w:cs="宋体"/>
          <w:color w:val="auto"/>
          <w:kern w:val="2"/>
          <w:sz w:val="24"/>
          <w:szCs w:val="24"/>
          <w:highlight w:val="none"/>
          <w:lang w:val="en-US" w:eastAsia="zh-CN" w:bidi="ar-SA"/>
        </w:rPr>
        <w:t>5.2.2</w:t>
      </w:r>
      <w:r>
        <w:rPr>
          <w:rFonts w:hint="eastAsia" w:ascii="宋体" w:hAnsi="宋体" w:eastAsia="宋体" w:cs="宋体"/>
          <w:color w:val="auto"/>
          <w:kern w:val="2"/>
          <w:sz w:val="24"/>
          <w:szCs w:val="24"/>
          <w:highlight w:val="none"/>
          <w:lang w:val="en-US" w:eastAsia="zh-CN" w:bidi="ar-SA"/>
        </w:rPr>
        <w:t>质保期按合同第九条规定执行，质保期满且乙方不存在违约情形，乙方提交请款资料及等额增值税专用发票，甲方审核无误后在</w:t>
      </w:r>
      <w:r>
        <w:rPr>
          <w:rFonts w:ascii="宋体" w:hAnsi="宋体" w:eastAsia="宋体" w:cs="宋体"/>
          <w:color w:val="auto"/>
          <w:kern w:val="2"/>
          <w:sz w:val="24"/>
          <w:szCs w:val="24"/>
          <w:highlight w:val="none"/>
          <w:u w:val="single"/>
          <w:lang w:val="en-US" w:eastAsia="zh-CN" w:bidi="ar-SA"/>
        </w:rPr>
        <w:t xml:space="preserve"> 15 </w:t>
      </w:r>
      <w:r>
        <w:rPr>
          <w:rFonts w:hint="eastAsia" w:ascii="宋体" w:hAnsi="宋体" w:eastAsia="宋体" w:cs="宋体"/>
          <w:color w:val="auto"/>
          <w:kern w:val="2"/>
          <w:sz w:val="24"/>
          <w:szCs w:val="24"/>
          <w:highlight w:val="none"/>
          <w:lang w:val="en-US" w:eastAsia="zh-CN" w:bidi="ar-SA"/>
        </w:rPr>
        <w:t>个工作日内支付合同结算价的</w:t>
      </w:r>
      <w:r>
        <w:rPr>
          <w:rFonts w:ascii="宋体" w:hAnsi="宋体" w:eastAsia="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％（质保金）给乙方</w:t>
      </w:r>
      <w:r>
        <w:rPr>
          <w:rFonts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无息</w:t>
      </w:r>
      <w:r>
        <w:rPr>
          <w:rFonts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p>
    <w:p>
      <w:pPr>
        <w:widowControl/>
        <w:spacing w:after="160" w:line="360" w:lineRule="auto"/>
        <w:ind w:firstLine="600" w:firstLineChars="250"/>
        <w:jc w:val="left"/>
        <w:rPr>
          <w:rFonts w:ascii="宋体" w:hAnsi="宋体" w:cs="宋体"/>
          <w:color w:val="auto"/>
          <w:sz w:val="24"/>
          <w:szCs w:val="24"/>
          <w:highlight w:val="none"/>
        </w:rPr>
      </w:pPr>
      <w:r>
        <w:rPr>
          <w:rFonts w:ascii="宋体" w:hAnsi="宋体" w:cs="宋体"/>
          <w:color w:val="auto"/>
          <w:sz w:val="24"/>
          <w:szCs w:val="24"/>
          <w:highlight w:val="none"/>
        </w:rPr>
        <w:t>5.2.3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spacing w:after="16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5.2.4</w:t>
      </w:r>
      <w:r>
        <w:rPr>
          <w:rFonts w:hint="eastAsia" w:ascii="宋体" w:hAnsi="宋体" w:cs="宋体"/>
          <w:color w:val="auto"/>
          <w:sz w:val="24"/>
          <w:szCs w:val="24"/>
          <w:highlight w:val="none"/>
        </w:rPr>
        <w:t>乙方在收款前需向甲方提交等额增值税专用发票，增值税专用发票信息：</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名称：广州市净水有限公司</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税号：</w:t>
      </w:r>
      <w:r>
        <w:rPr>
          <w:rFonts w:ascii="宋体" w:hAnsi="宋体" w:cs="宋体"/>
          <w:color w:val="auto"/>
          <w:sz w:val="24"/>
          <w:szCs w:val="24"/>
          <w:highlight w:val="none"/>
          <w:u w:val="single"/>
        </w:rPr>
        <w:t>91440101755584729Q</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地址：</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广州市天河区临江大道5</w:t>
      </w:r>
      <w:r>
        <w:rPr>
          <w:rFonts w:ascii="宋体" w:hAnsi="宋体" w:cs="宋体"/>
          <w:color w:val="auto"/>
          <w:sz w:val="24"/>
          <w:szCs w:val="24"/>
          <w:highlight w:val="none"/>
          <w:u w:val="single"/>
        </w:rPr>
        <w:t>01</w:t>
      </w:r>
      <w:r>
        <w:rPr>
          <w:rFonts w:hint="eastAsia" w:ascii="宋体" w:hAnsi="宋体" w:cs="宋体"/>
          <w:color w:val="auto"/>
          <w:sz w:val="24"/>
          <w:szCs w:val="24"/>
          <w:highlight w:val="none"/>
          <w:u w:val="single"/>
        </w:rPr>
        <w:t>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tabs>
          <w:tab w:val="left" w:pos="851"/>
        </w:tabs>
        <w:adjustRightInd w:val="0"/>
        <w:snapToGrid w:val="0"/>
        <w:spacing w:after="160" w:line="360" w:lineRule="auto"/>
        <w:ind w:firstLine="480" w:firstLineChars="200"/>
        <w:jc w:val="left"/>
        <w:outlineLvl w:val="1"/>
        <w:rPr>
          <w:rFonts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hint="eastAsia" w:ascii="宋体" w:hAnsi="宋体" w:cs="宋体"/>
          <w:color w:val="auto"/>
          <w:sz w:val="24"/>
          <w:szCs w:val="24"/>
          <w:highlight w:val="none"/>
          <w:lang w:eastAsia="zh-CN"/>
        </w:rPr>
        <w:t>。</w:t>
      </w:r>
      <w:r>
        <w:rPr>
          <w:rFonts w:ascii="宋体" w:hAnsi="宋体" w:cs="宋体"/>
          <w:color w:val="auto"/>
          <w:sz w:val="24"/>
          <w:szCs w:val="24"/>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ascii="宋体" w:hAnsi="宋体" w:cs="宋体"/>
          <w:bCs/>
          <w:color w:val="auto"/>
          <w:sz w:val="24"/>
          <w:szCs w:val="24"/>
          <w:highlight w:val="none"/>
        </w:rPr>
      </w:pPr>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keepNext w:val="0"/>
        <w:keepLines w:val="0"/>
        <w:pageBreakBefore w:val="0"/>
        <w:widowControl/>
        <w:kinsoku/>
        <w:wordWrap/>
        <w:overflowPunct/>
        <w:topLinePunct w:val="0"/>
        <w:bidi w:val="0"/>
        <w:snapToGrid/>
        <w:spacing w:after="0" w:line="360" w:lineRule="auto"/>
        <w:ind w:firstLine="480" w:firstLineChars="200"/>
        <w:jc w:val="left"/>
        <w:textAlignment w:val="auto"/>
        <w:outlineLvl w:val="0"/>
        <w:rPr>
          <w:rFonts w:ascii="宋体" w:hAnsi="宋体" w:cs="宋体"/>
          <w:color w:val="auto"/>
          <w:sz w:val="24"/>
          <w:szCs w:val="24"/>
          <w:highlight w:val="none"/>
          <w:u w:val="single"/>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rPr>
        <w:t>□</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有，</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10%作为履约保证金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金额为：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（大写人民币：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0"/>
        <w:textAlignment w:val="auto"/>
        <w:rPr>
          <w:rFonts w:ascii="宋体" w:hAnsi="宋体" w:eastAsia="宋体" w:cs="宋体"/>
          <w:color w:val="auto"/>
          <w:kern w:val="0"/>
          <w:sz w:val="24"/>
          <w:szCs w:val="24"/>
          <w:highlight w:val="none"/>
          <w:lang w:val="en-US" w:eastAsia="zh-CN" w:bidi="ar-SA"/>
        </w:rPr>
      </w:pPr>
      <w:r>
        <w:rPr>
          <w:rFonts w:ascii="宋体" w:hAnsi="宋体" w:eastAsia="宋体" w:cs="宋体"/>
          <w:color w:val="auto"/>
          <w:kern w:val="0"/>
          <w:sz w:val="24"/>
          <w:szCs w:val="24"/>
          <w:highlight w:val="none"/>
          <w:lang w:val="en-US" w:eastAsia="zh-CN" w:bidi="ar-SA"/>
        </w:rPr>
        <w:t>6.2履约担保</w:t>
      </w:r>
      <w:r>
        <w:rPr>
          <w:rFonts w:hint="eastAsia" w:ascii="宋体" w:hAnsi="宋体" w:eastAsia="宋体" w:cs="宋体"/>
          <w:color w:val="auto"/>
          <w:kern w:val="0"/>
          <w:sz w:val="24"/>
          <w:szCs w:val="24"/>
          <w:highlight w:val="none"/>
          <w:lang w:val="en-US" w:eastAsia="zh-CN" w:bidi="ar-SA"/>
        </w:rPr>
        <w:t>按以下任一种形式提供</w:t>
      </w:r>
      <w:r>
        <w:rPr>
          <w:rFonts w:ascii="宋体" w:hAnsi="宋体" w:eastAsia="宋体" w:cs="宋体"/>
          <w:color w:val="auto"/>
          <w:kern w:val="0"/>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0"/>
        <w:textAlignment w:val="auto"/>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1、符合甲方要求（详见附件6保函格式）的银行独立保函，</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0"/>
        <w:textAlignment w:val="auto"/>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2、现金转账至甲方以下指定账户：</w:t>
      </w:r>
    </w:p>
    <w:p>
      <w:pPr>
        <w:keepNext w:val="0"/>
        <w:keepLines w:val="0"/>
        <w:pageBreakBefore w:val="0"/>
        <w:widowControl/>
        <w:tabs>
          <w:tab w:val="left" w:pos="1995"/>
        </w:tabs>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keepNext w:val="0"/>
        <w:keepLines w:val="0"/>
        <w:pageBreakBefore w:val="0"/>
        <w:widowControl/>
        <w:tabs>
          <w:tab w:val="left" w:pos="1995"/>
        </w:tabs>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pPr>
        <w:keepNext w:val="0"/>
        <w:keepLines w:val="0"/>
        <w:pageBreakBefore w:val="0"/>
        <w:widowControl/>
        <w:tabs>
          <w:tab w:val="left" w:pos="1995"/>
        </w:tabs>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keepNext w:val="0"/>
        <w:keepLines w:val="0"/>
        <w:pageBreakBefore w:val="0"/>
        <w:widowControl/>
        <w:kinsoku/>
        <w:wordWrap/>
        <w:overflowPunct/>
        <w:topLinePunct w:val="0"/>
        <w:autoSpaceDE/>
        <w:autoSpaceDN/>
        <w:bidi w:val="0"/>
        <w:adjustRightInd/>
        <w:snapToGrid/>
        <w:spacing w:after="160" w:line="240" w:lineRule="auto"/>
        <w:ind w:firstLine="480"/>
        <w:jc w:val="left"/>
        <w:textAlignment w:val="auto"/>
        <w:outlineLvl w:val="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履约担保的担保期限和返还</w:t>
      </w:r>
    </w:p>
    <w:p>
      <w:pPr>
        <w:keepNext w:val="0"/>
        <w:keepLines w:val="0"/>
        <w:pageBreakBefore w:val="0"/>
        <w:widowControl/>
        <w:kinsoku/>
        <w:wordWrap/>
        <w:overflowPunct/>
        <w:topLinePunct w:val="0"/>
        <w:autoSpaceDE/>
        <w:autoSpaceDN/>
        <w:bidi w:val="0"/>
        <w:adjustRightInd/>
        <w:snapToGrid/>
        <w:spacing w:after="160" w:line="240" w:lineRule="auto"/>
        <w:ind w:firstLine="480"/>
        <w:jc w:val="left"/>
        <w:textAlignment w:val="auto"/>
        <w:outlineLvl w:val="0"/>
        <w:rPr>
          <w:rFonts w:ascii="宋体" w:hAnsi="宋体" w:cs="宋体"/>
          <w:color w:val="auto"/>
          <w:sz w:val="24"/>
          <w:szCs w:val="24"/>
          <w:highlight w:val="none"/>
        </w:rPr>
      </w:pPr>
      <w:r>
        <w:rPr>
          <w:rFonts w:ascii="宋体" w:hAnsi="宋体" w:cs="宋体"/>
          <w:color w:val="auto"/>
          <w:sz w:val="24"/>
          <w:szCs w:val="24"/>
          <w:highlight w:val="none"/>
        </w:rPr>
        <w:t>6.3.1</w:t>
      </w:r>
      <w:r>
        <w:rPr>
          <w:rFonts w:hint="eastAsia" w:ascii="宋体" w:hAnsi="宋体" w:cs="宋体"/>
          <w:color w:val="auto"/>
          <w:sz w:val="24"/>
          <w:szCs w:val="22"/>
          <w:highlight w:val="none"/>
        </w:rPr>
        <w:t>履约银行保函（或现金履约保证金）的担保期限：从提供履约担保（或转账成功）之日起至合同履行完成。</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6.3.2</w:t>
      </w:r>
      <w:r>
        <w:rPr>
          <w:rFonts w:hint="eastAsia" w:ascii="宋体" w:hAnsi="宋体" w:cs="宋体"/>
          <w:color w:val="auto"/>
          <w:sz w:val="24"/>
          <w:szCs w:val="22"/>
          <w:highlight w:val="none"/>
        </w:rPr>
        <w:t>履约银行保函在合同履行完成后，由乙方提出申请，甲方在28日内返还，不支付利息；</w:t>
      </w:r>
      <w:r>
        <w:rPr>
          <w:rFonts w:ascii="宋体" w:hAnsi="宋体" w:cs="宋体"/>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outlineLvl w:val="0"/>
        <w:rPr>
          <w:rFonts w:ascii="宋体" w:hAnsi="宋体" w:cs="宋体"/>
          <w:color w:val="auto"/>
          <w:sz w:val="24"/>
          <w:szCs w:val="24"/>
          <w:highlight w:val="none"/>
        </w:rPr>
      </w:pPr>
      <w:r>
        <w:rPr>
          <w:rFonts w:ascii="宋体" w:hAnsi="宋体" w:cs="宋体"/>
          <w:color w:val="auto"/>
          <w:sz w:val="24"/>
          <w:szCs w:val="24"/>
          <w:highlight w:val="none"/>
        </w:rPr>
        <w:t>6.3.3</w:t>
      </w:r>
      <w:r>
        <w:rPr>
          <w:rFonts w:hint="eastAsia" w:ascii="宋体" w:hAnsi="宋体" w:cs="宋体"/>
          <w:color w:val="auto"/>
          <w:sz w:val="24"/>
          <w:szCs w:val="24"/>
          <w:highlight w:val="none"/>
        </w:rPr>
        <w:t>延长担保期限。履约银行保函形式提交履约保证金的，在银行保函到期前，乙方应提前</w:t>
      </w:r>
      <w:r>
        <w:rPr>
          <w:rFonts w:ascii="宋体" w:hAnsi="宋体" w:cs="宋体"/>
          <w:color w:val="auto"/>
          <w:sz w:val="24"/>
          <w:szCs w:val="24"/>
          <w:highlight w:val="none"/>
          <w:u w:val="single"/>
        </w:rPr>
        <w:t xml:space="preserve"> 7 </w:t>
      </w:r>
      <w:r>
        <w:rPr>
          <w:rFonts w:ascii="宋体" w:hAnsi="宋体" w:cs="宋体"/>
          <w:color w:val="auto"/>
          <w:sz w:val="24"/>
          <w:szCs w:val="24"/>
          <w:highlight w:val="none"/>
        </w:rPr>
        <w:t>天向甲方提交新的保函以替换即将到期的保函</w:t>
      </w:r>
      <w:r>
        <w:rPr>
          <w:rFonts w:hint="eastAsia" w:ascii="宋体" w:hAnsi="宋体" w:cs="宋体"/>
          <w:color w:val="auto"/>
          <w:sz w:val="24"/>
          <w:szCs w:val="24"/>
          <w:highlight w:val="none"/>
        </w:rPr>
        <w:t>。如乙方未及时提交的，甲方有权直接要求担保银行支付其担保的全部金额并解除合同。</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25"/>
        <w:textAlignment w:val="auto"/>
        <w:rPr>
          <w:rFonts w:ascii="宋体" w:hAnsi="宋体" w:eastAsia="宋体" w:cs="宋体"/>
          <w:color w:val="auto"/>
          <w:kern w:val="0"/>
          <w:sz w:val="24"/>
          <w:szCs w:val="24"/>
          <w:highlight w:val="none"/>
          <w:lang w:val="en-US" w:eastAsia="zh-CN" w:bidi="ar-SA"/>
        </w:rPr>
      </w:pPr>
      <w:r>
        <w:rPr>
          <w:rFonts w:ascii="宋体" w:hAnsi="宋体" w:eastAsia="宋体" w:cs="宋体"/>
          <w:color w:val="auto"/>
          <w:kern w:val="0"/>
          <w:sz w:val="24"/>
          <w:szCs w:val="24"/>
          <w:highlight w:val="none"/>
          <w:lang w:val="en-US" w:eastAsia="zh-CN" w:bidi="ar-SA"/>
        </w:rPr>
        <w:t>6.3.4</w:t>
      </w:r>
      <w:r>
        <w:rPr>
          <w:rFonts w:hint="eastAsia" w:ascii="宋体" w:hAnsi="宋体" w:eastAsia="宋体" w:cs="宋体"/>
          <w:color w:val="auto"/>
          <w:kern w:val="0"/>
          <w:sz w:val="24"/>
          <w:szCs w:val="24"/>
          <w:highlight w:val="none"/>
          <w:lang w:val="en-US" w:eastAsia="zh-CN" w:bidi="ar-SA"/>
        </w:rPr>
        <w:t>现金履约保证金的退还：合同履行完成后，由乙方提出申请，甲方在</w:t>
      </w:r>
      <w:r>
        <w:rPr>
          <w:rFonts w:ascii="宋体" w:hAnsi="宋体" w:eastAsia="宋体" w:cs="宋体"/>
          <w:color w:val="auto"/>
          <w:kern w:val="0"/>
          <w:sz w:val="24"/>
          <w:szCs w:val="24"/>
          <w:highlight w:val="none"/>
          <w:lang w:val="en-US" w:eastAsia="zh-CN" w:bidi="ar-SA"/>
        </w:rPr>
        <w:t>28</w:t>
      </w:r>
      <w:r>
        <w:rPr>
          <w:rFonts w:hint="eastAsia" w:ascii="宋体" w:hAnsi="宋体" w:eastAsia="宋体" w:cs="宋体"/>
          <w:color w:val="auto"/>
          <w:kern w:val="0"/>
          <w:sz w:val="24"/>
          <w:szCs w:val="24"/>
          <w:highlight w:val="none"/>
          <w:lang w:val="en-US" w:eastAsia="zh-CN" w:bidi="ar-SA"/>
        </w:rPr>
        <w:t>天</w:t>
      </w:r>
      <w:r>
        <w:rPr>
          <w:rFonts w:ascii="宋体" w:hAnsi="宋体" w:eastAsia="宋体" w:cs="宋体"/>
          <w:color w:val="auto"/>
          <w:kern w:val="0"/>
          <w:sz w:val="24"/>
          <w:szCs w:val="24"/>
          <w:highlight w:val="none"/>
          <w:lang w:val="en-US" w:eastAsia="zh-CN" w:bidi="ar-SA"/>
        </w:rPr>
        <w:t>内</w:t>
      </w:r>
      <w:r>
        <w:rPr>
          <w:rFonts w:hint="eastAsia" w:ascii="宋体" w:hAnsi="宋体" w:eastAsia="宋体" w:cs="宋体"/>
          <w:color w:val="auto"/>
          <w:kern w:val="0"/>
          <w:sz w:val="24"/>
          <w:szCs w:val="24"/>
          <w:highlight w:val="none"/>
          <w:lang w:val="en-US" w:eastAsia="zh-CN" w:bidi="ar-SA"/>
        </w:rPr>
        <w:t>将剩余履约保证金（无息）返还。</w:t>
      </w:r>
    </w:p>
    <w:p>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6.3.5</w:t>
      </w:r>
      <w:r>
        <w:rPr>
          <w:rFonts w:hint="eastAsia" w:ascii="宋体" w:hAnsi="宋体" w:cs="宋体"/>
          <w:color w:val="auto"/>
          <w:sz w:val="24"/>
          <w:szCs w:val="24"/>
          <w:highlight w:val="none"/>
        </w:rPr>
        <w:t>甲方按合同约定提取履约担保金额后，乙方应在收到甲方通知后</w:t>
      </w: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天内补足数额，逾期未补足，则甲方有权提取履约担保的全部余额并解除合同。</w:t>
      </w:r>
    </w:p>
    <w:bookmarkEnd w:id="104"/>
    <w:bookmarkEnd w:id="105"/>
    <w:p>
      <w:pPr>
        <w:widowControl/>
        <w:spacing w:after="0" w:line="360" w:lineRule="auto"/>
        <w:ind w:firstLine="482" w:firstLineChars="200"/>
        <w:jc w:val="left"/>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widowControl/>
        <w:autoSpaceDE w:val="0"/>
        <w:autoSpaceDN w:val="0"/>
        <w:adjustRightInd w:val="0"/>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交货要求：乙方应在交货时向甲方提供出厂合格证、产品质量证明文件、操作维修手册等（手册应包含设备情况、系统和主要部件常见故障、保养要求、紧急维修电话等内容）。</w:t>
      </w:r>
    </w:p>
    <w:p>
      <w:pPr>
        <w:widowControl/>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widowControl/>
        <w:spacing w:after="0" w:line="360" w:lineRule="auto"/>
        <w:ind w:firstLine="480" w:firstLineChars="200"/>
        <w:jc w:val="left"/>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widowControl/>
        <w:adjustRightInd w:val="0"/>
        <w:snapToGrid w:val="0"/>
        <w:spacing w:after="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widowControl/>
        <w:spacing w:after="16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widowControl/>
        <w:spacing w:after="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10</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bookmarkEnd w:id="92"/>
    <w:bookmarkEnd w:id="93"/>
    <w:bookmarkEnd w:id="94"/>
    <w:bookmarkEnd w:id="95"/>
    <w:bookmarkEnd w:id="96"/>
    <w:bookmarkEnd w:id="97"/>
    <w:bookmarkEnd w:id="98"/>
    <w:p>
      <w:pPr>
        <w:widowControl/>
        <w:spacing w:before="120" w:after="120" w:line="360" w:lineRule="auto"/>
        <w:ind w:firstLine="482" w:firstLineChars="200"/>
        <w:jc w:val="left"/>
        <w:rPr>
          <w:rFonts w:ascii="宋体" w:hAnsi="宋体" w:cs="宋体"/>
          <w:b/>
          <w:color w:val="auto"/>
          <w:sz w:val="24"/>
          <w:szCs w:val="24"/>
          <w:highlight w:val="none"/>
        </w:rPr>
      </w:pPr>
      <w:bookmarkStart w:id="106" w:name="_Toc474245215"/>
      <w:bookmarkStart w:id="107" w:name="_Toc518992990"/>
      <w:bookmarkStart w:id="108" w:name="_Toc520190030"/>
      <w:bookmarkStart w:id="109" w:name="_Toc257"/>
      <w:bookmarkStart w:id="110" w:name="_Toc183666534"/>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w:t>
      </w:r>
      <w:bookmarkEnd w:id="106"/>
      <w:bookmarkEnd w:id="107"/>
      <w:bookmarkEnd w:id="108"/>
      <w:r>
        <w:rPr>
          <w:rFonts w:hint="eastAsia" w:ascii="宋体" w:hAnsi="宋体" w:cs="宋体"/>
          <w:b/>
          <w:color w:val="auto"/>
          <w:sz w:val="24"/>
          <w:szCs w:val="24"/>
          <w:highlight w:val="none"/>
        </w:rPr>
        <w:t>、标示及运输要求</w:t>
      </w:r>
    </w:p>
    <w:p>
      <w:pPr>
        <w:keepNext w:val="0"/>
        <w:keepLines w:val="0"/>
        <w:pageBreakBefore w:val="0"/>
        <w:widowControl/>
        <w:kinsoku/>
        <w:wordWrap/>
        <w:overflowPunct/>
        <w:topLinePunct w:val="0"/>
        <w:autoSpaceDE/>
        <w:autoSpaceDN/>
        <w:bidi w:val="0"/>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8.2 </w:t>
      </w:r>
      <w:bookmarkStart w:id="111" w:name="_Toc107447244"/>
      <w:bookmarkStart w:id="112" w:name="_Toc107446851"/>
      <w:r>
        <w:rPr>
          <w:rFonts w:hint="eastAsia" w:ascii="宋体" w:hAnsi="宋体" w:cs="宋体"/>
          <w:bCs/>
          <w:color w:val="auto"/>
          <w:sz w:val="24"/>
          <w:szCs w:val="24"/>
          <w:highlight w:val="none"/>
        </w:rPr>
        <w:t>标志</w:t>
      </w:r>
    </w:p>
    <w:bookmarkEnd w:id="111"/>
    <w:bookmarkEnd w:id="112"/>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bookmarkStart w:id="113" w:name="_Toc9269"/>
      <w:bookmarkStart w:id="114" w:name="_Toc306350457"/>
      <w:bookmarkStart w:id="115" w:name="_Toc520190032"/>
      <w:bookmarkStart w:id="116" w:name="_Toc183666521"/>
      <w:bookmarkStart w:id="117" w:name="_Toc474245218"/>
      <w:bookmarkStart w:id="118" w:name="_Toc518992992"/>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bookmarkEnd w:id="113"/>
    <w:bookmarkEnd w:id="114"/>
    <w:bookmarkEnd w:id="115"/>
    <w:bookmarkEnd w:id="116"/>
    <w:bookmarkEnd w:id="117"/>
    <w:bookmarkEnd w:id="118"/>
    <w:p>
      <w:pPr>
        <w:widowControl/>
        <w:adjustRightInd w:val="0"/>
        <w:snapToGrid w:val="0"/>
        <w:spacing w:before="120" w:beforeLines="50" w:after="120" w:afterLines="50" w:line="360" w:lineRule="auto"/>
        <w:ind w:firstLine="482" w:firstLineChars="200"/>
        <w:jc w:val="left"/>
        <w:rPr>
          <w:rFonts w:ascii="宋体" w:hAnsi="宋体" w:cs="宋体"/>
          <w:color w:val="auto"/>
          <w:sz w:val="24"/>
          <w:szCs w:val="24"/>
          <w:highlight w:val="none"/>
        </w:rPr>
      </w:pPr>
      <w:bookmarkStart w:id="119" w:name="_Toc18496"/>
      <w:bookmarkStart w:id="120" w:name="_Toc306350458"/>
      <w:bookmarkStart w:id="121" w:name="_Toc183666522"/>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乙方应按甲方需求，派遣技术熟练、称职的技术人员到现场为甲方提供设备调试运行等技术服务。</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bookmarkEnd w:id="119"/>
    <w:bookmarkEnd w:id="120"/>
    <w:bookmarkEnd w:id="121"/>
    <w:p>
      <w:pPr>
        <w:widowControl/>
        <w:autoSpaceDE w:val="0"/>
        <w:autoSpaceDN w:val="0"/>
        <w:adjustRightInd w:val="0"/>
        <w:spacing w:after="160" w:line="360" w:lineRule="auto"/>
        <w:ind w:firstLine="482" w:firstLineChars="200"/>
        <w:jc w:val="left"/>
        <w:rPr>
          <w:rFonts w:ascii="宋体" w:hAnsi="宋体" w:cs="宋体"/>
          <w:b/>
          <w:color w:val="auto"/>
          <w:sz w:val="24"/>
          <w:szCs w:val="24"/>
          <w:highlight w:val="none"/>
        </w:rPr>
      </w:pPr>
      <w:bookmarkStart w:id="122" w:name="_Toc474245220"/>
      <w:bookmarkStart w:id="123" w:name="_Toc518992994"/>
      <w:bookmarkStart w:id="124" w:name="_Toc520190034"/>
      <w:bookmarkStart w:id="125" w:name="_Toc183666523"/>
      <w:bookmarkStart w:id="126" w:name="_Toc306350459"/>
      <w:bookmarkStart w:id="127" w:name="_Toc4682"/>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w:t>
      </w:r>
      <w:bookmarkEnd w:id="122"/>
      <w:bookmarkEnd w:id="123"/>
      <w:bookmarkEnd w:id="124"/>
      <w:r>
        <w:rPr>
          <w:rFonts w:hint="eastAsia" w:ascii="宋体" w:hAnsi="宋体" w:cs="宋体"/>
          <w:b/>
          <w:color w:val="auto"/>
          <w:sz w:val="24"/>
          <w:szCs w:val="24"/>
          <w:highlight w:val="none"/>
        </w:rPr>
        <w:t>修</w:t>
      </w:r>
    </w:p>
    <w:p>
      <w:pPr>
        <w:keepNext w:val="0"/>
        <w:keepLines w:val="0"/>
        <w:pageBreakBefore w:val="0"/>
        <w:widowControl/>
        <w:tabs>
          <w:tab w:val="left" w:pos="851"/>
        </w:tabs>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rPr>
        <w:t>。保修期内乙方应免费对设备进行日常维护保养及质量缺陷修复。</w:t>
      </w:r>
      <w:r>
        <w:rPr>
          <w:rFonts w:ascii="宋体" w:hAnsi="宋体" w:cs="宋体"/>
          <w:color w:val="auto"/>
          <w:sz w:val="24"/>
          <w:szCs w:val="24"/>
          <w:highlight w:val="none"/>
        </w:rPr>
        <w:t xml:space="preserve">                                          </w:t>
      </w:r>
    </w:p>
    <w:p>
      <w:pPr>
        <w:keepNext w:val="0"/>
        <w:keepLines w:val="0"/>
        <w:pageBreakBefore w:val="0"/>
        <w:widowControl/>
        <w:tabs>
          <w:tab w:val="left" w:pos="851"/>
        </w:tabs>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highlight w:val="none"/>
          <w:u w:val="single"/>
          <w:lang w:val="zh-CN"/>
        </w:rPr>
        <w:t>同暂定总价的</w:t>
      </w:r>
      <w:r>
        <w:rPr>
          <w:rFonts w:ascii="宋体" w:hAnsi="宋体" w:cs="宋体"/>
          <w:color w:val="auto"/>
          <w:kern w:val="0"/>
          <w:sz w:val="24"/>
          <w:szCs w:val="24"/>
          <w:highlight w:val="none"/>
          <w:u w:val="single"/>
          <w:lang w:val="zh-CN"/>
        </w:rPr>
        <w:t>10%</w:t>
      </w:r>
      <w:r>
        <w:rPr>
          <w:rFonts w:hint="eastAsia" w:ascii="宋体" w:hAnsi="宋体" w:cs="宋体"/>
          <w:color w:val="auto"/>
          <w:kern w:val="0"/>
          <w:sz w:val="24"/>
          <w:szCs w:val="24"/>
          <w:highlight w:val="none"/>
          <w:u w:val="single"/>
          <w:lang w:val="zh-CN"/>
        </w:rPr>
        <w:t>作为</w:t>
      </w:r>
      <w:r>
        <w:rPr>
          <w:rFonts w:hint="eastAsia" w:ascii="宋体" w:hAnsi="宋体" w:cs="宋体"/>
          <w:color w:val="auto"/>
          <w:kern w:val="0"/>
          <w:sz w:val="24"/>
          <w:szCs w:val="24"/>
          <w:highlight w:val="none"/>
          <w:lang w:val="zh-CN"/>
        </w:rPr>
        <w:t>违约金，</w:t>
      </w:r>
      <w:r>
        <w:rPr>
          <w:rFonts w:hint="eastAsia" w:ascii="宋体" w:hAnsi="宋体" w:cs="宋体"/>
          <w:color w:val="auto"/>
          <w:kern w:val="0"/>
          <w:sz w:val="24"/>
          <w:szCs w:val="24"/>
          <w:highlight w:val="none"/>
        </w:rPr>
        <w:t>由此产生的</w:t>
      </w:r>
      <w:r>
        <w:rPr>
          <w:rFonts w:hint="eastAsia" w:ascii="宋体" w:hAnsi="宋体" w:cs="宋体"/>
          <w:color w:val="auto"/>
          <w:kern w:val="0"/>
          <w:sz w:val="24"/>
          <w:szCs w:val="24"/>
          <w:highlight w:val="none"/>
          <w:lang w:val="zh-CN"/>
        </w:rPr>
        <w:t>费用由乙方承担。对涉及运营费用，乙方应保证在</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w:t>
      </w:r>
      <w:r>
        <w:rPr>
          <w:rFonts w:hint="eastAsia" w:ascii="宋体" w:hAnsi="宋体" w:cs="宋体"/>
          <w:color w:val="auto"/>
          <w:kern w:val="0"/>
          <w:sz w:val="24"/>
          <w:szCs w:val="24"/>
          <w:highlight w:val="none"/>
        </w:rPr>
        <w:t>合格</w:t>
      </w:r>
      <w:r>
        <w:rPr>
          <w:rFonts w:hint="eastAsia" w:ascii="宋体" w:hAnsi="宋体" w:cs="宋体"/>
          <w:color w:val="auto"/>
          <w:kern w:val="0"/>
          <w:sz w:val="24"/>
          <w:szCs w:val="24"/>
          <w:highlight w:val="none"/>
          <w:lang w:val="zh-CN"/>
        </w:rPr>
        <w:t>后三年内，</w:t>
      </w: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val="zh-CN"/>
        </w:rPr>
        <w:t>运行费用不高于投标文件</w:t>
      </w:r>
      <w:r>
        <w:rPr>
          <w:rFonts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zh-CN"/>
        </w:rPr>
        <w:t>响应文件的承诺指标，</w:t>
      </w:r>
      <w:r>
        <w:rPr>
          <w:rFonts w:hint="eastAsia" w:ascii="宋体" w:hAnsi="宋体" w:cs="宋体"/>
          <w:color w:val="auto"/>
          <w:kern w:val="0"/>
          <w:sz w:val="24"/>
          <w:szCs w:val="24"/>
          <w:highlight w:val="none"/>
        </w:rPr>
        <w:t>否则，</w:t>
      </w:r>
      <w:r>
        <w:rPr>
          <w:rFonts w:hint="eastAsia" w:ascii="宋体" w:hAnsi="宋体" w:cs="宋体"/>
          <w:color w:val="auto"/>
          <w:kern w:val="0"/>
          <w:sz w:val="24"/>
          <w:szCs w:val="24"/>
          <w:highlight w:val="none"/>
          <w:lang w:val="zh-CN"/>
        </w:rPr>
        <w:t>乙方需无条件免费更换设备</w:t>
      </w:r>
      <w:r>
        <w:rPr>
          <w:rFonts w:hint="eastAsia" w:ascii="宋体" w:hAnsi="宋体" w:cs="宋体"/>
          <w:color w:val="auto"/>
          <w:kern w:val="0"/>
          <w:sz w:val="24"/>
          <w:szCs w:val="24"/>
          <w:highlight w:val="none"/>
        </w:rPr>
        <w:t>并支付违约金</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10000</w:t>
      </w:r>
      <w:r>
        <w:rPr>
          <w:rFonts w:hint="eastAsia" w:ascii="宋体" w:hAnsi="宋体" w:cs="宋体"/>
          <w:color w:val="auto"/>
          <w:kern w:val="0"/>
          <w:sz w:val="24"/>
          <w:szCs w:val="24"/>
          <w:highlight w:val="none"/>
        </w:rPr>
        <w:t>元</w:t>
      </w:r>
      <w:r>
        <w:rPr>
          <w:rFonts w:hint="eastAsia" w:ascii="宋体" w:hAnsi="宋体" w:cs="宋体"/>
          <w:color w:val="auto"/>
          <w:kern w:val="0"/>
          <w:sz w:val="24"/>
          <w:szCs w:val="24"/>
          <w:highlight w:val="none"/>
          <w:lang w:val="zh-CN"/>
        </w:rPr>
        <w:t>（如有）。</w:t>
      </w:r>
    </w:p>
    <w:p>
      <w:pPr>
        <w:keepNext w:val="0"/>
        <w:keepLines w:val="0"/>
        <w:pageBreakBefore w:val="0"/>
        <w:widowControl/>
        <w:tabs>
          <w:tab w:val="left" w:pos="851"/>
        </w:tabs>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3</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日起，质量保修期重新计算。</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12</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w:t>
      </w:r>
      <w:bookmarkEnd w:id="125"/>
      <w:bookmarkEnd w:id="126"/>
      <w:bookmarkEnd w:id="127"/>
      <w:bookmarkStart w:id="128" w:name="_Toc474245223"/>
      <w:bookmarkStart w:id="129" w:name="_Toc306350464"/>
      <w:bookmarkStart w:id="130" w:name="_Toc520190037"/>
      <w:bookmarkStart w:id="131" w:name="_Toc27734"/>
      <w:bookmarkStart w:id="132" w:name="_Toc183666528"/>
      <w:bookmarkStart w:id="133" w:name="_Toc107447250"/>
      <w:bookmarkStart w:id="134" w:name="_Toc518992997"/>
      <w:bookmarkStart w:id="135" w:name="_Toc107446857"/>
      <w:r>
        <w:rPr>
          <w:rFonts w:hint="eastAsia" w:ascii="宋体" w:hAnsi="宋体" w:cs="宋体"/>
          <w:bCs/>
          <w:color w:val="auto"/>
          <w:sz w:val="24"/>
          <w:szCs w:val="24"/>
          <w:highlight w:val="none"/>
        </w:rPr>
        <w:t>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bookmarkEnd w:id="128"/>
      <w:bookmarkEnd w:id="129"/>
      <w:bookmarkEnd w:id="130"/>
      <w:bookmarkEnd w:id="131"/>
      <w:bookmarkEnd w:id="132"/>
      <w:bookmarkEnd w:id="133"/>
      <w:bookmarkEnd w:id="134"/>
      <w:bookmarkEnd w:id="135"/>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bookmarkStart w:id="136" w:name="_Toc5166"/>
      <w:bookmarkStart w:id="137" w:name="_Toc306350465"/>
      <w:bookmarkStart w:id="138" w:name="_Toc183666529"/>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keepNext w:val="0"/>
        <w:keepLines w:val="0"/>
        <w:pageBreakBefore w:val="0"/>
        <w:widowControl/>
        <w:numPr>
          <w:ilvl w:val="0"/>
          <w:numId w:val="0"/>
        </w:numPr>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11.3 </w:t>
      </w:r>
      <w:r>
        <w:rPr>
          <w:rFonts w:hint="eastAsia" w:ascii="宋体" w:hAnsi="宋体" w:cs="宋体"/>
          <w:bCs/>
          <w:color w:val="auto"/>
          <w:sz w:val="24"/>
          <w:szCs w:val="24"/>
          <w:highlight w:val="none"/>
        </w:rPr>
        <w:t>如乙方未按合同六条约定递交履约保证金，甲方有权解除合同并要求乙方支付</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w:t>
      </w:r>
      <w:r>
        <w:rPr>
          <w:rFonts w:ascii="宋体" w:hAnsi="宋体" w:cs="宋体"/>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color w:val="auto"/>
          <w:sz w:val="24"/>
          <w:szCs w:val="24"/>
          <w:highlight w:val="none"/>
        </w:rPr>
      </w:pPr>
      <w:r>
        <w:rPr>
          <w:rFonts w:ascii="宋体" w:hAnsi="宋体" w:cs="宋体"/>
          <w:bCs/>
          <w:color w:val="auto"/>
          <w:sz w:val="24"/>
          <w:szCs w:val="24"/>
          <w:highlight w:val="none"/>
        </w:rPr>
        <w:t xml:space="preserve">11.4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11.5乙方不履行合同义务、或履行合同义务不符合合同约定、或违反国家、省、市行业标准的，甲方有权要求乙方限期整改。乙方逾期未完成整改的，每项每超过1日支付违约金人民币1万元，超过</w:t>
      </w:r>
      <w:r>
        <w:rPr>
          <w:rFonts w:ascii="宋体" w:hAnsi="宋体" w:cs="宋体"/>
          <w:bCs/>
          <w:color w:val="auto"/>
          <w:sz w:val="24"/>
          <w:szCs w:val="24"/>
          <w:highlight w:val="none"/>
          <w:u w:val="single"/>
        </w:rPr>
        <w:t>_</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_</w:t>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ascii="Calibri" w:hAnsi="Calibri" w:cs="宋体"/>
          <w:color w:val="auto"/>
          <w:sz w:val="24"/>
          <w:szCs w:val="22"/>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hint="eastAsia" w:ascii="宋体" w:hAnsi="宋体" w:eastAsia="宋体" w:cs="宋体"/>
          <w:color w:val="auto"/>
          <w:sz w:val="24"/>
          <w:szCs w:val="24"/>
          <w:highlight w:val="none"/>
        </w:rPr>
      </w:pPr>
      <w:r>
        <w:rPr>
          <w:rFonts w:hint="eastAsia" w:ascii="宋体" w:hAnsi="宋体" w:cs="宋体"/>
          <w:bCs/>
          <w:color w:val="auto"/>
          <w:sz w:val="24"/>
          <w:szCs w:val="24"/>
          <w:highlight w:val="none"/>
          <w:lang w:val="en-US" w:eastAsia="zh-CN"/>
        </w:rPr>
        <w:t>11.6在合同有效期内，若乙方发生不诚信行为情形的，乙方自愿接受甲方按《广州市净水有限公司经营建设项目参建企业不诚信行为管理办法》处理，</w:t>
      </w:r>
      <w:r>
        <w:rPr>
          <w:rFonts w:hint="eastAsia" w:ascii="宋体" w:hAnsi="宋体" w:cs="宋体"/>
          <w:color w:val="auto"/>
          <w:sz w:val="24"/>
          <w:szCs w:val="24"/>
          <w:highlight w:val="none"/>
          <w:lang w:val="en-US" w:eastAsia="zh-CN"/>
        </w:rPr>
        <w:t>具体处理标准详见附件4。</w:t>
      </w:r>
    </w:p>
    <w:p>
      <w:pPr>
        <w:widowControl/>
        <w:spacing w:after="160" w:line="360" w:lineRule="auto"/>
        <w:ind w:firstLine="482" w:firstLineChars="200"/>
        <w:jc w:val="left"/>
        <w:rPr>
          <w:rFonts w:ascii="宋体" w:hAnsi="宋体" w:cs="宋体"/>
          <w:b/>
          <w:color w:val="auto"/>
          <w:sz w:val="24"/>
          <w:szCs w:val="24"/>
          <w:highlight w:val="none"/>
        </w:rPr>
      </w:pPr>
      <w:bookmarkStart w:id="139" w:name="_Toc107446860"/>
      <w:bookmarkStart w:id="140" w:name="_Toc474245224"/>
      <w:bookmarkStart w:id="141" w:name="_Toc107446861"/>
      <w:bookmarkStart w:id="142" w:name="_Toc107447254"/>
      <w:bookmarkStart w:id="143" w:name="_Toc107447253"/>
      <w:bookmarkStart w:id="144" w:name="_Toc118086592"/>
      <w:bookmarkStart w:id="145" w:name="_Toc520190038"/>
      <w:bookmarkStart w:id="146" w:name="_Toc518992998"/>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color w:val="auto"/>
          <w:sz w:val="24"/>
          <w:szCs w:val="24"/>
          <w:highlight w:val="none"/>
        </w:rPr>
      </w:pPr>
      <w:r>
        <w:rPr>
          <w:rFonts w:hint="eastAsia" w:ascii="宋体" w:hAnsi="宋体" w:cs="宋体"/>
          <w:bCs/>
          <w:color w:val="auto"/>
          <w:sz w:val="24"/>
          <w:szCs w:val="24"/>
          <w:highlight w:val="none"/>
        </w:rPr>
        <w:t>如甲方无正当理由未能按本合同约定期限向乙方支付合同款，并经乙方催告后超过</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30</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天仍未支付，乙方有权以书面通知解除本合同。</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widowControl/>
        <w:spacing w:after="160" w:line="480" w:lineRule="exact"/>
        <w:ind w:firstLine="482" w:firstLineChars="200"/>
        <w:jc w:val="left"/>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0"/>
          <w:numId w:val="0"/>
        </w:numPr>
        <w:spacing w:after="160" w:line="480" w:lineRule="exact"/>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topLinePunct w:val="0"/>
        <w:autoSpaceDE/>
        <w:autoSpaceDN/>
        <w:bidi w:val="0"/>
        <w:adjustRightInd/>
        <w:snapToGrid/>
        <w:spacing w:after="160" w:line="40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topLinePunct w:val="0"/>
        <w:autoSpaceDE/>
        <w:autoSpaceDN/>
        <w:bidi w:val="0"/>
        <w:adjustRightInd/>
        <w:snapToGrid/>
        <w:spacing w:after="160" w:line="40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after="160" w:line="480" w:lineRule="exact"/>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after="16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widowControl/>
        <w:spacing w:after="16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widowControl/>
        <w:spacing w:after="160" w:line="360" w:lineRule="auto"/>
        <w:ind w:firstLine="482" w:firstLineChars="200"/>
        <w:jc w:val="left"/>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widowControl/>
        <w:spacing w:after="160" w:line="360" w:lineRule="auto"/>
        <w:ind w:firstLine="482" w:firstLineChars="200"/>
        <w:jc w:val="left"/>
        <w:rPr>
          <w:rFonts w:ascii="宋体" w:hAnsi="宋体" w:cs="宋体"/>
          <w:b/>
          <w:color w:val="auto"/>
          <w:sz w:val="24"/>
          <w:szCs w:val="24"/>
          <w:highlight w:val="none"/>
        </w:rPr>
      </w:pPr>
      <w:r>
        <w:rPr>
          <w:rFonts w:hint="eastAsia" w:ascii="宋体" w:hAnsi="宋体" w:cs="宋体"/>
          <w:b/>
          <w:color w:val="auto"/>
          <w:sz w:val="24"/>
          <w:szCs w:val="24"/>
          <w:highlight w:val="none"/>
        </w:rPr>
        <w:t>第十五条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其他：</w:t>
      </w:r>
    </w:p>
    <w:p>
      <w:pPr>
        <w:keepNext w:val="0"/>
        <w:keepLines w:val="0"/>
        <w:pageBreakBefore w:val="0"/>
        <w:widowControl/>
        <w:kinsoku/>
        <w:wordWrap/>
        <w:overflowPunct/>
        <w:topLinePunct w:val="0"/>
        <w:autoSpaceDE/>
        <w:autoSpaceDN/>
        <w:bidi w:val="0"/>
        <w:adjustRightInd/>
        <w:snapToGrid/>
        <w:spacing w:after="160" w:line="240" w:lineRule="auto"/>
        <w:ind w:firstLine="595" w:firstLineChars="248"/>
        <w:jc w:val="left"/>
        <w:textAlignment w:val="auto"/>
        <w:rPr>
          <w:rFonts w:ascii="宋体" w:hAnsi="宋体" w:cs="宋体"/>
          <w:b/>
          <w:color w:val="auto"/>
          <w:sz w:val="24"/>
          <w:szCs w:val="24"/>
          <w:highlight w:val="none"/>
        </w:rPr>
      </w:pPr>
      <w:r>
        <w:rPr>
          <w:rFonts w:ascii="宋体" w:hAnsi="宋体" w:cs="宋体"/>
          <w:bCs/>
          <w:color w:val="auto"/>
          <w:sz w:val="24"/>
          <w:szCs w:val="24"/>
          <w:highlight w:val="none"/>
        </w:rPr>
        <w:t>15.1</w:t>
      </w:r>
      <w:r>
        <w:rPr>
          <w:rFonts w:hint="eastAsia" w:ascii="宋体" w:hAnsi="宋体" w:cs="宋体"/>
          <w:color w:val="auto"/>
          <w:sz w:val="24"/>
          <w:szCs w:val="24"/>
          <w:highlight w:val="none"/>
        </w:rPr>
        <w:t>本合同未尽事宜，可由甲乙双方另行签订补充协议。补充协议与本合同具有同等法律效力。</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15.2</w:t>
      </w:r>
      <w:r>
        <w:rPr>
          <w:rFonts w:hint="eastAsia" w:ascii="宋体" w:hAnsi="宋体" w:cs="宋体"/>
          <w:color w:val="auto"/>
          <w:sz w:val="24"/>
          <w:szCs w:val="24"/>
          <w:highlight w:val="none"/>
        </w:rPr>
        <w:t>本合同自甲乙双方法定代表人或授权代理人签字并加盖公章之日起生效。</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15.3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r>
        <w:rPr>
          <w:rFonts w:ascii="宋体" w:hAnsi="宋体" w:cs="宋体"/>
          <w:color w:val="auto"/>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after="160" w:line="240" w:lineRule="auto"/>
        <w:ind w:firstLine="720" w:firstLineChars="300"/>
        <w:jc w:val="left"/>
        <w:textAlignment w:val="auto"/>
        <w:rPr>
          <w:rFonts w:ascii="宋体" w:hAnsi="宋体" w:cs="宋体"/>
          <w:color w:val="auto"/>
          <w:sz w:val="24"/>
          <w:szCs w:val="24"/>
          <w:highlight w:val="none"/>
        </w:rPr>
      </w:pPr>
      <w:r>
        <w:rPr>
          <w:rFonts w:ascii="宋体" w:hAnsi="宋体" w:cs="宋体"/>
          <w:color w:val="auto"/>
          <w:sz w:val="24"/>
          <w:szCs w:val="24"/>
          <w:highlight w:val="none"/>
        </w:rPr>
        <w:t>15.4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bookmarkEnd w:id="109"/>
      <w:bookmarkEnd w:id="110"/>
      <w:bookmarkEnd w:id="136"/>
      <w:bookmarkEnd w:id="137"/>
      <w:bookmarkEnd w:id="138"/>
      <w:bookmarkEnd w:id="139"/>
      <w:bookmarkEnd w:id="140"/>
      <w:bookmarkEnd w:id="141"/>
      <w:bookmarkEnd w:id="142"/>
      <w:bookmarkEnd w:id="143"/>
      <w:bookmarkEnd w:id="144"/>
      <w:bookmarkEnd w:id="145"/>
      <w:bookmarkEnd w:id="146"/>
    </w:p>
    <w:p>
      <w:pPr>
        <w:keepNext w:val="0"/>
        <w:keepLines w:val="0"/>
        <w:pageBreakBefore w:val="0"/>
        <w:widowControl/>
        <w:kinsoku/>
        <w:wordWrap/>
        <w:overflowPunct/>
        <w:topLinePunct w:val="0"/>
        <w:autoSpaceDE/>
        <w:autoSpaceDN/>
        <w:bidi w:val="0"/>
        <w:adjustRightInd/>
        <w:snapToGrid/>
        <w:spacing w:after="160" w:line="240" w:lineRule="auto"/>
        <w:ind w:firstLine="48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发包</w:t>
      </w:r>
      <w:r>
        <w:rPr>
          <w:rFonts w:hint="eastAsia" w:ascii="宋体" w:hAnsi="宋体" w:cs="宋体"/>
          <w:color w:val="auto"/>
          <w:sz w:val="24"/>
          <w:szCs w:val="24"/>
          <w:highlight w:val="none"/>
        </w:rPr>
        <w:t>通知书</w:t>
      </w:r>
    </w:p>
    <w:p>
      <w:pPr>
        <w:keepNext w:val="0"/>
        <w:keepLines w:val="0"/>
        <w:pageBreakBefore w:val="0"/>
        <w:widowControl/>
        <w:kinsoku/>
        <w:wordWrap/>
        <w:overflowPunct/>
        <w:topLinePunct w:val="0"/>
        <w:autoSpaceDE/>
        <w:autoSpaceDN/>
        <w:bidi w:val="0"/>
        <w:adjustRightInd/>
        <w:snapToGrid/>
        <w:spacing w:after="160" w:line="240" w:lineRule="auto"/>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          2</w:t>
      </w:r>
      <w:r>
        <w:rPr>
          <w:rFonts w:hint="eastAsia" w:ascii="宋体" w:hAnsi="宋体" w:cs="宋体"/>
          <w:color w:val="auto"/>
          <w:sz w:val="24"/>
          <w:szCs w:val="24"/>
          <w:highlight w:val="none"/>
        </w:rPr>
        <w:t>.廉洁协议</w:t>
      </w:r>
    </w:p>
    <w:p>
      <w:pPr>
        <w:keepNext w:val="0"/>
        <w:keepLines w:val="0"/>
        <w:pageBreakBefore w:val="0"/>
        <w:widowControl/>
        <w:kinsoku/>
        <w:wordWrap/>
        <w:overflowPunct/>
        <w:topLinePunct w:val="0"/>
        <w:autoSpaceDE/>
        <w:autoSpaceDN/>
        <w:bidi w:val="0"/>
        <w:adjustRightInd/>
        <w:snapToGrid/>
        <w:spacing w:after="160" w:line="240" w:lineRule="auto"/>
        <w:ind w:firstLine="1200" w:firstLineChars="500"/>
        <w:jc w:val="left"/>
        <w:textAlignment w:val="auto"/>
        <w:rPr>
          <w:rFonts w:hint="eastAsia"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物品采购</w:t>
      </w:r>
      <w:r>
        <w:rPr>
          <w:rFonts w:hint="eastAsia" w:ascii="宋体" w:hAnsi="宋体" w:cs="宋体"/>
          <w:color w:val="auto"/>
          <w:sz w:val="24"/>
          <w:szCs w:val="24"/>
          <w:highlight w:val="none"/>
        </w:rPr>
        <w:t>安全协议书</w:t>
      </w:r>
    </w:p>
    <w:p>
      <w:pPr>
        <w:keepNext w:val="0"/>
        <w:keepLines w:val="0"/>
        <w:pageBreakBefore w:val="0"/>
        <w:widowControl/>
        <w:kinsoku/>
        <w:wordWrap/>
        <w:overflowPunct/>
        <w:topLinePunct w:val="0"/>
        <w:autoSpaceDE/>
        <w:autoSpaceDN/>
        <w:bidi w:val="0"/>
        <w:adjustRightInd/>
        <w:snapToGrid/>
        <w:spacing w:after="160" w:line="240" w:lineRule="auto"/>
        <w:ind w:firstLine="1200" w:firstLineChars="5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不诚信行为的情形及相应被暂停参与投标活动的处理标准</w:t>
      </w:r>
    </w:p>
    <w:p>
      <w:pPr>
        <w:pStyle w:val="28"/>
        <w:ind w:firstLine="1200" w:firstLineChars="500"/>
        <w:rPr>
          <w:rFonts w:hint="default"/>
          <w:color w:val="auto"/>
          <w:highlight w:val="none"/>
          <w:lang w:val="en-US" w:eastAsia="zh-CN"/>
        </w:rPr>
      </w:pPr>
      <w:r>
        <w:rPr>
          <w:rFonts w:hint="default" w:ascii="宋体" w:hAnsi="宋体" w:cs="宋体" w:eastAsiaTheme="minorEastAsia"/>
          <w:color w:val="auto"/>
          <w:kern w:val="2"/>
          <w:sz w:val="24"/>
          <w:szCs w:val="24"/>
          <w:highlight w:val="none"/>
          <w:lang w:val="en-US" w:eastAsia="zh-CN" w:bidi="ar-SA"/>
        </w:rPr>
        <w:t>5.防疫管理协议书</w:t>
      </w:r>
    </w:p>
    <w:tbl>
      <w:tblPr>
        <w:tblStyle w:val="22"/>
        <w:tblpPr w:leftFromText="180" w:rightFromText="180" w:vertAnchor="text" w:horzAnchor="page" w:tblpX="1091" w:tblpY="351"/>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noWrap w:val="0"/>
            <w:vAlign w:val="top"/>
          </w:tcPr>
          <w:p>
            <w:pPr>
              <w:widowControl/>
              <w:adjustRightInd w:val="0"/>
              <w:snapToGrid w:val="0"/>
              <w:spacing w:after="16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widowControl/>
              <w:adjustRightInd w:val="0"/>
              <w:snapToGrid w:val="0"/>
              <w:spacing w:after="160" w:line="360" w:lineRule="auto"/>
              <w:ind w:left="240" w:hanging="240" w:hangingChars="100"/>
              <w:jc w:val="both"/>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p>
        </w:tc>
        <w:tc>
          <w:tcPr>
            <w:tcW w:w="4696" w:type="dxa"/>
            <w:tcBorders>
              <w:top w:val="nil"/>
              <w:left w:val="nil"/>
              <w:bottom w:val="nil"/>
              <w:right w:val="nil"/>
            </w:tcBorders>
            <w:noWrap w:val="0"/>
            <w:vAlign w:val="top"/>
          </w:tcPr>
          <w:p>
            <w:pPr>
              <w:widowControl/>
              <w:adjustRightInd w:val="0"/>
              <w:snapToGrid w:val="0"/>
              <w:spacing w:after="160" w:line="360" w:lineRule="auto"/>
              <w:ind w:left="4181" w:hanging="4180" w:hangingChars="1742"/>
              <w:jc w:val="left"/>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w:t>
            </w:r>
          </w:p>
        </w:tc>
      </w:tr>
    </w:tbl>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附件1.发包通知书</w:t>
      </w:r>
    </w:p>
    <w:p>
      <w:pPr>
        <w:widowControl/>
        <w:spacing w:after="160"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p>
    <w:p>
      <w:pPr>
        <w:widowControl/>
        <w:spacing w:after="160" w:line="360" w:lineRule="auto"/>
        <w:jc w:val="center"/>
        <w:rPr>
          <w:rFonts w:ascii="宋体" w:hAnsi="宋体" w:cs="Calibri"/>
          <w:b/>
          <w:color w:val="auto"/>
          <w:sz w:val="32"/>
          <w:szCs w:val="32"/>
          <w:highlight w:val="none"/>
        </w:rPr>
      </w:pPr>
      <w:r>
        <w:rPr>
          <w:rFonts w:hint="eastAsia" w:ascii="宋体" w:hAnsi="宋体" w:cs="Calibri"/>
          <w:b/>
          <w:color w:val="auto"/>
          <w:sz w:val="32"/>
          <w:szCs w:val="32"/>
          <w:highlight w:val="none"/>
        </w:rPr>
        <w:t>廉洁协议</w:t>
      </w:r>
    </w:p>
    <w:p>
      <w:pPr>
        <w:widowControl/>
        <w:spacing w:after="160" w:line="360" w:lineRule="auto"/>
        <w:ind w:firstLine="540" w:firstLineChars="225"/>
        <w:jc w:val="left"/>
        <w:rPr>
          <w:rFonts w:ascii="宋体" w:hAnsi="宋体" w:cs="Calibri"/>
          <w:color w:val="auto"/>
          <w:sz w:val="24"/>
          <w:szCs w:val="22"/>
          <w:highlight w:val="none"/>
        </w:rPr>
      </w:pPr>
      <w:r>
        <w:rPr>
          <w:rFonts w:hint="eastAsia" w:ascii="宋体" w:hAnsi="宋体" w:cs="Calibri"/>
          <w:color w:val="auto"/>
          <w:sz w:val="24"/>
          <w:szCs w:val="22"/>
          <w:highlight w:val="none"/>
        </w:rPr>
        <w:t>为促进双方诚信经营、廉洁从业，防范商业贿赂，保护国家、集体和当事人的合法权益，根据国家有关法律法规和广东省、广州市廉政建设的规定，</w:t>
      </w:r>
      <w:r>
        <w:rPr>
          <w:rFonts w:ascii="宋体" w:hAnsi="宋体" w:cs="Calibri"/>
          <w:color w:val="auto"/>
          <w:sz w:val="24"/>
          <w:szCs w:val="22"/>
          <w:highlight w:val="none"/>
          <w:u w:val="single"/>
        </w:rPr>
        <w:t>广州市净水有限公司</w:t>
      </w:r>
      <w:r>
        <w:rPr>
          <w:rFonts w:ascii="宋体" w:hAnsi="宋体" w:cs="Calibri"/>
          <w:color w:val="auto"/>
          <w:sz w:val="24"/>
          <w:szCs w:val="22"/>
          <w:highlight w:val="none"/>
        </w:rPr>
        <w:t>(以下称甲方)与</w:t>
      </w:r>
      <w:r>
        <w:rPr>
          <w:rFonts w:hint="eastAsia" w:ascii="宋体" w:hAnsi="宋体" w:cs="Calibri"/>
          <w:color w:val="auto"/>
          <w:sz w:val="24"/>
          <w:szCs w:val="22"/>
          <w:highlight w:val="none"/>
        </w:rPr>
        <w:t>(以下称乙方</w:t>
      </w:r>
      <w:r>
        <w:rPr>
          <w:rFonts w:ascii="宋体" w:hAnsi="宋体" w:cs="Calibri"/>
          <w:color w:val="auto"/>
          <w:sz w:val="24"/>
          <w:szCs w:val="22"/>
          <w:highlight w:val="none"/>
        </w:rPr>
        <w:t>)，特此订立本协议共同遵照执行。</w:t>
      </w:r>
    </w:p>
    <w:p>
      <w:pPr>
        <w:widowControl/>
        <w:spacing w:after="160" w:line="360" w:lineRule="auto"/>
        <w:ind w:firstLine="482" w:firstLineChars="200"/>
        <w:jc w:val="left"/>
        <w:rPr>
          <w:rFonts w:ascii="宋体" w:hAnsi="宋体" w:cs="Calibri"/>
          <w:color w:val="auto"/>
          <w:sz w:val="24"/>
          <w:szCs w:val="22"/>
          <w:highlight w:val="none"/>
        </w:rPr>
      </w:pPr>
      <w:r>
        <w:rPr>
          <w:rFonts w:hint="eastAsia" w:ascii="宋体" w:hAnsi="宋体" w:cs="Calibri"/>
          <w:b/>
          <w:bCs/>
          <w:color w:val="auto"/>
          <w:sz w:val="24"/>
          <w:szCs w:val="22"/>
          <w:highlight w:val="none"/>
        </w:rPr>
        <w:t>第一条甲乙双方的权利和义务</w:t>
      </w:r>
    </w:p>
    <w:p>
      <w:pPr>
        <w:widowControl/>
        <w:spacing w:after="160" w:line="360" w:lineRule="auto"/>
        <w:ind w:firstLine="360" w:firstLineChars="150"/>
        <w:jc w:val="left"/>
        <w:rPr>
          <w:rFonts w:ascii="宋体" w:hAnsi="宋体" w:cs="Calibri"/>
          <w:color w:val="auto"/>
          <w:sz w:val="24"/>
          <w:szCs w:val="22"/>
          <w:highlight w:val="none"/>
        </w:rPr>
      </w:pPr>
      <w:r>
        <w:rPr>
          <w:rFonts w:hint="eastAsia" w:ascii="宋体" w:hAnsi="宋体" w:cs="Calibri"/>
          <w:color w:val="auto"/>
          <w:sz w:val="24"/>
          <w:szCs w:val="22"/>
          <w:highlight w:val="none"/>
        </w:rPr>
        <w:t>（一）甲乙双方严格遵守国家关于市场准入、项目招标投标、市场经营活动等有关法律、法规相关政策及廉政建设的各项规定。</w:t>
      </w:r>
    </w:p>
    <w:p>
      <w:pPr>
        <w:widowControl/>
        <w:spacing w:after="160" w:line="360" w:lineRule="auto"/>
        <w:ind w:firstLine="360" w:firstLineChars="150"/>
        <w:jc w:val="left"/>
        <w:rPr>
          <w:rFonts w:ascii="宋体" w:hAnsi="宋体" w:cs="Calibri"/>
          <w:color w:val="auto"/>
          <w:sz w:val="24"/>
          <w:szCs w:val="22"/>
          <w:highlight w:val="none"/>
        </w:rPr>
      </w:pPr>
      <w:r>
        <w:rPr>
          <w:rFonts w:hint="eastAsia" w:ascii="宋体" w:hAnsi="宋体" w:cs="Calibri"/>
          <w:color w:val="auto"/>
          <w:sz w:val="24"/>
          <w:szCs w:val="22"/>
          <w:highlight w:val="none"/>
        </w:rPr>
        <w:t>（二）严格执行</w:t>
      </w:r>
      <w:r>
        <w:rPr>
          <w:rFonts w:hint="eastAsia" w:ascii="宋体" w:hAnsi="宋体" w:cs="Calibri"/>
          <w:color w:val="auto"/>
          <w:sz w:val="24"/>
          <w:szCs w:val="22"/>
          <w:highlight w:val="none"/>
          <w:u w:val="single"/>
        </w:rPr>
        <w:t xml:space="preserve"> </w:t>
      </w:r>
      <w:r>
        <w:rPr>
          <w:rFonts w:ascii="宋体" w:hAnsi="宋体" w:cs="Calibri"/>
          <w:color w:val="auto"/>
          <w:sz w:val="24"/>
          <w:szCs w:val="22"/>
          <w:highlight w:val="none"/>
          <w:u w:val="single"/>
        </w:rPr>
        <w:t xml:space="preserve">      </w:t>
      </w:r>
      <w:r>
        <w:rPr>
          <w:rFonts w:hint="eastAsia" w:ascii="宋体" w:hAnsi="宋体" w:cs="Calibri"/>
          <w:color w:val="auto"/>
          <w:sz w:val="24"/>
          <w:szCs w:val="22"/>
          <w:highlight w:val="none"/>
        </w:rPr>
        <w:t>合同（以下简称：主合同），自觉履行合同约定的相关义务。</w:t>
      </w:r>
    </w:p>
    <w:p>
      <w:pPr>
        <w:widowControl/>
        <w:spacing w:after="160" w:line="360" w:lineRule="auto"/>
        <w:ind w:firstLine="360" w:firstLineChars="150"/>
        <w:jc w:val="left"/>
        <w:rPr>
          <w:rFonts w:ascii="宋体" w:hAnsi="宋体" w:cs="Calibri"/>
          <w:color w:val="auto"/>
          <w:sz w:val="24"/>
          <w:szCs w:val="22"/>
          <w:highlight w:val="none"/>
        </w:rPr>
      </w:pPr>
      <w:r>
        <w:rPr>
          <w:rFonts w:hint="eastAsia" w:ascii="宋体" w:hAnsi="宋体" w:cs="Calibri"/>
          <w:color w:val="auto"/>
          <w:sz w:val="24"/>
          <w:szCs w:val="22"/>
          <w:highlight w:val="none"/>
        </w:rPr>
        <w:t>（三）在业务活动中坚持公开、公正、诚信、透明的原则，不得损害国家、集体利益。</w:t>
      </w:r>
    </w:p>
    <w:p>
      <w:pPr>
        <w:widowControl/>
        <w:spacing w:after="160" w:line="360" w:lineRule="auto"/>
        <w:ind w:firstLine="360" w:firstLineChars="150"/>
        <w:jc w:val="left"/>
        <w:rPr>
          <w:rFonts w:ascii="宋体" w:hAnsi="宋体" w:cs="Calibri"/>
          <w:color w:val="auto"/>
          <w:sz w:val="24"/>
          <w:szCs w:val="22"/>
          <w:highlight w:val="none"/>
        </w:rPr>
      </w:pPr>
      <w:r>
        <w:rPr>
          <w:rFonts w:hint="eastAsia" w:ascii="宋体" w:hAnsi="宋体" w:cs="Calibri"/>
          <w:color w:val="auto"/>
          <w:sz w:val="24"/>
          <w:szCs w:val="22"/>
          <w:highlight w:val="none"/>
        </w:rPr>
        <w:t>（四）建立健全廉洁从业制度，开展廉洁教育，公布举报电话，监督并认真查处不廉洁及违法违纪行为。</w:t>
      </w:r>
    </w:p>
    <w:p>
      <w:pPr>
        <w:widowControl/>
        <w:spacing w:after="160" w:line="360" w:lineRule="auto"/>
        <w:ind w:firstLine="360" w:firstLineChars="150"/>
        <w:jc w:val="left"/>
        <w:rPr>
          <w:rFonts w:ascii="宋体" w:hAnsi="宋体" w:cs="Calibri"/>
          <w:color w:val="auto"/>
          <w:sz w:val="24"/>
          <w:szCs w:val="22"/>
          <w:highlight w:val="none"/>
        </w:rPr>
      </w:pPr>
      <w:r>
        <w:rPr>
          <w:rFonts w:hint="eastAsia" w:ascii="宋体" w:hAnsi="宋体" w:cs="Calibri"/>
          <w:color w:val="auto"/>
          <w:sz w:val="24"/>
          <w:szCs w:val="22"/>
          <w:highlight w:val="none"/>
        </w:rPr>
        <w:t>（五）发现对方在业务活动中有不廉洁行为，应及时提醒对方纠正。情节严重的，应向其上级有关部门举报，建议给予处理，并有权要求告知处理结果。</w:t>
      </w:r>
    </w:p>
    <w:p>
      <w:pPr>
        <w:widowControl/>
        <w:spacing w:after="160" w:line="360" w:lineRule="auto"/>
        <w:ind w:firstLine="482" w:firstLineChars="200"/>
        <w:jc w:val="left"/>
        <w:rPr>
          <w:rFonts w:ascii="宋体" w:hAnsi="宋体" w:cs="Calibri"/>
          <w:color w:val="auto"/>
          <w:sz w:val="24"/>
          <w:szCs w:val="22"/>
          <w:highlight w:val="none"/>
        </w:rPr>
      </w:pPr>
      <w:r>
        <w:rPr>
          <w:rFonts w:hint="eastAsia" w:ascii="宋体" w:hAnsi="宋体" w:cs="Calibri"/>
          <w:b/>
          <w:bCs/>
          <w:color w:val="auto"/>
          <w:sz w:val="24"/>
          <w:szCs w:val="22"/>
          <w:highlight w:val="none"/>
        </w:rPr>
        <w:t>第二条甲方的义务</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（一）甲方及其工作人员不得索要或接受乙方的礼金、有价证券和贵重物品，不得在乙方报销任何应由甲方或个人支付的费用等。</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widowControl/>
        <w:spacing w:after="160" w:line="360" w:lineRule="auto"/>
        <w:ind w:left="15" w:leftChars="7"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（三）甲方及其工作人员不得要求或者接受乙方为其住房装修、婚丧嫁娶活动、配偶子女工作安排以及出国出境、旅游等提供方便等。</w:t>
      </w:r>
    </w:p>
    <w:p>
      <w:pPr>
        <w:widowControl/>
        <w:spacing w:after="160" w:line="360" w:lineRule="auto"/>
        <w:ind w:left="15" w:leftChars="7"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（四）甲方工作人员不得在乙方或与乙方有股权关联的企业兼职，不得向乙方介绍家属或者亲友从事与甲方业务有关的经济活动。</w:t>
      </w:r>
    </w:p>
    <w:p>
      <w:pPr>
        <w:widowControl/>
        <w:spacing w:after="160" w:line="360" w:lineRule="auto"/>
        <w:ind w:left="15" w:leftChars="7"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（五）甲方工作人员不得以明显低于市场的价格向乙方购买房屋、汽车等物品；不得</w:t>
      </w:r>
      <w:r>
        <w:rPr>
          <w:rFonts w:ascii="宋体" w:hAnsi="宋体" w:cs="Calibri"/>
          <w:color w:val="auto"/>
          <w:sz w:val="24"/>
          <w:szCs w:val="22"/>
          <w:highlight w:val="none"/>
        </w:rPr>
        <w:t>以明显高于市场的价格向</w:t>
      </w:r>
      <w:r>
        <w:rPr>
          <w:rFonts w:hint="eastAsia" w:ascii="宋体" w:hAnsi="宋体" w:cs="Calibri"/>
          <w:color w:val="auto"/>
          <w:sz w:val="24"/>
          <w:szCs w:val="22"/>
          <w:highlight w:val="none"/>
        </w:rPr>
        <w:t>乙方</w:t>
      </w:r>
      <w:r>
        <w:rPr>
          <w:rFonts w:ascii="宋体" w:hAnsi="宋体" w:cs="Calibri"/>
          <w:color w:val="auto"/>
          <w:sz w:val="24"/>
          <w:szCs w:val="22"/>
          <w:highlight w:val="none"/>
        </w:rPr>
        <w:t>出售房屋、汽车等物品；</w:t>
      </w:r>
      <w:r>
        <w:rPr>
          <w:rFonts w:hint="eastAsia" w:ascii="宋体" w:hAnsi="宋体" w:cs="Calibri"/>
          <w:color w:val="auto"/>
          <w:sz w:val="24"/>
          <w:szCs w:val="22"/>
          <w:highlight w:val="none"/>
        </w:rPr>
        <w:t>不得使用乙方提供的与工作无关的房屋、汽车等物品；不得以其他交易形式非法收受请托人财物。</w:t>
      </w:r>
    </w:p>
    <w:p>
      <w:pPr>
        <w:widowControl/>
        <w:spacing w:after="160" w:line="360" w:lineRule="auto"/>
        <w:ind w:left="15" w:leftChars="7"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（六）甲方工作人员不得利用职务之便收受乙方以回扣、手续费、加班费、咨询费、劳务费、协调费、辛苦费等各种名义给予或赠送的钱物。</w:t>
      </w:r>
    </w:p>
    <w:p>
      <w:pPr>
        <w:widowControl/>
        <w:spacing w:after="160" w:line="360" w:lineRule="auto"/>
        <w:ind w:left="15" w:leftChars="7"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（七）甲方工作人员不得接受乙方给予或赠送的干股或红利。</w:t>
      </w:r>
    </w:p>
    <w:p>
      <w:pPr>
        <w:widowControl/>
        <w:spacing w:after="160" w:line="360" w:lineRule="auto"/>
        <w:ind w:firstLine="482" w:firstLineChars="200"/>
        <w:jc w:val="left"/>
        <w:rPr>
          <w:rFonts w:ascii="宋体" w:hAnsi="宋体" w:cs="Calibri"/>
          <w:color w:val="auto"/>
          <w:sz w:val="24"/>
          <w:szCs w:val="22"/>
          <w:highlight w:val="none"/>
        </w:rPr>
      </w:pPr>
      <w:r>
        <w:rPr>
          <w:rFonts w:hint="eastAsia" w:ascii="宋体" w:hAnsi="宋体" w:cs="Calibri"/>
          <w:b/>
          <w:bCs/>
          <w:color w:val="auto"/>
          <w:sz w:val="24"/>
          <w:szCs w:val="22"/>
          <w:highlight w:val="none"/>
        </w:rPr>
        <w:t>第三条乙方的义务</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（一）乙方不得以任何理由向甲方及其工作人员行贿或馈赠礼金、有价证券、贵重礼品。</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（二</w:t>
      </w:r>
      <w:r>
        <w:rPr>
          <w:rFonts w:ascii="宋体" w:hAnsi="宋体" w:cs="Calibri"/>
          <w:color w:val="auto"/>
          <w:sz w:val="24"/>
          <w:szCs w:val="22"/>
          <w:highlight w:val="none"/>
        </w:rPr>
        <w:t>)乙方不得以任何名义为甲方及其工作人员报销应由甲方单位或个人支付的任何费用。</w:t>
      </w:r>
    </w:p>
    <w:p>
      <w:pPr>
        <w:widowControl/>
        <w:spacing w:after="160" w:line="360" w:lineRule="auto"/>
        <w:ind w:left="25" w:leftChars="12"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（三）乙方不得以任何理由安排甲方工作人员参加可能影响相关业务公开、公正、公平性的宴请及娱乐活动。</w:t>
      </w:r>
    </w:p>
    <w:p>
      <w:pPr>
        <w:widowControl w:val="0"/>
        <w:adjustRightInd w:val="0"/>
        <w:spacing w:after="120" w:line="480" w:lineRule="auto"/>
        <w:ind w:left="420"/>
        <w:jc w:val="both"/>
        <w:textAlignment w:val="baseline"/>
        <w:rPr>
          <w:rFonts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（四）乙方不得为甲方单位和个人购置或提供通讯工具和高档办公用品等物品，也不得为甲方提供与工作无关的房屋、汽车等。</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（五）乙方不得擅自与甲方工作人员就合同中的质量、数量、价格、工程量、验收等条款进行私下商谈或者达成默契。</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（六）乙方不得以回扣、手续费、加班费、咨询费、劳务费、协调费、辛苦费等各种名义向甲方工作人员给予或赠送钱物。</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（七）乙方不得向甲方工作人员提供干股或红利。</w:t>
      </w:r>
    </w:p>
    <w:p>
      <w:pPr>
        <w:widowControl/>
        <w:spacing w:after="160" w:line="360" w:lineRule="auto"/>
        <w:ind w:firstLine="482" w:firstLineChars="200"/>
        <w:jc w:val="left"/>
        <w:rPr>
          <w:rFonts w:ascii="宋体" w:hAnsi="宋体" w:cs="Calibri"/>
          <w:color w:val="auto"/>
          <w:sz w:val="24"/>
          <w:szCs w:val="22"/>
          <w:highlight w:val="none"/>
        </w:rPr>
      </w:pPr>
      <w:r>
        <w:rPr>
          <w:rFonts w:hint="eastAsia" w:ascii="宋体" w:hAnsi="宋体" w:cs="Calibri"/>
          <w:b/>
          <w:bCs/>
          <w:color w:val="auto"/>
          <w:sz w:val="24"/>
          <w:szCs w:val="22"/>
          <w:highlight w:val="none"/>
        </w:rPr>
        <w:t>第四条违约责任</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一）甲方及其工作人员违反本协议第一、二条。甲方按管理权限，对相关责任人依据有关规定给予党纪、政务处分或组织处理；涉嫌犯罪的，移交司法机关追究刑事责任；给乙方单位造成经济损失的，应予以赔偿。</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甲方举报投诉联系部门：广州市净水有限公司</w:t>
      </w:r>
      <w:r>
        <w:rPr>
          <w:rFonts w:ascii="宋体" w:hAnsi="宋体" w:cs="Calibri"/>
          <w:color w:val="auto"/>
          <w:sz w:val="24"/>
          <w:szCs w:val="22"/>
          <w:highlight w:val="none"/>
          <w:u w:val="single"/>
        </w:rPr>
        <w:t>纪检</w:t>
      </w:r>
      <w:r>
        <w:rPr>
          <w:rFonts w:hint="eastAsia" w:ascii="宋体" w:hAnsi="宋体" w:cs="Calibri"/>
          <w:color w:val="auto"/>
          <w:sz w:val="24"/>
          <w:szCs w:val="22"/>
          <w:highlight w:val="none"/>
          <w:u w:val="single"/>
        </w:rPr>
        <w:t>室</w:t>
      </w:r>
      <w:r>
        <w:rPr>
          <w:rFonts w:hint="eastAsia" w:ascii="宋体" w:hAnsi="宋体" w:cs="Calibri"/>
          <w:color w:val="auto"/>
          <w:sz w:val="24"/>
          <w:szCs w:val="22"/>
          <w:highlight w:val="none"/>
        </w:rPr>
        <w:t>，联系电话：</w:t>
      </w:r>
      <w:r>
        <w:rPr>
          <w:rFonts w:ascii="宋体" w:hAnsi="宋体" w:cs="Calibri"/>
          <w:color w:val="auto"/>
          <w:sz w:val="24"/>
          <w:szCs w:val="22"/>
          <w:highlight w:val="none"/>
          <w:u w:val="single"/>
        </w:rPr>
        <w:t xml:space="preserve"> 020-38890265 </w:t>
      </w:r>
      <w:r>
        <w:rPr>
          <w:rFonts w:hint="eastAsia" w:ascii="宋体" w:hAnsi="宋体" w:cs="Calibri"/>
          <w:color w:val="auto"/>
          <w:sz w:val="24"/>
          <w:szCs w:val="22"/>
          <w:highlight w:val="none"/>
        </w:rPr>
        <w:t>。</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（二）乙方及其工作人员违反本协议第一、三条。根据具体情节和造成的后果，甲方有权对乙方采取以下一种或多种处理办法：</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1、扣除主合同的全部履约保证金；</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2、解除主合同；</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3、追究乙方其他违约责任；</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4、根据甲方的有关规章制度，在一定时间内暂停乙方参与甲方及下属单位所有项目的交易资格；</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5、根据甲方的有关规章制度，将乙方清退出甲方相关企业库；</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6、根据甲方上级单位、行政主管部门的意见、决定执行；</w:t>
      </w:r>
    </w:p>
    <w:p>
      <w:pPr>
        <w:widowControl/>
        <w:spacing w:after="160" w:line="360" w:lineRule="auto"/>
        <w:ind w:firstLine="480" w:firstLineChars="200"/>
        <w:jc w:val="left"/>
        <w:rPr>
          <w:rFonts w:hint="eastAsia" w:ascii="宋体" w:hAnsi="宋体" w:cs="Calibri"/>
          <w:color w:val="auto"/>
          <w:sz w:val="24"/>
          <w:szCs w:val="22"/>
          <w:highlight w:val="none"/>
          <w:lang w:val="en-US" w:eastAsia="zh-CN"/>
        </w:rPr>
      </w:pPr>
      <w:r>
        <w:rPr>
          <w:rFonts w:hint="eastAsia" w:ascii="宋体" w:hAnsi="宋体" w:cs="Calibri"/>
          <w:color w:val="auto"/>
          <w:sz w:val="24"/>
          <w:szCs w:val="22"/>
          <w:highlight w:val="none"/>
          <w:lang w:val="en-US" w:eastAsia="zh-CN"/>
        </w:rPr>
        <w:t>7、按规定向有关行政监督部门、乙方业务管理部门进行投诉、报告。</w:t>
      </w:r>
    </w:p>
    <w:p>
      <w:pPr>
        <w:widowControl/>
        <w:spacing w:after="160" w:line="360" w:lineRule="auto"/>
        <w:ind w:firstLine="480" w:firstLineChars="200"/>
        <w:jc w:val="left"/>
        <w:rPr>
          <w:rFonts w:ascii="宋体" w:hAnsi="宋体" w:cs="Calibri"/>
          <w:color w:val="auto"/>
          <w:sz w:val="24"/>
          <w:szCs w:val="22"/>
          <w:highlight w:val="none"/>
        </w:rPr>
      </w:pPr>
      <w:r>
        <w:rPr>
          <w:rFonts w:hint="eastAsia" w:ascii="宋体" w:hAnsi="宋体" w:cs="Calibri"/>
          <w:color w:val="auto"/>
          <w:sz w:val="24"/>
          <w:szCs w:val="22"/>
          <w:highlight w:val="none"/>
        </w:rPr>
        <w:t>乙方无条件接受甲方处理意见并承担给甲方造成的损失，全额返还用不正当手段获取的非法所得，并承担相应的法律责任。</w:t>
      </w:r>
    </w:p>
    <w:p>
      <w:pPr>
        <w:widowControl/>
        <w:spacing w:after="0" w:line="240" w:lineRule="auto"/>
        <w:jc w:val="left"/>
        <w:rPr>
          <w:rFonts w:ascii="宋体" w:hAnsi="宋体" w:cs="宋体"/>
          <w:color w:val="auto"/>
          <w:kern w:val="0"/>
          <w:sz w:val="24"/>
          <w:szCs w:val="24"/>
          <w:highlight w:val="none"/>
        </w:rPr>
      </w:pPr>
      <w:r>
        <w:rPr>
          <w:rFonts w:hint="eastAsia" w:ascii="宋体" w:hAnsi="宋体" w:cs="Calibri"/>
          <w:b/>
          <w:bCs/>
          <w:color w:val="auto"/>
          <w:sz w:val="24"/>
          <w:szCs w:val="22"/>
          <w:highlight w:val="none"/>
        </w:rPr>
        <w:t xml:space="preserve">第五条 </w:t>
      </w:r>
      <w:r>
        <w:rPr>
          <w:rFonts w:ascii="宋体" w:hAnsi="宋体" w:cs="宋体"/>
          <w:color w:val="auto"/>
          <w:kern w:val="0"/>
          <w:sz w:val="24"/>
          <w:szCs w:val="24"/>
          <w:highlight w:val="none"/>
        </w:rPr>
        <w:t xml:space="preserve">本协议执行情况，接受有管辖权的纪检、监察部门的监督，双方应予以配合检查调查。 </w:t>
      </w:r>
    </w:p>
    <w:p>
      <w:pPr>
        <w:widowControl/>
        <w:spacing w:after="160" w:line="360" w:lineRule="auto"/>
        <w:ind w:firstLine="482" w:firstLineChars="200"/>
        <w:jc w:val="left"/>
        <w:rPr>
          <w:rFonts w:ascii="宋体" w:hAnsi="宋体" w:cs="Calibri"/>
          <w:color w:val="auto"/>
          <w:sz w:val="24"/>
          <w:szCs w:val="22"/>
          <w:highlight w:val="none"/>
        </w:rPr>
      </w:pPr>
      <w:r>
        <w:rPr>
          <w:rFonts w:hint="eastAsia" w:ascii="宋体" w:hAnsi="宋体" w:cs="Calibri"/>
          <w:b/>
          <w:color w:val="auto"/>
          <w:sz w:val="24"/>
          <w:szCs w:val="22"/>
          <w:highlight w:val="none"/>
        </w:rPr>
        <w:t>第六条</w:t>
      </w:r>
      <w:r>
        <w:rPr>
          <w:rFonts w:ascii="宋体" w:hAnsi="宋体" w:cs="Calibri"/>
          <w:color w:val="auto"/>
          <w:sz w:val="24"/>
          <w:szCs w:val="22"/>
          <w:highlight w:val="none"/>
        </w:rPr>
        <w:t>本协议作为</w:t>
      </w:r>
      <w:r>
        <w:rPr>
          <w:rFonts w:hint="eastAsia" w:ascii="宋体" w:hAnsi="宋体" w:cs="Calibri"/>
          <w:color w:val="auto"/>
          <w:sz w:val="24"/>
          <w:szCs w:val="22"/>
          <w:highlight w:val="none"/>
          <w:u w:val="single"/>
        </w:rPr>
        <w:t>（合同名称）+（合同编号）</w:t>
      </w:r>
      <w:r>
        <w:rPr>
          <w:rFonts w:hint="eastAsia" w:ascii="宋体" w:hAnsi="宋体" w:cs="Calibri"/>
          <w:color w:val="auto"/>
          <w:sz w:val="24"/>
          <w:szCs w:val="22"/>
          <w:highlight w:val="none"/>
        </w:rPr>
        <w:t>合同的附件，并具有同等的法律效力，本协议自双方签字盖章之日起生效，与主合同同时终止。</w:t>
      </w:r>
    </w:p>
    <w:p>
      <w:pPr>
        <w:widowControl/>
        <w:spacing w:after="160" w:line="360" w:lineRule="auto"/>
        <w:ind w:firstLine="482" w:firstLineChars="200"/>
        <w:jc w:val="left"/>
        <w:rPr>
          <w:rFonts w:ascii="宋体" w:hAnsi="宋体" w:cs="Calibri"/>
          <w:color w:val="auto"/>
          <w:sz w:val="24"/>
          <w:szCs w:val="22"/>
          <w:highlight w:val="none"/>
        </w:rPr>
      </w:pPr>
      <w:r>
        <w:rPr>
          <w:rFonts w:hint="eastAsia" w:ascii="宋体" w:hAnsi="宋体" w:cs="Calibri"/>
          <w:b/>
          <w:color w:val="auto"/>
          <w:sz w:val="24"/>
          <w:szCs w:val="22"/>
          <w:highlight w:val="none"/>
        </w:rPr>
        <w:t>第七条</w:t>
      </w:r>
      <w:r>
        <w:rPr>
          <w:rFonts w:hint="eastAsia" w:ascii="宋体" w:hAnsi="宋体" w:cs="Calibri"/>
          <w:color w:val="auto"/>
          <w:sz w:val="24"/>
          <w:szCs w:val="22"/>
          <w:highlight w:val="none"/>
        </w:rPr>
        <w:t>本协议</w:t>
      </w:r>
      <w:r>
        <w:rPr>
          <w:rFonts w:hint="eastAsia" w:ascii="宋体" w:hAnsi="宋体" w:cs="Calibri"/>
          <w:color w:val="auto"/>
          <w:sz w:val="24"/>
          <w:szCs w:val="22"/>
          <w:highlight w:val="none"/>
        </w:rPr>
        <w:t>甲方、乙方双方执持数量与主合同一致</w:t>
      </w:r>
      <w:r>
        <w:rPr>
          <w:rFonts w:ascii="宋体" w:hAnsi="宋体" w:cs="Calibri"/>
          <w:color w:val="auto"/>
          <w:sz w:val="24"/>
          <w:szCs w:val="22"/>
          <w:highlight w:val="none"/>
        </w:rPr>
        <w:t>。</w:t>
      </w:r>
    </w:p>
    <w:p>
      <w:pPr>
        <w:widowControl/>
        <w:spacing w:after="160" w:line="360" w:lineRule="auto"/>
        <w:jc w:val="left"/>
        <w:rPr>
          <w:rFonts w:ascii="宋体" w:hAnsi="宋体" w:cs="Calibri"/>
          <w:color w:val="auto"/>
          <w:sz w:val="24"/>
          <w:szCs w:val="22"/>
          <w:highlight w:val="none"/>
        </w:rPr>
      </w:pPr>
      <w:r>
        <w:rPr>
          <w:rFonts w:ascii="宋体" w:hAnsi="宋体" w:cs="Calibri"/>
          <w:color w:val="auto"/>
          <w:sz w:val="24"/>
          <w:szCs w:val="22"/>
          <w:highlight w:val="none"/>
        </w:rPr>
        <w:br w:type="textWrapping"/>
      </w:r>
      <w:r>
        <w:rPr>
          <w:rFonts w:hint="eastAsia" w:ascii="宋体" w:hAnsi="宋体" w:cs="Calibri"/>
          <w:color w:val="auto"/>
          <w:sz w:val="24"/>
          <w:szCs w:val="22"/>
          <w:highlight w:val="none"/>
        </w:rPr>
        <w:t>甲方（盖章）：                     乙方（盖章）：</w:t>
      </w:r>
    </w:p>
    <w:p>
      <w:pPr>
        <w:widowControl w:val="0"/>
        <w:tabs>
          <w:tab w:val="left" w:pos="5100"/>
        </w:tabs>
        <w:spacing w:after="0" w:line="360" w:lineRule="auto"/>
        <w:ind w:left="7200" w:firstLine="0" w:firstLineChars="0"/>
        <w:jc w:val="left"/>
        <w:rPr>
          <w:rFonts w:ascii="宋体" w:hAnsi="宋体" w:eastAsia="宋体" w:cs="Times New Roman"/>
          <w:color w:val="auto"/>
          <w:kern w:val="2"/>
          <w:sz w:val="24"/>
          <w:szCs w:val="22"/>
          <w:highlight w:val="none"/>
          <w:lang w:val="en-US" w:eastAsia="zh-CN" w:bidi="ar-SA"/>
        </w:rPr>
      </w:pPr>
    </w:p>
    <w:p>
      <w:pPr>
        <w:widowControl/>
        <w:tabs>
          <w:tab w:val="left" w:pos="5100"/>
        </w:tabs>
        <w:spacing w:after="160" w:line="360" w:lineRule="auto"/>
        <w:ind w:left="7200" w:hanging="7200" w:hangingChars="3000"/>
        <w:jc w:val="left"/>
        <w:rPr>
          <w:rFonts w:ascii="宋体" w:hAnsi="宋体" w:cs="Calibri"/>
          <w:color w:val="auto"/>
          <w:sz w:val="24"/>
          <w:szCs w:val="22"/>
          <w:highlight w:val="none"/>
        </w:rPr>
      </w:pPr>
      <w:r>
        <w:rPr>
          <w:rFonts w:hint="eastAsia" w:ascii="宋体" w:hAnsi="宋体" w:cs="Calibri"/>
          <w:color w:val="auto"/>
          <w:sz w:val="24"/>
          <w:szCs w:val="22"/>
          <w:highlight w:val="none"/>
        </w:rPr>
        <w:t>签约代表：                         签约代表：</w:t>
      </w:r>
    </w:p>
    <w:p>
      <w:pPr>
        <w:widowControl/>
        <w:tabs>
          <w:tab w:val="left" w:pos="4170"/>
        </w:tabs>
        <w:spacing w:after="160" w:line="360" w:lineRule="auto"/>
        <w:jc w:val="left"/>
        <w:rPr>
          <w:rFonts w:hint="eastAsia" w:ascii="宋体" w:hAnsi="宋体" w:cs="宋体"/>
          <w:b/>
          <w:color w:val="auto"/>
          <w:szCs w:val="21"/>
          <w:highlight w:val="none"/>
        </w:rPr>
      </w:pPr>
      <w:r>
        <w:rPr>
          <w:rFonts w:hint="eastAsia" w:ascii="宋体" w:hAnsi="宋体" w:cs="Calibri"/>
          <w:color w:val="auto"/>
          <w:sz w:val="24"/>
          <w:szCs w:val="22"/>
          <w:highlight w:val="none"/>
        </w:rPr>
        <w:t>日期</w:t>
      </w:r>
      <w:r>
        <w:rPr>
          <w:rFonts w:ascii="宋体" w:hAnsi="宋体" w:cs="Calibri"/>
          <w:color w:val="auto"/>
          <w:sz w:val="24"/>
          <w:szCs w:val="22"/>
          <w:highlight w:val="none"/>
        </w:rPr>
        <w:t>:    年</w:t>
      </w:r>
      <w:r>
        <w:rPr>
          <w:rFonts w:hint="eastAsia" w:ascii="宋体" w:hAnsi="宋体" w:cs="Calibri"/>
          <w:color w:val="auto"/>
          <w:sz w:val="24"/>
          <w:szCs w:val="22"/>
          <w:highlight w:val="none"/>
        </w:rPr>
        <w:t xml:space="preserve">  </w:t>
      </w:r>
      <w:r>
        <w:rPr>
          <w:rFonts w:ascii="宋体" w:hAnsi="宋体" w:cs="Calibri"/>
          <w:color w:val="auto"/>
          <w:sz w:val="24"/>
          <w:szCs w:val="22"/>
          <w:highlight w:val="none"/>
        </w:rPr>
        <w:t>月</w:t>
      </w:r>
      <w:r>
        <w:rPr>
          <w:rFonts w:hint="eastAsia" w:ascii="宋体" w:hAnsi="宋体" w:cs="Calibri"/>
          <w:color w:val="auto"/>
          <w:sz w:val="24"/>
          <w:szCs w:val="22"/>
          <w:highlight w:val="none"/>
        </w:rPr>
        <w:t xml:space="preserve"> </w:t>
      </w:r>
      <w:r>
        <w:rPr>
          <w:rFonts w:ascii="宋体" w:hAnsi="宋体" w:cs="Calibri"/>
          <w:color w:val="auto"/>
          <w:sz w:val="24"/>
          <w:szCs w:val="22"/>
          <w:highlight w:val="none"/>
        </w:rPr>
        <w:t xml:space="preserve"> 日</w:t>
      </w:r>
      <w:r>
        <w:rPr>
          <w:rFonts w:ascii="宋体" w:hAnsi="宋体" w:cs="Calibri"/>
          <w:color w:val="auto"/>
          <w:sz w:val="24"/>
          <w:szCs w:val="22"/>
          <w:highlight w:val="none"/>
        </w:rPr>
        <w:tab/>
      </w:r>
      <w:r>
        <w:rPr>
          <w:rFonts w:hint="eastAsia" w:ascii="宋体" w:hAnsi="宋体" w:cs="Calibri"/>
          <w:color w:val="auto"/>
          <w:sz w:val="24"/>
          <w:szCs w:val="22"/>
          <w:highlight w:val="none"/>
        </w:rPr>
        <w:t xml:space="preserve">日期： </w:t>
      </w:r>
      <w:r>
        <w:rPr>
          <w:rFonts w:ascii="宋体" w:hAnsi="宋体" w:cs="Calibri"/>
          <w:color w:val="auto"/>
          <w:sz w:val="24"/>
          <w:szCs w:val="22"/>
          <w:highlight w:val="none"/>
        </w:rPr>
        <w:t xml:space="preserve"> </w:t>
      </w:r>
      <w:r>
        <w:rPr>
          <w:rFonts w:hint="eastAsia" w:ascii="宋体" w:hAnsi="宋体" w:cs="Calibri"/>
          <w:color w:val="auto"/>
          <w:sz w:val="24"/>
          <w:szCs w:val="22"/>
          <w:highlight w:val="none"/>
        </w:rPr>
        <w:t xml:space="preserve">年 </w:t>
      </w:r>
      <w:r>
        <w:rPr>
          <w:rFonts w:ascii="宋体" w:hAnsi="宋体" w:cs="Calibri"/>
          <w:color w:val="auto"/>
          <w:sz w:val="24"/>
          <w:szCs w:val="22"/>
          <w:highlight w:val="none"/>
        </w:rPr>
        <w:t xml:space="preserve"> </w:t>
      </w:r>
      <w:r>
        <w:rPr>
          <w:rFonts w:hint="eastAsia" w:ascii="宋体" w:hAnsi="宋体" w:cs="Calibri"/>
          <w:color w:val="auto"/>
          <w:sz w:val="24"/>
          <w:szCs w:val="22"/>
          <w:highlight w:val="none"/>
        </w:rPr>
        <w:t xml:space="preserve">月 </w:t>
      </w:r>
      <w:r>
        <w:rPr>
          <w:rFonts w:ascii="宋体" w:hAnsi="宋体" w:cs="Calibri"/>
          <w:color w:val="auto"/>
          <w:sz w:val="24"/>
          <w:szCs w:val="22"/>
          <w:highlight w:val="none"/>
        </w:rPr>
        <w:t xml:space="preserve"> </w:t>
      </w:r>
      <w:r>
        <w:rPr>
          <w:rFonts w:hint="eastAsia" w:ascii="宋体" w:hAnsi="宋体" w:cs="Calibri"/>
          <w:color w:val="auto"/>
          <w:sz w:val="24"/>
          <w:szCs w:val="22"/>
          <w:highlight w:val="none"/>
        </w:rPr>
        <w:t>日</w:t>
      </w: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hint="eastAsia" w:ascii="宋体" w:hAnsi="宋体" w:cs="宋体"/>
          <w:b/>
          <w:color w:val="auto"/>
          <w:szCs w:val="21"/>
          <w:highlight w:val="none"/>
        </w:rPr>
      </w:pPr>
    </w:p>
    <w:p>
      <w:pPr>
        <w:widowControl/>
        <w:spacing w:after="160" w:line="360" w:lineRule="auto"/>
        <w:jc w:val="left"/>
        <w:rPr>
          <w:rFonts w:ascii="宋体" w:hAnsi="宋体" w:cs="宋体"/>
          <w:b/>
          <w:color w:val="auto"/>
          <w:szCs w:val="21"/>
          <w:highlight w:val="none"/>
        </w:rPr>
      </w:pPr>
      <w:r>
        <w:rPr>
          <w:rFonts w:hint="eastAsia" w:ascii="宋体" w:hAnsi="宋体" w:cs="宋体"/>
          <w:b/>
          <w:color w:val="auto"/>
          <w:szCs w:val="21"/>
          <w:highlight w:val="none"/>
        </w:rPr>
        <w:t>附件</w:t>
      </w:r>
      <w:r>
        <w:rPr>
          <w:rFonts w:ascii="宋体" w:hAnsi="宋体" w:cs="宋体"/>
          <w:b/>
          <w:color w:val="auto"/>
          <w:szCs w:val="21"/>
          <w:highlight w:val="none"/>
        </w:rPr>
        <w:t>3</w:t>
      </w:r>
      <w:r>
        <w:rPr>
          <w:rFonts w:hint="eastAsia" w:ascii="宋体" w:hAnsi="宋体" w:cs="宋体"/>
          <w:b/>
          <w:color w:val="auto"/>
          <w:szCs w:val="21"/>
          <w:highlight w:val="none"/>
        </w:rPr>
        <w:t>：安全管理协议书</w:t>
      </w:r>
    </w:p>
    <w:p>
      <w:pPr>
        <w:widowControl/>
        <w:spacing w:after="160" w:line="560" w:lineRule="exact"/>
        <w:jc w:val="center"/>
        <w:rPr>
          <w:rFonts w:ascii="宋体" w:hAnsi="宋体" w:cs="Arial"/>
          <w:color w:val="auto"/>
          <w:kern w:val="0"/>
          <w:sz w:val="24"/>
          <w:szCs w:val="22"/>
          <w:highlight w:val="none"/>
        </w:rPr>
      </w:pPr>
      <w:r>
        <w:rPr>
          <w:rFonts w:hint="eastAsia" w:ascii="黑体" w:hAnsi="宋体" w:eastAsia="黑体" w:cs="宋体"/>
          <w:bCs/>
          <w:color w:val="auto"/>
          <w:kern w:val="0"/>
          <w:sz w:val="44"/>
          <w:szCs w:val="44"/>
          <w:highlight w:val="none"/>
        </w:rPr>
        <w:t>物品采购</w:t>
      </w:r>
      <w:r>
        <w:rPr>
          <w:rFonts w:hint="eastAsia" w:ascii="黑体" w:hAnsi="Batang" w:eastAsia="黑体" w:cs="Batang"/>
          <w:bCs/>
          <w:color w:val="auto"/>
          <w:kern w:val="0"/>
          <w:sz w:val="44"/>
          <w:szCs w:val="44"/>
          <w:highlight w:val="none"/>
        </w:rPr>
        <w:t>安全协议</w:t>
      </w:r>
      <w:r>
        <w:rPr>
          <w:rFonts w:hint="eastAsia" w:ascii="黑体" w:hAnsi="宋体" w:eastAsia="黑体" w:cs="宋体"/>
          <w:bCs/>
          <w:color w:val="auto"/>
          <w:kern w:val="0"/>
          <w:sz w:val="44"/>
          <w:szCs w:val="44"/>
          <w:highlight w:val="none"/>
        </w:rPr>
        <w:t>书</w:t>
      </w:r>
    </w:p>
    <w:p>
      <w:pPr>
        <w:widowControl/>
        <w:spacing w:after="160" w:line="560" w:lineRule="exact"/>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甲方：</w:t>
      </w:r>
      <w:r>
        <w:rPr>
          <w:rFonts w:hint="eastAsia" w:ascii="Calibri" w:hAnsi="Calibri" w:cs="Calibri"/>
          <w:color w:val="auto"/>
          <w:sz w:val="24"/>
          <w:szCs w:val="22"/>
          <w:highlight w:val="none"/>
        </w:rPr>
        <w:t>广州市净水有限公司</w:t>
      </w:r>
    </w:p>
    <w:p>
      <w:pPr>
        <w:widowControl/>
        <w:spacing w:after="160" w:line="560" w:lineRule="exact"/>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 xml:space="preserve">乙方： </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为加强物品采购过程安全管理，根据《中华人民共和国安全生产法》、《生产安全事故报告和调查处理条例》等国家及地方有关安全生产法律法规</w:t>
      </w:r>
      <w:r>
        <w:rPr>
          <w:rFonts w:ascii="宋体" w:hAnsi="宋体" w:cs="Arial"/>
          <w:color w:val="auto"/>
          <w:kern w:val="0"/>
          <w:sz w:val="24"/>
          <w:szCs w:val="22"/>
          <w:highlight w:val="none"/>
        </w:rPr>
        <w:t>，甲乙双方就</w:t>
      </w:r>
      <w:r>
        <w:rPr>
          <w:rFonts w:hint="eastAsia" w:ascii="宋体" w:hAnsi="宋体" w:cs="Arial"/>
          <w:color w:val="auto"/>
          <w:kern w:val="0"/>
          <w:sz w:val="24"/>
          <w:szCs w:val="22"/>
          <w:highlight w:val="none"/>
        </w:rPr>
        <w:t>物品采购的安全</w:t>
      </w:r>
      <w:r>
        <w:rPr>
          <w:rFonts w:ascii="宋体" w:hAnsi="宋体" w:cs="Arial"/>
          <w:color w:val="auto"/>
          <w:kern w:val="0"/>
          <w:sz w:val="24"/>
          <w:szCs w:val="22"/>
          <w:highlight w:val="none"/>
        </w:rPr>
        <w:t>事宜，</w:t>
      </w:r>
      <w:r>
        <w:rPr>
          <w:rFonts w:ascii="宋体" w:hAnsi="宋体" w:cs="Arial"/>
          <w:color w:val="auto"/>
          <w:sz w:val="24"/>
          <w:szCs w:val="22"/>
          <w:highlight w:val="none"/>
        </w:rPr>
        <w:t>经双方友好协商，达成如下协议</w:t>
      </w:r>
      <w:r>
        <w:rPr>
          <w:rFonts w:ascii="宋体" w:hAnsi="宋体" w:cs="Arial"/>
          <w:color w:val="auto"/>
          <w:kern w:val="0"/>
          <w:sz w:val="24"/>
          <w:szCs w:val="22"/>
          <w:highlight w:val="none"/>
        </w:rPr>
        <w:t>。</w:t>
      </w:r>
    </w:p>
    <w:p>
      <w:pPr>
        <w:widowControl/>
        <w:adjustRightInd w:val="0"/>
        <w:snapToGrid w:val="0"/>
        <w:spacing w:after="160" w:line="560" w:lineRule="exact"/>
        <w:ind w:firstLine="480" w:firstLineChars="200"/>
        <w:jc w:val="left"/>
        <w:rPr>
          <w:rFonts w:ascii="等线" w:hAnsi="等线" w:eastAsia="等线" w:cs="Calibri"/>
          <w:b/>
          <w:color w:val="auto"/>
          <w:sz w:val="24"/>
          <w:szCs w:val="22"/>
          <w:highlight w:val="none"/>
        </w:rPr>
      </w:pPr>
      <w:r>
        <w:rPr>
          <w:rFonts w:hint="eastAsia" w:ascii="等线" w:hAnsi="等线" w:eastAsia="等线" w:cs="Calibri"/>
          <w:b/>
          <w:color w:val="auto"/>
          <w:sz w:val="24"/>
          <w:szCs w:val="22"/>
          <w:highlight w:val="none"/>
        </w:rPr>
        <w:t>一、本协议与主合同的关系</w:t>
      </w:r>
    </w:p>
    <w:p>
      <w:pPr>
        <w:widowControl/>
        <w:adjustRightInd w:val="0"/>
        <w:snapToGrid w:val="0"/>
        <w:spacing w:after="160" w:line="560" w:lineRule="exact"/>
        <w:ind w:firstLine="480" w:firstLineChars="200"/>
        <w:jc w:val="left"/>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本协议作为</w:t>
      </w:r>
      <w:r>
        <w:rPr>
          <w:rFonts w:hint="eastAsia" w:ascii="等线" w:hAnsi="等线" w:eastAsia="等线" w:cs="Calibri"/>
          <w:color w:val="auto"/>
          <w:sz w:val="24"/>
          <w:szCs w:val="22"/>
          <w:highlight w:val="none"/>
          <w:u w:val="single"/>
        </w:rPr>
        <w:t xml:space="preserve">                          </w:t>
      </w:r>
      <w:r>
        <w:rPr>
          <w:rFonts w:hint="eastAsia" w:ascii="等线" w:hAnsi="等线" w:eastAsia="等线" w:cs="Calibri"/>
          <w:color w:val="auto"/>
          <w:sz w:val="24"/>
          <w:szCs w:val="22"/>
          <w:highlight w:val="none"/>
        </w:rPr>
        <w:t>的组成部分，与主合同具有同等法律效力。</w:t>
      </w:r>
    </w:p>
    <w:p>
      <w:pPr>
        <w:widowControl/>
        <w:spacing w:after="160" w:line="560" w:lineRule="exact"/>
        <w:ind w:firstLine="482" w:firstLineChars="200"/>
        <w:jc w:val="left"/>
        <w:rPr>
          <w:rFonts w:ascii="宋体" w:hAnsi="宋体" w:cs="Arial"/>
          <w:b/>
          <w:color w:val="auto"/>
          <w:kern w:val="0"/>
          <w:sz w:val="24"/>
          <w:szCs w:val="22"/>
          <w:highlight w:val="none"/>
        </w:rPr>
      </w:pPr>
      <w:r>
        <w:rPr>
          <w:rFonts w:hint="eastAsia" w:ascii="宋体" w:hAnsi="宋体" w:cs="Arial"/>
          <w:b/>
          <w:color w:val="auto"/>
          <w:kern w:val="0"/>
          <w:sz w:val="24"/>
          <w:szCs w:val="22"/>
          <w:highlight w:val="none"/>
        </w:rPr>
        <w:t>二、甲方权责</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（一）甲方进行物品采购时，应贯彻落实国家、地方有关安全管理的法律法规和规章制度。</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（四）乙方对存在问题拒不整改的，视为违约，甲方有权对乙方按主合同相关条款进行违约金扣罚。如乙方拒不缴纳违约金的，甲方有权在履约保证金中扣除。</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（五）告知乙方在甲方应当遵守的安全管理要求。</w:t>
      </w:r>
    </w:p>
    <w:p>
      <w:pPr>
        <w:widowControl/>
        <w:spacing w:after="160" w:line="560" w:lineRule="exact"/>
        <w:ind w:firstLine="482" w:firstLineChars="200"/>
        <w:jc w:val="left"/>
        <w:rPr>
          <w:rFonts w:ascii="宋体" w:hAnsi="宋体" w:cs="Arial"/>
          <w:b/>
          <w:color w:val="auto"/>
          <w:kern w:val="0"/>
          <w:sz w:val="24"/>
          <w:szCs w:val="22"/>
          <w:highlight w:val="none"/>
        </w:rPr>
      </w:pPr>
      <w:r>
        <w:rPr>
          <w:rFonts w:hint="eastAsia" w:ascii="宋体" w:hAnsi="宋体" w:cs="Arial"/>
          <w:b/>
          <w:color w:val="auto"/>
          <w:kern w:val="0"/>
          <w:sz w:val="24"/>
          <w:szCs w:val="22"/>
          <w:highlight w:val="none"/>
        </w:rPr>
        <w:t>三、乙方权责</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widowControl/>
        <w:spacing w:after="160" w:line="560" w:lineRule="exact"/>
        <w:ind w:firstLine="480" w:firstLineChars="200"/>
        <w:jc w:val="left"/>
        <w:rPr>
          <w:rFonts w:ascii="宋体" w:hAnsi="宋体" w:cs="Arial"/>
          <w:color w:val="auto"/>
          <w:kern w:val="0"/>
          <w:sz w:val="24"/>
          <w:szCs w:val="22"/>
          <w:highlight w:val="none"/>
        </w:rPr>
      </w:pPr>
      <w:r>
        <w:rPr>
          <w:rFonts w:hint="eastAsia" w:ascii="宋体" w:hAnsi="宋体" w:cs="Arial"/>
          <w:color w:val="auto"/>
          <w:kern w:val="0"/>
          <w:sz w:val="24"/>
          <w:szCs w:val="22"/>
          <w:highlight w:val="none"/>
        </w:rPr>
        <w:t>（二）</w:t>
      </w:r>
      <w:r>
        <w:rPr>
          <w:rFonts w:hint="eastAsia" w:ascii="宋体" w:hAnsi="宋体" w:cs="宋体"/>
          <w:color w:val="auto"/>
          <w:kern w:val="0"/>
          <w:sz w:val="24"/>
          <w:szCs w:val="22"/>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auto"/>
          <w:kern w:val="0"/>
          <w:sz w:val="24"/>
          <w:szCs w:val="22"/>
          <w:highlight w:val="none"/>
        </w:rPr>
        <w:t>物品</w:t>
      </w:r>
      <w:r>
        <w:rPr>
          <w:rFonts w:hint="eastAsia" w:ascii="宋体" w:hAnsi="宋体" w:cs="宋体"/>
          <w:color w:val="auto"/>
          <w:kern w:val="0"/>
          <w:sz w:val="24"/>
          <w:szCs w:val="22"/>
          <w:highlight w:val="none"/>
        </w:rPr>
        <w:t>安全运输责任人，负责安全运输和装卸及安全教育工作，同时督促检查，确保</w:t>
      </w:r>
      <w:r>
        <w:rPr>
          <w:rFonts w:hint="eastAsia" w:ascii="宋体" w:hAnsi="宋体" w:cs="Arial"/>
          <w:color w:val="auto"/>
          <w:kern w:val="0"/>
          <w:sz w:val="24"/>
          <w:szCs w:val="22"/>
          <w:highlight w:val="none"/>
        </w:rPr>
        <w:t>物品</w:t>
      </w:r>
      <w:r>
        <w:rPr>
          <w:rFonts w:hint="eastAsia" w:ascii="宋体" w:hAnsi="宋体" w:cs="宋体"/>
          <w:color w:val="auto"/>
          <w:kern w:val="0"/>
          <w:sz w:val="24"/>
          <w:szCs w:val="22"/>
          <w:highlight w:val="none"/>
        </w:rPr>
        <w:t>的安全送运。</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（三）乙方应承诺所售</w:t>
      </w:r>
      <w:r>
        <w:rPr>
          <w:rFonts w:hint="eastAsia" w:ascii="宋体" w:hAnsi="宋体" w:cs="Arial"/>
          <w:color w:val="auto"/>
          <w:kern w:val="0"/>
          <w:sz w:val="24"/>
          <w:szCs w:val="22"/>
          <w:highlight w:val="none"/>
        </w:rPr>
        <w:t>物品</w:t>
      </w:r>
      <w:r>
        <w:rPr>
          <w:rFonts w:hint="eastAsia" w:ascii="宋体" w:hAnsi="宋体" w:cs="宋体"/>
          <w:color w:val="auto"/>
          <w:kern w:val="0"/>
          <w:sz w:val="24"/>
          <w:szCs w:val="22"/>
          <w:highlight w:val="none"/>
        </w:rPr>
        <w:t>质量符合现行国家规范要求，保证</w:t>
      </w:r>
      <w:r>
        <w:rPr>
          <w:rFonts w:hint="eastAsia" w:ascii="宋体" w:hAnsi="宋体" w:cs="Arial"/>
          <w:color w:val="auto"/>
          <w:kern w:val="0"/>
          <w:sz w:val="24"/>
          <w:szCs w:val="22"/>
          <w:highlight w:val="none"/>
        </w:rPr>
        <w:t>所售物品为正品。设备类物品应提供与设备型号一致的使用说明书（进口设备应有中文说明书），如物品有保质期要求的应在保质期范围内，</w:t>
      </w:r>
      <w:r>
        <w:rPr>
          <w:rFonts w:hint="eastAsia" w:ascii="宋体" w:hAnsi="宋体" w:cs="宋体"/>
          <w:color w:val="auto"/>
          <w:kern w:val="0"/>
          <w:sz w:val="24"/>
          <w:szCs w:val="22"/>
          <w:highlight w:val="none"/>
        </w:rPr>
        <w:t>特殊设备应在运输前做好定检工作，包装要完整完好。</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（四）乙方对</w:t>
      </w:r>
      <w:r>
        <w:rPr>
          <w:rFonts w:hint="eastAsia" w:ascii="宋体" w:hAnsi="宋体" w:cs="Arial"/>
          <w:color w:val="auto"/>
          <w:kern w:val="0"/>
          <w:sz w:val="24"/>
          <w:szCs w:val="22"/>
          <w:highlight w:val="none"/>
        </w:rPr>
        <w:t>物品</w:t>
      </w:r>
      <w:r>
        <w:rPr>
          <w:rFonts w:hint="eastAsia" w:ascii="宋体" w:hAnsi="宋体" w:cs="宋体"/>
          <w:color w:val="auto"/>
          <w:kern w:val="0"/>
          <w:sz w:val="24"/>
          <w:szCs w:val="22"/>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（五）乙方须加强物品运输车辆的安全管理，用于运输</w:t>
      </w:r>
      <w:r>
        <w:rPr>
          <w:rFonts w:hint="eastAsia" w:ascii="宋体" w:hAnsi="宋体" w:cs="Arial"/>
          <w:color w:val="auto"/>
          <w:kern w:val="0"/>
          <w:sz w:val="24"/>
          <w:szCs w:val="22"/>
          <w:highlight w:val="none"/>
        </w:rPr>
        <w:t>物品</w:t>
      </w:r>
      <w:r>
        <w:rPr>
          <w:rFonts w:hint="eastAsia" w:ascii="宋体" w:hAnsi="宋体" w:cs="宋体"/>
          <w:color w:val="auto"/>
          <w:kern w:val="0"/>
          <w:sz w:val="24"/>
          <w:szCs w:val="22"/>
          <w:highlight w:val="none"/>
        </w:rPr>
        <w:t>的车辆必须车况良好、外观整洁、证照齐全，严格执行车辆安全检验制度，确保车辆性能符合安全技术标准。</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（六）人员管理</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乙方聘请其他单位运输的，乙方应对运输单位的安全管理负责。</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auto"/>
          <w:kern w:val="0"/>
          <w:sz w:val="24"/>
          <w:szCs w:val="22"/>
          <w:highlight w:val="none"/>
          <w:u w:val="single"/>
        </w:rPr>
        <w:t xml:space="preserve">      </w:t>
      </w:r>
      <w:r>
        <w:rPr>
          <w:rFonts w:hint="eastAsia" w:ascii="宋体" w:hAnsi="宋体" w:cs="宋体"/>
          <w:color w:val="auto"/>
          <w:kern w:val="0"/>
          <w:sz w:val="24"/>
          <w:szCs w:val="22"/>
          <w:highlight w:val="none"/>
        </w:rPr>
        <w:t>元/次。</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4.如设备类物品需进行安装、调试，乙方应安排熟悉设备或有设备操作相关资质的专业人员与甲方进行设备验收及培训等工作，确保操作设备过程安全。</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（七）发生事故时，乙方须立即报警处理，乙方在力所能及范围内采取补救措施，并在30分钟内将情况报告甲方。</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widowControl/>
        <w:spacing w:after="160" w:line="560" w:lineRule="exact"/>
        <w:ind w:firstLine="480" w:firstLineChars="200"/>
        <w:jc w:val="left"/>
        <w:rPr>
          <w:rFonts w:ascii="宋体" w:hAnsi="宋体" w:cs="宋体"/>
          <w:color w:val="auto"/>
          <w:kern w:val="0"/>
          <w:sz w:val="24"/>
          <w:szCs w:val="22"/>
          <w:highlight w:val="none"/>
        </w:rPr>
      </w:pPr>
      <w:r>
        <w:rPr>
          <w:rFonts w:hint="eastAsia" w:ascii="宋体" w:hAnsi="宋体" w:cs="宋体"/>
          <w:color w:val="auto"/>
          <w:kern w:val="0"/>
          <w:sz w:val="24"/>
          <w:szCs w:val="22"/>
          <w:highlight w:val="none"/>
        </w:rPr>
        <w:t>（十）乙方委托的第三方运输单位或个人，违反本协议的，全部责任均由乙方承担。</w:t>
      </w:r>
    </w:p>
    <w:p>
      <w:pPr>
        <w:spacing w:line="560" w:lineRule="exact"/>
        <w:ind w:firstLine="480" w:firstLineChars="200"/>
        <w:rPr>
          <w:rFonts w:ascii="等线" w:hAnsi="等线" w:eastAsia="等线" w:cs="Times New Roman"/>
          <w:color w:val="auto"/>
          <w:sz w:val="24"/>
          <w:szCs w:val="22"/>
          <w:highlight w:val="none"/>
          <w:lang w:val="en-US" w:eastAsia="zh-CN" w:bidi="ar-SA"/>
        </w:rPr>
      </w:pPr>
      <w:r>
        <w:rPr>
          <w:rFonts w:hint="eastAsia" w:ascii="等线" w:hAnsi="等线" w:eastAsia="等线" w:cs="Times New Roman"/>
          <w:b/>
          <w:color w:val="auto"/>
          <w:sz w:val="24"/>
          <w:szCs w:val="22"/>
          <w:highlight w:val="none"/>
          <w:lang w:val="en-US" w:eastAsia="zh-CN" w:bidi="ar-SA"/>
        </w:rPr>
        <w:t>四、补充条款：</w:t>
      </w:r>
      <w:r>
        <w:rPr>
          <w:rFonts w:hint="eastAsia" w:ascii="等线" w:hAnsi="等线" w:eastAsia="等线" w:cs="Times New Roman"/>
          <w:color w:val="auto"/>
          <w:sz w:val="24"/>
          <w:szCs w:val="22"/>
          <w:highlight w:val="none"/>
          <w:u w:val="single"/>
          <w:lang w:val="en-US" w:eastAsia="zh-CN" w:bidi="ar-SA"/>
        </w:rPr>
        <w:t xml:space="preserve">         </w:t>
      </w:r>
      <w:r>
        <w:rPr>
          <w:rFonts w:ascii="等线" w:hAnsi="等线" w:eastAsia="等线" w:cs="Times New Roman"/>
          <w:color w:val="auto"/>
          <w:sz w:val="24"/>
          <w:szCs w:val="22"/>
          <w:highlight w:val="none"/>
          <w:u w:val="single"/>
          <w:lang w:val="en-US" w:eastAsia="zh-CN" w:bidi="ar-SA"/>
        </w:rPr>
        <w:t xml:space="preserve"> </w:t>
      </w:r>
      <w:r>
        <w:rPr>
          <w:rFonts w:hint="eastAsia" w:ascii="等线" w:hAnsi="等线" w:eastAsia="等线" w:cs="Times New Roman"/>
          <w:color w:val="auto"/>
          <w:sz w:val="24"/>
          <w:szCs w:val="22"/>
          <w:highlight w:val="none"/>
          <w:u w:val="single"/>
          <w:lang w:val="en-US" w:eastAsia="zh-CN" w:bidi="ar-SA"/>
        </w:rPr>
        <w:t xml:space="preserve">       </w:t>
      </w:r>
      <w:r>
        <w:rPr>
          <w:rFonts w:hint="eastAsia" w:ascii="等线" w:hAnsi="等线" w:eastAsia="等线" w:cs="Times New Roman"/>
          <w:color w:val="auto"/>
          <w:sz w:val="24"/>
          <w:szCs w:val="22"/>
          <w:highlight w:val="none"/>
          <w:lang w:val="en-US" w:eastAsia="zh-CN" w:bidi="ar-SA"/>
        </w:rPr>
        <w:t>。</w:t>
      </w:r>
    </w:p>
    <w:p>
      <w:pPr>
        <w:widowControl/>
        <w:adjustRightInd w:val="0"/>
        <w:snapToGrid w:val="0"/>
        <w:spacing w:after="160" w:line="560" w:lineRule="exact"/>
        <w:ind w:firstLine="480" w:firstLineChars="200"/>
        <w:jc w:val="left"/>
        <w:rPr>
          <w:rFonts w:ascii="等线" w:hAnsi="等线" w:eastAsia="等线" w:cs="Calibri"/>
          <w:b/>
          <w:color w:val="auto"/>
          <w:sz w:val="24"/>
          <w:szCs w:val="22"/>
          <w:highlight w:val="none"/>
        </w:rPr>
      </w:pPr>
      <w:r>
        <w:rPr>
          <w:rFonts w:hint="eastAsia" w:ascii="等线" w:hAnsi="等线" w:eastAsia="等线" w:cs="Calibri"/>
          <w:b/>
          <w:color w:val="auto"/>
          <w:sz w:val="24"/>
          <w:szCs w:val="22"/>
          <w:highlight w:val="none"/>
        </w:rPr>
        <w:t>五、附则</w:t>
      </w:r>
    </w:p>
    <w:p>
      <w:pPr>
        <w:widowControl/>
        <w:adjustRightInd w:val="0"/>
        <w:snapToGrid w:val="0"/>
        <w:spacing w:after="160" w:line="560" w:lineRule="exact"/>
        <w:ind w:firstLine="480" w:firstLineChars="200"/>
        <w:jc w:val="left"/>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（一）本协议未尽事宜，依据有关法律、法规、规章处理。法律、法规、规章没有明确规定的，经双方协商处理解决。</w:t>
      </w:r>
    </w:p>
    <w:p>
      <w:pPr>
        <w:widowControl/>
        <w:adjustRightInd w:val="0"/>
        <w:snapToGrid w:val="0"/>
        <w:spacing w:after="160" w:line="560" w:lineRule="exact"/>
        <w:ind w:firstLine="480" w:firstLineChars="200"/>
        <w:jc w:val="left"/>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（二）本协议与主合同同时签订、同时终止、同时生效，具有相同的法律效力，自甲方、乙方双方签字、盖章生效，甲方、乙方双方执持数量与主合同一致。</w:t>
      </w:r>
    </w:p>
    <w:p>
      <w:pPr>
        <w:widowControl/>
        <w:adjustRightInd w:val="0"/>
        <w:snapToGrid w:val="0"/>
        <w:spacing w:after="160" w:line="560" w:lineRule="exact"/>
        <w:ind w:firstLine="480" w:firstLineChars="200"/>
        <w:jc w:val="left"/>
        <w:rPr>
          <w:rFonts w:ascii="等线" w:hAnsi="等线" w:eastAsia="等线" w:cs="Calibri"/>
          <w:color w:val="auto"/>
          <w:sz w:val="24"/>
          <w:szCs w:val="22"/>
          <w:highlight w:val="none"/>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widowControl w:val="0"/>
              <w:adjustRightInd w:val="0"/>
              <w:snapToGrid w:val="0"/>
              <w:spacing w:after="160" w:line="560" w:lineRule="exact"/>
              <w:jc w:val="both"/>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甲方：</w:t>
            </w:r>
          </w:p>
          <w:p>
            <w:pPr>
              <w:widowControl w:val="0"/>
              <w:adjustRightInd w:val="0"/>
              <w:snapToGrid w:val="0"/>
              <w:spacing w:after="160" w:line="560" w:lineRule="exact"/>
              <w:jc w:val="both"/>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签约代表：</w:t>
            </w:r>
          </w:p>
          <w:p>
            <w:pPr>
              <w:widowControl w:val="0"/>
              <w:adjustRightInd w:val="0"/>
              <w:snapToGrid w:val="0"/>
              <w:spacing w:after="160" w:line="560" w:lineRule="exact"/>
              <w:jc w:val="both"/>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联系电话：</w:t>
            </w:r>
          </w:p>
          <w:p>
            <w:pPr>
              <w:widowControl w:val="0"/>
              <w:adjustRightInd w:val="0"/>
              <w:snapToGrid w:val="0"/>
              <w:spacing w:after="160" w:line="560" w:lineRule="exact"/>
              <w:ind w:firstLine="240" w:firstLineChars="100"/>
              <w:jc w:val="right"/>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年</w:t>
            </w:r>
            <w:r>
              <w:rPr>
                <w:rFonts w:ascii="等线" w:hAnsi="等线" w:eastAsia="等线" w:cs="Calibri"/>
                <w:color w:val="auto"/>
                <w:sz w:val="24"/>
                <w:szCs w:val="22"/>
                <w:highlight w:val="none"/>
              </w:rPr>
              <w:t xml:space="preserve">    </w:t>
            </w:r>
            <w:r>
              <w:rPr>
                <w:rFonts w:hint="eastAsia" w:ascii="等线" w:hAnsi="等线" w:eastAsia="等线" w:cs="Calibri"/>
                <w:color w:val="auto"/>
                <w:sz w:val="24"/>
                <w:szCs w:val="22"/>
                <w:highlight w:val="none"/>
              </w:rPr>
              <w:t>月</w:t>
            </w:r>
            <w:r>
              <w:rPr>
                <w:rFonts w:ascii="等线" w:hAnsi="等线" w:eastAsia="等线" w:cs="Calibri"/>
                <w:color w:val="auto"/>
                <w:sz w:val="24"/>
                <w:szCs w:val="22"/>
                <w:highlight w:val="none"/>
              </w:rPr>
              <w:t xml:space="preserve">    </w:t>
            </w:r>
            <w:r>
              <w:rPr>
                <w:rFonts w:hint="eastAsia" w:ascii="等线" w:hAnsi="等线" w:eastAsia="等线" w:cs="Calibri"/>
                <w:color w:val="auto"/>
                <w:sz w:val="24"/>
                <w:szCs w:val="22"/>
                <w:highlight w:val="none"/>
              </w:rPr>
              <w:t>日</w:t>
            </w:r>
          </w:p>
        </w:tc>
        <w:tc>
          <w:tcPr>
            <w:tcW w:w="4474" w:type="dxa"/>
            <w:noWrap w:val="0"/>
            <w:vAlign w:val="top"/>
          </w:tcPr>
          <w:p>
            <w:pPr>
              <w:widowControl w:val="0"/>
              <w:adjustRightInd w:val="0"/>
              <w:snapToGrid w:val="0"/>
              <w:spacing w:after="160" w:line="560" w:lineRule="exact"/>
              <w:jc w:val="both"/>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乙方：</w:t>
            </w:r>
          </w:p>
          <w:p>
            <w:pPr>
              <w:widowControl w:val="0"/>
              <w:adjustRightInd w:val="0"/>
              <w:snapToGrid w:val="0"/>
              <w:spacing w:after="160" w:line="560" w:lineRule="exact"/>
              <w:jc w:val="both"/>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签约代表：</w:t>
            </w:r>
          </w:p>
          <w:p>
            <w:pPr>
              <w:widowControl w:val="0"/>
              <w:adjustRightInd w:val="0"/>
              <w:snapToGrid w:val="0"/>
              <w:spacing w:after="160" w:line="560" w:lineRule="exact"/>
              <w:jc w:val="both"/>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联系电话：</w:t>
            </w:r>
          </w:p>
          <w:p>
            <w:pPr>
              <w:widowControl w:val="0"/>
              <w:adjustRightInd w:val="0"/>
              <w:snapToGrid w:val="0"/>
              <w:spacing w:after="160" w:line="560" w:lineRule="exact"/>
              <w:jc w:val="right"/>
              <w:textAlignment w:val="baseline"/>
              <w:rPr>
                <w:rFonts w:ascii="等线" w:hAnsi="等线" w:eastAsia="等线" w:cs="Calibri"/>
                <w:color w:val="auto"/>
                <w:sz w:val="24"/>
                <w:szCs w:val="22"/>
                <w:highlight w:val="none"/>
              </w:rPr>
            </w:pPr>
            <w:r>
              <w:rPr>
                <w:rFonts w:hint="eastAsia" w:ascii="等线" w:hAnsi="等线" w:eastAsia="等线" w:cs="Calibri"/>
                <w:color w:val="auto"/>
                <w:sz w:val="24"/>
                <w:szCs w:val="22"/>
                <w:highlight w:val="none"/>
              </w:rPr>
              <w:t>年</w:t>
            </w:r>
            <w:r>
              <w:rPr>
                <w:rFonts w:ascii="等线" w:hAnsi="等线" w:eastAsia="等线" w:cs="Calibri"/>
                <w:color w:val="auto"/>
                <w:sz w:val="24"/>
                <w:szCs w:val="22"/>
                <w:highlight w:val="none"/>
              </w:rPr>
              <w:t xml:space="preserve">    </w:t>
            </w:r>
            <w:r>
              <w:rPr>
                <w:rFonts w:hint="eastAsia" w:ascii="等线" w:hAnsi="等线" w:eastAsia="等线" w:cs="Calibri"/>
                <w:color w:val="auto"/>
                <w:sz w:val="24"/>
                <w:szCs w:val="22"/>
                <w:highlight w:val="none"/>
              </w:rPr>
              <w:t>月</w:t>
            </w:r>
            <w:r>
              <w:rPr>
                <w:rFonts w:ascii="等线" w:hAnsi="等线" w:eastAsia="等线" w:cs="Calibri"/>
                <w:color w:val="auto"/>
                <w:sz w:val="24"/>
                <w:szCs w:val="22"/>
                <w:highlight w:val="none"/>
              </w:rPr>
              <w:t xml:space="preserve">    </w:t>
            </w:r>
            <w:r>
              <w:rPr>
                <w:rFonts w:hint="eastAsia" w:ascii="等线" w:hAnsi="等线" w:eastAsia="等线" w:cs="Calibri"/>
                <w:color w:val="auto"/>
                <w:sz w:val="24"/>
                <w:szCs w:val="22"/>
                <w:highlight w:val="none"/>
              </w:rPr>
              <w:t>日</w:t>
            </w:r>
          </w:p>
        </w:tc>
      </w:tr>
    </w:tbl>
    <w:p>
      <w:pPr>
        <w:pStyle w:val="48"/>
        <w:rPr>
          <w:rFonts w:hint="eastAsia" w:ascii="宋体" w:hAnsi="宋体" w:cs="宋体"/>
          <w:color w:val="auto"/>
          <w:szCs w:val="21"/>
          <w:highlight w:val="none"/>
        </w:rPr>
      </w:pPr>
    </w:p>
    <w:p>
      <w:pPr>
        <w:pStyle w:val="48"/>
        <w:rPr>
          <w:rFonts w:hint="eastAsia" w:ascii="宋体" w:hAnsi="宋体" w:cs="宋体"/>
          <w:color w:val="auto"/>
          <w:szCs w:val="21"/>
          <w:highlight w:val="none"/>
        </w:rPr>
      </w:pPr>
    </w:p>
    <w:p>
      <w:pPr>
        <w:pStyle w:val="48"/>
        <w:rPr>
          <w:rFonts w:hint="eastAsia" w:ascii="宋体" w:hAnsi="宋体" w:cs="宋体"/>
          <w:color w:val="auto"/>
          <w:szCs w:val="21"/>
          <w:highlight w:val="none"/>
        </w:rPr>
      </w:pPr>
    </w:p>
    <w:p>
      <w:pPr>
        <w:pStyle w:val="48"/>
        <w:rPr>
          <w:rFonts w:hint="eastAsia" w:ascii="宋体" w:hAnsi="宋体" w:cs="宋体"/>
          <w:color w:val="auto"/>
          <w:szCs w:val="21"/>
          <w:highlight w:val="none"/>
        </w:rPr>
      </w:pPr>
    </w:p>
    <w:p>
      <w:pPr>
        <w:pStyle w:val="48"/>
        <w:rPr>
          <w:rFonts w:hint="eastAsia" w:ascii="宋体" w:hAnsi="宋体" w:cs="宋体"/>
          <w:color w:val="auto"/>
          <w:szCs w:val="21"/>
          <w:highlight w:val="none"/>
        </w:rPr>
      </w:pPr>
    </w:p>
    <w:p>
      <w:pPr>
        <w:pStyle w:val="48"/>
        <w:rPr>
          <w:rFonts w:hint="eastAsia" w:ascii="宋体" w:hAnsi="宋体" w:cs="宋体"/>
          <w:color w:val="auto"/>
          <w:szCs w:val="21"/>
          <w:highlight w:val="none"/>
        </w:rPr>
      </w:pPr>
      <w:r>
        <w:rPr>
          <w:rFonts w:hint="eastAsia" w:ascii="宋体" w:hAnsi="宋体" w:cs="宋体"/>
          <w:color w:val="auto"/>
          <w:szCs w:val="21"/>
          <w:highlight w:val="none"/>
        </w:rPr>
        <w:t>附件</w:t>
      </w:r>
      <w:r>
        <w:rPr>
          <w:rFonts w:hint="eastAsia" w:hAnsi="宋体" w:cs="宋体"/>
          <w:color w:val="auto"/>
          <w:szCs w:val="21"/>
          <w:highlight w:val="none"/>
          <w:lang w:val="en-US" w:eastAsia="zh-CN"/>
        </w:rPr>
        <w:t>4</w:t>
      </w:r>
      <w:r>
        <w:rPr>
          <w:rFonts w:hint="eastAsia" w:ascii="宋体" w:hAnsi="宋体" w:cs="宋体"/>
          <w:color w:val="auto"/>
          <w:szCs w:val="21"/>
          <w:highlight w:val="none"/>
        </w:rPr>
        <w:t>：</w:t>
      </w:r>
    </w:p>
    <w:p>
      <w:pPr>
        <w:pStyle w:val="48"/>
        <w:rPr>
          <w:rFonts w:hint="eastAsia" w:ascii="宋体" w:hAnsi="宋体" w:cs="宋体"/>
          <w:color w:val="auto"/>
          <w:szCs w:val="21"/>
          <w:highlight w:val="none"/>
        </w:rPr>
      </w:pPr>
    </w:p>
    <w:p>
      <w:pPr>
        <w:adjustRightInd w:val="0"/>
        <w:snapToGrid w:val="0"/>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p>
    <w:tbl>
      <w:tblPr>
        <w:tblStyle w:val="22"/>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auto"/>
          <w:sz w:val="24"/>
          <w:szCs w:val="24"/>
          <w:highlight w:val="none"/>
        </w:rPr>
        <w:t>《广州市净水有限公司经营建设项目参建企业不诚信行为管理办法》</w:t>
      </w:r>
      <w:r>
        <w:rPr>
          <w:rFonts w:hint="eastAsia" w:ascii="仿宋_GB2312" w:hAnsi="仿宋_GB2312" w:eastAsia="仿宋_GB2312" w:cs="仿宋_GB2312"/>
          <w:color w:val="auto"/>
          <w:sz w:val="24"/>
          <w:szCs w:val="24"/>
          <w:highlight w:val="none"/>
          <w:lang w:eastAsia="zh-CN"/>
        </w:rPr>
        <w:t>。</w:t>
      </w:r>
    </w:p>
    <w:p>
      <w:pPr>
        <w:spacing w:line="560" w:lineRule="exact"/>
        <w:ind w:firstLine="0" w:firstLineChars="0"/>
        <w:rPr>
          <w:rFonts w:hint="eastAsia" w:ascii="宋体" w:hAnsi="宋体" w:eastAsia="宋体" w:cs="宋体"/>
          <w:b/>
          <w:bCs/>
          <w:color w:val="auto"/>
          <w:sz w:val="21"/>
          <w:szCs w:val="21"/>
          <w:highlight w:val="none"/>
          <w:lang w:val="en-US" w:eastAsia="zh-CN"/>
        </w:rPr>
      </w:pPr>
    </w:p>
    <w:p>
      <w:pPr>
        <w:spacing w:line="560" w:lineRule="exact"/>
        <w:ind w:firstLine="0" w:firstLineChars="0"/>
        <w:rPr>
          <w:rFonts w:hint="eastAsia" w:ascii="宋体" w:hAnsi="宋体" w:eastAsia="宋体" w:cs="宋体"/>
          <w:b/>
          <w:bCs/>
          <w:color w:val="auto"/>
          <w:sz w:val="21"/>
          <w:szCs w:val="21"/>
          <w:highlight w:val="none"/>
          <w:lang w:val="en-US" w:eastAsia="zh-CN"/>
        </w:rPr>
      </w:pPr>
    </w:p>
    <w:p>
      <w:pPr>
        <w:spacing w:line="560" w:lineRule="exact"/>
        <w:ind w:firstLine="0" w:firstLineChars="0"/>
        <w:rPr>
          <w:rFonts w:hint="eastAsia" w:ascii="宋体" w:hAnsi="宋体" w:eastAsia="宋体" w:cs="宋体"/>
          <w:b/>
          <w:bCs/>
          <w:color w:val="auto"/>
          <w:sz w:val="21"/>
          <w:szCs w:val="21"/>
          <w:highlight w:val="none"/>
          <w:lang w:val="en-US" w:eastAsia="zh-CN"/>
        </w:rPr>
      </w:pPr>
    </w:p>
    <w:p>
      <w:pPr>
        <w:spacing w:line="560" w:lineRule="exact"/>
        <w:ind w:firstLine="0" w:firstLineChars="0"/>
        <w:rPr>
          <w:rFonts w:hint="eastAsia" w:ascii="宋体" w:hAnsi="宋体" w:eastAsia="宋体" w:cs="宋体"/>
          <w:b/>
          <w:bCs/>
          <w:color w:val="auto"/>
          <w:sz w:val="21"/>
          <w:szCs w:val="21"/>
          <w:highlight w:val="none"/>
          <w:lang w:val="en-US" w:eastAsia="zh-CN"/>
        </w:rPr>
      </w:pPr>
    </w:p>
    <w:p>
      <w:pPr>
        <w:spacing w:line="560" w:lineRule="exact"/>
        <w:ind w:firstLine="0" w:firstLineChars="0"/>
        <w:rPr>
          <w:rFonts w:hint="eastAsia" w:ascii="宋体" w:hAnsi="宋体" w:eastAsia="宋体" w:cs="宋体"/>
          <w:b/>
          <w:bCs/>
          <w:color w:val="auto"/>
          <w:sz w:val="21"/>
          <w:szCs w:val="21"/>
          <w:highlight w:val="none"/>
          <w:lang w:val="en-US" w:eastAsia="zh-CN"/>
        </w:rPr>
      </w:pPr>
    </w:p>
    <w:p>
      <w:pPr>
        <w:spacing w:line="560" w:lineRule="exact"/>
        <w:ind w:firstLine="0" w:firstLineChars="0"/>
        <w:rPr>
          <w:rFonts w:ascii="仿宋_GB2312" w:eastAsia="仿宋_GB2312"/>
          <w:b/>
          <w:color w:val="auto"/>
          <w:sz w:val="28"/>
          <w:szCs w:val="28"/>
          <w:highlight w:val="none"/>
        </w:rPr>
      </w:pPr>
      <w:r>
        <w:rPr>
          <w:rFonts w:hint="eastAsia" w:ascii="宋体" w:hAnsi="宋体" w:eastAsia="宋体" w:cs="宋体"/>
          <w:b/>
          <w:bCs/>
          <w:color w:val="auto"/>
          <w:sz w:val="21"/>
          <w:szCs w:val="21"/>
          <w:highlight w:val="none"/>
          <w:lang w:val="en-US" w:eastAsia="zh-CN"/>
        </w:rPr>
        <w:t>附件5.</w:t>
      </w:r>
      <w:r>
        <w:rPr>
          <w:rFonts w:hint="eastAsia" w:ascii="仿宋_GB2312" w:hAnsi="宋体" w:eastAsia="仿宋_GB2312"/>
          <w:b/>
          <w:color w:val="auto"/>
          <w:sz w:val="24"/>
          <w:highlight w:val="none"/>
          <w:lang w:val="en-US" w:eastAsia="zh-CN"/>
        </w:rPr>
        <w:t>防疫</w:t>
      </w:r>
      <w:r>
        <w:rPr>
          <w:rFonts w:hint="eastAsia" w:ascii="仿宋_GB2312" w:hAnsi="宋体" w:eastAsia="仿宋_GB2312"/>
          <w:b/>
          <w:color w:val="auto"/>
          <w:sz w:val="24"/>
          <w:highlight w:val="none"/>
        </w:rPr>
        <w:t>管理协议书</w:t>
      </w:r>
    </w:p>
    <w:p>
      <w:pPr>
        <w:spacing w:line="440" w:lineRule="exact"/>
        <w:jc w:val="center"/>
        <w:rPr>
          <w:rFonts w:ascii="仿宋_GB2312" w:eastAsia="仿宋_GB2312"/>
          <w:b/>
          <w:bCs/>
          <w:color w:val="auto"/>
          <w:sz w:val="28"/>
          <w:szCs w:val="28"/>
          <w:highlight w:val="none"/>
        </w:rPr>
      </w:pPr>
      <w:r>
        <w:rPr>
          <w:rFonts w:hint="eastAsia" w:ascii="仿宋_GB2312" w:eastAsia="仿宋_GB2312"/>
          <w:b/>
          <w:bCs/>
          <w:color w:val="auto"/>
          <w:sz w:val="28"/>
          <w:szCs w:val="28"/>
          <w:highlight w:val="none"/>
          <w:lang w:val="en-US" w:eastAsia="zh-CN"/>
        </w:rPr>
        <w:t>防疫</w:t>
      </w:r>
      <w:r>
        <w:rPr>
          <w:rFonts w:hint="eastAsia" w:ascii="仿宋_GB2312" w:eastAsia="仿宋_GB2312"/>
          <w:b/>
          <w:bCs/>
          <w:color w:val="auto"/>
          <w:sz w:val="28"/>
          <w:szCs w:val="28"/>
          <w:highlight w:val="none"/>
        </w:rPr>
        <w:t>管理协议书</w:t>
      </w:r>
    </w:p>
    <w:p>
      <w:pPr>
        <w:spacing w:line="440" w:lineRule="exact"/>
        <w:rPr>
          <w:rFonts w:ascii="仿宋_GB2312" w:hAnsi="宋体" w:eastAsia="仿宋_GB2312"/>
          <w:color w:val="auto"/>
          <w:sz w:val="24"/>
          <w:highlight w:val="none"/>
        </w:rPr>
      </w:pPr>
    </w:p>
    <w:p>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广州市净水有限公司</w:t>
      </w:r>
    </w:p>
    <w:p>
      <w:pPr>
        <w:adjustRightInd w:val="0"/>
        <w:snapToGrid w:val="0"/>
        <w:spacing w:line="440" w:lineRule="exact"/>
        <w:ind w:firstLine="480" w:firstLineChars="200"/>
        <w:jc w:val="left"/>
        <w:rPr>
          <w:rStyle w:val="25"/>
          <w:rFonts w:hint="eastAsia" w:ascii="仿宋" w:hAnsi="仿宋" w:eastAsia="仿宋" w:cs="仿宋"/>
          <w:b w:val="0"/>
          <w:color w:val="auto"/>
          <w:highlight w:val="none"/>
          <w:u w:val="single"/>
        </w:rPr>
      </w:pPr>
      <w:bookmarkStart w:id="147" w:name="_Toc21391"/>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Style w:val="25"/>
          <w:rFonts w:hint="eastAsia" w:ascii="仿宋" w:hAnsi="仿宋" w:eastAsia="仿宋" w:cs="仿宋"/>
          <w:color w:val="auto"/>
          <w:highlight w:val="none"/>
          <w:u w:val="single"/>
        </w:rPr>
        <w:t xml:space="preserve">                  </w:t>
      </w:r>
    </w:p>
    <w:bookmarkEnd w:id="147"/>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rPr>
        <w:t>本协议与主协议的关系</w:t>
      </w:r>
    </w:p>
    <w:p>
      <w:pPr>
        <w:adjustRightInd w:val="0"/>
        <w:snapToGrid w:val="0"/>
        <w:spacing w:line="440" w:lineRule="exact"/>
        <w:ind w:left="105"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本协议作为</w:t>
      </w:r>
      <w:r>
        <w:rPr>
          <w:rFonts w:hint="eastAsia" w:ascii="仿宋" w:hAnsi="仿宋" w:eastAsia="仿宋" w:cs="仿宋"/>
          <w:color w:val="auto"/>
          <w:kern w:val="2"/>
          <w:sz w:val="24"/>
          <w:szCs w:val="22"/>
          <w:highlight w:val="none"/>
          <w:u w:val="single"/>
          <w:lang w:val="en-US" w:eastAsia="zh-CN"/>
        </w:rPr>
        <w:t>广州市净水有限公司2022年大坦沙、石井分公司其他生产设备购置项目</w:t>
      </w:r>
      <w:r>
        <w:rPr>
          <w:rFonts w:hint="eastAsia" w:ascii="仿宋" w:hAnsi="仿宋" w:eastAsia="仿宋" w:cs="仿宋"/>
          <w:color w:val="auto"/>
          <w:sz w:val="24"/>
          <w:highlight w:val="none"/>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w:t>
      </w:r>
      <w:r>
        <w:rPr>
          <w:rFonts w:hint="eastAsia" w:ascii="仿宋" w:hAnsi="仿宋" w:eastAsia="仿宋" w:cs="仿宋"/>
          <w:color w:val="auto"/>
          <w:sz w:val="24"/>
          <w:highlight w:val="none"/>
          <w:lang w:val="en-US" w:eastAsia="zh-CN"/>
        </w:rPr>
        <w:t>与建设主管部门和属地疫情防控指挥部门形成联防联控机制，建立快速有效的处置工作流程。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三、乙方的义务</w:t>
      </w:r>
    </w:p>
    <w:p>
      <w:pPr>
        <w:pStyle w:val="2"/>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（一）开展疫情防控宣传教育，提高</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kern w:val="2"/>
          <w:sz w:val="24"/>
          <w:szCs w:val="24"/>
          <w:highlight w:val="none"/>
          <w:lang w:val="en-US" w:eastAsia="zh-CN" w:bidi="ar-SA"/>
        </w:rPr>
        <w:t>人员自我防护意识，最大限度减少人员暴露和感染的风险。</w:t>
      </w:r>
    </w:p>
    <w:p>
      <w:pPr>
        <w:pStyle w:val="2"/>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kern w:val="2"/>
          <w:sz w:val="24"/>
          <w:szCs w:val="24"/>
          <w:highlight w:val="none"/>
          <w:lang w:val="en-US" w:eastAsia="zh-CN" w:bidi="ar-SA"/>
        </w:rPr>
        <w:t>（二）</w:t>
      </w:r>
      <w:r>
        <w:rPr>
          <w:rFonts w:hint="eastAsia" w:ascii="仿宋" w:hAnsi="仿宋" w:eastAsia="仿宋" w:cs="仿宋"/>
          <w:color w:val="auto"/>
          <w:sz w:val="24"/>
          <w:highlight w:val="none"/>
          <w:lang w:val="en-US" w:eastAsia="zh-CN"/>
        </w:rPr>
        <w:t>做好乙方人员防控工作管理，及时提交防疫资料，落实疫情防控备案，必要时需</w:t>
      </w:r>
      <w:r>
        <w:rPr>
          <w:rFonts w:hint="eastAsia" w:ascii="仿宋" w:hAnsi="仿宋" w:eastAsia="仿宋" w:cs="仿宋"/>
          <w:color w:val="auto"/>
          <w:kern w:val="2"/>
          <w:sz w:val="24"/>
          <w:szCs w:val="24"/>
          <w:highlight w:val="none"/>
          <w:lang w:val="en-US" w:eastAsia="zh-CN" w:bidi="ar-SA"/>
        </w:rPr>
        <w:t>编制防控管理工作方案</w:t>
      </w:r>
      <w:r>
        <w:rPr>
          <w:rFonts w:hint="eastAsia" w:ascii="仿宋" w:hAnsi="仿宋" w:eastAsia="仿宋" w:cs="仿宋"/>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（三）乙方人员须按</w:t>
      </w:r>
      <w:r>
        <w:rPr>
          <w:rFonts w:hint="eastAsia" w:ascii="仿宋" w:hAnsi="仿宋" w:eastAsia="仿宋" w:cs="仿宋"/>
          <w:color w:val="auto"/>
          <w:sz w:val="24"/>
          <w:highlight w:val="none"/>
          <w:lang w:val="en-US" w:eastAsia="zh-CN"/>
        </w:rPr>
        <w:t>照</w:t>
      </w:r>
      <w:r>
        <w:rPr>
          <w:rFonts w:hint="eastAsia" w:ascii="仿宋" w:hAnsi="仿宋" w:eastAsia="仿宋" w:cs="仿宋"/>
          <w:color w:val="auto"/>
          <w:kern w:val="2"/>
          <w:sz w:val="24"/>
          <w:szCs w:val="24"/>
          <w:highlight w:val="none"/>
          <w:lang w:val="en-US" w:eastAsia="zh-CN" w:bidi="ar-SA"/>
        </w:rPr>
        <w:t>甲方各厂区进厂门岗防控要求</w:t>
      </w:r>
      <w:r>
        <w:rPr>
          <w:rFonts w:hint="eastAsia" w:ascii="仿宋" w:hAnsi="仿宋" w:eastAsia="仿宋" w:cs="仿宋"/>
          <w:color w:val="auto"/>
          <w:sz w:val="24"/>
          <w:highlight w:val="none"/>
          <w:lang w:val="en-US" w:eastAsia="zh-CN"/>
        </w:rPr>
        <w:t>进行疫苗接种及核酸检测，未满足相关要求的人员甲方有权限制进入厂区。</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kern w:val="2"/>
          <w:sz w:val="24"/>
          <w:szCs w:val="24"/>
          <w:highlight w:val="none"/>
          <w:lang w:val="en-US" w:eastAsia="zh-CN" w:bidi="ar-SA"/>
        </w:rPr>
        <w:t>（五）各级政府、有关部门及甲方的其他</w:t>
      </w:r>
      <w:r>
        <w:rPr>
          <w:rFonts w:hint="eastAsia" w:ascii="仿宋" w:hAnsi="仿宋" w:eastAsia="仿宋" w:cs="仿宋"/>
          <w:color w:val="auto"/>
          <w:sz w:val="24"/>
          <w:highlight w:val="none"/>
          <w:lang w:val="en-US" w:eastAsia="zh-CN"/>
        </w:rPr>
        <w:t>防控要求</w:t>
      </w:r>
      <w:r>
        <w:rPr>
          <w:rFonts w:hint="eastAsia" w:ascii="仿宋" w:hAnsi="仿宋" w:eastAsia="仿宋" w:cs="仿宋"/>
          <w:color w:val="auto"/>
          <w:kern w:val="2"/>
          <w:sz w:val="24"/>
          <w:szCs w:val="24"/>
          <w:highlight w:val="none"/>
          <w:lang w:val="en-US" w:eastAsia="zh-CN" w:bidi="ar-SA"/>
        </w:rPr>
        <w:t>。</w:t>
      </w:r>
    </w:p>
    <w:p>
      <w:pPr>
        <w:numPr>
          <w:ilvl w:val="0"/>
          <w:numId w:val="0"/>
        </w:numPr>
        <w:adjustRightInd w:val="0"/>
        <w:snapToGrid w:val="0"/>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（一）乙方人员及其</w:t>
      </w:r>
      <w:r>
        <w:rPr>
          <w:rFonts w:hint="eastAsia" w:ascii="仿宋" w:hAnsi="仿宋" w:eastAsia="仿宋" w:cs="仿宋"/>
          <w:color w:val="auto"/>
          <w:sz w:val="24"/>
          <w:highlight w:val="none"/>
          <w:lang w:val="en-US" w:eastAsia="zh-CN"/>
        </w:rPr>
        <w:t>密接</w:t>
      </w:r>
      <w:r>
        <w:rPr>
          <w:rFonts w:hint="eastAsia" w:ascii="仿宋" w:hAnsi="仿宋" w:eastAsia="仿宋" w:cs="仿宋"/>
          <w:color w:val="auto"/>
          <w:sz w:val="24"/>
          <w:highlight w:val="none"/>
          <w:lang w:val="en-US" w:eastAsia="zh-CN"/>
        </w:rPr>
        <w:t>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仿宋" w:hAnsi="仿宋" w:eastAsia="仿宋" w:cs="仿宋"/>
          <w:color w:val="auto"/>
          <w:sz w:val="24"/>
          <w:highlight w:val="none"/>
        </w:rPr>
      </w:pPr>
    </w:p>
    <w:p>
      <w:pPr>
        <w:pStyle w:val="38"/>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、补充条款：</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w:t>
      </w:r>
    </w:p>
    <w:p>
      <w:pPr>
        <w:adjustRightInd w:val="0"/>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六</w:t>
      </w:r>
      <w:r>
        <w:rPr>
          <w:rFonts w:hint="eastAsia" w:ascii="仿宋" w:hAnsi="仿宋" w:eastAsia="仿宋" w:cs="仿宋"/>
          <w:color w:val="auto"/>
          <w:sz w:val="24"/>
          <w:highlight w:val="none"/>
        </w:rPr>
        <w:t>、附则</w:t>
      </w:r>
    </w:p>
    <w:p>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本协议与合同同时签订、同时终止、同时生效，具有相同的法律效力。合同由甲乙双方签字、盖章生效，甲乙双方各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份。</w:t>
      </w:r>
    </w:p>
    <w:p>
      <w:pPr>
        <w:adjustRightInd w:val="0"/>
        <w:snapToGrid w:val="0"/>
        <w:spacing w:line="440" w:lineRule="exact"/>
        <w:rPr>
          <w:rFonts w:hint="eastAsia" w:ascii="仿宋" w:hAnsi="仿宋" w:eastAsia="仿宋" w:cs="仿宋"/>
          <w:color w:val="auto"/>
          <w:sz w:val="24"/>
          <w:highlight w:val="none"/>
        </w:rPr>
      </w:pPr>
    </w:p>
    <w:p>
      <w:pPr>
        <w:adjustRightInd w:val="0"/>
        <w:snapToGrid w:val="0"/>
        <w:spacing w:line="440" w:lineRule="exact"/>
        <w:ind w:left="1330" w:leftChars="5" w:hanging="1320" w:hangingChars="5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 xml:space="preserve">代表 （章）：                             </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代表（章）：                                                           　　              　　　　　　　</w:t>
      </w:r>
    </w:p>
    <w:p>
      <w:pPr>
        <w:adjustRightInd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　　　　　                 年   月  　日</w:t>
      </w: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Cs w:val="21"/>
          <w:highlight w:val="none"/>
          <w:lang w:val="en-US" w:eastAsia="zh-CN"/>
        </w:rPr>
      </w:pPr>
    </w:p>
    <w:p>
      <w:pPr>
        <w:pStyle w:val="21"/>
        <w:ind w:left="0" w:leftChars="0" w:firstLine="0" w:firstLineChars="0"/>
        <w:rPr>
          <w:rFonts w:ascii="方正小标宋简体" w:eastAsia="方正小标宋简体"/>
          <w:color w:val="auto"/>
          <w:sz w:val="44"/>
          <w:szCs w:val="44"/>
          <w:highlight w:val="none"/>
        </w:rPr>
      </w:pPr>
    </w:p>
    <w:p>
      <w:pPr>
        <w:pStyle w:val="21"/>
        <w:rPr>
          <w:rFonts w:ascii="仿宋_GB2312" w:eastAsia="仿宋_GB2312"/>
          <w:color w:val="auto"/>
          <w:sz w:val="28"/>
          <w:szCs w:val="28"/>
          <w:highlight w:val="none"/>
        </w:rPr>
      </w:pPr>
    </w:p>
    <w:p>
      <w:pPr>
        <w:pStyle w:val="3"/>
        <w:rPr>
          <w:color w:val="auto"/>
          <w:highlight w:val="none"/>
        </w:rPr>
      </w:pPr>
      <w:bookmarkStart w:id="148" w:name="_Toc23515"/>
      <w:bookmarkStart w:id="149" w:name="_Toc3723"/>
      <w:bookmarkStart w:id="150" w:name="_Toc16552"/>
      <w:bookmarkStart w:id="151" w:name="_Toc12169"/>
      <w:bookmarkStart w:id="152" w:name="_Toc6230"/>
      <w:bookmarkStart w:id="153" w:name="_Toc1563"/>
      <w:bookmarkStart w:id="154" w:name="_Toc30824"/>
      <w:bookmarkStart w:id="155" w:name="_Toc28358"/>
      <w:bookmarkStart w:id="156" w:name="_Toc21847"/>
      <w:bookmarkStart w:id="157" w:name="_Toc5129"/>
      <w:bookmarkStart w:id="158" w:name="_Toc8147"/>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148"/>
      <w:bookmarkEnd w:id="149"/>
      <w:bookmarkEnd w:id="150"/>
      <w:bookmarkEnd w:id="151"/>
      <w:bookmarkEnd w:id="152"/>
      <w:bookmarkEnd w:id="153"/>
      <w:bookmarkEnd w:id="154"/>
      <w:bookmarkEnd w:id="155"/>
      <w:bookmarkEnd w:id="156"/>
      <w:bookmarkEnd w:id="157"/>
      <w:bookmarkEnd w:id="158"/>
    </w:p>
    <w:p>
      <w:pPr>
        <w:pStyle w:val="38"/>
        <w:rPr>
          <w:color w:val="auto"/>
          <w:highlight w:val="none"/>
        </w:rPr>
      </w:pPr>
    </w:p>
    <w:p>
      <w:pPr>
        <w:pStyle w:val="3"/>
        <w:rPr>
          <w:color w:val="auto"/>
          <w:highlight w:val="none"/>
        </w:rPr>
      </w:pPr>
      <w:bookmarkStart w:id="159" w:name="_Toc10840"/>
      <w:bookmarkStart w:id="160" w:name="_Toc12769"/>
      <w:bookmarkStart w:id="161" w:name="_Toc87616388"/>
      <w:bookmarkStart w:id="162" w:name="_Toc24490"/>
      <w:bookmarkStart w:id="163" w:name="_Toc24815"/>
      <w:bookmarkStart w:id="164" w:name="_Toc88209951"/>
      <w:bookmarkStart w:id="165" w:name="_Toc21675"/>
      <w:bookmarkStart w:id="166" w:name="_Toc12610"/>
      <w:bookmarkStart w:id="167" w:name="_Toc22764"/>
      <w:bookmarkStart w:id="168" w:name="_Toc17119"/>
      <w:bookmarkStart w:id="169" w:name="_Toc30157"/>
      <w:bookmarkStart w:id="170" w:name="_Toc5342"/>
      <w:bookmarkStart w:id="171" w:name="_Toc31564"/>
      <w:r>
        <w:rPr>
          <w:rFonts w:hint="eastAsia"/>
          <w:color w:val="auto"/>
          <w:highlight w:val="none"/>
        </w:rPr>
        <w:t>响应文件</w:t>
      </w:r>
      <w:r>
        <w:rPr>
          <w:rFonts w:hint="eastAsia"/>
          <w:color w:val="auto"/>
          <w:highlight w:val="none"/>
          <w:lang w:val="en-US" w:eastAsia="zh-CN"/>
        </w:rPr>
        <w:t>格式要求</w:t>
      </w:r>
      <w:bookmarkEnd w:id="159"/>
      <w:bookmarkEnd w:id="160"/>
      <w:bookmarkEnd w:id="161"/>
      <w:bookmarkEnd w:id="162"/>
      <w:bookmarkEnd w:id="163"/>
      <w:bookmarkEnd w:id="164"/>
      <w:bookmarkEnd w:id="165"/>
      <w:bookmarkEnd w:id="166"/>
      <w:bookmarkEnd w:id="167"/>
      <w:bookmarkEnd w:id="168"/>
      <w:bookmarkEnd w:id="169"/>
      <w:bookmarkEnd w:id="170"/>
      <w:bookmarkEnd w:id="17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72" w:name="_Toc88209952"/>
      <w:bookmarkStart w:id="173" w:name="_Toc87616389"/>
      <w:r>
        <w:rPr>
          <w:rFonts w:hint="eastAsia" w:ascii="仿宋_GB2312" w:eastAsia="仿宋_GB2312"/>
          <w:color w:val="auto"/>
          <w:sz w:val="28"/>
          <w:szCs w:val="28"/>
          <w:highlight w:val="none"/>
        </w:rPr>
        <w:t>1.响应函</w:t>
      </w:r>
      <w:bookmarkEnd w:id="172"/>
      <w:bookmarkEnd w:id="173"/>
    </w:p>
    <w:p>
      <w:pPr>
        <w:spacing w:line="600" w:lineRule="exact"/>
        <w:rPr>
          <w:rFonts w:hint="eastAsia" w:ascii="仿宋_GB2312" w:eastAsia="仿宋_GB2312"/>
          <w:color w:val="auto"/>
          <w:sz w:val="28"/>
          <w:szCs w:val="28"/>
          <w:highlight w:val="none"/>
        </w:rPr>
      </w:pPr>
      <w:bookmarkStart w:id="174" w:name="_Toc88209953"/>
      <w:bookmarkStart w:id="175" w:name="_Toc87616390"/>
      <w:r>
        <w:rPr>
          <w:rFonts w:hint="eastAsia" w:ascii="仿宋_GB2312" w:eastAsia="仿宋_GB2312"/>
          <w:color w:val="auto"/>
          <w:sz w:val="28"/>
          <w:szCs w:val="28"/>
          <w:highlight w:val="none"/>
        </w:rPr>
        <w:t>2.法定代表人证明或授权委托书</w:t>
      </w:r>
      <w:bookmarkEnd w:id="174"/>
      <w:bookmarkEnd w:id="175"/>
      <w:bookmarkStart w:id="176" w:name="_Toc87616393"/>
      <w:bookmarkStart w:id="177"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76"/>
      <w:bookmarkEnd w:id="177"/>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hint="eastAsia" w:asciiTheme="minorEastAsia" w:hAnsiTheme="minorEastAsia" w:eastAsiaTheme="minorEastAsia"/>
          <w:color w:val="auto"/>
          <w:sz w:val="28"/>
          <w:szCs w:val="28"/>
          <w:highlight w:val="none"/>
        </w:rPr>
      </w:pPr>
      <w:bookmarkStart w:id="178" w:name="_Toc28619645"/>
      <w:bookmarkStart w:id="179" w:name="_Toc6313"/>
      <w:bookmarkStart w:id="180" w:name="_Toc88209957"/>
      <w:bookmarkStart w:id="181" w:name="_Toc87616394"/>
      <w:bookmarkStart w:id="182" w:name="_Toc12665"/>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1.响应函</w:t>
      </w:r>
      <w:bookmarkEnd w:id="178"/>
      <w:bookmarkEnd w:id="179"/>
      <w:bookmarkEnd w:id="180"/>
      <w:bookmarkEnd w:id="181"/>
      <w:bookmarkEnd w:id="182"/>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rPr>
          <w:rFonts w:hint="eastAsia"/>
          <w:color w:val="auto"/>
          <w:highlight w:val="none"/>
        </w:rPr>
      </w:pPr>
      <w:bookmarkStart w:id="183" w:name="_Toc88209958"/>
      <w:bookmarkStart w:id="184" w:name="_Toc22527"/>
      <w:bookmarkStart w:id="185" w:name="_Toc87616395"/>
      <w:bookmarkStart w:id="186" w:name="_Toc29833"/>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83"/>
      <w:bookmarkEnd w:id="184"/>
      <w:bookmarkEnd w:id="185"/>
      <w:bookmarkEnd w:id="186"/>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2"/>
        <w:snapToGrid w:val="0"/>
        <w:spacing w:line="600" w:lineRule="exact"/>
        <w:ind w:firstLine="3907" w:firstLineChars="1221"/>
        <w:rPr>
          <w:rFonts w:ascii="仿宋_GB2312" w:hAnsi="宋体" w:eastAsia="仿宋_GB2312" w:cs="Times New Roman"/>
          <w:color w:val="auto"/>
          <w:sz w:val="32"/>
          <w:szCs w:val="32"/>
          <w:highlight w:val="none"/>
        </w:rPr>
      </w:pPr>
    </w:p>
    <w:p>
      <w:pPr>
        <w:pStyle w:val="12"/>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8"/>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2"/>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2"/>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2"/>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1"/>
        <w:rPr>
          <w:rFonts w:hint="eastAsia" w:ascii="仿宋_GB2312" w:hAnsi="宋体" w:eastAsia="仿宋_GB2312"/>
          <w:color w:val="auto"/>
          <w:sz w:val="30"/>
          <w:szCs w:val="30"/>
          <w:highlight w:val="none"/>
        </w:rPr>
      </w:pPr>
    </w:p>
    <w:p>
      <w:pPr>
        <w:pStyle w:val="21"/>
        <w:rPr>
          <w:rFonts w:hint="eastAsia" w:ascii="仿宋_GB2312" w:hAnsi="宋体" w:eastAsia="仿宋_GB2312"/>
          <w:color w:val="auto"/>
          <w:sz w:val="30"/>
          <w:szCs w:val="30"/>
          <w:highlight w:val="none"/>
        </w:rPr>
      </w:pPr>
    </w:p>
    <w:p>
      <w:pPr>
        <w:pStyle w:val="21"/>
        <w:rPr>
          <w:rFonts w:hint="eastAsia" w:ascii="仿宋_GB2312" w:hAnsi="宋体" w:eastAsia="仿宋_GB2312"/>
          <w:color w:val="auto"/>
          <w:sz w:val="30"/>
          <w:szCs w:val="30"/>
          <w:highlight w:val="none"/>
        </w:rPr>
      </w:pPr>
    </w:p>
    <w:p>
      <w:pPr>
        <w:pStyle w:val="21"/>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87" w:name="_Toc8086"/>
      <w:bookmarkStart w:id="188" w:name="_Toc88209963"/>
      <w:bookmarkStart w:id="189" w:name="_Toc19830"/>
      <w:bookmarkStart w:id="190"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87"/>
      <w:bookmarkEnd w:id="188"/>
      <w:bookmarkEnd w:id="189"/>
      <w:bookmarkEnd w:id="19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91"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91"/>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广州市净水有限公司2022年大坦沙、石井分公司其他生产设备购置项目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1"/>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1"/>
        <w:rPr>
          <w:rFonts w:hint="default" w:ascii="仿宋_GB2312" w:eastAsia="仿宋_GB2312" w:hAnsiTheme="minorEastAsia"/>
          <w:color w:val="auto"/>
          <w:sz w:val="28"/>
          <w:szCs w:val="28"/>
          <w:highlight w:val="none"/>
          <w:lang w:val="en-US" w:eastAsia="zh-CN"/>
        </w:rPr>
      </w:pPr>
    </w:p>
    <w:p>
      <w:pPr>
        <w:pStyle w:val="21"/>
        <w:rPr>
          <w:rFonts w:hint="default" w:ascii="仿宋_GB2312" w:eastAsia="仿宋_GB2312" w:hAnsiTheme="minorEastAsia"/>
          <w:color w:val="auto"/>
          <w:sz w:val="28"/>
          <w:szCs w:val="28"/>
          <w:highlight w:val="none"/>
          <w:lang w:val="en-US" w:eastAsia="zh-CN"/>
        </w:rPr>
      </w:pPr>
    </w:p>
    <w:p>
      <w:pPr>
        <w:pStyle w:val="21"/>
        <w:rPr>
          <w:rFonts w:hint="default" w:ascii="仿宋_GB2312" w:eastAsia="仿宋_GB2312" w:hAnsiTheme="minorEastAsia"/>
          <w:color w:val="auto"/>
          <w:sz w:val="28"/>
          <w:szCs w:val="28"/>
          <w:highlight w:val="none"/>
          <w:lang w:val="en-US" w:eastAsia="zh-CN"/>
        </w:rPr>
      </w:pPr>
    </w:p>
    <w:p>
      <w:pPr>
        <w:pStyle w:val="21"/>
        <w:rPr>
          <w:rFonts w:hint="default" w:ascii="仿宋_GB2312" w:eastAsia="仿宋_GB2312" w:hAnsiTheme="minorEastAsia"/>
          <w:color w:val="auto"/>
          <w:sz w:val="28"/>
          <w:szCs w:val="28"/>
          <w:highlight w:val="none"/>
          <w:lang w:val="en-US" w:eastAsia="zh-CN"/>
        </w:rPr>
      </w:pPr>
    </w:p>
    <w:p>
      <w:pPr>
        <w:pStyle w:val="5"/>
        <w:rPr>
          <w:rFonts w:hint="eastAsia" w:ascii="仿宋_GB2312" w:eastAsia="仿宋_GB2312" w:hAnsiTheme="minorEastAsia"/>
          <w:color w:val="auto"/>
          <w:sz w:val="28"/>
          <w:szCs w:val="28"/>
          <w:highlight w:val="none"/>
          <w:lang w:val="en-US" w:eastAsia="zh-CN"/>
        </w:rPr>
      </w:pPr>
      <w:bookmarkStart w:id="192" w:name="_Toc32430"/>
      <w:bookmarkStart w:id="193" w:name="_Toc19423"/>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92"/>
      <w:bookmarkEnd w:id="193"/>
    </w:p>
    <w:tbl>
      <w:tblPr>
        <w:tblStyle w:val="22"/>
        <w:tblW w:w="0" w:type="auto"/>
        <w:tblInd w:w="0" w:type="dxa"/>
        <w:tblLayout w:type="fixed"/>
        <w:tblCellMar>
          <w:top w:w="0" w:type="dxa"/>
          <w:left w:w="79" w:type="dxa"/>
          <w:bottom w:w="0" w:type="dxa"/>
          <w:right w:w="79" w:type="dxa"/>
        </w:tblCellMar>
      </w:tblPr>
      <w:tblGrid>
        <w:gridCol w:w="779"/>
        <w:gridCol w:w="1178"/>
        <w:gridCol w:w="709"/>
        <w:gridCol w:w="698"/>
        <w:gridCol w:w="679"/>
        <w:gridCol w:w="901"/>
        <w:gridCol w:w="1050"/>
        <w:gridCol w:w="827"/>
        <w:gridCol w:w="1148"/>
        <w:gridCol w:w="926"/>
        <w:tblGridChange w:id="1">
          <w:tblGrid>
            <w:gridCol w:w="779"/>
            <w:gridCol w:w="827"/>
            <w:gridCol w:w="351"/>
            <w:gridCol w:w="709"/>
            <w:gridCol w:w="698"/>
            <w:gridCol w:w="679"/>
            <w:gridCol w:w="901"/>
            <w:gridCol w:w="1050"/>
            <w:gridCol w:w="827"/>
            <w:gridCol w:w="1148"/>
            <w:gridCol w:w="926"/>
          </w:tblGrid>
        </w:tblGridChange>
      </w:tblGrid>
      <w:tr>
        <w:tblPrEx>
          <w:tblCellMar>
            <w:top w:w="0" w:type="dxa"/>
            <w:left w:w="79" w:type="dxa"/>
            <w:bottom w:w="0" w:type="dxa"/>
            <w:right w:w="79" w:type="dxa"/>
          </w:tblCellMar>
        </w:tblPrEx>
        <w:trPr>
          <w:trHeight w:val="567"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序号</w:t>
            </w:r>
          </w:p>
        </w:tc>
        <w:tc>
          <w:tcPr>
            <w:tcW w:w="1178"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名称</w:t>
            </w:r>
          </w:p>
        </w:tc>
        <w:tc>
          <w:tcPr>
            <w:tcW w:w="70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hint="default" w:ascii="宋体" w:hAnsi="宋体" w:cs="宋体" w:eastAsiaTheme="minorEastAsia"/>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品牌及型号</w:t>
            </w:r>
          </w:p>
        </w:tc>
        <w:tc>
          <w:tcPr>
            <w:tcW w:w="698"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单位</w:t>
            </w:r>
          </w:p>
        </w:tc>
        <w:tc>
          <w:tcPr>
            <w:tcW w:w="67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数量</w:t>
            </w:r>
          </w:p>
        </w:tc>
        <w:tc>
          <w:tcPr>
            <w:tcW w:w="195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单价（万元）</w:t>
            </w:r>
          </w:p>
        </w:tc>
        <w:tc>
          <w:tcPr>
            <w:tcW w:w="1975"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金额（万元）</w:t>
            </w:r>
          </w:p>
        </w:tc>
        <w:tc>
          <w:tcPr>
            <w:tcW w:w="926"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备注</w:t>
            </w:r>
          </w:p>
        </w:tc>
      </w:tr>
      <w:tr>
        <w:tblPrEx>
          <w:tblCellMar>
            <w:top w:w="0" w:type="dxa"/>
            <w:left w:w="79" w:type="dxa"/>
            <w:bottom w:w="0" w:type="dxa"/>
            <w:right w:w="79" w:type="dxa"/>
          </w:tblCellMar>
        </w:tblPrEx>
        <w:trPr>
          <w:trHeight w:val="990"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1178"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70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698"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67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sz w:val="24"/>
                <w:szCs w:val="24"/>
                <w:highlight w:val="none"/>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926"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val="0"/>
              <w:autoSpaceDN w:val="0"/>
              <w:bidi w:val="0"/>
              <w:adjustRightInd w:val="0"/>
              <w:snapToGrid/>
              <w:spacing w:after="160" w:line="20" w:lineRule="atLeast"/>
              <w:jc w:val="left"/>
              <w:textAlignment w:val="auto"/>
              <w:rPr>
                <w:rFonts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default" w:ascii="仿宋_GB2312" w:hAnsi="仿宋" w:eastAsia="仿宋_GB2312" w:cs="宋体"/>
                <w:color w:val="auto"/>
                <w:kern w:val="0"/>
                <w:sz w:val="24"/>
                <w:szCs w:val="28"/>
                <w:highlight w:val="none"/>
                <w:lang w:val="zh-CN" w:eastAsia="zh-CN" w:bidi="ar-SA"/>
              </w:rPr>
            </w:pPr>
            <w:r>
              <w:rPr>
                <w:rFonts w:hint="eastAsia" w:ascii="仿宋_GB2312" w:hAnsi="仿宋" w:eastAsia="仿宋_GB2312" w:cs="宋体"/>
                <w:color w:val="auto"/>
                <w:kern w:val="0"/>
                <w:sz w:val="24"/>
                <w:szCs w:val="28"/>
                <w:highlight w:val="none"/>
                <w:lang w:val="en-US" w:eastAsia="zh-CN"/>
              </w:rPr>
              <w:t>项目一</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雕刻机床</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仿宋" w:eastAsia="仿宋_GB2312" w:cs="宋体"/>
                <w:color w:val="auto"/>
                <w:kern w:val="0"/>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项目二</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default"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u w:val="none"/>
                <w:lang w:val="en-US" w:eastAsia="zh-CN"/>
              </w:rPr>
              <w:t>螺杆式空气压缩机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sz w:val="24"/>
                <w:szCs w:val="32"/>
                <w:highlight w:val="none"/>
                <w:u w:val="none"/>
                <w:lang w:val="en-US" w:eastAsia="zh-CN"/>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sz w:val="24"/>
                <w:szCs w:val="32"/>
                <w:highlight w:val="none"/>
                <w:u w:val="none"/>
                <w:lang w:val="en-US" w:eastAsia="zh-CN"/>
              </w:rPr>
              <w:t>2</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kinsoku/>
              <w:wordWrap/>
              <w:overflowPunct/>
              <w:topLinePunct w:val="0"/>
              <w:autoSpaceDE/>
              <w:autoSpaceDN/>
              <w:bidi w:val="0"/>
              <w:adjustRightInd/>
              <w:snapToGrid/>
              <w:spacing w:after="0" w:line="360" w:lineRule="auto"/>
              <w:ind w:right="-57" w:rightChars="-27"/>
              <w:jc w:val="center"/>
              <w:textAlignment w:val="auto"/>
              <w:rPr>
                <w:rFonts w:ascii="仿宋_GB2312" w:hAnsi="Times New Roman" w:eastAsia="仿宋_GB2312" w:cs="Times New Roman"/>
                <w:color w:val="auto"/>
                <w:kern w:val="2"/>
                <w:sz w:val="24"/>
                <w:szCs w:val="32"/>
                <w:highlight w:val="none"/>
                <w:u w:val="none"/>
                <w:lang w:val="zh-CN" w:eastAsia="zh-CN" w:bidi="ar-SA"/>
              </w:rPr>
            </w:pPr>
            <w:r>
              <w:rPr>
                <w:rFonts w:hint="eastAsia" w:ascii="仿宋_GB2312" w:hAnsi="仿宋_GB2312" w:eastAsia="仿宋_GB2312" w:cs="仿宋_GB2312"/>
                <w:color w:val="auto"/>
                <w:sz w:val="24"/>
                <w:szCs w:val="24"/>
                <w:highlight w:val="none"/>
                <w:u w:val="none"/>
                <w:lang w:val="en-US" w:eastAsia="zh-CN"/>
              </w:rPr>
              <w:t>整机配备安装附件</w:t>
            </w:r>
          </w:p>
        </w:tc>
      </w:tr>
      <w:tr>
        <w:tblPrEx>
          <w:tblCellMar>
            <w:top w:w="0" w:type="dxa"/>
            <w:left w:w="79" w:type="dxa"/>
            <w:bottom w:w="0" w:type="dxa"/>
            <w:right w:w="79" w:type="dxa"/>
          </w:tblCellMar>
        </w:tblPrEx>
        <w:trPr>
          <w:trHeight w:val="995"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hint="eastAsia" w:ascii="宋体" w:hAnsi="宋体" w:cs="宋体"/>
                <w:color w:val="auto"/>
                <w:kern w:val="0"/>
                <w:sz w:val="24"/>
                <w:szCs w:val="24"/>
                <w:highlight w:val="none"/>
                <w:lang w:val="en-US" w:eastAsia="zh-CN"/>
              </w:rPr>
            </w:pP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u w:val="none"/>
                <w:lang w:val="en-US" w:eastAsia="zh-CN"/>
              </w:rPr>
              <w:t>冷冻式干燥机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项目三</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lang w:val="en-US" w:eastAsia="zh-CN"/>
              </w:rPr>
              <w:t>立钻钻床</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kern w:val="2"/>
                <w:sz w:val="24"/>
                <w:szCs w:val="28"/>
                <w:highlight w:val="none"/>
                <w:lang w:val="en-US" w:eastAsia="zh-CN" w:bidi="ar-SA"/>
              </w:rPr>
              <w:t>项目四</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对中仪</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项目五</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移动式一体化防爆布控球</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项目六</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吸尘清洁车</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项目七</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移动式高压疏通清洗机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项目八</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空压机</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default" w:ascii="仿宋_GB2312" w:hAnsi="Times New Roman" w:eastAsia="仿宋_GB2312" w:cs="Times New Roman"/>
                <w:color w:val="auto"/>
                <w:kern w:val="2"/>
                <w:sz w:val="24"/>
                <w:szCs w:val="32"/>
                <w:highlight w:val="none"/>
                <w:lang w:val="zh-CN" w:eastAsia="zh-CN" w:bidi="ar-SA"/>
              </w:rPr>
            </w:pPr>
            <w:r>
              <w:rPr>
                <w:rFonts w:hint="eastAsia" w:ascii="仿宋_GB2312" w:hAnsi="Times New Roman" w:eastAsia="仿宋_GB2312" w:cs="Times New Roman"/>
                <w:color w:val="auto"/>
                <w:sz w:val="24"/>
                <w:szCs w:val="32"/>
                <w:highlight w:val="none"/>
                <w:lang w:val="en-US" w:eastAsia="zh-CN"/>
              </w:rPr>
              <w:t>含安装调试</w:t>
            </w:r>
          </w:p>
        </w:tc>
      </w:tr>
      <w:tr>
        <w:tblPrEx>
          <w:tblCellMar>
            <w:top w:w="0" w:type="dxa"/>
            <w:left w:w="79" w:type="dxa"/>
            <w:bottom w:w="0" w:type="dxa"/>
            <w:right w:w="79" w:type="dxa"/>
          </w:tblCellMar>
        </w:tblPrEx>
        <w:trPr>
          <w:trHeight w:val="995"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项目九</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0"/>
                <w:szCs w:val="20"/>
                <w:highlight w:val="none"/>
                <w:u w:val="none"/>
                <w:lang w:val="en-US" w:eastAsia="zh-CN" w:bidi="ar"/>
              </w:rPr>
              <w:t>12V65AH(UPS不间断电源）</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2</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995"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hint="eastAsia" w:ascii="宋体" w:hAnsi="宋体" w:cs="宋体"/>
                <w:color w:val="auto"/>
                <w:kern w:val="0"/>
                <w:sz w:val="24"/>
                <w:szCs w:val="24"/>
                <w:highlight w:val="none"/>
                <w:lang w:val="en-US" w:eastAsia="zh-CN"/>
              </w:rPr>
            </w:pP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0"/>
                <w:szCs w:val="20"/>
                <w:highlight w:val="none"/>
                <w:u w:val="none"/>
                <w:lang w:val="en-US" w:eastAsia="zh-CN" w:bidi="ar"/>
              </w:rPr>
              <w:t>12V100AH(UPS不间断电源）</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28"/>
                <w:highlight w:val="none"/>
                <w:lang w:val="en-US" w:eastAsia="zh-CN" w:bidi="ar-SA"/>
              </w:rPr>
            </w:pPr>
            <w:r>
              <w:rPr>
                <w:rFonts w:hint="eastAsia" w:ascii="仿宋_GB2312" w:hAnsi="Times New Roman" w:eastAsia="仿宋_GB2312" w:cs="Times New Roman"/>
                <w:color w:val="auto"/>
                <w:sz w:val="24"/>
                <w:szCs w:val="28"/>
                <w:highlight w:val="none"/>
                <w:lang w:val="en-US" w:eastAsia="zh-CN"/>
              </w:rPr>
              <w:t>项目十</w:t>
            </w:r>
          </w:p>
        </w:tc>
        <w:tc>
          <w:tcPr>
            <w:tcW w:w="117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宋体" w:hAnsi="宋体" w:eastAsia="宋体" w:cs="宋体"/>
                <w:color w:val="auto"/>
                <w:kern w:val="0"/>
                <w:sz w:val="24"/>
                <w:szCs w:val="24"/>
                <w:highlight w:val="none"/>
                <w:lang w:val="en-US" w:eastAsia="zh-CN"/>
              </w:rPr>
            </w:pPr>
            <w:r>
              <w:rPr>
                <w:rFonts w:hint="eastAsia" w:ascii="仿宋_GB2312" w:hAnsi="仿宋" w:eastAsia="仿宋_GB2312" w:cs="宋体"/>
                <w:color w:val="auto"/>
                <w:kern w:val="0"/>
                <w:sz w:val="24"/>
                <w:szCs w:val="28"/>
                <w:highlight w:val="none"/>
              </w:rPr>
              <w:t>管道潜望镜QV</w:t>
            </w: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台</w:t>
            </w: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u w:val="none"/>
                <w:lang w:val="en-US" w:eastAsia="zh-CN" w:bidi="ar-SA"/>
              </w:rPr>
            </w:pPr>
            <w:r>
              <w:rPr>
                <w:rFonts w:hint="eastAsia" w:ascii="仿宋_GB2312" w:hAnsi="Times New Roman" w:eastAsia="仿宋_GB2312" w:cs="Times New Roman"/>
                <w:color w:val="auto"/>
                <w:kern w:val="2"/>
                <w:sz w:val="24"/>
                <w:szCs w:val="32"/>
                <w:highlight w:val="none"/>
                <w:u w:val="none"/>
                <w:lang w:val="en-US" w:eastAsia="zh-CN" w:bidi="ar-SA"/>
              </w:rPr>
              <w:t>1</w:t>
            </w: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spacing w:after="160" w:line="20" w:lineRule="atLeast"/>
              <w:jc w:val="center"/>
              <w:textAlignment w:val="auto"/>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zh-CN" w:eastAsia="zh-CN" w:bidi="ar-SA"/>
              </w:rPr>
            </w:pPr>
          </w:p>
        </w:tc>
      </w:tr>
      <w:tr>
        <w:tblPrEx>
          <w:tblCellMar>
            <w:top w:w="0" w:type="dxa"/>
            <w:left w:w="79" w:type="dxa"/>
            <w:bottom w:w="0" w:type="dxa"/>
            <w:right w:w="79" w:type="dxa"/>
          </w:tblCellMar>
        </w:tblPrEx>
        <w:trPr>
          <w:trHeight w:val="576" w:hRule="atLeast"/>
        </w:trPr>
        <w:tc>
          <w:tcPr>
            <w:tcW w:w="3364"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widowControl/>
              <w:autoSpaceDE w:val="0"/>
              <w:autoSpaceDN w:val="0"/>
              <w:adjustRightInd w:val="0"/>
              <w:spacing w:after="160"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合同暂定总价</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0"/>
            <w:vAlign w:val="top"/>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widowControl/>
              <w:autoSpaceDE w:val="0"/>
              <w:autoSpaceDN w:val="0"/>
              <w:adjustRightInd w:val="0"/>
              <w:spacing w:after="160" w:line="360" w:lineRule="auto"/>
              <w:jc w:val="right"/>
              <w:rPr>
                <w:rFonts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widowControl/>
              <w:autoSpaceDE w:val="0"/>
              <w:autoSpaceDN w:val="0"/>
              <w:adjustRightInd w:val="0"/>
              <w:spacing w:after="160"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1"/>
        <w:ind w:firstLine="0"/>
        <w:rPr>
          <w:rFonts w:hint="default"/>
          <w:color w:val="auto"/>
          <w:highlight w:val="none"/>
          <w:lang w:val="en-US"/>
        </w:rPr>
      </w:pPr>
    </w:p>
    <w:p>
      <w:pPr>
        <w:pStyle w:val="5"/>
        <w:rPr>
          <w:rFonts w:asciiTheme="majorEastAsia" w:hAnsiTheme="majorEastAsia" w:eastAsiaTheme="majorEastAsia"/>
          <w:color w:val="auto"/>
          <w:sz w:val="28"/>
          <w:szCs w:val="28"/>
          <w:highlight w:val="none"/>
        </w:rPr>
      </w:pPr>
      <w:bookmarkStart w:id="194" w:name="_Toc87616402"/>
      <w:bookmarkStart w:id="195" w:name="_Toc88209965"/>
      <w:bookmarkStart w:id="196" w:name="_Toc6058"/>
      <w:bookmarkStart w:id="197" w:name="_Toc16386"/>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94"/>
      <w:bookmarkEnd w:id="195"/>
      <w:bookmarkEnd w:id="196"/>
      <w:bookmarkEnd w:id="197"/>
    </w:p>
    <w:p>
      <w:pPr>
        <w:jc w:val="center"/>
        <w:rPr>
          <w:rFonts w:hint="default"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承诺函</w:t>
      </w:r>
    </w:p>
    <w:p>
      <w:pPr>
        <w:jc w:val="center"/>
        <w:rPr>
          <w:rFonts w:hint="eastAsia" w:ascii="仿宋_GB2312" w:hAnsi="仿宋_GB2312" w:eastAsia="仿宋_GB2312" w:cs="仿宋_GB2312"/>
          <w:b/>
          <w:color w:val="auto"/>
          <w:sz w:val="28"/>
          <w:szCs w:val="28"/>
          <w:highlight w:val="none"/>
          <w:lang w:val="en-US" w:eastAsia="zh-CN"/>
        </w:rPr>
      </w:pPr>
    </w:p>
    <w:p>
      <w:pPr>
        <w:pStyle w:val="48"/>
        <w:ind w:firstLine="560" w:firstLineChars="200"/>
        <w:rPr>
          <w:rFonts w:hint="eastAsia" w:hAnsi="宋体" w:cs="宋体"/>
          <w:bCs/>
          <w:color w:val="auto"/>
          <w:sz w:val="28"/>
          <w:szCs w:val="28"/>
          <w:highlight w:val="none"/>
          <w:lang w:val="en-US" w:eastAsia="zh-CN"/>
        </w:rPr>
      </w:pPr>
      <w:r>
        <w:rPr>
          <w:rFonts w:hint="eastAsia" w:hAnsi="宋体" w:cs="宋体"/>
          <w:bCs/>
          <w:color w:val="auto"/>
          <w:sz w:val="28"/>
          <w:szCs w:val="28"/>
          <w:highlight w:val="none"/>
          <w:lang w:val="en-US" w:eastAsia="zh-CN"/>
        </w:rPr>
        <w:t>广州市净水有限公司：</w:t>
      </w:r>
    </w:p>
    <w:p>
      <w:pPr>
        <w:pStyle w:val="11"/>
        <w:adjustRightInd w:val="0"/>
        <w:snapToGrid w:val="0"/>
        <w:spacing w:line="300" w:lineRule="auto"/>
        <w:ind w:left="559" w:leftChars="266" w:firstLine="560" w:firstLineChars="0"/>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我司承诺，我司所供货物皆为原装全新、质量合格的产品；并承诺货物自设备开箱/试运行验收合格之日起 1 年内免费提供维保服务。保修期内我司应免费对设备进行日常维护保养及质量缺陷修复；质保期如有质量问题，我司24小时内派技术人员免费到现场进行维修。</w:t>
      </w:r>
    </w:p>
    <w:p>
      <w:pPr>
        <w:pStyle w:val="11"/>
        <w:adjustRightInd w:val="0"/>
        <w:snapToGrid w:val="0"/>
        <w:spacing w:line="300" w:lineRule="auto"/>
        <w:ind w:left="559" w:leftChars="266" w:firstLine="560" w:firstLineChars="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lang w:val="en-US" w:eastAsia="zh-CN"/>
        </w:rPr>
        <w:t>承诺</w:t>
      </w:r>
      <w:r>
        <w:rPr>
          <w:rFonts w:hint="eastAsia" w:ascii="仿宋_GB2312" w:hAnsi="仿宋_GB2312" w:eastAsia="仿宋_GB2312" w:cs="仿宋_GB2312"/>
          <w:color w:val="auto"/>
          <w:sz w:val="28"/>
          <w:szCs w:val="28"/>
          <w:highlight w:val="none"/>
          <w:u w:val="none"/>
          <w:lang w:val="en-US" w:eastAsia="zh-CN"/>
        </w:rPr>
        <w:t>我司所供货物符合询价要求；</w:t>
      </w:r>
      <w:r>
        <w:rPr>
          <w:rFonts w:hint="eastAsia" w:ascii="仿宋_GB2312" w:hAnsi="仿宋_GB2312" w:eastAsia="仿宋_GB2312" w:cs="仿宋_GB2312"/>
          <w:b w:val="0"/>
          <w:bCs/>
          <w:color w:val="auto"/>
          <w:sz w:val="28"/>
          <w:szCs w:val="28"/>
          <w:highlight w:val="none"/>
          <w:lang w:val="en-US" w:eastAsia="zh-CN"/>
        </w:rPr>
        <w:t>交货时间以签订合同之日开始算起，按清单所要求的时间到货。</w:t>
      </w:r>
    </w:p>
    <w:p>
      <w:pPr>
        <w:autoSpaceDE w:val="0"/>
        <w:autoSpaceDN w:val="0"/>
        <w:ind w:left="560"/>
        <w:rPr>
          <w:rFonts w:hint="eastAsia" w:ascii="仿宋_GB2312" w:hAnsi="仿宋_GB2312" w:eastAsia="仿宋_GB2312" w:cs="仿宋_GB2312"/>
          <w:color w:val="auto"/>
          <w:sz w:val="28"/>
          <w:szCs w:val="28"/>
          <w:highlight w:val="none"/>
          <w:u w:val="none"/>
          <w:lang w:val="en-US" w:eastAsia="zh-CN"/>
        </w:rPr>
      </w:pPr>
    </w:p>
    <w:p>
      <w:pPr>
        <w:pStyle w:val="48"/>
        <w:ind w:firstLine="0" w:firstLineChars="0"/>
        <w:rPr>
          <w:rFonts w:hint="eastAsia" w:ascii="仿宋_GB2312" w:hAnsi="仿宋_GB2312" w:eastAsia="仿宋_GB2312" w:cs="仿宋_GB2312"/>
          <w:color w:val="auto"/>
          <w:sz w:val="28"/>
          <w:szCs w:val="28"/>
          <w:highlight w:val="none"/>
          <w:u w:val="none"/>
          <w:lang w:val="en-US" w:eastAsia="zh-CN"/>
        </w:rPr>
      </w:pPr>
    </w:p>
    <w:p>
      <w:pPr>
        <w:pStyle w:val="48"/>
        <w:ind w:firstLine="280" w:firstLineChars="100"/>
        <w:rPr>
          <w:rFonts w:hint="eastAsia" w:hAnsi="宋体" w:cs="宋体"/>
          <w:bCs/>
          <w:color w:val="auto"/>
          <w:sz w:val="28"/>
          <w:szCs w:val="28"/>
          <w:highlight w:val="none"/>
          <w:lang w:val="en-US" w:eastAsia="zh-CN"/>
        </w:rPr>
      </w:pPr>
      <w:r>
        <w:rPr>
          <w:rFonts w:hint="eastAsia" w:hAnsi="宋体" w:cs="宋体"/>
          <w:bCs/>
          <w:color w:val="auto"/>
          <w:sz w:val="28"/>
          <w:szCs w:val="28"/>
          <w:highlight w:val="none"/>
          <w:lang w:val="en-US" w:eastAsia="zh-CN"/>
        </w:rPr>
        <w:t xml:space="preserve">                               </w:t>
      </w:r>
      <w:r>
        <w:rPr>
          <w:rFonts w:hint="eastAsia" w:hAnsi="宋体" w:cs="宋体"/>
          <w:bCs/>
          <w:color w:val="auto"/>
          <w:sz w:val="28"/>
          <w:szCs w:val="28"/>
          <w:highlight w:val="none"/>
          <w:u w:val="single"/>
          <w:lang w:val="en-US" w:eastAsia="zh-CN"/>
        </w:rPr>
        <w:t xml:space="preserve"> （报价单位）</w:t>
      </w:r>
      <w:r>
        <w:rPr>
          <w:rFonts w:hint="eastAsia" w:hAnsi="宋体" w:cs="宋体"/>
          <w:bCs/>
          <w:color w:val="auto"/>
          <w:sz w:val="28"/>
          <w:szCs w:val="28"/>
          <w:highlight w:val="none"/>
          <w:lang w:val="en-US" w:eastAsia="zh-CN"/>
        </w:rPr>
        <w:t>公司（盖单位公章）</w:t>
      </w:r>
    </w:p>
    <w:p>
      <w:pPr>
        <w:pStyle w:val="48"/>
        <w:rPr>
          <w:color w:val="auto"/>
          <w:highlight w:val="none"/>
        </w:rPr>
      </w:pPr>
      <w:r>
        <w:rPr>
          <w:rFonts w:hint="eastAsia" w:hAnsi="宋体" w:cs="宋体"/>
          <w:bCs/>
          <w:color w:val="auto"/>
          <w:sz w:val="28"/>
          <w:szCs w:val="28"/>
          <w:highlight w:val="none"/>
          <w:lang w:val="en-US" w:eastAsia="zh-CN"/>
        </w:rPr>
        <w:t xml:space="preserve">                                              年  月  日 </w:t>
      </w:r>
    </w:p>
    <w:sectPr>
      <w:footerReference r:id="rId7" w:type="first"/>
      <w:footerReference r:id="rId6" w:type="default"/>
      <w:pgSz w:w="11906" w:h="16838"/>
      <w:pgMar w:top="2098" w:right="1474" w:bottom="1985" w:left="1588"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auto"/>
    <w:pitch w:val="default"/>
    <w:sig w:usb0="00000283" w:usb1="288F0000" w:usb2="00000006" w:usb3="00000000" w:csb0="0004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6"/>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6AWAMk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qNkjhuceLnnz/Ov/6cf38n&#10;11mfPkCNafcBE9Pwzg+4NbMf0JlpDyra/EVCBOMIdbqoK4dERH60Wq5WFYYExuYL4rOH5yFCei+9&#10;JdloaMTxFVX58SOkMXVOydWcv9PGlBEa948DMbOH5d7HHrOVht0wEdr59oR8epx8Qx0uOiXmg0Nh&#10;sb80G3E2drNxCFHvu7JFuR6E20PCJkpvucIIOxXGkRV203rlnXh8L1kPv9T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oBYAyQEAAJo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9LsWs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0uxayQEAAJoDAAAOAAAAAAAAAAEAIAAAAB4BAABkcnMvZTJvRG9j&#10;LnhtbFBLBQYAAAAABgAGAFkBAABZBQ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0E67B2A2"/>
    <w:multiLevelType w:val="singleLevel"/>
    <w:tmpl w:val="0E67B2A2"/>
    <w:lvl w:ilvl="0" w:tentative="0">
      <w:start w:val="2"/>
      <w:numFmt w:val="chineseCounting"/>
      <w:suff w:val="nothing"/>
      <w:lvlText w:val="（%1）"/>
      <w:lvlJc w:val="left"/>
      <w:rPr>
        <w:rFonts w:hint="eastAsia"/>
      </w:r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705D32C3"/>
    <w:multiLevelType w:val="singleLevel"/>
    <w:tmpl w:val="705D32C3"/>
    <w:lvl w:ilvl="0" w:tentative="0">
      <w:start w:val="5"/>
      <w:numFmt w:val="decimal"/>
      <w:lvlText w:val="%1."/>
      <w:lvlJc w:val="left"/>
      <w:pPr>
        <w:tabs>
          <w:tab w:val="left" w:pos="312"/>
        </w:tabs>
      </w:pPr>
    </w:lvl>
  </w:abstractNum>
  <w:abstractNum w:abstractNumId="4">
    <w:nsid w:val="7CC81634"/>
    <w:multiLevelType w:val="singleLevel"/>
    <w:tmpl w:val="7CC81634"/>
    <w:lvl w:ilvl="0" w:tentative="0">
      <w:start w:val="3"/>
      <w:numFmt w:val="decimal"/>
      <w:lvlText w:val="%1."/>
      <w:lvlJc w:val="left"/>
      <w:pPr>
        <w:tabs>
          <w:tab w:val="left" w:pos="312"/>
        </w:tabs>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5D618A"/>
    <w:rsid w:val="00911ECD"/>
    <w:rsid w:val="00A042E0"/>
    <w:rsid w:val="00B26BB1"/>
    <w:rsid w:val="00B26E21"/>
    <w:rsid w:val="00F83B64"/>
    <w:rsid w:val="013E3461"/>
    <w:rsid w:val="02090C75"/>
    <w:rsid w:val="02A23A3C"/>
    <w:rsid w:val="035D130A"/>
    <w:rsid w:val="039110A9"/>
    <w:rsid w:val="03AC246A"/>
    <w:rsid w:val="03B23056"/>
    <w:rsid w:val="03DC3EBA"/>
    <w:rsid w:val="03F9794D"/>
    <w:rsid w:val="046A2461"/>
    <w:rsid w:val="04E127CF"/>
    <w:rsid w:val="051C2970"/>
    <w:rsid w:val="060C3611"/>
    <w:rsid w:val="06311543"/>
    <w:rsid w:val="06C64829"/>
    <w:rsid w:val="070E7B6E"/>
    <w:rsid w:val="077D16D2"/>
    <w:rsid w:val="082A69F3"/>
    <w:rsid w:val="08675FC8"/>
    <w:rsid w:val="09B713FD"/>
    <w:rsid w:val="09EF6ACC"/>
    <w:rsid w:val="0A315056"/>
    <w:rsid w:val="0AA213B4"/>
    <w:rsid w:val="0AF61C7E"/>
    <w:rsid w:val="0AFB45AD"/>
    <w:rsid w:val="0B351E9B"/>
    <w:rsid w:val="0B4C50D3"/>
    <w:rsid w:val="0B806B92"/>
    <w:rsid w:val="0B827E94"/>
    <w:rsid w:val="0B842F76"/>
    <w:rsid w:val="0BD070E1"/>
    <w:rsid w:val="0C247926"/>
    <w:rsid w:val="0D794204"/>
    <w:rsid w:val="0E2125D1"/>
    <w:rsid w:val="0E214211"/>
    <w:rsid w:val="0E5F2769"/>
    <w:rsid w:val="0F4D75A3"/>
    <w:rsid w:val="0F5B2DCA"/>
    <w:rsid w:val="0FED051E"/>
    <w:rsid w:val="0FEE4C29"/>
    <w:rsid w:val="10031608"/>
    <w:rsid w:val="10046082"/>
    <w:rsid w:val="104974DD"/>
    <w:rsid w:val="111703D2"/>
    <w:rsid w:val="112B101A"/>
    <w:rsid w:val="119B53FC"/>
    <w:rsid w:val="1215733B"/>
    <w:rsid w:val="12424CDC"/>
    <w:rsid w:val="129A2738"/>
    <w:rsid w:val="12B56BF1"/>
    <w:rsid w:val="12CB1A89"/>
    <w:rsid w:val="131840FB"/>
    <w:rsid w:val="13467417"/>
    <w:rsid w:val="136E76CF"/>
    <w:rsid w:val="145F08C6"/>
    <w:rsid w:val="14A835A6"/>
    <w:rsid w:val="15776308"/>
    <w:rsid w:val="15BC6B3C"/>
    <w:rsid w:val="15BD7B09"/>
    <w:rsid w:val="16360A7B"/>
    <w:rsid w:val="164D40B0"/>
    <w:rsid w:val="1694429A"/>
    <w:rsid w:val="17635326"/>
    <w:rsid w:val="17B803EA"/>
    <w:rsid w:val="1815096B"/>
    <w:rsid w:val="18236EFD"/>
    <w:rsid w:val="189D5B1F"/>
    <w:rsid w:val="18A34CD0"/>
    <w:rsid w:val="19A53EA8"/>
    <w:rsid w:val="19B64DBC"/>
    <w:rsid w:val="19EC6A4A"/>
    <w:rsid w:val="1A373ACF"/>
    <w:rsid w:val="1A895341"/>
    <w:rsid w:val="1B0D071F"/>
    <w:rsid w:val="1B4568CE"/>
    <w:rsid w:val="1B9015B7"/>
    <w:rsid w:val="1B950DA6"/>
    <w:rsid w:val="1BF54245"/>
    <w:rsid w:val="1C2B2785"/>
    <w:rsid w:val="1D0E6976"/>
    <w:rsid w:val="1D5A79EE"/>
    <w:rsid w:val="1E0E2CD0"/>
    <w:rsid w:val="1E831280"/>
    <w:rsid w:val="1EBC4704"/>
    <w:rsid w:val="1F172EB5"/>
    <w:rsid w:val="1F94592D"/>
    <w:rsid w:val="1FB860DE"/>
    <w:rsid w:val="203C5A02"/>
    <w:rsid w:val="209D4C94"/>
    <w:rsid w:val="20E84705"/>
    <w:rsid w:val="218400BA"/>
    <w:rsid w:val="21AB1E2F"/>
    <w:rsid w:val="21D40498"/>
    <w:rsid w:val="22767047"/>
    <w:rsid w:val="23A05588"/>
    <w:rsid w:val="240476A1"/>
    <w:rsid w:val="25431AEB"/>
    <w:rsid w:val="25BE3BFB"/>
    <w:rsid w:val="25BF43FD"/>
    <w:rsid w:val="25F86BCD"/>
    <w:rsid w:val="2605748B"/>
    <w:rsid w:val="264544A6"/>
    <w:rsid w:val="269E416A"/>
    <w:rsid w:val="26C11C6B"/>
    <w:rsid w:val="272100D3"/>
    <w:rsid w:val="272C72FC"/>
    <w:rsid w:val="275131CB"/>
    <w:rsid w:val="27EB149D"/>
    <w:rsid w:val="27FD3E52"/>
    <w:rsid w:val="28A43A71"/>
    <w:rsid w:val="28E11370"/>
    <w:rsid w:val="294A756A"/>
    <w:rsid w:val="29781BF8"/>
    <w:rsid w:val="29C33ED0"/>
    <w:rsid w:val="29D5322D"/>
    <w:rsid w:val="2A025DD9"/>
    <w:rsid w:val="2A2619CB"/>
    <w:rsid w:val="2A7C2231"/>
    <w:rsid w:val="2ABB753D"/>
    <w:rsid w:val="2AFE6EC4"/>
    <w:rsid w:val="2B7A49FA"/>
    <w:rsid w:val="2BAA306C"/>
    <w:rsid w:val="2C615D26"/>
    <w:rsid w:val="2CB679ED"/>
    <w:rsid w:val="2D173C07"/>
    <w:rsid w:val="2D424A86"/>
    <w:rsid w:val="2DDA66B7"/>
    <w:rsid w:val="2E7B52DB"/>
    <w:rsid w:val="2ED60115"/>
    <w:rsid w:val="2F324CFE"/>
    <w:rsid w:val="2FBA09F1"/>
    <w:rsid w:val="2FEF2ACF"/>
    <w:rsid w:val="30540211"/>
    <w:rsid w:val="31112A0D"/>
    <w:rsid w:val="311F4B20"/>
    <w:rsid w:val="312D7741"/>
    <w:rsid w:val="316F137F"/>
    <w:rsid w:val="31DF525F"/>
    <w:rsid w:val="31EC162B"/>
    <w:rsid w:val="32324C2E"/>
    <w:rsid w:val="327171DF"/>
    <w:rsid w:val="341E3434"/>
    <w:rsid w:val="34BB4442"/>
    <w:rsid w:val="35EB0FD3"/>
    <w:rsid w:val="360B7EBA"/>
    <w:rsid w:val="363707AA"/>
    <w:rsid w:val="36416867"/>
    <w:rsid w:val="369C32FD"/>
    <w:rsid w:val="37666E72"/>
    <w:rsid w:val="38081EA3"/>
    <w:rsid w:val="38167A04"/>
    <w:rsid w:val="381C3783"/>
    <w:rsid w:val="38686FED"/>
    <w:rsid w:val="394B167A"/>
    <w:rsid w:val="39DA2868"/>
    <w:rsid w:val="3A055F4B"/>
    <w:rsid w:val="3A4E4336"/>
    <w:rsid w:val="3A6007FE"/>
    <w:rsid w:val="3AF93D6C"/>
    <w:rsid w:val="3B02558D"/>
    <w:rsid w:val="3B7C2CE4"/>
    <w:rsid w:val="3BAF716B"/>
    <w:rsid w:val="3C0B5355"/>
    <w:rsid w:val="3CD4176B"/>
    <w:rsid w:val="3D1F44D9"/>
    <w:rsid w:val="3D5C38CD"/>
    <w:rsid w:val="3E5070F1"/>
    <w:rsid w:val="3EC370CB"/>
    <w:rsid w:val="3F6C3589"/>
    <w:rsid w:val="3F850180"/>
    <w:rsid w:val="3F9004D6"/>
    <w:rsid w:val="400E4D5E"/>
    <w:rsid w:val="40E1138C"/>
    <w:rsid w:val="40E37D6F"/>
    <w:rsid w:val="413814BA"/>
    <w:rsid w:val="415C4DA1"/>
    <w:rsid w:val="41872511"/>
    <w:rsid w:val="41DF1251"/>
    <w:rsid w:val="424236D9"/>
    <w:rsid w:val="42466655"/>
    <w:rsid w:val="42C82F57"/>
    <w:rsid w:val="435707E5"/>
    <w:rsid w:val="43C76AF7"/>
    <w:rsid w:val="43E97E4A"/>
    <w:rsid w:val="446828F0"/>
    <w:rsid w:val="45093E85"/>
    <w:rsid w:val="458C705C"/>
    <w:rsid w:val="45C13B4D"/>
    <w:rsid w:val="46054BCA"/>
    <w:rsid w:val="464C6AFC"/>
    <w:rsid w:val="468B0091"/>
    <w:rsid w:val="46A107C3"/>
    <w:rsid w:val="46B15CE2"/>
    <w:rsid w:val="46BE113D"/>
    <w:rsid w:val="46E44B13"/>
    <w:rsid w:val="4703508A"/>
    <w:rsid w:val="475023F8"/>
    <w:rsid w:val="479D361E"/>
    <w:rsid w:val="47B74789"/>
    <w:rsid w:val="480F2B9D"/>
    <w:rsid w:val="48282920"/>
    <w:rsid w:val="485321E0"/>
    <w:rsid w:val="48546AD3"/>
    <w:rsid w:val="48CA4868"/>
    <w:rsid w:val="48F005D3"/>
    <w:rsid w:val="49547ADD"/>
    <w:rsid w:val="49732351"/>
    <w:rsid w:val="498F4AF1"/>
    <w:rsid w:val="49C05787"/>
    <w:rsid w:val="49CF518D"/>
    <w:rsid w:val="4ADA1F63"/>
    <w:rsid w:val="4AE23D89"/>
    <w:rsid w:val="4B2038D0"/>
    <w:rsid w:val="4B296E7D"/>
    <w:rsid w:val="4B79394E"/>
    <w:rsid w:val="4B877F28"/>
    <w:rsid w:val="4D916BA6"/>
    <w:rsid w:val="4DC44169"/>
    <w:rsid w:val="4DE24E21"/>
    <w:rsid w:val="4E1B19A3"/>
    <w:rsid w:val="4E48787F"/>
    <w:rsid w:val="4EF0709E"/>
    <w:rsid w:val="4F0469A4"/>
    <w:rsid w:val="50540C73"/>
    <w:rsid w:val="513C6A7B"/>
    <w:rsid w:val="532D486F"/>
    <w:rsid w:val="5333545B"/>
    <w:rsid w:val="538D0E89"/>
    <w:rsid w:val="5450213C"/>
    <w:rsid w:val="54D24048"/>
    <w:rsid w:val="54D64CD5"/>
    <w:rsid w:val="55887D69"/>
    <w:rsid w:val="561A0928"/>
    <w:rsid w:val="561F1377"/>
    <w:rsid w:val="56423872"/>
    <w:rsid w:val="569E06BC"/>
    <w:rsid w:val="56B279F0"/>
    <w:rsid w:val="56F20F86"/>
    <w:rsid w:val="579D710E"/>
    <w:rsid w:val="581F22F6"/>
    <w:rsid w:val="586E1E17"/>
    <w:rsid w:val="58862C35"/>
    <w:rsid w:val="58C14957"/>
    <w:rsid w:val="58CC23D2"/>
    <w:rsid w:val="58E66050"/>
    <w:rsid w:val="5AE83A50"/>
    <w:rsid w:val="5B353193"/>
    <w:rsid w:val="5BAB2917"/>
    <w:rsid w:val="5BFC33FA"/>
    <w:rsid w:val="5C3107A4"/>
    <w:rsid w:val="5C3B1B93"/>
    <w:rsid w:val="5C9220DF"/>
    <w:rsid w:val="5D4A15F3"/>
    <w:rsid w:val="5D69542A"/>
    <w:rsid w:val="5D783B72"/>
    <w:rsid w:val="5E0930EF"/>
    <w:rsid w:val="5E3D4D53"/>
    <w:rsid w:val="5E4717E6"/>
    <w:rsid w:val="5E55774C"/>
    <w:rsid w:val="5E8A70FF"/>
    <w:rsid w:val="60045F96"/>
    <w:rsid w:val="60104DDC"/>
    <w:rsid w:val="605C0804"/>
    <w:rsid w:val="6189617B"/>
    <w:rsid w:val="61B52BB6"/>
    <w:rsid w:val="61B749C2"/>
    <w:rsid w:val="62280D20"/>
    <w:rsid w:val="62CA2457"/>
    <w:rsid w:val="638240A1"/>
    <w:rsid w:val="63833423"/>
    <w:rsid w:val="63A5257B"/>
    <w:rsid w:val="63BD3DCC"/>
    <w:rsid w:val="63C61741"/>
    <w:rsid w:val="63E3773E"/>
    <w:rsid w:val="64560967"/>
    <w:rsid w:val="656B1D10"/>
    <w:rsid w:val="65B841F9"/>
    <w:rsid w:val="66022B28"/>
    <w:rsid w:val="664A38E2"/>
    <w:rsid w:val="66581E87"/>
    <w:rsid w:val="66FA11D5"/>
    <w:rsid w:val="674302C7"/>
    <w:rsid w:val="680A5986"/>
    <w:rsid w:val="680D5F4B"/>
    <w:rsid w:val="68113F51"/>
    <w:rsid w:val="68E94770"/>
    <w:rsid w:val="68F949C9"/>
    <w:rsid w:val="695A4290"/>
    <w:rsid w:val="6A334932"/>
    <w:rsid w:val="6A3353FF"/>
    <w:rsid w:val="6A5D63E6"/>
    <w:rsid w:val="6A5F24D1"/>
    <w:rsid w:val="6ACA70C4"/>
    <w:rsid w:val="6AE347EB"/>
    <w:rsid w:val="6B330365"/>
    <w:rsid w:val="6B434AF0"/>
    <w:rsid w:val="6B57675A"/>
    <w:rsid w:val="6B87098A"/>
    <w:rsid w:val="6BDD7B4D"/>
    <w:rsid w:val="6C45617A"/>
    <w:rsid w:val="6EBC0B3A"/>
    <w:rsid w:val="6EF51C7D"/>
    <w:rsid w:val="6F8363E5"/>
    <w:rsid w:val="6FA80CCD"/>
    <w:rsid w:val="6FAC3CC5"/>
    <w:rsid w:val="6FC746F5"/>
    <w:rsid w:val="70317AC6"/>
    <w:rsid w:val="704B26F7"/>
    <w:rsid w:val="70697B21"/>
    <w:rsid w:val="70863262"/>
    <w:rsid w:val="70A76ED3"/>
    <w:rsid w:val="71860B17"/>
    <w:rsid w:val="723B27CC"/>
    <w:rsid w:val="72687227"/>
    <w:rsid w:val="72A03FD9"/>
    <w:rsid w:val="73406CFF"/>
    <w:rsid w:val="7383028C"/>
    <w:rsid w:val="73A25E44"/>
    <w:rsid w:val="741F68CF"/>
    <w:rsid w:val="75252DF3"/>
    <w:rsid w:val="75621536"/>
    <w:rsid w:val="75BF3154"/>
    <w:rsid w:val="764A07CF"/>
    <w:rsid w:val="764F6B3D"/>
    <w:rsid w:val="76CD2B7B"/>
    <w:rsid w:val="76D80645"/>
    <w:rsid w:val="76E03371"/>
    <w:rsid w:val="77414451"/>
    <w:rsid w:val="780E5898"/>
    <w:rsid w:val="782642CC"/>
    <w:rsid w:val="7894095E"/>
    <w:rsid w:val="78964555"/>
    <w:rsid w:val="78CF4963"/>
    <w:rsid w:val="79000679"/>
    <w:rsid w:val="791C0FE5"/>
    <w:rsid w:val="79A416F0"/>
    <w:rsid w:val="79B03EB6"/>
    <w:rsid w:val="7AE15A5C"/>
    <w:rsid w:val="7AF37579"/>
    <w:rsid w:val="7AF87F64"/>
    <w:rsid w:val="7B1C0C84"/>
    <w:rsid w:val="7B5A62DF"/>
    <w:rsid w:val="7B7A04A8"/>
    <w:rsid w:val="7C0C3F6D"/>
    <w:rsid w:val="7C22163C"/>
    <w:rsid w:val="7C457B4B"/>
    <w:rsid w:val="7C595075"/>
    <w:rsid w:val="7C6B07B2"/>
    <w:rsid w:val="7D133243"/>
    <w:rsid w:val="7D945420"/>
    <w:rsid w:val="7E394207"/>
    <w:rsid w:val="7E4007A2"/>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Body Text 3"/>
    <w:basedOn w:val="1"/>
    <w:link w:val="42"/>
    <w:unhideWhenUsed/>
    <w:qFormat/>
    <w:uiPriority w:val="99"/>
    <w:pPr>
      <w:spacing w:after="120"/>
    </w:pPr>
    <w:rPr>
      <w:sz w:val="16"/>
      <w:szCs w:val="16"/>
    </w:rPr>
  </w:style>
  <w:style w:type="paragraph" w:styleId="7">
    <w:name w:val="Body Text"/>
    <w:basedOn w:val="1"/>
    <w:next w:val="8"/>
    <w:qFormat/>
    <w:uiPriority w:val="99"/>
    <w:pPr>
      <w:spacing w:after="120"/>
    </w:pPr>
  </w:style>
  <w:style w:type="paragraph" w:styleId="8">
    <w:name w:val="Body Text 2"/>
    <w:basedOn w:val="1"/>
    <w:qFormat/>
    <w:uiPriority w:val="0"/>
    <w:pPr>
      <w:spacing w:after="120" w:line="480" w:lineRule="auto"/>
    </w:pPr>
  </w:style>
  <w:style w:type="paragraph" w:styleId="9">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0">
    <w:name w:val="toc 3"/>
    <w:basedOn w:val="1"/>
    <w:next w:val="1"/>
    <w:unhideWhenUsed/>
    <w:qFormat/>
    <w:uiPriority w:val="39"/>
    <w:pPr>
      <w:widowControl/>
      <w:spacing w:after="100" w:line="276" w:lineRule="auto"/>
      <w:ind w:left="440"/>
      <w:jc w:val="left"/>
    </w:pPr>
    <w:rPr>
      <w:kern w:val="0"/>
      <w:sz w:val="22"/>
    </w:rPr>
  </w:style>
  <w:style w:type="paragraph" w:styleId="11">
    <w:name w:val="Plain Text"/>
    <w:basedOn w:val="1"/>
    <w:next w:val="12"/>
    <w:qFormat/>
    <w:uiPriority w:val="0"/>
    <w:rPr>
      <w:rFonts w:ascii="宋体" w:hAnsi="Courier New"/>
      <w:szCs w:val="21"/>
    </w:rPr>
  </w:style>
  <w:style w:type="paragraph" w:customStyle="1" w:styleId="12">
    <w:name w:val="Default"/>
    <w:next w:val="13"/>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3">
    <w:name w:val="List"/>
    <w:basedOn w:val="1"/>
    <w:next w:val="1"/>
    <w:qFormat/>
    <w:uiPriority w:val="0"/>
    <w:pPr>
      <w:snapToGrid w:val="0"/>
    </w:pPr>
    <w:rPr>
      <w:szCs w:val="24"/>
    </w:rPr>
  </w:style>
  <w:style w:type="paragraph" w:styleId="14">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5">
    <w:name w:val="Balloon Text"/>
    <w:basedOn w:val="1"/>
    <w:link w:val="37"/>
    <w:semiHidden/>
    <w:unhideWhenUsed/>
    <w:qFormat/>
    <w:uiPriority w:val="99"/>
    <w:rPr>
      <w:sz w:val="18"/>
      <w:szCs w:val="18"/>
    </w:rPr>
  </w:style>
  <w:style w:type="paragraph" w:styleId="16">
    <w:name w:val="footer"/>
    <w:basedOn w:val="1"/>
    <w:link w:val="31"/>
    <w:unhideWhenUsed/>
    <w:qFormat/>
    <w:uiPriority w:val="99"/>
    <w:pPr>
      <w:tabs>
        <w:tab w:val="center" w:pos="4153"/>
        <w:tab w:val="right" w:pos="8306"/>
      </w:tabs>
      <w:snapToGrid w:val="0"/>
      <w:jc w:val="left"/>
    </w:pPr>
    <w:rPr>
      <w:sz w:val="18"/>
      <w:szCs w:val="18"/>
    </w:rPr>
  </w:style>
  <w:style w:type="paragraph" w:styleId="17">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widowControl/>
      <w:spacing w:after="100" w:line="276" w:lineRule="auto"/>
      <w:jc w:val="left"/>
    </w:pPr>
    <w:rPr>
      <w:kern w:val="0"/>
      <w:sz w:val="22"/>
    </w:rPr>
  </w:style>
  <w:style w:type="paragraph" w:styleId="19">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0">
    <w:name w:val="Normal (Web)"/>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21">
    <w:name w:val="Body Text First Indent 2"/>
    <w:basedOn w:val="9"/>
    <w:qFormat/>
    <w:uiPriority w:val="0"/>
    <w:pPr>
      <w:adjustRightInd w:val="0"/>
      <w:spacing w:line="360" w:lineRule="auto"/>
      <w:ind w:left="0" w:leftChars="0" w:firstLine="420"/>
      <w:textAlignment w:val="baseline"/>
    </w:pPr>
    <w:rPr>
      <w:rFonts w:eastAsia="等线" w:cs="Times New Roman"/>
      <w:color w:val="000000"/>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qFormat/>
    <w:uiPriority w:val="22"/>
    <w:rPr>
      <w:rFonts w:eastAsia="宋体"/>
      <w:b/>
      <w:bCs/>
      <w:kern w:val="2"/>
      <w:sz w:val="24"/>
      <w:szCs w:val="24"/>
      <w:lang w:val="en-US" w:eastAsia="zh-CN" w:bidi="ar-SA"/>
    </w:rPr>
  </w:style>
  <w:style w:type="character" w:styleId="26">
    <w:name w:val="page number"/>
    <w:basedOn w:val="24"/>
    <w:qFormat/>
    <w:uiPriority w:val="0"/>
  </w:style>
  <w:style w:type="character" w:styleId="27">
    <w:name w:val="Hyperlink"/>
    <w:basedOn w:val="24"/>
    <w:unhideWhenUsed/>
    <w:qFormat/>
    <w:uiPriority w:val="99"/>
    <w:rPr>
      <w:color w:val="0000FF" w:themeColor="hyperlink"/>
      <w:u w:val="single"/>
      <w14:textFill>
        <w14:solidFill>
          <w14:schemeClr w14:val="hlink"/>
        </w14:solidFill>
      </w14:textFill>
    </w:rPr>
  </w:style>
  <w:style w:type="paragraph" w:customStyle="1" w:styleId="28">
    <w:name w:val="BodyText"/>
    <w:basedOn w:val="1"/>
    <w:next w:val="29"/>
    <w:qFormat/>
    <w:uiPriority w:val="0"/>
    <w:pPr>
      <w:jc w:val="both"/>
      <w:textAlignment w:val="baseline"/>
    </w:pPr>
    <w:rPr>
      <w:rFonts w:ascii="Times New Roman" w:hAnsi="Times New Roman" w:eastAsia="宋体"/>
      <w:kern w:val="2"/>
      <w:sz w:val="28"/>
      <w:lang w:val="en-US" w:eastAsia="zh-CN" w:bidi="ar-SA"/>
    </w:rPr>
  </w:style>
  <w:style w:type="paragraph" w:customStyle="1" w:styleId="29">
    <w:name w:val="BodyText2"/>
    <w:basedOn w:val="1"/>
    <w:qFormat/>
    <w:uiPriority w:val="0"/>
    <w:pPr>
      <w:spacing w:after="120" w:line="480" w:lineRule="auto"/>
      <w:jc w:val="both"/>
      <w:textAlignment w:val="baseline"/>
    </w:pPr>
  </w:style>
  <w:style w:type="character" w:customStyle="1" w:styleId="30">
    <w:name w:val="页眉 Char"/>
    <w:basedOn w:val="24"/>
    <w:link w:val="17"/>
    <w:semiHidden/>
    <w:qFormat/>
    <w:uiPriority w:val="99"/>
    <w:rPr>
      <w:sz w:val="18"/>
      <w:szCs w:val="18"/>
    </w:rPr>
  </w:style>
  <w:style w:type="character" w:customStyle="1" w:styleId="31">
    <w:name w:val="页脚 Char"/>
    <w:basedOn w:val="24"/>
    <w:link w:val="16"/>
    <w:qFormat/>
    <w:uiPriority w:val="99"/>
    <w:rPr>
      <w:sz w:val="18"/>
      <w:szCs w:val="18"/>
    </w:rPr>
  </w:style>
  <w:style w:type="character" w:customStyle="1" w:styleId="32">
    <w:name w:val="标题 1 Char"/>
    <w:basedOn w:val="24"/>
    <w:link w:val="3"/>
    <w:qFormat/>
    <w:uiPriority w:val="9"/>
    <w:rPr>
      <w:rFonts w:eastAsia="方正小标宋简体"/>
      <w:bCs/>
      <w:kern w:val="44"/>
      <w:sz w:val="44"/>
      <w:szCs w:val="44"/>
    </w:rPr>
  </w:style>
  <w:style w:type="character" w:customStyle="1" w:styleId="33">
    <w:name w:val="标题 2 Char"/>
    <w:basedOn w:val="24"/>
    <w:link w:val="4"/>
    <w:qFormat/>
    <w:uiPriority w:val="9"/>
    <w:rPr>
      <w:rFonts w:eastAsia="方正小标宋简体" w:asciiTheme="majorHAnsi" w:hAnsiTheme="majorHAnsi" w:cstheme="majorBidi"/>
      <w:bCs/>
      <w:sz w:val="36"/>
      <w:szCs w:val="32"/>
    </w:rPr>
  </w:style>
  <w:style w:type="character" w:customStyle="1" w:styleId="34">
    <w:name w:val="标题 3 Char"/>
    <w:basedOn w:val="24"/>
    <w:link w:val="5"/>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4"/>
    <w:link w:val="15"/>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2"/>
    <w:next w:val="12"/>
    <w:qFormat/>
    <w:uiPriority w:val="0"/>
    <w:pPr>
      <w:spacing w:after="373"/>
    </w:pPr>
    <w:rPr>
      <w:color w:val="auto"/>
    </w:rPr>
  </w:style>
  <w:style w:type="paragraph" w:customStyle="1" w:styleId="40">
    <w:name w:val="CM91"/>
    <w:basedOn w:val="12"/>
    <w:next w:val="12"/>
    <w:qFormat/>
    <w:uiPriority w:val="0"/>
    <w:pPr>
      <w:spacing w:after="160"/>
    </w:pPr>
    <w:rPr>
      <w:color w:val="auto"/>
    </w:rPr>
  </w:style>
  <w:style w:type="character" w:customStyle="1" w:styleId="41">
    <w:name w:val="正文文本 3 Char"/>
    <w:link w:val="6"/>
    <w:qFormat/>
    <w:uiPriority w:val="99"/>
    <w:rPr>
      <w:sz w:val="16"/>
      <w:szCs w:val="16"/>
    </w:rPr>
  </w:style>
  <w:style w:type="character" w:customStyle="1" w:styleId="42">
    <w:name w:val="正文文本 3 Char1"/>
    <w:basedOn w:val="24"/>
    <w:link w:val="6"/>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1"/>
    <w:qFormat/>
    <w:uiPriority w:val="99"/>
    <w:pPr>
      <w:widowControl w:val="0"/>
      <w:jc w:val="both"/>
    </w:pPr>
    <w:rPr>
      <w:rFonts w:ascii="宋体" w:hAnsi="Courier New"/>
      <w:kern w:val="2"/>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paragraph" w:customStyle="1" w:styleId="47">
    <w:name w:val="WPSOffice手动目录 3"/>
    <w:qFormat/>
    <w:uiPriority w:val="0"/>
    <w:pPr>
      <w:ind w:leftChars="400"/>
    </w:pPr>
    <w:rPr>
      <w:rFonts w:asciiTheme="minorHAnsi" w:hAnsiTheme="minorHAnsi" w:eastAsiaTheme="minorEastAsia" w:cstheme="minorBidi"/>
      <w:sz w:val="20"/>
      <w:szCs w:val="20"/>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49">
    <w:name w:val="font21"/>
    <w:basedOn w:val="24"/>
    <w:qFormat/>
    <w:uiPriority w:val="0"/>
    <w:rPr>
      <w:rFonts w:hint="eastAsia" w:ascii="仿宋" w:hAnsi="仿宋" w:eastAsia="仿宋" w:cs="仿宋"/>
      <w:color w:val="000000"/>
      <w:sz w:val="20"/>
      <w:szCs w:val="20"/>
      <w:u w:val="none"/>
    </w:rPr>
  </w:style>
  <w:style w:type="table" w:customStyle="1" w:styleId="5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33778</Words>
  <Characters>36394</Characters>
  <Lines>300</Lines>
  <Paragraphs>84</Paragraphs>
  <TotalTime>1</TotalTime>
  <ScaleCrop>false</ScaleCrop>
  <LinksUpToDate>false</LinksUpToDate>
  <CharactersWithSpaces>38875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dcterms:modified xsi:type="dcterms:W3CDTF">2022-10-09T07:57:52Z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1EF35D37855D4B2AB64CFBA7FB005F08</vt:lpwstr>
  </property>
</Properties>
</file>