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rPr>
        <w:t>广州市净水有限公司2022年猎德、大坦沙</w:t>
      </w:r>
      <w:r>
        <w:rPr>
          <w:rFonts w:hint="eastAsia" w:ascii="方正小标宋简体" w:eastAsia="方正小标宋简体"/>
          <w:color w:val="auto"/>
          <w:sz w:val="52"/>
          <w:szCs w:val="52"/>
          <w:highlight w:val="none"/>
          <w:lang w:eastAsia="zh-CN"/>
        </w:rPr>
        <w:t>、</w:t>
      </w:r>
      <w:r>
        <w:rPr>
          <w:rFonts w:hint="eastAsia" w:ascii="方正小标宋简体" w:eastAsia="方正小标宋简体"/>
          <w:color w:val="auto"/>
          <w:sz w:val="52"/>
          <w:szCs w:val="52"/>
          <w:highlight w:val="none"/>
          <w:lang w:val="en-US" w:eastAsia="zh-CN"/>
        </w:rPr>
        <w:t>大观</w:t>
      </w:r>
      <w:r>
        <w:rPr>
          <w:rFonts w:hint="eastAsia" w:ascii="方正小标宋简体" w:eastAsia="方正小标宋简体"/>
          <w:color w:val="auto"/>
          <w:sz w:val="52"/>
          <w:szCs w:val="52"/>
          <w:highlight w:val="none"/>
        </w:rPr>
        <w:t>分公司阀门采购</w:t>
      </w:r>
      <w:r>
        <w:rPr>
          <w:rFonts w:hint="eastAsia" w:ascii="方正小标宋简体" w:eastAsia="方正小标宋简体"/>
          <w:color w:val="auto"/>
          <w:sz w:val="52"/>
          <w:szCs w:val="52"/>
          <w:highlight w:val="none"/>
          <w:lang w:val="en-US" w:eastAsia="zh-CN"/>
        </w:rPr>
        <w:t>项目</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黑体" w:hAnsi="黑体" w:eastAsia="黑体"/>
          <w:color w:val="auto"/>
          <w:sz w:val="32"/>
          <w:szCs w:val="32"/>
          <w:highlight w:val="none"/>
        </w:rPr>
      </w:pPr>
      <w:r>
        <w:rPr>
          <w:rFonts w:hint="eastAsia" w:ascii="黑体" w:hAnsi="黑体" w:eastAsia="黑体" w:cs="仿宋_GB2312"/>
          <w:color w:val="auto"/>
          <w:sz w:val="32"/>
          <w:szCs w:val="32"/>
          <w:highlight w:val="none"/>
        </w:rPr>
        <w:t>广州市净水有限公司</w:t>
      </w:r>
    </w:p>
    <w:p>
      <w:pPr>
        <w:jc w:val="center"/>
        <w:rPr>
          <w:rFonts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w:t>
      </w:r>
      <w:r>
        <w:rPr>
          <w:rFonts w:hint="eastAsia" w:ascii="黑体" w:hAnsi="黑体" w:eastAsia="黑体" w:cs="仿宋_GB2312"/>
          <w:color w:val="auto"/>
          <w:sz w:val="32"/>
          <w:szCs w:val="32"/>
          <w:highlight w:val="none"/>
        </w:rPr>
        <w:t>月</w:t>
      </w:r>
    </w:p>
    <w:p>
      <w:pPr>
        <w:rPr>
          <w:color w:val="auto"/>
          <w:highlight w:val="none"/>
        </w:rPr>
        <w:sectPr>
          <w:footerReference r:id="rId5" w:type="first"/>
          <w:footerReference r:id="rId3" w:type="default"/>
          <w:footerReference r:id="rId4"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9"/>
        <w:adjustRightInd w:val="0"/>
        <w:snapToGrid w:val="0"/>
        <w:spacing w:before="0" w:line="600" w:lineRule="exact"/>
        <w:jc w:val="center"/>
        <w:rPr>
          <w:rFonts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asciiTheme="minorEastAsia" w:hAnsiTheme="minorEastAsia"/>
          <w:color w:val="auto"/>
          <w:sz w:val="24"/>
          <w:szCs w:val="24"/>
          <w:highlight w:val="none"/>
        </w:rPr>
      </w:pPr>
    </w:p>
    <w:p>
      <w:pPr>
        <w:pStyle w:val="20"/>
        <w:numPr>
          <w:ilvl w:val="0"/>
          <w:numId w:val="1"/>
        </w:numPr>
        <w:tabs>
          <w:tab w:val="right" w:pos="8844"/>
        </w:tabs>
        <w:rPr>
          <w:color w:val="auto"/>
          <w:highlight w:val="none"/>
        </w:rPr>
      </w:pPr>
      <w:r>
        <w:rPr>
          <w:rFonts w:hint="eastAsia"/>
          <w:color w:val="auto"/>
          <w:highlight w:val="none"/>
        </w:rPr>
        <w:t>采购公告</w:t>
      </w:r>
    </w:p>
    <w:p>
      <w:pPr>
        <w:pStyle w:val="20"/>
        <w:numPr>
          <w:ilvl w:val="0"/>
          <w:numId w:val="1"/>
        </w:numPr>
        <w:tabs>
          <w:tab w:val="right" w:pos="8844"/>
        </w:tabs>
        <w:rPr>
          <w:color w:val="auto"/>
          <w:highlight w:val="none"/>
        </w:rPr>
      </w:pPr>
      <w:r>
        <w:rPr>
          <w:rFonts w:hint="eastAsia"/>
          <w:color w:val="auto"/>
          <w:highlight w:val="none"/>
        </w:rPr>
        <w:t>供应商须知</w:t>
      </w:r>
    </w:p>
    <w:p>
      <w:pPr>
        <w:pStyle w:val="20"/>
        <w:numPr>
          <w:ilvl w:val="0"/>
          <w:numId w:val="1"/>
        </w:numPr>
        <w:tabs>
          <w:tab w:val="right" w:pos="8844"/>
        </w:tabs>
        <w:rPr>
          <w:color w:val="auto"/>
          <w:highlight w:val="none"/>
        </w:rPr>
      </w:pPr>
      <w:r>
        <w:rPr>
          <w:rFonts w:hint="eastAsia"/>
          <w:color w:val="auto"/>
          <w:highlight w:val="none"/>
        </w:rPr>
        <w:t>采购方法</w:t>
      </w:r>
    </w:p>
    <w:p>
      <w:pPr>
        <w:pStyle w:val="20"/>
        <w:numPr>
          <w:ilvl w:val="0"/>
          <w:numId w:val="1"/>
        </w:numPr>
        <w:tabs>
          <w:tab w:val="right" w:pos="8844"/>
        </w:tabs>
        <w:rPr>
          <w:color w:val="auto"/>
          <w:highlight w:val="none"/>
        </w:rPr>
      </w:pPr>
      <w:r>
        <w:rPr>
          <w:rFonts w:hint="eastAsia"/>
          <w:color w:val="auto"/>
          <w:highlight w:val="none"/>
        </w:rPr>
        <w:t>评审方法</w:t>
      </w:r>
    </w:p>
    <w:p>
      <w:pPr>
        <w:pStyle w:val="20"/>
        <w:numPr>
          <w:ilvl w:val="0"/>
          <w:numId w:val="1"/>
        </w:numPr>
        <w:tabs>
          <w:tab w:val="right" w:pos="8844"/>
        </w:tabs>
        <w:rPr>
          <w:color w:val="auto"/>
          <w:highlight w:val="none"/>
        </w:rPr>
      </w:pPr>
      <w:r>
        <w:rPr>
          <w:rFonts w:hint="eastAsia"/>
          <w:color w:val="auto"/>
          <w:highlight w:val="none"/>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0" w:name="_Toc18145"/>
      <w:bookmarkStart w:id="1" w:name="_Toc26148"/>
    </w:p>
    <w:p>
      <w:pPr>
        <w:rPr>
          <w:color w:val="auto"/>
          <w:highlight w:val="none"/>
        </w:rPr>
      </w:pPr>
    </w:p>
    <w:p>
      <w:pPr>
        <w:pStyle w:val="4"/>
        <w:rPr>
          <w:color w:val="auto"/>
          <w:highlight w:val="none"/>
        </w:rPr>
      </w:pPr>
      <w:bookmarkStart w:id="2" w:name="_Toc17696"/>
      <w:bookmarkStart w:id="3" w:name="_Toc1711"/>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color w:val="auto"/>
          <w:highlight w:val="none"/>
        </w:rPr>
      </w:pPr>
      <w:bookmarkStart w:id="4" w:name="_Toc19609"/>
      <w:bookmarkStart w:id="5" w:name="_Toc1669"/>
      <w:bookmarkStart w:id="6" w:name="_Toc31938"/>
      <w:bookmarkStart w:id="7" w:name="_Toc11322"/>
      <w:bookmarkStart w:id="8" w:name="_Toc4275"/>
      <w:bookmarkStart w:id="9" w:name="_Toc7519"/>
      <w:bookmarkStart w:id="10" w:name="_Toc17801"/>
    </w:p>
    <w:p>
      <w:pPr>
        <w:pStyle w:val="4"/>
        <w:rPr>
          <w:color w:val="auto"/>
          <w:highlight w:val="none"/>
        </w:rPr>
      </w:pPr>
    </w:p>
    <w:p>
      <w:pPr>
        <w:pStyle w:val="4"/>
        <w:rPr>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2340610</wp:posOffset>
                </wp:positionH>
                <wp:positionV relativeFrom="paragraph">
                  <wp:posOffset>745490</wp:posOffset>
                </wp:positionV>
                <wp:extent cx="958850" cy="0"/>
                <wp:effectExtent l="5715" t="6985" r="6985" b="12065"/>
                <wp:wrapNone/>
                <wp:docPr id="30" name="AutoShape 17"/>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7" o:spid="_x0000_s1026" o:spt="32" type="#_x0000_t32" style="position:absolute;left:0pt;margin-left:184.3pt;margin-top:58.7pt;height:0pt;width:75.5pt;z-index:25167155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M2AsR1wAAAAsBAAAPAAAAAAAAAAEAIAAA&#10;ACIAAABkcnMvZG93bnJldi54bWxQSwECFAAUAAAACACHTuJABcmpp9QBAACzAwAADgAAAAAAAAAB&#10;ACAAAAAmAQAAZHJzL2Uyb0RvYy54bWxQSwUGAAAAAAYABgBZAQAAb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13335" t="7620" r="8890" b="11430"/>
                <wp:wrapNone/>
                <wp:docPr id="29" name="AutoShape 16"/>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Cti3rWAAAACQEAAA8AAAAAAAAAAQAgAAAA&#10;IgAAAGRycy9kb3ducmV2LnhtbFBLAQIUABQAAAAIAIdO4kCSoa941AEAALMDAAAOAAAAAAAAAAEA&#10;IAAAACUBAABkcnMvZTJvRG9jLnhtbFBLBQYAAAAABgAGAFkBAABrBQ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41"/>
        <w:rPr>
          <w:color w:val="auto"/>
          <w:highlight w:val="none"/>
        </w:rPr>
      </w:pPr>
    </w:p>
    <w:p>
      <w:pPr>
        <w:pStyle w:val="4"/>
        <w:rPr>
          <w:color w:val="auto"/>
          <w:highlight w:val="none"/>
        </w:rPr>
      </w:pPr>
      <w:bookmarkStart w:id="11" w:name="_Toc999"/>
      <w:bookmarkStart w:id="12" w:name="_Toc10122"/>
      <w:bookmarkStart w:id="13" w:name="_Toc14238"/>
      <w:bookmarkStart w:id="14" w:name="_Toc15709"/>
      <w:bookmarkStart w:id="15" w:name="_Toc88209924"/>
      <w:bookmarkStart w:id="16" w:name="_Toc28995"/>
      <w:bookmarkStart w:id="17" w:name="_Toc8201"/>
      <w:bookmarkStart w:id="18" w:name="_Toc26363"/>
      <w:bookmarkStart w:id="19" w:name="_Toc30131"/>
      <w:bookmarkStart w:id="20" w:name="_Toc2659"/>
      <w:bookmarkStart w:id="21" w:name="_Toc5230"/>
      <w:bookmarkStart w:id="22" w:name="_Toc30989"/>
      <w:r>
        <w:rPr>
          <w:rFonts w:hint="eastAsia"/>
          <w:color w:val="auto"/>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156" w:beforeLines="50" w:after="156"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5"/>
        <w:spacing w:line="600" w:lineRule="exact"/>
        <w:rPr>
          <w:color w:val="auto"/>
          <w:highlight w:val="none"/>
        </w:rPr>
      </w:pPr>
      <w:bookmarkStart w:id="23" w:name="_Toc9680"/>
      <w:bookmarkStart w:id="24" w:name="_Toc21373"/>
      <w:r>
        <w:rPr>
          <w:rFonts w:hint="eastAsia"/>
          <w:color w:val="auto"/>
          <w:highlight w:val="none"/>
          <w:u w:val="single"/>
        </w:rPr>
        <w:t>广州市净水有限公司2022年猎德、大坦沙、大观分公司阀门采购项目</w:t>
      </w:r>
      <w:r>
        <w:rPr>
          <w:rFonts w:hint="eastAsia"/>
          <w:color w:val="auto"/>
          <w:highlight w:val="none"/>
        </w:rPr>
        <w:t>采购公告</w:t>
      </w:r>
      <w:bookmarkEnd w:id="23"/>
      <w:bookmarkEnd w:id="24"/>
    </w:p>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广州市净水有限公司2022年猎德、大坦沙、大观分公司阀门采购项目</w:t>
      </w:r>
      <w:r>
        <w:rPr>
          <w:rFonts w:hint="eastAsia" w:ascii="仿宋_GB2312" w:eastAsia="仿宋_GB2312"/>
          <w:color w:val="auto"/>
          <w:sz w:val="28"/>
          <w:szCs w:val="28"/>
          <w:highlight w:val="none"/>
        </w:rPr>
        <w:t xml:space="preserve">已具备采购条件，现对该□施工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 □服务项目实施公开采购</w:t>
      </w:r>
      <w:bookmarkStart w:id="25" w:name="采购公告"/>
      <w:bookmarkEnd w:id="25"/>
      <w:r>
        <w:rPr>
          <w:rFonts w:hint="eastAsia" w:ascii="仿宋_GB2312" w:eastAsia="仿宋_GB2312"/>
          <w:color w:val="auto"/>
          <w:sz w:val="28"/>
          <w:szCs w:val="28"/>
          <w:highlight w:val="none"/>
        </w:rPr>
        <w:t>活动，采用</w:t>
      </w:r>
      <w:r>
        <w:rPr>
          <w:rFonts w:hint="eastAsia" w:ascii="仿宋_GB2312" w:eastAsia="仿宋_GB2312"/>
          <w:color w:val="auto"/>
          <w:sz w:val="28"/>
          <w:szCs w:val="28"/>
          <w:highlight w:val="none"/>
          <w:u w:val="single"/>
        </w:rPr>
        <w:t>询比采购</w:t>
      </w:r>
      <w:r>
        <w:rPr>
          <w:rFonts w:hint="eastAsia" w:ascii="仿宋_GB2312" w:eastAsia="仿宋_GB2312"/>
          <w:color w:val="auto"/>
          <w:sz w:val="28"/>
          <w:szCs w:val="28"/>
          <w:highlight w:val="none"/>
        </w:rPr>
        <w:t>方式公开邀请合格供应商参加本项目采购竞争。</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广州市净水有限公司2022年猎德、大坦沙、大观分公司阀门采购项目</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XJ-20221009-3</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1.3资金来源：</w:t>
      </w:r>
      <w:r>
        <w:rPr>
          <w:rFonts w:hint="eastAsia" w:ascii="仿宋_GB2312" w:eastAsia="仿宋_GB2312"/>
          <w:color w:val="auto"/>
          <w:sz w:val="28"/>
          <w:szCs w:val="28"/>
          <w:highlight w:val="none"/>
          <w:u w:val="single"/>
        </w:rPr>
        <w:t>自有资金</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1.4最高限价（元）：</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595412</w:t>
      </w:r>
      <w:r>
        <w:rPr>
          <w:rFonts w:hint="eastAsia" w:ascii="仿宋_GB2312" w:eastAsia="仿宋_GB2312"/>
          <w:color w:val="auto"/>
          <w:sz w:val="28"/>
          <w:szCs w:val="28"/>
          <w:highlight w:val="none"/>
          <w:u w:val="single"/>
        </w:rPr>
        <w:t xml:space="preserve">元   </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项目一：396800元、</w:t>
      </w:r>
      <w:r>
        <w:rPr>
          <w:rFonts w:hint="eastAsia" w:ascii="仿宋_GB2312" w:eastAsia="仿宋_GB2312"/>
          <w:color w:val="auto"/>
          <w:sz w:val="28"/>
          <w:szCs w:val="28"/>
          <w:highlight w:val="none"/>
          <w:u w:val="single"/>
        </w:rPr>
        <w:t>项目</w:t>
      </w:r>
      <w:r>
        <w:rPr>
          <w:rFonts w:hint="eastAsia" w:ascii="仿宋_GB2312" w:eastAsia="仿宋_GB2312"/>
          <w:color w:val="auto"/>
          <w:sz w:val="28"/>
          <w:szCs w:val="28"/>
          <w:highlight w:val="none"/>
          <w:u w:val="single"/>
          <w:lang w:val="en-US" w:eastAsia="zh-CN"/>
        </w:rPr>
        <w:t>二</w:t>
      </w:r>
      <w:r>
        <w:rPr>
          <w:rFonts w:hint="eastAsia" w:ascii="仿宋_GB2312" w:eastAsia="仿宋_GB2312"/>
          <w:color w:val="auto"/>
          <w:sz w:val="28"/>
          <w:szCs w:val="28"/>
          <w:highlight w:val="none"/>
          <w:u w:val="single"/>
        </w:rPr>
        <w:t>：35580</w:t>
      </w:r>
      <w:r>
        <w:rPr>
          <w:rFonts w:hint="eastAsia" w:ascii="仿宋_GB2312" w:eastAsia="仿宋_GB2312"/>
          <w:color w:val="auto"/>
          <w:sz w:val="28"/>
          <w:szCs w:val="28"/>
          <w:highlight w:val="none"/>
          <w:u w:val="single"/>
          <w:lang w:val="en-US" w:eastAsia="zh-CN"/>
        </w:rPr>
        <w:t>元</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rPr>
        <w:t>项目</w:t>
      </w:r>
      <w:r>
        <w:rPr>
          <w:rFonts w:hint="eastAsia" w:ascii="仿宋_GB2312" w:eastAsia="仿宋_GB2312"/>
          <w:color w:val="auto"/>
          <w:sz w:val="28"/>
          <w:szCs w:val="28"/>
          <w:highlight w:val="none"/>
          <w:u w:val="single"/>
          <w:lang w:val="en-US" w:eastAsia="zh-CN"/>
        </w:rPr>
        <w:t>三</w:t>
      </w:r>
      <w:r>
        <w:rPr>
          <w:rFonts w:hint="eastAsia" w:ascii="仿宋_GB2312" w:eastAsia="仿宋_GB2312"/>
          <w:color w:val="auto"/>
          <w:sz w:val="28"/>
          <w:szCs w:val="28"/>
          <w:highlight w:val="none"/>
          <w:u w:val="single"/>
        </w:rPr>
        <w:t>：79500</w:t>
      </w:r>
      <w:r>
        <w:rPr>
          <w:rFonts w:hint="eastAsia" w:ascii="仿宋_GB2312" w:eastAsia="仿宋_GB2312"/>
          <w:color w:val="auto"/>
          <w:sz w:val="28"/>
          <w:szCs w:val="28"/>
          <w:highlight w:val="none"/>
          <w:u w:val="single"/>
          <w:lang w:val="en-US" w:eastAsia="zh-CN"/>
        </w:rPr>
        <w:t>元、项目四：83532元）</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1.5标段划分：</w:t>
      </w:r>
      <w:r>
        <w:rPr>
          <w:rFonts w:hint="eastAsia" w:ascii="仿宋_GB2312" w:eastAsia="仿宋_GB2312"/>
          <w:color w:val="auto"/>
          <w:sz w:val="28"/>
          <w:szCs w:val="28"/>
          <w:highlight w:val="none"/>
          <w:u w:val="single"/>
        </w:rPr>
        <w:t xml:space="preserve">      /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pStyle w:val="2"/>
        <w:rPr>
          <w:rFonts w:hint="eastAsia" w:ascii="仿宋_GB2312" w:eastAsia="仿宋_GB2312"/>
          <w:color w:val="auto"/>
          <w:sz w:val="28"/>
          <w:szCs w:val="28"/>
          <w:highlight w:val="none"/>
        </w:rPr>
      </w:pPr>
    </w:p>
    <w:p>
      <w:pPr>
        <w:pStyle w:val="2"/>
        <w:rPr>
          <w:rFonts w:hint="eastAsia" w:ascii="仿宋_GB2312" w:eastAsia="仿宋_GB2312"/>
          <w:color w:val="auto"/>
          <w:sz w:val="28"/>
          <w:szCs w:val="28"/>
          <w:highlight w:val="none"/>
        </w:rPr>
      </w:pPr>
    </w:p>
    <w:tbl>
      <w:tblPr>
        <w:tblStyle w:val="25"/>
        <w:tblW w:w="7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137"/>
        <w:gridCol w:w="1913"/>
        <w:gridCol w:w="738"/>
        <w:gridCol w:w="75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592"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1137" w:type="dxa"/>
            <w:vAlign w:val="top"/>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rPr>
              <w:t>序号</w:t>
            </w:r>
          </w:p>
        </w:tc>
        <w:tc>
          <w:tcPr>
            <w:tcW w:w="1913"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738"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单位</w:t>
            </w:r>
          </w:p>
        </w:tc>
        <w:tc>
          <w:tcPr>
            <w:tcW w:w="750"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数量</w:t>
            </w:r>
          </w:p>
        </w:tc>
        <w:tc>
          <w:tcPr>
            <w:tcW w:w="1355"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猎德分公司</w:t>
            </w:r>
          </w:p>
        </w:tc>
        <w:tc>
          <w:tcPr>
            <w:tcW w:w="1137" w:type="dxa"/>
            <w:vMerge w:val="restart"/>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rPr>
            </w:pPr>
            <w:r>
              <w:rPr>
                <w:rFonts w:hint="eastAsia" w:ascii="仿宋_GB2312" w:hAnsi="仿宋" w:eastAsia="仿宋_GB2312" w:cs="宋体"/>
                <w:color w:val="auto"/>
                <w:kern w:val="0"/>
                <w:sz w:val="24"/>
                <w:szCs w:val="28"/>
                <w:highlight w:val="none"/>
                <w:lang w:val="en-US" w:eastAsia="zh-CN"/>
              </w:rPr>
              <w:t>项目一</w:t>
            </w:r>
          </w:p>
        </w:tc>
        <w:tc>
          <w:tcPr>
            <w:tcW w:w="1913" w:type="dxa"/>
            <w:vAlign w:val="center"/>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仿宋" w:eastAsia="仿宋_GB2312" w:cs="宋体"/>
                <w:color w:val="auto"/>
                <w:kern w:val="0"/>
                <w:sz w:val="24"/>
                <w:szCs w:val="28"/>
                <w:highlight w:val="none"/>
              </w:rPr>
              <w:t>止回阀</w:t>
            </w:r>
          </w:p>
        </w:tc>
        <w:tc>
          <w:tcPr>
            <w:tcW w:w="738"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台</w:t>
            </w:r>
          </w:p>
        </w:tc>
        <w:tc>
          <w:tcPr>
            <w:tcW w:w="750"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4</w:t>
            </w:r>
          </w:p>
        </w:tc>
        <w:tc>
          <w:tcPr>
            <w:tcW w:w="1355"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396800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1137" w:type="dxa"/>
            <w:vMerge w:val="continue"/>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p>
        </w:tc>
        <w:tc>
          <w:tcPr>
            <w:tcW w:w="1913" w:type="dxa"/>
            <w:vAlign w:val="center"/>
          </w:tcPr>
          <w:p>
            <w:pPr>
              <w:spacing w:line="360" w:lineRule="auto"/>
              <w:ind w:right="-57" w:rightChars="-27"/>
              <w:jc w:val="center"/>
              <w:rPr>
                <w:rFonts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电动蝶阀</w:t>
            </w:r>
          </w:p>
        </w:tc>
        <w:tc>
          <w:tcPr>
            <w:tcW w:w="738"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台</w:t>
            </w:r>
          </w:p>
        </w:tc>
        <w:tc>
          <w:tcPr>
            <w:tcW w:w="750"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4</w:t>
            </w:r>
          </w:p>
        </w:tc>
        <w:tc>
          <w:tcPr>
            <w:tcW w:w="1355" w:type="dxa"/>
            <w:vMerge w:val="continue"/>
          </w:tcPr>
          <w:p>
            <w:pPr>
              <w:spacing w:line="360" w:lineRule="auto"/>
              <w:ind w:right="-57" w:rightChars="-27"/>
              <w:jc w:val="center"/>
              <w:rPr>
                <w:rFonts w:ascii="仿宋_GB2312" w:hAnsi="Times New Roman" w:eastAsia="仿宋_GB2312" w:cs="Times New Roman"/>
                <w:color w:val="auto"/>
                <w:sz w:val="24"/>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1137"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项目二</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一期沉砂池电动阀门</w:t>
            </w:r>
          </w:p>
        </w:tc>
        <w:tc>
          <w:tcPr>
            <w:tcW w:w="738"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750"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35580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1137"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738"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750"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4</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79500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大观分公司</w:t>
            </w:r>
          </w:p>
        </w:tc>
        <w:tc>
          <w:tcPr>
            <w:tcW w:w="1137"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项目四</w:t>
            </w:r>
          </w:p>
        </w:tc>
        <w:tc>
          <w:tcPr>
            <w:tcW w:w="1913" w:type="dxa"/>
            <w:vAlign w:val="center"/>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738"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750"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83532</w:t>
            </w:r>
          </w:p>
        </w:tc>
      </w:tr>
    </w:tbl>
    <w:p>
      <w:pPr>
        <w:adjustRightInd w:val="0"/>
        <w:snapToGrid w:val="0"/>
        <w:spacing w:line="600" w:lineRule="exact"/>
        <w:ind w:firstLine="565" w:firstLineChars="202"/>
        <w:jc w:val="left"/>
        <w:rPr>
          <w:rFonts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2.2项目工期：□计划工期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交货期  □服务期为</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725"/>
        <w:gridCol w:w="297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序号</w:t>
            </w:r>
          </w:p>
        </w:tc>
        <w:tc>
          <w:tcPr>
            <w:tcW w:w="1725"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2977"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1611"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项目一</w:t>
            </w:r>
          </w:p>
        </w:tc>
        <w:tc>
          <w:tcPr>
            <w:tcW w:w="1725"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猎德分公司</w:t>
            </w:r>
          </w:p>
        </w:tc>
        <w:tc>
          <w:tcPr>
            <w:tcW w:w="2977"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仿宋" w:eastAsia="仿宋_GB2312" w:cs="宋体"/>
                <w:color w:val="auto"/>
                <w:kern w:val="0"/>
                <w:sz w:val="24"/>
                <w:szCs w:val="28"/>
                <w:highlight w:val="none"/>
              </w:rPr>
              <w:t>止回阀</w:t>
            </w:r>
          </w:p>
        </w:tc>
        <w:tc>
          <w:tcPr>
            <w:tcW w:w="1611"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lang w:val="en-US" w:eastAsia="zh-CN"/>
              </w:rPr>
              <w:t>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1725"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2977" w:type="dxa"/>
          </w:tcPr>
          <w:p>
            <w:pPr>
              <w:spacing w:line="360" w:lineRule="auto"/>
              <w:ind w:right="-57" w:rightChars="-27"/>
              <w:jc w:val="center"/>
              <w:rPr>
                <w:rFonts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电动蝶阀</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项目二</w:t>
            </w:r>
          </w:p>
        </w:tc>
        <w:tc>
          <w:tcPr>
            <w:tcW w:w="1725"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2977"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一期沉砂池电动阀门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725"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2977"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项目四</w:t>
            </w:r>
          </w:p>
        </w:tc>
        <w:tc>
          <w:tcPr>
            <w:tcW w:w="1725"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大观分公司</w:t>
            </w:r>
          </w:p>
        </w:tc>
        <w:tc>
          <w:tcPr>
            <w:tcW w:w="2977" w:type="dxa"/>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20天</w:t>
            </w:r>
          </w:p>
        </w:tc>
      </w:tr>
    </w:tbl>
    <w:p>
      <w:pPr>
        <w:pStyle w:val="2"/>
        <w:rPr>
          <w:color w:val="auto"/>
          <w:highlight w:val="non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2.3地点：□建设地点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猎德、大坦沙、大观</w:t>
      </w:r>
      <w:r>
        <w:rPr>
          <w:rFonts w:hint="eastAsia" w:ascii="仿宋_GB2312" w:eastAsia="仿宋_GB2312"/>
          <w:color w:val="auto"/>
          <w:sz w:val="28"/>
          <w:szCs w:val="28"/>
          <w:highlight w:val="none"/>
          <w:u w:val="single"/>
        </w:rPr>
        <w:t xml:space="preserve">分公司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所提供报价设备均为制造商全新原装产品，并有相关合格证、出厂证明，技术参数要求详见第五章采购需求。</w:t>
      </w:r>
      <w:r>
        <w:rPr>
          <w:rFonts w:hint="eastAsia" w:ascii="仿宋_GB2312" w:eastAsia="仿宋_GB2312"/>
          <w:color w:val="auto"/>
          <w:sz w:val="28"/>
          <w:szCs w:val="28"/>
          <w:highlight w:val="none"/>
          <w:u w:val="single"/>
        </w:rPr>
        <w:t xml:space="preserve">按合同条款和有关技术标准规范进行验收。使用的各种材料必须符合设计和有关技术标准规范要求。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3.供应商资格要求（须提供复印件并加盖单位公章）</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（3）</w:t>
      </w:r>
      <w:r>
        <w:rPr>
          <w:rFonts w:hint="eastAsia" w:ascii="仿宋_GB2312" w:eastAsia="仿宋_GB2312"/>
          <w:color w:val="auto"/>
          <w:sz w:val="28"/>
          <w:szCs w:val="28"/>
          <w:highlight w:val="none"/>
          <w:u w:val="single"/>
        </w:rPr>
        <w:t xml:space="preserve"> 2019  </w:t>
      </w:r>
      <w:r>
        <w:rPr>
          <w:rFonts w:hint="eastAsia" w:ascii="仿宋_GB2312" w:eastAsia="仿宋_GB2312"/>
          <w:color w:val="auto"/>
          <w:sz w:val="28"/>
          <w:szCs w:val="28"/>
          <w:highlight w:val="none"/>
        </w:rPr>
        <w:t>年1月1日至今，供应商最少具有一项</w:t>
      </w:r>
      <w:r>
        <w:rPr>
          <w:rFonts w:hint="eastAsia" w:ascii="仿宋_GB2312" w:eastAsia="仿宋_GB2312"/>
          <w:color w:val="auto"/>
          <w:sz w:val="28"/>
          <w:szCs w:val="28"/>
          <w:highlight w:val="none"/>
          <w:u w:val="single"/>
        </w:rPr>
        <w:t xml:space="preserve"> 鼓风机进、出风口管道（DN≥400）专用配件（不包括通用的开关阀门）     </w:t>
      </w:r>
      <w:r>
        <w:rPr>
          <w:rFonts w:hint="eastAsia" w:ascii="仿宋_GB2312" w:eastAsia="仿宋_GB2312"/>
          <w:color w:val="auto"/>
          <w:sz w:val="28"/>
          <w:szCs w:val="28"/>
          <w:highlight w:val="none"/>
        </w:rPr>
        <w:t>项目的业绩。（提供合同复印件证明，包括但不限于项目名称、实施内容、合同盖章、签订日期，</w:t>
      </w:r>
      <w:r>
        <w:rPr>
          <w:rFonts w:hint="eastAsia" w:ascii="仿宋_GB2312" w:eastAsia="仿宋_GB2312"/>
          <w:color w:val="auto"/>
          <w:sz w:val="28"/>
          <w:szCs w:val="28"/>
          <w:highlight w:val="none"/>
          <w:lang w:val="en-US" w:eastAsia="zh-CN"/>
        </w:rPr>
        <w:t>发票证明、</w:t>
      </w:r>
      <w:r>
        <w:rPr>
          <w:rFonts w:hint="eastAsia" w:ascii="仿宋_GB2312" w:eastAsia="仿宋_GB2312"/>
          <w:color w:val="auto"/>
          <w:sz w:val="28"/>
          <w:szCs w:val="28"/>
          <w:highlight w:val="none"/>
        </w:rPr>
        <w:t>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□（4）项目负责人应当具备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
        <w:spacing w:line="600" w:lineRule="exact"/>
        <w:ind w:firstLine="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（5）其他要求：</w:t>
      </w:r>
      <w:r>
        <w:rPr>
          <w:rFonts w:hint="eastAsia" w:ascii="仿宋_GB2312" w:eastAsia="仿宋_GB2312"/>
          <w:color w:val="auto"/>
          <w:sz w:val="28"/>
          <w:szCs w:val="28"/>
          <w:highlight w:val="none"/>
          <w:u w:val="single"/>
        </w:rPr>
        <w:t>报价单位须出具承诺函，承诺中选后提供报价货物为制造商全新原装产品（加盖单位公章）。</w:t>
      </w:r>
      <w:r>
        <w:rPr>
          <w:rFonts w:hint="eastAsia" w:ascii="仿宋_GB2312" w:eastAsia="仿宋_GB2312"/>
          <w:color w:val="auto"/>
          <w:sz w:val="28"/>
          <w:szCs w:val="28"/>
          <w:highlight w:val="none"/>
          <w:u w:val="single"/>
          <w:lang w:val="en-US" w:eastAsia="zh-CN"/>
        </w:rPr>
        <w:t>报价</w:t>
      </w:r>
      <w:r>
        <w:rPr>
          <w:rFonts w:hint="eastAsia" w:ascii="仿宋_GB2312" w:eastAsia="仿宋_GB2312"/>
          <w:color w:val="auto"/>
          <w:sz w:val="28"/>
          <w:szCs w:val="28"/>
          <w:highlight w:val="none"/>
          <w:u w:val="single"/>
        </w:rPr>
        <w:t>人提交的响应文件需说明响应设备的品牌和型号，并附设备说明书或型式试验证书等资料</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项目二、三需附压力管道元件证书</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rPr>
        <w:t xml:space="preserve">用于核实响应设备是否满足技术要求，如无相关资料报价一律视为无效报价。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3.2供应商在响应文件提交截止日期止不得存在下列情形之一（须出具承诺函）：</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踏勘现场</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组织</w:t>
      </w:r>
    </w:p>
    <w:p>
      <w:pPr>
        <w:adjustRightInd w:val="0"/>
        <w:snapToGrid w:val="0"/>
        <w:spacing w:line="600" w:lineRule="exact"/>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项目根据实际情况须在提交响应文件前进行现场踏勘，未进行现场踏勘的，报价一律视为无效报价，提交报价响应文件时需附上现场踏勘委派书（需求单位及报价单位均需盖章，详见附件现场踏勘委派书）</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踏勘时间：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踏勘集中地点：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分前（北京时间）。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6.2递交及快递地址：广州市天河区临江大道501号</w:t>
      </w:r>
      <w:r>
        <w:rPr>
          <w:rFonts w:hint="eastAsia" w:ascii="仿宋_GB2312" w:eastAsia="仿宋_GB2312"/>
          <w:color w:val="auto"/>
          <w:sz w:val="28"/>
          <w:szCs w:val="28"/>
          <w:highlight w:val="none"/>
          <w:u w:val="single"/>
        </w:rPr>
        <w:t>广州市净水有限公司6楼招标部</w:t>
      </w:r>
      <w:r>
        <w:rPr>
          <w:rFonts w:hint="eastAsia" w:ascii="仿宋_GB2312" w:eastAsia="仿宋_GB2312"/>
          <w:color w:val="auto"/>
          <w:sz w:val="28"/>
          <w:szCs w:val="28"/>
          <w:highlight w:val="none"/>
        </w:rPr>
        <w:t>。</w:t>
      </w:r>
    </w:p>
    <w:p>
      <w:pPr>
        <w:pStyle w:val="2"/>
        <w:ind w:firstLine="560" w:firstLineChars="200"/>
        <w:rPr>
          <w:rFonts w:eastAsia="仿宋_GB2312"/>
          <w:color w:val="auto"/>
          <w:highlight w:val="none"/>
        </w:rPr>
      </w:pPr>
      <w:r>
        <w:rPr>
          <w:rFonts w:hint="eastAsia" w:ascii="仿宋_GB2312" w:eastAsia="仿宋_GB2312"/>
          <w:color w:val="auto"/>
          <w:sz w:val="28"/>
          <w:szCs w:val="28"/>
          <w:highlight w:val="none"/>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7.其他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本项目采购公告同时在广州市净水有限公司门户网站和阳光平台上发布。本公告的补充、修改，在</w:t>
      </w:r>
      <w:r>
        <w:rPr>
          <w:rFonts w:hint="eastAsia" w:ascii="仿宋_GB2312" w:hAnsi="Calibri" w:eastAsia="仿宋_GB2312" w:cs="Times New Roman"/>
          <w:color w:val="auto"/>
          <w:sz w:val="28"/>
          <w:szCs w:val="28"/>
          <w:highlight w:val="none"/>
        </w:rPr>
        <w:t>净水公司门户网站发布。本公告在各媒体发布的文本如有不同之处，以净水公司门户网站为准。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9.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156" w:beforeLines="50" w:after="156" w:afterLines="50" w:line="600" w:lineRule="exact"/>
        <w:jc w:val="left"/>
        <w:rPr>
          <w:rFonts w:hint="eastAsia" w:asciiTheme="minorEastAsia" w:hAnsiTheme="minorEastAsia"/>
          <w:b/>
          <w:color w:val="auto"/>
          <w:sz w:val="32"/>
          <w:szCs w:val="32"/>
          <w:highlight w:val="none"/>
        </w:rPr>
      </w:pPr>
    </w:p>
    <w:p>
      <w:pPr>
        <w:adjustRightInd w:val="0"/>
        <w:snapToGrid w:val="0"/>
        <w:spacing w:before="156" w:beforeLines="50" w:after="156" w:afterLines="50" w:line="600" w:lineRule="exact"/>
        <w:jc w:val="left"/>
        <w:rPr>
          <w:rFonts w:hint="eastAsia" w:asciiTheme="minorEastAsia" w:hAnsiTheme="minorEastAsia"/>
          <w:b/>
          <w:color w:val="auto"/>
          <w:sz w:val="32"/>
          <w:szCs w:val="32"/>
          <w:highlight w:val="none"/>
        </w:rPr>
      </w:pPr>
    </w:p>
    <w:p>
      <w:pPr>
        <w:adjustRightInd w:val="0"/>
        <w:snapToGrid w:val="0"/>
        <w:spacing w:before="156" w:beforeLines="50" w:after="156"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10.联系方式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40"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40"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40"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5040"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5040" w:type="dxa"/>
          </w:tcPr>
          <w:p>
            <w:pPr>
              <w:adjustRightInd w:val="0"/>
              <w:snapToGrid w:val="0"/>
              <w:spacing w:line="600" w:lineRule="exact"/>
              <w:jc w:val="left"/>
              <w:rPr>
                <w:rFonts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firstLine="0"/>
        <w:rPr>
          <w:rFonts w:ascii="仿宋_GB2312" w:eastAsia="仿宋_GB2312" w:hAnsiTheme="majorEastAsia"/>
          <w:color w:val="auto"/>
          <w:sz w:val="28"/>
          <w:szCs w:val="28"/>
          <w:highlight w:val="none"/>
        </w:rPr>
      </w:pPr>
    </w:p>
    <w:p>
      <w:pPr>
        <w:spacing w:line="480" w:lineRule="auto"/>
        <w:rPr>
          <w:rFonts w:ascii="仿宋" w:hAnsi="仿宋" w:eastAsia="仿宋" w:cs="仿宋"/>
          <w:b/>
          <w:color w:val="auto"/>
          <w:sz w:val="28"/>
          <w:szCs w:val="28"/>
          <w:highlight w:val="none"/>
        </w:rPr>
      </w:pPr>
    </w:p>
    <w:p>
      <w:pPr>
        <w:spacing w:line="480" w:lineRule="auto"/>
        <w:rPr>
          <w:rFonts w:ascii="仿宋" w:hAnsi="仿宋" w:eastAsia="仿宋" w:cs="仿宋"/>
          <w:b/>
          <w:color w:val="auto"/>
          <w:sz w:val="28"/>
          <w:szCs w:val="28"/>
          <w:highlight w:val="none"/>
        </w:rPr>
      </w:pPr>
    </w:p>
    <w:p>
      <w:pPr>
        <w:spacing w:line="480" w:lineRule="auto"/>
        <w:rPr>
          <w:rFonts w:ascii="仿宋" w:hAnsi="仿宋" w:eastAsia="仿宋" w:cs="仿宋"/>
          <w:b/>
          <w:color w:val="auto"/>
          <w:sz w:val="28"/>
          <w:szCs w:val="28"/>
          <w:highlight w:val="none"/>
        </w:rPr>
      </w:pPr>
    </w:p>
    <w:p>
      <w:pPr>
        <w:spacing w:line="480" w:lineRule="auto"/>
        <w:rPr>
          <w:rFonts w:ascii="仿宋" w:hAnsi="仿宋" w:eastAsia="仿宋" w:cs="仿宋"/>
          <w:b/>
          <w:color w:val="auto"/>
          <w:sz w:val="28"/>
          <w:szCs w:val="28"/>
          <w:highlight w:val="none"/>
        </w:rPr>
      </w:pPr>
    </w:p>
    <w:p>
      <w:pPr>
        <w:spacing w:line="480" w:lineRule="auto"/>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4"/>
        <w:rPr>
          <w:color w:val="auto"/>
          <w:highlight w:val="none"/>
        </w:rPr>
      </w:pPr>
      <w:bookmarkStart w:id="26" w:name="_Toc10891"/>
    </w:p>
    <w:p>
      <w:pPr>
        <w:pStyle w:val="4"/>
        <w:rPr>
          <w:color w:val="auto"/>
          <w:highlight w:val="none"/>
        </w:rPr>
      </w:pPr>
      <w:bookmarkStart w:id="27" w:name="_Toc25603"/>
      <w:bookmarkStart w:id="28" w:name="_Toc2324"/>
      <w:bookmarkStart w:id="29" w:name="_Toc16705"/>
      <w:bookmarkStart w:id="30" w:name="_Toc19295"/>
      <w:bookmarkStart w:id="31" w:name="_Toc32588"/>
      <w:bookmarkStart w:id="32" w:name="_Toc9448"/>
      <w:bookmarkStart w:id="33" w:name="_Toc23749"/>
      <w:bookmarkStart w:id="34" w:name="_Toc2331"/>
      <w:bookmarkStart w:id="35" w:name="_Toc7340"/>
      <w:bookmarkStart w:id="36" w:name="_Toc16557"/>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5715" t="11430" r="6985" b="7620"/>
                <wp:wrapNone/>
                <wp:docPr id="28" name="AutoShape 18"/>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8"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zYCxHXAAAACwEAAA8AAAAAAAAAAQAgAAAA&#10;IgAAAGRycy9kb3ducmV2LnhtbFBLAQIUABQAAAAIAIdO4kA2IdYy0wEAALMDAAAOAAAAAAAAAAEA&#10;IAAAACYBAABkcnMvZTJvRG9jLnhtbFBLBQYAAAAABgAGAFkBAABr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13335" t="12065" r="8890" b="6985"/>
                <wp:wrapNone/>
                <wp:docPr id="27" name="AutoShape 19"/>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Cti3rWAAAACQEAAA8AAAAAAAAAAQAgAAAA&#10;IgAAAGRycy9kb3ducmV2LnhtbFBLAQIUABQAAAAIAIdO4kCJAJA+1AEAALMDAAAOAAAAAAAAAAEA&#10;IAAAACUBAABkcnMvZTJvRG9jLnhtbFBLBQYAAAAABgAGAFkBAABrBQAAAAA=&#10;">
                <v:fill on="f" focussize="0,0"/>
                <v:stroke color="#000000" joinstyle="round"/>
                <v:imagedata o:title=""/>
                <o:lock v:ext="edit" aspectratio="f"/>
              </v:shape>
            </w:pict>
          </mc:Fallback>
        </mc:AlternateContent>
      </w:r>
      <w:r>
        <w:rPr>
          <w:rFonts w:hint="eastAsia"/>
          <w:color w:val="auto"/>
          <w:highlight w:val="none"/>
        </w:rPr>
        <w:t>第二章</w:t>
      </w:r>
      <w:bookmarkEnd w:id="26"/>
      <w:bookmarkEnd w:id="27"/>
      <w:bookmarkEnd w:id="28"/>
      <w:bookmarkEnd w:id="29"/>
      <w:bookmarkEnd w:id="30"/>
      <w:bookmarkEnd w:id="31"/>
      <w:bookmarkEnd w:id="32"/>
      <w:bookmarkEnd w:id="33"/>
      <w:bookmarkEnd w:id="34"/>
      <w:bookmarkEnd w:id="35"/>
      <w:bookmarkEnd w:id="36"/>
    </w:p>
    <w:p>
      <w:pPr>
        <w:pStyle w:val="5"/>
        <w:rPr>
          <w:color w:val="auto"/>
          <w:highlight w:val="none"/>
        </w:rPr>
      </w:pPr>
    </w:p>
    <w:p>
      <w:pPr>
        <w:pStyle w:val="5"/>
        <w:rPr>
          <w:color w:val="auto"/>
          <w:highlight w:val="none"/>
        </w:rPr>
      </w:pPr>
      <w:bookmarkStart w:id="37" w:name="_Toc3416"/>
      <w:bookmarkStart w:id="38" w:name="_Toc2339"/>
      <w:r>
        <w:rPr>
          <w:rFonts w:hint="eastAsia"/>
          <w:color w:val="auto"/>
          <w:highlight w:val="none"/>
        </w:rPr>
        <w:t>供应商须知</w:t>
      </w:r>
      <w:bookmarkEnd w:id="37"/>
      <w:bookmarkEnd w:id="38"/>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ind w:firstLine="0"/>
        <w:rPr>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1"/>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1"/>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1"/>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1"/>
        <w:rPr>
          <w:color w:val="auto"/>
          <w:highlight w:val="none"/>
        </w:rPr>
      </w:pPr>
    </w:p>
    <w:p>
      <w:pPr>
        <w:pStyle w:val="41"/>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rPr>
        <w:t xml:space="preserve">      项目</w:t>
      </w:r>
      <w:r>
        <w:rPr>
          <w:rFonts w:hint="eastAsia" w:ascii="仿宋_GB2312" w:eastAsia="仿宋_GB2312" w:hAnsiTheme="majorEastAsia"/>
          <w:color w:val="auto"/>
          <w:sz w:val="28"/>
          <w:szCs w:val="28"/>
          <w:highlight w:val="none"/>
        </w:rPr>
        <w:t>的成交供应商。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rPr>
        <w:t>30</w:t>
      </w:r>
      <w:r>
        <w:rPr>
          <w:rFonts w:hint="eastAsia" w:ascii="仿宋_GB2312" w:eastAsia="仿宋_GB2312" w:hAnsiTheme="majorEastAsia"/>
          <w:color w:val="auto"/>
          <w:sz w:val="28"/>
          <w:szCs w:val="28"/>
          <w:highlight w:val="none"/>
        </w:rPr>
        <w:t>日内与我方签订采购合同，逾期视为自动放弃成交资格。</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asciiTheme="minorHAnsi" w:hAnsiTheme="minorHAnsi" w:cstheme="minorBidi"/>
          <w:color w:val="auto"/>
          <w:kern w:val="44"/>
          <w:sz w:val="44"/>
          <w:szCs w:val="44"/>
          <w:highlight w:val="none"/>
        </w:rPr>
      </w:pPr>
      <w:bookmarkStart w:id="39" w:name="_Toc21455"/>
      <w:bookmarkStart w:id="40" w:name="_Toc2867"/>
      <w:r>
        <w:rPr>
          <w:rFonts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12065" t="8255" r="10160" b="10795"/>
                <wp:wrapNone/>
                <wp:docPr id="26" name="AutoShape 5"/>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JYRTt1gAAAAkBAAAPAAAAAAAAAAEAIAAAACIA&#10;AABkcnMvZG93bnJldi54bWxQSwECFAAUAAAACACHTuJAnhyP2NIBAACyAwAADgAAAAAAAAABACAA&#10;AAAlAQAAZHJzL2Uyb0RvYy54bWxQSwUGAAAAAAYABgBZAQAAaQUAAAAA&#10;">
                <v:fill on="f" focussize="0,0"/>
                <v:stroke color="#000000" joinstyle="round"/>
                <v:imagedata o:title=""/>
                <o:lock v:ext="edit" aspectratio="f"/>
              </v:shape>
            </w:pict>
          </mc:Fallback>
        </mc:AlternateContent>
      </w:r>
      <w:r>
        <w:rPr>
          <w:rFonts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9525" t="6350" r="12700" b="12700"/>
                <wp:wrapNone/>
                <wp:docPr id="25" name="AutoShape 3"/>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8C0PytYAAAAJAQAADwAAAAAAAAABACAAAAAiAAAA&#10;ZHJzL2Rvd25yZXYueG1sUEsBAhQAFAAAAAgAh07iQLDcXAvQAQAAsgMAAA4AAAAAAAAAAQAgAAAA&#10;JQEAAGRycy9lMm9Eb2MueG1sUEsFBgAAAAAGAAYAWQEAAGc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第三章</w:t>
      </w:r>
      <w:bookmarkEnd w:id="39"/>
      <w:bookmarkEnd w:id="40"/>
    </w:p>
    <w:p>
      <w:pPr>
        <w:pStyle w:val="41"/>
        <w:rPr>
          <w:color w:val="auto"/>
          <w:highlight w:val="none"/>
        </w:rPr>
      </w:pPr>
    </w:p>
    <w:p>
      <w:pPr>
        <w:pStyle w:val="5"/>
        <w:rPr>
          <w:color w:val="auto"/>
          <w:highlight w:val="none"/>
        </w:rPr>
      </w:pPr>
      <w:bookmarkStart w:id="41" w:name="_Toc87616371"/>
      <w:bookmarkStart w:id="42" w:name="_Toc7303"/>
      <w:bookmarkStart w:id="43" w:name="_Toc7040"/>
      <w:bookmarkStart w:id="44" w:name="_Toc88209934"/>
      <w:r>
        <w:rPr>
          <w:rFonts w:hint="eastAsia"/>
          <w:color w:val="auto"/>
          <w:highlight w:val="none"/>
        </w:rPr>
        <w:t>采购方法</w:t>
      </w:r>
      <w:bookmarkEnd w:id="41"/>
      <w:bookmarkEnd w:id="42"/>
      <w:bookmarkEnd w:id="43"/>
      <w:bookmarkEnd w:id="44"/>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color w:val="auto"/>
          <w:highlight w:val="none"/>
        </w:rPr>
      </w:pPr>
      <w:bookmarkStart w:id="45" w:name="_Toc24895"/>
      <w:bookmarkStart w:id="46" w:name="_Toc3789"/>
      <w:r>
        <w:rPr>
          <w:rFonts w:hint="eastAsia"/>
          <w:color w:val="auto"/>
          <w:highlight w:val="none"/>
        </w:rPr>
        <w:t>询比采购</w:t>
      </w:r>
      <w:bookmarkEnd w:id="45"/>
      <w:bookmarkEnd w:id="46"/>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47" w:name="_Toc10930"/>
      <w:bookmarkStart w:id="48" w:name="_Toc4952"/>
      <w:bookmarkStart w:id="49" w:name="_Toc19050"/>
      <w:bookmarkStart w:id="50" w:name="_Toc7437"/>
      <w:bookmarkStart w:id="51" w:name="_Toc14552"/>
      <w:bookmarkStart w:id="52" w:name="_Toc20594"/>
      <w:bookmarkStart w:id="53" w:name="_Toc3156"/>
      <w:bookmarkStart w:id="54" w:name="_Toc19759"/>
      <w:bookmarkStart w:id="55" w:name="_Toc7118"/>
      <w:bookmarkStart w:id="56" w:name="_Toc23581"/>
      <w:bookmarkStart w:id="57" w:name="_Toc1487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9525" t="13970" r="12700" b="5080"/>
                <wp:wrapNone/>
                <wp:docPr id="24" name="AutoShape 7"/>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VmwvrXAAAACwEAAA8AAAAAAAAAAQAgAAAA&#10;IgAAAGRycy9kb3ducmV2LnhtbFBLAQIUABQAAAAIAIdO4kCJ5Kt+0wEAALIDAAAOAAAAAAAAAAEA&#10;IAAAACYBAABkcnMvZTJvRG9jLnhtbFBLBQYAAAAABgAGAFkBAABr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9525" t="12065" r="12700" b="6985"/>
                <wp:wrapNone/>
                <wp:docPr id="23" name="AutoShape 6"/>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8OuBDXAAAACQEAAA8AAAAAAAAAAQAgAAAA&#10;IgAAAGRycy9kb3ducmV2LnhtbFBLAQIUABQAAAAIAIdO4kD5bVvK0wEAALIDAAAOAAAAAAAAAAEA&#10;IAAAACYBAABkcnMvZTJvRG9jLnhtbFBLBQYAAAAABgAGAFkBAABrBQAAAAA=&#10;">
                <v:fill on="f" focussize="0,0"/>
                <v:stroke color="#000000" joinstyle="round"/>
                <v:imagedata o:title=""/>
                <o:lock v:ext="edit" aspectratio="f"/>
              </v:shape>
            </w:pict>
          </mc:Fallback>
        </mc:AlternateContent>
      </w:r>
      <w:r>
        <w:rPr>
          <w:rFonts w:hint="eastAsia"/>
          <w:color w:val="auto"/>
          <w:highlight w:val="none"/>
        </w:rPr>
        <w:t>第四章</w:t>
      </w:r>
      <w:bookmarkEnd w:id="47"/>
      <w:bookmarkEnd w:id="48"/>
      <w:bookmarkEnd w:id="49"/>
      <w:bookmarkEnd w:id="50"/>
      <w:bookmarkEnd w:id="51"/>
      <w:bookmarkEnd w:id="52"/>
      <w:bookmarkEnd w:id="53"/>
      <w:bookmarkEnd w:id="54"/>
      <w:bookmarkEnd w:id="55"/>
      <w:bookmarkEnd w:id="56"/>
      <w:bookmarkEnd w:id="57"/>
    </w:p>
    <w:p>
      <w:pPr>
        <w:pStyle w:val="41"/>
        <w:rPr>
          <w:color w:val="auto"/>
          <w:highlight w:val="none"/>
        </w:rPr>
      </w:pPr>
    </w:p>
    <w:p>
      <w:pPr>
        <w:pStyle w:val="4"/>
        <w:rPr>
          <w:color w:val="auto"/>
          <w:highlight w:val="none"/>
        </w:rPr>
      </w:pPr>
      <w:bookmarkStart w:id="58" w:name="_Toc87616378"/>
      <w:bookmarkStart w:id="59" w:name="_Toc21840"/>
      <w:bookmarkStart w:id="60" w:name="_Toc88209941"/>
      <w:bookmarkStart w:id="61" w:name="_Toc7831"/>
      <w:bookmarkStart w:id="62" w:name="_Toc29484"/>
      <w:bookmarkStart w:id="63" w:name="_Toc22212"/>
      <w:bookmarkStart w:id="64" w:name="_Toc29345"/>
      <w:bookmarkStart w:id="65" w:name="_Toc13898"/>
      <w:bookmarkStart w:id="66" w:name="_Toc32607"/>
      <w:bookmarkStart w:id="67" w:name="_Toc30530"/>
      <w:bookmarkStart w:id="68" w:name="_Toc21079"/>
      <w:bookmarkStart w:id="69" w:name="_Toc6308"/>
      <w:bookmarkStart w:id="70" w:name="_Toc12177"/>
      <w:r>
        <w:rPr>
          <w:rFonts w:hint="eastAsia"/>
          <w:color w:val="auto"/>
          <w:highlight w:val="none"/>
        </w:rPr>
        <w:t>评审办法</w:t>
      </w:r>
      <w:bookmarkEnd w:id="58"/>
      <w:bookmarkEnd w:id="59"/>
      <w:bookmarkEnd w:id="60"/>
      <w:bookmarkEnd w:id="61"/>
      <w:bookmarkEnd w:id="62"/>
      <w:bookmarkEnd w:id="63"/>
      <w:bookmarkEnd w:id="64"/>
      <w:bookmarkEnd w:id="65"/>
      <w:bookmarkEnd w:id="66"/>
      <w:bookmarkEnd w:id="67"/>
      <w:bookmarkEnd w:id="68"/>
      <w:bookmarkEnd w:id="69"/>
      <w:bookmarkEnd w:id="70"/>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71" w:name="_Toc23033"/>
      <w:bookmarkStart w:id="72" w:name="_Toc26826"/>
      <w:r>
        <w:rPr>
          <w:rFonts w:hint="eastAsia"/>
          <w:color w:val="auto"/>
          <w:highlight w:val="none"/>
        </w:rPr>
        <w:t>经评审的最低价法</w:t>
      </w:r>
      <w:bookmarkEnd w:id="71"/>
      <w:bookmarkEnd w:id="72"/>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（1）运输费用及保险费。（如有）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rFonts w:hint="eastAsia" w:ascii="仿宋_GB2312" w:eastAsia="仿宋_GB2312" w:hAnsiTheme="minorEastAsia"/>
          <w:color w:val="auto"/>
          <w:szCs w:val="21"/>
          <w:highlight w:val="none"/>
        </w:rPr>
      </w:pPr>
    </w:p>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rPr>
        <w:t>或否决其响应</w:t>
      </w:r>
      <w:r>
        <w:rPr>
          <w:rFonts w:hint="eastAsia" w:ascii="仿宋_GB2312" w:eastAsia="仿宋_GB2312" w:hAnsiTheme="minorEastAsia"/>
          <w:color w:val="auto"/>
          <w:sz w:val="28"/>
          <w:szCs w:val="28"/>
          <w:highlight w:val="none"/>
        </w:rPr>
        <w:t>。</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rPr>
        <w:t>或否决其响应</w:t>
      </w:r>
      <w:r>
        <w:rPr>
          <w:rFonts w:hint="eastAsia" w:ascii="仿宋_GB2312" w:eastAsia="仿宋_GB2312" w:hAnsiTheme="minorEastAsia"/>
          <w:color w:val="auto"/>
          <w:sz w:val="28"/>
          <w:szCs w:val="28"/>
          <w:highlight w:val="none"/>
        </w:rPr>
        <w:t>。</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color w:val="auto"/>
          <w:highlight w:val="none"/>
        </w:rPr>
      </w:pPr>
      <w:bookmarkStart w:id="73" w:name="_Toc88209947"/>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5715" t="10795" r="6985" b="8255"/>
                <wp:wrapNone/>
                <wp:docPr id="14" name="AutoShape 24"/>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M2AsR1wAAAAsBAAAPAAAAAAAAAAEAIAAA&#10;ACIAAABkcnMvZG93bnJldi54bWxQSwECFAAUAAAACACHTuJAxsV2R9QBAACzAwAADgAAAAAAAAAB&#10;ACAAAAAmAQAAZHJzL2Uyb0RvYy54bWxQSwUGAAAAAAYABgBZAQAAb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13335" t="11430" r="8890" b="7620"/>
                <wp:wrapNone/>
                <wp:docPr id="12" name="AutoShape 25"/>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25"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K2LetYAAAAJAQAADwAAAAAAAAABACAAAAAiAAAA&#10;ZHJzL2Rvd25yZXYueG1sUEsBAhQAFAAAAAgAh07iQCN9zOvQAQAAswMAAA4AAAAAAAAAAQAgAAAA&#10;JQEAAGRycy9lMm9Eb2MueG1sUEsFBgAAAAAGAAYAWQEAAGcFAAAAAA==&#10;">
                <v:fill on="f" focussize="0,0"/>
                <v:stroke color="#000000" joinstyle="round"/>
                <v:imagedata o:title=""/>
                <o:lock v:ext="edit" aspectratio="f"/>
              </v:shape>
            </w:pict>
          </mc:Fallback>
        </mc:AlternateContent>
      </w:r>
      <w:r>
        <w:rPr>
          <w:rFonts w:hint="eastAsia"/>
          <w:color w:val="auto"/>
          <w:highlight w:val="none"/>
        </w:rPr>
        <w:t>第五章</w:t>
      </w:r>
    </w:p>
    <w:p>
      <w:pPr>
        <w:pStyle w:val="5"/>
        <w:rPr>
          <w:color w:val="auto"/>
          <w:highlight w:val="none"/>
        </w:rPr>
      </w:pPr>
    </w:p>
    <w:p>
      <w:pPr>
        <w:pStyle w:val="5"/>
        <w:rPr>
          <w:color w:val="auto"/>
          <w:szCs w:val="44"/>
          <w:highlight w:val="none"/>
        </w:rPr>
      </w:pPr>
      <w:r>
        <w:rPr>
          <w:rFonts w:hint="eastAsia"/>
          <w:color w:val="auto"/>
          <w:szCs w:val="44"/>
          <w:highlight w:val="none"/>
        </w:rPr>
        <w:t>采购需求</w:t>
      </w: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13"/>
        <w:numPr>
          <w:ilvl w:val="0"/>
          <w:numId w:val="0"/>
        </w:numPr>
        <w:adjustRightInd w:val="0"/>
        <w:snapToGrid w:val="0"/>
        <w:spacing w:line="360" w:lineRule="auto"/>
        <w:rPr>
          <w:rFonts w:hint="eastAsia" w:ascii="仿宋" w:hAnsi="仿宋" w:eastAsia="仿宋" w:cs="仿宋_GB2312"/>
          <w:b/>
          <w:bCs/>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lang w:val="en-US" w:eastAsia="zh-CN"/>
        </w:rPr>
        <w:t>项目一：</w:t>
      </w:r>
    </w:p>
    <w:p>
      <w:pPr>
        <w:pStyle w:val="38"/>
        <w:autoSpaceDE w:val="0"/>
        <w:autoSpaceDN w:val="0"/>
        <w:ind w:firstLine="565" w:firstLineChars="20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猎德分公司一期鼓风机房现有4台鼓风机，于1999投产，品牌型号为德国KKK公司SF0G14.5鼓风机，本次计划采购4台出风口止回阀和4台电动蝶阀。具体货物及要求：</w:t>
      </w:r>
    </w:p>
    <w:tbl>
      <w:tblPr>
        <w:tblStyle w:val="24"/>
        <w:tblW w:w="52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506"/>
        <w:gridCol w:w="4221"/>
        <w:gridCol w:w="905"/>
        <w:gridCol w:w="903"/>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9"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序号</w:t>
            </w:r>
          </w:p>
        </w:tc>
        <w:tc>
          <w:tcPr>
            <w:tcW w:w="787"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备件名称</w:t>
            </w:r>
          </w:p>
        </w:tc>
        <w:tc>
          <w:tcPr>
            <w:tcW w:w="2206"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规格型号</w:t>
            </w:r>
          </w:p>
        </w:tc>
        <w:tc>
          <w:tcPr>
            <w:tcW w:w="473"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w:t>
            </w:r>
          </w:p>
        </w:tc>
        <w:tc>
          <w:tcPr>
            <w:tcW w:w="472"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数量</w:t>
            </w:r>
          </w:p>
        </w:tc>
        <w:tc>
          <w:tcPr>
            <w:tcW w:w="633"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29"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787"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止回阀</w:t>
            </w:r>
          </w:p>
        </w:tc>
        <w:tc>
          <w:tcPr>
            <w:tcW w:w="2206" w:type="pct"/>
          </w:tcPr>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 形式：对夹双瓣，水平安装；</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 规格：DN500，PN10，美标法兰</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 介质 ：空气</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 进气压力：1.013 bar</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 出气压力：1.628bar</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 工作温度： -10～+90</w:t>
            </w:r>
            <w:r>
              <w:rPr>
                <w:rFonts w:hint="eastAsia" w:ascii="仿宋_GB2312" w:hAnsi="仿宋_GB2312" w:eastAsia="仿宋_GB2312" w:cs="仿宋_GB2312"/>
                <w:color w:val="auto"/>
                <w:sz w:val="28"/>
                <w:szCs w:val="28"/>
                <w:highlight w:val="none"/>
              </w:rPr>
              <w:sym w:font="Symbol" w:char="F0B0"/>
            </w:r>
            <w:r>
              <w:rPr>
                <w:rFonts w:hint="eastAsia" w:ascii="仿宋_GB2312" w:hAnsi="仿宋_GB2312" w:eastAsia="仿宋_GB2312" w:cs="仿宋_GB2312"/>
                <w:color w:val="auto"/>
                <w:sz w:val="28"/>
                <w:szCs w:val="28"/>
                <w:highlight w:val="none"/>
              </w:rPr>
              <w:t>C</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 进口空气相对湿度：10～80%</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 室内环境温度：5～45℃</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 室内相对湿度：10～80%</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10. 阀体标准：EN-GJS-400-15</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 阀板标准：EN-GJS-400-15</w:t>
            </w:r>
          </w:p>
        </w:tc>
        <w:tc>
          <w:tcPr>
            <w:tcW w:w="473"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台</w:t>
            </w:r>
          </w:p>
        </w:tc>
        <w:tc>
          <w:tcPr>
            <w:tcW w:w="472"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p>
        </w:tc>
        <w:tc>
          <w:tcPr>
            <w:tcW w:w="633" w:type="pct"/>
          </w:tcPr>
          <w:p>
            <w:pPr>
              <w:spacing w:line="360" w:lineRule="auto"/>
              <w:ind w:right="-57" w:rightChars="-27"/>
              <w:jc w:val="center"/>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29"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p>
        </w:tc>
        <w:tc>
          <w:tcPr>
            <w:tcW w:w="787" w:type="pct"/>
          </w:tcPr>
          <w:p>
            <w:pPr>
              <w:spacing w:line="360" w:lineRule="auto"/>
              <w:ind w:right="-57" w:rightChars="-27"/>
              <w:jc w:val="center"/>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电动蝶阀</w:t>
            </w:r>
          </w:p>
        </w:tc>
        <w:tc>
          <w:tcPr>
            <w:tcW w:w="2206" w:type="pct"/>
          </w:tcPr>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 形式：对夹双瓣，水平安装；</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 规格：DN500，PN10，美标法兰</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 工作温度： -10～+90</w:t>
            </w:r>
            <w:r>
              <w:rPr>
                <w:rFonts w:hint="eastAsia" w:ascii="仿宋_GB2312" w:hAnsi="仿宋_GB2312" w:eastAsia="仿宋_GB2312" w:cs="仿宋_GB2312"/>
                <w:color w:val="auto"/>
                <w:sz w:val="28"/>
                <w:szCs w:val="28"/>
                <w:highlight w:val="none"/>
              </w:rPr>
              <w:sym w:font="Symbol" w:char="F0B0"/>
            </w:r>
            <w:r>
              <w:rPr>
                <w:rFonts w:hint="eastAsia" w:ascii="仿宋_GB2312" w:hAnsi="仿宋_GB2312" w:eastAsia="仿宋_GB2312" w:cs="仿宋_GB2312"/>
                <w:color w:val="auto"/>
                <w:sz w:val="28"/>
                <w:szCs w:val="28"/>
                <w:highlight w:val="none"/>
              </w:rPr>
              <w:t>C</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 供电电源：380V/3Ph/50Hz</w:t>
            </w:r>
          </w:p>
        </w:tc>
        <w:tc>
          <w:tcPr>
            <w:tcW w:w="473"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台</w:t>
            </w:r>
          </w:p>
        </w:tc>
        <w:tc>
          <w:tcPr>
            <w:tcW w:w="472"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p>
        </w:tc>
        <w:tc>
          <w:tcPr>
            <w:tcW w:w="633" w:type="pct"/>
          </w:tcPr>
          <w:p>
            <w:pPr>
              <w:spacing w:line="360" w:lineRule="auto"/>
              <w:ind w:right="-57" w:rightChars="-27"/>
              <w:jc w:val="center"/>
              <w:rPr>
                <w:rFonts w:hint="eastAsia" w:ascii="仿宋_GB2312" w:hAnsi="仿宋_GB2312" w:eastAsia="仿宋_GB2312" w:cs="仿宋_GB2312"/>
                <w:color w:val="auto"/>
                <w:sz w:val="28"/>
                <w:szCs w:val="28"/>
                <w:highlight w:val="none"/>
              </w:rPr>
            </w:pPr>
          </w:p>
        </w:tc>
      </w:tr>
    </w:tbl>
    <w:p>
      <w:pPr>
        <w:pStyle w:val="7"/>
        <w:rPr>
          <w:rFonts w:hint="eastAsia" w:ascii="仿宋_GB2312" w:hAnsi="仿宋_GB2312" w:eastAsia="仿宋_GB2312" w:cs="仿宋_GB2312"/>
          <w:color w:val="auto"/>
          <w:kern w:val="2"/>
          <w:sz w:val="28"/>
          <w:szCs w:val="28"/>
          <w:highlight w:val="none"/>
        </w:rPr>
      </w:pPr>
    </w:p>
    <w:p>
      <w:pPr>
        <w:pStyle w:val="38"/>
        <w:autoSpaceDE w:val="0"/>
        <w:autoSpaceDN w:val="0"/>
        <w:ind w:firstLine="565" w:firstLineChars="20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报价单位提供的货物必须是全新的货物，符合有关机构发布的最新行业标准或国家标准，满足原设计标准、原一期德国KKK公司SF0G14.5鼓风机的使用要求，安装和性能必须适配现有的管道和设备要求，不接受任何改造。</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（2）所提供的止回阀必须是不低于德国KKK、英国豪顿Howden、丹麦HV-TURBO等大型鼓风机品牌原装进口产品，必须为成品止回阀，不接受订制产品。</w:t>
      </w:r>
    </w:p>
    <w:p>
      <w:pPr>
        <w:pStyle w:val="2"/>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电动蝶阀的电动执行器必须是不低于西门子Siemens、诺德Nord、罗托克Rotork、欧玛Auma等档次的进口或合资品牌产品，电动执行器手动/电动模式可一键切换，切换后仍保持机械自锁。阀体密封橡胶需为耐高温EPDM(三元乙丙橡胶）。</w:t>
      </w: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13"/>
        <w:numPr>
          <w:ilvl w:val="0"/>
          <w:numId w:val="0"/>
        </w:numPr>
        <w:adjustRightInd w:val="0"/>
        <w:snapToGrid w:val="0"/>
        <w:spacing w:line="360" w:lineRule="auto"/>
        <w:rPr>
          <w:rFonts w:hint="eastAsia" w:ascii="仿宋_GB2312" w:hAnsi="仿宋_GB2312" w:eastAsia="仿宋_GB2312" w:cs="仿宋_GB2312"/>
          <w:b/>
          <w:bCs/>
          <w:color w:val="auto"/>
          <w:kern w:val="0"/>
          <w:sz w:val="28"/>
          <w:szCs w:val="28"/>
          <w:highlight w:val="none"/>
          <w:lang w:val="en-US" w:eastAsia="zh-CN"/>
        </w:rPr>
      </w:pPr>
      <w:r>
        <w:rPr>
          <w:rFonts w:hint="eastAsia" w:ascii="仿宋_GB2312" w:hAnsi="仿宋_GB2312" w:eastAsia="仿宋_GB2312" w:cs="仿宋_GB2312"/>
          <w:b/>
          <w:bCs/>
          <w:color w:val="auto"/>
          <w:kern w:val="0"/>
          <w:sz w:val="28"/>
          <w:szCs w:val="28"/>
          <w:highlight w:val="none"/>
          <w:lang w:val="en-US" w:eastAsia="zh-CN"/>
        </w:rPr>
        <w:t>项目二：</w:t>
      </w:r>
    </w:p>
    <w:tbl>
      <w:tblPr>
        <w:tblStyle w:val="24"/>
        <w:tblpPr w:leftFromText="180" w:rightFromText="180" w:vertAnchor="text" w:horzAnchor="page" w:tblpX="1585" w:tblpY="854"/>
        <w:tblOverlap w:val="never"/>
        <w:tblW w:w="86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设备类型</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电动刀型闸阀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数量</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公称通径</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DN100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公称压力</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额定电流</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2.4A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适用温度</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0℃—120℃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适用介质</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清水、油品、污水、水泥浆、废油、气体等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输出扭矩</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200N.m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输出转速</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18r/min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电机功率</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0.55Kw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防护等级</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IP67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连接尺寸</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连接盘中心距Φ160（4-M12）</w:t>
            </w:r>
          </w:p>
        </w:tc>
      </w:tr>
    </w:tbl>
    <w:p>
      <w:pPr>
        <w:pStyle w:val="14"/>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一、性能参数表</w:t>
      </w:r>
    </w:p>
    <w:p>
      <w:pPr>
        <w:pStyle w:val="14"/>
        <w:rPr>
          <w:rFonts w:hint="eastAsia" w:ascii="仿宋_GB2312" w:hAnsi="仿宋_GB2312" w:eastAsia="仿宋_GB2312" w:cs="仿宋_GB2312"/>
          <w:color w:val="auto"/>
          <w:sz w:val="28"/>
          <w:szCs w:val="28"/>
          <w:highlight w:val="none"/>
        </w:rPr>
      </w:pP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二、安装尺寸</w:t>
      </w:r>
    </w:p>
    <w:p>
      <w:pPr>
        <w:spacing w:line="4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drawing>
          <wp:anchor distT="0" distB="0" distL="114300" distR="114300" simplePos="0" relativeHeight="251676672" behindDoc="1" locked="0" layoutInCell="1" allowOverlap="1">
            <wp:simplePos x="0" y="0"/>
            <wp:positionH relativeFrom="column">
              <wp:posOffset>2608580</wp:posOffset>
            </wp:positionH>
            <wp:positionV relativeFrom="paragraph">
              <wp:posOffset>170815</wp:posOffset>
            </wp:positionV>
            <wp:extent cx="2139315" cy="2400935"/>
            <wp:effectExtent l="0" t="0" r="13335" b="18415"/>
            <wp:wrapNone/>
            <wp:docPr id="21" name="图片 2" descr="电动刀闸阀外形尺寸图片.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电动刀闸阀外形尺寸图片.jfif"/>
                    <pic:cNvPicPr>
                      <a:picLocks noChangeAspect="1"/>
                    </pic:cNvPicPr>
                  </pic:nvPicPr>
                  <pic:blipFill>
                    <a:blip r:embed="rId9" cstate="print"/>
                    <a:stretch>
                      <a:fillRect/>
                    </a:stretch>
                  </pic:blipFill>
                  <pic:spPr>
                    <a:xfrm>
                      <a:off x="0" y="0"/>
                      <a:ext cx="2139315" cy="2400935"/>
                    </a:xfrm>
                    <a:prstGeom prst="rect">
                      <a:avLst/>
                    </a:prstGeom>
                  </pic:spPr>
                </pic:pic>
              </a:graphicData>
            </a:graphic>
          </wp:anchor>
        </w:drawing>
      </w:r>
      <w:r>
        <w:rPr>
          <w:rFonts w:hint="eastAsia" w:ascii="仿宋_GB2312" w:hAnsi="仿宋_GB2312" w:eastAsia="仿宋_GB2312" w:cs="仿宋_GB2312"/>
          <w:color w:val="auto"/>
          <w:sz w:val="28"/>
          <w:szCs w:val="28"/>
          <w:highlight w:val="none"/>
        </w:rPr>
        <w:drawing>
          <wp:anchor distT="0" distB="0" distL="114300" distR="114300" simplePos="0" relativeHeight="251677696" behindDoc="1" locked="0" layoutInCell="1" allowOverlap="1">
            <wp:simplePos x="0" y="0"/>
            <wp:positionH relativeFrom="column">
              <wp:posOffset>333375</wp:posOffset>
            </wp:positionH>
            <wp:positionV relativeFrom="paragraph">
              <wp:posOffset>170815</wp:posOffset>
            </wp:positionV>
            <wp:extent cx="1158875" cy="2383790"/>
            <wp:effectExtent l="0" t="0" r="3175" b="16510"/>
            <wp:wrapNone/>
            <wp:docPr id="22" name="图片 4" descr="电动刀闸阀.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电动刀闸阀.jfif"/>
                    <pic:cNvPicPr>
                      <a:picLocks noChangeAspect="1"/>
                    </pic:cNvPicPr>
                  </pic:nvPicPr>
                  <pic:blipFill>
                    <a:blip r:embed="rId10" cstate="print"/>
                    <a:srcRect l="32146" r="35167" b="2872"/>
                    <a:stretch>
                      <a:fillRect/>
                    </a:stretch>
                  </pic:blipFill>
                  <pic:spPr>
                    <a:xfrm>
                      <a:off x="0" y="0"/>
                      <a:ext cx="1158875" cy="2383790"/>
                    </a:xfrm>
                    <a:prstGeom prst="rect">
                      <a:avLst/>
                    </a:prstGeom>
                  </pic:spPr>
                </pic:pic>
              </a:graphicData>
            </a:graphic>
          </wp:anchor>
        </w:drawing>
      </w: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pStyle w:val="2"/>
        <w:ind w:firstLine="1095"/>
        <w:rPr>
          <w:rFonts w:hint="eastAsia" w:ascii="仿宋_GB2312" w:hAnsi="仿宋_GB2312" w:eastAsia="仿宋_GB2312" w:cs="仿宋_GB2312"/>
          <w:color w:val="auto"/>
          <w:sz w:val="28"/>
          <w:szCs w:val="28"/>
          <w:highlight w:val="none"/>
        </w:rPr>
      </w:pPr>
    </w:p>
    <w:p>
      <w:pPr>
        <w:pStyle w:val="2"/>
        <w:ind w:firstLine="1095"/>
        <w:rPr>
          <w:rFonts w:hint="eastAsia" w:ascii="仿宋_GB2312" w:hAnsi="仿宋_GB2312" w:eastAsia="仿宋_GB2312" w:cs="仿宋_GB2312"/>
          <w:color w:val="auto"/>
          <w:sz w:val="28"/>
          <w:szCs w:val="28"/>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132"/>
        <w:gridCol w:w="1132"/>
        <w:gridCol w:w="1132"/>
        <w:gridCol w:w="1133"/>
        <w:gridCol w:w="1133"/>
        <w:gridCol w:w="113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DN</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L</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D1</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D2</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H</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ZxΦd</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100</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52</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220</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180</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156</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365</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8xΦ18</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220</w:t>
            </w:r>
          </w:p>
        </w:tc>
      </w:tr>
    </w:tbl>
    <w:p>
      <w:pPr>
        <w:spacing w:line="36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注：</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bCs/>
          <w:color w:val="auto"/>
          <w:sz w:val="28"/>
          <w:szCs w:val="28"/>
          <w:highlight w:val="none"/>
        </w:rPr>
        <w:t>1、</w:t>
      </w:r>
      <w:r>
        <w:rPr>
          <w:rFonts w:hint="eastAsia" w:ascii="仿宋_GB2312" w:hAnsi="仿宋_GB2312" w:eastAsia="仿宋_GB2312" w:cs="仿宋_GB2312"/>
          <w:color w:val="auto"/>
          <w:sz w:val="28"/>
          <w:szCs w:val="28"/>
          <w:highlight w:val="none"/>
        </w:rPr>
        <w:t>安装尺寸不允许偏差。</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★2、与原</w:t>
      </w:r>
      <w:r>
        <w:rPr>
          <w:rFonts w:hint="eastAsia" w:ascii="仿宋_GB2312" w:hAnsi="仿宋_GB2312" w:eastAsia="仿宋_GB2312" w:cs="仿宋_GB2312"/>
          <w:color w:val="auto"/>
          <w:sz w:val="28"/>
          <w:szCs w:val="28"/>
          <w:highlight w:val="none"/>
          <w:lang w:val="en-US" w:eastAsia="zh-CN"/>
        </w:rPr>
        <w:t>设备</w:t>
      </w:r>
      <w:r>
        <w:rPr>
          <w:rFonts w:hint="eastAsia" w:ascii="仿宋_GB2312" w:hAnsi="仿宋_GB2312" w:eastAsia="仿宋_GB2312" w:cs="仿宋_GB2312"/>
          <w:color w:val="auto"/>
          <w:sz w:val="28"/>
          <w:szCs w:val="28"/>
          <w:highlight w:val="none"/>
        </w:rPr>
        <w:t>性能相当，并且匹配原设备安装位置和电气控制要求，不接受对现有</w:t>
      </w:r>
      <w:r>
        <w:rPr>
          <w:rFonts w:hint="eastAsia" w:ascii="仿宋_GB2312" w:hAnsi="仿宋_GB2312" w:eastAsia="仿宋_GB2312" w:cs="仿宋_GB2312"/>
          <w:color w:val="auto"/>
          <w:sz w:val="28"/>
          <w:szCs w:val="28"/>
          <w:highlight w:val="none"/>
          <w:lang w:val="en-US" w:eastAsia="zh-CN"/>
        </w:rPr>
        <w:t>安装位置</w:t>
      </w:r>
      <w:r>
        <w:rPr>
          <w:rFonts w:hint="eastAsia" w:ascii="仿宋_GB2312" w:hAnsi="仿宋_GB2312" w:eastAsia="仿宋_GB2312" w:cs="仿宋_GB2312"/>
          <w:color w:val="auto"/>
          <w:sz w:val="28"/>
          <w:szCs w:val="28"/>
          <w:highlight w:val="none"/>
        </w:rPr>
        <w:t>以及电气控制系统进行改造，投标单位中标后可到现场进行勘察复核。</w:t>
      </w: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三、电动执行机构技术要求</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1基本要求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电动执行机构电机为鼠笼式三项异步阀门专用电机，绝缘等级为F级，并配有电机过热保护开关。平均负荷不能小于阀门最大驱动力的50%。电机的工作制：间歇启动。电机动态平衡。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电源：380V、AC、50Hz。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执行器结构简单，性能可靠，便于调试、维护和维修。具有自锁式的输出，即使在手动模式下仍保持自锁。电动头多腔独立密封。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电源电压降至负值极限时执行器能够正常启动，并保证其行程变化不大于全行程的 1.5%，并按正常速度运转。电压误差在±10%，频率误差在±5Hz下，运行性能得到保证。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电动阀门驱动机构上的电机的输出扭矩要大于额定扭矩的1.5倍以上，所有电动操作机构应装有扭距限制器。安装：阀门与执行机构的连接必须灵活方便。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2主体结构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主要部件包括，电动机、力矩限制机构/行程控制机构、手-电动切换机构、手轮及电气控制单元部分等。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（1）电动机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所有电动机符合JB2195、IEC60034标准。所有电动机的绝缘采用F级绝缘，按B级绝缘考核温升。电机具有高启动力矩低惯性。</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（2）手-电动切换机构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电动执行机构配有手/自动切换机构，并配有离合装置，在电动操作时手轮不会随时转动。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（3）手动驱动装置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完全密闭的齿轮传动。手轮上注明开启和关闭方向。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（4）润滑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电动执行机构的齿轮采用润滑油，蜗轮蜗杆浸泡在油浴之中，且所有在阀杆运动传动中的转动部件都在轴承上转动。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 3、材质</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箱体为高牌号灰铁，涡轮为锡青铜，蜗杆为45号钢，渗碳淬火，适合阀门长时间运转</w:t>
      </w: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四、设备的材质</w:t>
      </w:r>
    </w:p>
    <w:tbl>
      <w:tblPr>
        <w:tblStyle w:val="24"/>
        <w:tblpPr w:leftFromText="180" w:rightFromText="180" w:vertAnchor="text" w:horzAnchor="page" w:tblpX="1871" w:tblpY="209"/>
        <w:tblOverlap w:val="never"/>
        <w:tblW w:w="81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阀体材质</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灰铸铁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闸板材质</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铬镍钛不锈钢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阀体密封圈</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聚四氟乙烯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阀杆</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铬不锈钢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支架</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碳素钢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填料</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聚四氟乙烯</w:t>
            </w:r>
          </w:p>
        </w:tc>
      </w:tr>
    </w:tbl>
    <w:p>
      <w:pPr>
        <w:pStyle w:val="13"/>
        <w:adjustRightInd w:val="0"/>
        <w:snapToGrid w:val="0"/>
        <w:spacing w:line="520" w:lineRule="exact"/>
        <w:rPr>
          <w:rFonts w:hint="eastAsia" w:ascii="仿宋_GB2312" w:hAnsi="仿宋_GB2312" w:eastAsia="仿宋_GB2312" w:cs="仿宋_GB2312"/>
          <w:b/>
          <w:color w:val="auto"/>
          <w:sz w:val="28"/>
          <w:szCs w:val="28"/>
          <w:highlight w:val="none"/>
          <w:lang w:val="en-US" w:eastAsia="zh-CN"/>
        </w:rPr>
      </w:pPr>
    </w:p>
    <w:p>
      <w:pPr>
        <w:pStyle w:val="13"/>
        <w:adjustRightInd w:val="0"/>
        <w:snapToGrid w:val="0"/>
        <w:spacing w:line="520" w:lineRule="exact"/>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项目三：</w:t>
      </w:r>
    </w:p>
    <w:p>
      <w:pPr>
        <w:pStyle w:val="14"/>
        <w:numPr>
          <w:ilvl w:val="0"/>
          <w:numId w:val="4"/>
        </w:numPr>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性能参数表</w:t>
      </w:r>
    </w:p>
    <w:tbl>
      <w:tblPr>
        <w:tblStyle w:val="24"/>
        <w:tblW w:w="86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设备类型</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电动半球阀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数量</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公称通径</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DN100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公称压力</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额定电流</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0.65A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适用温度</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－30℃～ 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适用介质</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污水、污泥、颗粒料浆、灰渣、供排水及弱腐蚀性流体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输出扭矩</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200N.m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输出转速</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18r/min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电机功率</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0.37Kw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防护等级</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IP67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连接尺寸</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连接盘中心距Φ160（4-M12）</w:t>
            </w:r>
          </w:p>
        </w:tc>
      </w:tr>
    </w:tbl>
    <w:p>
      <w:pPr>
        <w:pStyle w:val="15"/>
        <w:numPr>
          <w:ilvl w:val="0"/>
          <w:numId w:val="0"/>
        </w:numPr>
        <w:rPr>
          <w:rFonts w:hint="eastAsia" w:ascii="仿宋_GB2312" w:hAnsi="仿宋_GB2312" w:eastAsia="仿宋_GB2312" w:cs="仿宋_GB2312"/>
          <w:color w:val="auto"/>
          <w:sz w:val="28"/>
          <w:szCs w:val="28"/>
          <w:highlight w:val="none"/>
          <w:lang w:val="en-US" w:eastAsia="zh-CN"/>
        </w:rPr>
      </w:pPr>
    </w:p>
    <w:p>
      <w:pP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val="0"/>
          <w:bCs/>
          <w:color w:val="auto"/>
          <w:kern w:val="2"/>
          <w:sz w:val="28"/>
          <w:szCs w:val="28"/>
          <w:highlight w:val="none"/>
          <w:lang w:val="en-US" w:eastAsia="zh-CN" w:bidi="ar-SA"/>
        </w:rPr>
        <w:t>二、安装尺寸</w:t>
      </w:r>
    </w:p>
    <w:p>
      <w:pP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drawing>
          <wp:inline distT="0" distB="0" distL="114300" distR="114300">
            <wp:extent cx="3722370" cy="3387090"/>
            <wp:effectExtent l="0" t="0" r="11430" b="3810"/>
            <wp:docPr id="20" name="图片 20" descr="1660660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0660385(1)"/>
                    <pic:cNvPicPr>
                      <a:picLocks noChangeAspect="1"/>
                    </pic:cNvPicPr>
                  </pic:nvPicPr>
                  <pic:blipFill>
                    <a:blip r:embed="rId11" cstate="print"/>
                    <a:stretch>
                      <a:fillRect/>
                    </a:stretch>
                  </pic:blipFill>
                  <pic:spPr>
                    <a:xfrm>
                      <a:off x="0" y="0"/>
                      <a:ext cx="3731632" cy="3395324"/>
                    </a:xfrm>
                    <a:prstGeom prst="rect">
                      <a:avLst/>
                    </a:prstGeom>
                  </pic:spPr>
                </pic:pic>
              </a:graphicData>
            </a:graphic>
          </wp:inline>
        </w:drawing>
      </w:r>
    </w:p>
    <w:tbl>
      <w:tblPr>
        <w:tblStyle w:val="24"/>
        <w:tblpPr w:leftFromText="180" w:rightFromText="180" w:vertAnchor="text" w:horzAnchor="page" w:tblpXSpec="center" w:tblpY="433"/>
        <w:tblOverlap w:val="never"/>
        <w:tblW w:w="9172" w:type="dxa"/>
        <w:jc w:val="center"/>
        <w:tblLayout w:type="fixed"/>
        <w:tblCellMar>
          <w:top w:w="0" w:type="dxa"/>
          <w:left w:w="108" w:type="dxa"/>
          <w:bottom w:w="0" w:type="dxa"/>
          <w:right w:w="108" w:type="dxa"/>
        </w:tblCellMar>
      </w:tblPr>
      <w:tblGrid>
        <w:gridCol w:w="696"/>
        <w:gridCol w:w="601"/>
        <w:gridCol w:w="575"/>
        <w:gridCol w:w="678"/>
        <w:gridCol w:w="708"/>
        <w:gridCol w:w="601"/>
        <w:gridCol w:w="912"/>
        <w:gridCol w:w="692"/>
        <w:gridCol w:w="841"/>
        <w:gridCol w:w="594"/>
        <w:gridCol w:w="759"/>
        <w:gridCol w:w="758"/>
        <w:gridCol w:w="757"/>
      </w:tblGrid>
      <w:tr>
        <w:tblPrEx>
          <w:tblCellMar>
            <w:top w:w="0" w:type="dxa"/>
            <w:left w:w="108" w:type="dxa"/>
            <w:bottom w:w="0" w:type="dxa"/>
            <w:right w:w="108" w:type="dxa"/>
          </w:tblCellMar>
        </w:tblPrEx>
        <w:trPr>
          <w:trHeight w:val="416"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DN</w:t>
            </w:r>
          </w:p>
        </w:tc>
        <w:tc>
          <w:tcPr>
            <w:tcW w:w="60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D</w:t>
            </w:r>
          </w:p>
        </w:tc>
        <w:tc>
          <w:tcPr>
            <w:tcW w:w="575"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D1</w:t>
            </w:r>
          </w:p>
        </w:tc>
        <w:tc>
          <w:tcPr>
            <w:tcW w:w="67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D2</w:t>
            </w:r>
          </w:p>
        </w:tc>
        <w:tc>
          <w:tcPr>
            <w:tcW w:w="70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L</w:t>
            </w:r>
          </w:p>
        </w:tc>
        <w:tc>
          <w:tcPr>
            <w:tcW w:w="60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L1</w:t>
            </w:r>
          </w:p>
        </w:tc>
        <w:tc>
          <w:tcPr>
            <w:tcW w:w="91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L2</w:t>
            </w:r>
          </w:p>
        </w:tc>
        <w:tc>
          <w:tcPr>
            <w:tcW w:w="69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L3</w:t>
            </w:r>
          </w:p>
        </w:tc>
        <w:tc>
          <w:tcPr>
            <w:tcW w:w="8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L4</w:t>
            </w:r>
          </w:p>
        </w:tc>
        <w:tc>
          <w:tcPr>
            <w:tcW w:w="59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H</w:t>
            </w:r>
          </w:p>
        </w:tc>
        <w:tc>
          <w:tcPr>
            <w:tcW w:w="75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H1</w:t>
            </w:r>
          </w:p>
        </w:tc>
        <w:tc>
          <w:tcPr>
            <w:tcW w:w="75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H2</w:t>
            </w:r>
          </w:p>
        </w:tc>
        <w:tc>
          <w:tcPr>
            <w:tcW w:w="757"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n-d</w:t>
            </w:r>
          </w:p>
        </w:tc>
      </w:tr>
      <w:tr>
        <w:tblPrEx>
          <w:tblCellMar>
            <w:top w:w="0" w:type="dxa"/>
            <w:left w:w="108" w:type="dxa"/>
            <w:bottom w:w="0" w:type="dxa"/>
            <w:right w:w="108" w:type="dxa"/>
          </w:tblCellMar>
        </w:tblPrEx>
        <w:trPr>
          <w:trHeight w:val="416"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100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220</w:t>
            </w:r>
          </w:p>
        </w:tc>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180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156</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229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157</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250</w:t>
            </w: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124</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332</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625</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110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240</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8-18</w:t>
            </w:r>
          </w:p>
        </w:tc>
      </w:tr>
    </w:tbl>
    <w:p>
      <w:pPr>
        <w:rPr>
          <w:rFonts w:hint="eastAsia" w:ascii="仿宋_GB2312" w:hAnsi="仿宋_GB2312" w:eastAsia="仿宋_GB2312" w:cs="仿宋_GB2312"/>
          <w:color w:val="auto"/>
          <w:sz w:val="28"/>
          <w:szCs w:val="28"/>
          <w:highlight w:val="none"/>
          <w:lang w:val="en-US" w:eastAsia="zh-CN"/>
        </w:rPr>
      </w:pPr>
    </w:p>
    <w:p>
      <w:pPr>
        <w:spacing w:line="36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注：</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bCs/>
          <w:color w:val="auto"/>
          <w:sz w:val="28"/>
          <w:szCs w:val="28"/>
          <w:highlight w:val="none"/>
        </w:rPr>
        <w:t>1、</w:t>
      </w:r>
      <w:r>
        <w:rPr>
          <w:rFonts w:hint="eastAsia" w:ascii="仿宋_GB2312" w:hAnsi="仿宋_GB2312" w:eastAsia="仿宋_GB2312" w:cs="仿宋_GB2312"/>
          <w:color w:val="auto"/>
          <w:sz w:val="28"/>
          <w:szCs w:val="28"/>
          <w:highlight w:val="none"/>
        </w:rPr>
        <w:t>安装尺寸不允许偏差。</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★2、与原</w:t>
      </w:r>
      <w:r>
        <w:rPr>
          <w:rFonts w:hint="eastAsia" w:ascii="仿宋_GB2312" w:hAnsi="仿宋_GB2312" w:eastAsia="仿宋_GB2312" w:cs="仿宋_GB2312"/>
          <w:color w:val="auto"/>
          <w:sz w:val="28"/>
          <w:szCs w:val="28"/>
          <w:highlight w:val="none"/>
          <w:lang w:val="en-US" w:eastAsia="zh-CN"/>
        </w:rPr>
        <w:t>设备</w:t>
      </w:r>
      <w:r>
        <w:rPr>
          <w:rFonts w:hint="eastAsia" w:ascii="仿宋_GB2312" w:hAnsi="仿宋_GB2312" w:eastAsia="仿宋_GB2312" w:cs="仿宋_GB2312"/>
          <w:color w:val="auto"/>
          <w:sz w:val="28"/>
          <w:szCs w:val="28"/>
          <w:highlight w:val="none"/>
        </w:rPr>
        <w:t>性能相当，并且匹配原设备安装位置和电气控制要求，不接受对现有</w:t>
      </w:r>
      <w:r>
        <w:rPr>
          <w:rFonts w:hint="eastAsia" w:ascii="仿宋_GB2312" w:hAnsi="仿宋_GB2312" w:eastAsia="仿宋_GB2312" w:cs="仿宋_GB2312"/>
          <w:color w:val="auto"/>
          <w:sz w:val="28"/>
          <w:szCs w:val="28"/>
          <w:highlight w:val="none"/>
          <w:lang w:val="en-US" w:eastAsia="zh-CN"/>
        </w:rPr>
        <w:t>安装位置</w:t>
      </w:r>
      <w:r>
        <w:rPr>
          <w:rFonts w:hint="eastAsia" w:ascii="仿宋_GB2312" w:hAnsi="仿宋_GB2312" w:eastAsia="仿宋_GB2312" w:cs="仿宋_GB2312"/>
          <w:color w:val="auto"/>
          <w:sz w:val="28"/>
          <w:szCs w:val="28"/>
          <w:highlight w:val="none"/>
        </w:rPr>
        <w:t>以及电气控制系统进行改造，投标单位中标后可到现场进行勘察复核。</w:t>
      </w: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四、电动执行机构技术要求</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1基本要求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电动执行机构电机为鼠笼式三项异步阀门专用电机，绝缘等级为F级，并配有电机过热保护开关。平均负荷不能小于阀门最大驱动力的50%。电机的工作制：间歇启动。电机动态平衡。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电源：380V、AC、50Hz。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执行器结构简单，性能可靠，便于调试、维护和维修。具有自锁式的输出，即使在手动模式下仍保持自锁。电动头多腔独立密封。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电源电压降至负值极限时执行器能够正常启动，并保证其行程变化不大于全行程的 1.5%，并按正常速度运转。电压误差在±10%，频率误差在±5Hz下，运行性能得到保证。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电动阀门驱动机构上的电机的输出扭矩要大于额定扭矩的1.5倍以上，所有电动操作机构应装有扭距限制器。安装：阀门与执行机构的连接必须灵活方便。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2主体结构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主要部件包括，电动机、力矩限制机构/行程控制机构、手-电动切换机构、手轮及电气控制单元部分等。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（1）电动机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所有电动机符合JB2195、IEC60034标准。所有电动机的绝缘采用F级绝缘，按B级绝缘考核温升。电机具有高启动力矩低惯性。</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（2）手-电动切换机构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电动执行机构配有手/自动切换机构，并配有离合装置，在电动操作时手轮不会随时转动。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（3）手动驱动装置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完全密闭的齿轮传动。手轮上注明开启和关闭方向。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（4）润滑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电动执行机构的齿轮采用润滑油，蜗轮蜗杆浸泡在油浴之中，且所有在阀杆运动传动中的转动部件都在轴承上转动。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 3、材质</w:t>
      </w:r>
    </w:p>
    <w:p>
      <w:pPr>
        <w:pStyle w:val="2"/>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箱体为高牌号灰铁，涡轮为锡青铜，蜗杆为45号钢，渗碳淬火，适合阀门长时间运转。</w:t>
      </w:r>
    </w:p>
    <w:p>
      <w:pPr>
        <w:pStyle w:val="2"/>
        <w:numPr>
          <w:ilvl w:val="0"/>
          <w:numId w:val="5"/>
        </w:numPr>
        <w:ind w:left="0" w:leftChars="0" w:firstLine="0" w:firstLineChars="0"/>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设备的材质</w:t>
      </w:r>
    </w:p>
    <w:tbl>
      <w:tblPr>
        <w:tblStyle w:val="24"/>
        <w:tblpPr w:leftFromText="180" w:rightFromText="180" w:vertAnchor="text" w:horzAnchor="page" w:tblpX="1871" w:tblpY="209"/>
        <w:tblOverlap w:val="never"/>
        <w:tblW w:w="81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阀体材质</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WCB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阀瓣材质</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不锈钢堆焊硬质合金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阀座</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A105堆焊硬质合金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阀杆</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20Cr13</w:t>
            </w:r>
          </w:p>
        </w:tc>
      </w:tr>
    </w:tbl>
    <w:p>
      <w:pPr>
        <w:pStyle w:val="2"/>
        <w:numPr>
          <w:ilvl w:val="0"/>
          <w:numId w:val="0"/>
        </w:numPr>
        <w:ind w:leftChars="0"/>
        <w:rPr>
          <w:rFonts w:hint="eastAsia" w:ascii="仿宋_GB2312" w:hAnsi="仿宋_GB2312" w:eastAsia="仿宋_GB2312" w:cs="仿宋_GB2312"/>
          <w:b w:val="0"/>
          <w:bCs/>
          <w:color w:val="auto"/>
          <w:kern w:val="2"/>
          <w:sz w:val="28"/>
          <w:szCs w:val="28"/>
          <w:highlight w:val="none"/>
          <w:lang w:val="en-US" w:eastAsia="zh-CN" w:bidi="ar-SA"/>
        </w:rPr>
      </w:pPr>
    </w:p>
    <w:p>
      <w:pPr>
        <w:pStyle w:val="13"/>
        <w:adjustRightInd w:val="0"/>
        <w:snapToGrid w:val="0"/>
        <w:spacing w:line="520" w:lineRule="exact"/>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项目四：</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本项目采购的货物为：1个电动蝶阀和1个阀门电动装置（</w:t>
      </w:r>
      <w:r>
        <w:rPr>
          <w:rFonts w:hint="eastAsia" w:ascii="仿宋_GB2312" w:eastAsia="仿宋_GB2312"/>
          <w:color w:val="auto"/>
          <w:sz w:val="28"/>
          <w:szCs w:val="28"/>
          <w:highlight w:val="none"/>
          <w:u w:val="none"/>
          <w:lang w:val="en-US" w:eastAsia="zh-CN"/>
        </w:rPr>
        <w:t>两者组合配套使用</w:t>
      </w:r>
      <w:r>
        <w:rPr>
          <w:rFonts w:hint="eastAsia" w:ascii="仿宋" w:hAnsi="仿宋" w:eastAsia="仿宋" w:cs="仿宋"/>
          <w:color w:val="auto"/>
          <w:sz w:val="28"/>
          <w:szCs w:val="28"/>
          <w:highlight w:val="none"/>
          <w:lang w:val="en-US" w:eastAsia="zh-CN"/>
        </w:rPr>
        <w:t>）、1个蝶式止回阀、1个双法兰伸缩接头、1个可曲挠橡胶接头。</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为了确保采购的电动蝶阀及止回阀等货物能够与原出水管道适配，现根据厂区原有管道、电动蝶阀及止回阀等技术参数和参考GB/T 9113-2010 《整体钢制管法兰》标准文件中表6《PN10整体钢制管法兰尺寸》、表7 《PN16整体钢制管法兰尺寸》 规定DN900法兰尺寸参数进行选购。供货商提供的货物要与现用设备一致，不接受任何改造。详情如下所示：</w:t>
      </w:r>
    </w:p>
    <w:p>
      <w:pPr>
        <w:pStyle w:val="54"/>
        <w:jc w:val="center"/>
        <w:rPr>
          <w:rFonts w:hint="default"/>
          <w:b/>
          <w:bCs/>
          <w:color w:val="auto"/>
          <w:highlight w:val="none"/>
          <w:lang w:val="en-US" w:eastAsia="zh-CN"/>
        </w:rPr>
      </w:pPr>
      <w:r>
        <w:rPr>
          <w:rFonts w:hint="eastAsia" w:hAnsi="仿宋_GB2312" w:cs="仿宋_GB2312"/>
          <w:b/>
          <w:bCs/>
          <w:color w:val="auto"/>
          <w:spacing w:val="-6"/>
          <w:szCs w:val="32"/>
          <w:highlight w:val="none"/>
          <w:lang w:val="en-US" w:eastAsia="zh-CN"/>
        </w:rPr>
        <w:t>厂内原有设备技术参数表</w:t>
      </w:r>
    </w:p>
    <w:tbl>
      <w:tblPr>
        <w:tblStyle w:val="25"/>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15"/>
        <w:gridCol w:w="1185"/>
        <w:gridCol w:w="930"/>
        <w:gridCol w:w="945"/>
        <w:gridCol w:w="1957"/>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序号</w:t>
            </w:r>
          </w:p>
        </w:tc>
        <w:tc>
          <w:tcPr>
            <w:tcW w:w="91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名称</w:t>
            </w:r>
          </w:p>
        </w:tc>
        <w:tc>
          <w:tcPr>
            <w:tcW w:w="118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规格型号</w:t>
            </w:r>
          </w:p>
        </w:tc>
        <w:tc>
          <w:tcPr>
            <w:tcW w:w="930"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直径D</w:t>
            </w:r>
          </w:p>
        </w:tc>
        <w:tc>
          <w:tcPr>
            <w:tcW w:w="945"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长度L</w:t>
            </w:r>
          </w:p>
        </w:tc>
        <w:tc>
          <w:tcPr>
            <w:tcW w:w="1957"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材质说明</w:t>
            </w:r>
          </w:p>
        </w:tc>
        <w:tc>
          <w:tcPr>
            <w:tcW w:w="2033"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692" w:type="dxa"/>
            <w:noWrap/>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1</w:t>
            </w:r>
          </w:p>
        </w:tc>
        <w:tc>
          <w:tcPr>
            <w:tcW w:w="91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电动蝶阀</w:t>
            </w:r>
          </w:p>
        </w:tc>
        <w:tc>
          <w:tcPr>
            <w:tcW w:w="118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DN900</w:t>
            </w:r>
          </w:p>
        </w:tc>
        <w:tc>
          <w:tcPr>
            <w:tcW w:w="930"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1120mm</w:t>
            </w:r>
          </w:p>
        </w:tc>
        <w:tc>
          <w:tcPr>
            <w:tcW w:w="945"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330mm</w:t>
            </w:r>
          </w:p>
        </w:tc>
        <w:tc>
          <w:tcPr>
            <w:tcW w:w="1957" w:type="dxa"/>
            <w:vAlign w:val="center"/>
          </w:tcPr>
          <w:p>
            <w:pPr>
              <w:ind w:firstLine="0" w:firstLineChars="0"/>
              <w:jc w:val="both"/>
              <w:rPr>
                <w:rFonts w:hint="eastAsia" w:hAnsi="仿宋_GB2312" w:eastAsia="仿宋_GB2312" w:cs="仿宋_GB2312"/>
                <w:color w:val="auto"/>
                <w:spacing w:val="-6"/>
                <w:sz w:val="24"/>
                <w:szCs w:val="24"/>
                <w:highlight w:val="none"/>
                <w:lang w:val="en-US" w:eastAsia="zh-CN"/>
              </w:rPr>
            </w:pPr>
            <w:r>
              <w:rPr>
                <w:rFonts w:hint="eastAsia" w:hAnsi="仿宋_GB2312" w:eastAsia="仿宋_GB2312" w:cs="仿宋_GB2312"/>
                <w:color w:val="auto"/>
                <w:spacing w:val="-6"/>
                <w:sz w:val="24"/>
                <w:szCs w:val="24"/>
                <w:highlight w:val="none"/>
                <w:lang w:val="en-US" w:eastAsia="zh-CN"/>
              </w:rPr>
              <w:t>阀体材质：球墨铸铁；阀瓣材质：球墨铸铁；阀杆材质：不锈钢。</w:t>
            </w:r>
          </w:p>
        </w:tc>
        <w:tc>
          <w:tcPr>
            <w:tcW w:w="2033" w:type="dxa"/>
            <w:vAlign w:val="center"/>
          </w:tcPr>
          <w:p>
            <w:pPr>
              <w:ind w:firstLine="0" w:firstLineChars="0"/>
              <w:jc w:val="both"/>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蝶阀法兰孔径为33mm,共28个孔。其它技术参数，需供应商现场勘察测量。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657" w:type="dxa"/>
            <w:gridSpan w:val="7"/>
            <w:noWrap/>
            <w:vAlign w:val="center"/>
          </w:tcPr>
          <w:p>
            <w:pPr>
              <w:pStyle w:val="54"/>
              <w:ind w:left="0" w:leftChars="0"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eastAsia="仿宋_GB2312" w:cs="仿宋_GB2312"/>
                <w:color w:val="auto"/>
                <w:spacing w:val="-6"/>
                <w:sz w:val="24"/>
                <w:szCs w:val="24"/>
                <w:highlight w:val="none"/>
                <w:lang w:val="en-US" w:eastAsia="zh-CN"/>
              </w:rPr>
              <w:drawing>
                <wp:inline distT="0" distB="0" distL="114300" distR="114300">
                  <wp:extent cx="4524375" cy="2105025"/>
                  <wp:effectExtent l="0" t="0" r="9525" b="9525"/>
                  <wp:docPr id="8" name="图片 8" descr="165870965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8709652449"/>
                          <pic:cNvPicPr>
                            <a:picLocks noChangeAspect="1"/>
                          </pic:cNvPicPr>
                        </pic:nvPicPr>
                        <pic:blipFill>
                          <a:blip r:embed="rId12"/>
                          <a:stretch>
                            <a:fillRect/>
                          </a:stretch>
                        </pic:blipFill>
                        <pic:spPr>
                          <a:xfrm>
                            <a:off x="0" y="0"/>
                            <a:ext cx="4524375" cy="2105025"/>
                          </a:xfrm>
                          <a:prstGeom prst="rect">
                            <a:avLst/>
                          </a:prstGeom>
                        </pic:spPr>
                      </pic:pic>
                    </a:graphicData>
                  </a:graphic>
                </wp:inline>
              </w:drawing>
            </w:r>
          </w:p>
          <w:p>
            <w:pPr>
              <w:pStyle w:val="54"/>
              <w:ind w:left="0" w:leftChars="0" w:firstLine="0" w:firstLineChars="0"/>
              <w:jc w:val="center"/>
              <w:rPr>
                <w:color w:val="auto"/>
                <w:highlight w:val="none"/>
              </w:rPr>
            </w:pPr>
            <w:r>
              <w:rPr>
                <w:color w:val="auto"/>
                <w:highlight w:val="none"/>
              </w:rPr>
              <w:drawing>
                <wp:inline distT="0" distB="0" distL="114300" distR="114300">
                  <wp:extent cx="4552950" cy="2745740"/>
                  <wp:effectExtent l="0" t="0" r="0" b="16510"/>
                  <wp:docPr id="9" name="图片 2" descr="微信图片_2022070517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微信图片_20220705172605"/>
                          <pic:cNvPicPr>
                            <a:picLocks noChangeAspect="1"/>
                          </pic:cNvPicPr>
                        </pic:nvPicPr>
                        <pic:blipFill>
                          <a:blip r:embed="rId13"/>
                          <a:stretch>
                            <a:fillRect/>
                          </a:stretch>
                        </pic:blipFill>
                        <pic:spPr>
                          <a:xfrm>
                            <a:off x="0" y="0"/>
                            <a:ext cx="4552950" cy="2745740"/>
                          </a:xfrm>
                          <a:prstGeom prst="rect">
                            <a:avLst/>
                          </a:prstGeom>
                          <a:noFill/>
                          <a:ln w="9525">
                            <a:noFill/>
                          </a:ln>
                        </pic:spPr>
                      </pic:pic>
                    </a:graphicData>
                  </a:graphic>
                </wp:inline>
              </w:drawing>
            </w:r>
          </w:p>
          <w:p>
            <w:pPr>
              <w:pStyle w:val="54"/>
              <w:ind w:left="0" w:leftChars="0" w:firstLine="0" w:firstLineChars="0"/>
              <w:jc w:val="center"/>
              <w:rPr>
                <w:rFonts w:hint="eastAsia" w:hAnsi="仿宋_GB2312" w:eastAsia="仿宋_GB2312" w:cs="仿宋_GB2312"/>
                <w:b/>
                <w:bCs w:val="0"/>
                <w:color w:val="auto"/>
                <w:spacing w:val="-6"/>
                <w:szCs w:val="32"/>
                <w:highlight w:val="none"/>
                <w:lang w:val="en-US" w:eastAsia="zh-CN"/>
              </w:rPr>
            </w:pPr>
            <w:r>
              <w:rPr>
                <w:rFonts w:hint="eastAsia" w:hAnsi="仿宋_GB2312" w:eastAsia="仿宋_GB2312" w:cs="仿宋_GB2312"/>
                <w:b/>
                <w:bCs w:val="0"/>
                <w:color w:val="auto"/>
                <w:spacing w:val="-6"/>
                <w:szCs w:val="32"/>
                <w:highlight w:val="none"/>
                <w:lang w:val="en-US" w:eastAsia="zh-CN"/>
              </w:rPr>
              <w:drawing>
                <wp:inline distT="0" distB="0" distL="114300" distR="114300">
                  <wp:extent cx="4551045" cy="3412490"/>
                  <wp:effectExtent l="0" t="0" r="1905" b="16510"/>
                  <wp:docPr id="13" name="图片 13" descr="5b77ffc24f2601c33fba333d5aec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b77ffc24f2601c33fba333d5aeca14"/>
                          <pic:cNvPicPr>
                            <a:picLocks noChangeAspect="1"/>
                          </pic:cNvPicPr>
                        </pic:nvPicPr>
                        <pic:blipFill>
                          <a:blip r:embed="rId14"/>
                          <a:stretch>
                            <a:fillRect/>
                          </a:stretch>
                        </pic:blipFill>
                        <pic:spPr>
                          <a:xfrm>
                            <a:off x="0" y="0"/>
                            <a:ext cx="4551045" cy="3412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noWrap/>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序号</w:t>
            </w:r>
          </w:p>
        </w:tc>
        <w:tc>
          <w:tcPr>
            <w:tcW w:w="91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名称</w:t>
            </w:r>
          </w:p>
        </w:tc>
        <w:tc>
          <w:tcPr>
            <w:tcW w:w="118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规格型号</w:t>
            </w:r>
          </w:p>
        </w:tc>
        <w:tc>
          <w:tcPr>
            <w:tcW w:w="930"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直径D</w:t>
            </w:r>
          </w:p>
        </w:tc>
        <w:tc>
          <w:tcPr>
            <w:tcW w:w="94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长度L</w:t>
            </w:r>
          </w:p>
        </w:tc>
        <w:tc>
          <w:tcPr>
            <w:tcW w:w="1957"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材质说明</w:t>
            </w:r>
          </w:p>
        </w:tc>
        <w:tc>
          <w:tcPr>
            <w:tcW w:w="2033"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692" w:type="dxa"/>
            <w:noWrap/>
            <w:vAlign w:val="center"/>
          </w:tcPr>
          <w:p>
            <w:pPr>
              <w:ind w:firstLine="0" w:firstLineChars="0"/>
              <w:jc w:val="center"/>
              <w:rPr>
                <w:rFonts w:hint="eastAsia"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2</w:t>
            </w:r>
          </w:p>
        </w:tc>
        <w:tc>
          <w:tcPr>
            <w:tcW w:w="915"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阀门电动装置</w:t>
            </w:r>
          </w:p>
        </w:tc>
        <w:tc>
          <w:tcPr>
            <w:tcW w:w="1185"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AC380V 1.1kw</w:t>
            </w:r>
          </w:p>
        </w:tc>
        <w:tc>
          <w:tcPr>
            <w:tcW w:w="930"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945"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1957" w:type="dxa"/>
            <w:vAlign w:val="center"/>
          </w:tcPr>
          <w:p>
            <w:pPr>
              <w:ind w:firstLine="0" w:firstLineChars="0"/>
              <w:jc w:val="center"/>
              <w:rPr>
                <w:rFonts w:hint="eastAsia"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2033" w:type="dxa"/>
            <w:vAlign w:val="center"/>
          </w:tcPr>
          <w:p>
            <w:pPr>
              <w:ind w:firstLine="0" w:firstLineChars="0"/>
              <w:jc w:val="both"/>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657" w:type="dxa"/>
            <w:gridSpan w:val="7"/>
            <w:noWrap/>
            <w:vAlign w:val="center"/>
          </w:tcPr>
          <w:p>
            <w:pPr>
              <w:pStyle w:val="54"/>
              <w:ind w:left="0" w:leftChars="0"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drawing>
                <wp:inline distT="0" distB="0" distL="114300" distR="114300">
                  <wp:extent cx="4348480" cy="3030855"/>
                  <wp:effectExtent l="0" t="0" r="13970" b="17145"/>
                  <wp:docPr id="15" name="图片 15" descr="165870977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8709773527"/>
                          <pic:cNvPicPr>
                            <a:picLocks noChangeAspect="1"/>
                          </pic:cNvPicPr>
                        </pic:nvPicPr>
                        <pic:blipFill>
                          <a:blip r:embed="rId15"/>
                          <a:stretch>
                            <a:fillRect/>
                          </a:stretch>
                        </pic:blipFill>
                        <pic:spPr>
                          <a:xfrm>
                            <a:off x="0" y="0"/>
                            <a:ext cx="4348480" cy="3030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noWrap/>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序号</w:t>
            </w:r>
          </w:p>
        </w:tc>
        <w:tc>
          <w:tcPr>
            <w:tcW w:w="915"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名称</w:t>
            </w:r>
          </w:p>
        </w:tc>
        <w:tc>
          <w:tcPr>
            <w:tcW w:w="1185"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规格型号</w:t>
            </w:r>
          </w:p>
        </w:tc>
        <w:tc>
          <w:tcPr>
            <w:tcW w:w="930"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直径D</w:t>
            </w:r>
          </w:p>
        </w:tc>
        <w:tc>
          <w:tcPr>
            <w:tcW w:w="945"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长度L</w:t>
            </w:r>
          </w:p>
        </w:tc>
        <w:tc>
          <w:tcPr>
            <w:tcW w:w="1957"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材质说明</w:t>
            </w:r>
          </w:p>
        </w:tc>
        <w:tc>
          <w:tcPr>
            <w:tcW w:w="2033"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692" w:type="dxa"/>
            <w:noWrap/>
            <w:vAlign w:val="center"/>
          </w:tcPr>
          <w:p>
            <w:pPr>
              <w:ind w:firstLine="0" w:firstLineChars="0"/>
              <w:jc w:val="center"/>
              <w:rPr>
                <w:rFonts w:hint="eastAsia"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3</w:t>
            </w:r>
          </w:p>
        </w:tc>
        <w:tc>
          <w:tcPr>
            <w:tcW w:w="91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蝶式</w:t>
            </w:r>
            <w:r>
              <w:rPr>
                <w:rFonts w:hint="eastAsia" w:hAnsi="仿宋_GB2312" w:cs="仿宋_GB2312"/>
                <w:color w:val="auto"/>
                <w:spacing w:val="-6"/>
                <w:sz w:val="24"/>
                <w:szCs w:val="24"/>
                <w:highlight w:val="none"/>
              </w:rPr>
              <w:t>止回阀</w:t>
            </w:r>
          </w:p>
        </w:tc>
        <w:tc>
          <w:tcPr>
            <w:tcW w:w="118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DN900</w:t>
            </w:r>
          </w:p>
        </w:tc>
        <w:tc>
          <w:tcPr>
            <w:tcW w:w="930"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1010mm</w:t>
            </w:r>
          </w:p>
        </w:tc>
        <w:tc>
          <w:tcPr>
            <w:tcW w:w="945"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241mm</w:t>
            </w:r>
          </w:p>
        </w:tc>
        <w:tc>
          <w:tcPr>
            <w:tcW w:w="1957" w:type="dxa"/>
            <w:vAlign w:val="center"/>
          </w:tcPr>
          <w:p>
            <w:pPr>
              <w:ind w:firstLine="0" w:firstLineChars="0"/>
              <w:jc w:val="left"/>
              <w:rPr>
                <w:rFonts w:hAnsi="仿宋_GB2312" w:cs="仿宋_GB2312"/>
                <w:color w:val="auto"/>
                <w:spacing w:val="-6"/>
                <w:sz w:val="24"/>
                <w:szCs w:val="24"/>
                <w:highlight w:val="none"/>
              </w:rPr>
            </w:pPr>
            <w:r>
              <w:rPr>
                <w:rFonts w:hint="eastAsia" w:hAnsi="仿宋_GB2312" w:eastAsia="仿宋_GB2312" w:cs="仿宋_GB2312"/>
                <w:color w:val="auto"/>
                <w:spacing w:val="-6"/>
                <w:sz w:val="24"/>
                <w:szCs w:val="24"/>
                <w:highlight w:val="none"/>
                <w:lang w:val="en-US" w:eastAsia="zh-CN"/>
              </w:rPr>
              <w:t>阀体材质：球墨铸铁；阀瓣材质：球墨铸铁；阀杆材质：不锈钢。</w:t>
            </w:r>
          </w:p>
        </w:tc>
        <w:tc>
          <w:tcPr>
            <w:tcW w:w="2033" w:type="dxa"/>
            <w:vAlign w:val="center"/>
          </w:tcPr>
          <w:p>
            <w:pPr>
              <w:ind w:firstLine="0" w:firstLineChars="0"/>
              <w:jc w:val="both"/>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蝶阀法兰孔径为39mm,共28个孔。其它技术参数，需供应商现场勘察测量。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8657" w:type="dxa"/>
            <w:gridSpan w:val="7"/>
            <w:noWrap/>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324475" cy="2245995"/>
                  <wp:effectExtent l="0" t="0" r="9525" b="1905"/>
                  <wp:docPr id="16" name="图片 16" descr="165871001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8710019507"/>
                          <pic:cNvPicPr>
                            <a:picLocks noChangeAspect="1"/>
                          </pic:cNvPicPr>
                        </pic:nvPicPr>
                        <pic:blipFill>
                          <a:blip r:embed="rId16"/>
                          <a:stretch>
                            <a:fillRect/>
                          </a:stretch>
                        </pic:blipFill>
                        <pic:spPr>
                          <a:xfrm>
                            <a:off x="0" y="0"/>
                            <a:ext cx="5324475" cy="2245995"/>
                          </a:xfrm>
                          <a:prstGeom prst="rect">
                            <a:avLst/>
                          </a:prstGeom>
                        </pic:spPr>
                      </pic:pic>
                    </a:graphicData>
                  </a:graphic>
                </wp:inline>
              </w:drawing>
            </w:r>
          </w:p>
          <w:p>
            <w:pPr>
              <w:pStyle w:val="54"/>
              <w:rPr>
                <w:rFonts w:hint="eastAsia" w:hAnsi="仿宋_GB2312" w:cs="仿宋_GB2312"/>
                <w:color w:val="auto"/>
                <w:spacing w:val="-6"/>
                <w:sz w:val="24"/>
                <w:szCs w:val="24"/>
                <w:highlight w:val="none"/>
                <w:lang w:val="en-US" w:eastAsia="zh-CN"/>
              </w:rPr>
            </w:pPr>
          </w:p>
          <w:p>
            <w:pPr>
              <w:pStyle w:val="54"/>
              <w:jc w:val="center"/>
              <w:rPr>
                <w:rFonts w:hint="eastAsia" w:hAnsi="仿宋_GB2312" w:cs="仿宋_GB2312"/>
                <w:color w:val="auto"/>
                <w:spacing w:val="-6"/>
                <w:sz w:val="24"/>
                <w:szCs w:val="24"/>
                <w:highlight w:val="none"/>
                <w:lang w:val="en-US" w:eastAsia="zh-CN"/>
              </w:rPr>
            </w:pPr>
            <w:r>
              <w:rPr>
                <w:color w:val="auto"/>
                <w:highlight w:val="none"/>
              </w:rPr>
              <w:drawing>
                <wp:inline distT="0" distB="0" distL="114300" distR="114300">
                  <wp:extent cx="2982595" cy="3237865"/>
                  <wp:effectExtent l="0" t="0" r="8255" b="635"/>
                  <wp:docPr id="17" name="图片 1" descr="微信图片_2022070517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微信图片_20220705172601"/>
                          <pic:cNvPicPr>
                            <a:picLocks noChangeAspect="1"/>
                          </pic:cNvPicPr>
                        </pic:nvPicPr>
                        <pic:blipFill>
                          <a:blip r:embed="rId17"/>
                          <a:stretch>
                            <a:fillRect/>
                          </a:stretch>
                        </pic:blipFill>
                        <pic:spPr>
                          <a:xfrm>
                            <a:off x="0" y="0"/>
                            <a:ext cx="2982595" cy="3237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noWrap/>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序号</w:t>
            </w:r>
          </w:p>
        </w:tc>
        <w:tc>
          <w:tcPr>
            <w:tcW w:w="91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名称</w:t>
            </w:r>
          </w:p>
        </w:tc>
        <w:tc>
          <w:tcPr>
            <w:tcW w:w="118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规格型号</w:t>
            </w:r>
          </w:p>
        </w:tc>
        <w:tc>
          <w:tcPr>
            <w:tcW w:w="930"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直径D</w:t>
            </w:r>
          </w:p>
        </w:tc>
        <w:tc>
          <w:tcPr>
            <w:tcW w:w="94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长度L</w:t>
            </w:r>
          </w:p>
        </w:tc>
        <w:tc>
          <w:tcPr>
            <w:tcW w:w="1957"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材质说明</w:t>
            </w:r>
          </w:p>
        </w:tc>
        <w:tc>
          <w:tcPr>
            <w:tcW w:w="2033"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692" w:type="dxa"/>
            <w:noWrap/>
            <w:vAlign w:val="center"/>
          </w:tcPr>
          <w:p>
            <w:pPr>
              <w:ind w:firstLine="0" w:firstLineChars="0"/>
              <w:jc w:val="center"/>
              <w:rPr>
                <w:rFonts w:hint="eastAsia"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4</w:t>
            </w:r>
          </w:p>
        </w:tc>
        <w:tc>
          <w:tcPr>
            <w:tcW w:w="915"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双法兰伸缩接头</w:t>
            </w:r>
          </w:p>
        </w:tc>
        <w:tc>
          <w:tcPr>
            <w:tcW w:w="118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DN900</w:t>
            </w:r>
          </w:p>
        </w:tc>
        <w:tc>
          <w:tcPr>
            <w:tcW w:w="930"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94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1957"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w:t>
            </w:r>
          </w:p>
        </w:tc>
        <w:tc>
          <w:tcPr>
            <w:tcW w:w="2033" w:type="dxa"/>
            <w:vAlign w:val="center"/>
          </w:tcPr>
          <w:p>
            <w:pPr>
              <w:ind w:firstLine="0" w:firstLineChars="0"/>
              <w:jc w:val="both"/>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657" w:type="dxa"/>
            <w:gridSpan w:val="7"/>
            <w:noWrap/>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132705" cy="3054350"/>
                  <wp:effectExtent l="0" t="0" r="10795" b="12700"/>
                  <wp:docPr id="18" name="图片 18" descr="165882135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58821354541"/>
                          <pic:cNvPicPr>
                            <a:picLocks noChangeAspect="1"/>
                          </pic:cNvPicPr>
                        </pic:nvPicPr>
                        <pic:blipFill>
                          <a:blip r:embed="rId18"/>
                          <a:stretch>
                            <a:fillRect/>
                          </a:stretch>
                        </pic:blipFill>
                        <pic:spPr>
                          <a:xfrm>
                            <a:off x="0" y="0"/>
                            <a:ext cx="5132705" cy="3054350"/>
                          </a:xfrm>
                          <a:prstGeom prst="rect">
                            <a:avLst/>
                          </a:prstGeom>
                        </pic:spPr>
                      </pic:pic>
                    </a:graphicData>
                  </a:graphic>
                </wp:inline>
              </w:drawing>
            </w:r>
          </w:p>
          <w:p>
            <w:pPr>
              <w:pStyle w:val="54"/>
              <w:rPr>
                <w:rFonts w:hint="eastAsia"/>
                <w:color w:val="auto"/>
                <w:highlight w:val="none"/>
                <w:lang w:val="en-US" w:eastAsia="zh-CN"/>
              </w:rPr>
            </w:pPr>
          </w:p>
          <w:p>
            <w:pPr>
              <w:pStyle w:val="54"/>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tcBorders>
              <w:left w:val="single" w:color="auto" w:sz="4" w:space="0"/>
              <w:bottom w:val="single" w:color="auto" w:sz="4" w:space="0"/>
            </w:tcBorders>
            <w:noWrap/>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序号</w:t>
            </w:r>
          </w:p>
        </w:tc>
        <w:tc>
          <w:tcPr>
            <w:tcW w:w="915"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名称</w:t>
            </w:r>
          </w:p>
        </w:tc>
        <w:tc>
          <w:tcPr>
            <w:tcW w:w="1185"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规格型号</w:t>
            </w:r>
          </w:p>
        </w:tc>
        <w:tc>
          <w:tcPr>
            <w:tcW w:w="930"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直径D</w:t>
            </w:r>
          </w:p>
        </w:tc>
        <w:tc>
          <w:tcPr>
            <w:tcW w:w="945"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长度L</w:t>
            </w:r>
          </w:p>
        </w:tc>
        <w:tc>
          <w:tcPr>
            <w:tcW w:w="1957"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材质说明</w:t>
            </w:r>
          </w:p>
        </w:tc>
        <w:tc>
          <w:tcPr>
            <w:tcW w:w="2033" w:type="dxa"/>
            <w:tcBorders>
              <w:bottom w:val="single" w:color="auto" w:sz="4" w:space="0"/>
              <w:right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692" w:type="dxa"/>
            <w:tcBorders>
              <w:left w:val="single" w:color="auto" w:sz="4" w:space="0"/>
              <w:bottom w:val="single" w:color="auto" w:sz="4" w:space="0"/>
            </w:tcBorders>
            <w:noWrap/>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5</w:t>
            </w:r>
          </w:p>
        </w:tc>
        <w:tc>
          <w:tcPr>
            <w:tcW w:w="915" w:type="dxa"/>
            <w:tcBorders>
              <w:bottom w:val="single" w:color="auto" w:sz="4" w:space="0"/>
            </w:tcBorders>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可曲挠橡胶接头</w:t>
            </w:r>
          </w:p>
        </w:tc>
        <w:tc>
          <w:tcPr>
            <w:tcW w:w="1185" w:type="dxa"/>
            <w:tcBorders>
              <w:bottom w:val="single" w:color="auto" w:sz="4" w:space="0"/>
            </w:tcBorders>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DN900</w:t>
            </w:r>
          </w:p>
        </w:tc>
        <w:tc>
          <w:tcPr>
            <w:tcW w:w="930" w:type="dxa"/>
            <w:tcBorders>
              <w:bottom w:val="single" w:color="auto" w:sz="4" w:space="0"/>
            </w:tcBorders>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945" w:type="dxa"/>
            <w:tcBorders>
              <w:bottom w:val="single" w:color="auto" w:sz="4" w:space="0"/>
            </w:tcBorders>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1957" w:type="dxa"/>
            <w:tcBorders>
              <w:bottom w:val="single" w:color="auto" w:sz="4" w:space="0"/>
            </w:tcBorders>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w:t>
            </w:r>
          </w:p>
        </w:tc>
        <w:tc>
          <w:tcPr>
            <w:tcW w:w="2033" w:type="dxa"/>
            <w:tcBorders>
              <w:bottom w:val="single" w:color="auto" w:sz="4" w:space="0"/>
              <w:right w:val="single" w:color="auto" w:sz="4" w:space="0"/>
            </w:tcBorders>
            <w:vAlign w:val="center"/>
          </w:tcPr>
          <w:p>
            <w:pPr>
              <w:ind w:firstLine="0" w:firstLineChars="0"/>
              <w:jc w:val="both"/>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8657" w:type="dxa"/>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color w:val="auto"/>
                <w:highlight w:val="none"/>
              </w:rPr>
              <w:drawing>
                <wp:inline distT="0" distB="0" distL="114300" distR="114300">
                  <wp:extent cx="5334635" cy="996315"/>
                  <wp:effectExtent l="0" t="0" r="18415" b="133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9"/>
                          <a:stretch>
                            <a:fillRect/>
                          </a:stretch>
                        </pic:blipFill>
                        <pic:spPr>
                          <a:xfrm>
                            <a:off x="0" y="0"/>
                            <a:ext cx="5334635" cy="996315"/>
                          </a:xfrm>
                          <a:prstGeom prst="rect">
                            <a:avLst/>
                          </a:prstGeom>
                          <a:noFill/>
                          <a:ln>
                            <a:noFill/>
                          </a:ln>
                        </pic:spPr>
                      </pic:pic>
                    </a:graphicData>
                  </a:graphic>
                </wp:inline>
              </w:drawing>
            </w:r>
          </w:p>
          <w:p>
            <w:pPr>
              <w:pStyle w:val="54"/>
              <w:jc w:val="center"/>
              <w:rPr>
                <w:rFonts w:hint="eastAsia" w:eastAsia="仿宋_GB2312"/>
                <w:color w:val="auto"/>
                <w:highlight w:val="none"/>
                <w:lang w:eastAsia="zh-CN"/>
              </w:rPr>
            </w:pPr>
            <w:r>
              <w:rPr>
                <w:rFonts w:hint="eastAsia" w:eastAsia="仿宋_GB2312"/>
                <w:color w:val="auto"/>
                <w:highlight w:val="none"/>
                <w:lang w:eastAsia="zh-CN"/>
              </w:rPr>
              <w:drawing>
                <wp:inline distT="0" distB="0" distL="114300" distR="114300">
                  <wp:extent cx="3595370" cy="4796790"/>
                  <wp:effectExtent l="0" t="0" r="5080" b="3810"/>
                  <wp:docPr id="31" name="图片 31" descr="e83dd877d241d10a3db18ae5b4d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83dd877d241d10a3db18ae5b4dee13"/>
                          <pic:cNvPicPr>
                            <a:picLocks noChangeAspect="1"/>
                          </pic:cNvPicPr>
                        </pic:nvPicPr>
                        <pic:blipFill>
                          <a:blip r:embed="rId20"/>
                          <a:stretch>
                            <a:fillRect/>
                          </a:stretch>
                        </pic:blipFill>
                        <pic:spPr>
                          <a:xfrm>
                            <a:off x="0" y="0"/>
                            <a:ext cx="3595370" cy="4796790"/>
                          </a:xfrm>
                          <a:prstGeom prst="rect">
                            <a:avLst/>
                          </a:prstGeom>
                        </pic:spPr>
                      </pic:pic>
                    </a:graphicData>
                  </a:graphic>
                </wp:inline>
              </w:drawing>
            </w:r>
          </w:p>
          <w:p>
            <w:pPr>
              <w:pStyle w:val="54"/>
              <w:ind w:left="0" w:leftChars="0" w:firstLine="0" w:firstLineChars="0"/>
              <w:rPr>
                <w:rFonts w:hint="eastAsia"/>
                <w:color w:val="auto"/>
                <w:highlight w:val="none"/>
                <w:lang w:val="en-US" w:eastAsia="zh-CN"/>
              </w:rPr>
            </w:pPr>
          </w:p>
        </w:tc>
      </w:tr>
    </w:tbl>
    <w:p>
      <w:pPr>
        <w:pStyle w:val="54"/>
        <w:ind w:left="0" w:leftChars="0" w:firstLine="0" w:firstLineChars="0"/>
        <w:jc w:val="left"/>
        <w:rPr>
          <w:rFonts w:hint="eastAsia"/>
          <w:color w:val="auto"/>
          <w:highlight w:val="none"/>
          <w:lang w:val="en-US" w:eastAsia="zh-CN"/>
        </w:rPr>
      </w:pPr>
    </w:p>
    <w:p>
      <w:pPr>
        <w:pStyle w:val="54"/>
        <w:ind w:left="0" w:leftChars="0" w:firstLine="0" w:firstLineChars="0"/>
        <w:jc w:val="left"/>
        <w:rPr>
          <w:rFonts w:hint="eastAsia"/>
          <w:color w:val="auto"/>
          <w:highlight w:val="none"/>
          <w:lang w:val="en-US" w:eastAsia="zh-CN"/>
        </w:rPr>
      </w:pPr>
    </w:p>
    <w:p>
      <w:pPr>
        <w:pStyle w:val="54"/>
        <w:ind w:left="0" w:leftChars="0" w:firstLine="0" w:firstLineChars="0"/>
        <w:jc w:val="left"/>
        <w:rPr>
          <w:rFonts w:hint="eastAsia"/>
          <w:color w:val="auto"/>
          <w:highlight w:val="none"/>
          <w:lang w:val="en-US" w:eastAsia="zh-CN"/>
        </w:rPr>
      </w:pPr>
    </w:p>
    <w:p>
      <w:pPr>
        <w:pStyle w:val="54"/>
        <w:ind w:left="0" w:leftChars="0" w:firstLine="0" w:firstLineChars="0"/>
        <w:jc w:val="center"/>
        <w:rPr>
          <w:rFonts w:hint="default"/>
          <w:b/>
          <w:bCs/>
          <w:color w:val="auto"/>
          <w:highlight w:val="none"/>
          <w:lang w:val="en-US" w:eastAsia="zh-CN"/>
        </w:rPr>
      </w:pPr>
      <w:r>
        <w:rPr>
          <w:rFonts w:hint="eastAsia"/>
          <w:b/>
          <w:bCs/>
          <w:color w:val="auto"/>
          <w:highlight w:val="none"/>
          <w:lang w:val="en-US" w:eastAsia="zh-CN"/>
        </w:rPr>
        <w:t>GB/T 9113-2010</w:t>
      </w:r>
      <w:r>
        <w:rPr>
          <w:rFonts w:hint="eastAsia" w:hAnsi="仿宋_GB2312" w:cs="仿宋_GB2312"/>
          <w:b/>
          <w:bCs/>
          <w:color w:val="auto"/>
          <w:spacing w:val="-6"/>
          <w:szCs w:val="32"/>
          <w:highlight w:val="none"/>
          <w:lang w:val="en-US" w:eastAsia="zh-CN"/>
        </w:rPr>
        <w:t>《整体钢制管法兰》</w:t>
      </w:r>
      <w:r>
        <w:rPr>
          <w:color w:val="auto"/>
          <w:highlight w:val="none"/>
        </w:rPr>
        <w:drawing>
          <wp:inline distT="0" distB="0" distL="114300" distR="114300">
            <wp:extent cx="5508625" cy="7221855"/>
            <wp:effectExtent l="0" t="0" r="15875" b="1714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1"/>
                    <a:stretch>
                      <a:fillRect/>
                    </a:stretch>
                  </pic:blipFill>
                  <pic:spPr>
                    <a:xfrm>
                      <a:off x="0" y="0"/>
                      <a:ext cx="5508625" cy="7221855"/>
                    </a:xfrm>
                    <a:prstGeom prst="rect">
                      <a:avLst/>
                    </a:prstGeom>
                    <a:noFill/>
                    <a:ln>
                      <a:noFill/>
                    </a:ln>
                  </pic:spPr>
                </pic:pic>
              </a:graphicData>
            </a:graphic>
          </wp:inline>
        </w:drawing>
      </w:r>
    </w:p>
    <w:p>
      <w:pPr>
        <w:pStyle w:val="14"/>
        <w:rPr>
          <w:rFonts w:hint="default"/>
          <w:color w:val="auto"/>
          <w:highlight w:val="none"/>
          <w:lang w:val="en-US" w:eastAsia="zh-CN"/>
        </w:rPr>
      </w:pPr>
      <w:r>
        <w:rPr>
          <w:color w:val="auto"/>
          <w:highlight w:val="none"/>
        </w:rPr>
        <w:drawing>
          <wp:inline distT="0" distB="0" distL="114300" distR="114300">
            <wp:extent cx="5268595" cy="7696835"/>
            <wp:effectExtent l="0" t="0" r="8255" b="184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2"/>
                    <a:stretch>
                      <a:fillRect/>
                    </a:stretch>
                  </pic:blipFill>
                  <pic:spPr>
                    <a:xfrm>
                      <a:off x="0" y="0"/>
                      <a:ext cx="5268595" cy="7696835"/>
                    </a:xfrm>
                    <a:prstGeom prst="rect">
                      <a:avLst/>
                    </a:prstGeom>
                    <a:noFill/>
                    <a:ln>
                      <a:noFill/>
                    </a:ln>
                  </pic:spPr>
                </pic:pic>
              </a:graphicData>
            </a:graphic>
          </wp:inline>
        </w:drawing>
      </w:r>
      <w:r>
        <w:rPr>
          <w:color w:val="auto"/>
          <w:highlight w:val="none"/>
        </w:rPr>
        <w:drawing>
          <wp:inline distT="0" distB="0" distL="114300" distR="114300">
            <wp:extent cx="5353050" cy="7842885"/>
            <wp:effectExtent l="0" t="0" r="0" b="571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3"/>
                    <a:stretch>
                      <a:fillRect/>
                    </a:stretch>
                  </pic:blipFill>
                  <pic:spPr>
                    <a:xfrm>
                      <a:off x="0" y="0"/>
                      <a:ext cx="5353050" cy="7842885"/>
                    </a:xfrm>
                    <a:prstGeom prst="rect">
                      <a:avLst/>
                    </a:prstGeom>
                    <a:noFill/>
                    <a:ln>
                      <a:noFill/>
                    </a:ln>
                  </pic:spPr>
                </pic:pic>
              </a:graphicData>
            </a:graphic>
          </wp:inline>
        </w:drawing>
      </w:r>
    </w:p>
    <w:p>
      <w:pPr>
        <w:pStyle w:val="13"/>
        <w:adjustRightInd w:val="0"/>
        <w:snapToGrid w:val="0"/>
        <w:spacing w:line="520" w:lineRule="exact"/>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1.货期：</w:t>
      </w:r>
      <w:r>
        <w:rPr>
          <w:rFonts w:hint="eastAsia" w:ascii="仿宋_GB2312" w:hAnsi="仿宋_GB2312" w:eastAsia="仿宋_GB2312" w:cs="仿宋_GB2312"/>
          <w:color w:val="auto"/>
          <w:sz w:val="28"/>
          <w:szCs w:val="28"/>
          <w:highlight w:val="none"/>
          <w:lang w:val="en-US" w:eastAsia="zh-CN"/>
        </w:rPr>
        <w:t>在供货期内完成供货</w:t>
      </w:r>
      <w:r>
        <w:rPr>
          <w:rFonts w:hint="eastAsia" w:ascii="仿宋_GB2312" w:hAnsi="仿宋_GB2312" w:eastAsia="仿宋_GB2312" w:cs="仿宋_GB2312"/>
          <w:color w:val="auto"/>
          <w:sz w:val="28"/>
          <w:szCs w:val="28"/>
          <w:highlight w:val="none"/>
        </w:rPr>
        <w:t xml:space="preserve">。 </w:t>
      </w:r>
    </w:p>
    <w:p>
      <w:p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2.质量保证及售后服务：</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）确保货物为原装未拆封或未使用的产品；</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）货物在质保期为自供货验收合格之日起1年内免费提供维保服务。</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）质保期如有质量问题，报价人必须24小时内派技术人员免费到现场进行维修。</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rPr>
        <w:t>）报价人所供货物应为制造商原装出厂包装，包装须符合同等相关标准，因包装不良造成的损失由报价人负责。</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t>）报价人负责将产品送到现场过程中的全部运输，包括装卸车、货物现场的搬运等。</w:t>
      </w:r>
    </w:p>
    <w:p>
      <w:p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.总包及分包规定：</w:t>
      </w:r>
    </w:p>
    <w:p>
      <w:p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 w:val="28"/>
          <w:szCs w:val="28"/>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22"/>
        <w:shd w:val="clear" w:color="auto" w:fill="FFFFFF"/>
        <w:spacing w:before="0" w:beforeAutospacing="0" w:after="0" w:afterAutospacing="0" w:line="520" w:lineRule="exact"/>
        <w:ind w:firstLine="560" w:firstLineChars="200"/>
        <w:jc w:val="both"/>
        <w:rPr>
          <w:rFonts w:hint="eastAsia"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color w:val="auto"/>
          <w:sz w:val="28"/>
          <w:szCs w:val="28"/>
          <w:highlight w:val="none"/>
          <w:shd w:val="clear" w:color="auto" w:fill="FFFFFF"/>
          <w:lang w:val="en-US" w:eastAsia="zh-CN"/>
        </w:rPr>
        <w:t>2</w:t>
      </w:r>
      <w:r>
        <w:rPr>
          <w:rFonts w:hint="eastAsia" w:ascii="仿宋_GB2312" w:hAnsi="仿宋_GB2312" w:eastAsia="仿宋_GB2312" w:cs="仿宋_GB2312"/>
          <w:color w:val="auto"/>
          <w:sz w:val="28"/>
          <w:szCs w:val="28"/>
          <w:highlight w:val="none"/>
          <w:shd w:val="clear" w:color="auto" w:fill="FFFFFF"/>
        </w:rPr>
        <w:t>）发包人有权委托我国相关具有检验资质的部门、单位、机构针对维修后设备的精度、性能进行检验。其检验结果将作为验收标准的组成部分之一。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color w:val="auto"/>
          <w:sz w:val="28"/>
          <w:szCs w:val="28"/>
          <w:highlight w:val="none"/>
          <w:shd w:val="clear" w:color="auto" w:fill="FFFFFF"/>
          <w:lang w:val="en-US" w:eastAsia="zh-CN"/>
        </w:rPr>
        <w:t>3</w:t>
      </w:r>
      <w:r>
        <w:rPr>
          <w:rFonts w:hint="eastAsia" w:ascii="仿宋_GB2312" w:hAnsi="仿宋_GB2312" w:eastAsia="仿宋_GB2312" w:cs="仿宋_GB2312"/>
          <w:color w:val="auto"/>
          <w:sz w:val="28"/>
          <w:szCs w:val="28"/>
          <w:highlight w:val="none"/>
          <w:shd w:val="clear" w:color="auto" w:fill="FFFFFF"/>
        </w:rPr>
        <w:t>）验收时承包单位必须派代表参加。</w:t>
      </w:r>
    </w:p>
    <w:p>
      <w:pPr>
        <w:pStyle w:val="7"/>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color w:val="auto"/>
          <w:sz w:val="28"/>
          <w:szCs w:val="28"/>
          <w:highlight w:val="none"/>
          <w:shd w:val="clear" w:color="auto" w:fill="FFFFFF"/>
          <w:lang w:val="en-US" w:eastAsia="zh-CN"/>
        </w:rPr>
        <w:t>4</w:t>
      </w:r>
      <w:r>
        <w:rPr>
          <w:rFonts w:hint="eastAsia" w:ascii="仿宋_GB2312" w:hAnsi="仿宋_GB2312" w:eastAsia="仿宋_GB2312" w:cs="仿宋_GB2312"/>
          <w:color w:val="auto"/>
          <w:sz w:val="28"/>
          <w:szCs w:val="28"/>
          <w:highlight w:val="none"/>
          <w:shd w:val="clear" w:color="auto" w:fill="FFFFFF"/>
        </w:rPr>
        <w:t>）验收过程所发生的一切费用由承包单位承担。</w:t>
      </w:r>
    </w:p>
    <w:p>
      <w:p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bookmarkEnd w:id="73"/>
    <w:p>
      <w:pPr>
        <w:widowControl/>
        <w:jc w:val="left"/>
        <w:rPr>
          <w:rFonts w:ascii="宋体" w:hAnsi="宋体" w:eastAsia="等线" w:cs="Times New Roman"/>
          <w:color w:val="auto"/>
          <w:kern w:val="0"/>
          <w:sz w:val="24"/>
          <w:szCs w:val="24"/>
          <w:highlight w:val="none"/>
        </w:rPr>
      </w:pPr>
      <w:bookmarkStart w:id="74" w:name="_Toc12135"/>
      <w:bookmarkStart w:id="75" w:name="_Toc23353"/>
      <w:bookmarkStart w:id="76" w:name="_Toc15570"/>
      <w:bookmarkStart w:id="77" w:name="_Toc29835"/>
      <w:bookmarkStart w:id="78" w:name="_Toc1496"/>
      <w:bookmarkStart w:id="79" w:name="_Toc25925"/>
      <w:bookmarkStart w:id="80" w:name="_Toc18538"/>
      <w:bookmarkStart w:id="81" w:name="_Toc23330"/>
      <w:bookmarkStart w:id="82" w:name="_Toc4680"/>
      <w:bookmarkStart w:id="83" w:name="_Toc537"/>
      <w:bookmarkStart w:id="84" w:name="_Toc1284"/>
      <w:r>
        <w:rPr>
          <w:rFonts w:ascii="宋体" w:hAnsi="宋体" w:eastAsia="等线" w:cs="Times New Roman"/>
          <w:bCs/>
          <w:color w:val="auto"/>
          <w:kern w:val="0"/>
          <w:sz w:val="24"/>
          <w:szCs w:val="24"/>
          <w:highlight w:val="none"/>
        </w:rPr>
        <w:br w:type="page"/>
      </w:r>
    </w:p>
    <w:p>
      <w:pPr>
        <w:pStyle w:val="4"/>
        <w:jc w:val="both"/>
        <w:rPr>
          <w:rFonts w:hint="eastAsia" w:ascii="宋体" w:hAnsi="宋体" w:eastAsia="等线" w:cs="Times New Roman"/>
          <w:bCs w:val="0"/>
          <w:color w:val="auto"/>
          <w:kern w:val="0"/>
          <w:sz w:val="24"/>
          <w:szCs w:val="24"/>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481965</wp:posOffset>
                </wp:positionV>
                <wp:extent cx="958850" cy="0"/>
                <wp:effectExtent l="0" t="0" r="12700" b="19050"/>
                <wp:wrapNone/>
                <wp:docPr id="11" name="AutoShape 9"/>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9" o:spid="_x0000_s1026" o:spt="32" type="#_x0000_t32" style="position:absolute;left:0pt;margin-left:181.6pt;margin-top:37.95pt;height:0pt;width:75.5pt;z-index:251665408;mso-width-relative:page;mso-height-relative:page;" filled="f" stroked="t" coordsize="21600,21600" o:gfxdata="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sM03tcAAAAJAQAADwAAAAAAAAABACAAAAAi&#10;AAAAZHJzL2Rvd25yZXYueG1sUEsBAhQAFAAAAAgAh07iQELmozTSAQAAsgMAAA4AAAAAAAAAAQAg&#10;AAAAJgEAAGRycy9lMm9Eb2MueG1sUEsFBgAAAAAGAAYAWQEAAGo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89535</wp:posOffset>
                </wp:positionV>
                <wp:extent cx="958850" cy="0"/>
                <wp:effectExtent l="0" t="0" r="12700" b="19050"/>
                <wp:wrapNone/>
                <wp:docPr id="10" name="AutoShape 8"/>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8" o:spid="_x0000_s1026" o:spt="32" type="#_x0000_t32" style="position:absolute;left:0pt;margin-left:183.1pt;margin-top:7.05pt;height:0pt;width:75.5pt;z-index:251664384;mso-width-relative:page;mso-height-relative:page;" filled="f" stroked="t" coordsize="21600,21600" o:gfxdata="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wsxt1gAAAAkBAAAPAAAAAAAAAAEAIAAAACIA&#10;AABkcnMvZG93bnJldi54bWxQSwECFAAUAAAACACHTuJAaRkJitIBAACyAwAADgAAAAAAAAABACAA&#10;AAAlAQAAZHJzL2Uyb0RvYy54bWxQSwUGAAAAAAYABgBZAQAAaQUAAAAA&#10;">
                <v:fill on="f" focussize="0,0"/>
                <v:stroke color="#000000" joinstyle="round"/>
                <v:imagedata o:title=""/>
                <o:lock v:ext="edit" aspectratio="f"/>
              </v:shape>
            </w:pict>
          </mc:Fallback>
        </mc:AlternateContent>
      </w:r>
      <w:r>
        <w:rPr>
          <w:rFonts w:hint="eastAsia"/>
          <w:color w:val="auto"/>
          <w:highlight w:val="none"/>
        </w:rPr>
        <w:t>第六章</w:t>
      </w:r>
      <w:bookmarkEnd w:id="74"/>
      <w:bookmarkEnd w:id="75"/>
      <w:bookmarkEnd w:id="76"/>
      <w:bookmarkEnd w:id="77"/>
      <w:bookmarkEnd w:id="78"/>
      <w:bookmarkEnd w:id="79"/>
      <w:bookmarkEnd w:id="80"/>
      <w:bookmarkEnd w:id="81"/>
      <w:bookmarkEnd w:id="82"/>
      <w:bookmarkEnd w:id="83"/>
      <w:bookmarkEnd w:id="84"/>
    </w:p>
    <w:p>
      <w:pPr>
        <w:pStyle w:val="41"/>
        <w:rPr>
          <w:color w:val="auto"/>
          <w:highlight w:val="none"/>
        </w:rPr>
      </w:pPr>
    </w:p>
    <w:p>
      <w:pPr>
        <w:pStyle w:val="4"/>
        <w:rPr>
          <w:color w:val="auto"/>
          <w:highlight w:val="none"/>
        </w:rPr>
      </w:pPr>
      <w:bookmarkStart w:id="85" w:name="_Toc22797"/>
      <w:bookmarkStart w:id="86" w:name="_Toc88209949"/>
      <w:bookmarkStart w:id="87" w:name="_Toc13309"/>
      <w:bookmarkStart w:id="88" w:name="_Toc8183"/>
      <w:bookmarkStart w:id="89" w:name="_Toc22501"/>
      <w:bookmarkStart w:id="90" w:name="_Toc19088"/>
      <w:bookmarkStart w:id="91" w:name="_Toc323"/>
      <w:bookmarkStart w:id="92" w:name="_Toc19686"/>
      <w:bookmarkStart w:id="93" w:name="_Toc12721"/>
      <w:bookmarkStart w:id="94" w:name="_Toc12968"/>
      <w:bookmarkStart w:id="95" w:name="_Toc1375"/>
      <w:bookmarkStart w:id="96" w:name="_Toc12980"/>
      <w:bookmarkStart w:id="97" w:name="_Toc87616386"/>
      <w:r>
        <w:rPr>
          <w:rFonts w:hint="eastAsia"/>
          <w:color w:val="auto"/>
          <w:highlight w:val="none"/>
        </w:rPr>
        <w:t>合同</w:t>
      </w:r>
      <w:bookmarkEnd w:id="85"/>
      <w:bookmarkEnd w:id="86"/>
      <w:bookmarkEnd w:id="87"/>
      <w:bookmarkEnd w:id="88"/>
      <w:bookmarkEnd w:id="89"/>
      <w:bookmarkEnd w:id="90"/>
      <w:bookmarkEnd w:id="91"/>
      <w:bookmarkEnd w:id="92"/>
      <w:bookmarkEnd w:id="93"/>
      <w:bookmarkEnd w:id="94"/>
      <w:bookmarkEnd w:id="95"/>
      <w:bookmarkEnd w:id="96"/>
      <w:bookmarkEnd w:id="97"/>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28"/>
          <w:szCs w:val="28"/>
          <w:highlight w:val="none"/>
        </w:rPr>
      </w:pPr>
    </w:p>
    <w:p>
      <w:pPr>
        <w:adjustRightInd w:val="0"/>
        <w:snapToGrid w:val="0"/>
        <w:spacing w:before="156" w:beforeLines="50" w:after="156" w:afterLines="50" w:line="600" w:lineRule="exact"/>
        <w:jc w:val="center"/>
        <w:rPr>
          <w:rFonts w:ascii="方正小标宋简体" w:eastAsia="方正小标宋简体"/>
          <w:color w:val="auto"/>
          <w:sz w:val="28"/>
          <w:szCs w:val="28"/>
          <w:highlight w:val="none"/>
        </w:rPr>
      </w:pPr>
    </w:p>
    <w:p>
      <w:pPr>
        <w:adjustRightInd w:val="0"/>
        <w:snapToGrid w:val="0"/>
        <w:spacing w:before="156" w:beforeLines="50" w:after="156" w:afterLines="50" w:line="600" w:lineRule="exact"/>
        <w:jc w:val="center"/>
        <w:rPr>
          <w:rFonts w:ascii="方正小标宋简体" w:eastAsia="方正小标宋简体"/>
          <w:color w:val="auto"/>
          <w:sz w:val="28"/>
          <w:szCs w:val="28"/>
          <w:highlight w:val="none"/>
        </w:rPr>
      </w:pPr>
    </w:p>
    <w:p>
      <w:pPr>
        <w:widowControl/>
        <w:jc w:val="left"/>
        <w:rPr>
          <w:rFonts w:ascii="方正小标宋简体" w:eastAsia="方正小标宋简体"/>
          <w:color w:val="auto"/>
          <w:sz w:val="28"/>
          <w:szCs w:val="28"/>
          <w:highlight w:val="none"/>
        </w:rPr>
      </w:pPr>
      <w:r>
        <w:rPr>
          <w:rFonts w:ascii="方正小标宋简体" w:eastAsia="方正小标宋简体"/>
          <w:color w:val="auto"/>
          <w:sz w:val="28"/>
          <w:szCs w:val="28"/>
          <w:highlight w:val="none"/>
        </w:rPr>
        <w:br w:type="page"/>
      </w:r>
    </w:p>
    <w:p>
      <w:pPr>
        <w:widowControl w:val="0"/>
        <w:spacing w:after="0" w:line="400" w:lineRule="atLeast"/>
        <w:jc w:val="center"/>
        <w:rPr>
          <w:rFonts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pPr>
      <w:r>
        <w:rPr>
          <w:rFonts w:hint="eastAsia"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t>广州市净水有限公司</w:t>
      </w:r>
    </w:p>
    <w:p>
      <w:pPr>
        <w:widowControl w:val="0"/>
        <w:spacing w:after="0" w:line="400" w:lineRule="atLeast"/>
        <w:jc w:val="center"/>
        <w:rPr>
          <w:rFonts w:hint="eastAsia"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pPr>
      <w:r>
        <w:rPr>
          <w:rFonts w:hint="eastAsia"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t>设备采购合同</w:t>
      </w:r>
    </w:p>
    <w:p>
      <w:pPr>
        <w:jc w:val="center"/>
        <w:rPr>
          <w:color w:val="auto"/>
          <w:sz w:val="30"/>
          <w:highlight w:val="none"/>
        </w:rPr>
      </w:pPr>
    </w:p>
    <w:p>
      <w:pPr>
        <w:pStyle w:val="2"/>
        <w:ind w:firstLine="600"/>
        <w:rPr>
          <w:rFonts w:hint="default"/>
          <w:color w:val="auto"/>
          <w:sz w:val="30"/>
          <w:highlight w:val="none"/>
        </w:rPr>
      </w:pPr>
    </w:p>
    <w:p>
      <w:pPr>
        <w:pStyle w:val="2"/>
        <w:ind w:firstLine="600"/>
        <w:rPr>
          <w:rFonts w:hint="default"/>
          <w:color w:val="auto"/>
          <w:sz w:val="30"/>
          <w:highlight w:val="none"/>
        </w:rPr>
      </w:pPr>
    </w:p>
    <w:p>
      <w:pPr>
        <w:rPr>
          <w:b/>
          <w:bCs/>
          <w:color w:val="auto"/>
          <w:sz w:val="30"/>
          <w:highlight w:val="none"/>
        </w:rPr>
      </w:pPr>
    </w:p>
    <w:p>
      <w:pPr>
        <w:spacing w:line="480" w:lineRule="auto"/>
        <w:rPr>
          <w:rFonts w:hint="eastAsia" w:ascii="宋体" w:hAnsi="宋体" w:cs="宋体"/>
          <w:b/>
          <w:bCs/>
          <w:color w:val="auto"/>
          <w:sz w:val="30"/>
          <w:highlight w:val="none"/>
        </w:rPr>
      </w:pPr>
      <w:r>
        <w:rPr>
          <w:rFonts w:hint="eastAsia" w:ascii="宋体" w:hAnsi="宋体" w:cs="宋体"/>
          <w:b/>
          <w:bCs/>
          <w:color w:val="auto"/>
          <w:sz w:val="30"/>
          <w:highlight w:val="none"/>
        </w:rPr>
        <w:t>项目名称：广州市净水有限公司2022年猎德、大坦沙、大观分公司阀门采购项目</w:t>
      </w: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项目编号：</w:t>
      </w:r>
    </w:p>
    <w:p>
      <w:pPr>
        <w:spacing w:line="480" w:lineRule="auto"/>
        <w:rPr>
          <w:rFonts w:ascii="宋体" w:hAnsi="宋体" w:cs="宋体"/>
          <w:b/>
          <w:bCs/>
          <w:color w:val="auto"/>
          <w:sz w:val="30"/>
          <w:highlight w:val="none"/>
        </w:rPr>
      </w:pPr>
    </w:p>
    <w:p>
      <w:pPr>
        <w:spacing w:line="480" w:lineRule="auto"/>
        <w:rPr>
          <w:rFonts w:ascii="宋体" w:hAnsi="宋体" w:cs="宋体"/>
          <w:b/>
          <w:bCs/>
          <w:color w:val="auto"/>
          <w:sz w:val="30"/>
          <w:szCs w:val="30"/>
          <w:highlight w:val="none"/>
        </w:rPr>
      </w:pPr>
      <w:r>
        <w:rPr>
          <w:rFonts w:hint="eastAsia" w:ascii="宋体" w:hAnsi="宋体" w:cs="宋体"/>
          <w:b/>
          <w:bCs/>
          <w:color w:val="auto"/>
          <w:sz w:val="30"/>
          <w:highlight w:val="none"/>
        </w:rPr>
        <w:t>合同编号：</w:t>
      </w:r>
      <w:r>
        <w:rPr>
          <w:rFonts w:hint="eastAsia" w:ascii="宋体" w:hAnsi="宋体" w:cs="宋体"/>
          <w:b/>
          <w:bCs/>
          <w:color w:val="auto"/>
          <w:sz w:val="30"/>
          <w:szCs w:val="30"/>
          <w:highlight w:val="none"/>
        </w:rPr>
        <w:t>穗净水合[     ]    号</w:t>
      </w:r>
    </w:p>
    <w:p>
      <w:pPr>
        <w:spacing w:line="480" w:lineRule="auto"/>
        <w:rPr>
          <w:rFonts w:ascii="宋体" w:hAnsi="宋体" w:cs="宋体"/>
          <w:b/>
          <w:bCs/>
          <w:color w:val="auto"/>
          <w:sz w:val="30"/>
          <w:highlight w:val="none"/>
        </w:rPr>
      </w:pP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甲方（买方）：广州市净水有限公司</w:t>
      </w: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乙方（卖方）：</w:t>
      </w:r>
      <w:r>
        <w:rPr>
          <w:rFonts w:hint="eastAsia" w:ascii="宋体" w:hAnsi="宋体" w:cs="宋体"/>
          <w:b/>
          <w:bCs/>
          <w:color w:val="auto"/>
          <w:sz w:val="30"/>
          <w:highlight w:val="none"/>
          <w:u w:val="single"/>
        </w:rPr>
        <w:t xml:space="preserve">                      </w:t>
      </w:r>
    </w:p>
    <w:p>
      <w:pPr>
        <w:spacing w:line="480" w:lineRule="auto"/>
        <w:rPr>
          <w:rFonts w:hint="eastAsia" w:ascii="宋体" w:hAnsi="宋体" w:cs="宋体"/>
          <w:b/>
          <w:bCs/>
          <w:color w:val="auto"/>
          <w:sz w:val="30"/>
          <w:highlight w:val="none"/>
        </w:rPr>
      </w:pPr>
    </w:p>
    <w:p>
      <w:pPr>
        <w:spacing w:line="480" w:lineRule="auto"/>
        <w:rPr>
          <w:rFonts w:hint="eastAsia" w:ascii="宋体" w:hAnsi="宋体" w:cs="宋体"/>
          <w:b/>
          <w:bCs/>
          <w:color w:val="auto"/>
          <w:sz w:val="30"/>
          <w:highlight w:val="none"/>
        </w:rPr>
      </w:pP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签订日期：      年     月    日</w:t>
      </w:r>
    </w:p>
    <w:p>
      <w:pPr>
        <w:spacing w:line="480" w:lineRule="auto"/>
        <w:rPr>
          <w:rFonts w:hint="eastAsia" w:ascii="宋体" w:hAnsi="宋体" w:cs="宋体"/>
          <w:b/>
          <w:bCs/>
          <w:color w:val="auto"/>
          <w:sz w:val="30"/>
          <w:highlight w:val="none"/>
        </w:rPr>
      </w:pPr>
    </w:p>
    <w:p>
      <w:pPr>
        <w:spacing w:line="480" w:lineRule="auto"/>
        <w:rPr>
          <w:b/>
          <w:bCs/>
          <w:color w:val="auto"/>
          <w:sz w:val="30"/>
          <w:highlight w:val="none"/>
        </w:rPr>
      </w:pPr>
      <w:r>
        <w:rPr>
          <w:rFonts w:hint="eastAsia" w:ascii="宋体" w:hAnsi="宋体" w:cs="宋体"/>
          <w:b/>
          <w:bCs/>
          <w:color w:val="auto"/>
          <w:sz w:val="30"/>
          <w:highlight w:val="none"/>
        </w:rPr>
        <w:t>签约地点：广州市</w:t>
      </w:r>
    </w:p>
    <w:p>
      <w:pPr>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根据《中华人民共和国民法典》及其他有关法律、行政法规，</w:t>
      </w:r>
      <w:r>
        <w:rPr>
          <w:rFonts w:hint="eastAsia" w:ascii="宋体" w:hAnsi="宋体" w:cs="宋体"/>
          <w:color w:val="auto"/>
          <w:sz w:val="24"/>
          <w:szCs w:val="24"/>
          <w:highlight w:val="none"/>
          <w:u w:val="single"/>
        </w:rPr>
        <w:t>广州市净水有限公司</w:t>
      </w:r>
      <w:r>
        <w:rPr>
          <w:rFonts w:hint="eastAsia" w:ascii="宋体" w:hAnsi="宋体" w:cs="宋体"/>
          <w:color w:val="auto"/>
          <w:sz w:val="24"/>
          <w:szCs w:val="24"/>
          <w:highlight w:val="none"/>
        </w:rPr>
        <w:t xml:space="preserve"> （以下简称“甲方”）与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（以下简称“乙方”）就 </w:t>
      </w:r>
      <w:r>
        <w:rPr>
          <w:rFonts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广州市净水有限公司2022年猎德、大坦沙、大观分公司阀门采购项目</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采购事宜，遵循平等、自愿、公平和诚实信用的原则，双方协商一致，订立本合同。</w:t>
      </w:r>
      <w:bookmarkStart w:id="98" w:name="_Toc474245209"/>
      <w:bookmarkStart w:id="99" w:name="_Toc518992985"/>
      <w:bookmarkStart w:id="100" w:name="_Toc520190025"/>
      <w:bookmarkStart w:id="101" w:name="_Toc183666512"/>
      <w:bookmarkStart w:id="102" w:name="_Toc10888"/>
      <w:r>
        <w:rPr>
          <w:rFonts w:hint="eastAsia" w:ascii="宋体" w:hAnsi="宋体" w:cs="宋体"/>
          <w:color w:val="auto"/>
          <w:sz w:val="24"/>
          <w:szCs w:val="24"/>
          <w:highlight w:val="none"/>
        </w:rPr>
        <w:t xml:space="preserve"> </w:t>
      </w:r>
      <w:bookmarkEnd w:id="98"/>
      <w:bookmarkEnd w:id="99"/>
      <w:bookmarkEnd w:id="100"/>
      <w:bookmarkEnd w:id="101"/>
      <w:bookmarkEnd w:id="102"/>
      <w:bookmarkStart w:id="103" w:name="_Toc518992986"/>
      <w:bookmarkStart w:id="104" w:name="_Toc1018"/>
      <w:bookmarkStart w:id="105" w:name="_Toc183666513"/>
      <w:bookmarkStart w:id="106" w:name="_Toc474245210"/>
      <w:bookmarkStart w:id="107" w:name="_Toc520190026"/>
    </w:p>
    <w:p>
      <w:pPr>
        <w:pStyle w:val="10"/>
        <w:tabs>
          <w:tab w:val="left" w:pos="720"/>
        </w:tabs>
        <w:spacing w:line="440" w:lineRule="exact"/>
        <w:ind w:firstLine="482" w:firstLineChars="200"/>
        <w:rPr>
          <w:rFonts w:hAnsi="宋体" w:cs="宋体"/>
          <w:color w:val="auto"/>
          <w:sz w:val="24"/>
          <w:szCs w:val="24"/>
          <w:highlight w:val="none"/>
        </w:rPr>
      </w:pPr>
      <w:r>
        <w:rPr>
          <w:rFonts w:hint="eastAsia" w:hAnsi="宋体" w:cs="宋体"/>
          <w:b/>
          <w:bCs/>
          <w:color w:val="auto"/>
          <w:sz w:val="24"/>
          <w:szCs w:val="24"/>
          <w:highlight w:val="none"/>
        </w:rPr>
        <w:t>第一条</w:t>
      </w:r>
      <w:r>
        <w:rPr>
          <w:rFonts w:hint="eastAsia" w:hAnsi="宋体" w:cs="宋体"/>
          <w:color w:val="auto"/>
          <w:sz w:val="24"/>
          <w:szCs w:val="24"/>
          <w:highlight w:val="none"/>
        </w:rPr>
        <w:t xml:space="preserve"> </w:t>
      </w:r>
      <w:r>
        <w:rPr>
          <w:rFonts w:hint="eastAsia" w:hAnsi="宋体" w:cs="宋体"/>
          <w:b/>
          <w:bCs/>
          <w:color w:val="auto"/>
          <w:sz w:val="24"/>
          <w:szCs w:val="24"/>
          <w:highlight w:val="none"/>
        </w:rPr>
        <w:t>组成合同的文件及优先顺序</w:t>
      </w:r>
    </w:p>
    <w:p>
      <w:pPr>
        <w:pStyle w:val="10"/>
        <w:tabs>
          <w:tab w:val="left" w:pos="720"/>
        </w:tabs>
        <w:spacing w:line="440" w:lineRule="exact"/>
        <w:ind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下列文件（如有）均为本合同的组成部分，可视为能相互说明和补充的，如果合同文件存在歧义或相矛盾的地方，则根据以下次序判断：</w:t>
      </w:r>
    </w:p>
    <w:p>
      <w:pPr>
        <w:spacing w:line="440" w:lineRule="exact"/>
        <w:ind w:firstLine="482"/>
        <w:rPr>
          <w:rFonts w:ascii="宋体" w:hAnsi="宋体" w:cs="宋体"/>
          <w:color w:val="auto"/>
          <w:sz w:val="24"/>
          <w:szCs w:val="24"/>
          <w:highlight w:val="none"/>
        </w:rPr>
      </w:pPr>
      <w:r>
        <w:rPr>
          <w:rFonts w:hint="eastAsia" w:ascii="宋体" w:hAnsi="宋体" w:cs="宋体"/>
          <w:color w:val="auto"/>
          <w:sz w:val="24"/>
          <w:szCs w:val="24"/>
          <w:highlight w:val="none"/>
        </w:rPr>
        <w:t>⑴</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在本合同实施过程双方签署的补充与修正文件；</w:t>
      </w:r>
    </w:p>
    <w:p>
      <w:pPr>
        <w:spacing w:line="320" w:lineRule="exact"/>
        <w:ind w:firstLine="482"/>
        <w:rPr>
          <w:rFonts w:ascii="宋体" w:hAnsi="宋体" w:cs="宋体"/>
          <w:color w:val="auto"/>
          <w:sz w:val="24"/>
          <w:szCs w:val="24"/>
          <w:highlight w:val="none"/>
        </w:rPr>
      </w:pPr>
      <w:r>
        <w:rPr>
          <w:rFonts w:hint="eastAsia" w:ascii="宋体" w:hAnsi="宋体" w:cs="宋体"/>
          <w:color w:val="auto"/>
          <w:sz w:val="24"/>
          <w:szCs w:val="24"/>
          <w:highlight w:val="none"/>
        </w:rPr>
        <w:t>⑵</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本合同书；</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⑶ 发包通知书/成交通知书/委托函；</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widowControl w:val="0"/>
        <w:numPr>
          <w:ilvl w:val="255"/>
          <w:numId w:val="0"/>
        </w:numPr>
        <w:spacing w:after="0" w:line="320" w:lineRule="exact"/>
        <w:ind w:firstLine="480" w:firstLineChars="200"/>
        <w:jc w:val="both"/>
        <w:rPr>
          <w:rFonts w:ascii="宋体" w:hAnsi="宋体" w:cs="宋体"/>
          <w:b/>
          <w:color w:val="auto"/>
          <w:sz w:val="24"/>
          <w:szCs w:val="24"/>
          <w:highlight w:val="none"/>
        </w:rPr>
      </w:pPr>
      <w:r>
        <w:rPr>
          <w:rFonts w:hint="eastAsia" w:ascii="宋体" w:hAnsi="宋体" w:cs="宋体"/>
          <w:bCs/>
          <w:color w:val="auto"/>
          <w:sz w:val="24"/>
          <w:highlight w:val="none"/>
        </w:rPr>
        <w:t>⑼ 本合同其他附件；</w:t>
      </w:r>
    </w:p>
    <w:p>
      <w:pPr>
        <w:widowControl w:val="0"/>
        <w:numPr>
          <w:ilvl w:val="255"/>
          <w:numId w:val="0"/>
        </w:numPr>
        <w:spacing w:after="0" w:line="460" w:lineRule="exact"/>
        <w:ind w:firstLine="482" w:firstLineChars="200"/>
        <w:jc w:val="both"/>
        <w:rPr>
          <w:rFonts w:ascii="宋体" w:hAnsi="宋体" w:cs="宋体"/>
          <w:color w:val="auto"/>
          <w:sz w:val="24"/>
          <w:szCs w:val="24"/>
          <w:highlight w:val="none"/>
        </w:rPr>
      </w:pPr>
      <w:r>
        <w:rPr>
          <w:rFonts w:hint="eastAsia" w:ascii="宋体" w:hAnsi="宋体" w:cs="宋体"/>
          <w:b/>
          <w:color w:val="auto"/>
          <w:sz w:val="24"/>
          <w:szCs w:val="24"/>
          <w:highlight w:val="none"/>
        </w:rPr>
        <w:t xml:space="preserve">第二条 </w:t>
      </w:r>
      <w:bookmarkEnd w:id="103"/>
      <w:bookmarkEnd w:id="104"/>
      <w:bookmarkEnd w:id="105"/>
      <w:bookmarkEnd w:id="106"/>
      <w:bookmarkEnd w:id="107"/>
      <w:r>
        <w:rPr>
          <w:rFonts w:hint="eastAsia" w:ascii="宋体" w:hAnsi="宋体" w:cs="宋体"/>
          <w:b/>
          <w:color w:val="auto"/>
          <w:sz w:val="24"/>
          <w:szCs w:val="24"/>
          <w:highlight w:val="none"/>
        </w:rPr>
        <w:t>合同标的</w:t>
      </w:r>
    </w:p>
    <w:tbl>
      <w:tblPr>
        <w:tblStyle w:val="24"/>
        <w:tblpPr w:leftFromText="180" w:rightFromText="180" w:vertAnchor="text" w:horzAnchor="page" w:tblpXSpec="center" w:tblpY="1351"/>
        <w:tblOverlap w:val="never"/>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87"/>
        <w:gridCol w:w="1075"/>
        <w:gridCol w:w="502"/>
        <w:gridCol w:w="1185"/>
        <w:gridCol w:w="1052"/>
        <w:gridCol w:w="495"/>
        <w:gridCol w:w="850"/>
        <w:gridCol w:w="782"/>
        <w:gridCol w:w="926"/>
        <w:gridCol w:w="921"/>
        <w:gridCol w:w="5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序号</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名称</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品牌</w:t>
            </w:r>
          </w:p>
        </w:tc>
        <w:tc>
          <w:tcPr>
            <w:tcW w:w="668"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型号</w:t>
            </w: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单位</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数量</w:t>
            </w:r>
          </w:p>
        </w:tc>
        <w:tc>
          <w:tcPr>
            <w:tcW w:w="920" w:type="pct"/>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单价（元）</w:t>
            </w:r>
          </w:p>
        </w:tc>
        <w:tc>
          <w:tcPr>
            <w:tcW w:w="1041" w:type="pct"/>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总价（元）</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jc w:val="center"/>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含税</w:t>
            </w: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不含税</w:t>
            </w: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含税</w:t>
            </w: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不含税</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项目一</w:t>
            </w: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Times New Roman" w:eastAsia="仿宋_GB2312" w:cs="Times New Roman"/>
                <w:color w:val="auto"/>
                <w:kern w:val="2"/>
                <w:sz w:val="24"/>
                <w:szCs w:val="28"/>
                <w:highlight w:val="none"/>
                <w:lang w:val="en-US" w:eastAsia="zh-CN" w:bidi="ar-SA"/>
              </w:rPr>
            </w:pPr>
            <w:r>
              <w:rPr>
                <w:rFonts w:hint="eastAsia" w:ascii="仿宋_GB2312" w:hAnsi="仿宋" w:eastAsia="仿宋_GB2312" w:cs="宋体"/>
                <w:color w:val="auto"/>
                <w:kern w:val="0"/>
                <w:sz w:val="24"/>
                <w:szCs w:val="28"/>
                <w:highlight w:val="none"/>
              </w:rPr>
              <w:t>止回阀</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4</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auto"/>
                <w:sz w:val="24"/>
                <w:szCs w:val="24"/>
                <w:highlight w:val="none"/>
                <w:u w:val="none"/>
                <w:lang w:val="en-US"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电动蝶阀</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4</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项目二</w:t>
            </w: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一期沉砂池电动阀门</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3</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项目三</w:t>
            </w: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4</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项目四</w:t>
            </w: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合计</w:t>
            </w:r>
          </w:p>
        </w:tc>
        <w:tc>
          <w:tcPr>
            <w:tcW w:w="4724" w:type="pct"/>
            <w:gridSpan w:val="10"/>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auto"/>
                <w:sz w:val="24"/>
                <w:szCs w:val="24"/>
                <w:highlight w:val="none"/>
                <w:u w:val="none"/>
              </w:rPr>
            </w:pPr>
            <w:r>
              <w:rPr>
                <w:rStyle w:val="58"/>
                <w:color w:val="auto"/>
                <w:highlight w:val="none"/>
                <w:lang w:val="en-US" w:eastAsia="zh-CN" w:bidi="ar"/>
              </w:rPr>
              <w:t>含税总价（元）：</w:t>
            </w:r>
            <w:r>
              <w:rPr>
                <w:rStyle w:val="58"/>
                <w:rFonts w:hint="eastAsia"/>
                <w:color w:val="auto"/>
                <w:highlight w:val="none"/>
                <w:lang w:val="en-US" w:eastAsia="zh-CN" w:bidi="ar"/>
              </w:rPr>
              <w:t xml:space="preserve">      </w:t>
            </w:r>
            <w:r>
              <w:rPr>
                <w:rStyle w:val="58"/>
                <w:color w:val="auto"/>
                <w:highlight w:val="none"/>
                <w:lang w:val="en-US" w:eastAsia="zh-CN" w:bidi="ar"/>
              </w:rPr>
              <w:t>；    税率：</w:t>
            </w:r>
            <w:r>
              <w:rPr>
                <w:rStyle w:val="59"/>
                <w:color w:val="auto"/>
                <w:highlight w:val="none"/>
                <w:lang w:val="en-US" w:eastAsia="zh-CN" w:bidi="ar"/>
              </w:rPr>
              <w:t xml:space="preserve">  </w:t>
            </w:r>
            <w:r>
              <w:rPr>
                <w:rStyle w:val="59"/>
                <w:rFonts w:hint="eastAsia"/>
                <w:color w:val="auto"/>
                <w:highlight w:val="none"/>
                <w:lang w:val="en-US" w:eastAsia="zh-CN" w:bidi="ar"/>
              </w:rPr>
              <w:t xml:space="preserve">   </w:t>
            </w:r>
            <w:r>
              <w:rPr>
                <w:rStyle w:val="59"/>
                <w:color w:val="auto"/>
                <w:highlight w:val="none"/>
                <w:lang w:val="en-US" w:eastAsia="zh-CN" w:bidi="ar"/>
              </w:rPr>
              <w:t xml:space="preserve">  </w:t>
            </w:r>
            <w:r>
              <w:rPr>
                <w:rStyle w:val="58"/>
                <w:color w:val="auto"/>
                <w:highlight w:val="none"/>
                <w:lang w:val="en-US" w:eastAsia="zh-CN" w:bidi="ar"/>
              </w:rPr>
              <w:t xml:space="preserve"> %</w:t>
            </w:r>
          </w:p>
        </w:tc>
      </w:tr>
    </w:tbl>
    <w:p>
      <w:pP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本合同所指设备为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全新的原装产品，原产地为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rPr>
        <w:t>其</w:t>
      </w:r>
      <w:r>
        <w:rPr>
          <w:rFonts w:hint="eastAsia" w:ascii="宋体" w:hAnsi="宋体" w:cs="宋体"/>
          <w:color w:val="auto"/>
          <w:kern w:val="0"/>
          <w:sz w:val="24"/>
          <w:szCs w:val="24"/>
          <w:highlight w:val="none"/>
          <w:lang w:val="zh-CN"/>
        </w:rPr>
        <w:t>名称、型号、规格、数量、金额详见下表：</w:t>
      </w:r>
    </w:p>
    <w:p>
      <w:pPr>
        <w:spacing w:after="120" w:line="460" w:lineRule="exact"/>
        <w:rPr>
          <w:color w:val="auto"/>
          <w:highlight w:val="none"/>
          <w:lang w:val="zh-CN"/>
        </w:rPr>
      </w:pPr>
      <w:r>
        <w:rPr>
          <w:rFonts w:hint="eastAsia" w:ascii="宋体" w:hAnsi="宋体" w:cs="宋体"/>
          <w:color w:val="auto"/>
          <w:kern w:val="0"/>
          <w:sz w:val="24"/>
          <w:szCs w:val="24"/>
          <w:highlight w:val="none"/>
          <w:lang w:val="zh-CN"/>
        </w:rPr>
        <w:t>其他</w:t>
      </w:r>
      <w:r>
        <w:rPr>
          <w:rFonts w:hint="eastAsia" w:ascii="宋体" w:hAnsi="宋体" w:cs="宋体"/>
          <w:color w:val="auto"/>
          <w:kern w:val="0"/>
          <w:sz w:val="24"/>
          <w:szCs w:val="24"/>
          <w:highlight w:val="none"/>
        </w:rPr>
        <w:t>采购</w:t>
      </w:r>
      <w:r>
        <w:rPr>
          <w:rFonts w:hint="eastAsia" w:ascii="宋体" w:hAnsi="宋体" w:cs="宋体"/>
          <w:color w:val="auto"/>
          <w:kern w:val="0"/>
          <w:sz w:val="24"/>
          <w:szCs w:val="24"/>
          <w:highlight w:val="none"/>
          <w:lang w:val="zh-CN"/>
        </w:rPr>
        <w:t>需求见附件（如</w:t>
      </w:r>
      <w:r>
        <w:rPr>
          <w:rFonts w:hint="eastAsia" w:ascii="宋体" w:hAnsi="宋体" w:cs="宋体"/>
          <w:color w:val="auto"/>
          <w:kern w:val="0"/>
          <w:sz w:val="24"/>
          <w:szCs w:val="24"/>
          <w:highlight w:val="none"/>
        </w:rPr>
        <w:t>有</w:t>
      </w:r>
      <w:r>
        <w:rPr>
          <w:rFonts w:hint="eastAsia" w:ascii="宋体" w:hAnsi="宋体" w:cs="宋体"/>
          <w:color w:val="auto"/>
          <w:kern w:val="0"/>
          <w:sz w:val="24"/>
          <w:szCs w:val="24"/>
          <w:highlight w:val="none"/>
          <w:lang w:val="zh-CN"/>
        </w:rPr>
        <w:t>）。</w:t>
      </w:r>
    </w:p>
    <w:p>
      <w:pPr>
        <w:adjustRightInd w:val="0"/>
        <w:snapToGrid w:val="0"/>
        <w:spacing w:line="460" w:lineRule="exact"/>
        <w:ind w:firstLine="482" w:firstLineChars="200"/>
        <w:rPr>
          <w:rFonts w:ascii="宋体" w:hAnsi="宋体" w:cs="宋体"/>
          <w:b/>
          <w:bCs/>
          <w:color w:val="auto"/>
          <w:kern w:val="0"/>
          <w:sz w:val="24"/>
          <w:szCs w:val="24"/>
          <w:highlight w:val="none"/>
          <w:lang w:val="zh-CN"/>
        </w:rPr>
      </w:pPr>
      <w:r>
        <w:rPr>
          <w:rFonts w:hint="eastAsia" w:ascii="宋体" w:hAnsi="宋体" w:cs="宋体"/>
          <w:b/>
          <w:bCs/>
          <w:color w:val="auto"/>
          <w:kern w:val="0"/>
          <w:sz w:val="24"/>
          <w:szCs w:val="24"/>
          <w:highlight w:val="none"/>
          <w:lang w:val="zh-CN"/>
        </w:rPr>
        <w:t>第三条 交货日期及地点</w:t>
      </w:r>
    </w:p>
    <w:p>
      <w:pPr>
        <w:spacing w:after="120" w:afterLines="50"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 xml:space="preserve">3.1 </w:t>
      </w:r>
      <w:r>
        <w:rPr>
          <w:rFonts w:hint="eastAsia" w:ascii="宋体" w:hAnsi="宋体" w:cs="宋体"/>
          <w:color w:val="auto"/>
          <w:sz w:val="24"/>
          <w:szCs w:val="24"/>
          <w:highlight w:val="none"/>
        </w:rPr>
        <w:t>交货日期</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自合同签订后 / 天内</w:t>
      </w:r>
      <w:r>
        <w:rPr>
          <w:rFonts w:hint="eastAsia" w:ascii="宋体" w:hAnsi="宋体" w:cs="宋体"/>
          <w:color w:val="auto"/>
          <w:sz w:val="24"/>
          <w:szCs w:val="24"/>
          <w:highlight w:val="none"/>
        </w:rPr>
        <w:t>完成供货（如需有不同交货时间注明）</w:t>
      </w:r>
      <w:r>
        <w:rPr>
          <w:rFonts w:ascii="宋体" w:hAnsi="宋体" w:cs="宋体"/>
          <w:color w:val="auto"/>
          <w:sz w:val="24"/>
          <w:szCs w:val="24"/>
          <w:highlight w:val="none"/>
        </w:rPr>
        <w:t>,</w:t>
      </w:r>
      <w:r>
        <w:rPr>
          <w:rFonts w:hint="eastAsia" w:ascii="宋体" w:hAnsi="宋体" w:cs="宋体"/>
          <w:color w:val="auto"/>
          <w:sz w:val="24"/>
          <w:szCs w:val="24"/>
          <w:highlight w:val="none"/>
        </w:rPr>
        <w:t>具体交货时间以甲方通知为准。</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725"/>
        <w:gridCol w:w="297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序号</w:t>
            </w:r>
          </w:p>
        </w:tc>
        <w:tc>
          <w:tcPr>
            <w:tcW w:w="1725"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2977"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1611"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项目一</w:t>
            </w:r>
          </w:p>
        </w:tc>
        <w:tc>
          <w:tcPr>
            <w:tcW w:w="1725"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猎德分公司</w:t>
            </w:r>
          </w:p>
        </w:tc>
        <w:tc>
          <w:tcPr>
            <w:tcW w:w="2977"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仿宋" w:eastAsia="仿宋_GB2312" w:cs="宋体"/>
                <w:color w:val="auto"/>
                <w:kern w:val="0"/>
                <w:sz w:val="24"/>
                <w:szCs w:val="28"/>
                <w:highlight w:val="none"/>
              </w:rPr>
              <w:t>止回阀</w:t>
            </w:r>
          </w:p>
        </w:tc>
        <w:tc>
          <w:tcPr>
            <w:tcW w:w="1611"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lang w:val="en-US" w:eastAsia="zh-CN"/>
              </w:rPr>
              <w:t>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1725"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2977" w:type="dxa"/>
          </w:tcPr>
          <w:p>
            <w:pPr>
              <w:spacing w:line="360" w:lineRule="auto"/>
              <w:ind w:right="-57" w:rightChars="-27"/>
              <w:jc w:val="center"/>
              <w:rPr>
                <w:rFonts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电动蝶阀</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项目二</w:t>
            </w:r>
          </w:p>
        </w:tc>
        <w:tc>
          <w:tcPr>
            <w:tcW w:w="1725"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2977"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一期沉砂池电动阀门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725"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2977"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项目四</w:t>
            </w:r>
          </w:p>
        </w:tc>
        <w:tc>
          <w:tcPr>
            <w:tcW w:w="1725"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大观分公司</w:t>
            </w:r>
          </w:p>
        </w:tc>
        <w:tc>
          <w:tcPr>
            <w:tcW w:w="2977" w:type="dxa"/>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20天</w:t>
            </w:r>
          </w:p>
        </w:tc>
      </w:tr>
    </w:tbl>
    <w:p>
      <w:pPr>
        <w:pStyle w:val="2"/>
        <w:rPr>
          <w:color w:val="auto"/>
          <w:highlight w:val="none"/>
        </w:rPr>
      </w:pP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3.2</w:t>
      </w:r>
      <w:r>
        <w:rPr>
          <w:rFonts w:hint="eastAsia" w:ascii="宋体" w:hAnsi="宋体" w:cs="宋体"/>
          <w:bCs/>
          <w:color w:val="auto"/>
          <w:sz w:val="24"/>
          <w:szCs w:val="24"/>
          <w:highlight w:val="none"/>
        </w:rPr>
        <w:t>交货地点：</w:t>
      </w:r>
      <w:r>
        <w:rPr>
          <w:rFonts w:hint="eastAsia" w:ascii="宋体" w:hAnsi="宋体" w:cs="宋体"/>
          <w:bCs/>
          <w:color w:val="auto"/>
          <w:sz w:val="24"/>
          <w:szCs w:val="24"/>
          <w:highlight w:val="none"/>
          <w:u w:val="single"/>
          <w:lang w:val="en-US" w:eastAsia="zh-CN"/>
        </w:rPr>
        <w:t>项目一：猎德分公司、项目二、三：大坦沙分公司、项目四：大观分公司</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w:t>
      </w:r>
      <w:r>
        <w:rPr>
          <w:rFonts w:hint="eastAsia" w:ascii="宋体" w:hAnsi="宋体" w:cs="宋体"/>
          <w:bCs/>
          <w:color w:val="auto"/>
          <w:sz w:val="24"/>
          <w:szCs w:val="24"/>
          <w:highlight w:val="none"/>
        </w:rPr>
        <w:t>最终具体交货地点以甲方通知为准。</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3.3 </w:t>
      </w:r>
      <w:r>
        <w:rPr>
          <w:rFonts w:hint="eastAsia" w:ascii="宋体" w:hAnsi="宋体" w:cs="宋体"/>
          <w:bCs/>
          <w:color w:val="auto"/>
          <w:sz w:val="24"/>
          <w:szCs w:val="24"/>
          <w:highlight w:val="none"/>
        </w:rPr>
        <w:t>交货方式：乙方在设备运至交货地</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7</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个工作日前通知甲方。</w:t>
      </w:r>
    </w:p>
    <w:p>
      <w:pPr>
        <w:spacing w:after="0" w:line="360" w:lineRule="auto"/>
        <w:ind w:firstLine="480" w:firstLineChars="200"/>
        <w:rPr>
          <w:color w:val="auto"/>
          <w:highlight w:val="none"/>
        </w:rPr>
      </w:pPr>
      <w:r>
        <w:rPr>
          <w:rFonts w:ascii="宋体" w:hAnsi="宋体" w:cs="宋体"/>
          <w:bCs/>
          <w:color w:val="auto"/>
          <w:sz w:val="24"/>
          <w:szCs w:val="24"/>
          <w:highlight w:val="none"/>
        </w:rPr>
        <w:t>3.4</w:t>
      </w:r>
      <w:r>
        <w:rPr>
          <w:rFonts w:hint="eastAsia" w:ascii="宋体" w:hAnsi="宋体" w:cs="宋体"/>
          <w:bCs/>
          <w:color w:val="auto"/>
          <w:sz w:val="24"/>
          <w:szCs w:val="24"/>
          <w:highlight w:val="none"/>
        </w:rPr>
        <w:t>其他：</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 xml:space="preserve"> </w:t>
      </w:r>
    </w:p>
    <w:p>
      <w:pPr>
        <w:numPr>
          <w:ilvl w:val="0"/>
          <w:numId w:val="6"/>
        </w:numPr>
        <w:adjustRightInd w:val="0"/>
        <w:snapToGrid w:val="0"/>
        <w:spacing w:line="460" w:lineRule="exact"/>
        <w:ind w:firstLine="482" w:firstLineChars="200"/>
        <w:jc w:val="both"/>
        <w:rPr>
          <w:rFonts w:ascii="宋体" w:hAnsi="宋体" w:cs="宋体"/>
          <w:b/>
          <w:color w:val="auto"/>
          <w:sz w:val="24"/>
          <w:szCs w:val="24"/>
          <w:highlight w:val="none"/>
        </w:rPr>
      </w:pPr>
    </w:p>
    <w:p>
      <w:pPr>
        <w:autoSpaceDE w:val="0"/>
        <w:autoSpaceDN w:val="0"/>
        <w:adjustRightInd w:val="0"/>
        <w:spacing w:after="0" w:line="360" w:lineRule="auto"/>
        <w:ind w:firstLine="480" w:firstLineChars="200"/>
        <w:rPr>
          <w:rFonts w:ascii="宋体" w:hAnsi="宋体" w:cs="宋体"/>
          <w:color w:val="auto"/>
          <w:kern w:val="0"/>
          <w:sz w:val="24"/>
          <w:szCs w:val="24"/>
          <w:highlight w:val="none"/>
          <w:lang w:val="zh-CN"/>
        </w:rPr>
      </w:pPr>
      <w:r>
        <w:rPr>
          <w:rFonts w:ascii="宋体" w:hAnsi="宋体" w:cs="宋体"/>
          <w:color w:val="auto"/>
          <w:sz w:val="24"/>
          <w:szCs w:val="24"/>
          <w:highlight w:val="none"/>
        </w:rPr>
        <w:t xml:space="preserve">4.1 </w:t>
      </w:r>
      <w:r>
        <w:rPr>
          <w:rFonts w:hint="eastAsia" w:ascii="宋体" w:hAnsi="宋体" w:cs="宋体"/>
          <w:color w:val="auto"/>
          <w:kern w:val="0"/>
          <w:sz w:val="24"/>
          <w:szCs w:val="24"/>
          <w:highlight w:val="none"/>
          <w:lang w:val="zh-CN"/>
        </w:rPr>
        <w:t>本合同</w:t>
      </w:r>
      <w:r>
        <w:rPr>
          <w:rFonts w:hint="eastAsia" w:ascii="宋体" w:hAnsi="宋体" w:cs="宋体"/>
          <w:color w:val="auto"/>
          <w:kern w:val="0"/>
          <w:sz w:val="24"/>
          <w:szCs w:val="24"/>
          <w:highlight w:val="none"/>
        </w:rPr>
        <w:t>暂定</w:t>
      </w:r>
      <w:r>
        <w:rPr>
          <w:rFonts w:hint="eastAsia" w:ascii="宋体" w:hAnsi="宋体" w:cs="宋体"/>
          <w:color w:val="auto"/>
          <w:kern w:val="0"/>
          <w:sz w:val="24"/>
          <w:szCs w:val="24"/>
          <w:highlight w:val="none"/>
          <w:lang w:val="zh-CN"/>
        </w:rPr>
        <w:t>总价为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万元，（人民币）大写：</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ascii="宋体" w:hAnsi="宋体" w:cs="宋体"/>
          <w:color w:val="auto"/>
          <w:kern w:val="0"/>
          <w:sz w:val="24"/>
          <w:szCs w:val="24"/>
          <w:highlight w:val="none"/>
          <w:lang w:val="zh-CN"/>
        </w:rPr>
        <w:t xml:space="preserve"> </w:t>
      </w:r>
    </w:p>
    <w:p>
      <w:pPr>
        <w:autoSpaceDE w:val="0"/>
        <w:autoSpaceDN w:val="0"/>
        <w:adjustRightInd w:val="0"/>
        <w:spacing w:after="0" w:line="360" w:lineRule="auto"/>
        <w:ind w:firstLine="480" w:firstLineChars="200"/>
        <w:rPr>
          <w:rFonts w:ascii="宋体" w:hAnsi="宋体" w:cs="宋体"/>
          <w:color w:val="auto"/>
          <w:kern w:val="0"/>
          <w:sz w:val="24"/>
          <w:szCs w:val="24"/>
          <w:highlight w:val="none"/>
          <w:lang w:val="zh-CN"/>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.2</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设备价格包括</w:t>
      </w:r>
      <w:r>
        <w:rPr>
          <w:rFonts w:hint="eastAsia" w:ascii="宋体" w:hAnsi="宋体" w:cs="宋体"/>
          <w:color w:val="auto"/>
          <w:kern w:val="0"/>
          <w:sz w:val="24"/>
          <w:szCs w:val="24"/>
          <w:highlight w:val="none"/>
          <w:u w:val="single"/>
          <w:lang w:val="zh-CN"/>
        </w:rPr>
        <w:t>设备及随机附件的制造、包装、运输（设备运输过程中所需的相关手续</w:t>
      </w:r>
      <w:r>
        <w:rPr>
          <w:rFonts w:hint="eastAsia" w:ascii="宋体" w:hAnsi="宋体" w:cs="宋体"/>
          <w:color w:val="auto"/>
          <w:kern w:val="0"/>
          <w:sz w:val="24"/>
          <w:szCs w:val="24"/>
          <w:highlight w:val="none"/>
          <w:u w:val="single"/>
        </w:rPr>
        <w:t>及费用</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u w:val="single"/>
          <w:lang w:val="en-US" w:eastAsia="zh-CN"/>
        </w:rPr>
        <w:t>指导安装</w:t>
      </w:r>
      <w:r>
        <w:rPr>
          <w:rFonts w:hint="eastAsia" w:ascii="宋体" w:hAnsi="宋体" w:cs="宋体"/>
          <w:color w:val="auto"/>
          <w:kern w:val="0"/>
          <w:sz w:val="24"/>
          <w:szCs w:val="24"/>
          <w:highlight w:val="none"/>
          <w:u w:val="single"/>
          <w:lang w:val="zh-CN"/>
        </w:rPr>
        <w:t>、装卸、验收、技术服务（包括技术资料）、质保期保修、税费、保险费等全部费用。</w:t>
      </w:r>
    </w:p>
    <w:p>
      <w:pPr>
        <w:autoSpaceDE w:val="0"/>
        <w:autoSpaceDN w:val="0"/>
        <w:adjustRightIn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tabs>
          <w:tab w:val="left" w:pos="851"/>
        </w:tabs>
        <w:adjustRightInd w:val="0"/>
        <w:snapToGrid w:val="0"/>
        <w:spacing w:after="0" w:line="360" w:lineRule="auto"/>
        <w:ind w:firstLine="480" w:firstLineChars="200"/>
        <w:rPr>
          <w:color w:val="auto"/>
          <w:highlight w:val="none"/>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.3</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本合同约定的价格为含税价价格</w:t>
      </w:r>
      <w:r>
        <w:rPr>
          <w:rFonts w:hint="eastAsia" w:ascii="宋体" w:hAnsi="宋体" w:cs="宋体"/>
          <w:color w:val="auto"/>
          <w:sz w:val="24"/>
          <w:szCs w:val="24"/>
          <w:highlight w:val="none"/>
        </w:rPr>
        <w:t>（税率</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），合同履行期间国家税率调整或乙方开票的实际税率与前述税率不一致的，不含税价不变，价税合计按实际税率相应调整，以开具发票时间为准。</w:t>
      </w:r>
      <w:bookmarkStart w:id="108" w:name="_Toc474245212"/>
      <w:bookmarkStart w:id="109" w:name="_Toc520190028"/>
      <w:bookmarkStart w:id="110" w:name="_Toc27425"/>
      <w:bookmarkStart w:id="111" w:name="_Toc518992988"/>
      <w:bookmarkStart w:id="112" w:name="_Toc107446843"/>
      <w:bookmarkStart w:id="113" w:name="_Toc107447236"/>
    </w:p>
    <w:bookmarkEnd w:id="108"/>
    <w:bookmarkEnd w:id="109"/>
    <w:bookmarkEnd w:id="110"/>
    <w:bookmarkEnd w:id="111"/>
    <w:p>
      <w:pPr>
        <w:autoSpaceDE w:val="0"/>
        <w:autoSpaceDN w:val="0"/>
        <w:adjustRightInd w:val="0"/>
        <w:spacing w:line="460" w:lineRule="exact"/>
        <w:ind w:left="420"/>
        <w:rPr>
          <w:rFonts w:ascii="宋体" w:hAnsi="宋体" w:cs="宋体"/>
          <w:bCs/>
          <w:color w:val="auto"/>
          <w:sz w:val="24"/>
          <w:szCs w:val="24"/>
          <w:highlight w:val="none"/>
        </w:rPr>
      </w:pPr>
      <w:bookmarkStart w:id="114" w:name="_Toc518992989"/>
      <w:bookmarkStart w:id="115" w:name="_Toc474245213"/>
      <w:bookmarkStart w:id="116" w:name="_Toc520190029"/>
      <w:r>
        <w:rPr>
          <w:rFonts w:hint="eastAsia" w:ascii="宋体" w:hAnsi="宋体" w:cs="宋体"/>
          <w:b/>
          <w:color w:val="auto"/>
          <w:sz w:val="24"/>
          <w:szCs w:val="24"/>
          <w:highlight w:val="none"/>
        </w:rPr>
        <w:t>第五条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支付</w:t>
      </w:r>
      <w:bookmarkEnd w:id="114"/>
      <w:bookmarkEnd w:id="115"/>
      <w:bookmarkEnd w:id="116"/>
      <w:r>
        <w:rPr>
          <w:rFonts w:hint="eastAsia" w:ascii="宋体" w:hAnsi="宋体" w:cs="宋体"/>
          <w:b/>
          <w:color w:val="auto"/>
          <w:sz w:val="24"/>
          <w:szCs w:val="24"/>
          <w:highlight w:val="none"/>
        </w:rPr>
        <w:t>方式</w:t>
      </w:r>
    </w:p>
    <w:bookmarkEnd w:id="112"/>
    <w:bookmarkEnd w:id="113"/>
    <w:p>
      <w:pPr>
        <w:tabs>
          <w:tab w:val="left" w:pos="851"/>
        </w:tabs>
        <w:adjustRightInd w:val="0"/>
        <w:snapToGrid w:val="0"/>
        <w:spacing w:after="0" w:line="360" w:lineRule="auto"/>
        <w:ind w:firstLine="480" w:firstLineChars="200"/>
        <w:rPr>
          <w:rFonts w:ascii="宋体" w:hAnsi="宋体" w:cs="宋体"/>
          <w:color w:val="auto"/>
          <w:sz w:val="24"/>
          <w:szCs w:val="24"/>
          <w:highlight w:val="none"/>
        </w:rPr>
      </w:pPr>
      <w:bookmarkStart w:id="117" w:name="_Toc14703"/>
      <w:bookmarkStart w:id="118" w:name="_Toc183666516"/>
      <w:r>
        <w:rPr>
          <w:rFonts w:ascii="宋体" w:hAnsi="宋体" w:cs="宋体"/>
          <w:color w:val="auto"/>
          <w:sz w:val="24"/>
          <w:szCs w:val="24"/>
          <w:highlight w:val="none"/>
        </w:rPr>
        <w:t>5.1</w:t>
      </w:r>
      <w:r>
        <w:rPr>
          <w:rFonts w:hint="eastAsia" w:ascii="宋体" w:hAnsi="宋体" w:cs="宋体"/>
          <w:bCs/>
          <w:color w:val="auto"/>
          <w:sz w:val="24"/>
          <w:szCs w:val="24"/>
          <w:highlight w:val="none"/>
        </w:rPr>
        <w:t>预付款的支付：</w:t>
      </w:r>
      <w:r>
        <w:rPr>
          <w:rFonts w:hint="eastAsia" w:ascii="宋体" w:hAnsi="宋体" w:cs="宋体"/>
          <w:color w:val="auto"/>
          <w:szCs w:val="21"/>
          <w:highlight w:val="none"/>
          <w:lang w:eastAsia="zh-CN"/>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有，</w:t>
      </w:r>
      <w:r>
        <w:rPr>
          <w:rFonts w:hint="eastAsia" w:ascii="宋体" w:hAnsi="宋体" w:cs="宋体"/>
          <w:bCs/>
          <w:color w:val="auto"/>
          <w:sz w:val="24"/>
          <w:szCs w:val="24"/>
          <w:highlight w:val="none"/>
        </w:rPr>
        <w:t>合同签订后，乙方开具等额的增值税专用发票及提交履约担保（如有）后</w:t>
      </w:r>
      <w:r>
        <w:rPr>
          <w:rFonts w:ascii="宋体" w:hAnsi="宋体" w:cs="宋体"/>
          <w:bCs/>
          <w:color w:val="auto"/>
          <w:sz w:val="24"/>
          <w:szCs w:val="24"/>
          <w:highlight w:val="none"/>
          <w:u w:val="single"/>
        </w:rPr>
        <w:t>10</w:t>
      </w:r>
      <w:r>
        <w:rPr>
          <w:rFonts w:hint="eastAsia" w:ascii="宋体" w:hAnsi="宋体" w:cs="宋体"/>
          <w:bCs/>
          <w:color w:val="auto"/>
          <w:sz w:val="24"/>
          <w:szCs w:val="24"/>
          <w:highlight w:val="none"/>
        </w:rPr>
        <w:t>个工作日内，甲方支付合同暂定总价的</w:t>
      </w:r>
      <w:r>
        <w:rPr>
          <w:rFonts w:ascii="宋体" w:hAnsi="宋体" w:cs="宋体"/>
          <w:bCs/>
          <w:color w:val="auto"/>
          <w:sz w:val="24"/>
          <w:szCs w:val="24"/>
          <w:highlight w:val="none"/>
        </w:rPr>
        <w:t xml:space="preserve"> </w:t>
      </w:r>
      <w:r>
        <w:rPr>
          <w:rFonts w:ascii="宋体" w:hAnsi="宋体" w:cs="宋体"/>
          <w:bCs/>
          <w:color w:val="auto"/>
          <w:sz w:val="24"/>
          <w:szCs w:val="24"/>
          <w:highlight w:val="none"/>
          <w:u w:val="single"/>
        </w:rPr>
        <w:t xml:space="preserve">  30%  </w:t>
      </w:r>
      <w:r>
        <w:rPr>
          <w:rFonts w:hint="eastAsia" w:ascii="宋体" w:hAnsi="宋体" w:cs="宋体"/>
          <w:color w:val="auto"/>
          <w:sz w:val="24"/>
          <w:szCs w:val="24"/>
          <w:highlight w:val="none"/>
        </w:rPr>
        <w:t>即</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元，（大写：</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 xml:space="preserve">  </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个工作日内返还预付款（无息）。</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pPr>
        <w:adjustRightInd w:val="0"/>
        <w:snapToGrid w:val="0"/>
        <w:spacing w:line="460" w:lineRule="exact"/>
        <w:ind w:firstLine="360" w:firstLineChars="150"/>
        <w:rPr>
          <w:rFonts w:ascii="宋体" w:hAnsi="宋体" w:cs="宋体"/>
          <w:color w:val="auto"/>
          <w:sz w:val="24"/>
          <w:szCs w:val="24"/>
          <w:highlight w:val="none"/>
        </w:rPr>
      </w:pPr>
      <w:r>
        <w:rPr>
          <w:rFonts w:ascii="宋体" w:hAnsi="宋体" w:cs="宋体"/>
          <w:color w:val="auto"/>
          <w:sz w:val="24"/>
          <w:szCs w:val="24"/>
          <w:highlight w:val="none"/>
        </w:rPr>
        <w:t>5.2</w:t>
      </w:r>
      <w:r>
        <w:rPr>
          <w:rFonts w:hint="eastAsia" w:ascii="宋体" w:hAnsi="宋体" w:cs="宋体"/>
          <w:color w:val="auto"/>
          <w:sz w:val="24"/>
          <w:szCs w:val="24"/>
          <w:highlight w:val="none"/>
        </w:rPr>
        <w:t>支付方式</w:t>
      </w:r>
    </w:p>
    <w:p>
      <w:pPr>
        <w:adjustRightInd w:val="0"/>
        <w:snapToGrid w:val="0"/>
        <w:spacing w:line="460" w:lineRule="exact"/>
        <w:ind w:firstLine="360" w:firstLineChars="150"/>
        <w:rPr>
          <w:rFonts w:hint="eastAsia" w:ascii="宋体" w:hAnsi="宋体" w:cs="宋体"/>
          <w:color w:val="auto"/>
          <w:sz w:val="24"/>
          <w:szCs w:val="24"/>
          <w:highlight w:val="none"/>
        </w:rPr>
      </w:pPr>
      <w:r>
        <w:rPr>
          <w:rFonts w:ascii="宋体" w:hAnsi="宋体" w:cs="宋体"/>
          <w:color w:val="auto"/>
          <w:sz w:val="24"/>
          <w:szCs w:val="24"/>
          <w:highlight w:val="none"/>
        </w:rPr>
        <w:t>5.2.1</w:t>
      </w:r>
      <w:r>
        <w:rPr>
          <w:rFonts w:hint="eastAsia" w:ascii="宋体" w:hAnsi="宋体" w:cs="宋体"/>
          <w:color w:val="auto"/>
          <w:sz w:val="24"/>
          <w:szCs w:val="24"/>
          <w:highlight w:val="none"/>
          <w:lang w:val="en-US" w:eastAsia="zh-CN"/>
        </w:rPr>
        <w:t>各</w:t>
      </w:r>
      <w:r>
        <w:rPr>
          <w:rFonts w:hint="eastAsia" w:ascii="宋体" w:hAnsi="宋体" w:cs="宋体"/>
          <w:color w:val="auto"/>
          <w:sz w:val="24"/>
          <w:szCs w:val="24"/>
          <w:highlight w:val="none"/>
        </w:rPr>
        <w:t>设备到达现场，经</w:t>
      </w:r>
      <w:r>
        <w:rPr>
          <w:rFonts w:hint="eastAsia" w:ascii="宋体" w:hAnsi="宋体" w:cs="宋体"/>
          <w:color w:val="auto"/>
          <w:sz w:val="24"/>
          <w:szCs w:val="24"/>
          <w:highlight w:val="none"/>
          <w:u w:val="single"/>
        </w:rPr>
        <w:t>开箱</w:t>
      </w:r>
      <w:r>
        <w:rPr>
          <w:rFonts w:hint="eastAsia" w:ascii="宋体" w:hAnsi="宋体" w:cs="宋体"/>
          <w:color w:val="auto"/>
          <w:sz w:val="24"/>
          <w:szCs w:val="24"/>
          <w:highlight w:val="none"/>
        </w:rPr>
        <w:t>验收合格完毕，甲方在收到乙方提交的请款资料及等额增值税专用发票后</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rPr>
        <w:t>个工作日内向乙方支付至</w:t>
      </w:r>
      <w:r>
        <w:rPr>
          <w:rFonts w:hint="eastAsia" w:ascii="宋体" w:hAnsi="宋体" w:cs="宋体"/>
          <w:color w:val="auto"/>
          <w:sz w:val="24"/>
          <w:szCs w:val="24"/>
          <w:highlight w:val="none"/>
          <w:lang w:val="en-US" w:eastAsia="zh-CN"/>
        </w:rPr>
        <w:t>合同</w:t>
      </w:r>
      <w:r>
        <w:rPr>
          <w:rFonts w:hint="eastAsia" w:ascii="宋体" w:hAnsi="宋体" w:cs="宋体"/>
          <w:color w:val="auto"/>
          <w:sz w:val="24"/>
          <w:szCs w:val="24"/>
          <w:highlight w:val="none"/>
        </w:rPr>
        <w:t>总额的</w:t>
      </w:r>
      <w:r>
        <w:rPr>
          <w:rFonts w:hint="eastAsia" w:ascii="宋体" w:hAnsi="宋体" w:cs="宋体"/>
          <w:color w:val="auto"/>
          <w:sz w:val="24"/>
          <w:szCs w:val="24"/>
          <w:highlight w:val="none"/>
          <w:lang w:val="en-US" w:eastAsia="zh-CN"/>
        </w:rPr>
        <w:t>80</w:t>
      </w:r>
      <w:r>
        <w:rPr>
          <w:rFonts w:ascii="宋体" w:hAnsi="宋体" w:cs="宋体"/>
          <w:color w:val="auto"/>
          <w:sz w:val="24"/>
          <w:szCs w:val="24"/>
          <w:highlight w:val="none"/>
        </w:rPr>
        <w:t>%</w:t>
      </w:r>
      <w:r>
        <w:rPr>
          <w:rFonts w:hint="eastAsia" w:ascii="宋体" w:hAnsi="宋体" w:cs="宋体"/>
          <w:color w:val="auto"/>
          <w:sz w:val="24"/>
          <w:szCs w:val="24"/>
          <w:highlight w:val="none"/>
        </w:rPr>
        <w:t>（含预付款）</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经甲方结算审核后</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乙方提交请款资料及等额增值税专用发票</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个工作日内，支付至合同结算价的</w:t>
      </w:r>
      <w:r>
        <w:rPr>
          <w:rFonts w:ascii="宋体" w:hAnsi="宋体" w:cs="宋体"/>
          <w:color w:val="auto"/>
          <w:sz w:val="24"/>
          <w:szCs w:val="24"/>
          <w:highlight w:val="none"/>
        </w:rPr>
        <w:t>95%</w:t>
      </w:r>
      <w:r>
        <w:rPr>
          <w:rFonts w:hint="eastAsia" w:ascii="宋体" w:hAnsi="宋体" w:cs="宋体"/>
          <w:color w:val="auto"/>
          <w:sz w:val="24"/>
          <w:szCs w:val="24"/>
          <w:highlight w:val="none"/>
        </w:rPr>
        <w:t>（含预付款）（若审核价低于合同暂定总价，则以审核价作为合同结算价，否则以合同暂定总价为合同结算价），合同结算价的</w:t>
      </w:r>
      <w:r>
        <w:rPr>
          <w:rFonts w:ascii="宋体" w:hAnsi="宋体" w:cs="宋体"/>
          <w:color w:val="auto"/>
          <w:sz w:val="24"/>
          <w:szCs w:val="24"/>
          <w:highlight w:val="none"/>
        </w:rPr>
        <w:t>5%</w:t>
      </w:r>
      <w:r>
        <w:rPr>
          <w:rFonts w:hint="eastAsia" w:ascii="宋体" w:hAnsi="宋体" w:cs="宋体"/>
          <w:color w:val="auto"/>
          <w:sz w:val="24"/>
          <w:szCs w:val="24"/>
          <w:highlight w:val="none"/>
        </w:rPr>
        <w:t>作为质保金留存。</w:t>
      </w:r>
    </w:p>
    <w:p>
      <w:pPr>
        <w:pStyle w:val="13"/>
        <w:spacing w:line="360" w:lineRule="auto"/>
        <w:ind w:firstLine="525" w:firstLineChars="250"/>
        <w:outlineLvl w:val="1"/>
        <w:rPr>
          <w:rFonts w:ascii="宋体" w:hAnsi="宋体" w:cs="宋体"/>
          <w:color w:val="auto"/>
          <w:sz w:val="24"/>
          <w:szCs w:val="24"/>
          <w:highlight w:val="none"/>
        </w:rPr>
      </w:pPr>
      <w:r>
        <w:rPr>
          <w:rFonts w:hAnsi="宋体" w:cs="宋体"/>
          <w:color w:val="auto"/>
          <w:szCs w:val="24"/>
          <w:highlight w:val="none"/>
        </w:rPr>
        <w:t>5.2.2</w:t>
      </w:r>
      <w:r>
        <w:rPr>
          <w:rFonts w:hint="eastAsia" w:ascii="宋体" w:hAnsi="宋体" w:cs="宋体" w:eastAsiaTheme="minorEastAsia"/>
          <w:color w:val="auto"/>
          <w:kern w:val="2"/>
          <w:sz w:val="24"/>
          <w:szCs w:val="24"/>
          <w:highlight w:val="none"/>
          <w:lang w:val="en-US" w:eastAsia="zh-CN" w:bidi="ar-SA"/>
        </w:rPr>
        <w:t>质保期按合同第</w:t>
      </w:r>
      <w:r>
        <w:rPr>
          <w:rFonts w:hint="eastAsia" w:hAnsi="宋体" w:cs="宋体"/>
          <w:color w:val="auto"/>
          <w:kern w:val="2"/>
          <w:sz w:val="24"/>
          <w:szCs w:val="24"/>
          <w:highlight w:val="none"/>
          <w:lang w:val="en-US" w:eastAsia="zh-CN" w:bidi="ar-SA"/>
        </w:rPr>
        <w:t>十</w:t>
      </w:r>
      <w:r>
        <w:rPr>
          <w:rFonts w:hint="eastAsia" w:ascii="宋体" w:hAnsi="宋体" w:cs="宋体" w:eastAsiaTheme="minorEastAsia"/>
          <w:color w:val="auto"/>
          <w:kern w:val="2"/>
          <w:sz w:val="24"/>
          <w:szCs w:val="24"/>
          <w:highlight w:val="none"/>
          <w:lang w:val="en-US" w:eastAsia="zh-CN" w:bidi="ar-SA"/>
        </w:rPr>
        <w:t>条规定执行，质保期满且乙方不存在违约情形，乙方提交请款资料及等额增值税专用发票，甲方审核无误后在</w:t>
      </w:r>
      <w:r>
        <w:rPr>
          <w:rFonts w:hint="eastAsia" w:ascii="宋体" w:hAnsi="宋体" w:cs="宋体" w:eastAsiaTheme="minorEastAsia"/>
          <w:color w:val="auto"/>
          <w:kern w:val="2"/>
          <w:sz w:val="24"/>
          <w:szCs w:val="24"/>
          <w:highlight w:val="none"/>
          <w:u w:val="single"/>
          <w:lang w:val="en-US" w:eastAsia="zh-CN" w:bidi="ar-SA"/>
        </w:rPr>
        <w:t xml:space="preserve"> </w:t>
      </w:r>
      <w:r>
        <w:rPr>
          <w:rFonts w:hint="eastAsia" w:hAnsi="宋体" w:cs="宋体"/>
          <w:color w:val="auto"/>
          <w:kern w:val="2"/>
          <w:sz w:val="24"/>
          <w:szCs w:val="24"/>
          <w:highlight w:val="none"/>
          <w:u w:val="single"/>
          <w:lang w:val="en-US" w:eastAsia="zh-CN" w:bidi="ar-SA"/>
        </w:rPr>
        <w:t>30</w:t>
      </w:r>
      <w:r>
        <w:rPr>
          <w:rFonts w:hint="eastAsia" w:ascii="宋体" w:hAnsi="宋体" w:cs="宋体" w:eastAsiaTheme="minorEastAsia"/>
          <w:color w:val="auto"/>
          <w:kern w:val="2"/>
          <w:sz w:val="24"/>
          <w:szCs w:val="24"/>
          <w:highlight w:val="none"/>
          <w:u w:val="single"/>
          <w:lang w:val="en-US" w:eastAsia="zh-CN" w:bidi="ar-SA"/>
        </w:rPr>
        <w:t xml:space="preserve"> </w:t>
      </w:r>
      <w:r>
        <w:rPr>
          <w:rFonts w:hint="eastAsia" w:ascii="宋体" w:hAnsi="宋体" w:cs="宋体" w:eastAsiaTheme="minorEastAsia"/>
          <w:color w:val="auto"/>
          <w:kern w:val="2"/>
          <w:sz w:val="24"/>
          <w:szCs w:val="24"/>
          <w:highlight w:val="none"/>
          <w:lang w:val="en-US" w:eastAsia="zh-CN" w:bidi="ar-SA"/>
        </w:rPr>
        <w:t>个工作日内支付合同结算价的5％（质保金）给乙方(无息)。</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5.2.3</w:t>
      </w:r>
      <w:r>
        <w:rPr>
          <w:rFonts w:hint="eastAsia" w:ascii="宋体" w:hAnsi="宋体" w:cs="宋体"/>
          <w:color w:val="auto"/>
          <w:sz w:val="24"/>
          <w:szCs w:val="24"/>
          <w:highlight w:val="none"/>
        </w:rPr>
        <w:t>乙方收款账户：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5.2.4</w:t>
      </w:r>
      <w:r>
        <w:rPr>
          <w:rFonts w:hint="eastAsia" w:ascii="宋体" w:hAnsi="宋体" w:cs="宋体"/>
          <w:color w:val="auto"/>
          <w:sz w:val="24"/>
          <w:szCs w:val="24"/>
          <w:highlight w:val="none"/>
        </w:rPr>
        <w:t>乙方在收款前需向甲方提交等额增值税专用发票，增值税专用发票信息：</w:t>
      </w:r>
    </w:p>
    <w:p>
      <w:pPr>
        <w:spacing w:line="360" w:lineRule="auto"/>
        <w:ind w:firstLine="1200" w:firstLineChars="500"/>
        <w:rPr>
          <w:rFonts w:ascii="宋体" w:hAnsi="宋体" w:cs="宋体"/>
          <w:color w:val="auto"/>
          <w:sz w:val="24"/>
          <w:szCs w:val="24"/>
          <w:highlight w:val="none"/>
        </w:rPr>
      </w:pP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460" w:lineRule="exact"/>
        <w:ind w:firstLine="720" w:firstLineChars="300"/>
        <w:outlineLvl w:val="1"/>
        <w:rPr>
          <w:rFonts w:hint="eastAsia" w:ascii="宋体" w:hAnsi="宋体" w:cs="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rPr>
        <w:t>付款方式：</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FE"/>
      </w:r>
      <w:r>
        <w:rPr>
          <w:rFonts w:hint="eastAsia" w:ascii="宋体" w:hAnsi="宋体" w:cs="宋体"/>
          <w:color w:val="auto"/>
          <w:sz w:val="24"/>
          <w:szCs w:val="24"/>
          <w:highlight w:val="none"/>
        </w:rPr>
        <w:t>网银支付；</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支票；</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其他</w:t>
      </w:r>
      <w:r>
        <w:rPr>
          <w:rFonts w:hint="eastAsia" w:ascii="宋体" w:hAnsi="宋体" w:cs="宋体"/>
          <w:color w:val="auto"/>
          <w:sz w:val="24"/>
          <w:szCs w:val="24"/>
          <w:highlight w:val="none"/>
          <w:lang w:eastAsia="zh-CN"/>
        </w:rPr>
        <w:t>。</w:t>
      </w:r>
      <w:r>
        <w:rPr>
          <w:rFonts w:ascii="宋体" w:hAnsi="宋体" w:cs="宋体"/>
          <w:color w:val="auto"/>
          <w:sz w:val="24"/>
          <w:szCs w:val="24"/>
          <w:highlight w:val="none"/>
        </w:rPr>
        <w:t xml:space="preserve">    </w:t>
      </w:r>
    </w:p>
    <w:p>
      <w:pPr>
        <w:pStyle w:val="2"/>
        <w:rPr>
          <w:color w:val="auto"/>
          <w:highlight w:val="none"/>
        </w:rPr>
      </w:pPr>
    </w:p>
    <w:bookmarkEnd w:id="117"/>
    <w:bookmarkEnd w:id="118"/>
    <w:p>
      <w:pPr>
        <w:autoSpaceDE w:val="0"/>
        <w:autoSpaceDN w:val="0"/>
        <w:adjustRightInd w:val="0"/>
        <w:spacing w:after="0" w:line="360" w:lineRule="auto"/>
        <w:rPr>
          <w:rFonts w:ascii="宋体" w:hAnsi="宋体" w:cs="宋体"/>
          <w:bCs/>
          <w:color w:val="auto"/>
          <w:sz w:val="24"/>
          <w:szCs w:val="24"/>
          <w:highlight w:val="none"/>
        </w:rPr>
      </w:pPr>
      <w:bookmarkStart w:id="119" w:name="_Toc183666534"/>
      <w:bookmarkStart w:id="120" w:name="_Toc118086592"/>
      <w:bookmarkStart w:id="121" w:name="_Toc107446861"/>
      <w:bookmarkStart w:id="122" w:name="_Toc306350465"/>
      <w:bookmarkStart w:id="123" w:name="_Toc107447254"/>
      <w:bookmarkStart w:id="124" w:name="_Toc107446860"/>
      <w:bookmarkStart w:id="125" w:name="_Toc5166"/>
      <w:bookmarkStart w:id="126" w:name="_Toc518992998"/>
      <w:bookmarkStart w:id="127" w:name="_Toc520190038"/>
      <w:bookmarkStart w:id="128" w:name="_Toc107447253"/>
      <w:bookmarkStart w:id="129" w:name="_Toc257"/>
      <w:bookmarkStart w:id="130" w:name="_Toc474245224"/>
      <w:bookmarkStart w:id="131" w:name="_Toc183666529"/>
      <w:r>
        <w:rPr>
          <w:rFonts w:hint="eastAsia" w:ascii="宋体" w:hAnsi="宋体" w:cs="宋体"/>
          <w:b/>
          <w:color w:val="auto"/>
          <w:sz w:val="24"/>
          <w:szCs w:val="24"/>
          <w:highlight w:val="none"/>
        </w:rPr>
        <w:t>第六条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履约担保</w:t>
      </w:r>
    </w:p>
    <w:p>
      <w:pPr>
        <w:spacing w:after="0" w:line="360" w:lineRule="auto"/>
        <w:ind w:firstLine="480" w:firstLineChars="200"/>
        <w:outlineLvl w:val="0"/>
        <w:rPr>
          <w:rFonts w:ascii="宋体" w:hAnsi="宋体" w:cs="宋体"/>
          <w:color w:val="auto"/>
          <w:sz w:val="24"/>
          <w:szCs w:val="24"/>
          <w:highlight w:val="none"/>
          <w:u w:val="single"/>
        </w:rPr>
      </w:pPr>
      <w:r>
        <w:rPr>
          <w:rFonts w:ascii="宋体" w:hAnsi="宋体" w:cs="宋体"/>
          <w:color w:val="auto"/>
          <w:sz w:val="24"/>
          <w:szCs w:val="24"/>
          <w:highlight w:val="none"/>
        </w:rPr>
        <w:t>6.1</w:t>
      </w:r>
      <w:r>
        <w:rPr>
          <w:rFonts w:hint="eastAsia" w:ascii="宋体" w:hAnsi="宋体" w:cs="宋体"/>
          <w:color w:val="auto"/>
          <w:sz w:val="24"/>
          <w:szCs w:val="24"/>
          <w:highlight w:val="none"/>
        </w:rPr>
        <w:t>履约担保：</w:t>
      </w:r>
      <w:r>
        <w:rPr>
          <w:rFonts w:hint="eastAsia" w:ascii="宋体" w:hAnsi="宋体" w:cs="宋体"/>
          <w:color w:val="auto"/>
          <w:szCs w:val="21"/>
          <w:highlight w:val="none"/>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lang w:eastAsia="zh-CN"/>
        </w:rPr>
        <w:t>☑</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lang w:val="en-US" w:eastAsia="zh-CN"/>
        </w:rPr>
        <w:t>有，</w:t>
      </w:r>
      <w:r>
        <w:rPr>
          <w:rFonts w:hint="eastAsia" w:ascii="宋体" w:hAnsi="宋体" w:cs="宋体"/>
          <w:color w:val="auto"/>
          <w:sz w:val="24"/>
          <w:szCs w:val="24"/>
          <w:highlight w:val="none"/>
        </w:rPr>
        <w:t>本合同签订后</w:t>
      </w:r>
      <w:r>
        <w:rPr>
          <w:rFonts w:ascii="宋体" w:hAnsi="宋体" w:cs="宋体"/>
          <w:color w:val="auto"/>
          <w:sz w:val="24"/>
          <w:szCs w:val="24"/>
          <w:highlight w:val="none"/>
        </w:rPr>
        <w:t>10</w:t>
      </w:r>
      <w:r>
        <w:rPr>
          <w:rFonts w:hint="eastAsia" w:ascii="宋体" w:hAnsi="宋体" w:cs="宋体"/>
          <w:color w:val="auto"/>
          <w:sz w:val="24"/>
          <w:szCs w:val="24"/>
          <w:highlight w:val="none"/>
        </w:rPr>
        <w:t>日内</w:t>
      </w:r>
      <w:r>
        <w:rPr>
          <w:rFonts w:hint="eastAsia" w:ascii="宋体" w:hAnsi="宋体" w:cs="宋体"/>
          <w:color w:val="auto"/>
          <w:sz w:val="24"/>
          <w:szCs w:val="24"/>
          <w:highlight w:val="none"/>
          <w:u w:val="single"/>
        </w:rPr>
        <w:t>以合同暂定总价的</w:t>
      </w:r>
      <w:r>
        <w:rPr>
          <w:rFonts w:ascii="宋体" w:hAnsi="宋体" w:cs="宋体"/>
          <w:color w:val="auto"/>
          <w:sz w:val="24"/>
          <w:szCs w:val="24"/>
          <w:highlight w:val="none"/>
          <w:u w:val="single"/>
        </w:rPr>
        <w:t>10%作为履约保证金</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金额为：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（大写人民币：</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p>
    <w:p>
      <w:pPr>
        <w:pStyle w:val="22"/>
        <w:spacing w:before="0" w:beforeAutospacing="0" w:after="0" w:afterAutospacing="0" w:line="360" w:lineRule="auto"/>
        <w:ind w:firstLine="480"/>
        <w:rPr>
          <w:rFonts w:cs="宋体"/>
          <w:color w:val="auto"/>
          <w:highlight w:val="none"/>
        </w:rPr>
      </w:pPr>
      <w:r>
        <w:rPr>
          <w:rFonts w:cs="宋体"/>
          <w:color w:val="auto"/>
          <w:highlight w:val="none"/>
        </w:rPr>
        <w:t>6.2履约担保</w:t>
      </w:r>
      <w:r>
        <w:rPr>
          <w:rFonts w:hint="eastAsia" w:cs="宋体"/>
          <w:color w:val="auto"/>
          <w:highlight w:val="none"/>
        </w:rPr>
        <w:t>按以下任一种形式提供</w:t>
      </w:r>
      <w:r>
        <w:rPr>
          <w:rFonts w:cs="宋体"/>
          <w:color w:val="auto"/>
          <w:highlight w:val="none"/>
        </w:rPr>
        <w:t>：</w:t>
      </w:r>
    </w:p>
    <w:p>
      <w:pPr>
        <w:pStyle w:val="22"/>
        <w:spacing w:before="0" w:beforeAutospacing="0" w:after="0" w:afterAutospacing="0" w:line="360" w:lineRule="auto"/>
        <w:ind w:firstLine="480"/>
        <w:rPr>
          <w:rFonts w:cs="宋体"/>
          <w:color w:val="auto"/>
          <w:highlight w:val="none"/>
        </w:rPr>
      </w:pPr>
      <w:r>
        <w:rPr>
          <w:rFonts w:hint="eastAsia" w:cs="宋体"/>
          <w:color w:val="auto"/>
          <w:highlight w:val="none"/>
        </w:rPr>
        <w:t>1、符合甲方要求（详见附件6保函格式）的银行独立保函，</w:t>
      </w:r>
    </w:p>
    <w:p>
      <w:pPr>
        <w:pStyle w:val="22"/>
        <w:spacing w:before="0" w:beforeAutospacing="0" w:after="0" w:afterAutospacing="0" w:line="360" w:lineRule="auto"/>
        <w:ind w:firstLine="480"/>
        <w:rPr>
          <w:rFonts w:cs="宋体"/>
          <w:color w:val="auto"/>
          <w:highlight w:val="none"/>
        </w:rPr>
      </w:pPr>
      <w:r>
        <w:rPr>
          <w:rFonts w:hint="eastAsia" w:cs="宋体"/>
          <w:color w:val="auto"/>
          <w:highlight w:val="none"/>
        </w:rPr>
        <w:t>2、现金转账至甲方以下指定账户：</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户名：广州市净水有限公司</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账号：</w:t>
      </w:r>
      <w:r>
        <w:rPr>
          <w:rFonts w:ascii="宋体" w:hAnsi="宋体" w:cs="宋体"/>
          <w:bCs/>
          <w:color w:val="auto"/>
          <w:sz w:val="24"/>
          <w:szCs w:val="24"/>
          <w:highlight w:val="none"/>
        </w:rPr>
        <w:t>82010154900000342</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开户行：浦发银行广州分行</w:t>
      </w:r>
    </w:p>
    <w:p>
      <w:pPr>
        <w:spacing w:line="360" w:lineRule="auto"/>
        <w:ind w:firstLine="480"/>
        <w:outlineLvl w:val="0"/>
        <w:rPr>
          <w:rFonts w:ascii="宋体" w:hAnsi="宋体" w:cs="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履约担保的担保期限和返还</w:t>
      </w:r>
    </w:p>
    <w:p>
      <w:pPr>
        <w:spacing w:line="360" w:lineRule="auto"/>
        <w:ind w:firstLine="480"/>
        <w:outlineLvl w:val="0"/>
        <w:rPr>
          <w:rFonts w:ascii="宋体" w:hAnsi="宋体" w:cs="宋体"/>
          <w:color w:val="auto"/>
          <w:sz w:val="24"/>
          <w:szCs w:val="24"/>
          <w:highlight w:val="none"/>
        </w:rPr>
      </w:pPr>
      <w:r>
        <w:rPr>
          <w:rFonts w:ascii="宋体" w:hAnsi="宋体" w:cs="宋体"/>
          <w:color w:val="auto"/>
          <w:sz w:val="24"/>
          <w:szCs w:val="24"/>
          <w:highlight w:val="none"/>
        </w:rPr>
        <w:t>6.3.1</w:t>
      </w:r>
      <w:r>
        <w:rPr>
          <w:rFonts w:hint="eastAsia" w:ascii="宋体" w:hAnsi="宋体" w:cs="宋体"/>
          <w:color w:val="auto"/>
          <w:sz w:val="24"/>
          <w:highlight w:val="none"/>
        </w:rPr>
        <w:t>履约银行保函（或现金履约保证金）的担保期限：从提供履约担保（或转账成功）之日起至合同履行完成。</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6.3.2</w:t>
      </w:r>
      <w:r>
        <w:rPr>
          <w:rFonts w:hint="eastAsia" w:ascii="宋体" w:hAnsi="宋体" w:cs="宋体"/>
          <w:color w:val="auto"/>
          <w:sz w:val="24"/>
          <w:highlight w:val="none"/>
        </w:rPr>
        <w:t>履约银行保函在合同履行完成后，由乙方提出申请，甲方在28日内返还，不支付利息；</w:t>
      </w:r>
      <w:r>
        <w:rPr>
          <w:rFonts w:ascii="宋体" w:hAnsi="宋体" w:cs="宋体"/>
          <w:color w:val="auto"/>
          <w:sz w:val="24"/>
          <w:szCs w:val="24"/>
          <w:highlight w:val="none"/>
        </w:rPr>
        <w:t xml:space="preserve"> </w:t>
      </w:r>
    </w:p>
    <w:p>
      <w:pPr>
        <w:spacing w:line="360" w:lineRule="auto"/>
        <w:ind w:firstLine="480" w:firstLineChars="200"/>
        <w:outlineLvl w:val="0"/>
        <w:rPr>
          <w:rFonts w:ascii="宋体" w:hAnsi="宋体" w:cs="宋体"/>
          <w:color w:val="auto"/>
          <w:sz w:val="24"/>
          <w:szCs w:val="24"/>
          <w:highlight w:val="none"/>
        </w:rPr>
      </w:pPr>
      <w:r>
        <w:rPr>
          <w:rFonts w:ascii="宋体" w:hAnsi="宋体" w:cs="宋体"/>
          <w:color w:val="auto"/>
          <w:sz w:val="24"/>
          <w:szCs w:val="24"/>
          <w:highlight w:val="none"/>
        </w:rPr>
        <w:t>6.3.3</w:t>
      </w:r>
      <w:r>
        <w:rPr>
          <w:rFonts w:hint="eastAsia" w:ascii="宋体" w:hAnsi="宋体" w:cs="宋体"/>
          <w:color w:val="auto"/>
          <w:sz w:val="24"/>
          <w:szCs w:val="24"/>
          <w:highlight w:val="none"/>
        </w:rPr>
        <w:t>延长担保期限。履约银行保函形式提交履约保证金的，在银行保函到期前，乙方应提前</w:t>
      </w:r>
      <w:r>
        <w:rPr>
          <w:rFonts w:ascii="宋体" w:hAnsi="宋体" w:cs="宋体"/>
          <w:color w:val="auto"/>
          <w:sz w:val="24"/>
          <w:szCs w:val="24"/>
          <w:highlight w:val="none"/>
          <w:u w:val="single"/>
        </w:rPr>
        <w:t xml:space="preserve"> 7 </w:t>
      </w:r>
      <w:r>
        <w:rPr>
          <w:rFonts w:ascii="宋体" w:hAnsi="宋体" w:cs="宋体"/>
          <w:color w:val="auto"/>
          <w:sz w:val="24"/>
          <w:szCs w:val="24"/>
          <w:highlight w:val="none"/>
        </w:rPr>
        <w:t>天向甲方提交新的保函以替换即将到期的保函</w:t>
      </w:r>
      <w:r>
        <w:rPr>
          <w:rFonts w:hint="eastAsia" w:ascii="宋体" w:hAnsi="宋体" w:cs="宋体"/>
          <w:color w:val="auto"/>
          <w:sz w:val="24"/>
          <w:szCs w:val="24"/>
          <w:highlight w:val="none"/>
        </w:rPr>
        <w:t>。如乙方未及时提交的，甲方有权直接要求担保银行支付其担保的全部金额并解除合同。</w:t>
      </w:r>
    </w:p>
    <w:p>
      <w:pPr>
        <w:pStyle w:val="22"/>
        <w:spacing w:before="0" w:beforeAutospacing="0" w:after="0" w:afterAutospacing="0" w:line="360" w:lineRule="auto"/>
        <w:ind w:firstLine="525"/>
        <w:rPr>
          <w:rFonts w:cs="宋体"/>
          <w:color w:val="auto"/>
          <w:highlight w:val="none"/>
        </w:rPr>
      </w:pPr>
      <w:r>
        <w:rPr>
          <w:rFonts w:cs="宋体"/>
          <w:color w:val="auto"/>
          <w:highlight w:val="none"/>
        </w:rPr>
        <w:t>6.3.4</w:t>
      </w:r>
      <w:r>
        <w:rPr>
          <w:rFonts w:hint="eastAsia" w:cs="宋体"/>
          <w:color w:val="auto"/>
          <w:highlight w:val="none"/>
        </w:rPr>
        <w:t>现金履约保证金的退还：合同履行完成后，由乙方提出申请，甲方在</w:t>
      </w:r>
      <w:r>
        <w:rPr>
          <w:rFonts w:cs="宋体"/>
          <w:color w:val="auto"/>
          <w:highlight w:val="none"/>
        </w:rPr>
        <w:t>28</w:t>
      </w:r>
      <w:r>
        <w:rPr>
          <w:rFonts w:hint="eastAsia" w:cs="宋体"/>
          <w:color w:val="auto"/>
          <w:highlight w:val="none"/>
        </w:rPr>
        <w:t>天</w:t>
      </w:r>
      <w:r>
        <w:rPr>
          <w:rFonts w:cs="宋体"/>
          <w:color w:val="auto"/>
          <w:highlight w:val="none"/>
        </w:rPr>
        <w:t>内</w:t>
      </w:r>
      <w:r>
        <w:rPr>
          <w:rFonts w:hint="eastAsia" w:cs="宋体"/>
          <w:color w:val="auto"/>
          <w:highlight w:val="none"/>
        </w:rPr>
        <w:t>将剩余履约保证金（无息）返还。</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6.3.5</w:t>
      </w:r>
      <w:r>
        <w:rPr>
          <w:rFonts w:hint="eastAsia" w:ascii="宋体" w:hAnsi="宋体" w:cs="宋体"/>
          <w:color w:val="auto"/>
          <w:sz w:val="24"/>
          <w:szCs w:val="24"/>
          <w:highlight w:val="none"/>
        </w:rPr>
        <w:t>甲方按合同约定提取履约担保金额后，乙方应在收到甲方通知后</w:t>
      </w:r>
      <w:r>
        <w:rPr>
          <w:rFonts w:ascii="宋体" w:hAnsi="宋体" w:cs="宋体"/>
          <w:color w:val="auto"/>
          <w:sz w:val="24"/>
          <w:szCs w:val="24"/>
          <w:highlight w:val="none"/>
          <w:u w:val="single"/>
        </w:rPr>
        <w:t xml:space="preserve"> 7 </w:t>
      </w:r>
      <w:r>
        <w:rPr>
          <w:rFonts w:hint="eastAsia" w:ascii="宋体" w:hAnsi="宋体" w:cs="宋体"/>
          <w:color w:val="auto"/>
          <w:sz w:val="24"/>
          <w:szCs w:val="24"/>
          <w:highlight w:val="none"/>
        </w:rPr>
        <w:t>天内补足数额，逾期未补足，则甲方有权提取履约担保的全部余额并解除合同。</w:t>
      </w:r>
    </w:p>
    <w:p>
      <w:pPr>
        <w:pStyle w:val="2"/>
        <w:rPr>
          <w:color w:val="auto"/>
          <w:highlight w:val="none"/>
        </w:rPr>
      </w:pPr>
    </w:p>
    <w:p>
      <w:pPr>
        <w:spacing w:after="0" w:line="360" w:lineRule="auto"/>
        <w:ind w:firstLine="482" w:firstLineChars="200"/>
        <w:rPr>
          <w:rFonts w:ascii="宋体" w:hAnsi="宋体" w:cs="宋体"/>
          <w:b/>
          <w:color w:val="auto"/>
          <w:sz w:val="24"/>
          <w:szCs w:val="24"/>
          <w:highlight w:val="none"/>
        </w:rPr>
      </w:pPr>
      <w:r>
        <w:rPr>
          <w:rFonts w:hint="eastAsia" w:ascii="宋体" w:hAnsi="宋体" w:cs="宋体"/>
          <w:b/>
          <w:bCs/>
          <w:color w:val="auto"/>
          <w:kern w:val="0"/>
          <w:sz w:val="24"/>
          <w:szCs w:val="24"/>
          <w:highlight w:val="none"/>
        </w:rPr>
        <w:t>第七条</w:t>
      </w:r>
      <w:r>
        <w:rPr>
          <w:rFonts w:ascii="宋体" w:hAnsi="宋体" w:cs="宋体"/>
          <w:b/>
          <w:bCs/>
          <w:color w:val="auto"/>
          <w:kern w:val="0"/>
          <w:sz w:val="24"/>
          <w:szCs w:val="24"/>
          <w:highlight w:val="none"/>
        </w:rPr>
        <w:t xml:space="preserve"> </w:t>
      </w:r>
      <w:r>
        <w:rPr>
          <w:rFonts w:hint="eastAsia" w:ascii="宋体" w:hAnsi="宋体" w:cs="宋体"/>
          <w:b/>
          <w:color w:val="auto"/>
          <w:sz w:val="24"/>
          <w:szCs w:val="24"/>
          <w:highlight w:val="none"/>
        </w:rPr>
        <w:t>交货及检验要求</w:t>
      </w:r>
    </w:p>
    <w:p>
      <w:pPr>
        <w:autoSpaceDE w:val="0"/>
        <w:autoSpaceDN w:val="0"/>
        <w:adjustRightIn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7.1 </w:t>
      </w:r>
      <w:r>
        <w:rPr>
          <w:rFonts w:hint="eastAsia" w:ascii="宋体" w:hAnsi="宋体" w:cs="宋体"/>
          <w:bCs/>
          <w:color w:val="auto"/>
          <w:sz w:val="24"/>
          <w:szCs w:val="24"/>
          <w:highlight w:val="none"/>
        </w:rPr>
        <w:t>交货要求：乙方应在交货时向甲方提供出厂合格证、产品质量证明文件、操作维修手册等（手册应包含设备情况、系统和主要部件常见故障、保养要求、紧急维修电话等内容）。</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7.2</w:t>
      </w:r>
      <w:r>
        <w:rPr>
          <w:rFonts w:hint="eastAsia" w:ascii="宋体" w:hAnsi="宋体" w:cs="宋体"/>
          <w:bCs/>
          <w:color w:val="auto"/>
          <w:sz w:val="24"/>
          <w:szCs w:val="24"/>
          <w:highlight w:val="none"/>
        </w:rPr>
        <w:t>外观验收：设备运抵交货地点后，甲乙双方根据合同约定对合同设备的包装、外观与件数进行清点检查，并共同签署合同设备外观检查记录。</w:t>
      </w:r>
    </w:p>
    <w:p>
      <w:pPr>
        <w:spacing w:after="0" w:line="360" w:lineRule="auto"/>
        <w:ind w:firstLine="480" w:firstLineChars="200"/>
        <w:rPr>
          <w:rFonts w:ascii="宋体" w:hAnsi="宋体" w:cs="宋体"/>
          <w:color w:val="auto"/>
          <w:sz w:val="24"/>
          <w:szCs w:val="24"/>
          <w:highlight w:val="none"/>
        </w:rPr>
      </w:pPr>
      <w:r>
        <w:rPr>
          <w:rFonts w:ascii="宋体" w:hAnsi="宋体" w:cs="宋体"/>
          <w:bCs/>
          <w:color w:val="auto"/>
          <w:sz w:val="24"/>
          <w:szCs w:val="24"/>
          <w:highlight w:val="none"/>
        </w:rPr>
        <w:t xml:space="preserve">7.3 </w:t>
      </w:r>
      <w:r>
        <w:rPr>
          <w:rFonts w:hint="eastAsia" w:ascii="宋体" w:hAnsi="宋体" w:cs="宋体"/>
          <w:bCs/>
          <w:color w:val="auto"/>
          <w:sz w:val="24"/>
          <w:szCs w:val="24"/>
          <w:highlight w:val="none"/>
        </w:rPr>
        <w:t>开箱验收：开箱检验在合同设备交付地点进行，</w:t>
      </w:r>
      <w:r>
        <w:rPr>
          <w:rFonts w:hint="eastAsia" w:ascii="宋体" w:hAnsi="宋体" w:cs="宋体"/>
          <w:color w:val="auto"/>
          <w:sz w:val="24"/>
          <w:szCs w:val="24"/>
          <w:highlight w:val="none"/>
        </w:rPr>
        <w:t>包括但不限于对合同设备数量、规格、外观完好性进行检验。经验收合格后，甲方签发开箱检验合格证明。开箱验收合格前，设备的损坏风险由乙方承担。</w:t>
      </w:r>
    </w:p>
    <w:p>
      <w:pPr>
        <w:adjustRightInd w:val="0"/>
        <w:snapToGrid w:val="0"/>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7.4</w:t>
      </w:r>
      <w:r>
        <w:rPr>
          <w:rFonts w:hint="eastAsia" w:ascii="宋体" w:hAnsi="宋体" w:cs="宋体"/>
          <w:color w:val="auto"/>
          <w:sz w:val="24"/>
          <w:szCs w:val="24"/>
          <w:highlight w:val="none"/>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spacing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7.5</w:t>
      </w:r>
      <w:r>
        <w:rPr>
          <w:rFonts w:hint="eastAsia" w:ascii="宋体" w:hAnsi="宋体" w:cs="宋体"/>
          <w:color w:val="auto"/>
          <w:sz w:val="24"/>
          <w:szCs w:val="24"/>
          <w:highlight w:val="none"/>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highlight w:val="none"/>
        </w:rPr>
        <w:t>7.4</w:t>
      </w:r>
      <w:r>
        <w:rPr>
          <w:rFonts w:hint="eastAsia" w:ascii="宋体" w:hAnsi="宋体" w:cs="宋体"/>
          <w:color w:val="auto"/>
          <w:sz w:val="24"/>
          <w:szCs w:val="24"/>
          <w:highlight w:val="none"/>
        </w:rPr>
        <w:t>条执行，交货时间不顺延。</w:t>
      </w:r>
    </w:p>
    <w:p>
      <w:pPr>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7.6 </w:t>
      </w:r>
      <w:r>
        <w:rPr>
          <w:rFonts w:hint="eastAsia" w:ascii="宋体" w:hAnsi="宋体" w:cs="宋体"/>
          <w:color w:val="auto"/>
          <w:sz w:val="24"/>
          <w:szCs w:val="24"/>
          <w:highlight w:val="none"/>
        </w:rPr>
        <w:t>甲方有权对合同设备进行原厂正品验证，若合同设备无法获原厂验证，甲方有权退回设备，要求乙方在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个工作日内退回已支付款项并按设备价格的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w:t>
      </w:r>
      <w:r>
        <w:rPr>
          <w:rFonts w:hint="eastAsia" w:ascii="宋体" w:hAnsi="宋体" w:cs="宋体"/>
          <w:color w:val="auto"/>
          <w:sz w:val="24"/>
          <w:szCs w:val="24"/>
          <w:highlight w:val="none"/>
        </w:rPr>
        <w:t>支付违约金。</w:t>
      </w:r>
    </w:p>
    <w:p>
      <w:pPr>
        <w:pStyle w:val="2"/>
        <w:rPr>
          <w:color w:val="auto"/>
          <w:highlight w:val="none"/>
        </w:rPr>
      </w:pPr>
    </w:p>
    <w:p>
      <w:pPr>
        <w:spacing w:before="120" w:after="120" w:line="360" w:lineRule="auto"/>
        <w:ind w:firstLine="482" w:firstLineChars="200"/>
        <w:rPr>
          <w:rFonts w:ascii="宋体" w:hAnsi="宋体" w:cs="宋体"/>
          <w:b/>
          <w:color w:val="auto"/>
          <w:sz w:val="24"/>
          <w:szCs w:val="24"/>
          <w:highlight w:val="none"/>
        </w:rPr>
      </w:pPr>
      <w:bookmarkStart w:id="132" w:name="_Toc474245215"/>
      <w:bookmarkStart w:id="133" w:name="_Toc518992990"/>
      <w:bookmarkStart w:id="134" w:name="_Toc520190030"/>
      <w:r>
        <w:rPr>
          <w:rFonts w:hint="eastAsia" w:ascii="宋体" w:hAnsi="宋体" w:cs="宋体"/>
          <w:b/>
          <w:color w:val="auto"/>
          <w:sz w:val="24"/>
          <w:szCs w:val="24"/>
          <w:highlight w:val="none"/>
        </w:rPr>
        <w:t>第八条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包装</w:t>
      </w:r>
      <w:bookmarkEnd w:id="132"/>
      <w:bookmarkEnd w:id="133"/>
      <w:bookmarkEnd w:id="134"/>
      <w:r>
        <w:rPr>
          <w:rFonts w:hint="eastAsia" w:ascii="宋体" w:hAnsi="宋体" w:cs="宋体"/>
          <w:b/>
          <w:color w:val="auto"/>
          <w:sz w:val="24"/>
          <w:szCs w:val="24"/>
          <w:highlight w:val="none"/>
        </w:rPr>
        <w:t>、标示及运输要求</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8.1 </w:t>
      </w:r>
      <w:r>
        <w:rPr>
          <w:rFonts w:hint="eastAsia" w:ascii="宋体" w:hAnsi="宋体" w:cs="宋体"/>
          <w:bCs/>
          <w:color w:val="auto"/>
          <w:sz w:val="24"/>
          <w:szCs w:val="24"/>
          <w:highlight w:val="none"/>
        </w:rPr>
        <w:t>包装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8.1.1</w:t>
      </w:r>
      <w:r>
        <w:rPr>
          <w:rFonts w:hint="eastAsia" w:ascii="宋体" w:hAnsi="宋体" w:cs="宋体"/>
          <w:bCs/>
          <w:color w:val="auto"/>
          <w:sz w:val="24"/>
          <w:szCs w:val="24"/>
          <w:highlight w:val="none"/>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8.1.2</w:t>
      </w:r>
      <w:r>
        <w:rPr>
          <w:rFonts w:hint="eastAsia" w:ascii="宋体" w:hAnsi="宋体" w:cs="宋体"/>
          <w:bCs/>
          <w:color w:val="auto"/>
          <w:sz w:val="24"/>
          <w:szCs w:val="24"/>
          <w:highlight w:val="none"/>
        </w:rPr>
        <w:t>超限设备的包装要求：</w:t>
      </w:r>
      <w:r>
        <w:rPr>
          <w:rFonts w:ascii="宋体" w:hAnsi="宋体" w:cs="宋体"/>
          <w:bCs/>
          <w:color w:val="auto"/>
          <w:sz w:val="24"/>
          <w:szCs w:val="24"/>
          <w:highlight w:val="none"/>
          <w:u w:val="single"/>
        </w:rPr>
        <w:t xml:space="preserve">  /  </w:t>
      </w:r>
      <w:r>
        <w:rPr>
          <w:rFonts w:hint="eastAsia" w:ascii="宋体" w:hAnsi="宋体" w:cs="宋体"/>
          <w:bCs/>
          <w:color w:val="auto"/>
          <w:sz w:val="24"/>
          <w:szCs w:val="24"/>
          <w:highlight w:val="none"/>
        </w:rPr>
        <w:t>。</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8.2 </w:t>
      </w:r>
      <w:bookmarkStart w:id="135" w:name="_Toc107446851"/>
      <w:bookmarkStart w:id="136" w:name="_Toc107447244"/>
      <w:r>
        <w:rPr>
          <w:rFonts w:hint="eastAsia" w:ascii="宋体" w:hAnsi="宋体" w:cs="宋体"/>
          <w:bCs/>
          <w:color w:val="auto"/>
          <w:sz w:val="24"/>
          <w:szCs w:val="24"/>
          <w:highlight w:val="none"/>
        </w:rPr>
        <w:t>标志</w:t>
      </w:r>
    </w:p>
    <w:bookmarkEnd w:id="135"/>
    <w:bookmarkEnd w:id="136"/>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8.2.1</w:t>
      </w:r>
      <w:r>
        <w:rPr>
          <w:rFonts w:hint="eastAsia" w:ascii="宋体" w:hAnsi="宋体" w:cs="宋体"/>
          <w:bCs/>
          <w:color w:val="auto"/>
          <w:sz w:val="24"/>
          <w:szCs w:val="24"/>
          <w:highlight w:val="none"/>
        </w:rPr>
        <w:t>乙方应按照国家标准对设备的外包装进行标志。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8.2.2</w:t>
      </w:r>
      <w:r>
        <w:rPr>
          <w:rFonts w:hint="eastAsia" w:ascii="宋体" w:hAnsi="宋体" w:cs="宋体"/>
          <w:color w:val="auto"/>
          <w:sz w:val="24"/>
          <w:szCs w:val="24"/>
          <w:highlight w:val="none"/>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8.2.3  </w:t>
      </w:r>
      <w:r>
        <w:rPr>
          <w:rFonts w:hint="eastAsia" w:ascii="宋体" w:hAnsi="宋体" w:cs="宋体"/>
          <w:bCs/>
          <w:color w:val="auto"/>
          <w:sz w:val="24"/>
          <w:szCs w:val="24"/>
          <w:highlight w:val="none"/>
        </w:rPr>
        <w:t>如由于包装不当或包装箱内部保护措施不符合要求而导致在装车或运输中发生设备或其任何部件的损坏或遗失，乙方应自费对缺损的设备、部件进行修理、更换或补供。</w:t>
      </w:r>
      <w:bookmarkStart w:id="137" w:name="_Toc518992992"/>
      <w:bookmarkStart w:id="138" w:name="_Toc9269"/>
      <w:bookmarkStart w:id="139" w:name="_Toc520190032"/>
      <w:bookmarkStart w:id="140" w:name="_Toc306350457"/>
      <w:bookmarkStart w:id="141" w:name="_Toc474245218"/>
      <w:bookmarkStart w:id="142" w:name="_Toc183666521"/>
    </w:p>
    <w:p>
      <w:pPr>
        <w:adjustRightInd w:val="0"/>
        <w:snapToGrid w:val="0"/>
        <w:spacing w:after="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w:t>
      </w:r>
      <w:r>
        <w:rPr>
          <w:rFonts w:hint="eastAsia" w:ascii="宋体" w:hAnsi="宋体" w:cs="宋体"/>
          <w:color w:val="auto"/>
          <w:sz w:val="24"/>
          <w:szCs w:val="24"/>
          <w:highlight w:val="none"/>
        </w:rPr>
        <w:t>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8.3.1</w:t>
      </w:r>
      <w:r>
        <w:rPr>
          <w:rFonts w:hint="eastAsia" w:ascii="宋体" w:hAnsi="宋体" w:cs="宋体"/>
          <w:color w:val="auto"/>
          <w:sz w:val="24"/>
          <w:szCs w:val="24"/>
          <w:highlight w:val="none"/>
        </w:rPr>
        <w:t>乙方应自行选择适宜的运输工具及线路安排合同设备运输。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8.3.2 </w:t>
      </w:r>
      <w:r>
        <w:rPr>
          <w:rFonts w:hint="eastAsia" w:ascii="宋体" w:hAnsi="宋体" w:cs="宋体"/>
          <w:color w:val="auto"/>
          <w:sz w:val="24"/>
          <w:szCs w:val="24"/>
          <w:highlight w:val="none"/>
        </w:rPr>
        <w:t>除合同条款另有约定外，每件设备的备品备件应整套装运。</w:t>
      </w:r>
    </w:p>
    <w:p>
      <w:pPr>
        <w:adjustRightInd w:val="0"/>
        <w:snapToGrid w:val="0"/>
        <w:spacing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 xml:space="preserve">8.3.3 </w:t>
      </w:r>
      <w:r>
        <w:rPr>
          <w:rFonts w:hint="eastAsia" w:ascii="宋体" w:hAnsi="宋体" w:cs="宋体"/>
          <w:color w:val="auto"/>
          <w:sz w:val="24"/>
          <w:szCs w:val="24"/>
          <w:highlight w:val="none"/>
        </w:rPr>
        <w:t>除合同条款另有约定外，乙方应在合同设备预计启运</w:t>
      </w:r>
      <w:r>
        <w:rPr>
          <w:rFonts w:ascii="宋体" w:hAnsi="宋体" w:cs="宋体"/>
          <w:color w:val="auto"/>
          <w:sz w:val="24"/>
          <w:szCs w:val="24"/>
          <w:highlight w:val="none"/>
        </w:rPr>
        <w:t>7</w:t>
      </w:r>
      <w:r>
        <w:rPr>
          <w:rFonts w:hint="eastAsia" w:ascii="宋体" w:hAnsi="宋体" w:cs="宋体"/>
          <w:color w:val="auto"/>
          <w:sz w:val="24"/>
          <w:szCs w:val="24"/>
          <w:highlight w:val="none"/>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highlight w:val="none"/>
        </w:rPr>
        <w:t xml:space="preserve"> 24 </w:t>
      </w:r>
      <w:r>
        <w:rPr>
          <w:rFonts w:hint="eastAsia" w:ascii="宋体" w:hAnsi="宋体" w:cs="宋体"/>
          <w:color w:val="auto"/>
          <w:sz w:val="24"/>
          <w:szCs w:val="24"/>
          <w:highlight w:val="none"/>
        </w:rPr>
        <w:t>小时之内正式通知甲方。</w:t>
      </w:r>
    </w:p>
    <w:p>
      <w:pPr>
        <w:pStyle w:val="2"/>
        <w:rPr>
          <w:color w:val="auto"/>
          <w:highlight w:val="none"/>
        </w:rPr>
      </w:pPr>
    </w:p>
    <w:bookmarkEnd w:id="137"/>
    <w:bookmarkEnd w:id="138"/>
    <w:bookmarkEnd w:id="139"/>
    <w:bookmarkEnd w:id="140"/>
    <w:bookmarkEnd w:id="141"/>
    <w:bookmarkEnd w:id="142"/>
    <w:p>
      <w:pPr>
        <w:adjustRightInd w:val="0"/>
        <w:snapToGrid w:val="0"/>
        <w:spacing w:before="120" w:beforeLines="50" w:after="120" w:afterLines="50" w:line="360" w:lineRule="auto"/>
        <w:ind w:firstLine="482" w:firstLineChars="200"/>
        <w:rPr>
          <w:rFonts w:ascii="宋体" w:hAnsi="宋体" w:cs="宋体"/>
          <w:color w:val="auto"/>
          <w:sz w:val="24"/>
          <w:szCs w:val="24"/>
          <w:highlight w:val="none"/>
        </w:rPr>
      </w:pPr>
      <w:bookmarkStart w:id="143" w:name="_Toc306350458"/>
      <w:bookmarkStart w:id="144" w:name="_Toc18496"/>
      <w:bookmarkStart w:id="145" w:name="_Toc183666522"/>
      <w:r>
        <w:rPr>
          <w:rFonts w:hint="eastAsia" w:ascii="宋体" w:hAnsi="宋体" w:cs="宋体"/>
          <w:b/>
          <w:color w:val="auto"/>
          <w:sz w:val="24"/>
          <w:szCs w:val="24"/>
          <w:highlight w:val="none"/>
        </w:rPr>
        <w:t>第九条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9.1  </w:t>
      </w:r>
      <w:r>
        <w:rPr>
          <w:rFonts w:hint="eastAsia" w:ascii="宋体" w:hAnsi="宋体" w:cs="宋体"/>
          <w:color w:val="auto"/>
          <w:sz w:val="24"/>
          <w:szCs w:val="24"/>
          <w:highlight w:val="none"/>
        </w:rPr>
        <w:t>乙方应按甲方需求，派遣技术熟练、称职的技术人员到现场为甲方提供设备调试运行等技术服务。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9.2  </w:t>
      </w:r>
      <w:r>
        <w:rPr>
          <w:rFonts w:hint="eastAsia" w:ascii="宋体" w:hAnsi="宋体" w:cs="宋体"/>
          <w:color w:val="auto"/>
          <w:sz w:val="24"/>
          <w:szCs w:val="24"/>
          <w:highlight w:val="none"/>
        </w:rPr>
        <w:t>甲方为乙方技术人员提供工作条件及便利，包括但不限于必要的办公场所、技术资料及出入许可等。除合同另有约定外，乙方技术人员的交通、食宿费用由乙方承担。</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9.3  </w:t>
      </w:r>
      <w:r>
        <w:rPr>
          <w:rFonts w:hint="eastAsia" w:ascii="宋体" w:hAnsi="宋体" w:cs="宋体"/>
          <w:color w:val="auto"/>
          <w:sz w:val="24"/>
          <w:szCs w:val="24"/>
          <w:highlight w:val="none"/>
        </w:rPr>
        <w:t>乙方技术人员应遵守甲方施工现场的各项规章制度和安全操作规程，并服从甲方的现场管理。</w:t>
      </w:r>
    </w:p>
    <w:p>
      <w:pPr>
        <w:adjustRightInd w:val="0"/>
        <w:snapToGrid w:val="0"/>
        <w:spacing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 xml:space="preserve">9.4  </w:t>
      </w:r>
      <w:r>
        <w:rPr>
          <w:rFonts w:hint="eastAsia" w:ascii="宋体" w:hAnsi="宋体" w:cs="宋体"/>
          <w:color w:val="auto"/>
          <w:sz w:val="24"/>
          <w:szCs w:val="24"/>
          <w:highlight w:val="none"/>
        </w:rPr>
        <w:t>如果乙方技术人员提供的服务达不到合同和甲方要求的，甲方有权要求乙方撤换，因撤换而产生的费用应由乙方承担。在不影响技术服务并且征得甲方同意的条件下，乙方也可自负费用更换其技术人员。</w:t>
      </w:r>
    </w:p>
    <w:p>
      <w:pPr>
        <w:pStyle w:val="2"/>
        <w:rPr>
          <w:color w:val="auto"/>
          <w:highlight w:val="none"/>
        </w:rPr>
      </w:pPr>
    </w:p>
    <w:bookmarkEnd w:id="143"/>
    <w:bookmarkEnd w:id="144"/>
    <w:bookmarkEnd w:id="145"/>
    <w:p>
      <w:pPr>
        <w:autoSpaceDE w:val="0"/>
        <w:autoSpaceDN w:val="0"/>
        <w:adjustRightInd w:val="0"/>
        <w:spacing w:line="360" w:lineRule="auto"/>
        <w:ind w:firstLine="482" w:firstLineChars="200"/>
        <w:rPr>
          <w:rFonts w:ascii="宋体" w:hAnsi="宋体" w:cs="宋体"/>
          <w:b/>
          <w:color w:val="auto"/>
          <w:sz w:val="24"/>
          <w:szCs w:val="24"/>
          <w:highlight w:val="none"/>
        </w:rPr>
      </w:pPr>
      <w:bookmarkStart w:id="146" w:name="_Toc518992994"/>
      <w:bookmarkStart w:id="147" w:name="_Toc474245220"/>
      <w:bookmarkStart w:id="148" w:name="_Toc520190034"/>
      <w:bookmarkStart w:id="149" w:name="_Toc183666523"/>
      <w:bookmarkStart w:id="150" w:name="_Toc306350459"/>
      <w:bookmarkStart w:id="151" w:name="_Toc4682"/>
      <w:r>
        <w:rPr>
          <w:rFonts w:hint="eastAsia" w:ascii="宋体" w:hAnsi="宋体" w:cs="宋体"/>
          <w:b/>
          <w:color w:val="auto"/>
          <w:sz w:val="24"/>
          <w:szCs w:val="24"/>
          <w:highlight w:val="none"/>
        </w:rPr>
        <w:t>第十条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质量保</w:t>
      </w:r>
      <w:bookmarkEnd w:id="146"/>
      <w:bookmarkEnd w:id="147"/>
      <w:bookmarkEnd w:id="148"/>
      <w:r>
        <w:rPr>
          <w:rFonts w:hint="eastAsia" w:ascii="宋体" w:hAnsi="宋体" w:cs="宋体"/>
          <w:b/>
          <w:color w:val="auto"/>
          <w:sz w:val="24"/>
          <w:szCs w:val="24"/>
          <w:highlight w:val="none"/>
        </w:rPr>
        <w:t>修</w:t>
      </w:r>
    </w:p>
    <w:p>
      <w:pPr>
        <w:tabs>
          <w:tab w:val="left" w:pos="851"/>
        </w:tabs>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10.1</w:t>
      </w:r>
      <w:r>
        <w:rPr>
          <w:rFonts w:hint="eastAsia" w:ascii="宋体" w:hAnsi="宋体" w:cs="宋体"/>
          <w:color w:val="auto"/>
          <w:sz w:val="24"/>
          <w:szCs w:val="24"/>
          <w:highlight w:val="none"/>
        </w:rPr>
        <w:t>保修期：自</w:t>
      </w:r>
      <w:r>
        <w:rPr>
          <w:rFonts w:hint="eastAsia" w:ascii="宋体" w:hAnsi="宋体" w:cs="宋体"/>
          <w:color w:val="auto"/>
          <w:kern w:val="0"/>
          <w:sz w:val="24"/>
          <w:szCs w:val="24"/>
          <w:highlight w:val="none"/>
          <w:lang w:val="zh-CN"/>
        </w:rPr>
        <w:t>设备</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验收合格之日起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1</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年</w:t>
      </w:r>
      <w:r>
        <w:rPr>
          <w:rFonts w:hint="eastAsia" w:ascii="宋体" w:hAnsi="宋体" w:cs="宋体"/>
          <w:color w:val="auto"/>
          <w:sz w:val="24"/>
          <w:szCs w:val="24"/>
          <w:highlight w:val="none"/>
        </w:rPr>
        <w:t>。保修期内乙方应免费对设备进行日常维护保养及质量缺陷修复。</w:t>
      </w:r>
      <w:r>
        <w:rPr>
          <w:rFonts w:ascii="宋体" w:hAnsi="宋体" w:cs="宋体"/>
          <w:color w:val="auto"/>
          <w:sz w:val="24"/>
          <w:szCs w:val="24"/>
          <w:highlight w:val="none"/>
        </w:rPr>
        <w:t xml:space="preserve">                                          </w:t>
      </w:r>
    </w:p>
    <w:p>
      <w:pPr>
        <w:tabs>
          <w:tab w:val="left" w:pos="851"/>
        </w:tabs>
        <w:adjustRightInd w:val="0"/>
        <w:snapToGrid w:val="0"/>
        <w:spacing w:line="360" w:lineRule="auto"/>
        <w:ind w:firstLine="480" w:firstLineChars="200"/>
        <w:rPr>
          <w:rFonts w:ascii="宋体" w:hAnsi="宋体" w:cs="宋体"/>
          <w:color w:val="auto"/>
          <w:kern w:val="0"/>
          <w:sz w:val="24"/>
          <w:szCs w:val="24"/>
          <w:highlight w:val="none"/>
          <w:lang w:val="zh-CN"/>
        </w:rPr>
      </w:pPr>
      <w:r>
        <w:rPr>
          <w:rFonts w:ascii="宋体" w:hAnsi="宋体" w:cs="宋体"/>
          <w:color w:val="auto"/>
          <w:sz w:val="24"/>
          <w:szCs w:val="24"/>
          <w:highlight w:val="none"/>
        </w:rPr>
        <w:t>10.2</w:t>
      </w:r>
      <w:r>
        <w:rPr>
          <w:rFonts w:hint="eastAsia" w:ascii="宋体" w:hAnsi="宋体" w:cs="宋体"/>
          <w:color w:val="auto"/>
          <w:kern w:val="0"/>
          <w:sz w:val="24"/>
          <w:szCs w:val="24"/>
          <w:highlight w:val="none"/>
        </w:rPr>
        <w:t>保修</w:t>
      </w:r>
      <w:r>
        <w:rPr>
          <w:rFonts w:hint="eastAsia" w:ascii="宋体" w:hAnsi="宋体" w:cs="宋体"/>
          <w:color w:val="auto"/>
          <w:kern w:val="0"/>
          <w:sz w:val="24"/>
          <w:szCs w:val="24"/>
          <w:highlight w:val="none"/>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highlight w:val="none"/>
          <w:u w:val="single"/>
          <w:lang w:val="zh-CN"/>
        </w:rPr>
        <w:t>同暂定总价的</w:t>
      </w:r>
      <w:r>
        <w:rPr>
          <w:rFonts w:ascii="宋体" w:hAnsi="宋体" w:cs="宋体"/>
          <w:color w:val="auto"/>
          <w:kern w:val="0"/>
          <w:sz w:val="24"/>
          <w:szCs w:val="24"/>
          <w:highlight w:val="none"/>
          <w:u w:val="single"/>
          <w:lang w:val="zh-CN"/>
        </w:rPr>
        <w:t>10%</w:t>
      </w:r>
      <w:r>
        <w:rPr>
          <w:rFonts w:hint="eastAsia" w:ascii="宋体" w:hAnsi="宋体" w:cs="宋体"/>
          <w:color w:val="auto"/>
          <w:kern w:val="0"/>
          <w:sz w:val="24"/>
          <w:szCs w:val="24"/>
          <w:highlight w:val="none"/>
          <w:u w:val="single"/>
          <w:lang w:val="zh-CN"/>
        </w:rPr>
        <w:t>作为</w:t>
      </w:r>
      <w:r>
        <w:rPr>
          <w:rFonts w:hint="eastAsia" w:ascii="宋体" w:hAnsi="宋体" w:cs="宋体"/>
          <w:color w:val="auto"/>
          <w:kern w:val="0"/>
          <w:sz w:val="24"/>
          <w:szCs w:val="24"/>
          <w:highlight w:val="none"/>
          <w:lang w:val="zh-CN"/>
        </w:rPr>
        <w:t>违约金，</w:t>
      </w:r>
      <w:r>
        <w:rPr>
          <w:rFonts w:hint="eastAsia" w:ascii="宋体" w:hAnsi="宋体" w:cs="宋体"/>
          <w:color w:val="auto"/>
          <w:kern w:val="0"/>
          <w:sz w:val="24"/>
          <w:szCs w:val="24"/>
          <w:highlight w:val="none"/>
        </w:rPr>
        <w:t>由此产生的</w:t>
      </w:r>
      <w:r>
        <w:rPr>
          <w:rFonts w:hint="eastAsia" w:ascii="宋体" w:hAnsi="宋体" w:cs="宋体"/>
          <w:color w:val="auto"/>
          <w:kern w:val="0"/>
          <w:sz w:val="24"/>
          <w:szCs w:val="24"/>
          <w:highlight w:val="none"/>
          <w:lang w:val="zh-CN"/>
        </w:rPr>
        <w:t>费用由乙方承担。对涉及运营费用，乙方应保证在</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w:t>
      </w:r>
      <w:r>
        <w:rPr>
          <w:rFonts w:hint="eastAsia" w:ascii="宋体" w:hAnsi="宋体" w:cs="宋体"/>
          <w:color w:val="auto"/>
          <w:kern w:val="0"/>
          <w:sz w:val="24"/>
          <w:szCs w:val="24"/>
          <w:highlight w:val="none"/>
        </w:rPr>
        <w:t>合格</w:t>
      </w:r>
      <w:r>
        <w:rPr>
          <w:rFonts w:hint="eastAsia" w:ascii="宋体" w:hAnsi="宋体" w:cs="宋体"/>
          <w:color w:val="auto"/>
          <w:kern w:val="0"/>
          <w:sz w:val="24"/>
          <w:szCs w:val="24"/>
          <w:highlight w:val="none"/>
          <w:lang w:val="zh-CN"/>
        </w:rPr>
        <w:t>后三年内，</w:t>
      </w: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val="zh-CN"/>
        </w:rPr>
        <w:t>运行费用不高于投标文件</w:t>
      </w:r>
      <w:r>
        <w:rPr>
          <w:rFonts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zh-CN"/>
        </w:rPr>
        <w:t>响应文件的承诺指标，</w:t>
      </w:r>
      <w:r>
        <w:rPr>
          <w:rFonts w:hint="eastAsia" w:ascii="宋体" w:hAnsi="宋体" w:cs="宋体"/>
          <w:color w:val="auto"/>
          <w:kern w:val="0"/>
          <w:sz w:val="24"/>
          <w:szCs w:val="24"/>
          <w:highlight w:val="none"/>
        </w:rPr>
        <w:t>否则，</w:t>
      </w:r>
      <w:r>
        <w:rPr>
          <w:rFonts w:hint="eastAsia" w:ascii="宋体" w:hAnsi="宋体" w:cs="宋体"/>
          <w:color w:val="auto"/>
          <w:kern w:val="0"/>
          <w:sz w:val="24"/>
          <w:szCs w:val="24"/>
          <w:highlight w:val="none"/>
          <w:lang w:val="zh-CN"/>
        </w:rPr>
        <w:t>乙方需无条件免费更换设备</w:t>
      </w:r>
      <w:r>
        <w:rPr>
          <w:rFonts w:hint="eastAsia" w:ascii="宋体" w:hAnsi="宋体" w:cs="宋体"/>
          <w:color w:val="auto"/>
          <w:kern w:val="0"/>
          <w:sz w:val="24"/>
          <w:szCs w:val="24"/>
          <w:highlight w:val="none"/>
        </w:rPr>
        <w:t>并支付违约金</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5000 </w:t>
      </w:r>
      <w:r>
        <w:rPr>
          <w:rFonts w:hint="eastAsia" w:ascii="宋体" w:hAnsi="宋体" w:cs="宋体"/>
          <w:color w:val="auto"/>
          <w:kern w:val="0"/>
          <w:sz w:val="24"/>
          <w:szCs w:val="24"/>
          <w:highlight w:val="none"/>
        </w:rPr>
        <w:t>元</w:t>
      </w:r>
      <w:r>
        <w:rPr>
          <w:rFonts w:hint="eastAsia" w:ascii="宋体" w:hAnsi="宋体" w:cs="宋体"/>
          <w:color w:val="auto"/>
          <w:kern w:val="0"/>
          <w:sz w:val="24"/>
          <w:szCs w:val="24"/>
          <w:highlight w:val="none"/>
          <w:lang w:val="zh-CN"/>
        </w:rPr>
        <w:t>（如有）。</w:t>
      </w:r>
    </w:p>
    <w:p>
      <w:pPr>
        <w:tabs>
          <w:tab w:val="left" w:pos="851"/>
        </w:tabs>
        <w:adjustRightInd w:val="0"/>
        <w:snapToGrid w:val="0"/>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10.3 </w:t>
      </w:r>
      <w:r>
        <w:rPr>
          <w:rFonts w:hint="eastAsia" w:ascii="宋体" w:hAnsi="宋体" w:cs="宋体"/>
          <w:bCs/>
          <w:color w:val="auto"/>
          <w:sz w:val="24"/>
          <w:szCs w:val="24"/>
          <w:highlight w:val="none"/>
        </w:rPr>
        <w:t>保修期间由于设备本身原因产生的故障仍属质保范围，对更换或维修过的零部件从更换或维修完成并验收合格之日起，质量保修期重新计算。</w:t>
      </w:r>
    </w:p>
    <w:p>
      <w:pPr>
        <w:spacing w:line="360" w:lineRule="auto"/>
        <w:ind w:firstLine="482"/>
        <w:rPr>
          <w:rFonts w:hint="eastAsia" w:ascii="宋体" w:hAnsi="宋体" w:cs="宋体"/>
          <w:bCs/>
          <w:color w:val="auto"/>
          <w:sz w:val="24"/>
          <w:szCs w:val="24"/>
          <w:highlight w:val="none"/>
        </w:rPr>
      </w:pPr>
      <w:r>
        <w:rPr>
          <w:rFonts w:ascii="宋体" w:hAnsi="宋体" w:cs="宋体"/>
          <w:bCs/>
          <w:color w:val="auto"/>
          <w:sz w:val="24"/>
          <w:szCs w:val="24"/>
          <w:highlight w:val="none"/>
        </w:rPr>
        <w:t xml:space="preserve">10.4 </w:t>
      </w:r>
      <w:r>
        <w:rPr>
          <w:rFonts w:hint="eastAsia" w:ascii="宋体" w:hAnsi="宋体" w:cs="宋体"/>
          <w:bCs/>
          <w:color w:val="auto"/>
          <w:sz w:val="24"/>
          <w:szCs w:val="24"/>
          <w:highlight w:val="none"/>
        </w:rPr>
        <w:t>质量保修期间，如合同设备出现故障，乙方应在接到甲方通知后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小时内通过电话、网络等提供远程技术指导，如甲方需要乙方到场的，乙方应在收到甲方通知后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48</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小时内派专业技术人员到场负责解决及维修故障。</w:t>
      </w:r>
      <w:bookmarkEnd w:id="149"/>
      <w:bookmarkEnd w:id="150"/>
      <w:bookmarkEnd w:id="151"/>
      <w:r>
        <w:rPr>
          <w:rFonts w:hint="eastAsia" w:ascii="宋体" w:hAnsi="宋体" w:cs="宋体"/>
          <w:bCs/>
          <w:color w:val="auto"/>
          <w:sz w:val="24"/>
          <w:szCs w:val="24"/>
          <w:highlight w:val="none"/>
        </w:rPr>
        <w:t>如果乙方不按时到场维修或到场后不能修复的，甲方有权委托他人予以维修，乙方承担由此发生的费用并支付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10%/次</w:t>
      </w:r>
      <w:r>
        <w:rPr>
          <w:rFonts w:hint="eastAsia" w:ascii="宋体" w:hAnsi="宋体" w:cs="宋体"/>
          <w:bCs/>
          <w:color w:val="auto"/>
          <w:sz w:val="24"/>
          <w:szCs w:val="24"/>
          <w:highlight w:val="none"/>
        </w:rPr>
        <w:t>作为违约金。</w:t>
      </w:r>
    </w:p>
    <w:p>
      <w:pPr>
        <w:pStyle w:val="2"/>
        <w:rPr>
          <w:color w:val="auto"/>
          <w:highlight w:val="none"/>
        </w:rPr>
      </w:pPr>
    </w:p>
    <w:p>
      <w:pPr>
        <w:spacing w:line="360" w:lineRule="auto"/>
        <w:ind w:firstLine="482"/>
        <w:rPr>
          <w:rFonts w:ascii="宋体" w:hAnsi="宋体" w:cs="宋体"/>
          <w:bCs/>
          <w:color w:val="auto"/>
          <w:sz w:val="24"/>
          <w:szCs w:val="24"/>
          <w:highlight w:val="none"/>
        </w:rPr>
      </w:pPr>
      <w:r>
        <w:rPr>
          <w:rFonts w:hint="eastAsia" w:ascii="宋体" w:hAnsi="宋体" w:cs="宋体"/>
          <w:b/>
          <w:color w:val="auto"/>
          <w:sz w:val="24"/>
          <w:szCs w:val="24"/>
          <w:highlight w:val="none"/>
        </w:rPr>
        <w:t>第十一条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11.1 </w:t>
      </w:r>
      <w:r>
        <w:rPr>
          <w:rFonts w:hint="eastAsia" w:ascii="宋体" w:hAnsi="宋体" w:cs="宋体"/>
          <w:bCs/>
          <w:color w:val="auto"/>
          <w:sz w:val="24"/>
          <w:szCs w:val="24"/>
          <w:highlight w:val="none"/>
        </w:rPr>
        <w:t>延期交货的违约责任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11.1.1 </w:t>
      </w:r>
      <w:r>
        <w:rPr>
          <w:rFonts w:hint="eastAsia" w:ascii="宋体" w:hAnsi="宋体" w:cs="宋体"/>
          <w:bCs/>
          <w:color w:val="auto"/>
          <w:sz w:val="24"/>
          <w:szCs w:val="24"/>
          <w:highlight w:val="none"/>
        </w:rPr>
        <w:t>乙方应按照本合同约定的时间交货。如乙方因客观情况导致无法按时交货，乙方应在交货期前</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日，以书面形式将原因及预计拖延的时间通知甲方。经甲方同意后，交货期顺延。</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11.1.2</w:t>
      </w:r>
      <w:r>
        <w:rPr>
          <w:rFonts w:hint="eastAsia" w:ascii="宋体" w:hAnsi="宋体" w:cs="宋体"/>
          <w:bCs/>
          <w:color w:val="auto"/>
          <w:sz w:val="24"/>
          <w:szCs w:val="24"/>
          <w:highlight w:val="none"/>
        </w:rPr>
        <w:t>乙方未能在合同规定期限内交货并交付完整技术资料的，每逾期一天，甲方有权按迟</w:t>
      </w:r>
      <w:r>
        <w:rPr>
          <w:rFonts w:hint="eastAsia" w:ascii="宋体" w:hAnsi="宋体" w:cs="宋体"/>
          <w:bCs/>
          <w:color w:val="auto"/>
          <w:sz w:val="24"/>
          <w:szCs w:val="24"/>
          <w:highlight w:val="none"/>
          <w:u w:val="single"/>
        </w:rPr>
        <w:t>交货设备价格的</w:t>
      </w:r>
      <w:r>
        <w:rPr>
          <w:rFonts w:ascii="宋体" w:hAnsi="宋体" w:cs="宋体"/>
          <w:bCs/>
          <w:color w:val="auto"/>
          <w:sz w:val="24"/>
          <w:szCs w:val="24"/>
          <w:highlight w:val="none"/>
          <w:u w:val="single"/>
        </w:rPr>
        <w:t>1%/</w:t>
      </w:r>
      <w:r>
        <w:rPr>
          <w:rFonts w:hint="eastAsia" w:ascii="宋体" w:hAnsi="宋体" w:cs="宋体"/>
          <w:bCs/>
          <w:color w:val="auto"/>
          <w:sz w:val="24"/>
          <w:szCs w:val="24"/>
          <w:highlight w:val="none"/>
          <w:u w:val="single"/>
        </w:rPr>
        <w:t>天</w:t>
      </w:r>
      <w:r>
        <w:rPr>
          <w:rFonts w:hint="eastAsia" w:ascii="宋体" w:hAnsi="宋体" w:cs="宋体"/>
          <w:bCs/>
          <w:color w:val="auto"/>
          <w:sz w:val="24"/>
          <w:szCs w:val="24"/>
          <w:highlight w:val="none"/>
        </w:rPr>
        <w:t>要求乙方支付违约金。逾期超过</w:t>
      </w:r>
      <w:r>
        <w:rPr>
          <w:rFonts w:ascii="宋体" w:hAnsi="宋体" w:cs="宋体"/>
          <w:bCs/>
          <w:color w:val="auto"/>
          <w:sz w:val="24"/>
          <w:szCs w:val="24"/>
          <w:highlight w:val="none"/>
          <w:u w:val="single"/>
        </w:rPr>
        <w:t xml:space="preserve"> 15 </w:t>
      </w:r>
      <w:r>
        <w:rPr>
          <w:rFonts w:hint="eastAsia" w:ascii="宋体" w:hAnsi="宋体" w:cs="宋体"/>
          <w:bCs/>
          <w:color w:val="auto"/>
          <w:sz w:val="24"/>
          <w:szCs w:val="24"/>
          <w:highlight w:val="none"/>
        </w:rPr>
        <w:t>天，甲方有权解除合同，要求乙方支付迟延违约金并在</w:t>
      </w:r>
      <w:r>
        <w:rPr>
          <w:rFonts w:ascii="宋体" w:hAnsi="宋体" w:cs="宋体"/>
          <w:bCs/>
          <w:color w:val="auto"/>
          <w:sz w:val="24"/>
          <w:szCs w:val="24"/>
          <w:highlight w:val="none"/>
        </w:rPr>
        <w:t>3</w:t>
      </w:r>
      <w:r>
        <w:rPr>
          <w:rFonts w:hint="eastAsia" w:ascii="宋体" w:hAnsi="宋体" w:cs="宋体"/>
          <w:bCs/>
          <w:color w:val="auto"/>
          <w:sz w:val="24"/>
          <w:szCs w:val="24"/>
          <w:highlight w:val="none"/>
        </w:rPr>
        <w:t>天内退回预付款及利息（如有），且扣除乙方履约担保全部金额（如有）。如由于乙方逾期交货对甲方生产造成影响，甲方有权要求乙方赔偿损失。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 </w:t>
      </w:r>
      <w:r>
        <w:rPr>
          <w:rFonts w:hint="eastAsia" w:ascii="宋体" w:hAnsi="宋体" w:cs="宋体"/>
          <w:bCs/>
          <w:color w:val="auto"/>
          <w:sz w:val="24"/>
          <w:szCs w:val="24"/>
          <w:highlight w:val="none"/>
        </w:rPr>
        <w:t>质量问题的违约责任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11.2.1 </w:t>
      </w:r>
      <w:r>
        <w:rPr>
          <w:rFonts w:hint="eastAsia" w:ascii="宋体" w:hAnsi="宋体" w:cs="宋体"/>
          <w:bCs/>
          <w:color w:val="auto"/>
          <w:sz w:val="24"/>
          <w:szCs w:val="24"/>
          <w:highlight w:val="none"/>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）乙方承担费用，用合格的新设备更换有缺陷的设备或修补缺陷部分；</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w:t>
      </w:r>
      <w:r>
        <w:rPr>
          <w:rFonts w:hint="eastAsia" w:ascii="宋体" w:hAnsi="宋体" w:cs="宋体"/>
          <w:bCs/>
          <w:color w:val="auto"/>
          <w:sz w:val="24"/>
          <w:szCs w:val="24"/>
          <w:highlight w:val="none"/>
        </w:rPr>
        <w:t>）退还设备，同时将甲方已经支付的合同价款全额退还甲方，并承担甲方因履行本合同而支出的一切费用，包括但不限于利息、银行手续费、仓储费、卸货费以及因退回设备所需的其他费用。</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3</w:t>
      </w:r>
      <w:r>
        <w:rPr>
          <w:rFonts w:hint="eastAsia" w:ascii="宋体" w:hAnsi="宋体" w:cs="宋体"/>
          <w:bCs/>
          <w:color w:val="auto"/>
          <w:sz w:val="24"/>
          <w:szCs w:val="24"/>
          <w:highlight w:val="none"/>
        </w:rPr>
        <w:t>）按不合格设备价格的</w:t>
      </w:r>
      <w:r>
        <w:rPr>
          <w:rFonts w:ascii="宋体" w:hAnsi="宋体" w:cs="宋体"/>
          <w:bCs/>
          <w:color w:val="auto"/>
          <w:sz w:val="24"/>
          <w:szCs w:val="24"/>
          <w:highlight w:val="none"/>
          <w:u w:val="single"/>
        </w:rPr>
        <w:t>50</w:t>
      </w:r>
      <w:r>
        <w:rPr>
          <w:rFonts w:ascii="宋体" w:hAnsi="宋体" w:cs="宋体"/>
          <w:bCs/>
          <w:color w:val="auto"/>
          <w:sz w:val="24"/>
          <w:szCs w:val="24"/>
          <w:highlight w:val="none"/>
        </w:rPr>
        <w:t>%</w:t>
      </w:r>
      <w:r>
        <w:rPr>
          <w:rFonts w:hint="eastAsia" w:ascii="宋体" w:hAnsi="宋体" w:cs="宋体"/>
          <w:bCs/>
          <w:color w:val="auto"/>
          <w:sz w:val="24"/>
          <w:szCs w:val="24"/>
          <w:highlight w:val="none"/>
        </w:rPr>
        <w:t>支付违约金。</w:t>
      </w:r>
    </w:p>
    <w:p>
      <w:pPr>
        <w:numPr>
          <w:ilvl w:val="0"/>
          <w:numId w:val="0"/>
        </w:num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4</w:t>
      </w:r>
      <w:r>
        <w:rPr>
          <w:rFonts w:hint="eastAsia" w:ascii="宋体" w:hAnsi="宋体" w:cs="宋体"/>
          <w:bCs/>
          <w:color w:val="auto"/>
          <w:sz w:val="24"/>
          <w:szCs w:val="24"/>
          <w:highlight w:val="none"/>
        </w:rPr>
        <w:t>）赔偿甲方因设备质量问题导致的一切损失。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11.2.2 </w:t>
      </w:r>
      <w:r>
        <w:rPr>
          <w:rFonts w:hint="eastAsia" w:ascii="宋体" w:hAnsi="宋体" w:cs="宋体"/>
          <w:bCs/>
          <w:color w:val="auto"/>
          <w:sz w:val="24"/>
          <w:szCs w:val="24"/>
          <w:highlight w:val="none"/>
        </w:rPr>
        <w:t>如果乙方提供的技术资料有错误，或者由于乙方技术人员原因造成设备安装、调试不成功和（或）造成合同设备损坏的情况，乙方应在</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小时内采取修理、更换、退货等补救措施并负担因此发生的费用，同时需向甲方支付</w:t>
      </w:r>
      <w:r>
        <w:rPr>
          <w:rFonts w:hint="eastAsia" w:ascii="宋体" w:hAnsi="宋体" w:cs="宋体"/>
          <w:bCs/>
          <w:color w:val="auto"/>
          <w:sz w:val="24"/>
          <w:szCs w:val="24"/>
          <w:highlight w:val="none"/>
          <w:u w:val="single"/>
        </w:rPr>
        <w:t>不合格设备价格的</w:t>
      </w:r>
      <w:r>
        <w:rPr>
          <w:rFonts w:ascii="宋体" w:hAnsi="宋体" w:cs="宋体"/>
          <w:bCs/>
          <w:color w:val="auto"/>
          <w:sz w:val="24"/>
          <w:szCs w:val="24"/>
          <w:highlight w:val="none"/>
          <w:u w:val="single"/>
        </w:rPr>
        <w:t xml:space="preserve"> 50 </w:t>
      </w:r>
      <w:r>
        <w:rPr>
          <w:rFonts w:ascii="宋体" w:hAnsi="宋体" w:cs="宋体"/>
          <w:bCs/>
          <w:color w:val="auto"/>
          <w:sz w:val="24"/>
          <w:szCs w:val="24"/>
          <w:highlight w:val="none"/>
        </w:rPr>
        <w:t>%</w:t>
      </w:r>
      <w:r>
        <w:rPr>
          <w:rFonts w:hint="eastAsia" w:ascii="宋体" w:hAnsi="宋体" w:cs="宋体"/>
          <w:bCs/>
          <w:color w:val="auto"/>
          <w:sz w:val="24"/>
          <w:szCs w:val="24"/>
          <w:highlight w:val="none"/>
        </w:rPr>
        <w:t>作为违约金。</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11.2.3 </w:t>
      </w:r>
      <w:r>
        <w:rPr>
          <w:rFonts w:hint="eastAsia" w:ascii="宋体" w:hAnsi="宋体" w:cs="宋体"/>
          <w:bCs/>
          <w:color w:val="auto"/>
          <w:sz w:val="24"/>
          <w:szCs w:val="24"/>
          <w:highlight w:val="none"/>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 xml:space="preserve"> 100 %</w:t>
      </w:r>
      <w:r>
        <w:rPr>
          <w:rFonts w:hint="eastAsia" w:ascii="宋体" w:hAnsi="宋体" w:cs="宋体"/>
          <w:bCs/>
          <w:color w:val="auto"/>
          <w:sz w:val="24"/>
          <w:szCs w:val="24"/>
          <w:highlight w:val="none"/>
        </w:rPr>
        <w:t>支付违约金。</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11.2.4 </w:t>
      </w:r>
      <w:r>
        <w:rPr>
          <w:rFonts w:hint="eastAsia" w:ascii="宋体" w:hAnsi="宋体" w:cs="宋体"/>
          <w:color w:val="auto"/>
          <w:sz w:val="24"/>
          <w:szCs w:val="24"/>
          <w:highlight w:val="none"/>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11.3 </w:t>
      </w:r>
      <w:r>
        <w:rPr>
          <w:rFonts w:hint="eastAsia" w:ascii="宋体" w:hAnsi="宋体" w:cs="宋体"/>
          <w:bCs/>
          <w:color w:val="auto"/>
          <w:sz w:val="24"/>
          <w:szCs w:val="24"/>
          <w:highlight w:val="none"/>
        </w:rPr>
        <w:t>如乙方未按合同六条约定递交履约保证金，甲方有权解除合同并要求乙方支付</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20%</w:t>
      </w:r>
      <w:r>
        <w:rPr>
          <w:rFonts w:hint="eastAsia" w:ascii="宋体" w:hAnsi="宋体" w:cs="宋体"/>
          <w:bCs/>
          <w:color w:val="auto"/>
          <w:sz w:val="24"/>
          <w:szCs w:val="24"/>
          <w:highlight w:val="none"/>
        </w:rPr>
        <w:t>作为违约金。</w:t>
      </w:r>
      <w:r>
        <w:rPr>
          <w:rFonts w:ascii="宋体" w:hAnsi="宋体" w:cs="宋体"/>
          <w:bCs/>
          <w:color w:val="auto"/>
          <w:sz w:val="24"/>
          <w:szCs w:val="24"/>
          <w:highlight w:val="none"/>
        </w:rPr>
        <w:t xml:space="preserve"> </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11.4 </w:t>
      </w:r>
      <w:r>
        <w:rPr>
          <w:rFonts w:hint="eastAsia" w:ascii="宋体" w:hAnsi="宋体" w:cs="宋体"/>
          <w:bCs/>
          <w:color w:val="auto"/>
          <w:sz w:val="24"/>
          <w:szCs w:val="24"/>
          <w:highlight w:val="none"/>
        </w:rPr>
        <w:t>如双方对质量责任认定有争议，</w:t>
      </w:r>
      <w:r>
        <w:rPr>
          <w:rFonts w:hint="eastAsia" w:ascii="宋体" w:hAnsi="宋体" w:cs="宋体"/>
          <w:color w:val="auto"/>
          <w:sz w:val="24"/>
          <w:szCs w:val="24"/>
          <w:highlight w:val="none"/>
        </w:rPr>
        <w:t>由甲方委托具备相关资质的第三方质检机构出具质检报告。因第三方质检机构产生的费用先由乙方支付，如果检验结果为不合格，则该费用由乙方承担，如果检验结果为合格，则该费用由甲方承担。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11.5乙方不履行合同义务、或履行合同义务不符合合同约定、或违反国家、省、市行业标准的，甲方有权要求乙方限期整改。乙方逾期未完成整改的，每项每超过1日支付违约金人民币1万元，超过</w:t>
      </w:r>
      <w:r>
        <w:rPr>
          <w:rFonts w:ascii="宋体" w:hAnsi="宋体" w:cs="宋体"/>
          <w:bCs/>
          <w:color w:val="auto"/>
          <w:sz w:val="24"/>
          <w:szCs w:val="24"/>
          <w:highlight w:val="none"/>
          <w:u w:val="single"/>
        </w:rPr>
        <w:t>_</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_</w:t>
      </w:r>
      <w:r>
        <w:rPr>
          <w:rFonts w:ascii="宋体" w:hAnsi="宋体" w:cs="宋体"/>
          <w:bCs/>
          <w:color w:val="auto"/>
          <w:sz w:val="24"/>
          <w:szCs w:val="24"/>
          <w:highlight w:val="none"/>
        </w:rPr>
        <w:t>日，甲方有权解除合同并要求乙方支付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的20%</w:t>
      </w:r>
      <w:r>
        <w:rPr>
          <w:rFonts w:ascii="宋体" w:hAnsi="宋体" w:cs="宋体"/>
          <w:bCs/>
          <w:color w:val="auto"/>
          <w:sz w:val="24"/>
          <w:szCs w:val="24"/>
          <w:highlight w:val="none"/>
        </w:rPr>
        <w:t>作为违约金</w:t>
      </w:r>
      <w:r>
        <w:rPr>
          <w:rFonts w:hint="eastAsia" w:ascii="宋体" w:hAnsi="宋体" w:cs="宋体"/>
          <w:bCs/>
          <w:color w:val="auto"/>
          <w:sz w:val="24"/>
          <w:szCs w:val="24"/>
          <w:highlight w:val="none"/>
        </w:rPr>
        <w:t>（</w:t>
      </w:r>
      <w:r>
        <w:rPr>
          <w:rFonts w:hint="eastAsia" w:cs="宋体"/>
          <w:color w:val="auto"/>
          <w:sz w:val="24"/>
          <w:highlight w:val="none"/>
        </w:rPr>
        <w:t>如合同另行约定违约责任，从其约定</w:t>
      </w:r>
      <w:r>
        <w:rPr>
          <w:rFonts w:hint="eastAsia" w:ascii="宋体" w:hAnsi="宋体" w:cs="宋体"/>
          <w:bCs/>
          <w:color w:val="auto"/>
          <w:sz w:val="24"/>
          <w:szCs w:val="24"/>
          <w:highlight w:val="none"/>
        </w:rPr>
        <w:t>）</w:t>
      </w:r>
      <w:r>
        <w:rPr>
          <w:rFonts w:ascii="宋体" w:hAnsi="宋体" w:cs="宋体"/>
          <w:bCs/>
          <w:color w:val="auto"/>
          <w:sz w:val="24"/>
          <w:szCs w:val="24"/>
          <w:highlight w:val="none"/>
        </w:rPr>
        <w:t xml:space="preserve">。 </w:t>
      </w:r>
    </w:p>
    <w:p>
      <w:pPr>
        <w:spacing w:line="360" w:lineRule="auto"/>
        <w:ind w:firstLine="482"/>
        <w:rPr>
          <w:rFonts w:hint="eastAsia" w:ascii="宋体" w:hAnsi="宋体" w:eastAsia="宋体" w:cs="宋体"/>
          <w:color w:val="auto"/>
          <w:sz w:val="24"/>
          <w:szCs w:val="24"/>
          <w:highlight w:val="none"/>
        </w:rPr>
      </w:pPr>
      <w:r>
        <w:rPr>
          <w:rFonts w:hint="eastAsia" w:ascii="宋体" w:hAnsi="宋体" w:cs="宋体"/>
          <w:bCs/>
          <w:color w:val="auto"/>
          <w:sz w:val="24"/>
          <w:szCs w:val="24"/>
          <w:highlight w:val="none"/>
          <w:lang w:val="en-US" w:eastAsia="zh-CN"/>
        </w:rPr>
        <w:t>11.6在合同有效期内，若乙方发生不诚信行为情形的，乙方自愿接受甲方按《广州市净水有限公司经营建设项目参建企业不诚信行为管理办法》处理，具体处理标准详见附件3。</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第十二条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变更或解除</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 </w:t>
      </w:r>
      <w:r>
        <w:rPr>
          <w:rFonts w:hint="eastAsia" w:ascii="宋体" w:hAnsi="宋体" w:cs="宋体"/>
          <w:bCs/>
          <w:color w:val="auto"/>
          <w:sz w:val="24"/>
          <w:szCs w:val="24"/>
          <w:highlight w:val="none"/>
        </w:rPr>
        <w:t>甲方解除合同</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如乙方存在下述情况之一，甲方有权向乙方发出书面通知，全部或部分解除本合同：</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12.1.1 </w:t>
      </w:r>
      <w:r>
        <w:rPr>
          <w:rFonts w:hint="eastAsia" w:ascii="宋体" w:hAnsi="宋体" w:cs="宋体"/>
          <w:bCs/>
          <w:color w:val="auto"/>
          <w:sz w:val="24"/>
          <w:szCs w:val="24"/>
          <w:highlight w:val="none"/>
        </w:rPr>
        <w:t>乙方未能在本合同约定或甲方另行指定的期限内提供部分或全部设备或提供技术服务，并经甲方催告后仍未提供；</w:t>
      </w:r>
      <w:r>
        <w:rPr>
          <w:rFonts w:ascii="宋体" w:hAnsi="宋体" w:cs="宋体"/>
          <w:bCs/>
          <w:color w:val="auto"/>
          <w:sz w:val="24"/>
          <w:szCs w:val="24"/>
          <w:highlight w:val="none"/>
        </w:rPr>
        <w:t xml:space="preserve"> </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12.1.2</w:t>
      </w:r>
      <w:r>
        <w:rPr>
          <w:rFonts w:hint="eastAsia" w:ascii="宋体" w:hAnsi="宋体" w:cs="宋体"/>
          <w:bCs/>
          <w:color w:val="auto"/>
          <w:sz w:val="24"/>
          <w:szCs w:val="24"/>
          <w:highlight w:val="none"/>
        </w:rPr>
        <w:t>乙方交付的设备存在严重的质量问题，导致本合同目的不能实现；</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12.1.3 </w:t>
      </w:r>
      <w:r>
        <w:rPr>
          <w:rFonts w:hint="eastAsia" w:ascii="宋体" w:hAnsi="宋体" w:cs="宋体"/>
          <w:bCs/>
          <w:color w:val="auto"/>
          <w:sz w:val="24"/>
          <w:szCs w:val="24"/>
          <w:highlight w:val="none"/>
        </w:rPr>
        <w:t>乙方存在违反合同义务的其他情形，经甲方催告后仍未作出补救或完成整改；</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12.1.4 </w:t>
      </w:r>
      <w:r>
        <w:rPr>
          <w:rFonts w:hint="eastAsia" w:ascii="宋体" w:hAnsi="宋体" w:cs="宋体"/>
          <w:bCs/>
          <w:color w:val="auto"/>
          <w:sz w:val="24"/>
          <w:szCs w:val="24"/>
          <w:highlight w:val="none"/>
        </w:rPr>
        <w:t>乙方投标时提交的资料不真实，或任何时候发现乙方有违反投标时的承诺和（或）声明的情况；</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12.2 </w:t>
      </w:r>
      <w:r>
        <w:rPr>
          <w:rFonts w:hint="eastAsia" w:ascii="宋体" w:hAnsi="宋体" w:cs="宋体"/>
          <w:bCs/>
          <w:color w:val="auto"/>
          <w:sz w:val="24"/>
          <w:szCs w:val="24"/>
          <w:highlight w:val="none"/>
        </w:rPr>
        <w:t>乙方解除合同</w:t>
      </w:r>
    </w:p>
    <w:p>
      <w:pPr>
        <w:spacing w:line="360" w:lineRule="auto"/>
        <w:ind w:firstLine="482"/>
        <w:rPr>
          <w:color w:val="auto"/>
          <w:highlight w:val="none"/>
        </w:rPr>
      </w:pPr>
      <w:r>
        <w:rPr>
          <w:rFonts w:hint="eastAsia" w:ascii="宋体" w:hAnsi="宋体" w:cs="宋体"/>
          <w:bCs/>
          <w:color w:val="auto"/>
          <w:sz w:val="24"/>
          <w:szCs w:val="24"/>
          <w:highlight w:val="none"/>
        </w:rPr>
        <w:t>如甲方无正当理由未能按本合同约定期限向乙方支付合同款，并经乙方催告后超过</w:t>
      </w:r>
      <w:r>
        <w:rPr>
          <w:rFonts w:hint="eastAsia" w:ascii="宋体" w:hAnsi="宋体" w:cs="宋体"/>
          <w:bCs/>
          <w:color w:val="auto"/>
          <w:sz w:val="24"/>
          <w:szCs w:val="24"/>
          <w:highlight w:val="none"/>
          <w:u w:val="none"/>
          <w:lang w:val="en-US" w:eastAsia="zh-CN"/>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天仍未支付，乙方有权以书面通知解除本合同。</w:t>
      </w:r>
      <w:r>
        <w:rPr>
          <w:rFonts w:ascii="宋体" w:hAnsi="宋体" w:cs="宋体"/>
          <w:color w:val="auto"/>
          <w:sz w:val="24"/>
          <w:szCs w:val="24"/>
          <w:highlight w:val="none"/>
        </w:rPr>
        <w:br w:type="textWrapping"/>
      </w:r>
      <w:r>
        <w:rPr>
          <w:rFonts w:hint="eastAsia" w:ascii="宋体" w:hAnsi="宋体" w:cs="宋体"/>
          <w:color w:val="auto"/>
          <w:sz w:val="24"/>
          <w:szCs w:val="24"/>
          <w:highlight w:val="none"/>
        </w:rPr>
        <w:t> </w:t>
      </w:r>
      <w:r>
        <w:rPr>
          <w:rFonts w:ascii="宋体" w:hAnsi="宋体" w:cs="宋体"/>
          <w:color w:val="auto"/>
          <w:sz w:val="24"/>
          <w:szCs w:val="24"/>
          <w:highlight w:val="none"/>
        </w:rPr>
        <w:t xml:space="preserve">  12.3</w:t>
      </w:r>
      <w:r>
        <w:rPr>
          <w:rFonts w:hint="eastAsia" w:ascii="宋体" w:hAnsi="宋体" w:cs="宋体"/>
          <w:color w:val="auto"/>
          <w:sz w:val="24"/>
          <w:szCs w:val="24"/>
          <w:highlight w:val="none"/>
        </w:rPr>
        <w:t>甲乙双方经协商一致后解除合同。</w:t>
      </w:r>
    </w:p>
    <w:p>
      <w:pPr>
        <w:spacing w:line="48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第十三条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不可抗力</w:t>
      </w:r>
    </w:p>
    <w:p>
      <w:pPr>
        <w:widowControl w:val="0"/>
        <w:numPr>
          <w:ilvl w:val="0"/>
          <w:numId w:val="0"/>
        </w:numPr>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13.1</w:t>
      </w:r>
      <w:r>
        <w:rPr>
          <w:rFonts w:hint="eastAsia" w:ascii="宋体" w:hAnsi="宋体" w:cs="宋体"/>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1）地震、火山爆发、滑坡、暴雨（橙色预警及以上）、台风（黄色预警及以上）、海啸、龙卷风、大面积流行病(如：非典型性肺炎等)或瘟疫；</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2）战争行为、入侵、武装冲突或外敌行为、封锁、暴乱、恐怖行为或军事演习；</w:t>
      </w:r>
    </w:p>
    <w:p>
      <w:pPr>
        <w:widowControl w:val="0"/>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0" w:firstLineChars="200"/>
        <w:rPr>
          <w:color w:val="auto"/>
          <w:highlight w:val="none"/>
        </w:rPr>
      </w:pPr>
      <w:r>
        <w:rPr>
          <w:rFonts w:ascii="宋体" w:hAnsi="宋体" w:cs="宋体"/>
          <w:color w:val="auto"/>
          <w:sz w:val="24"/>
          <w:szCs w:val="24"/>
          <w:highlight w:val="none"/>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争议解决方式：</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 xml:space="preserve">14.1 </w:t>
      </w:r>
      <w:r>
        <w:rPr>
          <w:rFonts w:hint="eastAsia" w:ascii="宋体" w:hAnsi="宋体" w:cs="宋体"/>
          <w:color w:val="auto"/>
          <w:sz w:val="24"/>
          <w:szCs w:val="24"/>
          <w:highlight w:val="none"/>
        </w:rPr>
        <w:t>因本合同引起的或与本合同有关的任何争议，甲乙双方应友好协商解决，如协商不成，任何一方均可依法向</w:t>
      </w:r>
      <w:r>
        <w:rPr>
          <w:rFonts w:hint="eastAsia" w:ascii="宋体" w:hAnsi="宋体" w:cs="宋体"/>
          <w:color w:val="auto"/>
          <w:sz w:val="24"/>
          <w:szCs w:val="24"/>
          <w:highlight w:val="none"/>
          <w:u w:val="single"/>
        </w:rPr>
        <w:t>甲方所在地人民法院</w:t>
      </w:r>
      <w:r>
        <w:rPr>
          <w:rFonts w:hint="eastAsia" w:ascii="宋体" w:hAnsi="宋体" w:cs="宋体"/>
          <w:color w:val="auto"/>
          <w:sz w:val="24"/>
          <w:szCs w:val="24"/>
          <w:highlight w:val="none"/>
        </w:rPr>
        <w:t>提起诉讼。</w:t>
      </w:r>
    </w:p>
    <w:p>
      <w:pPr>
        <w:spacing w:line="360" w:lineRule="auto"/>
        <w:ind w:firstLine="600" w:firstLineChars="250"/>
        <w:rPr>
          <w:color w:val="auto"/>
          <w:highlight w:val="none"/>
        </w:rPr>
      </w:pPr>
      <w:r>
        <w:rPr>
          <w:rFonts w:ascii="宋体" w:hAnsi="宋体" w:cs="宋体"/>
          <w:color w:val="auto"/>
          <w:sz w:val="24"/>
          <w:szCs w:val="24"/>
          <w:highlight w:val="none"/>
        </w:rPr>
        <w:t xml:space="preserve">14.2 </w:t>
      </w:r>
      <w:r>
        <w:rPr>
          <w:rFonts w:hint="eastAsia" w:ascii="宋体" w:hAnsi="宋体" w:cs="宋体"/>
          <w:color w:val="auto"/>
          <w:sz w:val="24"/>
          <w:szCs w:val="24"/>
          <w:highlight w:val="none"/>
        </w:rPr>
        <w:t>在甲方同意的情况下，除有争端之外的合同其它部分在争端解决前应继续执行。</w:t>
      </w:r>
    </w:p>
    <w:p>
      <w:pPr>
        <w:numPr>
          <w:ilvl w:val="255"/>
          <w:numId w:val="0"/>
        </w:numPr>
        <w:spacing w:line="46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w:t>
      </w:r>
      <w:r>
        <w:rPr>
          <w:rFonts w:hint="eastAsia" w:ascii="宋体" w:hAnsi="宋体" w:cs="宋体"/>
          <w:b/>
          <w:color w:val="auto"/>
          <w:sz w:val="24"/>
          <w:szCs w:val="24"/>
          <w:highlight w:val="none"/>
        </w:rPr>
        <w:t>十五</w:t>
      </w:r>
      <w:r>
        <w:rPr>
          <w:rFonts w:hint="eastAsia" w:ascii="宋体" w:hAnsi="宋体" w:cs="宋体"/>
          <w:b/>
          <w:bCs/>
          <w:color w:val="auto"/>
          <w:sz w:val="24"/>
          <w:szCs w:val="24"/>
          <w:highlight w:val="none"/>
        </w:rPr>
        <w:t>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其他</w:t>
      </w:r>
    </w:p>
    <w:p>
      <w:pPr>
        <w:spacing w:line="460" w:lineRule="exact"/>
        <w:ind w:firstLine="638" w:firstLineChars="266"/>
        <w:rPr>
          <w:rFonts w:ascii="宋体" w:hAnsi="宋体" w:cs="宋体"/>
          <w:b/>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.1</w:t>
      </w:r>
      <w:r>
        <w:rPr>
          <w:rFonts w:hint="eastAsia" w:ascii="宋体" w:hAnsi="宋体" w:cs="宋体"/>
          <w:color w:val="auto"/>
          <w:sz w:val="24"/>
          <w:szCs w:val="24"/>
          <w:highlight w:val="none"/>
        </w:rPr>
        <w:t>本协议未尽事宜，可由甲乙双方另行签订补充协议。补充协议与本合同具有同等法律效力。</w:t>
      </w:r>
    </w:p>
    <w:p>
      <w:pPr>
        <w:spacing w:line="460" w:lineRule="exact"/>
        <w:ind w:firstLine="638" w:firstLineChars="266"/>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.2</w:t>
      </w:r>
      <w:r>
        <w:rPr>
          <w:rFonts w:hint="eastAsia" w:ascii="宋体" w:hAnsi="宋体" w:cs="宋体"/>
          <w:color w:val="auto"/>
          <w:sz w:val="24"/>
          <w:szCs w:val="24"/>
          <w:highlight w:val="none"/>
        </w:rPr>
        <w:t>本合同自甲乙双方法定代表人或授权代理人签字并加盖公章之日起生效。</w:t>
      </w:r>
    </w:p>
    <w:p>
      <w:pPr>
        <w:spacing w:line="460" w:lineRule="exact"/>
        <w:ind w:firstLine="638" w:firstLineChars="266"/>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.3</w:t>
      </w:r>
      <w:r>
        <w:rPr>
          <w:rFonts w:hint="eastAsia" w:ascii="宋体" w:hAnsi="宋体" w:cs="宋体"/>
          <w:color w:val="auto"/>
          <w:sz w:val="24"/>
          <w:szCs w:val="24"/>
          <w:highlight w:val="none"/>
        </w:rPr>
        <w:t>本合同一式</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份。均具有同等法律效力。</w:t>
      </w:r>
    </w:p>
    <w:p>
      <w:pPr>
        <w:adjustRightInd w:val="0"/>
        <w:snapToGrid w:val="0"/>
        <w:spacing w:line="460" w:lineRule="exact"/>
        <w:ind w:right="521" w:rightChars="248"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.4</w:t>
      </w:r>
      <w:r>
        <w:rPr>
          <w:rFonts w:hint="eastAsia" w:ascii="宋体" w:hAnsi="宋体" w:cs="宋体"/>
          <w:color w:val="auto"/>
          <w:sz w:val="24"/>
          <w:szCs w:val="24"/>
          <w:highlight w:val="none"/>
        </w:rPr>
        <w:t>补充条款：</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p>
    <w:bookmarkEnd w:id="119"/>
    <w:bookmarkEnd w:id="120"/>
    <w:bookmarkEnd w:id="121"/>
    <w:bookmarkEnd w:id="122"/>
    <w:bookmarkEnd w:id="123"/>
    <w:bookmarkEnd w:id="124"/>
    <w:bookmarkEnd w:id="125"/>
    <w:bookmarkEnd w:id="126"/>
    <w:bookmarkEnd w:id="127"/>
    <w:bookmarkEnd w:id="128"/>
    <w:bookmarkEnd w:id="129"/>
    <w:bookmarkEnd w:id="130"/>
    <w:bookmarkEnd w:id="131"/>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.中标通知书</w:t>
      </w:r>
      <w:r>
        <w:rPr>
          <w:rFonts w:ascii="宋体" w:hAnsi="宋体" w:cs="宋体"/>
          <w:color w:val="auto"/>
          <w:sz w:val="24"/>
          <w:szCs w:val="24"/>
          <w:highlight w:val="none"/>
        </w:rPr>
        <w:t>/</w:t>
      </w:r>
      <w:r>
        <w:rPr>
          <w:rFonts w:hint="eastAsia" w:ascii="宋体" w:hAnsi="宋体" w:cs="宋体"/>
          <w:color w:val="auto"/>
          <w:sz w:val="24"/>
          <w:szCs w:val="24"/>
          <w:highlight w:val="none"/>
        </w:rPr>
        <w:t>发包通知书</w:t>
      </w:r>
      <w:r>
        <w:rPr>
          <w:rFonts w:hint="eastAsia" w:ascii="宋体" w:hAnsi="宋体" w:cs="宋体"/>
          <w:color w:val="auto"/>
          <w:sz w:val="24"/>
          <w:szCs w:val="24"/>
          <w:highlight w:val="none"/>
          <w:lang w:val="en-US" w:eastAsia="zh-CN"/>
        </w:rPr>
        <w:t>/成交通知书</w:t>
      </w:r>
      <w:r>
        <w:rPr>
          <w:rFonts w:hint="eastAsia" w:ascii="宋体" w:hAnsi="宋体" w:cs="宋体"/>
          <w:color w:val="auto"/>
          <w:sz w:val="24"/>
          <w:szCs w:val="24"/>
          <w:highlight w:val="none"/>
        </w:rPr>
        <w:t>（如有）</w:t>
      </w:r>
    </w:p>
    <w:p>
      <w:pPr>
        <w:spacing w:line="360" w:lineRule="auto"/>
        <w:ind w:firstLine="480"/>
        <w:rPr>
          <w:rFonts w:hint="eastAsia" w:ascii="宋体" w:hAnsi="宋体" w:eastAsia="宋体" w:cs="宋体"/>
          <w:color w:val="auto"/>
          <w:sz w:val="24"/>
          <w:szCs w:val="24"/>
          <w:highlight w:val="none"/>
        </w:rPr>
      </w:pPr>
      <w:r>
        <w:rPr>
          <w:rFonts w:ascii="宋体" w:hAnsi="宋体" w:cs="宋体"/>
          <w:color w:val="auto"/>
          <w:sz w:val="24"/>
          <w:szCs w:val="24"/>
          <w:highlight w:val="none"/>
        </w:rPr>
        <w:t xml:space="preserve">      </w:t>
      </w: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.廉洁协议</w:t>
      </w:r>
    </w:p>
    <w:p>
      <w:pPr>
        <w:spacing w:line="360" w:lineRule="auto"/>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不诚信行为的情形及相应被暂停参与投标活动的处理标准</w:t>
      </w:r>
    </w:p>
    <w:p>
      <w:pPr>
        <w:spacing w:line="360" w:lineRule="auto"/>
        <w:ind w:firstLine="1200" w:firstLineChars="5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物品采购</w:t>
      </w:r>
      <w:r>
        <w:rPr>
          <w:rFonts w:hint="eastAsia" w:ascii="宋体" w:hAnsi="宋体" w:eastAsia="宋体" w:cs="宋体"/>
          <w:color w:val="auto"/>
          <w:sz w:val="24"/>
          <w:szCs w:val="24"/>
          <w:highlight w:val="none"/>
        </w:rPr>
        <w:t>安全协议书</w:t>
      </w:r>
    </w:p>
    <w:p>
      <w:pPr>
        <w:spacing w:line="360" w:lineRule="auto"/>
        <w:ind w:firstLine="1200" w:firstLineChars="5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.防疫管理协议书</w:t>
      </w:r>
    </w:p>
    <w:tbl>
      <w:tblPr>
        <w:tblStyle w:val="24"/>
        <w:tblpPr w:leftFromText="180" w:rightFromText="180" w:vertAnchor="text" w:horzAnchor="page" w:tblpX="1364" w:tblpY="792"/>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：（章）广州市净水有限公司</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ind w:left="240" w:hanging="240" w:hangingChars="100"/>
              <w:jc w:val="both"/>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 xml:space="preserve">                                                     </w:t>
            </w:r>
          </w:p>
        </w:tc>
        <w:tc>
          <w:tcPr>
            <w:tcW w:w="4696" w:type="dxa"/>
            <w:tcBorders>
              <w:top w:val="nil"/>
              <w:left w:val="nil"/>
              <w:bottom w:val="nil"/>
              <w:right w:val="nil"/>
            </w:tcBorders>
            <w:noWrap w:val="0"/>
            <w:vAlign w:val="top"/>
          </w:tcPr>
          <w:p>
            <w:pPr>
              <w:adjustRightInd w:val="0"/>
              <w:snapToGrid w:val="0"/>
              <w:spacing w:line="360" w:lineRule="auto"/>
              <w:ind w:left="4181" w:hanging="4180" w:hangingChars="1742"/>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w:t>
            </w:r>
          </w:p>
        </w:tc>
      </w:tr>
    </w:tbl>
    <w:p>
      <w:pPr>
        <w:spacing w:line="360" w:lineRule="auto"/>
        <w:rPr>
          <w:rFonts w:hint="default" w:ascii="宋体" w:hAnsi="宋体" w:eastAsia="宋体" w:cs="宋体"/>
          <w:b w:val="0"/>
          <w:bCs w:val="0"/>
          <w:color w:val="auto"/>
          <w:kern w:val="0"/>
          <w:sz w:val="24"/>
          <w:szCs w:val="24"/>
          <w:highlight w:val="none"/>
          <w:lang w:val="en-US" w:eastAsia="zh-CN"/>
        </w:rPr>
      </w:pPr>
    </w:p>
    <w:p>
      <w:pPr>
        <w:spacing w:line="360" w:lineRule="auto"/>
        <w:rPr>
          <w:rFonts w:hint="eastAsia" w:ascii="宋体" w:hAnsi="宋体" w:cs="宋体"/>
          <w:b/>
          <w:bCs/>
          <w:color w:val="auto"/>
          <w:szCs w:val="21"/>
          <w:highlight w:val="none"/>
          <w:lang w:val="en-US" w:eastAsia="zh-CN"/>
        </w:rPr>
      </w:pPr>
    </w:p>
    <w:p>
      <w:pPr>
        <w:spacing w:line="360" w:lineRule="auto"/>
        <w:rPr>
          <w:rFonts w:hint="default" w:ascii="宋体" w:hAnsi="宋体" w:cs="宋体" w:eastAsiaTheme="minorEastAsia"/>
          <w:b/>
          <w:bCs/>
          <w:color w:val="auto"/>
          <w:szCs w:val="21"/>
          <w:highlight w:val="none"/>
          <w:lang w:val="en-US" w:eastAsia="zh-CN"/>
        </w:rPr>
      </w:pPr>
      <w:r>
        <w:rPr>
          <w:rFonts w:hint="eastAsia" w:ascii="宋体" w:hAnsi="宋体" w:cs="宋体"/>
          <w:b/>
          <w:bCs/>
          <w:color w:val="auto"/>
          <w:szCs w:val="21"/>
          <w:highlight w:val="none"/>
          <w:lang w:val="en-US" w:eastAsia="zh-CN"/>
        </w:rPr>
        <w:t>附件1中标通知书/发包通知书/成交通知书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廉洁协议</w:t>
      </w:r>
    </w:p>
    <w:p>
      <w:pPr>
        <w:spacing w:line="360" w:lineRule="auto"/>
        <w:ind w:firstLine="540" w:firstLineChars="225"/>
        <w:rPr>
          <w:rFonts w:ascii="宋体" w:hAnsi="宋体"/>
          <w:color w:val="auto"/>
          <w:sz w:val="24"/>
          <w:highlight w:val="none"/>
        </w:rPr>
      </w:pPr>
      <w:r>
        <w:rPr>
          <w:rFonts w:hint="eastAsia" w:ascii="宋体" w:hAnsi="宋体"/>
          <w:color w:val="auto"/>
          <w:sz w:val="24"/>
          <w:highlight w:val="none"/>
        </w:rPr>
        <w:t>为促进双方诚信经营、廉洁从业，防范商业贿赂，保护国家、集体和当事人的合法权益，根据国家有关法律法规和广东省、广州市廉政建设的规定，</w:t>
      </w:r>
      <w:r>
        <w:rPr>
          <w:rFonts w:ascii="宋体" w:hAnsi="宋体"/>
          <w:color w:val="auto"/>
          <w:sz w:val="24"/>
          <w:highlight w:val="none"/>
          <w:u w:val="single"/>
        </w:rPr>
        <w:t>广州市净水有限公司</w:t>
      </w:r>
      <w:r>
        <w:rPr>
          <w:rFonts w:ascii="宋体" w:hAnsi="宋体"/>
          <w:color w:val="auto"/>
          <w:sz w:val="24"/>
          <w:highlight w:val="none"/>
        </w:rPr>
        <w:t>(以下称甲方)与</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(以下称乙方</w:t>
      </w:r>
      <w:r>
        <w:rPr>
          <w:rFonts w:ascii="宋体" w:hAnsi="宋体"/>
          <w:color w:val="auto"/>
          <w:sz w:val="24"/>
          <w:highlight w:val="none"/>
        </w:rPr>
        <w:t>)，特此订立本协议共同遵照执行。</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第一条甲乙双方的权利和义务</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（一）甲乙双方严格遵守国家关于市场准入、项目招标投标、市场经营活动等有关法律、法规相关政策及廉政建设的各项规定。</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（二）严格执行</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合同（以下简称：主合同），自觉履行合同约定的相关义务。</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（三）在业务活动中坚持公开、公正、诚信、透明的原则，不得损害国家、集体利益。</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（四）建立健全廉洁从业制度，开展廉洁教育，公布举报电话，监督并认真查处不廉洁及违法违纪行为。</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（五）发现对方在业务活动中有不廉洁行为，应及时提醒对方纠正。情节严重的，应向其上级有关部门举报，建议给予处理，并有权要求告知处理结果。</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第二条甲方的义务</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（一）甲方及其工作人员不得索要或接受乙方的礼金、有价证券和贵重物品，不得在乙方报销任何应由甲方或个人支付的费用等。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（三）甲方及其工作人员不得要求或者接受乙方为其住房装修、婚丧嫁娶活动、配偶子女工作安排以及出国出境、旅游等提供方便等。</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（四）甲方工作人员不得在乙方或与乙方有股权关联的企业兼职，不得向乙方介绍家属或者亲友从事与甲方业务有关的经济活动。</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（五）甲方工作人员不得以明显低于市场的价格向乙方购买房屋、汽车等物品；不得</w:t>
      </w:r>
      <w:r>
        <w:rPr>
          <w:rFonts w:ascii="宋体" w:hAnsi="宋体"/>
          <w:color w:val="auto"/>
          <w:sz w:val="24"/>
          <w:highlight w:val="none"/>
        </w:rPr>
        <w:t>以明显高于市场的价格向</w:t>
      </w:r>
      <w:r>
        <w:rPr>
          <w:rFonts w:hint="eastAsia" w:ascii="宋体" w:hAnsi="宋体"/>
          <w:color w:val="auto"/>
          <w:sz w:val="24"/>
          <w:highlight w:val="none"/>
        </w:rPr>
        <w:t>乙方</w:t>
      </w:r>
      <w:r>
        <w:rPr>
          <w:rFonts w:ascii="宋体" w:hAnsi="宋体"/>
          <w:color w:val="auto"/>
          <w:sz w:val="24"/>
          <w:highlight w:val="none"/>
        </w:rPr>
        <w:t>出售房屋、汽车等物品；</w:t>
      </w:r>
      <w:r>
        <w:rPr>
          <w:rFonts w:hint="eastAsia" w:ascii="宋体" w:hAnsi="宋体"/>
          <w:color w:val="auto"/>
          <w:sz w:val="24"/>
          <w:highlight w:val="none"/>
        </w:rPr>
        <w:t>不得使用乙方提供的与工作无关的房屋、汽车等物品；不得以其他交易形式非法收受请托人财物。</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（六）甲方工作人员不得利用职务之便收受乙方以回扣、手续费、加班费、咨询费、劳务费、协调费、辛苦费等各种名义给予或赠送的钱物。</w:t>
      </w:r>
    </w:p>
    <w:p>
      <w:pPr>
        <w:spacing w:line="360" w:lineRule="auto"/>
        <w:ind w:left="15" w:leftChars="7" w:firstLine="480" w:firstLineChars="200"/>
        <w:rPr>
          <w:rFonts w:hint="eastAsia" w:ascii="宋体" w:hAnsi="宋体"/>
          <w:color w:val="auto"/>
          <w:sz w:val="24"/>
          <w:highlight w:val="none"/>
        </w:rPr>
      </w:pPr>
      <w:r>
        <w:rPr>
          <w:rFonts w:hint="eastAsia" w:ascii="宋体" w:hAnsi="宋体"/>
          <w:color w:val="auto"/>
          <w:sz w:val="24"/>
          <w:highlight w:val="none"/>
        </w:rPr>
        <w:t>（七）甲方工作人员不得接受乙方给予或赠送的干股或红利。</w:t>
      </w:r>
    </w:p>
    <w:p>
      <w:pPr>
        <w:spacing w:line="360" w:lineRule="auto"/>
        <w:ind w:left="15" w:leftChars="7"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(八）不得存在其他违反廉洁规定的行为。</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第三条乙方的义务</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（一）乙方不得以任何理由向甲方及其工作人员行贿或馈赠礼金、有价证券、贵重礼品。</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w:t>
      </w:r>
      <w:r>
        <w:rPr>
          <w:rFonts w:ascii="宋体" w:hAnsi="宋体"/>
          <w:color w:val="auto"/>
          <w:sz w:val="24"/>
          <w:highlight w:val="none"/>
        </w:rPr>
        <w:t>)乙方不得以任何名义为甲方及其工作人员报销应由甲方单位或个人支付的任何费用。</w:t>
      </w:r>
    </w:p>
    <w:p>
      <w:pPr>
        <w:spacing w:line="360" w:lineRule="auto"/>
        <w:ind w:left="25" w:leftChars="12" w:firstLine="480" w:firstLineChars="200"/>
        <w:rPr>
          <w:rFonts w:ascii="宋体" w:hAnsi="宋体"/>
          <w:color w:val="auto"/>
          <w:sz w:val="24"/>
          <w:highlight w:val="none"/>
        </w:rPr>
      </w:pPr>
      <w:r>
        <w:rPr>
          <w:rFonts w:hint="eastAsia" w:ascii="宋体" w:hAnsi="宋体"/>
          <w:color w:val="auto"/>
          <w:sz w:val="24"/>
          <w:highlight w:val="none"/>
        </w:rPr>
        <w:t>（三）乙方不得以任何理由安排甲方工作人员参加可能影响相关业务公开、公正、公平性的宴请及娱乐活动。</w:t>
      </w:r>
    </w:p>
    <w:p>
      <w:pPr>
        <w:pStyle w:val="16"/>
        <w:rPr>
          <w:color w:val="auto"/>
          <w:sz w:val="24"/>
          <w:highlight w:val="none"/>
        </w:rPr>
      </w:pPr>
      <w:r>
        <w:rPr>
          <w:rFonts w:hint="eastAsia"/>
          <w:color w:val="auto"/>
          <w:sz w:val="24"/>
          <w:highlight w:val="none"/>
        </w:rPr>
        <w:t>（四）乙方不得为甲方单位和个人购置或提供通讯工具和高档办公用品等物品，也不得为甲方提供与工作无关的房屋、汽车等。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（五）乙方不得擅自与甲方工作人员就合同中的质量、数量、价格、工程量、验收等条款进行私下商谈或者达成默契。</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left="15" w:leftChars="7" w:firstLine="480" w:firstLineChars="200"/>
        <w:rPr>
          <w:rFonts w:hint="eastAsia" w:ascii="宋体" w:hAnsi="宋体"/>
          <w:color w:val="auto"/>
          <w:sz w:val="24"/>
          <w:highlight w:val="none"/>
        </w:rPr>
      </w:pPr>
      <w:r>
        <w:rPr>
          <w:rFonts w:hint="eastAsia" w:ascii="宋体" w:hAnsi="宋体"/>
          <w:color w:val="auto"/>
          <w:sz w:val="24"/>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(八）不得存在其他违反廉洁规定的行为。</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第四条违约责任</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甲方及其工作人员违反本协议第一、二条。甲方按管理权限，对相关责任人依据有关规定给予党纪、政务处分或组织处理；涉嫌犯罪的，移交司法机关追究刑事责任；给乙方单位造成经济损失的，应予以赔偿。</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甲方举报投诉联系部门：广州市净水有限公司</w:t>
      </w:r>
      <w:r>
        <w:rPr>
          <w:rFonts w:ascii="宋体" w:hAnsi="宋体"/>
          <w:color w:val="auto"/>
          <w:sz w:val="24"/>
          <w:highlight w:val="none"/>
          <w:u w:val="single"/>
        </w:rPr>
        <w:t>纪检</w:t>
      </w:r>
      <w:r>
        <w:rPr>
          <w:rFonts w:hint="eastAsia" w:ascii="宋体" w:hAnsi="宋体"/>
          <w:color w:val="auto"/>
          <w:sz w:val="24"/>
          <w:highlight w:val="none"/>
          <w:u w:val="single"/>
        </w:rPr>
        <w:t>室</w:t>
      </w:r>
      <w:r>
        <w:rPr>
          <w:rFonts w:hint="eastAsia" w:ascii="宋体" w:hAnsi="宋体"/>
          <w:color w:val="auto"/>
          <w:sz w:val="24"/>
          <w:highlight w:val="none"/>
        </w:rPr>
        <w:t>，联系电话：</w:t>
      </w:r>
      <w:r>
        <w:rPr>
          <w:rFonts w:ascii="宋体" w:hAnsi="宋体"/>
          <w:color w:val="auto"/>
          <w:sz w:val="24"/>
          <w:highlight w:val="none"/>
          <w:u w:val="single"/>
        </w:rPr>
        <w:t xml:space="preserve"> 020-38890265 </w:t>
      </w:r>
      <w:r>
        <w:rPr>
          <w:rFonts w:hint="eastAsia" w:ascii="宋体" w:hAnsi="宋体"/>
          <w:color w:val="auto"/>
          <w:sz w:val="24"/>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1、扣除主合同的全部履约保证金；</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2、解除主合同；</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3、追究乙方其他违约责任；</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乙方无条件接受甲方的处理决定并承担给甲方造成的损失，全额返还通过不正当手段获取的非法所得，并承担相应的法律责任。</w:t>
      </w:r>
    </w:p>
    <w:p>
      <w:pPr>
        <w:spacing w:after="0" w:line="240" w:lineRule="auto"/>
        <w:rPr>
          <w:rFonts w:ascii="宋体" w:hAnsi="宋体" w:cs="宋体"/>
          <w:color w:val="auto"/>
          <w:kern w:val="0"/>
          <w:sz w:val="24"/>
          <w:szCs w:val="24"/>
          <w:highlight w:val="none"/>
        </w:rPr>
      </w:pPr>
      <w:r>
        <w:rPr>
          <w:rFonts w:hint="eastAsia" w:ascii="宋体" w:hAnsi="宋体"/>
          <w:b/>
          <w:bCs/>
          <w:color w:val="auto"/>
          <w:sz w:val="24"/>
          <w:highlight w:val="none"/>
        </w:rPr>
        <w:t xml:space="preserve">第五条 </w:t>
      </w:r>
      <w:r>
        <w:rPr>
          <w:rFonts w:ascii="宋体" w:hAnsi="宋体" w:cs="宋体"/>
          <w:color w:val="auto"/>
          <w:kern w:val="0"/>
          <w:sz w:val="24"/>
          <w:szCs w:val="24"/>
          <w:highlight w:val="none"/>
        </w:rPr>
        <w:t xml:space="preserve">本协议执行情况，接受有管辖权的纪检、监察部门的监督，双方应予以配合检查调查。 </w:t>
      </w:r>
    </w:p>
    <w:p>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第六条</w:t>
      </w:r>
      <w:r>
        <w:rPr>
          <w:rFonts w:ascii="宋体" w:hAnsi="宋体"/>
          <w:color w:val="auto"/>
          <w:sz w:val="24"/>
          <w:highlight w:val="none"/>
        </w:rPr>
        <w:t>本协议作为</w:t>
      </w:r>
      <w:r>
        <w:rPr>
          <w:rFonts w:hint="eastAsia" w:ascii="宋体" w:hAnsi="宋体"/>
          <w:color w:val="auto"/>
          <w:sz w:val="24"/>
          <w:highlight w:val="none"/>
          <w:u w:val="single"/>
        </w:rPr>
        <w:t>（合同名称）+（合同编号）</w:t>
      </w:r>
      <w:r>
        <w:rPr>
          <w:rFonts w:hint="eastAsia" w:ascii="宋体" w:hAnsi="宋体"/>
          <w:color w:val="auto"/>
          <w:sz w:val="24"/>
          <w:highlight w:val="none"/>
        </w:rPr>
        <w:t>合同的附件，并具有同等的法律效力，本协议自双方签字盖章之日起生效，与主合同同时终止。</w:t>
      </w:r>
    </w:p>
    <w:p>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第七条</w:t>
      </w:r>
      <w:r>
        <w:rPr>
          <w:rFonts w:hint="eastAsia" w:ascii="宋体" w:hAnsi="宋体"/>
          <w:color w:val="auto"/>
          <w:sz w:val="24"/>
          <w:highlight w:val="none"/>
        </w:rPr>
        <w:t>本协议</w:t>
      </w:r>
      <w:r>
        <w:rPr>
          <w:rFonts w:hint="eastAsia" w:ascii="宋体" w:hAnsi="宋体"/>
          <w:color w:val="auto"/>
          <w:sz w:val="24"/>
          <w:highlight w:val="none"/>
        </w:rPr>
        <w:t>甲方、乙方双方执持数量与主合同一致</w:t>
      </w:r>
      <w:r>
        <w:rPr>
          <w:rFonts w:ascii="宋体" w:hAnsi="宋体"/>
          <w:color w:val="auto"/>
          <w:sz w:val="24"/>
          <w:highlight w:val="none"/>
        </w:rPr>
        <w:t>。</w:t>
      </w:r>
    </w:p>
    <w:p>
      <w:pPr>
        <w:spacing w:line="360" w:lineRule="auto"/>
        <w:rPr>
          <w:rFonts w:ascii="宋体" w:hAnsi="宋体"/>
          <w:color w:val="auto"/>
          <w:sz w:val="24"/>
          <w:highlight w:val="none"/>
        </w:rPr>
      </w:pPr>
      <w:r>
        <w:rPr>
          <w:rFonts w:ascii="宋体" w:hAnsi="宋体"/>
          <w:color w:val="auto"/>
          <w:sz w:val="24"/>
          <w:highlight w:val="none"/>
        </w:rPr>
        <w:br w:type="textWrapping"/>
      </w:r>
      <w:r>
        <w:rPr>
          <w:rFonts w:hint="eastAsia" w:ascii="宋体" w:hAnsi="宋体"/>
          <w:color w:val="auto"/>
          <w:sz w:val="24"/>
          <w:highlight w:val="none"/>
        </w:rPr>
        <w:t>甲方（盖章）：                     乙方（盖章）：</w:t>
      </w:r>
    </w:p>
    <w:p>
      <w:pPr>
        <w:pStyle w:val="38"/>
        <w:tabs>
          <w:tab w:val="left" w:pos="5100"/>
        </w:tabs>
        <w:spacing w:line="360" w:lineRule="auto"/>
        <w:ind w:left="7200" w:firstLine="0" w:firstLineChars="0"/>
        <w:jc w:val="left"/>
        <w:rPr>
          <w:rFonts w:ascii="宋体" w:hAnsi="宋体"/>
          <w:color w:val="auto"/>
          <w:sz w:val="24"/>
          <w:highlight w:val="none"/>
        </w:rPr>
      </w:pPr>
    </w:p>
    <w:p>
      <w:pPr>
        <w:tabs>
          <w:tab w:val="left" w:pos="5100"/>
        </w:tabs>
        <w:spacing w:line="360" w:lineRule="auto"/>
        <w:ind w:left="7200" w:hanging="7200" w:hangingChars="3000"/>
        <w:rPr>
          <w:rFonts w:ascii="宋体" w:hAnsi="宋体"/>
          <w:color w:val="auto"/>
          <w:sz w:val="24"/>
          <w:highlight w:val="none"/>
        </w:rPr>
      </w:pPr>
      <w:r>
        <w:rPr>
          <w:rFonts w:hint="eastAsia" w:ascii="宋体" w:hAnsi="宋体"/>
          <w:color w:val="auto"/>
          <w:sz w:val="24"/>
          <w:highlight w:val="none"/>
        </w:rPr>
        <w:t>签约代表：                         签约代表：</w:t>
      </w:r>
    </w:p>
    <w:p>
      <w:pPr>
        <w:tabs>
          <w:tab w:val="left" w:pos="4170"/>
        </w:tabs>
        <w:spacing w:line="360" w:lineRule="auto"/>
        <w:rPr>
          <w:rFonts w:hint="eastAsia" w:ascii="宋体" w:hAnsi="宋体"/>
          <w:color w:val="auto"/>
          <w:sz w:val="24"/>
          <w:highlight w:val="none"/>
        </w:rPr>
      </w:pPr>
      <w:r>
        <w:rPr>
          <w:rFonts w:hint="eastAsia" w:ascii="宋体" w:hAnsi="宋体"/>
          <w:color w:val="auto"/>
          <w:sz w:val="24"/>
          <w:highlight w:val="none"/>
        </w:rPr>
        <w:t>日期</w:t>
      </w:r>
      <w:r>
        <w:rPr>
          <w:rFonts w:ascii="宋体" w:hAnsi="宋体"/>
          <w:color w:val="auto"/>
          <w:sz w:val="24"/>
          <w:highlight w:val="none"/>
        </w:rPr>
        <w:t>:    年</w:t>
      </w:r>
      <w:r>
        <w:rPr>
          <w:rFonts w:hint="eastAsia" w:ascii="宋体" w:hAnsi="宋体"/>
          <w:color w:val="auto"/>
          <w:sz w:val="24"/>
          <w:highlight w:val="none"/>
        </w:rPr>
        <w:t xml:space="preserve">  </w:t>
      </w:r>
      <w:r>
        <w:rPr>
          <w:rFonts w:ascii="宋体" w:hAnsi="宋体"/>
          <w:color w:val="auto"/>
          <w:sz w:val="24"/>
          <w:highlight w:val="none"/>
        </w:rPr>
        <w:t>月</w:t>
      </w:r>
      <w:r>
        <w:rPr>
          <w:rFonts w:hint="eastAsia" w:ascii="宋体" w:hAnsi="宋体"/>
          <w:color w:val="auto"/>
          <w:sz w:val="24"/>
          <w:highlight w:val="none"/>
        </w:rPr>
        <w:t xml:space="preserve"> </w:t>
      </w:r>
      <w:r>
        <w:rPr>
          <w:rFonts w:ascii="宋体" w:hAnsi="宋体"/>
          <w:color w:val="auto"/>
          <w:sz w:val="24"/>
          <w:highlight w:val="none"/>
        </w:rPr>
        <w:t xml:space="preserve"> 日</w:t>
      </w:r>
      <w:r>
        <w:rPr>
          <w:rFonts w:ascii="宋体" w:hAnsi="宋体"/>
          <w:color w:val="auto"/>
          <w:sz w:val="24"/>
          <w:highlight w:val="none"/>
        </w:rPr>
        <w:tab/>
      </w:r>
      <w:r>
        <w:rPr>
          <w:rFonts w:hint="eastAsia" w:ascii="宋体" w:hAnsi="宋体"/>
          <w:color w:val="auto"/>
          <w:sz w:val="24"/>
          <w:highlight w:val="none"/>
        </w:rPr>
        <w:t xml:space="preserve">日期： </w:t>
      </w:r>
      <w:r>
        <w:rPr>
          <w:rFonts w:ascii="宋体" w:hAnsi="宋体"/>
          <w:color w:val="auto"/>
          <w:sz w:val="24"/>
          <w:highlight w:val="none"/>
        </w:rPr>
        <w:t xml:space="preserve"> </w:t>
      </w:r>
      <w:r>
        <w:rPr>
          <w:rFonts w:hint="eastAsia" w:ascii="宋体" w:hAnsi="宋体"/>
          <w:color w:val="auto"/>
          <w:sz w:val="24"/>
          <w:highlight w:val="none"/>
        </w:rPr>
        <w:t xml:space="preserve">年 </w:t>
      </w:r>
      <w:r>
        <w:rPr>
          <w:rFonts w:ascii="宋体" w:hAnsi="宋体"/>
          <w:color w:val="auto"/>
          <w:sz w:val="24"/>
          <w:highlight w:val="none"/>
        </w:rPr>
        <w:t xml:space="preserve"> </w:t>
      </w:r>
      <w:r>
        <w:rPr>
          <w:rFonts w:hint="eastAsia" w:ascii="宋体" w:hAnsi="宋体"/>
          <w:color w:val="auto"/>
          <w:sz w:val="24"/>
          <w:highlight w:val="none"/>
        </w:rPr>
        <w:t xml:space="preserve">月 </w:t>
      </w:r>
      <w:r>
        <w:rPr>
          <w:rFonts w:ascii="宋体" w:hAnsi="宋体"/>
          <w:color w:val="auto"/>
          <w:sz w:val="24"/>
          <w:highlight w:val="none"/>
        </w:rPr>
        <w:t xml:space="preserve"> </w:t>
      </w:r>
      <w:r>
        <w:rPr>
          <w:rFonts w:hint="eastAsia" w:ascii="宋体" w:hAnsi="宋体"/>
          <w:color w:val="auto"/>
          <w:sz w:val="24"/>
          <w:highlight w:val="none"/>
        </w:rPr>
        <w:t>日</w:t>
      </w:r>
    </w:p>
    <w:p>
      <w:pPr>
        <w:pStyle w:val="2"/>
        <w:rPr>
          <w:color w:val="auto"/>
          <w:highlight w:val="none"/>
        </w:rPr>
      </w:pPr>
    </w:p>
    <w:p>
      <w:pPr>
        <w:adjustRightInd w:val="0"/>
        <w:snapToGrid w:val="0"/>
        <w:jc w:val="both"/>
        <w:rPr>
          <w:rFonts w:hint="eastAsia" w:ascii="宋体" w:hAnsi="宋体" w:eastAsia="宋体" w:cs="宋体"/>
          <w:b/>
          <w:bCs/>
          <w:color w:val="auto"/>
          <w:sz w:val="21"/>
          <w:szCs w:val="21"/>
          <w:highlight w:val="none"/>
          <w:lang w:val="en-US" w:eastAsia="zh-CN"/>
        </w:rPr>
      </w:pPr>
    </w:p>
    <w:p>
      <w:pPr>
        <w:adjustRightInd w:val="0"/>
        <w:snapToGrid w:val="0"/>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附件3.</w:t>
      </w:r>
      <w:r>
        <w:rPr>
          <w:rFonts w:hint="eastAsia" w:ascii="宋体" w:hAnsi="宋体" w:eastAsia="宋体" w:cs="宋体"/>
          <w:color w:val="auto"/>
          <w:sz w:val="21"/>
          <w:szCs w:val="21"/>
          <w:highlight w:val="none"/>
        </w:rPr>
        <w:t>不诚信行为的情形及相应被暂停参与投标活动的处理标准</w:t>
      </w:r>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auto"/>
          <w:sz w:val="24"/>
          <w:szCs w:val="24"/>
          <w:highlight w:val="none"/>
        </w:rPr>
        <w:t>《广州市净水有限公司经营建设项目参建企业不诚信行为管理办法》</w:t>
      </w:r>
      <w:r>
        <w:rPr>
          <w:rFonts w:hint="eastAsia" w:ascii="仿宋_GB2312" w:hAnsi="仿宋_GB2312" w:eastAsia="仿宋_GB2312" w:cs="仿宋_GB2312"/>
          <w:color w:val="auto"/>
          <w:sz w:val="24"/>
          <w:szCs w:val="24"/>
          <w:highlight w:val="none"/>
          <w:lang w:eastAsia="zh-CN"/>
        </w:rPr>
        <w:t>。</w:t>
      </w: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pStyle w:val="2"/>
        <w:rPr>
          <w:rFonts w:hint="eastAsia"/>
          <w:color w:val="auto"/>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：安全管理协议书</w:t>
      </w:r>
    </w:p>
    <w:p>
      <w:pPr>
        <w:spacing w:line="560" w:lineRule="exact"/>
        <w:jc w:val="center"/>
        <w:rPr>
          <w:rFonts w:ascii="黑体" w:hAnsi="宋体" w:eastAsia="黑体" w:cs="宋体"/>
          <w:bCs/>
          <w:color w:val="auto"/>
          <w:kern w:val="0"/>
          <w:sz w:val="44"/>
          <w:szCs w:val="44"/>
          <w:highlight w:val="none"/>
        </w:rPr>
      </w:pPr>
      <w:r>
        <w:rPr>
          <w:rFonts w:hint="eastAsia" w:ascii="黑体" w:hAnsi="宋体" w:eastAsia="黑体" w:cs="宋体"/>
          <w:bCs/>
          <w:color w:val="auto"/>
          <w:kern w:val="0"/>
          <w:sz w:val="44"/>
          <w:szCs w:val="44"/>
          <w:highlight w:val="none"/>
        </w:rPr>
        <w:t>物品采购</w:t>
      </w:r>
      <w:r>
        <w:rPr>
          <w:rFonts w:hint="eastAsia" w:ascii="黑体" w:hAnsi="Batang" w:eastAsia="黑体" w:cs="Batang"/>
          <w:bCs/>
          <w:color w:val="auto"/>
          <w:kern w:val="0"/>
          <w:sz w:val="44"/>
          <w:szCs w:val="44"/>
          <w:highlight w:val="none"/>
        </w:rPr>
        <w:t>安全协议</w:t>
      </w:r>
      <w:r>
        <w:rPr>
          <w:rFonts w:hint="eastAsia" w:ascii="黑体" w:hAnsi="宋体" w:eastAsia="黑体" w:cs="宋体"/>
          <w:bCs/>
          <w:color w:val="auto"/>
          <w:kern w:val="0"/>
          <w:sz w:val="44"/>
          <w:szCs w:val="44"/>
          <w:highlight w:val="none"/>
        </w:rPr>
        <w:t>书</w:t>
      </w:r>
    </w:p>
    <w:p>
      <w:pPr>
        <w:spacing w:line="560" w:lineRule="exact"/>
        <w:rPr>
          <w:rFonts w:ascii="宋体" w:hAnsi="宋体" w:cs="Arial"/>
          <w:color w:val="auto"/>
          <w:kern w:val="0"/>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rPr>
          <w:rFonts w:ascii="宋体" w:hAnsi="宋体" w:cs="Arial"/>
          <w:color w:val="auto"/>
          <w:kern w:val="0"/>
          <w:sz w:val="24"/>
          <w:highlight w:val="none"/>
        </w:rPr>
      </w:pP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为加强物品采购过程安全管理，根据《中华人民共和国安全生产法》、《生产安全事故报告和调查处理条例》等国家及地方有关安全生产法律法规</w:t>
      </w:r>
      <w:r>
        <w:rPr>
          <w:rFonts w:ascii="宋体" w:hAnsi="宋体" w:cs="Arial"/>
          <w:color w:val="auto"/>
          <w:kern w:val="0"/>
          <w:sz w:val="24"/>
          <w:highlight w:val="none"/>
        </w:rPr>
        <w:t>，甲乙双方就</w:t>
      </w:r>
      <w:r>
        <w:rPr>
          <w:rFonts w:hint="eastAsia" w:ascii="宋体" w:hAnsi="宋体" w:cs="Arial"/>
          <w:color w:val="auto"/>
          <w:kern w:val="0"/>
          <w:sz w:val="24"/>
          <w:highlight w:val="none"/>
        </w:rPr>
        <w:t>物品采购的安全</w:t>
      </w:r>
      <w:r>
        <w:rPr>
          <w:rFonts w:ascii="宋体" w:hAnsi="宋体" w:cs="Arial"/>
          <w:color w:val="auto"/>
          <w:kern w:val="0"/>
          <w:sz w:val="24"/>
          <w:highlight w:val="none"/>
        </w:rPr>
        <w:t>事宜，</w:t>
      </w:r>
      <w:r>
        <w:rPr>
          <w:rFonts w:ascii="宋体" w:hAnsi="宋体" w:cs="Arial"/>
          <w:color w:val="auto"/>
          <w:sz w:val="24"/>
          <w:highlight w:val="none"/>
        </w:rPr>
        <w:t>经双方友好协商，达成如下协议</w:t>
      </w:r>
      <w:r>
        <w:rPr>
          <w:rFonts w:ascii="宋体" w:hAnsi="宋体" w:cs="Arial"/>
          <w:color w:val="auto"/>
          <w:kern w:val="0"/>
          <w:sz w:val="24"/>
          <w:highlight w:val="none"/>
        </w:rPr>
        <w:t>。</w:t>
      </w:r>
    </w:p>
    <w:p>
      <w:pPr>
        <w:adjustRightInd w:val="0"/>
        <w:snapToGrid w:val="0"/>
        <w:spacing w:line="560" w:lineRule="exact"/>
        <w:ind w:firstLine="480" w:firstLineChars="200"/>
        <w:jc w:val="left"/>
        <w:rPr>
          <w:rFonts w:ascii="等线" w:hAnsi="等线" w:eastAsia="等线"/>
          <w:b/>
          <w:color w:val="auto"/>
          <w:sz w:val="24"/>
          <w:highlight w:val="none"/>
        </w:rPr>
      </w:pPr>
      <w:r>
        <w:rPr>
          <w:rFonts w:hint="eastAsia" w:ascii="等线" w:hAnsi="等线" w:eastAsia="等线"/>
          <w:b/>
          <w:color w:val="auto"/>
          <w:sz w:val="24"/>
          <w:highlight w:val="none"/>
        </w:rPr>
        <w:t>一、本协议与主合同的关系</w:t>
      </w:r>
    </w:p>
    <w:p>
      <w:pPr>
        <w:adjustRightInd w:val="0"/>
        <w:snapToGrid w:val="0"/>
        <w:spacing w:line="560" w:lineRule="exact"/>
        <w:ind w:firstLine="480" w:firstLineChars="200"/>
        <w:jc w:val="left"/>
        <w:rPr>
          <w:rFonts w:ascii="等线" w:hAnsi="等线" w:eastAsia="等线"/>
          <w:color w:val="auto"/>
          <w:sz w:val="24"/>
          <w:highlight w:val="none"/>
        </w:rPr>
      </w:pPr>
      <w:r>
        <w:rPr>
          <w:rFonts w:hint="eastAsia" w:ascii="等线" w:hAnsi="等线" w:eastAsia="等线"/>
          <w:color w:val="auto"/>
          <w:sz w:val="24"/>
          <w:highlight w:val="none"/>
        </w:rPr>
        <w:t>本协议作为</w:t>
      </w:r>
      <w:r>
        <w:rPr>
          <w:rFonts w:hint="eastAsia" w:ascii="等线" w:hAnsi="等线" w:eastAsia="等线"/>
          <w:color w:val="auto"/>
          <w:sz w:val="24"/>
          <w:highlight w:val="none"/>
          <w:u w:val="single"/>
        </w:rPr>
        <w:t xml:space="preserve">                          </w:t>
      </w:r>
      <w:r>
        <w:rPr>
          <w:rFonts w:hint="eastAsia" w:ascii="等线" w:hAnsi="等线" w:eastAsia="等线"/>
          <w:color w:val="auto"/>
          <w:sz w:val="24"/>
          <w:highlight w:val="none"/>
        </w:rPr>
        <w:t>的组成部分，与主合同具有同等法律效力。</w:t>
      </w:r>
    </w:p>
    <w:p>
      <w:pPr>
        <w:spacing w:line="560" w:lineRule="exact"/>
        <w:ind w:firstLine="482" w:firstLineChars="200"/>
        <w:rPr>
          <w:rFonts w:ascii="宋体" w:hAnsi="宋体" w:cs="Arial"/>
          <w:b/>
          <w:color w:val="auto"/>
          <w:kern w:val="0"/>
          <w:sz w:val="24"/>
          <w:highlight w:val="none"/>
        </w:rPr>
      </w:pPr>
      <w:r>
        <w:rPr>
          <w:rFonts w:hint="eastAsia" w:ascii="宋体" w:hAnsi="宋体" w:cs="Arial"/>
          <w:b/>
          <w:color w:val="auto"/>
          <w:kern w:val="0"/>
          <w:sz w:val="24"/>
          <w:highlight w:val="none"/>
        </w:rPr>
        <w:t>二、甲方权责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（一）甲方进行物品采购时，应贯彻落实国家、地方有关安全管理的法律法规和规章制度。</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（四）乙方对存在问题拒不整改的，视为违约，甲方有权对乙方按主合同相关条款进行违约金扣罚。如乙方拒不缴纳违约金的，甲方有权在履约保证金中扣除。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（五）告知乙方在甲方应当遵守的安全管理要求。</w:t>
      </w:r>
    </w:p>
    <w:p>
      <w:pPr>
        <w:spacing w:line="560" w:lineRule="exact"/>
        <w:ind w:firstLine="482" w:firstLineChars="200"/>
        <w:rPr>
          <w:rFonts w:ascii="宋体" w:hAnsi="宋体" w:cs="Arial"/>
          <w:b/>
          <w:color w:val="auto"/>
          <w:kern w:val="0"/>
          <w:sz w:val="24"/>
          <w:highlight w:val="none"/>
        </w:rPr>
      </w:pPr>
      <w:r>
        <w:rPr>
          <w:rFonts w:hint="eastAsia" w:ascii="宋体" w:hAnsi="宋体" w:cs="Arial"/>
          <w:b/>
          <w:color w:val="auto"/>
          <w:kern w:val="0"/>
          <w:sz w:val="24"/>
          <w:highlight w:val="none"/>
        </w:rPr>
        <w:t>三、乙方权责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（一）乙方应承诺具备所售物品的许可资质，并提供相关证明材料。若乙方非所售物品的直销厂家，应提供物品的完整供应链，物品的销售、运输、装卸全过程须严格遵守国家及地方的法律的有关规定。</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（二）</w:t>
      </w:r>
      <w:r>
        <w:rPr>
          <w:rFonts w:hint="eastAsia" w:ascii="宋体" w:hAnsi="宋体" w:cs="宋体"/>
          <w:color w:val="auto"/>
          <w:kern w:val="0"/>
          <w:sz w:val="24"/>
          <w:highlight w:val="none"/>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安全运输责任人，负责安全运输和装卸及安全教育工作，同时督促检查，确保</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的安全送运。</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（三）乙方应承诺所售</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质量符合现行国家规范要求，保证</w:t>
      </w:r>
      <w:r>
        <w:rPr>
          <w:rFonts w:hint="eastAsia" w:ascii="宋体" w:hAnsi="宋体" w:cs="Arial"/>
          <w:color w:val="auto"/>
          <w:kern w:val="0"/>
          <w:sz w:val="24"/>
          <w:highlight w:val="none"/>
        </w:rPr>
        <w:t>所售物品为正品。设备类物品应提供与设备型号一致的使用说明书（进口设备应有中文说明书），如物品有保质期要求的应在保质期范围内，</w:t>
      </w:r>
      <w:r>
        <w:rPr>
          <w:rFonts w:hint="eastAsia" w:ascii="宋体" w:hAnsi="宋体" w:cs="宋体"/>
          <w:color w:val="auto"/>
          <w:kern w:val="0"/>
          <w:sz w:val="24"/>
          <w:highlight w:val="none"/>
        </w:rPr>
        <w:t>特殊设备应在运输前做好定检工作，包装要完整完好。</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（四）乙方对</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（五）乙方须加强物品运输车辆的安全管理，用于运输</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的车辆必须车况良好、外观整洁、证照齐全，严格执行车辆安全检验制度，确保车辆性能符合安全技术标准。</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（六）人员管理</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乙方聘请其他单位运输的，乙方应对运输单位的安全管理负责。</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元/次。</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4.如设备类物品需进行安装、调试，乙方应安排熟悉设备或有设备操作相关资质的专业人员与甲方进行设备验收及培训等工作，确保操作设备过程安全。</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（七）发生事故时，乙方须立即报警处理，乙方在力所能及范围内采取补救措施，并在30分钟内将情况报告甲方。</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（十）乙方委托的第三方运输单位或个人，违反本协议的，全部责任均由乙方承担。</w:t>
      </w:r>
    </w:p>
    <w:p>
      <w:pPr>
        <w:pStyle w:val="41"/>
        <w:spacing w:line="560" w:lineRule="exact"/>
        <w:ind w:firstLine="480" w:firstLineChars="200"/>
        <w:rPr>
          <w:rFonts w:ascii="等线" w:hAnsi="等线" w:eastAsia="等线"/>
          <w:color w:val="auto"/>
          <w:sz w:val="24"/>
          <w:highlight w:val="none"/>
        </w:rPr>
      </w:pPr>
      <w:r>
        <w:rPr>
          <w:rFonts w:hint="eastAsia" w:ascii="等线" w:hAnsi="等线" w:eastAsia="等线"/>
          <w:b/>
          <w:color w:val="auto"/>
          <w:sz w:val="24"/>
          <w:highlight w:val="none"/>
        </w:rPr>
        <w:t>四、补充条款：</w:t>
      </w:r>
      <w:r>
        <w:rPr>
          <w:rFonts w:hint="eastAsia" w:ascii="等线" w:hAnsi="等线" w:eastAsia="等线"/>
          <w:color w:val="auto"/>
          <w:sz w:val="24"/>
          <w:highlight w:val="none"/>
          <w:u w:val="single"/>
        </w:rPr>
        <w:t xml:space="preserve">         </w:t>
      </w:r>
      <w:r>
        <w:rPr>
          <w:rFonts w:ascii="等线" w:hAnsi="等线" w:eastAsia="等线"/>
          <w:color w:val="auto"/>
          <w:sz w:val="24"/>
          <w:highlight w:val="none"/>
          <w:u w:val="single"/>
        </w:rPr>
        <w:t xml:space="preserve"> </w:t>
      </w:r>
      <w:r>
        <w:rPr>
          <w:rFonts w:hint="eastAsia" w:ascii="等线" w:hAnsi="等线" w:eastAsia="等线"/>
          <w:color w:val="auto"/>
          <w:sz w:val="24"/>
          <w:highlight w:val="none"/>
          <w:u w:val="single"/>
        </w:rPr>
        <w:t xml:space="preserve">       </w:t>
      </w:r>
      <w:r>
        <w:rPr>
          <w:rFonts w:hint="eastAsia" w:ascii="等线" w:hAnsi="等线" w:eastAsia="等线"/>
          <w:color w:val="auto"/>
          <w:sz w:val="24"/>
          <w:highlight w:val="none"/>
        </w:rPr>
        <w:t>。</w:t>
      </w:r>
    </w:p>
    <w:p>
      <w:pPr>
        <w:adjustRightInd w:val="0"/>
        <w:snapToGrid w:val="0"/>
        <w:spacing w:line="560" w:lineRule="exact"/>
        <w:ind w:firstLine="480" w:firstLineChars="200"/>
        <w:jc w:val="left"/>
        <w:rPr>
          <w:rFonts w:ascii="等线" w:hAnsi="等线" w:eastAsia="等线"/>
          <w:b/>
          <w:color w:val="auto"/>
          <w:sz w:val="24"/>
          <w:highlight w:val="none"/>
        </w:rPr>
      </w:pPr>
      <w:r>
        <w:rPr>
          <w:rFonts w:hint="eastAsia" w:ascii="等线" w:hAnsi="等线" w:eastAsia="等线"/>
          <w:b/>
          <w:color w:val="auto"/>
          <w:sz w:val="24"/>
          <w:highlight w:val="none"/>
        </w:rPr>
        <w:t>五、附则</w:t>
      </w:r>
    </w:p>
    <w:p>
      <w:pPr>
        <w:adjustRightInd w:val="0"/>
        <w:snapToGrid w:val="0"/>
        <w:spacing w:line="560" w:lineRule="exact"/>
        <w:ind w:firstLine="480" w:firstLineChars="200"/>
        <w:jc w:val="left"/>
        <w:rPr>
          <w:rFonts w:ascii="等线" w:hAnsi="等线" w:eastAsia="等线"/>
          <w:color w:val="auto"/>
          <w:sz w:val="24"/>
          <w:highlight w:val="none"/>
        </w:rPr>
      </w:pPr>
      <w:r>
        <w:rPr>
          <w:rFonts w:hint="eastAsia" w:ascii="等线" w:hAnsi="等线" w:eastAsia="等线"/>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等线" w:hAnsi="等线" w:eastAsia="等线"/>
          <w:color w:val="auto"/>
          <w:sz w:val="24"/>
          <w:highlight w:val="none"/>
        </w:rPr>
      </w:pPr>
      <w:r>
        <w:rPr>
          <w:rFonts w:hint="eastAsia" w:ascii="等线" w:hAnsi="等线" w:eastAsia="等线"/>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等线" w:hAnsi="等线" w:eastAsia="等线"/>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noWrap w:val="0"/>
            <w:vAlign w:val="top"/>
          </w:tcPr>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甲方：</w:t>
            </w:r>
          </w:p>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签约代表：</w:t>
            </w:r>
          </w:p>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联系电话：</w:t>
            </w:r>
          </w:p>
          <w:p>
            <w:pPr>
              <w:widowControl w:val="0"/>
              <w:adjustRightInd w:val="0"/>
              <w:snapToGrid w:val="0"/>
              <w:spacing w:line="560" w:lineRule="exact"/>
              <w:ind w:firstLine="240" w:firstLineChars="100"/>
              <w:jc w:val="right"/>
              <w:textAlignment w:val="baseline"/>
              <w:rPr>
                <w:rFonts w:ascii="等线" w:hAnsi="等线" w:eastAsia="等线"/>
                <w:color w:val="auto"/>
                <w:sz w:val="24"/>
                <w:highlight w:val="none"/>
              </w:rPr>
            </w:pPr>
            <w:r>
              <w:rPr>
                <w:rFonts w:hint="eastAsia" w:ascii="等线" w:hAnsi="等线" w:eastAsia="等线"/>
                <w:color w:val="auto"/>
                <w:sz w:val="24"/>
                <w:highlight w:val="none"/>
              </w:rPr>
              <w:t>年</w:t>
            </w:r>
            <w:r>
              <w:rPr>
                <w:rFonts w:ascii="等线" w:hAnsi="等线" w:eastAsia="等线"/>
                <w:color w:val="auto"/>
                <w:sz w:val="24"/>
                <w:highlight w:val="none"/>
              </w:rPr>
              <w:t xml:space="preserve">    </w:t>
            </w:r>
            <w:r>
              <w:rPr>
                <w:rFonts w:hint="eastAsia" w:ascii="等线" w:hAnsi="等线" w:eastAsia="等线"/>
                <w:color w:val="auto"/>
                <w:sz w:val="24"/>
                <w:highlight w:val="none"/>
              </w:rPr>
              <w:t>月</w:t>
            </w:r>
            <w:r>
              <w:rPr>
                <w:rFonts w:ascii="等线" w:hAnsi="等线" w:eastAsia="等线"/>
                <w:color w:val="auto"/>
                <w:sz w:val="24"/>
                <w:highlight w:val="none"/>
              </w:rPr>
              <w:t xml:space="preserve">    </w:t>
            </w:r>
            <w:r>
              <w:rPr>
                <w:rFonts w:hint="eastAsia" w:ascii="等线" w:hAnsi="等线" w:eastAsia="等线"/>
                <w:color w:val="auto"/>
                <w:sz w:val="24"/>
                <w:highlight w:val="none"/>
              </w:rPr>
              <w:t>日</w:t>
            </w:r>
          </w:p>
        </w:tc>
        <w:tc>
          <w:tcPr>
            <w:tcW w:w="4474" w:type="dxa"/>
            <w:noWrap w:val="0"/>
            <w:vAlign w:val="top"/>
          </w:tcPr>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乙方：</w:t>
            </w:r>
          </w:p>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签约代表：</w:t>
            </w:r>
          </w:p>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联系电话：</w:t>
            </w:r>
          </w:p>
          <w:p>
            <w:pPr>
              <w:widowControl w:val="0"/>
              <w:adjustRightInd w:val="0"/>
              <w:snapToGrid w:val="0"/>
              <w:spacing w:line="560" w:lineRule="exact"/>
              <w:jc w:val="right"/>
              <w:textAlignment w:val="baseline"/>
              <w:rPr>
                <w:rFonts w:ascii="等线" w:hAnsi="等线" w:eastAsia="等线"/>
                <w:color w:val="auto"/>
                <w:sz w:val="24"/>
                <w:highlight w:val="none"/>
              </w:rPr>
            </w:pPr>
            <w:r>
              <w:rPr>
                <w:rFonts w:hint="eastAsia" w:ascii="等线" w:hAnsi="等线" w:eastAsia="等线"/>
                <w:color w:val="auto"/>
                <w:sz w:val="24"/>
                <w:highlight w:val="none"/>
              </w:rPr>
              <w:t>年</w:t>
            </w:r>
            <w:r>
              <w:rPr>
                <w:rFonts w:ascii="等线" w:hAnsi="等线" w:eastAsia="等线"/>
                <w:color w:val="auto"/>
                <w:sz w:val="24"/>
                <w:highlight w:val="none"/>
              </w:rPr>
              <w:t xml:space="preserve">    </w:t>
            </w:r>
            <w:r>
              <w:rPr>
                <w:rFonts w:hint="eastAsia" w:ascii="等线" w:hAnsi="等线" w:eastAsia="等线"/>
                <w:color w:val="auto"/>
                <w:sz w:val="24"/>
                <w:highlight w:val="none"/>
              </w:rPr>
              <w:t>月</w:t>
            </w:r>
            <w:r>
              <w:rPr>
                <w:rFonts w:ascii="等线" w:hAnsi="等线" w:eastAsia="等线"/>
                <w:color w:val="auto"/>
                <w:sz w:val="24"/>
                <w:highlight w:val="none"/>
              </w:rPr>
              <w:t xml:space="preserve">    </w:t>
            </w:r>
            <w:r>
              <w:rPr>
                <w:rFonts w:hint="eastAsia" w:ascii="等线" w:hAnsi="等线" w:eastAsia="等线"/>
                <w:color w:val="auto"/>
                <w:sz w:val="24"/>
                <w:highlight w:val="none"/>
              </w:rPr>
              <w:t>日</w:t>
            </w:r>
          </w:p>
        </w:tc>
      </w:tr>
    </w:tbl>
    <w:p>
      <w:pPr>
        <w:spacing w:line="360" w:lineRule="auto"/>
        <w:rPr>
          <w:rFonts w:ascii="宋体" w:hAnsi="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附件5：</w:t>
      </w:r>
    </w:p>
    <w:p>
      <w:pPr>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防疫管理协议书</w:t>
      </w:r>
    </w:p>
    <w:p>
      <w:pPr>
        <w:adjustRightInd w:val="0"/>
        <w:snapToGrid w:val="0"/>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u w:val="single"/>
        </w:rPr>
        <w:t>广州市净水有限公司</w:t>
      </w:r>
    </w:p>
    <w:p>
      <w:pPr>
        <w:adjustRightInd w:val="0"/>
        <w:snapToGrid w:val="0"/>
        <w:ind w:firstLine="560" w:firstLineChars="200"/>
        <w:rPr>
          <w:rStyle w:val="27"/>
          <w:rFonts w:hint="eastAsia" w:ascii="仿宋_GB2312" w:hAnsi="仿宋_GB2312" w:eastAsia="仿宋_GB2312" w:cs="仿宋_GB2312"/>
          <w:b w:val="0"/>
          <w:color w:val="auto"/>
          <w:sz w:val="28"/>
          <w:szCs w:val="28"/>
          <w:highlight w:val="none"/>
          <w:u w:val="singl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u w:val="single"/>
        </w:rPr>
        <w:t>……</w:t>
      </w:r>
    </w:p>
    <w:p>
      <w:pPr>
        <w:ind w:firstLine="630" w:firstLineChars="225"/>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一、本协议与主协议的关系</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本协议作为</w:t>
      </w:r>
      <w:r>
        <w:rPr>
          <w:rFonts w:hint="eastAsia" w:ascii="仿宋_GB2312" w:hAnsi="仿宋_GB2312" w:eastAsia="仿宋_GB2312" w:cs="仿宋_GB2312"/>
          <w:bCs/>
          <w:color w:val="auto"/>
          <w:sz w:val="28"/>
          <w:szCs w:val="28"/>
          <w:highlight w:val="none"/>
          <w:u w:val="single"/>
        </w:rPr>
        <w:t>广州市净水有限公司2022年猎德、大坦沙、大观分公司阀门采购项目</w:t>
      </w:r>
      <w:r>
        <w:rPr>
          <w:rFonts w:hint="eastAsia" w:ascii="仿宋_GB2312" w:hAnsi="仿宋_GB2312" w:eastAsia="仿宋_GB2312" w:cs="仿宋_GB2312"/>
          <w:color w:val="auto"/>
          <w:sz w:val="28"/>
          <w:szCs w:val="28"/>
          <w:highlight w:val="none"/>
        </w:rPr>
        <w:t>的组成部分，与主合同具有同等法律</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二、甲方的义务</w:t>
      </w:r>
    </w:p>
    <w:p>
      <w:pPr>
        <w:adjustRightInd w:val="0"/>
        <w:snapToGrid w:val="0"/>
        <w:ind w:firstLine="48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（一）与建设主管部门和属地疫情防控指挥部门形成联防联控机制，建立快速有效的处置工作流程。</w:t>
      </w:r>
    </w:p>
    <w:p>
      <w:pPr>
        <w:pStyle w:val="7"/>
        <w:ind w:firstLine="48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（二）对乙方防控工作的落实情况进行监督。</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三、乙方的义务</w:t>
      </w:r>
    </w:p>
    <w:p>
      <w:pPr>
        <w:pStyle w:val="7"/>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（一）开展疫情防控宣传教育，提高乙方人员自我防护意识，最大限度减少人员暴露和感染的风险。</w:t>
      </w:r>
    </w:p>
    <w:p>
      <w:pPr>
        <w:pStyle w:val="7"/>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（二）做好乙方人员防控工作管理，及时提交防疫资料，落实疫情防控备案，必要时需编制防控管理工作方案。</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（三）乙方人员须按照甲方各厂区进厂门岗防控要求进行疫苗接种及核酸检测，未满足相关要求的人员甲方有权限制进入厂区。</w:t>
      </w:r>
    </w:p>
    <w:p>
      <w:pPr>
        <w:pStyle w:val="7"/>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（四）建立畅通的信息传输渠道和严格的信息上报机制，出现问题及时采取应急响应措施，迅速妥善处置项目施工场所普通发热病例、可疑病例和突发新冠肺炎疫情，并第一时间报送甲方。</w:t>
      </w:r>
    </w:p>
    <w:p>
      <w:pPr>
        <w:adjustRightInd w:val="0"/>
        <w:snapToGrid w:val="0"/>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（五）各级政府、有关部门及甲方的其他防控要求。</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四、违约责任</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乙方需按照甲方服务要求执行，未达到疫情防控要求的，需按下列条款执行：</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（一）乙方人员及其亲属有重点区域、重点场所旅居史未报备的，每发现一人，从乙方当月服务费中扣500元；</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（二）乙方人员未按照甲方要求进行核酸检测的或有瞒报、虚报的，每发现一人，从乙方当月服务费中扣50元；</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（三）乙方项目维修施工人员拒不配合甲方疫情防控要求或不满足甲方防疫工作要求的，甲方有权要求乙方3天内更换服务人员。</w:t>
      </w:r>
    </w:p>
    <w:p>
      <w:pPr>
        <w:adjustRightInd w:val="0"/>
        <w:snapToGrid w:val="0"/>
        <w:rPr>
          <w:rFonts w:hint="eastAsia" w:ascii="仿宋_GB2312" w:hAnsi="仿宋_GB2312" w:eastAsia="仿宋_GB2312" w:cs="仿宋_GB2312"/>
          <w:color w:val="auto"/>
          <w:sz w:val="28"/>
          <w:szCs w:val="28"/>
          <w:highlight w:val="none"/>
        </w:rPr>
      </w:pPr>
    </w:p>
    <w:p>
      <w:pPr>
        <w:pStyle w:val="41"/>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五、补充条款：</w:t>
      </w:r>
      <w:r>
        <w:rPr>
          <w:rFonts w:hint="eastAsia" w:ascii="仿宋_GB2312" w:hAnsi="仿宋_GB2312" w:eastAsia="仿宋_GB2312" w:cs="仿宋_GB2312"/>
          <w:color w:val="auto"/>
          <w:sz w:val="28"/>
          <w:szCs w:val="28"/>
          <w:highlight w:val="none"/>
          <w:u w:val="single"/>
        </w:rPr>
        <w:t xml:space="preserve">         /       </w:t>
      </w:r>
      <w:r>
        <w:rPr>
          <w:rFonts w:hint="eastAsia" w:ascii="仿宋_GB2312" w:hAnsi="仿宋_GB2312" w:eastAsia="仿宋_GB2312" w:cs="仿宋_GB2312"/>
          <w:color w:val="auto"/>
          <w:sz w:val="28"/>
          <w:szCs w:val="28"/>
          <w:highlight w:val="none"/>
        </w:rPr>
        <w:t>。</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六、附则</w:t>
      </w:r>
    </w:p>
    <w:p>
      <w:pPr>
        <w:adjustRightInd w:val="0"/>
        <w:snapToGrid w:val="0"/>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本协议与合同同时签订、同时终止、同时生效，具有相同的法律效力。合同由甲乙双方签字、盖章生效，甲乙双方各</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份。</w:t>
      </w:r>
    </w:p>
    <w:p>
      <w:pPr>
        <w:adjustRightInd w:val="0"/>
        <w:snapToGrid w:val="0"/>
        <w:rPr>
          <w:rFonts w:hint="eastAsia" w:ascii="仿宋_GB2312" w:hAnsi="仿宋_GB2312" w:eastAsia="仿宋_GB2312" w:cs="仿宋_GB2312"/>
          <w:color w:val="auto"/>
          <w:sz w:val="28"/>
          <w:szCs w:val="28"/>
          <w:highlight w:val="none"/>
        </w:rPr>
      </w:pPr>
    </w:p>
    <w:p>
      <w:pPr>
        <w:adjustRightInd w:val="0"/>
        <w:snapToGrid w:val="0"/>
        <w:ind w:left="1550" w:leftChars="5" w:hanging="1540" w:hangingChars="5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甲方代表 （章）：                             乙方代表（章）：                                                           　　              　　　　　　　</w:t>
      </w:r>
    </w:p>
    <w:p>
      <w:pPr>
        <w:adjustRightInd w:val="0"/>
        <w:snapToGrid w:val="0"/>
        <w:rPr>
          <w:rFonts w:ascii="仿宋_GB2312" w:hAnsi="等线" w:eastAsia="仿宋_GB2312"/>
          <w:color w:val="auto"/>
          <w:sz w:val="24"/>
          <w:highlight w:val="none"/>
        </w:rPr>
      </w:pPr>
      <w:r>
        <w:rPr>
          <w:rFonts w:hint="eastAsia" w:ascii="仿宋_GB2312" w:hAnsi="仿宋_GB2312" w:eastAsia="仿宋_GB2312" w:cs="仿宋_GB2312"/>
          <w:color w:val="auto"/>
          <w:sz w:val="28"/>
          <w:szCs w:val="28"/>
          <w:highlight w:val="none"/>
        </w:rPr>
        <w:t xml:space="preserve">      年 　月　  日　　　　　                 年   月  　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pStyle w:val="2"/>
        <w:ind w:firstLine="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firstLine="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color w:val="auto"/>
          <w:highlight w:val="none"/>
        </w:rPr>
      </w:pPr>
      <w:bookmarkStart w:id="152" w:name="_Toc12169"/>
      <w:bookmarkStart w:id="153" w:name="_Toc1563"/>
      <w:bookmarkStart w:id="154" w:name="_Toc6230"/>
      <w:bookmarkStart w:id="155" w:name="_Toc16552"/>
      <w:bookmarkStart w:id="156" w:name="_Toc5129"/>
      <w:bookmarkStart w:id="157" w:name="_Toc8147"/>
      <w:bookmarkStart w:id="158" w:name="_Toc28358"/>
      <w:bookmarkStart w:id="159" w:name="_Toc23515"/>
      <w:bookmarkStart w:id="160" w:name="_Toc30824"/>
      <w:bookmarkStart w:id="161" w:name="_Toc21847"/>
      <w:bookmarkStart w:id="162" w:name="_Toc3723"/>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2376170</wp:posOffset>
                </wp:positionH>
                <wp:positionV relativeFrom="paragraph">
                  <wp:posOffset>504190</wp:posOffset>
                </wp:positionV>
                <wp:extent cx="958850" cy="0"/>
                <wp:effectExtent l="9525" t="10795" r="12700" b="8255"/>
                <wp:wrapNone/>
                <wp:docPr id="7" name="AutoShape 11"/>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1" o:spid="_x0000_s1026" o:spt="32" type="#_x0000_t32" style="position:absolute;left:0pt;margin-left:187.1pt;margin-top:39.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WbC+tcAAAALAQAADwAAAAAAAAABACAAAAAi&#10;AAAAZHJzL2Rvd25yZXYueG1sUEsBAhQAFAAAAAgAh07iQAB5EsnSAQAAsgMAAA4AAAAAAAAAAQAg&#10;AAAAJgEAAGRycy9lMm9Eb2MueG1sUEsFBgAAAAAGAAYAWQEAAGo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2344420</wp:posOffset>
                </wp:positionH>
                <wp:positionV relativeFrom="paragraph">
                  <wp:posOffset>105410</wp:posOffset>
                </wp:positionV>
                <wp:extent cx="958850" cy="0"/>
                <wp:effectExtent l="9525" t="8890" r="12700" b="10160"/>
                <wp:wrapNone/>
                <wp:docPr id="6" name="AutoShape 10"/>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0" o:spid="_x0000_s1026" o:spt="32" type="#_x0000_t32" style="position:absolute;left:0pt;margin-left:184.6pt;margin-top:8.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8OuBDXAAAACQEAAA8AAAAAAAAAAQAgAAAA&#10;IgAAAGRycy9kb3ducmV2LnhtbFBLAQIUABQAAAAIAIdO4kDTtvwF0wEAALIDAAAOAAAAAAAAAAEA&#10;IAAAACYBAABkcnMvZTJvRG9jLnhtbFBLBQYAAAAABgAGAFkBAABrBQAAAAA=&#10;">
                <v:fill on="f" focussize="0,0"/>
                <v:stroke color="#000000" joinstyle="round"/>
                <v:imagedata o:title=""/>
                <o:lock v:ext="edit" aspectratio="f"/>
              </v:shape>
            </w:pict>
          </mc:Fallback>
        </mc:AlternateContent>
      </w:r>
      <w:r>
        <w:rPr>
          <w:rFonts w:hint="eastAsia"/>
          <w:color w:val="auto"/>
          <w:highlight w:val="none"/>
        </w:rPr>
        <w:t>第七章</w:t>
      </w:r>
      <w:bookmarkEnd w:id="152"/>
      <w:bookmarkEnd w:id="153"/>
      <w:bookmarkEnd w:id="154"/>
      <w:bookmarkEnd w:id="155"/>
      <w:bookmarkEnd w:id="156"/>
      <w:bookmarkEnd w:id="157"/>
      <w:bookmarkEnd w:id="158"/>
      <w:bookmarkEnd w:id="159"/>
      <w:bookmarkEnd w:id="160"/>
      <w:bookmarkEnd w:id="161"/>
      <w:bookmarkEnd w:id="162"/>
    </w:p>
    <w:p>
      <w:pPr>
        <w:pStyle w:val="41"/>
        <w:rPr>
          <w:color w:val="auto"/>
          <w:highlight w:val="none"/>
        </w:rPr>
      </w:pPr>
    </w:p>
    <w:p>
      <w:pPr>
        <w:pStyle w:val="4"/>
        <w:rPr>
          <w:color w:val="auto"/>
          <w:highlight w:val="none"/>
        </w:rPr>
      </w:pPr>
      <w:bookmarkStart w:id="163" w:name="_Toc12610"/>
      <w:bookmarkStart w:id="164" w:name="_Toc21675"/>
      <w:bookmarkStart w:id="165" w:name="_Toc87616388"/>
      <w:bookmarkStart w:id="166" w:name="_Toc5342"/>
      <w:bookmarkStart w:id="167" w:name="_Toc30157"/>
      <w:bookmarkStart w:id="168" w:name="_Toc17119"/>
      <w:bookmarkStart w:id="169" w:name="_Toc12769"/>
      <w:bookmarkStart w:id="170" w:name="_Toc24815"/>
      <w:bookmarkStart w:id="171" w:name="_Toc24490"/>
      <w:bookmarkStart w:id="172" w:name="_Toc10840"/>
      <w:bookmarkStart w:id="173" w:name="_Toc31564"/>
      <w:bookmarkStart w:id="174" w:name="_Toc22764"/>
      <w:bookmarkStart w:id="175" w:name="_Toc88209951"/>
      <w:r>
        <w:rPr>
          <w:rFonts w:hint="eastAsia"/>
          <w:color w:val="auto"/>
          <w:highlight w:val="none"/>
        </w:rPr>
        <w:t>响应文件格式要求</w:t>
      </w:r>
      <w:bookmarkEnd w:id="163"/>
      <w:bookmarkEnd w:id="164"/>
      <w:bookmarkEnd w:id="165"/>
      <w:bookmarkEnd w:id="166"/>
      <w:bookmarkEnd w:id="167"/>
      <w:bookmarkEnd w:id="168"/>
      <w:bookmarkEnd w:id="169"/>
      <w:bookmarkEnd w:id="170"/>
      <w:bookmarkEnd w:id="171"/>
      <w:bookmarkEnd w:id="172"/>
      <w:bookmarkEnd w:id="173"/>
      <w:bookmarkEnd w:id="174"/>
      <w:bookmarkEnd w:id="175"/>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156" w:beforeLines="50" w:after="156" w:afterLines="50" w:line="600" w:lineRule="exact"/>
        <w:jc w:val="center"/>
        <w:rPr>
          <w:rFonts w:ascii="仿宋_GB2312" w:eastAsia="仿宋_GB2312"/>
          <w:color w:val="auto"/>
          <w:sz w:val="30"/>
          <w:szCs w:val="30"/>
          <w:highlight w:val="none"/>
        </w:rPr>
      </w:pPr>
    </w:p>
    <w:p>
      <w:pPr>
        <w:adjustRightInd w:val="0"/>
        <w:snapToGrid w:val="0"/>
        <w:spacing w:before="156" w:beforeLines="50" w:after="156"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jc w:val="center"/>
        <w:rPr>
          <w:rFonts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rPr>
          <w:rFonts w:ascii="方正小标宋简体" w:eastAsia="方正小标宋简体"/>
          <w:color w:val="auto"/>
          <w:sz w:val="30"/>
          <w:szCs w:val="30"/>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76" w:name="_Toc88209952"/>
      <w:bookmarkStart w:id="177" w:name="_Toc87616389"/>
      <w:r>
        <w:rPr>
          <w:rFonts w:hint="eastAsia" w:ascii="仿宋_GB2312" w:eastAsia="仿宋_GB2312"/>
          <w:color w:val="auto"/>
          <w:sz w:val="28"/>
          <w:szCs w:val="28"/>
          <w:highlight w:val="none"/>
        </w:rPr>
        <w:t>1.响应函</w:t>
      </w:r>
      <w:bookmarkEnd w:id="176"/>
      <w:bookmarkEnd w:id="177"/>
    </w:p>
    <w:p>
      <w:pPr>
        <w:spacing w:line="600" w:lineRule="exact"/>
        <w:rPr>
          <w:rFonts w:ascii="仿宋_GB2312" w:eastAsia="仿宋_GB2312"/>
          <w:color w:val="auto"/>
          <w:sz w:val="28"/>
          <w:szCs w:val="28"/>
          <w:highlight w:val="none"/>
        </w:rPr>
      </w:pPr>
      <w:bookmarkStart w:id="178" w:name="_Toc87616390"/>
      <w:bookmarkStart w:id="179" w:name="_Toc88209953"/>
      <w:r>
        <w:rPr>
          <w:rFonts w:hint="eastAsia" w:ascii="仿宋_GB2312" w:eastAsia="仿宋_GB2312"/>
          <w:color w:val="auto"/>
          <w:sz w:val="28"/>
          <w:szCs w:val="28"/>
          <w:highlight w:val="none"/>
        </w:rPr>
        <w:t>2.法定代表人证明或授权委托书</w:t>
      </w:r>
      <w:bookmarkEnd w:id="178"/>
      <w:bookmarkEnd w:id="179"/>
      <w:bookmarkStart w:id="180" w:name="_Toc87616393"/>
      <w:bookmarkStart w:id="181"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3.资格审查资料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4.拟投入本项目的项目负责人情况表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6.其他资料</w:t>
      </w:r>
      <w:bookmarkEnd w:id="180"/>
      <w:bookmarkEnd w:id="181"/>
      <w:r>
        <w:rPr>
          <w:rFonts w:hint="eastAsia" w:ascii="仿宋_GB2312" w:eastAsia="仿宋_GB2312"/>
          <w:color w:val="auto"/>
          <w:sz w:val="28"/>
          <w:szCs w:val="28"/>
          <w:highlight w:val="none"/>
        </w:rPr>
        <w:cr/>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bookmarkStart w:id="182" w:name="_Toc87616394"/>
      <w:bookmarkStart w:id="183" w:name="_Toc6313"/>
      <w:bookmarkStart w:id="184" w:name="_Toc88209957"/>
      <w:bookmarkStart w:id="185" w:name="_Toc28619645"/>
      <w:bookmarkStart w:id="186" w:name="_Toc12665"/>
      <w:r>
        <w:rPr>
          <w:rFonts w:hint="eastAsia" w:asciiTheme="minorEastAsia" w:hAnsiTheme="minorEastAsia" w:eastAsiaTheme="minorEastAsia"/>
          <w:color w:val="auto"/>
          <w:sz w:val="28"/>
          <w:szCs w:val="28"/>
          <w:highlight w:val="none"/>
        </w:rPr>
        <w:t>1.响应函</w:t>
      </w:r>
      <w:bookmarkEnd w:id="182"/>
      <w:bookmarkEnd w:id="183"/>
      <w:bookmarkEnd w:id="184"/>
      <w:bookmarkEnd w:id="185"/>
      <w:bookmarkEnd w:id="186"/>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sym w:font="Wingdings 2" w:char="0052"/>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（1）响应函</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（2）法定代表人证明或授权委托书</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（3）资格审查资料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（4）拟投入本项目的项目负责人情况表</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（5）报价表</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（6）其他资料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w:t>
      </w:r>
      <w:r>
        <w:rPr>
          <w:rFonts w:hint="eastAsia" w:ascii="仿宋_GB2312" w:hAnsi="黑体" w:eastAsia="仿宋_GB2312"/>
          <w:color w:val="auto"/>
          <w:sz w:val="28"/>
          <w:szCs w:val="28"/>
          <w:highlight w:val="none"/>
        </w:rPr>
        <w:t>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asciiTheme="minorEastAsia" w:hAnsiTheme="minorEastAsia"/>
          <w:color w:val="auto"/>
          <w:sz w:val="28"/>
          <w:szCs w:val="28"/>
          <w:highlight w:val="none"/>
        </w:rPr>
      </w:pPr>
      <w:bookmarkStart w:id="187" w:name="_Toc87616395"/>
      <w:bookmarkStart w:id="188" w:name="_Toc29833"/>
      <w:bookmarkStart w:id="189" w:name="_Toc22527"/>
      <w:bookmarkStart w:id="190" w:name="_Toc88209958"/>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87"/>
      <w:bookmarkEnd w:id="188"/>
      <w:bookmarkEnd w:id="189"/>
      <w:bookmarkEnd w:id="190"/>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3"/>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2"/>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0" t="0" r="19050" b="2667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G5aUhBJAgAAlg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附：1.委托代理人身份证(正反两面)复印件</w:t>
      </w:r>
    </w:p>
    <w:p>
      <w:pPr>
        <w:pStyle w:val="41"/>
        <w:ind w:firstLine="1200" w:firstLineChars="4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0" t="0" r="19050" b="2667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B+rHUKSQIAAJY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eastAsia="宋体" w:cs="Times New Roman"/>
                <w:color w:val="auto"/>
                <w:sz w:val="24"/>
                <w:szCs w:val="24"/>
                <w:highlight w:val="none"/>
              </w:rPr>
            </w:pPr>
          </w:p>
          <w:p>
            <w:pPr>
              <w:spacing w:line="360" w:lineRule="auto"/>
              <w:jc w:val="center"/>
              <w:rPr>
                <w:rFonts w:ascii="宋体" w:hAnsi="宋体" w:eastAsia="宋体" w:cs="Times New Roman"/>
                <w:color w:val="auto"/>
                <w:sz w:val="24"/>
                <w:szCs w:val="24"/>
                <w:highlight w:val="none"/>
              </w:rPr>
            </w:pPr>
          </w:p>
          <w:p>
            <w:pPr>
              <w:spacing w:line="360" w:lineRule="auto"/>
              <w:jc w:val="center"/>
              <w:rPr>
                <w:rFonts w:ascii="宋体" w:hAnsi="宋体"/>
                <w:color w:val="auto"/>
                <w:sz w:val="24"/>
                <w:szCs w:val="24"/>
                <w:highlight w:val="none"/>
              </w:rPr>
            </w:pPr>
            <w:r>
              <w:rPr>
                <w:rFonts w:hint="eastAsia" w:ascii="宋体" w:hAnsi="宋体" w:cs="Times New Roman"/>
                <w:color w:val="auto"/>
                <w:sz w:val="24"/>
                <w:szCs w:val="24"/>
                <w:highlight w:val="none"/>
              </w:rPr>
              <w:t>授权代理人在本单位近三个月社保记录，（以加盖社会保险基金管理中心印章的《缴费历史明细表》或《社会保险参保人员证明》为准，加</w:t>
            </w:r>
            <w:r>
              <w:rPr>
                <w:rFonts w:hint="eastAsia" w:ascii="宋体" w:hAnsi="宋体"/>
                <w:color w:val="auto"/>
                <w:sz w:val="24"/>
                <w:szCs w:val="24"/>
                <w:highlight w:val="none"/>
              </w:rPr>
              <w:t>盖单位公章</w:t>
            </w:r>
          </w:p>
          <w:p>
            <w:pPr>
              <w:spacing w:line="360" w:lineRule="auto"/>
              <w:jc w:val="center"/>
              <w:rPr>
                <w:rFonts w:ascii="宋体" w:hAnsi="宋体"/>
                <w:color w:val="auto"/>
                <w:sz w:val="24"/>
                <w:szCs w:val="24"/>
                <w:highlight w:val="none"/>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91" w:name="_Toc8086"/>
      <w:bookmarkStart w:id="192" w:name="_Toc87616400"/>
      <w:bookmarkStart w:id="193" w:name="_Toc88209963"/>
      <w:bookmarkStart w:id="194" w:name="_Toc19830"/>
      <w:r>
        <w:rPr>
          <w:rFonts w:hint="eastAsia" w:ascii="仿宋_GB2312" w:eastAsia="仿宋_GB2312" w:hAnsiTheme="minorEastAsia"/>
          <w:color w:val="auto"/>
          <w:sz w:val="28"/>
          <w:szCs w:val="28"/>
          <w:highlight w:val="none"/>
        </w:rPr>
        <w:t>3</w:t>
      </w:r>
      <w:r>
        <w:rPr>
          <w:rFonts w:hint="eastAsia" w:asciiTheme="minorEastAsia" w:hAnsiTheme="minorEastAsia" w:eastAsiaTheme="minorEastAsia"/>
          <w:color w:val="auto"/>
          <w:sz w:val="28"/>
          <w:szCs w:val="28"/>
          <w:highlight w:val="none"/>
        </w:rPr>
        <w:t>.资格审查资料</w:t>
      </w:r>
      <w:bookmarkEnd w:id="191"/>
      <w:bookmarkEnd w:id="192"/>
      <w:bookmarkEnd w:id="193"/>
      <w:bookmarkEnd w:id="194"/>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cs="Times New Roman" w:asciiTheme="minorEastAsia" w:hAnsiTheme="minorEastAsia"/>
          <w:b/>
          <w:bCs/>
          <w:color w:val="auto"/>
          <w:sz w:val="28"/>
          <w:szCs w:val="28"/>
          <w:highlight w:val="none"/>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rPr>
        <w:t>。</w:t>
      </w:r>
      <w:r>
        <w:rPr>
          <w:rFonts w:hint="eastAsia" w:cs="Times New Roman" w:asciiTheme="minorEastAsia" w:hAnsiTheme="minorEastAsia"/>
          <w:b/>
          <w:bCs/>
          <w:color w:val="auto"/>
          <w:sz w:val="28"/>
          <w:szCs w:val="28"/>
          <w:highlight w:val="none"/>
        </w:rPr>
        <w:t>（相关证明文件附后）</w:t>
      </w:r>
    </w:p>
    <w:p>
      <w:pPr>
        <w:adjustRightInd w:val="0"/>
        <w:snapToGrid w:val="0"/>
        <w:spacing w:line="360" w:lineRule="auto"/>
        <w:jc w:val="left"/>
        <w:rPr>
          <w:rFonts w:cs="Times New Roman" w:asciiTheme="minorEastAsia" w:hAnsiTheme="minorEastAsia"/>
          <w:b/>
          <w:bCs/>
          <w:color w:val="auto"/>
          <w:sz w:val="28"/>
          <w:szCs w:val="28"/>
          <w:highlight w:val="none"/>
        </w:rPr>
      </w:pPr>
      <w:bookmarkStart w:id="195" w:name="_Hlk59025866"/>
    </w:p>
    <w:p>
      <w:pPr>
        <w:adjustRightInd w:val="0"/>
        <w:snapToGrid w:val="0"/>
        <w:spacing w:line="360" w:lineRule="auto"/>
        <w:jc w:val="left"/>
        <w:rPr>
          <w:rFonts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3.2不得存在情形承诺函</w:t>
      </w:r>
    </w:p>
    <w:bookmarkEnd w:id="195"/>
    <w:p>
      <w:pPr>
        <w:adjustRightInd w:val="0"/>
        <w:snapToGrid w:val="0"/>
        <w:spacing w:line="360" w:lineRule="auto"/>
        <w:rPr>
          <w:rFonts w:ascii="宋体" w:hAnsi="宋体" w:eastAsia="宋体" w:cs="宋体"/>
          <w:color w:val="auto"/>
          <w:sz w:val="24"/>
          <w:szCs w:val="24"/>
          <w:highlight w:val="none"/>
          <w:lang w:val="en-GB"/>
        </w:rPr>
      </w:pPr>
    </w:p>
    <w:p>
      <w:pPr>
        <w:adjustRightInd w:val="0"/>
        <w:snapToGrid w:val="0"/>
        <w:spacing w:line="360" w:lineRule="auto"/>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rPr>
          <w:rFonts w:ascii="仿宋_GB2312" w:eastAsia="仿宋_GB2312"/>
          <w:color w:val="auto"/>
          <w:sz w:val="28"/>
          <w:szCs w:val="28"/>
          <w:highlight w:val="none"/>
        </w:rPr>
      </w:pPr>
      <w:r>
        <w:rPr>
          <w:rFonts w:hint="eastAsia" w:ascii="宋体" w:hAnsi="宋体" w:eastAsia="宋体" w:cs="宋体"/>
          <w:color w:val="auto"/>
          <w:sz w:val="24"/>
          <w:szCs w:val="24"/>
          <w:highlight w:val="none"/>
          <w:lang w:val="en-GB"/>
        </w:rPr>
        <w:t>我方郑重承诺，在参与</w:t>
      </w:r>
      <w:bookmarkStart w:id="202" w:name="_GoBack"/>
      <w:r>
        <w:rPr>
          <w:rFonts w:hint="eastAsia" w:ascii="宋体" w:hAnsi="宋体" w:cs="宋体"/>
          <w:color w:val="auto"/>
          <w:sz w:val="24"/>
          <w:szCs w:val="24"/>
          <w:highlight w:val="none"/>
          <w:lang w:val="en-GB"/>
        </w:rPr>
        <w:t>广州市净水有限公司2022年猎德、大坦沙、大观分公司阀门采购项目</w:t>
      </w:r>
      <w:bookmarkEnd w:id="202"/>
      <w:r>
        <w:rPr>
          <w:rFonts w:hint="eastAsia" w:ascii="宋体" w:hAnsi="宋体" w:eastAsia="宋体" w:cs="宋体"/>
          <w:color w:val="auto"/>
          <w:sz w:val="24"/>
          <w:szCs w:val="24"/>
          <w:highlight w:val="none"/>
          <w:u w:val="single"/>
          <w:lang w:val="en-GB"/>
        </w:rPr>
        <w:t>（项目编号： ******）</w:t>
      </w:r>
      <w:r>
        <w:rPr>
          <w:rFonts w:hint="eastAsia" w:ascii="宋体" w:hAnsi="宋体" w:eastAsia="宋体" w:cs="宋体"/>
          <w:color w:val="auto"/>
          <w:sz w:val="24"/>
          <w:szCs w:val="24"/>
          <w:highlight w:val="none"/>
          <w:lang w:val="en-GB"/>
        </w:rPr>
        <w:t>采购期间，未被</w:t>
      </w:r>
      <w:r>
        <w:rPr>
          <w:rFonts w:hint="eastAsia" w:ascii="仿宋_GB2312" w:eastAsia="仿宋_GB2312"/>
          <w:color w:val="auto"/>
          <w:sz w:val="28"/>
          <w:szCs w:val="28"/>
          <w:highlight w:val="none"/>
        </w:rPr>
        <w:t>列入下列情形之一：</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（1）与本项目其他供应商的单位负责人为同一人。</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（2）与本项目其他供应商存在控股关系。</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（3）与本项目其他供应商存在管理关系。</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（9）被“信用广州”网站纳入失信被执行人名单（失信黑名单）。</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ascii="宋体" w:hAnsi="宋体" w:eastAsia="宋体" w:cs="宋体"/>
          <w:color w:val="auto"/>
          <w:sz w:val="24"/>
          <w:szCs w:val="24"/>
          <w:highlight w:val="none"/>
          <w:lang w:val="en-GB"/>
        </w:rPr>
      </w:pP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年  月  日</w:t>
      </w:r>
    </w:p>
    <w:p>
      <w:pPr>
        <w:pStyle w:val="2"/>
        <w:ind w:firstLine="0"/>
        <w:rPr>
          <w:color w:val="auto"/>
          <w:highlight w:val="none"/>
        </w:rPr>
      </w:pPr>
    </w:p>
    <w:p>
      <w:pPr>
        <w:jc w:val="left"/>
        <w:rPr>
          <w:rFonts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4.拟投入本项目的项目负责人情况表</w:t>
      </w:r>
    </w:p>
    <w:p>
      <w:pPr>
        <w:pStyle w:val="2"/>
        <w:rPr>
          <w:rFonts w:ascii="仿宋_GB2312" w:eastAsia="仿宋_GB2312" w:hAnsiTheme="minorEastAsia"/>
          <w:color w:val="auto"/>
          <w:sz w:val="28"/>
          <w:szCs w:val="28"/>
          <w:highlight w:val="none"/>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tcPr>
          <w:p>
            <w:pPr>
              <w:jc w:val="center"/>
              <w:rPr>
                <w:rFonts w:ascii="仿宋" w:hAnsi="仿宋" w:eastAsia="仿宋" w:cs="仿宋_GB2312"/>
                <w:b/>
                <w:color w:val="auto"/>
                <w:sz w:val="28"/>
                <w:szCs w:val="28"/>
                <w:highlight w:val="none"/>
              </w:rPr>
            </w:pPr>
          </w:p>
        </w:tc>
        <w:tc>
          <w:tcPr>
            <w:tcW w:w="161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tcPr>
          <w:p>
            <w:pPr>
              <w:jc w:val="center"/>
              <w:rPr>
                <w:rFonts w:ascii="仿宋" w:hAnsi="仿宋" w:eastAsia="仿宋" w:cs="仿宋_GB2312"/>
                <w:b/>
                <w:color w:val="auto"/>
                <w:sz w:val="28"/>
                <w:szCs w:val="28"/>
                <w:highlight w:val="none"/>
              </w:rPr>
            </w:pPr>
          </w:p>
        </w:tc>
        <w:tc>
          <w:tcPr>
            <w:tcW w:w="2198"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tcPr>
          <w:p>
            <w:pPr>
              <w:spacing w:line="360" w:lineRule="exact"/>
              <w:jc w:val="center"/>
              <w:rPr>
                <w:rFonts w:ascii="仿宋" w:hAnsi="仿宋" w:eastAsia="仿宋" w:cs="仿宋_GB2312"/>
                <w:b/>
                <w:color w:val="auto"/>
                <w:sz w:val="28"/>
                <w:szCs w:val="28"/>
                <w:highlight w:val="none"/>
              </w:rPr>
            </w:pPr>
          </w:p>
        </w:tc>
        <w:tc>
          <w:tcPr>
            <w:tcW w:w="1613"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tcPr>
          <w:p>
            <w:pPr>
              <w:spacing w:line="360" w:lineRule="exact"/>
              <w:jc w:val="center"/>
              <w:rPr>
                <w:rFonts w:ascii="仿宋" w:hAnsi="仿宋" w:eastAsia="仿宋" w:cs="仿宋_GB2312"/>
                <w:b/>
                <w:color w:val="auto"/>
                <w:sz w:val="28"/>
                <w:szCs w:val="28"/>
                <w:highlight w:val="none"/>
              </w:rPr>
            </w:pPr>
          </w:p>
        </w:tc>
        <w:tc>
          <w:tcPr>
            <w:tcW w:w="1613"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tcPr>
          <w:p>
            <w:pPr>
              <w:jc w:val="center"/>
              <w:rPr>
                <w:rFonts w:ascii="仿宋" w:hAnsi="仿宋" w:eastAsia="仿宋" w:cs="仿宋_GB2312"/>
                <w:b/>
                <w:color w:val="auto"/>
                <w:sz w:val="28"/>
                <w:szCs w:val="28"/>
                <w:highlight w:val="none"/>
              </w:rPr>
            </w:pPr>
          </w:p>
        </w:tc>
        <w:tc>
          <w:tcPr>
            <w:tcW w:w="2198"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bl>
    <w:p>
      <w:pPr>
        <w:pStyle w:val="2"/>
        <w:rPr>
          <w:rFonts w:ascii="仿宋_GB2312" w:eastAsia="仿宋_GB2312" w:hAnsiTheme="minorEastAsia"/>
          <w:color w:val="auto"/>
          <w:sz w:val="28"/>
          <w:szCs w:val="28"/>
          <w:highlight w:val="none"/>
        </w:rPr>
      </w:pP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年  月  日</w:t>
      </w:r>
    </w:p>
    <w:p>
      <w:pPr>
        <w:pStyle w:val="2"/>
        <w:ind w:firstLine="0"/>
        <w:rPr>
          <w:color w:val="auto"/>
          <w:highlight w:val="none"/>
        </w:rPr>
      </w:pPr>
    </w:p>
    <w:p>
      <w:pPr>
        <w:pStyle w:val="2"/>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p>
      <w:pPr>
        <w:pStyle w:val="6"/>
        <w:rPr>
          <w:rFonts w:asciiTheme="minorEastAsia" w:hAnsiTheme="minorEastAsia" w:eastAsiaTheme="minorEastAsia"/>
          <w:color w:val="auto"/>
          <w:sz w:val="28"/>
          <w:szCs w:val="28"/>
          <w:highlight w:val="none"/>
        </w:rPr>
      </w:pPr>
      <w:bookmarkStart w:id="196" w:name="_Toc32430"/>
      <w:bookmarkStart w:id="197" w:name="_Toc19423"/>
      <w:r>
        <w:rPr>
          <w:rFonts w:hint="eastAsia" w:ascii="仿宋_GB2312" w:eastAsia="仿宋_GB2312" w:hAnsiTheme="minorEastAsia"/>
          <w:color w:val="auto"/>
          <w:sz w:val="28"/>
          <w:szCs w:val="28"/>
          <w:highlight w:val="none"/>
        </w:rPr>
        <w:t>5</w:t>
      </w:r>
      <w:r>
        <w:rPr>
          <w:rFonts w:hint="eastAsia" w:asciiTheme="minorEastAsia" w:hAnsiTheme="minorEastAsia" w:eastAsiaTheme="minorEastAsia"/>
          <w:color w:val="auto"/>
          <w:sz w:val="28"/>
          <w:szCs w:val="28"/>
          <w:highlight w:val="none"/>
        </w:rPr>
        <w:t>.报价表</w:t>
      </w:r>
      <w:bookmarkEnd w:id="196"/>
      <w:bookmarkEnd w:id="197"/>
    </w:p>
    <w:p>
      <w:pPr>
        <w:adjustRightInd w:val="0"/>
        <w:snapToGrid w:val="0"/>
        <w:spacing w:line="600" w:lineRule="exact"/>
        <w:ind w:firstLine="57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报价表</w:t>
      </w:r>
    </w:p>
    <w:tbl>
      <w:tblPr>
        <w:tblStyle w:val="25"/>
        <w:tblW w:w="957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05"/>
        <w:gridCol w:w="705"/>
        <w:gridCol w:w="1054"/>
        <w:gridCol w:w="992"/>
        <w:gridCol w:w="425"/>
        <w:gridCol w:w="567"/>
        <w:gridCol w:w="880"/>
        <w:gridCol w:w="566"/>
        <w:gridCol w:w="982"/>
        <w:gridCol w:w="844"/>
        <w:gridCol w:w="566"/>
        <w:gridCol w:w="982"/>
        <w:gridCol w:w="5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Merge w:val="restart"/>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序号</w:t>
            </w:r>
          </w:p>
        </w:tc>
        <w:tc>
          <w:tcPr>
            <w:tcW w:w="705" w:type="dxa"/>
            <w:vMerge w:val="restart"/>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名称</w:t>
            </w:r>
          </w:p>
        </w:tc>
        <w:tc>
          <w:tcPr>
            <w:tcW w:w="1054" w:type="dxa"/>
            <w:vMerge w:val="restart"/>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规格型号</w:t>
            </w:r>
          </w:p>
        </w:tc>
        <w:tc>
          <w:tcPr>
            <w:tcW w:w="992" w:type="dxa"/>
            <w:vMerge w:val="restart"/>
            <w:tcBorders>
              <w:righ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产地、品牌</w:t>
            </w:r>
          </w:p>
        </w:tc>
        <w:tc>
          <w:tcPr>
            <w:tcW w:w="425" w:type="dxa"/>
            <w:vMerge w:val="restart"/>
            <w:tcBorders>
              <w:righ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数量</w:t>
            </w:r>
          </w:p>
        </w:tc>
        <w:tc>
          <w:tcPr>
            <w:tcW w:w="567" w:type="dxa"/>
            <w:vMerge w:val="restart"/>
            <w:tcBorders>
              <w:lef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单位</w:t>
            </w:r>
          </w:p>
        </w:tc>
        <w:tc>
          <w:tcPr>
            <w:tcW w:w="2428" w:type="dxa"/>
            <w:gridSpan w:val="3"/>
            <w:tcBorders>
              <w:righ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单价</w:t>
            </w:r>
          </w:p>
        </w:tc>
        <w:tc>
          <w:tcPr>
            <w:tcW w:w="2392" w:type="dxa"/>
            <w:gridSpan w:val="3"/>
            <w:tcBorders>
              <w:left w:val="single" w:color="auto" w:sz="4" w:space="0"/>
              <w:righ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总价</w:t>
            </w:r>
          </w:p>
        </w:tc>
        <w:tc>
          <w:tcPr>
            <w:tcW w:w="510" w:type="dxa"/>
            <w:tcBorders>
              <w:lef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Merge w:val="continue"/>
          </w:tcPr>
          <w:p>
            <w:pPr>
              <w:adjustRightInd w:val="0"/>
              <w:snapToGrid w:val="0"/>
              <w:rPr>
                <w:rFonts w:ascii="仿宋_GB2312" w:eastAsia="仿宋_GB2312" w:hAnsiTheme="minorEastAsia"/>
                <w:color w:val="auto"/>
                <w:sz w:val="28"/>
                <w:szCs w:val="28"/>
                <w:highlight w:val="none"/>
              </w:rPr>
            </w:pPr>
          </w:p>
        </w:tc>
        <w:tc>
          <w:tcPr>
            <w:tcW w:w="705" w:type="dxa"/>
            <w:vMerge w:val="continue"/>
          </w:tcPr>
          <w:p>
            <w:pPr>
              <w:adjustRightInd w:val="0"/>
              <w:snapToGrid w:val="0"/>
              <w:rPr>
                <w:rFonts w:ascii="仿宋_GB2312" w:eastAsia="仿宋_GB2312" w:hAnsiTheme="minorEastAsia"/>
                <w:color w:val="auto"/>
                <w:sz w:val="28"/>
                <w:szCs w:val="28"/>
                <w:highlight w:val="none"/>
              </w:rPr>
            </w:pPr>
          </w:p>
        </w:tc>
        <w:tc>
          <w:tcPr>
            <w:tcW w:w="1054" w:type="dxa"/>
            <w:vMerge w:val="continue"/>
          </w:tcPr>
          <w:p>
            <w:pPr>
              <w:adjustRightInd w:val="0"/>
              <w:snapToGrid w:val="0"/>
              <w:rPr>
                <w:rFonts w:ascii="仿宋_GB2312" w:eastAsia="仿宋_GB2312" w:hAnsiTheme="minorEastAsia"/>
                <w:color w:val="auto"/>
                <w:sz w:val="28"/>
                <w:szCs w:val="28"/>
                <w:highlight w:val="none"/>
              </w:rPr>
            </w:pPr>
          </w:p>
        </w:tc>
        <w:tc>
          <w:tcPr>
            <w:tcW w:w="992" w:type="dxa"/>
            <w:vMerge w:val="continue"/>
            <w:tcBorders>
              <w:right w:val="single" w:color="auto" w:sz="4" w:space="0"/>
            </w:tcBorders>
          </w:tcPr>
          <w:p>
            <w:pPr>
              <w:adjustRightInd w:val="0"/>
              <w:snapToGrid w:val="0"/>
              <w:rPr>
                <w:rFonts w:ascii="仿宋_GB2312" w:eastAsia="仿宋_GB2312" w:hAnsiTheme="minorEastAsia"/>
                <w:color w:val="auto"/>
                <w:sz w:val="28"/>
                <w:szCs w:val="28"/>
                <w:highlight w:val="none"/>
              </w:rPr>
            </w:pPr>
          </w:p>
        </w:tc>
        <w:tc>
          <w:tcPr>
            <w:tcW w:w="425" w:type="dxa"/>
            <w:vMerge w:val="continue"/>
            <w:tcBorders>
              <w:right w:val="single" w:color="auto" w:sz="4" w:space="0"/>
            </w:tcBorders>
          </w:tcPr>
          <w:p>
            <w:pPr>
              <w:adjustRightInd w:val="0"/>
              <w:snapToGrid w:val="0"/>
              <w:rPr>
                <w:rFonts w:ascii="仿宋_GB2312" w:eastAsia="仿宋_GB2312" w:hAnsiTheme="minorEastAsia"/>
                <w:color w:val="auto"/>
                <w:sz w:val="28"/>
                <w:szCs w:val="28"/>
                <w:highlight w:val="none"/>
              </w:rPr>
            </w:pPr>
          </w:p>
        </w:tc>
        <w:tc>
          <w:tcPr>
            <w:tcW w:w="567" w:type="dxa"/>
            <w:vMerge w:val="continue"/>
            <w:tcBorders>
              <w:left w:val="single" w:color="auto" w:sz="4" w:space="0"/>
            </w:tcBorders>
          </w:tcPr>
          <w:p>
            <w:pPr>
              <w:adjustRightInd w:val="0"/>
              <w:snapToGrid w:val="0"/>
              <w:rPr>
                <w:rFonts w:ascii="仿宋_GB2312" w:eastAsia="仿宋_GB2312" w:hAnsiTheme="minorEastAsia"/>
                <w:color w:val="auto"/>
                <w:sz w:val="28"/>
                <w:szCs w:val="28"/>
                <w:highlight w:val="none"/>
              </w:rPr>
            </w:pPr>
          </w:p>
        </w:tc>
        <w:tc>
          <w:tcPr>
            <w:tcW w:w="880" w:type="dxa"/>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不含税金额</w:t>
            </w:r>
          </w:p>
        </w:tc>
        <w:tc>
          <w:tcPr>
            <w:tcW w:w="566" w:type="dxa"/>
            <w:tcBorders>
              <w:righ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税额</w:t>
            </w:r>
          </w:p>
        </w:tc>
        <w:tc>
          <w:tcPr>
            <w:tcW w:w="982" w:type="dxa"/>
            <w:tcBorders>
              <w:left w:val="single" w:color="auto" w:sz="4" w:space="0"/>
              <w:righ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价税合计</w:t>
            </w:r>
          </w:p>
        </w:tc>
        <w:tc>
          <w:tcPr>
            <w:tcW w:w="844" w:type="dxa"/>
            <w:tcBorders>
              <w:left w:val="single" w:color="auto" w:sz="4" w:space="0"/>
              <w:righ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不含税金额</w:t>
            </w:r>
          </w:p>
        </w:tc>
        <w:tc>
          <w:tcPr>
            <w:tcW w:w="566" w:type="dxa"/>
            <w:tcBorders>
              <w:lef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税额</w:t>
            </w:r>
          </w:p>
        </w:tc>
        <w:tc>
          <w:tcPr>
            <w:tcW w:w="982" w:type="dxa"/>
            <w:tcBorders>
              <w:righ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价税合计</w:t>
            </w:r>
          </w:p>
        </w:tc>
        <w:tc>
          <w:tcPr>
            <w:tcW w:w="510" w:type="dxa"/>
            <w:tcBorders>
              <w:left w:val="single" w:color="auto" w:sz="4" w:space="0"/>
            </w:tcBorders>
          </w:tcPr>
          <w:p>
            <w:pPr>
              <w:adjustRightInd w:val="0"/>
              <w:snapToGrid w:val="0"/>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Align w:val="center"/>
          </w:tcPr>
          <w:p>
            <w:pPr>
              <w:keepNext w:val="0"/>
              <w:keepLines w:val="0"/>
              <w:widowControl/>
              <w:suppressLineNumbers w:val="0"/>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sz w:val="24"/>
                <w:szCs w:val="24"/>
                <w:highlight w:val="none"/>
                <w:u w:val="none"/>
                <w:lang w:val="en-US" w:eastAsia="zh-CN"/>
              </w:rPr>
              <w:t>项目一</w:t>
            </w:r>
          </w:p>
        </w:tc>
        <w:tc>
          <w:tcPr>
            <w:tcW w:w="705" w:type="dxa"/>
            <w:vAlign w:val="center"/>
          </w:tcPr>
          <w:p>
            <w:pPr>
              <w:spacing w:line="360" w:lineRule="auto"/>
              <w:ind w:right="-57" w:rightChars="-27"/>
              <w:jc w:val="center"/>
              <w:rPr>
                <w:rFonts w:hint="default" w:ascii="仿宋_GB2312" w:hAnsi="Times New Roman" w:eastAsia="仿宋_GB2312" w:cs="Times New Roman"/>
                <w:color w:val="auto"/>
                <w:kern w:val="2"/>
                <w:sz w:val="24"/>
                <w:szCs w:val="28"/>
                <w:highlight w:val="none"/>
                <w:lang w:val="en-US" w:eastAsia="zh-CN" w:bidi="ar-SA"/>
              </w:rPr>
            </w:pPr>
            <w:r>
              <w:rPr>
                <w:rFonts w:hint="eastAsia" w:ascii="仿宋_GB2312" w:hAnsi="仿宋" w:eastAsia="仿宋_GB2312" w:cs="宋体"/>
                <w:color w:val="auto"/>
                <w:kern w:val="0"/>
                <w:sz w:val="24"/>
                <w:szCs w:val="28"/>
                <w:highlight w:val="none"/>
              </w:rPr>
              <w:t>止回阀</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567" w:type="dxa"/>
            <w:tcBorders>
              <w:lef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4</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tcPr>
          <w:p>
            <w:pPr>
              <w:adjustRightInd w:val="0"/>
              <w:snapToGrid w:val="0"/>
              <w:spacing w:line="600" w:lineRule="exact"/>
              <w:rPr>
                <w:rFonts w:ascii="仿宋_GB2312" w:eastAsia="仿宋_GB2312" w:hAnsiTheme="minorEastAsia"/>
                <w:color w:val="auto"/>
                <w:sz w:val="28"/>
                <w:szCs w:val="28"/>
                <w:highlight w:val="none"/>
              </w:rPr>
            </w:pPr>
          </w:p>
        </w:tc>
        <w:tc>
          <w:tcPr>
            <w:tcW w:w="70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电动蝶阀</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567" w:type="dxa"/>
            <w:tcBorders>
              <w:lef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4</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Align w:val="center"/>
          </w:tcPr>
          <w:p>
            <w:pPr>
              <w:keepNext w:val="0"/>
              <w:keepLines w:val="0"/>
              <w:widowControl/>
              <w:suppressLineNumbers w:val="0"/>
              <w:jc w:val="center"/>
              <w:textAlignment w:val="center"/>
              <w:rPr>
                <w:rFonts w:hint="default" w:ascii="宋体" w:hAnsi="宋体" w:cs="宋体" w:eastAsiaTheme="minorEastAsia"/>
                <w:i w:val="0"/>
                <w:color w:val="auto"/>
                <w:kern w:val="2"/>
                <w:sz w:val="24"/>
                <w:szCs w:val="24"/>
                <w:highlight w:val="none"/>
                <w:u w:val="none"/>
                <w:lang w:val="en-US" w:eastAsia="zh-CN" w:bidi="ar-SA"/>
              </w:rPr>
            </w:pPr>
            <w:r>
              <w:rPr>
                <w:rFonts w:hint="eastAsia" w:ascii="宋体" w:hAnsi="宋体" w:cs="宋体"/>
                <w:i w:val="0"/>
                <w:color w:val="auto"/>
                <w:sz w:val="24"/>
                <w:szCs w:val="24"/>
                <w:highlight w:val="none"/>
                <w:u w:val="none"/>
                <w:lang w:val="en-US" w:eastAsia="zh-CN"/>
              </w:rPr>
              <w:t>项目二</w:t>
            </w:r>
          </w:p>
        </w:tc>
        <w:tc>
          <w:tcPr>
            <w:tcW w:w="70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一期沉砂池电动阀门</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套</w:t>
            </w:r>
          </w:p>
        </w:tc>
        <w:tc>
          <w:tcPr>
            <w:tcW w:w="567" w:type="dxa"/>
            <w:tcBorders>
              <w:lef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3</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Align w:val="center"/>
          </w:tcPr>
          <w:p>
            <w:pPr>
              <w:keepNext w:val="0"/>
              <w:keepLines w:val="0"/>
              <w:widowControl/>
              <w:suppressLineNumbers w:val="0"/>
              <w:jc w:val="center"/>
              <w:textAlignment w:val="center"/>
              <w:rPr>
                <w:rFonts w:hint="default" w:ascii="宋体" w:hAnsi="宋体" w:cs="宋体" w:eastAsiaTheme="minorEastAsia"/>
                <w:i w:val="0"/>
                <w:color w:val="auto"/>
                <w:kern w:val="2"/>
                <w:sz w:val="24"/>
                <w:szCs w:val="24"/>
                <w:highlight w:val="none"/>
                <w:u w:val="none"/>
                <w:lang w:val="en-US" w:eastAsia="zh-CN" w:bidi="ar-SA"/>
              </w:rPr>
            </w:pPr>
            <w:r>
              <w:rPr>
                <w:rFonts w:hint="eastAsia" w:ascii="宋体" w:hAnsi="宋体" w:cs="宋体"/>
                <w:i w:val="0"/>
                <w:color w:val="auto"/>
                <w:sz w:val="24"/>
                <w:szCs w:val="24"/>
                <w:highlight w:val="none"/>
                <w:u w:val="none"/>
                <w:lang w:val="en-US" w:eastAsia="zh-CN"/>
              </w:rPr>
              <w:t>项目三</w:t>
            </w:r>
          </w:p>
        </w:tc>
        <w:tc>
          <w:tcPr>
            <w:tcW w:w="70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套</w:t>
            </w:r>
          </w:p>
        </w:tc>
        <w:tc>
          <w:tcPr>
            <w:tcW w:w="567" w:type="dxa"/>
            <w:tcBorders>
              <w:lef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4</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Align w:val="center"/>
          </w:tcPr>
          <w:p>
            <w:pPr>
              <w:keepNext w:val="0"/>
              <w:keepLines w:val="0"/>
              <w:widowControl/>
              <w:suppressLineNumbers w:val="0"/>
              <w:jc w:val="center"/>
              <w:textAlignment w:val="center"/>
              <w:rPr>
                <w:rFonts w:hint="default" w:ascii="宋体" w:hAnsi="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项目四</w:t>
            </w:r>
          </w:p>
        </w:tc>
        <w:tc>
          <w:tcPr>
            <w:tcW w:w="705" w:type="dxa"/>
            <w:vAlign w:val="center"/>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567" w:type="dxa"/>
            <w:tcBorders>
              <w:left w:val="single" w:color="auto" w:sz="4" w:space="0"/>
            </w:tcBorders>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76" w:type="dxa"/>
            <w:gridSpan w:val="9"/>
            <w:tcBorders>
              <w:right w:val="single" w:color="auto" w:sz="4" w:space="0"/>
            </w:tcBorders>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合计报价</w:t>
            </w: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spacing w:line="600" w:lineRule="exact"/>
        <w:rPr>
          <w:rFonts w:ascii="仿宋_GB2312" w:eastAsia="仿宋_GB2312" w:hAnsiTheme="minorEastAsia"/>
          <w:color w:val="auto"/>
          <w:sz w:val="28"/>
          <w:szCs w:val="28"/>
          <w:highlight w:val="none"/>
        </w:rPr>
      </w:pPr>
    </w:p>
    <w:p>
      <w:pPr>
        <w:pStyle w:val="32"/>
        <w:rPr>
          <w:rFonts w:ascii="仿宋" w:hAnsi="仿宋" w:eastAsia="仿宋" w:cs="仿宋_GB2312"/>
          <w:b/>
          <w:color w:val="auto"/>
          <w:sz w:val="28"/>
          <w:szCs w:val="28"/>
          <w:highlight w:val="none"/>
        </w:rPr>
      </w:pPr>
    </w:p>
    <w:p>
      <w:pPr>
        <w:adjustRightInd w:val="0"/>
        <w:snapToGrid w:val="0"/>
        <w:spacing w:line="300" w:lineRule="auto"/>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报价单位代表（签名或盖私章）：</w:t>
      </w:r>
      <w:r>
        <w:rPr>
          <w:rFonts w:hint="eastAsia" w:ascii="仿宋" w:hAnsi="仿宋" w:eastAsia="仿宋" w:cs="仿宋_GB2312"/>
          <w:color w:val="auto"/>
          <w:sz w:val="28"/>
          <w:szCs w:val="28"/>
          <w:highlight w:val="none"/>
          <w:u w:val="single"/>
        </w:rPr>
        <w:t xml:space="preserve">                   </w:t>
      </w:r>
    </w:p>
    <w:p>
      <w:pPr>
        <w:adjustRightInd w:val="0"/>
        <w:snapToGrid w:val="0"/>
        <w:spacing w:line="300" w:lineRule="auto"/>
        <w:rPr>
          <w:rFonts w:ascii="仿宋" w:hAnsi="仿宋" w:eastAsia="仿宋" w:cs="仿宋_GB2312"/>
          <w:color w:val="auto"/>
          <w:sz w:val="28"/>
          <w:szCs w:val="28"/>
          <w:highlight w:val="none"/>
          <w:u w:val="single"/>
        </w:rPr>
      </w:pPr>
      <w:r>
        <w:rPr>
          <w:rFonts w:hint="eastAsia" w:ascii="仿宋" w:hAnsi="仿宋" w:eastAsia="仿宋" w:cs="仿宋_GB2312"/>
          <w:color w:val="auto"/>
          <w:sz w:val="28"/>
          <w:szCs w:val="28"/>
          <w:highlight w:val="none"/>
        </w:rPr>
        <w:t>报价单位名称（盖单位公章）：</w:t>
      </w:r>
      <w:r>
        <w:rPr>
          <w:rFonts w:hint="eastAsia" w:ascii="仿宋" w:hAnsi="仿宋" w:eastAsia="仿宋" w:cs="仿宋_GB2312"/>
          <w:color w:val="auto"/>
          <w:sz w:val="28"/>
          <w:szCs w:val="28"/>
          <w:highlight w:val="none"/>
          <w:u w:val="single"/>
        </w:rPr>
        <w:t xml:space="preserve">                        </w:t>
      </w:r>
    </w:p>
    <w:p>
      <w:pPr>
        <w:pStyle w:val="11"/>
        <w:rPr>
          <w:rFonts w:ascii="仿宋" w:hAnsi="仿宋" w:eastAsia="仿宋" w:cs="仿宋_GB2312"/>
          <w:color w:val="auto"/>
          <w:szCs w:val="28"/>
          <w:highlight w:val="none"/>
        </w:rPr>
      </w:pPr>
      <w:r>
        <w:rPr>
          <w:rFonts w:hint="eastAsia" w:ascii="仿宋" w:hAnsi="仿宋" w:eastAsia="仿宋" w:cs="仿宋_GB2312"/>
          <w:color w:val="auto"/>
          <w:szCs w:val="28"/>
          <w:highlight w:val="none"/>
        </w:rPr>
        <w:t>日期：          年      月     日</w:t>
      </w:r>
    </w:p>
    <w:p>
      <w:pPr>
        <w:pStyle w:val="2"/>
        <w:rPr>
          <w:rFonts w:ascii="仿宋" w:hAnsi="仿宋" w:eastAsia="仿宋" w:cs="仿宋"/>
          <w:b/>
          <w:bCs/>
          <w:color w:val="auto"/>
          <w:sz w:val="28"/>
          <w:szCs w:val="36"/>
          <w:highlight w:val="none"/>
        </w:rPr>
      </w:pPr>
    </w:p>
    <w:p>
      <w:pPr>
        <w:pStyle w:val="2"/>
        <w:rPr>
          <w:rFonts w:ascii="仿宋" w:hAnsi="仿宋" w:eastAsia="仿宋" w:cs="仿宋"/>
          <w:b/>
          <w:bCs/>
          <w:color w:val="auto"/>
          <w:sz w:val="28"/>
          <w:szCs w:val="36"/>
          <w:highlight w:val="none"/>
        </w:rPr>
      </w:pPr>
    </w:p>
    <w:p>
      <w:pPr>
        <w:pStyle w:val="2"/>
        <w:rPr>
          <w:rFonts w:ascii="仿宋" w:hAnsi="仿宋" w:eastAsia="仿宋" w:cs="仿宋"/>
          <w:b/>
          <w:bCs/>
          <w:color w:val="auto"/>
          <w:sz w:val="28"/>
          <w:szCs w:val="36"/>
          <w:highlight w:val="none"/>
        </w:rPr>
      </w:pPr>
    </w:p>
    <w:p>
      <w:pPr>
        <w:pStyle w:val="2"/>
        <w:rPr>
          <w:rFonts w:ascii="仿宋" w:hAnsi="仿宋" w:eastAsia="仿宋" w:cs="仿宋"/>
          <w:b/>
          <w:bCs/>
          <w:color w:val="auto"/>
          <w:sz w:val="28"/>
          <w:szCs w:val="36"/>
          <w:highlight w:val="none"/>
        </w:rPr>
      </w:pPr>
    </w:p>
    <w:p>
      <w:pPr>
        <w:pStyle w:val="6"/>
        <w:rPr>
          <w:rFonts w:asciiTheme="majorEastAsia" w:hAnsiTheme="majorEastAsia" w:eastAsiaTheme="majorEastAsia"/>
          <w:color w:val="auto"/>
          <w:sz w:val="28"/>
          <w:szCs w:val="28"/>
          <w:highlight w:val="none"/>
        </w:rPr>
      </w:pPr>
      <w:bookmarkStart w:id="198" w:name="_Toc6058"/>
      <w:bookmarkStart w:id="199" w:name="_Toc16386"/>
      <w:bookmarkStart w:id="200" w:name="_Toc88209965"/>
      <w:bookmarkStart w:id="201" w:name="_Toc87616402"/>
      <w:r>
        <w:rPr>
          <w:rFonts w:hint="eastAsia" w:eastAsiaTheme="majorEastAsia"/>
          <w:color w:val="auto"/>
          <w:highlight w:val="none"/>
        </w:rPr>
        <w:t>6</w:t>
      </w:r>
      <w:r>
        <w:rPr>
          <w:rFonts w:hint="eastAsia" w:asciiTheme="majorEastAsia" w:hAnsiTheme="majorEastAsia" w:eastAsiaTheme="majorEastAsia"/>
          <w:color w:val="auto"/>
          <w:sz w:val="28"/>
          <w:szCs w:val="28"/>
          <w:highlight w:val="none"/>
        </w:rPr>
        <w:t>.其他资料</w:t>
      </w:r>
      <w:bookmarkEnd w:id="198"/>
      <w:bookmarkEnd w:id="199"/>
      <w:bookmarkEnd w:id="200"/>
      <w:bookmarkEnd w:id="201"/>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p>
      <w:pPr>
        <w:rPr>
          <w:color w:val="auto"/>
          <w:highlight w:val="none"/>
        </w:rPr>
      </w:pPr>
    </w:p>
    <w:p>
      <w:pPr>
        <w:rPr>
          <w:color w:val="auto"/>
          <w:highlight w:val="none"/>
        </w:rPr>
      </w:pPr>
    </w:p>
    <w:sectPr>
      <w:footerReference r:id="rId7" w:type="first"/>
      <w:footerReference r:id="rId6"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02260"/>
              <wp:effectExtent l="4445" t="0" r="4445" b="0"/>
              <wp:wrapNone/>
              <wp:docPr id="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14935" cy="302260"/>
                      </a:xfrm>
                      <a:prstGeom prst="rect">
                        <a:avLst/>
                      </a:prstGeom>
                      <a:noFill/>
                      <a:ln>
                        <a:noFill/>
                      </a:ln>
                    </wps:spPr>
                    <wps:txbx>
                      <w:txbxContent>
                        <w:p>
                          <w:pPr>
                            <w:pStyle w:val="18"/>
                          </w:pPr>
                        </w:p>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23.8pt;width:9.05pt;mso-position-horizontal:center;mso-position-horizontal-relative:margin;mso-wrap-style:none;z-index:251659264;mso-width-relative:page;mso-height-relative:page;" filled="f" stroked="f" coordsize="21600,21600" o:gfxdata="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7G5YnRAAAAAwEAAA8AAAAAAAAAAQAgAAAAIgAAAGRycy9kb3ducmV2LnhtbFBLAQIU&#10;ABQAAAAIAIdO4kDrskLz+gEAAAEEAAAOAAAAAAAAAAEAIAAAACABAABkcnMvZTJvRG9jLnhtbFBL&#10;BQYAAAAABgAGAFkBAACM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8420" cy="139700"/>
              <wp:effectExtent l="0" t="0" r="0" b="0"/>
              <wp:wrapNone/>
              <wp:docPr id="35" name="Text Box 3"/>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1pt;width:4.6pt;mso-position-horizontal:center;mso-position-horizontal-relative:margin;mso-wrap-style:none;z-index:251663360;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1u5d9AAAAACAQAADwAAAAAAAAABACAAAAAiAAAAZHJzL2Rvd25yZXYueG1sUEsBAhQA&#10;FAAAAAgAh07iQNJlfr/6AQAAAQQAAA4AAAAAAAAAAQAgAAAAHwEAAGRycy9lMm9Eb2MueG1sUEsF&#10;BgAAAAAGAAYAWQEAAIs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302260"/>
              <wp:effectExtent l="0" t="0" r="0" b="0"/>
              <wp:wrapNone/>
              <wp:docPr id="36" name="Text Box 4"/>
              <wp:cNvGraphicFramePr/>
              <a:graphic xmlns:a="http://schemas.openxmlformats.org/drawingml/2006/main">
                <a:graphicData uri="http://schemas.microsoft.com/office/word/2010/wordprocessingShape">
                  <wps:wsp>
                    <wps:cNvSpPr txBox="1">
                      <a:spLocks noChangeArrowheads="1"/>
                    </wps:cNvSpPr>
                    <wps:spPr bwMode="auto">
                      <a:xfrm>
                        <a:off x="0" y="0"/>
                        <a:ext cx="114935" cy="302260"/>
                      </a:xfrm>
                      <a:prstGeom prst="rect">
                        <a:avLst/>
                      </a:prstGeom>
                      <a:noFill/>
                      <a:ln>
                        <a:noFill/>
                      </a:ln>
                    </wps:spPr>
                    <wps:txbx>
                      <w:txbxContent>
                        <w:p>
                          <w:pPr>
                            <w:pStyle w:val="18"/>
                          </w:pPr>
                        </w:p>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23.8pt;width:9.05pt;mso-position-horizontal:center;mso-position-horizontal-relative:margin;mso-wrap-style:none;z-index:251661312;mso-width-relative:page;mso-height-relative:page;" filled="f" stroked="f" coordsize="21600,21600" o:gfxdata="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xuWJ0QAAAAMBAAAPAAAAAAAAAAEAIAAAACIAAABkcnMvZG93bnJldi54bWxQSwEC&#10;FAAUAAAACACHTuJA7thjIPsBAAACBAAADgAAAAAAAAABACAAAAAgAQAAZHJzL2Uyb0RvYy54bWxQ&#10;SwUGAAAAAAYABgBZAQAAjQU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8420" cy="139700"/>
              <wp:effectExtent l="0" t="0" r="0" b="0"/>
              <wp:wrapNone/>
              <wp:docPr id="37" name="Text Box 1"/>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1pt;width:4.6pt;mso-position-horizontal:center;mso-position-horizontal-relative:margin;mso-wrap-style:none;z-index:251666432;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1u5d9AAAAACAQAADwAAAAAAAAABACAAAAAiAAAAZHJzL2Rvd25yZXYueG1sUEsBAhQA&#10;FAAAAAgAh07iQBKS3T36AQAAAQQAAA4AAAAAAAAAAQAgAAAAHwEAAGRycy9lMm9Eb2MueG1sUEsF&#10;BgAAAAAGAAYAWQEAAIs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F403976A"/>
    <w:multiLevelType w:val="singleLevel"/>
    <w:tmpl w:val="F403976A"/>
    <w:lvl w:ilvl="0" w:tentative="0">
      <w:start w:val="1"/>
      <w:numFmt w:val="chineseCounting"/>
      <w:suff w:val="nothing"/>
      <w:lvlText w:val="%1、"/>
      <w:lvlJc w:val="left"/>
      <w:rPr>
        <w:rFonts w:hint="eastAsia"/>
      </w:rPr>
    </w:lvl>
  </w:abstractNum>
  <w:abstractNum w:abstractNumId="2">
    <w:nsid w:val="092B6031"/>
    <w:multiLevelType w:val="singleLevel"/>
    <w:tmpl w:val="092B6031"/>
    <w:lvl w:ilvl="0" w:tentative="0">
      <w:start w:val="5"/>
      <w:numFmt w:val="chineseCounting"/>
      <w:suff w:val="nothing"/>
      <w:lvlText w:val="%1、"/>
      <w:lvlJc w:val="left"/>
      <w:rPr>
        <w:rFonts w:hint="eastAsia"/>
      </w:rPr>
    </w:lvl>
  </w:abstractNum>
  <w:abstractNum w:abstractNumId="3">
    <w:nsid w:val="4734DCE6"/>
    <w:multiLevelType w:val="singleLevel"/>
    <w:tmpl w:val="4734DCE6"/>
    <w:lvl w:ilvl="0" w:tentative="0">
      <w:start w:val="1"/>
      <w:numFmt w:val="decimal"/>
      <w:lvlText w:val="%1."/>
      <w:lvlJc w:val="left"/>
      <w:pPr>
        <w:tabs>
          <w:tab w:val="left" w:pos="312"/>
        </w:tabs>
      </w:pPr>
    </w:lvl>
  </w:abstractNum>
  <w:abstractNum w:abstractNumId="4">
    <w:nsid w:val="705D32C3"/>
    <w:multiLevelType w:val="singleLevel"/>
    <w:tmpl w:val="705D32C3"/>
    <w:lvl w:ilvl="0" w:tentative="0">
      <w:start w:val="5"/>
      <w:numFmt w:val="decimal"/>
      <w:lvlText w:val="%1."/>
      <w:lvlJc w:val="left"/>
      <w:pPr>
        <w:tabs>
          <w:tab w:val="left" w:pos="312"/>
        </w:tabs>
      </w:pPr>
    </w:lvl>
  </w:abstractNum>
  <w:abstractNum w:abstractNumId="5">
    <w:nsid w:val="771C8F7B"/>
    <w:multiLevelType w:val="singleLevel"/>
    <w:tmpl w:val="771C8F7B"/>
    <w:lvl w:ilvl="0" w:tentative="0">
      <w:start w:val="4"/>
      <w:numFmt w:val="chineseCounting"/>
      <w:suff w:val="space"/>
      <w:lvlText w:val="第%1条"/>
      <w:lvlJc w:val="left"/>
      <w:rPr>
        <w:rFonts w:hint="eastAsia"/>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0A6406"/>
    <w:rsid w:val="001100FB"/>
    <w:rsid w:val="00183E9B"/>
    <w:rsid w:val="001B35D9"/>
    <w:rsid w:val="0022180C"/>
    <w:rsid w:val="00294531"/>
    <w:rsid w:val="003B02D7"/>
    <w:rsid w:val="003D4867"/>
    <w:rsid w:val="003D60BA"/>
    <w:rsid w:val="00411689"/>
    <w:rsid w:val="004707DA"/>
    <w:rsid w:val="00490B12"/>
    <w:rsid w:val="004A40A1"/>
    <w:rsid w:val="005015B5"/>
    <w:rsid w:val="005D618A"/>
    <w:rsid w:val="005D6FC8"/>
    <w:rsid w:val="00653919"/>
    <w:rsid w:val="0066221B"/>
    <w:rsid w:val="007011C0"/>
    <w:rsid w:val="0071061A"/>
    <w:rsid w:val="00764EC5"/>
    <w:rsid w:val="00765523"/>
    <w:rsid w:val="00767D3A"/>
    <w:rsid w:val="00786815"/>
    <w:rsid w:val="007A4042"/>
    <w:rsid w:val="00811753"/>
    <w:rsid w:val="00837685"/>
    <w:rsid w:val="00887AB0"/>
    <w:rsid w:val="008E4450"/>
    <w:rsid w:val="008E71D7"/>
    <w:rsid w:val="00905D21"/>
    <w:rsid w:val="00911ECD"/>
    <w:rsid w:val="009D0CC4"/>
    <w:rsid w:val="00A042E0"/>
    <w:rsid w:val="00AC5DF1"/>
    <w:rsid w:val="00AD031C"/>
    <w:rsid w:val="00AF4126"/>
    <w:rsid w:val="00B26BB1"/>
    <w:rsid w:val="00B26E21"/>
    <w:rsid w:val="00B34CDA"/>
    <w:rsid w:val="00C81C9E"/>
    <w:rsid w:val="00D720C8"/>
    <w:rsid w:val="00DF02DA"/>
    <w:rsid w:val="00E9691B"/>
    <w:rsid w:val="00EC1E96"/>
    <w:rsid w:val="00EC64AD"/>
    <w:rsid w:val="00ED1596"/>
    <w:rsid w:val="00F4104C"/>
    <w:rsid w:val="00F83B64"/>
    <w:rsid w:val="00FF5430"/>
    <w:rsid w:val="02090C75"/>
    <w:rsid w:val="02A23A3C"/>
    <w:rsid w:val="02B86948"/>
    <w:rsid w:val="03AC246A"/>
    <w:rsid w:val="03B23056"/>
    <w:rsid w:val="03DC3EBA"/>
    <w:rsid w:val="03F9794D"/>
    <w:rsid w:val="046A2461"/>
    <w:rsid w:val="065A53BA"/>
    <w:rsid w:val="0685597A"/>
    <w:rsid w:val="06C64829"/>
    <w:rsid w:val="077D16D2"/>
    <w:rsid w:val="08675FC8"/>
    <w:rsid w:val="08F46FC3"/>
    <w:rsid w:val="09B713FD"/>
    <w:rsid w:val="09EF6ACC"/>
    <w:rsid w:val="0A315056"/>
    <w:rsid w:val="0AFB45AD"/>
    <w:rsid w:val="0B351E9B"/>
    <w:rsid w:val="0B4C50D3"/>
    <w:rsid w:val="0B806B92"/>
    <w:rsid w:val="0B827E94"/>
    <w:rsid w:val="0BD070E1"/>
    <w:rsid w:val="0C247926"/>
    <w:rsid w:val="0D302A9E"/>
    <w:rsid w:val="0D794204"/>
    <w:rsid w:val="0E2125D1"/>
    <w:rsid w:val="0E214211"/>
    <w:rsid w:val="0E5F2769"/>
    <w:rsid w:val="0E920848"/>
    <w:rsid w:val="0EFF0A15"/>
    <w:rsid w:val="0F4D75A3"/>
    <w:rsid w:val="0F510E72"/>
    <w:rsid w:val="0F5B2DCA"/>
    <w:rsid w:val="0FED051E"/>
    <w:rsid w:val="0FEE4C29"/>
    <w:rsid w:val="10046082"/>
    <w:rsid w:val="106802DE"/>
    <w:rsid w:val="10765325"/>
    <w:rsid w:val="112B101A"/>
    <w:rsid w:val="119B53FC"/>
    <w:rsid w:val="11AE0BD5"/>
    <w:rsid w:val="12424CDC"/>
    <w:rsid w:val="129A2738"/>
    <w:rsid w:val="12B56BF1"/>
    <w:rsid w:val="12CB1A89"/>
    <w:rsid w:val="131840FB"/>
    <w:rsid w:val="13467417"/>
    <w:rsid w:val="136E76CF"/>
    <w:rsid w:val="14B10AE1"/>
    <w:rsid w:val="15BC6B3C"/>
    <w:rsid w:val="1694429A"/>
    <w:rsid w:val="17635326"/>
    <w:rsid w:val="17E525A4"/>
    <w:rsid w:val="18236EFD"/>
    <w:rsid w:val="189D5B1F"/>
    <w:rsid w:val="18A34CD0"/>
    <w:rsid w:val="197D0C1B"/>
    <w:rsid w:val="19B64DBC"/>
    <w:rsid w:val="1A14399F"/>
    <w:rsid w:val="1A373ACF"/>
    <w:rsid w:val="1A895341"/>
    <w:rsid w:val="1B0D071F"/>
    <w:rsid w:val="1B4568CE"/>
    <w:rsid w:val="1B4C0C41"/>
    <w:rsid w:val="1B9015B7"/>
    <w:rsid w:val="1C872CE0"/>
    <w:rsid w:val="1D2D0C9B"/>
    <w:rsid w:val="1D3D7931"/>
    <w:rsid w:val="1D5A79EE"/>
    <w:rsid w:val="1E0B16ED"/>
    <w:rsid w:val="1E0E2CD0"/>
    <w:rsid w:val="1E831280"/>
    <w:rsid w:val="1EBC4704"/>
    <w:rsid w:val="1F172EB5"/>
    <w:rsid w:val="1F94592D"/>
    <w:rsid w:val="1FB860DE"/>
    <w:rsid w:val="203C5A02"/>
    <w:rsid w:val="209D4C94"/>
    <w:rsid w:val="20E84705"/>
    <w:rsid w:val="218400BA"/>
    <w:rsid w:val="21AB1E2F"/>
    <w:rsid w:val="21D40498"/>
    <w:rsid w:val="225752A3"/>
    <w:rsid w:val="22767047"/>
    <w:rsid w:val="23A05588"/>
    <w:rsid w:val="23D82F6C"/>
    <w:rsid w:val="251713E9"/>
    <w:rsid w:val="25431AEB"/>
    <w:rsid w:val="25650D8D"/>
    <w:rsid w:val="25BF43FD"/>
    <w:rsid w:val="25F86BCD"/>
    <w:rsid w:val="2605748B"/>
    <w:rsid w:val="261105FB"/>
    <w:rsid w:val="269E416A"/>
    <w:rsid w:val="26B02FC7"/>
    <w:rsid w:val="272100D3"/>
    <w:rsid w:val="272C72FC"/>
    <w:rsid w:val="27923EBF"/>
    <w:rsid w:val="27EB149D"/>
    <w:rsid w:val="27FD3E52"/>
    <w:rsid w:val="28E11370"/>
    <w:rsid w:val="294A756A"/>
    <w:rsid w:val="29D5322D"/>
    <w:rsid w:val="2A025DD9"/>
    <w:rsid w:val="2A7C2231"/>
    <w:rsid w:val="2A8F679F"/>
    <w:rsid w:val="2ABB753D"/>
    <w:rsid w:val="2B0231B6"/>
    <w:rsid w:val="2B1574B4"/>
    <w:rsid w:val="2B7A49FA"/>
    <w:rsid w:val="2C136FFA"/>
    <w:rsid w:val="2C615D26"/>
    <w:rsid w:val="2CB679ED"/>
    <w:rsid w:val="2D173C07"/>
    <w:rsid w:val="2D424A86"/>
    <w:rsid w:val="2E6A25C9"/>
    <w:rsid w:val="2E7B52DB"/>
    <w:rsid w:val="2EC7093F"/>
    <w:rsid w:val="2F324CFE"/>
    <w:rsid w:val="2FBA09F1"/>
    <w:rsid w:val="2FEF2ACF"/>
    <w:rsid w:val="30540211"/>
    <w:rsid w:val="305C5857"/>
    <w:rsid w:val="312D7741"/>
    <w:rsid w:val="316F137F"/>
    <w:rsid w:val="3198371B"/>
    <w:rsid w:val="31DF525F"/>
    <w:rsid w:val="32324C2E"/>
    <w:rsid w:val="327171DF"/>
    <w:rsid w:val="341E3434"/>
    <w:rsid w:val="353F533B"/>
    <w:rsid w:val="35A252CE"/>
    <w:rsid w:val="360B7EBA"/>
    <w:rsid w:val="369C32FD"/>
    <w:rsid w:val="37666E72"/>
    <w:rsid w:val="38155281"/>
    <w:rsid w:val="38167A04"/>
    <w:rsid w:val="3922642F"/>
    <w:rsid w:val="394B167A"/>
    <w:rsid w:val="39B45610"/>
    <w:rsid w:val="39D76BC3"/>
    <w:rsid w:val="3A4E4336"/>
    <w:rsid w:val="3A6007FE"/>
    <w:rsid w:val="3AB14335"/>
    <w:rsid w:val="3B7C2CE4"/>
    <w:rsid w:val="3C0B5355"/>
    <w:rsid w:val="3C935564"/>
    <w:rsid w:val="3CD4176B"/>
    <w:rsid w:val="3CF208D9"/>
    <w:rsid w:val="3D1F44D9"/>
    <w:rsid w:val="3D5C38CD"/>
    <w:rsid w:val="3DA80295"/>
    <w:rsid w:val="3E5070F1"/>
    <w:rsid w:val="3E6163E7"/>
    <w:rsid w:val="3F6C3589"/>
    <w:rsid w:val="3F850180"/>
    <w:rsid w:val="3F9004D6"/>
    <w:rsid w:val="400E4D5E"/>
    <w:rsid w:val="40245BFB"/>
    <w:rsid w:val="40E1138C"/>
    <w:rsid w:val="413814BA"/>
    <w:rsid w:val="414B1D27"/>
    <w:rsid w:val="41872511"/>
    <w:rsid w:val="42466655"/>
    <w:rsid w:val="424B7EFB"/>
    <w:rsid w:val="42694B47"/>
    <w:rsid w:val="42C82F57"/>
    <w:rsid w:val="43C76AF7"/>
    <w:rsid w:val="441B1CE9"/>
    <w:rsid w:val="446828F0"/>
    <w:rsid w:val="45C13B4D"/>
    <w:rsid w:val="46054BCA"/>
    <w:rsid w:val="464C6AFC"/>
    <w:rsid w:val="468B0091"/>
    <w:rsid w:val="46A107C3"/>
    <w:rsid w:val="46B15CE2"/>
    <w:rsid w:val="46BE113D"/>
    <w:rsid w:val="46E44B13"/>
    <w:rsid w:val="46E56AF6"/>
    <w:rsid w:val="4703508A"/>
    <w:rsid w:val="475023F8"/>
    <w:rsid w:val="479D361E"/>
    <w:rsid w:val="47B74789"/>
    <w:rsid w:val="480F2B9D"/>
    <w:rsid w:val="48282920"/>
    <w:rsid w:val="485321E0"/>
    <w:rsid w:val="48546AD3"/>
    <w:rsid w:val="48574836"/>
    <w:rsid w:val="48CA4868"/>
    <w:rsid w:val="48EA3B26"/>
    <w:rsid w:val="48F005D3"/>
    <w:rsid w:val="498F4AF1"/>
    <w:rsid w:val="49C05787"/>
    <w:rsid w:val="49CF518D"/>
    <w:rsid w:val="4A705ADB"/>
    <w:rsid w:val="4ADA1F63"/>
    <w:rsid w:val="4AE23D89"/>
    <w:rsid w:val="4AE64EED"/>
    <w:rsid w:val="4AEC2FDE"/>
    <w:rsid w:val="4B2038D0"/>
    <w:rsid w:val="4B296E7D"/>
    <w:rsid w:val="4B877F28"/>
    <w:rsid w:val="4CC60794"/>
    <w:rsid w:val="4D2E044D"/>
    <w:rsid w:val="4D916BA6"/>
    <w:rsid w:val="4DC44169"/>
    <w:rsid w:val="4E460417"/>
    <w:rsid w:val="4EE44586"/>
    <w:rsid w:val="4EF0709E"/>
    <w:rsid w:val="4F2706FC"/>
    <w:rsid w:val="4F4546D1"/>
    <w:rsid w:val="5011784D"/>
    <w:rsid w:val="50590023"/>
    <w:rsid w:val="513C043B"/>
    <w:rsid w:val="513C6A7B"/>
    <w:rsid w:val="523D3563"/>
    <w:rsid w:val="5333545B"/>
    <w:rsid w:val="5450213C"/>
    <w:rsid w:val="5483348F"/>
    <w:rsid w:val="54D24048"/>
    <w:rsid w:val="54D64CD5"/>
    <w:rsid w:val="55887D69"/>
    <w:rsid w:val="561A0928"/>
    <w:rsid w:val="56423872"/>
    <w:rsid w:val="56B279F0"/>
    <w:rsid w:val="579D710E"/>
    <w:rsid w:val="581F22F6"/>
    <w:rsid w:val="586E1E17"/>
    <w:rsid w:val="58862C35"/>
    <w:rsid w:val="58C14957"/>
    <w:rsid w:val="5AE83A50"/>
    <w:rsid w:val="5B434E3D"/>
    <w:rsid w:val="5BAB2917"/>
    <w:rsid w:val="5BBF6B42"/>
    <w:rsid w:val="5BFC33FA"/>
    <w:rsid w:val="5C3107A4"/>
    <w:rsid w:val="5C3B1B93"/>
    <w:rsid w:val="5C66348F"/>
    <w:rsid w:val="5C9220DF"/>
    <w:rsid w:val="5D064202"/>
    <w:rsid w:val="5D4A15F3"/>
    <w:rsid w:val="5D69542A"/>
    <w:rsid w:val="5E0930EF"/>
    <w:rsid w:val="5E3D4D53"/>
    <w:rsid w:val="5E4717E6"/>
    <w:rsid w:val="5E55774C"/>
    <w:rsid w:val="60104DDC"/>
    <w:rsid w:val="605C0804"/>
    <w:rsid w:val="61841BCA"/>
    <w:rsid w:val="6189617B"/>
    <w:rsid w:val="61B52BB6"/>
    <w:rsid w:val="61B749C2"/>
    <w:rsid w:val="61F75188"/>
    <w:rsid w:val="62280D20"/>
    <w:rsid w:val="62CA2457"/>
    <w:rsid w:val="62D34608"/>
    <w:rsid w:val="638240A1"/>
    <w:rsid w:val="63A5257B"/>
    <w:rsid w:val="63BD3DCC"/>
    <w:rsid w:val="63C61741"/>
    <w:rsid w:val="64560967"/>
    <w:rsid w:val="656B1D10"/>
    <w:rsid w:val="66022B28"/>
    <w:rsid w:val="662F1AB4"/>
    <w:rsid w:val="66581E87"/>
    <w:rsid w:val="66FA11D5"/>
    <w:rsid w:val="674302C7"/>
    <w:rsid w:val="680A5986"/>
    <w:rsid w:val="680D5F4B"/>
    <w:rsid w:val="68113F51"/>
    <w:rsid w:val="68E94770"/>
    <w:rsid w:val="68F949C9"/>
    <w:rsid w:val="695A4290"/>
    <w:rsid w:val="6A334932"/>
    <w:rsid w:val="6A3353FF"/>
    <w:rsid w:val="6A5D63E6"/>
    <w:rsid w:val="6A5F24D1"/>
    <w:rsid w:val="6AE347EB"/>
    <w:rsid w:val="6B2A6550"/>
    <w:rsid w:val="6B434AF0"/>
    <w:rsid w:val="6B57675A"/>
    <w:rsid w:val="6BDD7B4D"/>
    <w:rsid w:val="6BFA291A"/>
    <w:rsid w:val="6E955406"/>
    <w:rsid w:val="6EBC0B3A"/>
    <w:rsid w:val="6EF51C7D"/>
    <w:rsid w:val="6F386916"/>
    <w:rsid w:val="6F752F80"/>
    <w:rsid w:val="6F8363E5"/>
    <w:rsid w:val="6FC746F5"/>
    <w:rsid w:val="70317AC6"/>
    <w:rsid w:val="70863262"/>
    <w:rsid w:val="70A76ED3"/>
    <w:rsid w:val="71860B17"/>
    <w:rsid w:val="720A7AF8"/>
    <w:rsid w:val="723B27CC"/>
    <w:rsid w:val="72687227"/>
    <w:rsid w:val="72A03FD9"/>
    <w:rsid w:val="72B96427"/>
    <w:rsid w:val="73406CFF"/>
    <w:rsid w:val="7383028C"/>
    <w:rsid w:val="73A25E44"/>
    <w:rsid w:val="741F68CF"/>
    <w:rsid w:val="747D01A7"/>
    <w:rsid w:val="75252DF3"/>
    <w:rsid w:val="75621536"/>
    <w:rsid w:val="75BF3154"/>
    <w:rsid w:val="76115521"/>
    <w:rsid w:val="764A07CF"/>
    <w:rsid w:val="764F6B3D"/>
    <w:rsid w:val="76CC6C50"/>
    <w:rsid w:val="76CD2B7B"/>
    <w:rsid w:val="76D80645"/>
    <w:rsid w:val="76E03371"/>
    <w:rsid w:val="780E5898"/>
    <w:rsid w:val="782642CC"/>
    <w:rsid w:val="788A56E7"/>
    <w:rsid w:val="7894095E"/>
    <w:rsid w:val="79000679"/>
    <w:rsid w:val="79376689"/>
    <w:rsid w:val="79A416F0"/>
    <w:rsid w:val="79B03EB6"/>
    <w:rsid w:val="7A7F4688"/>
    <w:rsid w:val="7ABC034E"/>
    <w:rsid w:val="7AF37579"/>
    <w:rsid w:val="7AF87F64"/>
    <w:rsid w:val="7B1C0C84"/>
    <w:rsid w:val="7B5A62DF"/>
    <w:rsid w:val="7B7A04A8"/>
    <w:rsid w:val="7C0C3F6D"/>
    <w:rsid w:val="7C22163C"/>
    <w:rsid w:val="7C595075"/>
    <w:rsid w:val="7C6B07B2"/>
    <w:rsid w:val="7D124E8E"/>
    <w:rsid w:val="7D133243"/>
    <w:rsid w:val="7E394207"/>
    <w:rsid w:val="7E4007A2"/>
    <w:rsid w:val="7E791CAD"/>
    <w:rsid w:val="7EA50DFB"/>
    <w:rsid w:val="7EC86878"/>
    <w:rsid w:val="7F067522"/>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5"/>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6"/>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7"/>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pPr>
    <w:rPr>
      <w:rFonts w:eastAsia="等线"/>
      <w:color w:val="000000"/>
      <w:szCs w:val="24"/>
    </w:rPr>
  </w:style>
  <w:style w:type="paragraph" w:styleId="3">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7">
    <w:name w:val="Normal Indent"/>
    <w:basedOn w:val="1"/>
    <w:link w:val="57"/>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5"/>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link w:val="56"/>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40"/>
    <w:semiHidden/>
    <w:unhideWhenUsed/>
    <w:qFormat/>
    <w:uiPriority w:val="99"/>
    <w:rPr>
      <w:sz w:val="18"/>
      <w:szCs w:val="18"/>
    </w:rPr>
  </w:style>
  <w:style w:type="paragraph" w:styleId="18">
    <w:name w:val="footer"/>
    <w:basedOn w:val="1"/>
    <w:link w:val="34"/>
    <w:unhideWhenUsed/>
    <w:qFormat/>
    <w:uiPriority w:val="99"/>
    <w:pPr>
      <w:tabs>
        <w:tab w:val="center" w:pos="4153"/>
        <w:tab w:val="right" w:pos="8306"/>
      </w:tabs>
      <w:snapToGrid w:val="0"/>
      <w:jc w:val="left"/>
    </w:pPr>
    <w:rPr>
      <w:sz w:val="18"/>
      <w:szCs w:val="18"/>
    </w:rPr>
  </w:style>
  <w:style w:type="paragraph" w:styleId="19">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w:basedOn w:val="10"/>
    <w:unhideWhenUsed/>
    <w:qFormat/>
    <w:uiPriority w:val="99"/>
    <w:pPr>
      <w:ind w:firstLine="420"/>
    </w:pPr>
  </w:style>
  <w:style w:type="table" w:styleId="25">
    <w:name w:val="Table Grid"/>
    <w:basedOn w:val="24"/>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basedOn w:val="26"/>
    <w:semiHidden/>
    <w:unhideWhenUsed/>
    <w:qFormat/>
    <w:uiPriority w:val="99"/>
    <w:rPr>
      <w:sz w:val="21"/>
      <w:szCs w:val="21"/>
    </w:rPr>
  </w:style>
  <w:style w:type="paragraph" w:customStyle="1" w:styleId="31">
    <w:name w:val="BodyText"/>
    <w:basedOn w:val="1"/>
    <w:next w:val="32"/>
    <w:qFormat/>
    <w:uiPriority w:val="0"/>
    <w:pPr>
      <w:textAlignment w:val="baseline"/>
    </w:pPr>
    <w:rPr>
      <w:rFonts w:ascii="Times New Roman" w:hAnsi="Times New Roman" w:eastAsia="宋体"/>
      <w:sz w:val="28"/>
    </w:rPr>
  </w:style>
  <w:style w:type="paragraph" w:customStyle="1" w:styleId="32">
    <w:name w:val="BodyText2"/>
    <w:basedOn w:val="1"/>
    <w:qFormat/>
    <w:uiPriority w:val="0"/>
    <w:pPr>
      <w:spacing w:after="120" w:line="480" w:lineRule="auto"/>
      <w:textAlignment w:val="baseline"/>
    </w:pPr>
  </w:style>
  <w:style w:type="character" w:customStyle="1" w:styleId="33">
    <w:name w:val="页眉 Char"/>
    <w:basedOn w:val="26"/>
    <w:link w:val="19"/>
    <w:qFormat/>
    <w:uiPriority w:val="99"/>
    <w:rPr>
      <w:sz w:val="18"/>
      <w:szCs w:val="18"/>
    </w:rPr>
  </w:style>
  <w:style w:type="character" w:customStyle="1" w:styleId="34">
    <w:name w:val="页脚 Char"/>
    <w:basedOn w:val="26"/>
    <w:link w:val="18"/>
    <w:qFormat/>
    <w:uiPriority w:val="99"/>
    <w:rPr>
      <w:sz w:val="18"/>
      <w:szCs w:val="18"/>
    </w:rPr>
  </w:style>
  <w:style w:type="character" w:customStyle="1" w:styleId="35">
    <w:name w:val="标题 1 Char"/>
    <w:basedOn w:val="26"/>
    <w:link w:val="4"/>
    <w:qFormat/>
    <w:uiPriority w:val="9"/>
    <w:rPr>
      <w:rFonts w:eastAsia="方正小标宋简体"/>
      <w:bCs/>
      <w:kern w:val="44"/>
      <w:sz w:val="44"/>
      <w:szCs w:val="44"/>
    </w:rPr>
  </w:style>
  <w:style w:type="character" w:customStyle="1" w:styleId="36">
    <w:name w:val="标题 2 Char"/>
    <w:basedOn w:val="26"/>
    <w:link w:val="5"/>
    <w:qFormat/>
    <w:uiPriority w:val="9"/>
    <w:rPr>
      <w:rFonts w:eastAsia="方正小标宋简体" w:asciiTheme="majorHAnsi" w:hAnsiTheme="majorHAnsi" w:cstheme="majorBidi"/>
      <w:bCs/>
      <w:sz w:val="36"/>
      <w:szCs w:val="32"/>
    </w:rPr>
  </w:style>
  <w:style w:type="character" w:customStyle="1" w:styleId="37">
    <w:name w:val="标题 3 Char"/>
    <w:basedOn w:val="26"/>
    <w:link w:val="6"/>
    <w:qFormat/>
    <w:uiPriority w:val="9"/>
    <w:rPr>
      <w:rFonts w:ascii="Calibri" w:hAnsi="Calibri" w:eastAsia="宋体" w:cs="Times New Roman"/>
      <w:b/>
      <w:bCs/>
      <w:sz w:val="32"/>
      <w:szCs w:val="32"/>
    </w:rPr>
  </w:style>
  <w:style w:type="paragraph" w:styleId="38">
    <w:name w:val="List Paragraph"/>
    <w:basedOn w:val="1"/>
    <w:link w:val="46"/>
    <w:qFormat/>
    <w:uiPriority w:val="34"/>
    <w:pPr>
      <w:ind w:firstLine="420" w:firstLineChars="200"/>
    </w:pPr>
  </w:style>
  <w:style w:type="paragraph" w:customStyle="1" w:styleId="39">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0">
    <w:name w:val="批注框文本 Char"/>
    <w:basedOn w:val="26"/>
    <w:link w:val="17"/>
    <w:semiHidden/>
    <w:qFormat/>
    <w:uiPriority w:val="99"/>
    <w:rPr>
      <w:sz w:val="18"/>
      <w:szCs w:val="18"/>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CM97"/>
    <w:basedOn w:val="14"/>
    <w:next w:val="14"/>
    <w:qFormat/>
    <w:uiPriority w:val="0"/>
    <w:pPr>
      <w:spacing w:after="373"/>
    </w:pPr>
    <w:rPr>
      <w:color w:val="auto"/>
    </w:rPr>
  </w:style>
  <w:style w:type="paragraph" w:customStyle="1" w:styleId="43">
    <w:name w:val="CM91"/>
    <w:basedOn w:val="14"/>
    <w:next w:val="14"/>
    <w:qFormat/>
    <w:uiPriority w:val="0"/>
    <w:pPr>
      <w:spacing w:after="160"/>
    </w:pPr>
    <w:rPr>
      <w:color w:val="auto"/>
    </w:rPr>
  </w:style>
  <w:style w:type="character" w:customStyle="1" w:styleId="44">
    <w:name w:val="正文文本 3 Char"/>
    <w:qFormat/>
    <w:uiPriority w:val="99"/>
    <w:rPr>
      <w:sz w:val="16"/>
      <w:szCs w:val="16"/>
    </w:rPr>
  </w:style>
  <w:style w:type="character" w:customStyle="1" w:styleId="45">
    <w:name w:val="正文文本 3 Char1"/>
    <w:basedOn w:val="26"/>
    <w:link w:val="9"/>
    <w:semiHidden/>
    <w:qFormat/>
    <w:uiPriority w:val="99"/>
    <w:rPr>
      <w:sz w:val="16"/>
      <w:szCs w:val="16"/>
    </w:rPr>
  </w:style>
  <w:style w:type="character" w:customStyle="1" w:styleId="46">
    <w:name w:val="列出段落 Char"/>
    <w:link w:val="38"/>
    <w:qFormat/>
    <w:uiPriority w:val="34"/>
  </w:style>
  <w:style w:type="paragraph" w:customStyle="1" w:styleId="47">
    <w:name w:val="1"/>
    <w:basedOn w:val="1"/>
    <w:next w:val="13"/>
    <w:qFormat/>
    <w:uiPriority w:val="99"/>
    <w:rPr>
      <w:rFonts w:ascii="宋体" w:hAnsi="Courier New"/>
    </w:rPr>
  </w:style>
  <w:style w:type="paragraph" w:customStyle="1" w:styleId="48">
    <w:name w:val="WPSOffice手动目录 1"/>
    <w:qFormat/>
    <w:uiPriority w:val="0"/>
    <w:rPr>
      <w:rFonts w:asciiTheme="minorHAnsi" w:hAnsiTheme="minorHAnsi" w:eastAsiaTheme="minorEastAsia" w:cstheme="minorBidi"/>
      <w:lang w:val="en-US" w:eastAsia="zh-CN" w:bidi="ar-SA"/>
    </w:rPr>
  </w:style>
  <w:style w:type="paragraph" w:customStyle="1" w:styleId="4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50">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2">
    <w:name w:val="font41"/>
    <w:basedOn w:val="26"/>
    <w:qFormat/>
    <w:uiPriority w:val="0"/>
    <w:rPr>
      <w:rFonts w:ascii="Arial" w:hAnsi="Arial" w:cs="Arial"/>
      <w:color w:val="000000"/>
      <w:sz w:val="28"/>
      <w:szCs w:val="28"/>
      <w:u w:val="none"/>
    </w:rPr>
  </w:style>
  <w:style w:type="character" w:customStyle="1" w:styleId="53">
    <w:name w:val="font61"/>
    <w:basedOn w:val="26"/>
    <w:qFormat/>
    <w:uiPriority w:val="0"/>
    <w:rPr>
      <w:rFonts w:hint="eastAsia" w:ascii="宋体" w:hAnsi="宋体" w:eastAsia="宋体" w:cs="宋体"/>
      <w:color w:val="000000"/>
      <w:sz w:val="28"/>
      <w:szCs w:val="28"/>
      <w:u w:val="none"/>
    </w:rPr>
  </w:style>
  <w:style w:type="paragraph" w:customStyle="1" w:styleId="54">
    <w:name w:val="样式 正文文字 + 首行缩进:  2 字符2"/>
    <w:basedOn w:val="1"/>
    <w:qFormat/>
    <w:uiPriority w:val="0"/>
    <w:pPr>
      <w:spacing w:line="480" w:lineRule="atLeast"/>
      <w:ind w:firstLine="560" w:firstLineChars="200"/>
    </w:pPr>
    <w:rPr>
      <w:rFonts w:cs="宋体"/>
      <w:szCs w:val="20"/>
    </w:rPr>
  </w:style>
  <w:style w:type="paragraph" w:customStyle="1" w:styleId="55">
    <w:name w:val="文一"/>
    <w:basedOn w:val="1"/>
    <w:qFormat/>
    <w:uiPriority w:val="0"/>
    <w:pPr>
      <w:topLinePunct/>
      <w:adjustRightInd w:val="0"/>
      <w:snapToGrid w:val="0"/>
      <w:spacing w:line="360" w:lineRule="auto"/>
      <w:ind w:firstLine="200" w:firstLineChars="200"/>
    </w:pPr>
    <w:rPr>
      <w:snapToGrid w:val="0"/>
      <w:spacing w:val="4"/>
      <w:kern w:val="0"/>
      <w:sz w:val="24"/>
    </w:rPr>
  </w:style>
  <w:style w:type="character" w:customStyle="1" w:styleId="56">
    <w:name w:val="纯文本 Char"/>
    <w:basedOn w:val="26"/>
    <w:link w:val="13"/>
    <w:qFormat/>
    <w:uiPriority w:val="0"/>
    <w:rPr>
      <w:rFonts w:ascii="宋体" w:hAnsi="Courier New" w:eastAsiaTheme="minorEastAsia" w:cstheme="minorBidi"/>
      <w:kern w:val="2"/>
      <w:sz w:val="21"/>
      <w:szCs w:val="21"/>
    </w:rPr>
  </w:style>
  <w:style w:type="character" w:customStyle="1" w:styleId="57">
    <w:name w:val="正文缩进 Char"/>
    <w:basedOn w:val="26"/>
    <w:link w:val="7"/>
    <w:qFormat/>
    <w:uiPriority w:val="0"/>
    <w:rPr>
      <w:rFonts w:eastAsia="微软雅黑" w:cs="Tahoma"/>
      <w:sz w:val="22"/>
    </w:rPr>
  </w:style>
  <w:style w:type="character" w:customStyle="1" w:styleId="58">
    <w:name w:val="font31"/>
    <w:basedOn w:val="26"/>
    <w:qFormat/>
    <w:uiPriority w:val="0"/>
    <w:rPr>
      <w:rFonts w:hint="eastAsia" w:ascii="仿宋" w:hAnsi="仿宋" w:eastAsia="仿宋" w:cs="仿宋"/>
      <w:color w:val="000000"/>
      <w:sz w:val="24"/>
      <w:szCs w:val="24"/>
      <w:u w:val="none"/>
    </w:rPr>
  </w:style>
  <w:style w:type="character" w:customStyle="1" w:styleId="59">
    <w:name w:val="font11"/>
    <w:basedOn w:val="26"/>
    <w:qFormat/>
    <w:uiPriority w:val="0"/>
    <w:rPr>
      <w:rFonts w:hint="eastAsia" w:ascii="仿宋" w:hAnsi="仿宋" w:eastAsia="仿宋" w:cs="仿宋"/>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26848</Words>
  <Characters>28271</Characters>
  <Lines>169</Lines>
  <Paragraphs>47</Paragraphs>
  <TotalTime>8</TotalTime>
  <ScaleCrop>false</ScaleCrop>
  <LinksUpToDate>false</LinksUpToDate>
  <CharactersWithSpaces>30631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2022-08-23T03:12:00Z</dcterms:created>
  <dc:creator>陈义春</dc:creator>
  <cp:lastModifiedBy>刘琳</cp:lastModifiedBy>
  <cp:lastPrinted>2022-09-22T02:05:00Z</cp:lastPrinted>
  <dcterms:modified xsi:type="dcterms:W3CDTF">2022-10-09T08:07:21Z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4AEE6A2809DC4D59BB16AF65A418CC3A</vt:lpwstr>
  </property>
</Properties>
</file>