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color w:val="auto"/>
          <w:highlight w:val="none"/>
        </w:rPr>
      </w:pPr>
    </w:p>
    <w:p>
      <w:pPr>
        <w:rPr>
          <w:color w:val="auto"/>
          <w:highlight w:val="none"/>
        </w:rPr>
      </w:pPr>
    </w:p>
    <w:p>
      <w:pPr>
        <w:jc w:val="center"/>
        <w:rPr>
          <w:rFonts w:hint="eastAsia"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广州市净水有限公司2022年实验室</w:t>
      </w:r>
    </w:p>
    <w:p>
      <w:pPr>
        <w:jc w:val="center"/>
        <w:rPr>
          <w:rFonts w:hint="eastAsia"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化验仪器及辅助设备采购项目</w:t>
      </w: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黑体" w:hAnsi="黑体" w:eastAsia="黑体"/>
          <w:color w:val="auto"/>
          <w:sz w:val="32"/>
          <w:szCs w:val="32"/>
          <w:highlight w:val="none"/>
        </w:rPr>
      </w:pPr>
      <w:r>
        <w:rPr>
          <w:rFonts w:hint="eastAsia" w:ascii="黑体" w:hAnsi="黑体" w:eastAsia="黑体" w:cs="仿宋_GB2312"/>
          <w:color w:val="auto"/>
          <w:sz w:val="32"/>
          <w:szCs w:val="32"/>
          <w:highlight w:val="none"/>
        </w:rPr>
        <w:t>广州市净水有限公司</w:t>
      </w:r>
    </w:p>
    <w:p>
      <w:pPr>
        <w:jc w:val="center"/>
        <w:rPr>
          <w:rFonts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九</w:t>
      </w:r>
      <w:r>
        <w:rPr>
          <w:rFonts w:hint="eastAsia" w:ascii="黑体" w:hAnsi="黑体" w:eastAsia="黑体" w:cs="仿宋_GB2312"/>
          <w:color w:val="auto"/>
          <w:sz w:val="32"/>
          <w:szCs w:val="32"/>
          <w:highlight w:val="none"/>
        </w:rPr>
        <w:t>月</w:t>
      </w:r>
    </w:p>
    <w:p>
      <w:pPr>
        <w:rPr>
          <w:color w:val="auto"/>
          <w:highlight w:val="none"/>
        </w:rPr>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pPr>
    </w:p>
    <w:p>
      <w:pPr>
        <w:pStyle w:val="2"/>
        <w:rPr>
          <w:color w:val="auto"/>
          <w:highlight w:val="none"/>
        </w:rPr>
      </w:pPr>
    </w:p>
    <w:p>
      <w:pPr>
        <w:pStyle w:val="35"/>
        <w:adjustRightInd w:val="0"/>
        <w:snapToGrid w:val="0"/>
        <w:spacing w:before="0" w:line="600" w:lineRule="exact"/>
        <w:jc w:val="center"/>
        <w:rPr>
          <w:rFonts w:ascii="方正小标宋简体" w:eastAsia="方正小标宋简体"/>
          <w:b/>
          <w:color w:val="auto"/>
          <w:sz w:val="44"/>
          <w:szCs w:val="44"/>
          <w:highlight w:val="none"/>
        </w:rPr>
      </w:pPr>
      <w:r>
        <w:rPr>
          <w:rFonts w:hint="eastAsia" w:ascii="方正小标宋简体" w:eastAsia="方正小标宋简体"/>
          <w:b/>
          <w:color w:val="auto"/>
          <w:sz w:val="44"/>
          <w:szCs w:val="44"/>
          <w:highlight w:val="none"/>
        </w:rPr>
        <w:t>目录</w:t>
      </w:r>
    </w:p>
    <w:p>
      <w:pPr>
        <w:rPr>
          <w:rFonts w:asciiTheme="minorEastAsia" w:hAnsiTheme="minorEastAsia"/>
          <w:color w:val="auto"/>
          <w:sz w:val="24"/>
          <w:szCs w:val="24"/>
          <w:highlight w:val="none"/>
        </w:rPr>
      </w:pPr>
    </w:p>
    <w:p>
      <w:pPr>
        <w:pStyle w:val="18"/>
        <w:numPr>
          <w:ilvl w:val="0"/>
          <w:numId w:val="1"/>
        </w:numPr>
        <w:tabs>
          <w:tab w:val="right" w:pos="8844"/>
        </w:tabs>
        <w:rPr>
          <w:color w:val="auto"/>
          <w:highlight w:val="none"/>
        </w:rPr>
      </w:pPr>
      <w:r>
        <w:rPr>
          <w:rFonts w:hint="eastAsia"/>
          <w:color w:val="auto"/>
          <w:highlight w:val="none"/>
        </w:rPr>
        <w:t>采购公告（采购邀请书）</w:t>
      </w:r>
    </w:p>
    <w:p>
      <w:pPr>
        <w:pStyle w:val="18"/>
        <w:numPr>
          <w:ilvl w:val="0"/>
          <w:numId w:val="1"/>
        </w:numPr>
        <w:tabs>
          <w:tab w:val="right" w:pos="8844"/>
        </w:tabs>
        <w:rPr>
          <w:color w:val="auto"/>
          <w:highlight w:val="none"/>
        </w:rPr>
      </w:pPr>
      <w:r>
        <w:rPr>
          <w:rFonts w:hint="eastAsia"/>
          <w:color w:val="auto"/>
          <w:highlight w:val="none"/>
        </w:rPr>
        <w:t>供应商须知</w:t>
      </w:r>
    </w:p>
    <w:p>
      <w:pPr>
        <w:pStyle w:val="18"/>
        <w:numPr>
          <w:ilvl w:val="0"/>
          <w:numId w:val="1"/>
        </w:numPr>
        <w:tabs>
          <w:tab w:val="right" w:pos="8844"/>
        </w:tabs>
        <w:rPr>
          <w:color w:val="auto"/>
          <w:highlight w:val="none"/>
        </w:rPr>
      </w:pPr>
      <w:r>
        <w:rPr>
          <w:rFonts w:hint="eastAsia"/>
          <w:color w:val="auto"/>
          <w:highlight w:val="none"/>
        </w:rPr>
        <w:t>采购方法</w:t>
      </w:r>
    </w:p>
    <w:p>
      <w:pPr>
        <w:pStyle w:val="18"/>
        <w:numPr>
          <w:ilvl w:val="0"/>
          <w:numId w:val="1"/>
        </w:numPr>
        <w:tabs>
          <w:tab w:val="right" w:pos="8844"/>
        </w:tabs>
        <w:rPr>
          <w:color w:val="auto"/>
          <w:highlight w:val="none"/>
        </w:rPr>
      </w:pPr>
      <w:r>
        <w:rPr>
          <w:rFonts w:hint="eastAsia"/>
          <w:color w:val="auto"/>
          <w:highlight w:val="none"/>
        </w:rPr>
        <w:t>评审方法</w:t>
      </w:r>
    </w:p>
    <w:p>
      <w:pPr>
        <w:pStyle w:val="18"/>
        <w:numPr>
          <w:ilvl w:val="0"/>
          <w:numId w:val="1"/>
        </w:numPr>
        <w:tabs>
          <w:tab w:val="right" w:pos="8844"/>
        </w:tabs>
        <w:rPr>
          <w:color w:val="auto"/>
          <w:highlight w:val="none"/>
        </w:rPr>
      </w:pPr>
      <w:r>
        <w:rPr>
          <w:rFonts w:hint="eastAsia"/>
          <w:color w:val="auto"/>
          <w:highlight w:val="none"/>
        </w:rPr>
        <w:t>采购需求</w:t>
      </w:r>
    </w:p>
    <w:p>
      <w:pPr>
        <w:pStyle w:val="18"/>
        <w:numPr>
          <w:ilvl w:val="0"/>
          <w:numId w:val="1"/>
        </w:numPr>
        <w:tabs>
          <w:tab w:val="right" w:pos="8844"/>
        </w:tabs>
        <w:rPr>
          <w:color w:val="auto"/>
          <w:highlight w:val="none"/>
        </w:rPr>
      </w:pPr>
      <w:r>
        <w:rPr>
          <w:rFonts w:hint="eastAsia"/>
          <w:color w:val="auto"/>
          <w:highlight w:val="none"/>
        </w:rPr>
        <w:t>合同草案</w:t>
      </w:r>
    </w:p>
    <w:p>
      <w:pPr>
        <w:pStyle w:val="18"/>
        <w:numPr>
          <w:ilvl w:val="0"/>
          <w:numId w:val="1"/>
        </w:numPr>
        <w:tabs>
          <w:tab w:val="right" w:pos="8844"/>
        </w:tabs>
        <w:rPr>
          <w:color w:val="auto"/>
          <w:highlight w:val="none"/>
        </w:rPr>
      </w:pPr>
      <w:r>
        <w:rPr>
          <w:rFonts w:hint="eastAsia"/>
          <w:color w:val="auto"/>
          <w:highlight w:val="none"/>
        </w:rPr>
        <w:t>响应文件格式要求</w:t>
      </w:r>
    </w:p>
    <w:p>
      <w:pPr>
        <w:pStyle w:val="2"/>
        <w:rPr>
          <w:color w:val="auto"/>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0" w:name="_Toc18145"/>
      <w:bookmarkStart w:id="1" w:name="_Toc26148"/>
    </w:p>
    <w:p>
      <w:pPr>
        <w:rPr>
          <w:color w:val="auto"/>
          <w:highlight w:val="none"/>
        </w:rPr>
      </w:pPr>
    </w:p>
    <w:p>
      <w:pPr>
        <w:pStyle w:val="4"/>
        <w:rPr>
          <w:color w:val="auto"/>
          <w:highlight w:val="none"/>
        </w:rPr>
      </w:pPr>
      <w:bookmarkStart w:id="2" w:name="_Toc17696"/>
      <w:bookmarkStart w:id="3" w:name="_Toc1711"/>
    </w:p>
    <w:p>
      <w:pPr>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rPr>
          <w:color w:val="auto"/>
          <w:highlight w:val="none"/>
        </w:rPr>
      </w:pPr>
      <w:bookmarkStart w:id="4" w:name="_Toc7519"/>
      <w:bookmarkStart w:id="5" w:name="_Toc19609"/>
      <w:bookmarkStart w:id="6" w:name="_Toc31938"/>
      <w:bookmarkStart w:id="7" w:name="_Toc11322"/>
      <w:bookmarkStart w:id="8" w:name="_Toc17801"/>
      <w:bookmarkStart w:id="9" w:name="_Toc4275"/>
      <w:bookmarkStart w:id="10" w:name="_Toc1669"/>
    </w:p>
    <w:p>
      <w:pPr>
        <w:pStyle w:val="4"/>
        <w:rPr>
          <w:color w:val="auto"/>
          <w:highlight w:val="none"/>
        </w:rPr>
      </w:pPr>
    </w:p>
    <w:p>
      <w:pPr>
        <w:pStyle w:val="4"/>
        <w:rPr>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1552;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7"/>
        <w:rPr>
          <w:color w:val="auto"/>
          <w:highlight w:val="none"/>
        </w:rPr>
      </w:pPr>
    </w:p>
    <w:p>
      <w:pPr>
        <w:pStyle w:val="4"/>
        <w:rPr>
          <w:color w:val="auto"/>
          <w:highlight w:val="none"/>
        </w:rPr>
      </w:pPr>
      <w:r>
        <w:rPr>
          <w:rFonts w:hint="eastAsia"/>
          <w:color w:val="auto"/>
          <w:highlight w:val="none"/>
        </w:rPr>
        <w:t>采购公告（采购邀请书）</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156" w:beforeLines="50" w:after="156"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color w:val="auto"/>
          <w:highlight w:val="none"/>
        </w:rPr>
      </w:pPr>
      <w:bookmarkStart w:id="11" w:name="_Toc21373"/>
      <w:bookmarkStart w:id="12" w:name="_Toc9680"/>
      <w:r>
        <w:rPr>
          <w:rFonts w:hint="eastAsia"/>
          <w:color w:val="auto"/>
          <w:highlight w:val="none"/>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bookmarkStart w:id="13" w:name="_Hlk108013665"/>
      <w:r>
        <w:rPr>
          <w:rFonts w:hint="eastAsia" w:ascii="仿宋_GB2312" w:eastAsia="仿宋_GB2312"/>
          <w:color w:val="auto"/>
          <w:sz w:val="28"/>
          <w:szCs w:val="28"/>
          <w:highlight w:val="none"/>
          <w:u w:val="single"/>
        </w:rPr>
        <w:t>广州市净水有限公司2022年实验室化验仪器及辅助设备</w:t>
      </w:r>
      <w:bookmarkEnd w:id="13"/>
      <w:r>
        <w:rPr>
          <w:rFonts w:hint="eastAsia" w:ascii="仿宋_GB2312" w:eastAsia="仿宋_GB2312"/>
          <w:color w:val="auto"/>
          <w:sz w:val="28"/>
          <w:szCs w:val="28"/>
          <w:highlight w:val="none"/>
          <w:u w:val="single"/>
        </w:rPr>
        <w:t>采购项目</w:t>
      </w:r>
      <w:r>
        <w:rPr>
          <w:rFonts w:hint="eastAsia" w:ascii="仿宋_GB2312" w:eastAsia="仿宋_GB2312"/>
          <w:color w:val="auto"/>
          <w:sz w:val="28"/>
          <w:szCs w:val="28"/>
          <w:highlight w:val="none"/>
        </w:rPr>
        <w:t xml:space="preserve">已具备采购条件，现邀请合格单位参加本□施工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货物 □服务项目采购活动，采用</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rPr>
        <w:t xml:space="preserve">邀请询比 </w:t>
      </w:r>
      <w:r>
        <w:rPr>
          <w:rFonts w:hint="eastAsia" w:ascii="仿宋_GB2312" w:eastAsia="仿宋_GB2312"/>
          <w:color w:val="auto"/>
          <w:sz w:val="28"/>
          <w:szCs w:val="28"/>
          <w:highlight w:val="none"/>
          <w:u w:val="single"/>
        </w:rPr>
        <w:sym w:font="Wingdings 2" w:char="0052"/>
      </w:r>
      <w:r>
        <w:rPr>
          <w:rFonts w:hint="eastAsia" w:ascii="仿宋_GB2312" w:eastAsia="仿宋_GB2312"/>
          <w:color w:val="auto"/>
          <w:sz w:val="28"/>
          <w:szCs w:val="28"/>
          <w:highlight w:val="none"/>
          <w:u w:val="single"/>
        </w:rPr>
        <w:t>公开询比</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广州市净水有限公司2022年实验室化验仪器及辅助设备采购项目</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XJ-20220930-2</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1.3资金来源：</w:t>
      </w:r>
      <w:r>
        <w:rPr>
          <w:rFonts w:hint="eastAsia" w:ascii="仿宋_GB2312" w:eastAsia="仿宋_GB2312"/>
          <w:color w:val="auto"/>
          <w:sz w:val="28"/>
          <w:szCs w:val="28"/>
          <w:highlight w:val="none"/>
          <w:u w:val="single"/>
        </w:rPr>
        <w:t>自有资金</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1.4最高限价（元）：</w:t>
      </w:r>
      <w:r>
        <w:rPr>
          <w:rFonts w:hint="eastAsia" w:ascii="仿宋_GB2312" w:eastAsia="仿宋_GB2312"/>
          <w:color w:val="auto"/>
          <w:sz w:val="28"/>
          <w:szCs w:val="28"/>
          <w:highlight w:val="none"/>
          <w:u w:val="single"/>
          <w:lang w:val="en-US" w:eastAsia="zh-CN"/>
        </w:rPr>
        <w:t>395</w:t>
      </w:r>
      <w:r>
        <w:rPr>
          <w:rFonts w:hint="eastAsia" w:ascii="仿宋_GB2312" w:eastAsia="仿宋_GB2312"/>
          <w:color w:val="auto"/>
          <w:sz w:val="28"/>
          <w:szCs w:val="28"/>
          <w:highlight w:val="none"/>
          <w:u w:val="single"/>
        </w:rPr>
        <w:t>,</w:t>
      </w:r>
      <w:r>
        <w:rPr>
          <w:rFonts w:hint="eastAsia" w:ascii="仿宋_GB2312" w:eastAsia="仿宋_GB2312"/>
          <w:color w:val="auto"/>
          <w:sz w:val="28"/>
          <w:szCs w:val="28"/>
          <w:highlight w:val="none"/>
          <w:u w:val="single"/>
          <w:lang w:val="en-US" w:eastAsia="zh-CN"/>
        </w:rPr>
        <w:t>174</w:t>
      </w:r>
      <w:r>
        <w:rPr>
          <w:rFonts w:hint="eastAsia" w:ascii="仿宋_GB2312" w:eastAsia="仿宋_GB2312"/>
          <w:color w:val="auto"/>
          <w:sz w:val="28"/>
          <w:szCs w:val="28"/>
          <w:highlight w:val="none"/>
          <w:u w:val="single"/>
        </w:rPr>
        <w:t>.4</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元（人民币）</w:t>
      </w: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1.5标段划分：</w:t>
      </w:r>
      <w:r>
        <w:rPr>
          <w:rFonts w:hint="eastAsia" w:ascii="仿宋_GB2312" w:eastAsia="仿宋_GB2312"/>
          <w:color w:val="auto"/>
          <w:sz w:val="28"/>
          <w:szCs w:val="28"/>
          <w:highlight w:val="none"/>
          <w:u w:val="single"/>
        </w:rPr>
        <w:t>无</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项目拟定采购紫外可见分光光度计、高压灭菌锅、全自动微生物过滤系统</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rPr>
        <w:t>溶解氧测定仪</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生化培养箱</w:t>
      </w:r>
      <w:r>
        <w:rPr>
          <w:rFonts w:hint="eastAsia" w:ascii="仿宋_GB2312" w:eastAsia="仿宋_GB2312"/>
          <w:color w:val="auto"/>
          <w:sz w:val="28"/>
          <w:szCs w:val="28"/>
          <w:highlight w:val="none"/>
          <w:u w:val="single"/>
        </w:rPr>
        <w:t>等化验仪器及辅助设备。</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交货期  □服务期为</w:t>
      </w:r>
      <w:r>
        <w:rPr>
          <w:rFonts w:hint="eastAsia" w:ascii="仿宋_GB2312" w:eastAsia="仿宋_GB2312"/>
          <w:color w:val="auto"/>
          <w:sz w:val="28"/>
          <w:szCs w:val="28"/>
          <w:highlight w:val="none"/>
          <w:u w:val="single"/>
        </w:rPr>
        <w:t xml:space="preserve">   国产仪器45 个工作日，进口仪器60 个工作日。</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交货地点  □服务地点位于</w:t>
      </w:r>
      <w:r>
        <w:rPr>
          <w:rFonts w:hint="eastAsia" w:ascii="仿宋_GB2312" w:eastAsia="仿宋_GB2312"/>
          <w:color w:val="auto"/>
          <w:sz w:val="28"/>
          <w:szCs w:val="28"/>
          <w:highlight w:val="none"/>
          <w:u w:val="single"/>
        </w:rPr>
        <w:t>广州市净水有限公司猎德分公司、龙归分公司、竹料分公司</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江高分公司</w:t>
      </w:r>
      <w:r>
        <w:rPr>
          <w:rFonts w:hint="eastAsia" w:ascii="仿宋_GB2312" w:eastAsia="仿宋_GB2312"/>
          <w:color w:val="auto"/>
          <w:sz w:val="28"/>
          <w:szCs w:val="28"/>
          <w:highlight w:val="none"/>
          <w:u w:val="single"/>
        </w:rPr>
        <w:t>。</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货物质量标准或主要技术性能指标  □服务质量要求或服务标准如下：</w:t>
      </w:r>
      <w:r>
        <w:rPr>
          <w:rFonts w:hint="eastAsia" w:ascii="仿宋_GB2312" w:eastAsia="仿宋_GB2312"/>
          <w:color w:val="auto"/>
          <w:sz w:val="28"/>
          <w:szCs w:val="28"/>
          <w:highlight w:val="none"/>
          <w:u w:val="single"/>
        </w:rPr>
        <w:t xml:space="preserve"> 所提供报价仪器/设备均为制造商全新原装产品，且符合本项目仪器设备的技术参数及功能要求。</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3.供应商资格要求（须提供复印件并加盖单位公章）</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（2）供应商应当具备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资质。</w:t>
      </w:r>
    </w:p>
    <w:p>
      <w:pPr>
        <w:adjustRightInd w:val="0"/>
        <w:snapToGrid w:val="0"/>
        <w:spacing w:line="600" w:lineRule="exact"/>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（3）</w:t>
      </w:r>
      <w:r>
        <w:rPr>
          <w:rFonts w:hint="eastAsia" w:ascii="仿宋_GB2312" w:eastAsia="仿宋_GB2312"/>
          <w:color w:val="auto"/>
          <w:sz w:val="28"/>
          <w:szCs w:val="28"/>
          <w:highlight w:val="none"/>
          <w:u w:val="none"/>
        </w:rPr>
        <w:t>2019</w:t>
      </w:r>
      <w:r>
        <w:rPr>
          <w:rFonts w:hint="eastAsia" w:ascii="仿宋_GB2312" w:eastAsia="仿宋_GB2312"/>
          <w:color w:val="auto"/>
          <w:sz w:val="28"/>
          <w:szCs w:val="28"/>
          <w:highlight w:val="none"/>
          <w:u w:val="none"/>
        </w:rPr>
        <w:t>年1月1日至今，供应商最少具有一项合同金额不少于</w:t>
      </w:r>
      <w:r>
        <w:rPr>
          <w:rFonts w:hint="eastAsia" w:ascii="仿宋_GB2312" w:eastAsia="仿宋_GB2312"/>
          <w:color w:val="auto"/>
          <w:sz w:val="28"/>
          <w:szCs w:val="28"/>
          <w:highlight w:val="none"/>
          <w:u w:val="none"/>
          <w:lang w:val="en-US" w:eastAsia="zh-CN"/>
        </w:rPr>
        <w:t>25</w:t>
      </w:r>
      <w:r>
        <w:rPr>
          <w:rFonts w:hint="eastAsia" w:ascii="仿宋_GB2312" w:eastAsia="仿宋_GB2312"/>
          <w:color w:val="auto"/>
          <w:sz w:val="28"/>
          <w:szCs w:val="28"/>
          <w:highlight w:val="none"/>
          <w:u w:val="none"/>
        </w:rPr>
        <w:t>万元的</w:t>
      </w:r>
      <w:r>
        <w:rPr>
          <w:rFonts w:hint="eastAsia" w:ascii="仿宋_GB2312" w:eastAsia="仿宋_GB2312"/>
          <w:color w:val="auto"/>
          <w:sz w:val="28"/>
          <w:szCs w:val="28"/>
          <w:highlight w:val="none"/>
          <w:u w:val="none"/>
        </w:rPr>
        <w:t xml:space="preserve">化验仪器设备供货 </w:t>
      </w:r>
      <w:r>
        <w:rPr>
          <w:rFonts w:hint="eastAsia" w:ascii="仿宋_GB2312" w:eastAsia="仿宋_GB2312"/>
          <w:color w:val="auto"/>
          <w:sz w:val="28"/>
          <w:szCs w:val="28"/>
          <w:highlight w:val="none"/>
          <w:u w:val="none"/>
        </w:rPr>
        <w:t>项目的业绩。（提供合同复印件证明，包括但不限于项目名称、金额及实施内容、合同盖章、签订日期，加盖单位公章）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sym w:font="Wingdings 2" w:char="00A3"/>
      </w:r>
      <w:r>
        <w:rPr>
          <w:rFonts w:hint="eastAsia" w:ascii="仿宋_GB2312" w:eastAsia="仿宋_GB2312"/>
          <w:color w:val="auto"/>
          <w:sz w:val="28"/>
          <w:szCs w:val="28"/>
          <w:highlight w:val="none"/>
          <w:u w:val="none"/>
        </w:rPr>
        <w:t>（4）项目负责人应当具备</w:t>
      </w:r>
      <w:r>
        <w:rPr>
          <w:rFonts w:hint="eastAsia" w:ascii="仿宋_GB2312" w:eastAsia="仿宋_GB2312"/>
          <w:color w:val="auto"/>
          <w:sz w:val="28"/>
          <w:szCs w:val="28"/>
          <w:highlight w:val="none"/>
          <w:u w:val="none"/>
        </w:rPr>
        <w:t xml:space="preserve">                               </w:t>
      </w:r>
      <w:r>
        <w:rPr>
          <w:rFonts w:hint="eastAsia" w:ascii="仿宋_GB2312" w:eastAsia="仿宋_GB2312"/>
          <w:color w:val="auto"/>
          <w:sz w:val="28"/>
          <w:szCs w:val="28"/>
          <w:highlight w:val="none"/>
          <w:u w:val="none"/>
        </w:rPr>
        <w:t>资格条件。</w:t>
      </w:r>
    </w:p>
    <w:p>
      <w:pPr>
        <w:pStyle w:val="2"/>
        <w:spacing w:line="600" w:lineRule="exact"/>
        <w:ind w:firstLine="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none"/>
        </w:rPr>
        <w:sym w:font="Wingdings 2" w:char="0052"/>
      </w:r>
      <w:r>
        <w:rPr>
          <w:rFonts w:hint="eastAsia" w:ascii="仿宋_GB2312" w:eastAsia="仿宋_GB2312"/>
          <w:color w:val="auto"/>
          <w:sz w:val="28"/>
          <w:szCs w:val="28"/>
          <w:highlight w:val="none"/>
          <w:u w:val="none"/>
        </w:rPr>
        <w:t>（5）</w:t>
      </w:r>
      <w:r>
        <w:rPr>
          <w:rFonts w:hint="eastAsia" w:ascii="仿宋" w:hAnsi="仿宋" w:eastAsia="仿宋" w:cs="仿宋"/>
          <w:color w:val="auto"/>
          <w:sz w:val="28"/>
          <w:szCs w:val="28"/>
          <w:highlight w:val="none"/>
          <w:u w:val="none"/>
        </w:rPr>
        <w:t>其他要求：</w:t>
      </w:r>
      <w:r>
        <w:rPr>
          <w:rFonts w:hint="eastAsia" w:ascii="仿宋" w:hAnsi="仿宋" w:eastAsia="仿宋" w:cs="仿宋"/>
          <w:color w:val="auto"/>
          <w:sz w:val="28"/>
          <w:szCs w:val="28"/>
          <w:highlight w:val="none"/>
          <w:u w:val="none"/>
        </w:rPr>
        <w:t>供应商须出具承诺函，承诺所提供报价货物/设备均为制造商全新原装产品。</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3.2供应商在响应文件提交截止日期止不得存在下列情形之一（须出具承诺函）：</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（8）被最高人民法院在</w:t>
      </w:r>
      <w:r>
        <w:rPr>
          <w:rFonts w:ascii="仿宋_GB2312" w:eastAsia="仿宋_GB2312"/>
          <w:color w:val="auto"/>
          <w:sz w:val="28"/>
          <w:szCs w:val="28"/>
          <w:highlight w:val="none"/>
        </w:rPr>
        <w:t>“</w:t>
      </w:r>
      <w:r>
        <w:rPr>
          <w:rFonts w:hint="eastAsia" w:ascii="仿宋_GB2312" w:eastAsia="仿宋_GB2312"/>
          <w:color w:val="auto"/>
          <w:sz w:val="28"/>
          <w:szCs w:val="28"/>
          <w:highlight w:val="none"/>
        </w:rPr>
        <w:t>信用中国</w:t>
      </w:r>
      <w:r>
        <w:rPr>
          <w:rFonts w:ascii="仿宋_GB2312" w:eastAsia="仿宋_GB2312"/>
          <w:color w:val="auto"/>
          <w:sz w:val="28"/>
          <w:szCs w:val="28"/>
          <w:highlight w:val="none"/>
        </w:rPr>
        <w:t>”</w:t>
      </w:r>
      <w:r>
        <w:rPr>
          <w:rFonts w:hint="eastAsia" w:ascii="仿宋_GB2312" w:eastAsia="仿宋_GB2312"/>
          <w:color w:val="auto"/>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踏勘现场</w:t>
      </w:r>
    </w:p>
    <w:p>
      <w:pPr>
        <w:adjustRightInd w:val="0"/>
        <w:snapToGrid w:val="0"/>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360" w:lineRule="auto"/>
        <w:rPr>
          <w:rFonts w:ascii="仿宋_GB2312" w:hAnsi="仿宋" w:eastAsia="仿宋_GB2312" w:cs="仿宋_GB2312"/>
          <w:color w:val="auto"/>
          <w:sz w:val="28"/>
          <w:szCs w:val="28"/>
          <w:highlight w:val="none"/>
          <w:lang w:val="zh-CN"/>
        </w:rPr>
      </w:pPr>
      <w:r>
        <w:rPr>
          <w:rFonts w:hint="eastAsia" w:ascii="仿宋_GB2312" w:eastAsia="仿宋_GB2312"/>
          <w:color w:val="auto"/>
          <w:sz w:val="28"/>
          <w:szCs w:val="28"/>
          <w:highlight w:val="none"/>
        </w:rPr>
        <w:t>□组织：</w:t>
      </w:r>
      <w:r>
        <w:rPr>
          <w:rFonts w:hint="eastAsia" w:ascii="仿宋_GB2312" w:hAnsi="仿宋" w:eastAsia="仿宋_GB2312" w:cs="仿宋_GB2312"/>
          <w:color w:val="auto"/>
          <w:sz w:val="28"/>
          <w:szCs w:val="28"/>
          <w:highlight w:val="none"/>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rPr>
        <w:t>若前往现场踏勘须在规定时间内到达集中地点，逾期不再接待</w:t>
      </w:r>
      <w:r>
        <w:rPr>
          <w:rFonts w:hint="eastAsia" w:ascii="仿宋_GB2312" w:hAnsi="仿宋" w:eastAsia="仿宋_GB2312" w:cs="仿宋_GB2312"/>
          <w:color w:val="auto"/>
          <w:sz w:val="28"/>
          <w:szCs w:val="28"/>
          <w:highlight w:val="none"/>
          <w:lang w:val="zh-CN"/>
        </w:rPr>
        <w:t>。</w:t>
      </w:r>
    </w:p>
    <w:p>
      <w:pPr>
        <w:adjustRightInd w:val="0"/>
        <w:snapToGrid w:val="0"/>
        <w:spacing w:line="360" w:lineRule="auto"/>
        <w:ind w:firstLine="560" w:firstLineChars="200"/>
        <w:jc w:val="left"/>
        <w:rPr>
          <w:rFonts w:asciiTheme="minorEastAsia" w:hAnsiTheme="minorEastAsia"/>
          <w:b/>
          <w:color w:val="auto"/>
          <w:sz w:val="32"/>
          <w:szCs w:val="32"/>
          <w:highlight w:val="none"/>
        </w:rPr>
      </w:pPr>
      <w:r>
        <w:rPr>
          <w:rFonts w:hint="eastAsia" w:ascii="仿宋_GB2312" w:hAnsi="仿宋" w:eastAsia="仿宋_GB2312" w:cs="仿宋_GB2312"/>
          <w:color w:val="auto"/>
          <w:sz w:val="28"/>
          <w:szCs w:val="28"/>
          <w:highlight w:val="none"/>
          <w:lang w:val="zh-CN"/>
        </w:rPr>
        <w:t>防疫要求：基于疫情防控形势，授权委托人须通过“广州净水公司”微信公众号当天（提前）预约，填写访客预约信息。</w:t>
      </w:r>
      <w:r>
        <w:rPr>
          <w:rFonts w:hint="eastAsia" w:ascii="仿宋_GB2312" w:eastAsia="仿宋_GB2312"/>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6.1递交响应文件截止时间：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分前（北京时间）。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6.2递交及快递地址：广州市天河区临江大道501号</w:t>
      </w:r>
      <w:r>
        <w:rPr>
          <w:rFonts w:hint="eastAsia" w:ascii="仿宋_GB2312" w:eastAsia="仿宋_GB2312"/>
          <w:color w:val="auto"/>
          <w:sz w:val="28"/>
          <w:szCs w:val="28"/>
          <w:highlight w:val="none"/>
          <w:u w:val="single"/>
        </w:rPr>
        <w:t>广州市净水有限公司6楼招标部</w:t>
      </w:r>
      <w:r>
        <w:rPr>
          <w:rFonts w:hint="eastAsia" w:ascii="仿宋_GB2312" w:eastAsia="仿宋_GB2312"/>
          <w:color w:val="auto"/>
          <w:sz w:val="28"/>
          <w:szCs w:val="28"/>
          <w:highlight w:val="none"/>
        </w:rPr>
        <w:t>。</w:t>
      </w:r>
    </w:p>
    <w:p>
      <w:pPr>
        <w:pStyle w:val="2"/>
        <w:ind w:firstLine="560" w:firstLineChars="200"/>
        <w:rPr>
          <w:rFonts w:eastAsia="仿宋_GB2312"/>
          <w:color w:val="auto"/>
          <w:highlight w:val="none"/>
        </w:rPr>
      </w:pPr>
      <w:r>
        <w:rPr>
          <w:rFonts w:hint="eastAsia" w:ascii="仿宋_GB2312" w:eastAsia="仿宋_GB2312"/>
          <w:color w:val="auto"/>
          <w:sz w:val="28"/>
          <w:szCs w:val="28"/>
          <w:highlight w:val="none"/>
        </w:rPr>
        <w:t>防疫要求：</w:t>
      </w:r>
      <w:r>
        <w:rPr>
          <w:rFonts w:hint="eastAsia" w:ascii="仿宋_GB2312" w:eastAsia="仿宋_GB2312"/>
          <w:color w:val="auto"/>
          <w:sz w:val="28"/>
          <w:szCs w:val="28"/>
          <w:highlight w:val="none"/>
          <w:lang w:val="en-US" w:eastAsia="zh-CN"/>
        </w:rPr>
        <w:t>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7.其他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本项目采购公告（采购邀请书）、公告补充及修改同步在广州净水公司门户网站及阳光平台上发布。</w:t>
      </w:r>
      <w:r>
        <w:rPr>
          <w:rFonts w:hint="eastAsia" w:ascii="仿宋_GB2312" w:hAnsi="Calibri" w:eastAsia="仿宋_GB2312" w:cs="Times New Roman"/>
          <w:color w:val="auto"/>
          <w:sz w:val="28"/>
          <w:szCs w:val="28"/>
          <w:highlight w:val="none"/>
        </w:rPr>
        <w:t>本公告在各媒体发布的文本如有不同之处，以广州净水公司门户网站为准。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9.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1</w:t>
            </w:r>
          </w:p>
        </w:tc>
        <w:tc>
          <w:tcPr>
            <w:tcW w:w="3402"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2021年11月18至2023年</w:t>
            </w:r>
            <w:r>
              <w:rPr>
                <w:rFonts w:hint="eastAsia" w:ascii="宋体" w:hAnsi="宋体" w:cs="宋体"/>
                <w:color w:val="auto"/>
                <w:sz w:val="24"/>
                <w:highlight w:val="none"/>
              </w:rPr>
              <w:t>5</w:t>
            </w:r>
            <w:r>
              <w:rPr>
                <w:rFonts w:hint="eastAsia" w:ascii="宋体" w:hAnsi="宋体" w:eastAsia="宋体" w:cs="宋体"/>
                <w:color w:val="auto"/>
                <w:sz w:val="24"/>
                <w:highlight w:val="none"/>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2</w:t>
            </w:r>
          </w:p>
        </w:tc>
        <w:tc>
          <w:tcPr>
            <w:tcW w:w="3402"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2021年11月18至20</w:t>
            </w:r>
            <w:r>
              <w:rPr>
                <w:rFonts w:hint="eastAsia" w:ascii="宋体" w:hAnsi="宋体" w:cs="宋体"/>
                <w:color w:val="auto"/>
                <w:sz w:val="24"/>
                <w:highlight w:val="none"/>
              </w:rPr>
              <w:t>23</w:t>
            </w:r>
            <w:r>
              <w:rPr>
                <w:rFonts w:hint="eastAsia" w:ascii="宋体" w:hAnsi="宋体" w:eastAsia="宋体" w:cs="宋体"/>
                <w:color w:val="auto"/>
                <w:sz w:val="24"/>
                <w:highlight w:val="none"/>
              </w:rPr>
              <w:t>年</w:t>
            </w:r>
            <w:r>
              <w:rPr>
                <w:rFonts w:hint="eastAsia" w:ascii="宋体" w:hAnsi="宋体" w:cs="宋体"/>
                <w:color w:val="auto"/>
                <w:sz w:val="24"/>
                <w:highlight w:val="none"/>
              </w:rPr>
              <w:t>5</w:t>
            </w:r>
            <w:r>
              <w:rPr>
                <w:rFonts w:hint="eastAsia" w:ascii="宋体" w:hAnsi="宋体" w:eastAsia="宋体" w:cs="宋体"/>
                <w:color w:val="auto"/>
                <w:sz w:val="24"/>
                <w:highlight w:val="none"/>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eastAsia="宋体" w:cs="宋体"/>
                <w:color w:val="auto"/>
                <w:sz w:val="24"/>
                <w:highlight w:val="none"/>
              </w:rPr>
            </w:pPr>
            <w:r>
              <w:rPr>
                <w:rFonts w:hint="eastAsia" w:ascii="宋体" w:hAnsi="宋体" w:cs="宋体"/>
                <w:color w:val="auto"/>
                <w:sz w:val="24"/>
                <w:highlight w:val="none"/>
              </w:rPr>
              <w:t>3</w:t>
            </w:r>
          </w:p>
        </w:tc>
        <w:tc>
          <w:tcPr>
            <w:tcW w:w="3402" w:type="dxa"/>
            <w:vAlign w:val="center"/>
          </w:tcPr>
          <w:p>
            <w:pPr>
              <w:jc w:val="center"/>
              <w:rPr>
                <w:rFonts w:ascii="宋体" w:hAnsi="宋体" w:eastAsia="宋体" w:cs="宋体"/>
                <w:color w:val="auto"/>
                <w:sz w:val="24"/>
                <w:highlight w:val="none"/>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202</w:t>
            </w:r>
            <w:r>
              <w:rPr>
                <w:rFonts w:hint="eastAsia" w:ascii="宋体" w:hAnsi="宋体" w:cs="宋体"/>
                <w:color w:val="auto"/>
                <w:sz w:val="24"/>
                <w:highlight w:val="none"/>
              </w:rPr>
              <w:t>2</w:t>
            </w:r>
            <w:r>
              <w:rPr>
                <w:rFonts w:hint="eastAsia" w:ascii="宋体" w:hAnsi="宋体" w:eastAsia="宋体" w:cs="宋体"/>
                <w:color w:val="auto"/>
                <w:sz w:val="24"/>
                <w:highlight w:val="none"/>
              </w:rPr>
              <w:t>年1月</w:t>
            </w:r>
            <w:r>
              <w:rPr>
                <w:rFonts w:hint="eastAsia" w:ascii="宋体" w:hAnsi="宋体" w:cs="宋体"/>
                <w:color w:val="auto"/>
                <w:sz w:val="24"/>
                <w:highlight w:val="none"/>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rPr>
              <w:t>12</w:t>
            </w:r>
            <w:r>
              <w:rPr>
                <w:rFonts w:hint="eastAsia" w:ascii="宋体" w:hAnsi="宋体" w:eastAsia="宋体" w:cs="宋体"/>
                <w:color w:val="auto"/>
                <w:sz w:val="24"/>
                <w:highlight w:val="none"/>
              </w:rPr>
              <w:t>月</w:t>
            </w:r>
            <w:r>
              <w:rPr>
                <w:rFonts w:hint="eastAsia" w:ascii="宋体" w:hAnsi="宋体" w:cs="宋体"/>
                <w:color w:val="auto"/>
                <w:sz w:val="24"/>
                <w:highlight w:val="none"/>
              </w:rPr>
              <w:t>31</w:t>
            </w:r>
            <w:r>
              <w:rPr>
                <w:rFonts w:hint="eastAsia" w:ascii="宋体" w:hAnsi="宋体" w:eastAsia="宋体" w:cs="宋体"/>
                <w:color w:val="auto"/>
                <w:sz w:val="24"/>
                <w:highlight w:val="none"/>
              </w:rPr>
              <w:t>日</w:t>
            </w:r>
          </w:p>
        </w:tc>
      </w:tr>
    </w:tbl>
    <w:p>
      <w:pPr>
        <w:adjustRightInd w:val="0"/>
        <w:snapToGrid w:val="0"/>
        <w:spacing w:before="156" w:beforeLines="50" w:after="156" w:afterLines="50" w:line="600" w:lineRule="exact"/>
        <w:jc w:val="left"/>
        <w:rPr>
          <w:rFonts w:hint="eastAsia" w:asciiTheme="minorEastAsia" w:hAnsiTheme="minorEastAsia"/>
          <w:b/>
          <w:color w:val="auto"/>
          <w:sz w:val="32"/>
          <w:szCs w:val="32"/>
          <w:highlight w:val="none"/>
        </w:rPr>
      </w:pPr>
    </w:p>
    <w:p>
      <w:pPr>
        <w:adjustRightInd w:val="0"/>
        <w:snapToGrid w:val="0"/>
        <w:spacing w:before="156" w:beforeLines="50" w:after="156" w:afterLines="50" w:line="600" w:lineRule="exact"/>
        <w:jc w:val="left"/>
        <w:rPr>
          <w:rFonts w:hint="eastAsia" w:asciiTheme="minorEastAsia" w:hAnsiTheme="minorEastAsia"/>
          <w:b/>
          <w:color w:val="auto"/>
          <w:sz w:val="32"/>
          <w:szCs w:val="32"/>
          <w:highlight w:val="none"/>
        </w:rPr>
      </w:pPr>
    </w:p>
    <w:p>
      <w:pPr>
        <w:adjustRightInd w:val="0"/>
        <w:snapToGrid w:val="0"/>
        <w:spacing w:before="156" w:beforeLines="50" w:after="156" w:afterLines="50" w:line="600" w:lineRule="exact"/>
        <w:jc w:val="left"/>
        <w:rPr>
          <w:rFonts w:hint="eastAsia" w:asciiTheme="minorEastAsia" w:hAnsiTheme="minorEastAsia"/>
          <w:b/>
          <w:color w:val="auto"/>
          <w:sz w:val="32"/>
          <w:szCs w:val="32"/>
          <w:highlight w:val="none"/>
        </w:rPr>
      </w:pPr>
    </w:p>
    <w:p>
      <w:pPr>
        <w:adjustRightInd w:val="0"/>
        <w:snapToGrid w:val="0"/>
        <w:spacing w:before="156" w:beforeLines="50" w:after="156" w:afterLines="50" w:line="600" w:lineRule="exact"/>
        <w:jc w:val="left"/>
        <w:rPr>
          <w:rFonts w:hint="eastAsia" w:asciiTheme="minorEastAsia" w:hAnsiTheme="minorEastAsia"/>
          <w:b/>
          <w:color w:val="auto"/>
          <w:sz w:val="32"/>
          <w:szCs w:val="32"/>
          <w:highlight w:val="none"/>
        </w:rPr>
      </w:pPr>
    </w:p>
    <w:p>
      <w:pPr>
        <w:adjustRightInd w:val="0"/>
        <w:snapToGrid w:val="0"/>
        <w:spacing w:before="156" w:beforeLines="50" w:after="156"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10.联系方式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 w:hAnsi="仿宋" w:eastAsia="仿宋" w:cs="仿宋"/>
                <w:color w:val="auto"/>
                <w:sz w:val="28"/>
                <w:szCs w:val="28"/>
                <w:highlight w:val="none"/>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 w:hAnsi="仿宋" w:eastAsia="仿宋" w:cs="仿宋"/>
                <w:color w:val="auto"/>
                <w:sz w:val="28"/>
                <w:szCs w:val="28"/>
                <w:highlight w:val="none"/>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30 </w:t>
            </w:r>
            <w:r>
              <w:rPr>
                <w:rFonts w:hint="eastAsia" w:ascii="仿宋_GB2312" w:eastAsia="仿宋_GB2312"/>
                <w:color w:val="auto"/>
                <w:sz w:val="28"/>
                <w:szCs w:val="28"/>
                <w:highlight w:val="none"/>
              </w:rPr>
              <w:t>日</w:t>
            </w:r>
          </w:p>
        </w:tc>
      </w:tr>
    </w:tbl>
    <w:p>
      <w:pPr>
        <w:adjustRightInd w:val="0"/>
        <w:snapToGrid w:val="0"/>
        <w:spacing w:line="600" w:lineRule="exact"/>
        <w:jc w:val="left"/>
        <w:rPr>
          <w:rFonts w:ascii="仿宋_GB2312" w:eastAsia="仿宋_GB2312" w:hAnsiTheme="majorEastAsia"/>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adjustRightInd w:val="0"/>
        <w:snapToGrid w:val="0"/>
        <w:spacing w:before="156" w:beforeLines="50" w:after="156"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color w:val="auto"/>
          <w:highlight w:val="none"/>
        </w:rPr>
      </w:pPr>
      <w:bookmarkStart w:id="14" w:name="_Toc10891"/>
    </w:p>
    <w:p>
      <w:pPr>
        <w:pStyle w:val="4"/>
        <w:rPr>
          <w:color w:val="auto"/>
          <w:highlight w:val="none"/>
        </w:rPr>
      </w:pPr>
      <w:bookmarkStart w:id="15" w:name="_Toc23749"/>
      <w:bookmarkStart w:id="16" w:name="_Toc9448"/>
      <w:bookmarkStart w:id="17" w:name="_Toc19295"/>
      <w:bookmarkStart w:id="18" w:name="_Toc32588"/>
      <w:bookmarkStart w:id="19" w:name="_Toc16705"/>
      <w:bookmarkStart w:id="20" w:name="_Toc16557"/>
      <w:bookmarkStart w:id="21" w:name="_Toc7340"/>
      <w:bookmarkStart w:id="22" w:name="_Toc25603"/>
      <w:bookmarkStart w:id="23" w:name="_Toc2324"/>
      <w:bookmarkStart w:id="24" w:name="_Toc2331"/>
    </w:p>
    <w:p>
      <w:pPr>
        <w:pStyle w:val="4"/>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第二章</w:t>
      </w:r>
      <w:bookmarkEnd w:id="14"/>
      <w:bookmarkEnd w:id="15"/>
      <w:bookmarkEnd w:id="16"/>
      <w:bookmarkEnd w:id="17"/>
      <w:bookmarkEnd w:id="18"/>
      <w:bookmarkEnd w:id="19"/>
      <w:bookmarkEnd w:id="20"/>
      <w:bookmarkEnd w:id="21"/>
      <w:bookmarkEnd w:id="22"/>
      <w:bookmarkEnd w:id="23"/>
      <w:bookmarkEnd w:id="24"/>
    </w:p>
    <w:p>
      <w:pPr>
        <w:pStyle w:val="5"/>
        <w:rPr>
          <w:color w:val="auto"/>
          <w:highlight w:val="none"/>
        </w:rPr>
      </w:pPr>
    </w:p>
    <w:p>
      <w:pPr>
        <w:pStyle w:val="5"/>
        <w:rPr>
          <w:color w:val="auto"/>
          <w:highlight w:val="none"/>
        </w:rPr>
      </w:pPr>
      <w:bookmarkStart w:id="25" w:name="_Toc2339"/>
      <w:bookmarkStart w:id="26" w:name="_Toc3416"/>
      <w:r>
        <w:rPr>
          <w:rFonts w:hint="eastAsia"/>
          <w:color w:val="auto"/>
          <w:highlight w:val="none"/>
        </w:rPr>
        <w:t>供应商须知</w:t>
      </w:r>
      <w:bookmarkEnd w:id="25"/>
      <w:bookmarkEnd w:id="26"/>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ind w:firstLine="0"/>
        <w:rPr>
          <w:color w:val="auto"/>
          <w:highlight w:val="none"/>
        </w:rPr>
      </w:pPr>
    </w:p>
    <w:p>
      <w:pPr>
        <w:numPr>
          <w:ilvl w:val="0"/>
          <w:numId w:val="3"/>
        </w:numPr>
        <w:adjustRightInd w:val="0"/>
        <w:snapToGrid w:val="0"/>
        <w:spacing w:before="156" w:beforeLines="50" w:after="156" w:afterLines="50" w:line="50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p>
    <w:p>
      <w:pPr>
        <w:pStyle w:val="2"/>
        <w:numPr>
          <w:ilvl w:val="255"/>
          <w:numId w:val="0"/>
        </w:numPr>
        <w:rPr>
          <w:color w:val="auto"/>
          <w:highlight w:val="none"/>
        </w:rPr>
      </w:pPr>
      <w:r>
        <w:rPr>
          <w:rFonts w:hint="eastAsia"/>
          <w:color w:val="auto"/>
          <w:highlight w:val="none"/>
        </w:rPr>
        <w:t>详见第一章采购公告（采购邀请书）3.供应商资格要求</w:t>
      </w:r>
    </w:p>
    <w:p>
      <w:pPr>
        <w:adjustRightInd w:val="0"/>
        <w:snapToGrid w:val="0"/>
        <w:spacing w:line="600" w:lineRule="exact"/>
        <w:jc w:val="left"/>
        <w:rPr>
          <w:rFonts w:ascii="仿宋_GB2312" w:eastAsia="仿宋_GB2312"/>
          <w:color w:val="auto"/>
          <w:sz w:val="28"/>
          <w:szCs w:val="28"/>
          <w:highlight w:val="none"/>
        </w:rPr>
      </w:pPr>
      <w:r>
        <w:rPr>
          <w:rFonts w:hint="eastAsia" w:asciiTheme="minorEastAsia" w:hAnsiTheme="minorEastAsia"/>
          <w:b/>
          <w:color w:val="auto"/>
          <w:sz w:val="32"/>
          <w:szCs w:val="32"/>
          <w:highlight w:val="none"/>
        </w:rPr>
        <w:t>2.  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1.2.1供应商对采购文件有疑问的，应当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本项目</w:t>
            </w:r>
            <w:r>
              <w:rPr>
                <w:rFonts w:hint="eastAsia" w:ascii="仿宋_GB2312" w:eastAsia="仿宋_GB2312"/>
                <w:color w:val="auto"/>
                <w:sz w:val="24"/>
                <w:szCs w:val="24"/>
                <w:highlight w:val="none"/>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最高限价及低价说明</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2.7</w:t>
            </w:r>
          </w:p>
          <w:p>
            <w:pPr>
              <w:adjustRightInd w:val="0"/>
              <w:snapToGrid w:val="0"/>
              <w:jc w:val="center"/>
              <w:rPr>
                <w:rFonts w:ascii="仿宋_GB2312" w:eastAsia="仿宋_GB2312"/>
                <w:color w:val="auto"/>
                <w:sz w:val="24"/>
                <w:szCs w:val="24"/>
                <w:highlight w:val="none"/>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rPr>
              <w:t>3</w:t>
            </w:r>
            <w:r>
              <w:rPr>
                <w:rFonts w:hint="eastAsia" w:ascii="仿宋_GB2312" w:eastAsia="仿宋_GB2312" w:hAnsiTheme="minorEastAsia"/>
                <w:color w:val="auto"/>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156" w:beforeLines="50" w:after="156" w:afterLines="50" w:line="56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3.发生下列情况之一者，视为无效响应行为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（9）其他不符合采购文件要求的情形。</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4.响应保证金</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本项目无须递交响应保证金。</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5.响应文件要求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6.1响应文件包括下列内容</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6.异议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7.1 供应商或其他利害关系人可以对采购公告（采购邀请书）、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7.3 异议人与采购人对异议事项无法达成一致的，异议人可向采购人的监管部门进行反映。</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7.本章附件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8"/>
        <w:rPr>
          <w:rFonts w:asciiTheme="majorEastAsia" w:hAnsiTheme="majorEastAsia" w:eastAsiaTheme="majorEastAsia"/>
          <w:b/>
          <w:color w:val="auto"/>
          <w:sz w:val="28"/>
          <w:szCs w:val="28"/>
          <w:highlight w:val="none"/>
        </w:rPr>
      </w:pPr>
    </w:p>
    <w:p>
      <w:pPr>
        <w:pStyle w:val="28"/>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7"/>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7"/>
        <w:rPr>
          <w:color w:val="auto"/>
          <w:highlight w:val="none"/>
        </w:rPr>
      </w:pPr>
    </w:p>
    <w:p>
      <w:pPr>
        <w:pStyle w:val="37"/>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rPr>
        <w:t xml:space="preserve">      项目</w:t>
      </w:r>
      <w:r>
        <w:rPr>
          <w:rFonts w:hint="eastAsia" w:ascii="仿宋_GB2312" w:eastAsia="仿宋_GB2312" w:hAnsiTheme="majorEastAsia"/>
          <w:color w:val="auto"/>
          <w:sz w:val="28"/>
          <w:szCs w:val="28"/>
          <w:highlight w:val="none"/>
        </w:rPr>
        <w:t>的成交供应商。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rPr>
        <w:t>30</w:t>
      </w:r>
      <w:r>
        <w:rPr>
          <w:rFonts w:hint="eastAsia" w:ascii="仿宋_GB2312" w:eastAsia="仿宋_GB2312" w:hAnsiTheme="majorEastAsia"/>
          <w:color w:val="auto"/>
          <w:sz w:val="28"/>
          <w:szCs w:val="28"/>
          <w:highlight w:val="none"/>
        </w:rPr>
        <w:t>日内与我方签订采购合同，逾期视为自动放弃成交资格。</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asciiTheme="minorHAnsi" w:hAnsiTheme="minorHAnsi" w:cstheme="minorBidi"/>
          <w:color w:val="auto"/>
          <w:kern w:val="44"/>
          <w:sz w:val="44"/>
          <w:szCs w:val="44"/>
          <w:highlight w:val="none"/>
        </w:rPr>
      </w:pPr>
      <w:bookmarkStart w:id="27" w:name="_Toc2867"/>
      <w:bookmarkStart w:id="28" w:name="_Toc21455"/>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1312;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0288;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第三章</w:t>
      </w:r>
      <w:bookmarkEnd w:id="27"/>
      <w:bookmarkEnd w:id="28"/>
    </w:p>
    <w:p>
      <w:pPr>
        <w:pStyle w:val="37"/>
        <w:rPr>
          <w:color w:val="auto"/>
          <w:highlight w:val="none"/>
        </w:rPr>
      </w:pPr>
    </w:p>
    <w:p>
      <w:pPr>
        <w:pStyle w:val="5"/>
        <w:rPr>
          <w:color w:val="auto"/>
          <w:highlight w:val="none"/>
        </w:rPr>
      </w:pPr>
      <w:bookmarkStart w:id="29" w:name="_Toc87616371"/>
      <w:bookmarkStart w:id="30" w:name="_Toc88209934"/>
      <w:bookmarkStart w:id="31" w:name="_Toc7040"/>
      <w:bookmarkStart w:id="32" w:name="_Toc7303"/>
      <w:r>
        <w:rPr>
          <w:rFonts w:hint="eastAsia"/>
          <w:color w:val="auto"/>
          <w:highlight w:val="none"/>
        </w:rPr>
        <w:t>采购方法</w:t>
      </w:r>
      <w:bookmarkEnd w:id="29"/>
      <w:bookmarkEnd w:id="30"/>
      <w:bookmarkEnd w:id="31"/>
      <w:bookmarkEnd w:id="32"/>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8"/>
        <w:rPr>
          <w:color w:val="auto"/>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33" w:name="_Toc24895"/>
      <w:bookmarkStart w:id="34" w:name="_Toc3789"/>
      <w:r>
        <w:rPr>
          <w:rFonts w:hint="eastAsia"/>
          <w:color w:val="auto"/>
          <w:highlight w:val="none"/>
        </w:rPr>
        <w:t>询比采购</w:t>
      </w:r>
      <w:bookmarkEnd w:id="33"/>
      <w:bookmarkEnd w:id="34"/>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rPr>
              <w:t xml:space="preserve"> </w:t>
            </w:r>
            <w:r>
              <w:rPr>
                <w:rFonts w:hint="eastAsia" w:ascii="仿宋_GB2312" w:eastAsia="仿宋_GB2312" w:hAnsiTheme="minorEastAsia"/>
                <w:color w:val="auto"/>
                <w:sz w:val="24"/>
                <w:szCs w:val="24"/>
                <w:highlight w:val="none"/>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1.2 资格审查执行第二章供应商须知1.对供应商的资格要求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1.3 响应文件提交截止后，递交响应文件供应商不足3家的或有效响应文件供应商不足两家，应分析原因并重新发出采购公告（邀请书）或采取其他采购方式。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采购人确定满足采购文件资格性、响应性要求，并且经评审的报价最低的为成交供应商</w:t>
            </w:r>
          </w:p>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 xml:space="preserve">评审小组按照采购文件确定的标准排序，采购人确定排名第一的供应商为成交供应商。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5" w:name="_Toc7437"/>
      <w:bookmarkStart w:id="36" w:name="_Toc4952"/>
      <w:bookmarkStart w:id="37" w:name="_Toc20594"/>
      <w:bookmarkStart w:id="38" w:name="_Toc7118"/>
      <w:bookmarkStart w:id="39" w:name="_Toc3156"/>
      <w:bookmarkStart w:id="40" w:name="_Toc23581"/>
      <w:bookmarkStart w:id="41" w:name="_Toc14552"/>
      <w:bookmarkStart w:id="42" w:name="_Toc10930"/>
      <w:bookmarkStart w:id="43" w:name="_Toc19050"/>
      <w:bookmarkStart w:id="44" w:name="_Toc19759"/>
      <w:bookmarkStart w:id="45" w:name="_Toc14870"/>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第四章</w:t>
      </w:r>
      <w:bookmarkEnd w:id="35"/>
      <w:bookmarkEnd w:id="36"/>
      <w:bookmarkEnd w:id="37"/>
      <w:bookmarkEnd w:id="38"/>
      <w:bookmarkEnd w:id="39"/>
      <w:bookmarkEnd w:id="40"/>
      <w:bookmarkEnd w:id="41"/>
      <w:bookmarkEnd w:id="42"/>
      <w:bookmarkEnd w:id="43"/>
      <w:bookmarkEnd w:id="44"/>
      <w:bookmarkEnd w:id="45"/>
    </w:p>
    <w:p>
      <w:pPr>
        <w:pStyle w:val="37"/>
        <w:rPr>
          <w:color w:val="auto"/>
          <w:highlight w:val="none"/>
        </w:rPr>
      </w:pPr>
    </w:p>
    <w:p>
      <w:pPr>
        <w:pStyle w:val="4"/>
        <w:rPr>
          <w:color w:val="auto"/>
          <w:highlight w:val="none"/>
        </w:rPr>
      </w:pPr>
      <w:bookmarkStart w:id="46" w:name="_Toc7831"/>
      <w:bookmarkStart w:id="47" w:name="_Toc30530"/>
      <w:bookmarkStart w:id="48" w:name="_Toc21840"/>
      <w:bookmarkStart w:id="49" w:name="_Toc88209941"/>
      <w:bookmarkStart w:id="50" w:name="_Toc22212"/>
      <w:bookmarkStart w:id="51" w:name="_Toc21079"/>
      <w:bookmarkStart w:id="52" w:name="_Toc12177"/>
      <w:bookmarkStart w:id="53" w:name="_Toc32607"/>
      <w:bookmarkStart w:id="54" w:name="_Toc6308"/>
      <w:bookmarkStart w:id="55" w:name="_Toc29345"/>
      <w:bookmarkStart w:id="56" w:name="_Toc13898"/>
      <w:bookmarkStart w:id="57" w:name="_Toc29484"/>
      <w:bookmarkStart w:id="58" w:name="_Toc87616378"/>
      <w:r>
        <w:rPr>
          <w:rFonts w:hint="eastAsia"/>
          <w:color w:val="auto"/>
          <w:highlight w:val="none"/>
        </w:rPr>
        <w:t>评审办法</w:t>
      </w:r>
      <w:bookmarkEnd w:id="46"/>
      <w:bookmarkEnd w:id="47"/>
      <w:bookmarkEnd w:id="48"/>
      <w:bookmarkEnd w:id="49"/>
      <w:bookmarkEnd w:id="50"/>
      <w:bookmarkEnd w:id="51"/>
      <w:bookmarkEnd w:id="52"/>
      <w:bookmarkEnd w:id="53"/>
      <w:bookmarkEnd w:id="54"/>
      <w:bookmarkEnd w:id="55"/>
      <w:bookmarkEnd w:id="56"/>
      <w:bookmarkEnd w:id="57"/>
      <w:bookmarkEnd w:id="58"/>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59" w:name="_Toc23033"/>
      <w:bookmarkStart w:id="60" w:name="_Toc26826"/>
      <w:r>
        <w:rPr>
          <w:rFonts w:hint="eastAsia"/>
          <w:color w:val="auto"/>
          <w:highlight w:val="none"/>
        </w:rPr>
        <w:sym w:font="Wingdings 2" w:char="0052"/>
      </w:r>
      <w:r>
        <w:rPr>
          <w:rFonts w:hint="eastAsia"/>
          <w:color w:val="auto"/>
          <w:highlight w:val="none"/>
        </w:rPr>
        <w:t>经评审的最低价法</w:t>
      </w:r>
      <w:bookmarkEnd w:id="59"/>
      <w:bookmarkEnd w:id="60"/>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（1）运输费用及保险费。（如有）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5"/>
        <w:rPr>
          <w:color w:val="auto"/>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color w:val="auto"/>
          <w:highlight w:val="none"/>
        </w:rPr>
      </w:pPr>
      <w:bookmarkStart w:id="61" w:name="_Toc88209947"/>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第五章</w:t>
      </w:r>
    </w:p>
    <w:p>
      <w:pPr>
        <w:pStyle w:val="5"/>
        <w:rPr>
          <w:color w:val="auto"/>
          <w:highlight w:val="none"/>
        </w:rPr>
      </w:pPr>
    </w:p>
    <w:p>
      <w:pPr>
        <w:pStyle w:val="5"/>
        <w:rPr>
          <w:color w:val="auto"/>
          <w:szCs w:val="44"/>
          <w:highlight w:val="none"/>
        </w:rPr>
      </w:pPr>
      <w:r>
        <w:rPr>
          <w:rFonts w:hint="eastAsia"/>
          <w:color w:val="auto"/>
          <w:szCs w:val="44"/>
          <w:highlight w:val="none"/>
        </w:rPr>
        <w:t>采购需求</w:t>
      </w:r>
    </w:p>
    <w:p>
      <w:pPr>
        <w:rPr>
          <w:color w:val="auto"/>
          <w:szCs w:val="44"/>
          <w:highlight w:val="none"/>
        </w:rPr>
      </w:pPr>
    </w:p>
    <w:p>
      <w:pPr>
        <w:pStyle w:val="28"/>
        <w:rPr>
          <w:color w:val="auto"/>
          <w:szCs w:val="44"/>
          <w:highlight w:val="none"/>
        </w:rPr>
      </w:pPr>
    </w:p>
    <w:p>
      <w:pPr>
        <w:pStyle w:val="28"/>
        <w:rPr>
          <w:color w:val="auto"/>
          <w:szCs w:val="44"/>
          <w:highlight w:val="none"/>
        </w:rPr>
      </w:pPr>
    </w:p>
    <w:p>
      <w:pPr>
        <w:pStyle w:val="28"/>
        <w:rPr>
          <w:color w:val="auto"/>
          <w:szCs w:val="44"/>
          <w:highlight w:val="none"/>
        </w:rPr>
      </w:pPr>
    </w:p>
    <w:p>
      <w:pPr>
        <w:pStyle w:val="28"/>
        <w:rPr>
          <w:color w:val="auto"/>
          <w:szCs w:val="44"/>
          <w:highlight w:val="none"/>
        </w:rPr>
      </w:pPr>
    </w:p>
    <w:p>
      <w:pPr>
        <w:pStyle w:val="28"/>
        <w:rPr>
          <w:color w:val="auto"/>
          <w:szCs w:val="44"/>
          <w:highlight w:val="none"/>
        </w:rPr>
      </w:pPr>
    </w:p>
    <w:p>
      <w:pPr>
        <w:pStyle w:val="28"/>
        <w:rPr>
          <w:color w:val="auto"/>
          <w:szCs w:val="44"/>
          <w:highlight w:val="none"/>
        </w:rPr>
      </w:pPr>
    </w:p>
    <w:p>
      <w:pPr>
        <w:pStyle w:val="28"/>
        <w:rPr>
          <w:color w:val="auto"/>
          <w:szCs w:val="44"/>
          <w:highlight w:val="none"/>
        </w:rPr>
      </w:pPr>
    </w:p>
    <w:p>
      <w:pPr>
        <w:pStyle w:val="28"/>
        <w:rPr>
          <w:color w:val="auto"/>
          <w:szCs w:val="44"/>
          <w:highlight w:val="none"/>
        </w:rPr>
      </w:pPr>
    </w:p>
    <w:p>
      <w:pPr>
        <w:pStyle w:val="28"/>
        <w:rPr>
          <w:color w:val="auto"/>
          <w:szCs w:val="44"/>
          <w:highlight w:val="none"/>
        </w:rPr>
      </w:pPr>
    </w:p>
    <w:p>
      <w:pPr>
        <w:pStyle w:val="28"/>
        <w:rPr>
          <w:color w:val="auto"/>
          <w:szCs w:val="44"/>
          <w:highlight w:val="none"/>
        </w:rPr>
      </w:pPr>
    </w:p>
    <w:p>
      <w:pPr>
        <w:pStyle w:val="28"/>
        <w:rPr>
          <w:color w:val="auto"/>
          <w:szCs w:val="44"/>
          <w:highlight w:val="none"/>
        </w:rPr>
      </w:pPr>
    </w:p>
    <w:p>
      <w:pPr>
        <w:pStyle w:val="28"/>
        <w:rPr>
          <w:color w:val="auto"/>
          <w:szCs w:val="44"/>
          <w:highlight w:val="none"/>
        </w:rPr>
      </w:pPr>
    </w:p>
    <w:p>
      <w:pPr>
        <w:pStyle w:val="28"/>
        <w:rPr>
          <w:color w:val="auto"/>
          <w:szCs w:val="44"/>
          <w:highlight w:val="none"/>
        </w:rPr>
      </w:pPr>
    </w:p>
    <w:p>
      <w:pPr>
        <w:pStyle w:val="28"/>
        <w:rPr>
          <w:color w:val="auto"/>
          <w:szCs w:val="44"/>
          <w:highlight w:val="none"/>
        </w:rPr>
      </w:pPr>
    </w:p>
    <w:p>
      <w:pPr>
        <w:pStyle w:val="28"/>
        <w:rPr>
          <w:color w:val="auto"/>
          <w:szCs w:val="44"/>
          <w:highlight w:val="none"/>
        </w:rPr>
      </w:pPr>
    </w:p>
    <w:p>
      <w:pPr>
        <w:pStyle w:val="28"/>
        <w:rPr>
          <w:color w:val="auto"/>
          <w:szCs w:val="44"/>
          <w:highlight w:val="none"/>
        </w:rPr>
      </w:pPr>
    </w:p>
    <w:p>
      <w:pPr>
        <w:pStyle w:val="28"/>
        <w:rPr>
          <w:color w:val="auto"/>
          <w:szCs w:val="44"/>
          <w:highlight w:val="none"/>
        </w:rPr>
      </w:pPr>
    </w:p>
    <w:p>
      <w:pPr>
        <w:pStyle w:val="28"/>
        <w:rPr>
          <w:color w:val="auto"/>
          <w:szCs w:val="44"/>
          <w:highlight w:val="none"/>
        </w:rPr>
      </w:pPr>
    </w:p>
    <w:p>
      <w:pPr>
        <w:pStyle w:val="28"/>
        <w:rPr>
          <w:color w:val="auto"/>
          <w:szCs w:val="44"/>
          <w:highlight w:val="none"/>
        </w:rPr>
      </w:pPr>
    </w:p>
    <w:p>
      <w:pPr>
        <w:pStyle w:val="28"/>
        <w:rPr>
          <w:color w:val="auto"/>
          <w:szCs w:val="44"/>
          <w:highlight w:val="none"/>
        </w:rPr>
      </w:pPr>
    </w:p>
    <w:p>
      <w:pPr>
        <w:pStyle w:val="28"/>
        <w:rPr>
          <w:color w:val="auto"/>
          <w:szCs w:val="44"/>
          <w:highlight w:val="none"/>
        </w:rPr>
      </w:pPr>
    </w:p>
    <w:p>
      <w:pPr>
        <w:pStyle w:val="11"/>
        <w:adjustRightInd w:val="0"/>
        <w:snapToGrid w:val="0"/>
        <w:spacing w:line="300" w:lineRule="auto"/>
        <w:rPr>
          <w:rFonts w:ascii="仿宋_GB2312" w:hAnsi="仿宋_GB2312" w:eastAsia="仿宋_GB2312" w:cs="仿宋_GB2312"/>
          <w:bCs/>
          <w:color w:val="auto"/>
          <w:sz w:val="30"/>
          <w:szCs w:val="30"/>
          <w:highlight w:val="none"/>
        </w:rPr>
      </w:pPr>
      <w:r>
        <w:rPr>
          <w:rFonts w:hint="eastAsia" w:ascii="仿宋_GB2312" w:hAnsi="仿宋_GB2312" w:eastAsia="仿宋_GB2312" w:cs="仿宋_GB2312"/>
          <w:b/>
          <w:color w:val="auto"/>
          <w:sz w:val="28"/>
          <w:szCs w:val="28"/>
          <w:highlight w:val="none"/>
          <w:lang w:val="zh-CN"/>
        </w:rPr>
        <w:t>一、项目情况介绍</w:t>
      </w:r>
    </w:p>
    <w:p>
      <w:pPr>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本项目为广州市净水有限公司2022年实验室化验仪器及辅助设备采购项目，拟定采购紫外可见分光光度计、高压灭菌锅、全自动微生物过滤系统</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溶解氧测定仪</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生化培养箱</w:t>
      </w:r>
      <w:r>
        <w:rPr>
          <w:rFonts w:hint="eastAsia" w:ascii="仿宋" w:hAnsi="仿宋" w:eastAsia="仿宋" w:cs="仿宋"/>
          <w:color w:val="auto"/>
          <w:sz w:val="28"/>
          <w:szCs w:val="28"/>
          <w:highlight w:val="none"/>
        </w:rPr>
        <w:t xml:space="preserve">等化验仪器及辅助设备。 </w:t>
      </w:r>
      <w:r>
        <w:rPr>
          <w:rFonts w:hint="eastAsia" w:ascii="仿宋_GB2312" w:eastAsia="仿宋_GB2312"/>
          <w:color w:val="auto"/>
          <w:sz w:val="28"/>
          <w:szCs w:val="28"/>
          <w:highlight w:val="none"/>
        </w:rPr>
        <w:t xml:space="preserve">                    </w:t>
      </w:r>
    </w:p>
    <w:p>
      <w:pPr>
        <w:pStyle w:val="11"/>
        <w:widowControl/>
        <w:numPr>
          <w:ilvl w:val="0"/>
          <w:numId w:val="4"/>
        </w:numPr>
        <w:adjustRightInd w:val="0"/>
        <w:snapToGrid w:val="0"/>
        <w:spacing w:line="300" w:lineRule="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
          <w:color w:val="auto"/>
          <w:sz w:val="28"/>
          <w:szCs w:val="28"/>
          <w:highlight w:val="none"/>
          <w:lang w:val="zh-CN"/>
        </w:rPr>
        <w:t>项目技术要求</w:t>
      </w:r>
    </w:p>
    <w:p>
      <w:pPr>
        <w:pStyle w:val="12"/>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工程量清单：</w:t>
      </w:r>
    </w:p>
    <w:tbl>
      <w:tblPr>
        <w:tblStyle w:val="23"/>
        <w:tblW w:w="9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900"/>
        <w:gridCol w:w="872"/>
        <w:gridCol w:w="5373"/>
        <w:gridCol w:w="777"/>
        <w:gridCol w:w="1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vAlign w:val="center"/>
          </w:tcPr>
          <w:p>
            <w:pPr>
              <w:widowControl/>
              <w:spacing w:line="0" w:lineRule="atLeast"/>
              <w:jc w:val="center"/>
              <w:rPr>
                <w:rFonts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bidi="ar"/>
              </w:rPr>
              <w:t>序号</w:t>
            </w:r>
          </w:p>
        </w:tc>
        <w:tc>
          <w:tcPr>
            <w:tcW w:w="900" w:type="dxa"/>
            <w:vAlign w:val="center"/>
          </w:tcPr>
          <w:p>
            <w:pPr>
              <w:widowControl/>
              <w:spacing w:line="0" w:lineRule="atLeast"/>
              <w:jc w:val="center"/>
              <w:rPr>
                <w:rFonts w:ascii="仿宋" w:hAnsi="仿宋" w:eastAsia="仿宋" w:cs="仿宋"/>
                <w:b/>
                <w:bCs/>
                <w:color w:val="auto"/>
                <w:sz w:val="21"/>
                <w:szCs w:val="21"/>
                <w:highlight w:val="none"/>
                <w:lang w:bidi="ar"/>
              </w:rPr>
            </w:pPr>
            <w:r>
              <w:rPr>
                <w:rFonts w:hint="eastAsia" w:ascii="仿宋" w:hAnsi="仿宋" w:eastAsia="仿宋" w:cs="仿宋"/>
                <w:b/>
                <w:bCs/>
                <w:color w:val="auto"/>
                <w:sz w:val="21"/>
                <w:szCs w:val="21"/>
                <w:highlight w:val="none"/>
                <w:lang w:bidi="ar"/>
              </w:rPr>
              <w:t>分公司</w:t>
            </w:r>
          </w:p>
        </w:tc>
        <w:tc>
          <w:tcPr>
            <w:tcW w:w="872" w:type="dxa"/>
            <w:vAlign w:val="center"/>
          </w:tcPr>
          <w:p>
            <w:pPr>
              <w:widowControl/>
              <w:spacing w:line="0" w:lineRule="atLeast"/>
              <w:jc w:val="center"/>
              <w:rPr>
                <w:rFonts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bidi="ar"/>
              </w:rPr>
              <w:t>货物名称</w:t>
            </w:r>
          </w:p>
        </w:tc>
        <w:tc>
          <w:tcPr>
            <w:tcW w:w="5373" w:type="dxa"/>
            <w:vAlign w:val="center"/>
          </w:tcPr>
          <w:p>
            <w:pPr>
              <w:widowControl/>
              <w:spacing w:line="0" w:lineRule="atLeast"/>
              <w:jc w:val="center"/>
              <w:rPr>
                <w:rFonts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bidi="ar"/>
              </w:rPr>
              <w:t>技术参数及功能要求</w:t>
            </w:r>
          </w:p>
        </w:tc>
        <w:tc>
          <w:tcPr>
            <w:tcW w:w="777" w:type="dxa"/>
            <w:vAlign w:val="center"/>
          </w:tcPr>
          <w:p>
            <w:pPr>
              <w:widowControl/>
              <w:spacing w:line="0" w:lineRule="atLeast"/>
              <w:jc w:val="center"/>
              <w:rPr>
                <w:rFonts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bidi="ar"/>
              </w:rPr>
              <w:t>数量（台）</w:t>
            </w:r>
          </w:p>
        </w:tc>
        <w:tc>
          <w:tcPr>
            <w:tcW w:w="1120" w:type="dxa"/>
            <w:vAlign w:val="center"/>
          </w:tcPr>
          <w:p>
            <w:pPr>
              <w:widowControl/>
              <w:spacing w:line="0" w:lineRule="atLeast"/>
              <w:jc w:val="center"/>
              <w:rPr>
                <w:rFonts w:ascii="仿宋" w:hAnsi="仿宋" w:eastAsia="仿宋" w:cs="仿宋"/>
                <w:b/>
                <w:bCs/>
                <w:color w:val="auto"/>
                <w:sz w:val="21"/>
                <w:szCs w:val="21"/>
                <w:highlight w:val="none"/>
                <w:lang w:bidi="ar"/>
              </w:rPr>
            </w:pPr>
            <w:r>
              <w:rPr>
                <w:rFonts w:hint="eastAsia" w:ascii="仿宋" w:hAnsi="仿宋" w:eastAsia="仿宋" w:cs="仿宋"/>
                <w:b/>
                <w:bCs/>
                <w:color w:val="auto"/>
                <w:sz w:val="21"/>
                <w:szCs w:val="21"/>
                <w:highlight w:val="none"/>
                <w:lang w:bidi="ar"/>
              </w:rPr>
              <w:t>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vAlign w:val="center"/>
          </w:tcPr>
          <w:p>
            <w:pPr>
              <w:pStyle w:val="12"/>
              <w:jc w:val="center"/>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1</w:t>
            </w:r>
          </w:p>
        </w:tc>
        <w:tc>
          <w:tcPr>
            <w:tcW w:w="900" w:type="dxa"/>
            <w:vAlign w:val="center"/>
          </w:tcPr>
          <w:p>
            <w:pPr>
              <w:pStyle w:val="12"/>
              <w:jc w:val="center"/>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猎德分公司</w:t>
            </w:r>
          </w:p>
        </w:tc>
        <w:tc>
          <w:tcPr>
            <w:tcW w:w="872" w:type="dxa"/>
            <w:vAlign w:val="center"/>
          </w:tcPr>
          <w:p>
            <w:pPr>
              <w:spacing w:line="0" w:lineRule="atLeas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分光光度计</w:t>
            </w:r>
          </w:p>
        </w:tc>
        <w:tc>
          <w:tcPr>
            <w:tcW w:w="5373" w:type="dxa"/>
          </w:tcPr>
          <w:p>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波长范围 190-1100nm波长；</w:t>
            </w:r>
          </w:p>
          <w:p>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准确度±1nm(200-900nm)；</w:t>
            </w:r>
          </w:p>
          <w:p>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波长再现性&lt;0.1nm；</w:t>
            </w:r>
          </w:p>
          <w:p>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波长分辨率 0.1nm；</w:t>
            </w:r>
          </w:p>
          <w:p>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光谱带宽 2nm；</w:t>
            </w:r>
          </w:p>
          <w:p>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光度测量范围 3.0Abs(200-900nm)；</w:t>
            </w:r>
          </w:p>
          <w:p>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光度漂移 ±0.0034Abs</w:t>
            </w:r>
          </w:p>
          <w:p>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矩形样品池适配器(10mm, 20mm, 50mm, 1英寸)、圆形样品池适配器(1英寸)、可供7个矩形样品池(10mm)使用的旋转适配器、流通池适配器(10mm)</w:t>
            </w:r>
          </w:p>
          <w:p>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测试识别 条形码识别系统，可自动识别2D条形码测试管数据记录器 5000个测量值，50次扫描 用户程序 200</w:t>
            </w:r>
          </w:p>
          <w:p>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接口 2×USB 类型A，1×USB 类型B， 1× 以太网。</w:t>
            </w:r>
          </w:p>
        </w:tc>
        <w:tc>
          <w:tcPr>
            <w:tcW w:w="777" w:type="dxa"/>
            <w:vAlign w:val="center"/>
          </w:tcPr>
          <w:p>
            <w:pPr>
              <w:spacing w:line="0" w:lineRule="atLeas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120" w:type="dxa"/>
            <w:vAlign w:val="center"/>
          </w:tcPr>
          <w:p>
            <w:pPr>
              <w:spacing w:line="0" w:lineRule="atLeas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vAlign w:val="center"/>
          </w:tcPr>
          <w:p>
            <w:pPr>
              <w:pStyle w:val="12"/>
              <w:jc w:val="center"/>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2</w:t>
            </w:r>
          </w:p>
        </w:tc>
        <w:tc>
          <w:tcPr>
            <w:tcW w:w="900" w:type="dxa"/>
            <w:vAlign w:val="center"/>
          </w:tcPr>
          <w:p>
            <w:pPr>
              <w:pStyle w:val="12"/>
              <w:jc w:val="center"/>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猎德分公司</w:t>
            </w:r>
          </w:p>
        </w:tc>
        <w:tc>
          <w:tcPr>
            <w:tcW w:w="872" w:type="dxa"/>
            <w:vAlign w:val="center"/>
          </w:tcPr>
          <w:p>
            <w:pPr>
              <w:spacing w:line="0" w:lineRule="atLeas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高压灭菌锅</w:t>
            </w:r>
          </w:p>
        </w:tc>
        <w:tc>
          <w:tcPr>
            <w:tcW w:w="5373" w:type="dxa"/>
          </w:tcPr>
          <w:p>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温度范围：105℃-135℃；</w:t>
            </w:r>
          </w:p>
          <w:p>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 xml:space="preserve">精度为0.1℃；                                                                              有效容量：29L ；                                         </w:t>
            </w:r>
          </w:p>
          <w:p>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工作电源：220V±10%16A</w:t>
            </w:r>
            <w:r>
              <w:rPr>
                <w:rFonts w:ascii="仿宋" w:hAnsi="仿宋" w:eastAsia="仿宋" w:cs="仿宋"/>
                <w:color w:val="auto"/>
                <w:kern w:val="2"/>
                <w:sz w:val="21"/>
                <w:szCs w:val="21"/>
                <w:highlight w:val="none"/>
              </w:rPr>
              <w:t xml:space="preserve"> </w:t>
            </w:r>
            <w:r>
              <w:rPr>
                <w:rFonts w:hint="eastAsia" w:ascii="仿宋" w:hAnsi="仿宋" w:eastAsia="仿宋" w:cs="仿宋"/>
                <w:color w:val="auto"/>
                <w:kern w:val="2"/>
                <w:sz w:val="21"/>
                <w:szCs w:val="21"/>
                <w:highlight w:val="none"/>
              </w:rPr>
              <w:t xml:space="preserve">50HZ/60HZ； </w:t>
            </w:r>
          </w:p>
          <w:p>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 xml:space="preserve">自感应压力联锁装置，过温保护系统、升温保护系统干烧保护系统、过压保护、安全阀、过流、短路保护系统、闭盖检查系统、漏电保护装置、防烫伤安全保护、自动故障检测系统。                              </w:t>
            </w:r>
            <w:r>
              <w:rPr>
                <w:rFonts w:hint="eastAsia" w:ascii="仿宋" w:hAnsi="仿宋" w:eastAsia="仿宋" w:cs="仿宋"/>
                <w:color w:val="auto"/>
                <w:kern w:val="2"/>
                <w:sz w:val="21"/>
                <w:szCs w:val="21"/>
                <w:highlight w:val="none"/>
                <w:lang w:val="en-US" w:eastAsia="zh-CN"/>
              </w:rPr>
              <w:t xml:space="preserve">      </w:t>
            </w:r>
            <w:r>
              <w:rPr>
                <w:rFonts w:hint="eastAsia" w:ascii="仿宋" w:hAnsi="仿宋" w:eastAsia="仿宋" w:cs="仿宋"/>
                <w:color w:val="auto"/>
                <w:kern w:val="2"/>
                <w:sz w:val="21"/>
                <w:szCs w:val="21"/>
                <w:highlight w:val="none"/>
              </w:rPr>
              <w:t xml:space="preserve">   具备全自动内排功能，内置蒸汽收集瓶；                                     采用高速微电脑智能控制系统；可预约灭菌0~6天延迟。</w:t>
            </w:r>
          </w:p>
        </w:tc>
        <w:tc>
          <w:tcPr>
            <w:tcW w:w="777" w:type="dxa"/>
            <w:vAlign w:val="center"/>
          </w:tcPr>
          <w:p>
            <w:pPr>
              <w:spacing w:line="0" w:lineRule="atLeas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120" w:type="dxa"/>
            <w:vAlign w:val="center"/>
          </w:tcPr>
          <w:p>
            <w:pPr>
              <w:spacing w:line="0" w:lineRule="atLeas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58000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vAlign w:val="center"/>
          </w:tcPr>
          <w:p>
            <w:pPr>
              <w:pStyle w:val="12"/>
              <w:jc w:val="center"/>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3</w:t>
            </w:r>
          </w:p>
        </w:tc>
        <w:tc>
          <w:tcPr>
            <w:tcW w:w="900" w:type="dxa"/>
            <w:vAlign w:val="center"/>
          </w:tcPr>
          <w:p>
            <w:pPr>
              <w:pStyle w:val="12"/>
              <w:jc w:val="center"/>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龙归分公司</w:t>
            </w:r>
          </w:p>
        </w:tc>
        <w:tc>
          <w:tcPr>
            <w:tcW w:w="872" w:type="dxa"/>
            <w:vAlign w:val="center"/>
          </w:tcPr>
          <w:p>
            <w:pPr>
              <w:widowControl/>
              <w:jc w:val="center"/>
              <w:textAlignment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全自动微生物过滤系统</w:t>
            </w:r>
          </w:p>
        </w:tc>
        <w:tc>
          <w:tcPr>
            <w:tcW w:w="5373" w:type="dxa"/>
          </w:tcPr>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全自动微生物过滤系统1套，含主机1台、滤杯适配泵头（一次性滤杯）、一次性滤杯2</w:t>
            </w:r>
            <w:r>
              <w:rPr>
                <w:rFonts w:ascii="仿宋" w:hAnsi="仿宋" w:eastAsia="仿宋" w:cs="仿宋"/>
                <w:color w:val="auto"/>
                <w:kern w:val="2"/>
                <w:sz w:val="21"/>
                <w:szCs w:val="21"/>
                <w:highlight w:val="none"/>
              </w:rPr>
              <w:t>50ml</w:t>
            </w:r>
            <w:r>
              <w:rPr>
                <w:rFonts w:hint="eastAsia" w:ascii="仿宋" w:hAnsi="仿宋" w:eastAsia="仿宋" w:cs="仿宋"/>
                <w:color w:val="auto"/>
                <w:kern w:val="2"/>
                <w:sz w:val="21"/>
                <w:szCs w:val="21"/>
                <w:highlight w:val="none"/>
              </w:rPr>
              <w:t>、滤膜一箱4</w:t>
            </w:r>
            <w:r>
              <w:rPr>
                <w:rFonts w:ascii="仿宋" w:hAnsi="仿宋" w:eastAsia="仿宋" w:cs="仿宋"/>
                <w:color w:val="auto"/>
                <w:kern w:val="2"/>
                <w:sz w:val="21"/>
                <w:szCs w:val="21"/>
                <w:highlight w:val="none"/>
              </w:rPr>
              <w:t>8</w:t>
            </w:r>
            <w:r>
              <w:rPr>
                <w:rFonts w:hint="eastAsia" w:ascii="仿宋" w:hAnsi="仿宋" w:eastAsia="仿宋" w:cs="仿宋"/>
                <w:color w:val="auto"/>
                <w:kern w:val="2"/>
                <w:sz w:val="21"/>
                <w:szCs w:val="21"/>
                <w:highlight w:val="none"/>
              </w:rPr>
              <w:t>个、附件包等。</w:t>
            </w:r>
          </w:p>
          <w:p>
            <w:pPr>
              <w:pStyle w:val="13"/>
              <w:rPr>
                <w:rFonts w:hint="default" w:eastAsia="仿宋"/>
                <w:color w:val="auto"/>
                <w:sz w:val="21"/>
                <w:szCs w:val="21"/>
                <w:highlight w:val="none"/>
                <w:lang w:val="en-US" w:eastAsia="zh-CN"/>
              </w:rPr>
            </w:pPr>
            <w:r>
              <w:rPr>
                <w:rFonts w:hint="eastAsia" w:ascii="仿宋" w:hAnsi="仿宋" w:eastAsia="仿宋" w:cs="仿宋"/>
                <w:color w:val="auto"/>
                <w:kern w:val="2"/>
                <w:sz w:val="21"/>
                <w:szCs w:val="21"/>
                <w:highlight w:val="none"/>
                <w:lang w:val="en-US" w:eastAsia="zh-CN"/>
              </w:rPr>
              <w:t>主要技术指标：</w:t>
            </w:r>
          </w:p>
          <w:p>
            <w:pPr>
              <w:pStyle w:val="12"/>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rPr>
              <w:t>1.机身内整合了真空泵，抽滤管路，无须外加任何抽滤泵和容器</w:t>
            </w:r>
            <w:r>
              <w:rPr>
                <w:rFonts w:hint="eastAsia" w:ascii="仿宋" w:hAnsi="仿宋" w:eastAsia="仿宋" w:cs="仿宋"/>
                <w:color w:val="auto"/>
                <w:kern w:val="2"/>
                <w:sz w:val="21"/>
                <w:szCs w:val="21"/>
                <w:highlight w:val="none"/>
                <w:lang w:eastAsia="zh-CN"/>
              </w:rPr>
              <w:t>；</w:t>
            </w:r>
          </w:p>
          <w:p>
            <w:pPr>
              <w:pStyle w:val="12"/>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rPr>
              <w:t>2.机体设计符合人体工程学，机体高小于100mm</w:t>
            </w:r>
            <w:r>
              <w:rPr>
                <w:rFonts w:hint="eastAsia" w:ascii="仿宋" w:hAnsi="仿宋" w:eastAsia="仿宋" w:cs="仿宋"/>
                <w:color w:val="auto"/>
                <w:kern w:val="2"/>
                <w:sz w:val="21"/>
                <w:szCs w:val="21"/>
                <w:highlight w:val="none"/>
                <w:lang w:eastAsia="zh-CN"/>
              </w:rPr>
              <w:t>；</w:t>
            </w:r>
          </w:p>
          <w:p>
            <w:pPr>
              <w:pStyle w:val="12"/>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rPr>
              <w:t>3.机身配置至少两个泵头</w:t>
            </w:r>
            <w:r>
              <w:rPr>
                <w:rFonts w:hint="eastAsia" w:ascii="仿宋" w:hAnsi="仿宋" w:eastAsia="仿宋" w:cs="仿宋"/>
                <w:color w:val="auto"/>
                <w:kern w:val="2"/>
                <w:sz w:val="21"/>
                <w:szCs w:val="21"/>
                <w:highlight w:val="none"/>
                <w:lang w:eastAsia="zh-CN"/>
              </w:rPr>
              <w:t>；</w:t>
            </w:r>
          </w:p>
          <w:p>
            <w:pPr>
              <w:pStyle w:val="12"/>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rPr>
              <w:t>4.过滤头含有止回阀</w:t>
            </w:r>
            <w:r>
              <w:rPr>
                <w:rFonts w:hint="eastAsia" w:ascii="仿宋" w:hAnsi="仿宋" w:eastAsia="仿宋" w:cs="仿宋"/>
                <w:color w:val="auto"/>
                <w:kern w:val="2"/>
                <w:sz w:val="21"/>
                <w:szCs w:val="21"/>
                <w:highlight w:val="none"/>
                <w:lang w:eastAsia="zh-CN"/>
              </w:rPr>
              <w:t>；</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5.通过硬件扩展可实现高通量,最多可连接三台仪器，只需按一下按钮即可过</w:t>
            </w:r>
          </w:p>
          <w:p>
            <w:pPr>
              <w:pStyle w:val="12"/>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rPr>
              <w:t>滤6个样品</w:t>
            </w:r>
            <w:r>
              <w:rPr>
                <w:rFonts w:hint="eastAsia" w:ascii="仿宋" w:hAnsi="仿宋" w:eastAsia="仿宋" w:cs="仿宋"/>
                <w:color w:val="auto"/>
                <w:kern w:val="2"/>
                <w:sz w:val="21"/>
                <w:szCs w:val="21"/>
                <w:highlight w:val="none"/>
                <w:lang w:eastAsia="zh-CN"/>
              </w:rPr>
              <w:t>；</w:t>
            </w:r>
          </w:p>
          <w:p>
            <w:pPr>
              <w:pStyle w:val="12"/>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rPr>
              <w:t>6.泵头为快速拆装设计，可以整体进行高温高压灭菌</w:t>
            </w:r>
            <w:r>
              <w:rPr>
                <w:rFonts w:hint="eastAsia" w:ascii="仿宋" w:hAnsi="仿宋" w:eastAsia="仿宋" w:cs="仿宋"/>
                <w:color w:val="auto"/>
                <w:kern w:val="2"/>
                <w:sz w:val="21"/>
                <w:szCs w:val="21"/>
                <w:highlight w:val="none"/>
                <w:lang w:eastAsia="zh-CN"/>
              </w:rPr>
              <w:t>；</w:t>
            </w:r>
          </w:p>
          <w:p>
            <w:pPr>
              <w:pStyle w:val="12"/>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rPr>
              <w:t>7.仪器有两头、四头、六头可选</w:t>
            </w:r>
            <w:r>
              <w:rPr>
                <w:rFonts w:hint="eastAsia" w:ascii="仿宋" w:hAnsi="仿宋" w:eastAsia="仿宋" w:cs="仿宋"/>
                <w:color w:val="auto"/>
                <w:kern w:val="2"/>
                <w:sz w:val="21"/>
                <w:szCs w:val="21"/>
                <w:highlight w:val="none"/>
                <w:lang w:eastAsia="zh-CN"/>
              </w:rPr>
              <w:t>；</w:t>
            </w:r>
          </w:p>
          <w:p>
            <w:pPr>
              <w:pStyle w:val="12"/>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rPr>
              <w:t>8.仪器可配置多种泵头，不同泵头可快速转换</w:t>
            </w:r>
            <w:r>
              <w:rPr>
                <w:rFonts w:hint="eastAsia" w:ascii="仿宋" w:hAnsi="仿宋" w:eastAsia="仿宋" w:cs="仿宋"/>
                <w:color w:val="auto"/>
                <w:kern w:val="2"/>
                <w:sz w:val="21"/>
                <w:szCs w:val="21"/>
                <w:highlight w:val="none"/>
                <w:lang w:eastAsia="zh-CN"/>
              </w:rPr>
              <w:t>；</w:t>
            </w:r>
          </w:p>
          <w:p>
            <w:pPr>
              <w:pStyle w:val="12"/>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rPr>
              <w:t>9.整体过滤流速≥300mL/min</w:t>
            </w:r>
            <w:r>
              <w:rPr>
                <w:rFonts w:hint="eastAsia" w:ascii="仿宋" w:hAnsi="仿宋" w:eastAsia="仿宋" w:cs="仿宋"/>
                <w:color w:val="auto"/>
                <w:kern w:val="2"/>
                <w:sz w:val="21"/>
                <w:szCs w:val="21"/>
                <w:highlight w:val="none"/>
                <w:lang w:eastAsia="zh-CN"/>
              </w:rPr>
              <w:t>；</w:t>
            </w:r>
          </w:p>
          <w:p>
            <w:pPr>
              <w:pStyle w:val="12"/>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rPr>
              <w:t xml:space="preserve">10.最大真空度≥0.4bar </w:t>
            </w:r>
            <w:r>
              <w:rPr>
                <w:rFonts w:hint="eastAsia" w:ascii="仿宋" w:hAnsi="仿宋" w:eastAsia="仿宋" w:cs="仿宋"/>
                <w:color w:val="auto"/>
                <w:kern w:val="2"/>
                <w:sz w:val="21"/>
                <w:szCs w:val="21"/>
                <w:highlight w:val="none"/>
                <w:lang w:eastAsia="zh-CN"/>
              </w:rPr>
              <w:t>；</w:t>
            </w:r>
          </w:p>
          <w:p>
            <w:pPr>
              <w:pStyle w:val="12"/>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rPr>
              <w:t>12.滤杯容量规格100mL 或250mL</w:t>
            </w:r>
            <w:r>
              <w:rPr>
                <w:rFonts w:hint="eastAsia" w:ascii="仿宋" w:hAnsi="仿宋" w:eastAsia="仿宋" w:cs="仿宋"/>
                <w:color w:val="auto"/>
                <w:kern w:val="2"/>
                <w:sz w:val="21"/>
                <w:szCs w:val="21"/>
                <w:highlight w:val="none"/>
                <w:lang w:eastAsia="zh-CN"/>
              </w:rPr>
              <w:t>；</w:t>
            </w:r>
          </w:p>
          <w:p>
            <w:pPr>
              <w:pStyle w:val="12"/>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rPr>
              <w:t>13.滤杯套装内包括了0.22 或0.45um等孔径要求的滤膜，无菌包装，即拿即用型，无需实验前的准备</w:t>
            </w:r>
            <w:r>
              <w:rPr>
                <w:rFonts w:hint="eastAsia" w:ascii="仿宋" w:hAnsi="仿宋" w:eastAsia="仿宋" w:cs="仿宋"/>
                <w:color w:val="auto"/>
                <w:kern w:val="2"/>
                <w:sz w:val="21"/>
                <w:szCs w:val="21"/>
                <w:highlight w:val="none"/>
                <w:lang w:eastAsia="zh-CN"/>
              </w:rPr>
              <w:t>；</w:t>
            </w:r>
          </w:p>
          <w:p>
            <w:pPr>
              <w:pStyle w:val="12"/>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rPr>
              <w:t>14. 滤杯内表面需经过疏水处理，标准纯化水的残留量应低于0.3%</w:t>
            </w:r>
            <w:r>
              <w:rPr>
                <w:rFonts w:hint="eastAsia" w:ascii="仿宋" w:hAnsi="仿宋" w:eastAsia="仿宋" w:cs="仿宋"/>
                <w:color w:val="auto"/>
                <w:kern w:val="2"/>
                <w:sz w:val="21"/>
                <w:szCs w:val="21"/>
                <w:highlight w:val="none"/>
                <w:lang w:eastAsia="zh-CN"/>
              </w:rPr>
              <w:t>；</w:t>
            </w:r>
          </w:p>
          <w:p>
            <w:pPr>
              <w:pStyle w:val="12"/>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rPr>
              <w:t>15.滤杯盖子为呼吸盖</w:t>
            </w:r>
            <w:r>
              <w:rPr>
                <w:rFonts w:hint="eastAsia" w:ascii="仿宋" w:hAnsi="仿宋" w:eastAsia="仿宋" w:cs="仿宋"/>
                <w:color w:val="auto"/>
                <w:kern w:val="2"/>
                <w:sz w:val="21"/>
                <w:szCs w:val="21"/>
                <w:highlight w:val="none"/>
                <w:lang w:eastAsia="zh-CN"/>
              </w:rPr>
              <w:t>；</w:t>
            </w:r>
          </w:p>
          <w:p>
            <w:pPr>
              <w:pStyle w:val="12"/>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rPr>
              <w:t>16.符合包括中国在内等多国药典和相关机构法规要求</w:t>
            </w:r>
            <w:r>
              <w:rPr>
                <w:rFonts w:hint="eastAsia" w:ascii="仿宋" w:hAnsi="仿宋" w:eastAsia="仿宋" w:cs="仿宋"/>
                <w:color w:val="auto"/>
                <w:kern w:val="2"/>
                <w:sz w:val="21"/>
                <w:szCs w:val="21"/>
                <w:highlight w:val="none"/>
                <w:lang w:eastAsia="zh-CN"/>
              </w:rPr>
              <w:t>；</w:t>
            </w:r>
          </w:p>
          <w:p>
            <w:pPr>
              <w:pStyle w:val="12"/>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rPr>
              <w:t>17. 减少了消毒和维护时间，无需高压灭菌。只需每月对泵内部管路进行消毒,有相应设计验证文件</w:t>
            </w:r>
            <w:r>
              <w:rPr>
                <w:rFonts w:hint="eastAsia" w:ascii="仿宋" w:hAnsi="仿宋" w:eastAsia="仿宋" w:cs="仿宋"/>
                <w:color w:val="auto"/>
                <w:kern w:val="2"/>
                <w:sz w:val="21"/>
                <w:szCs w:val="21"/>
                <w:highlight w:val="none"/>
                <w:lang w:eastAsia="zh-CN"/>
              </w:rPr>
              <w:t>。</w:t>
            </w:r>
          </w:p>
        </w:tc>
        <w:tc>
          <w:tcPr>
            <w:tcW w:w="777" w:type="dxa"/>
            <w:vAlign w:val="center"/>
          </w:tcPr>
          <w:p>
            <w:pPr>
              <w:widowControl/>
              <w:jc w:val="center"/>
              <w:textAlignment w:val="center"/>
              <w:rPr>
                <w:rFonts w:ascii="仿宋" w:hAnsi="仿宋" w:eastAsia="仿宋" w:cs="仿宋"/>
                <w:color w:val="auto"/>
                <w:sz w:val="21"/>
                <w:szCs w:val="21"/>
                <w:highlight w:val="none"/>
              </w:rPr>
            </w:pPr>
            <w:r>
              <w:rPr>
                <w:rFonts w:hint="eastAsia" w:ascii="宋体" w:hAnsi="宋体" w:eastAsia="宋体" w:cs="宋体"/>
                <w:color w:val="auto"/>
                <w:kern w:val="0"/>
                <w:sz w:val="21"/>
                <w:szCs w:val="21"/>
                <w:highlight w:val="none"/>
                <w:lang w:bidi="ar"/>
              </w:rPr>
              <w:t>1</w:t>
            </w:r>
          </w:p>
        </w:tc>
        <w:tc>
          <w:tcPr>
            <w:tcW w:w="1120" w:type="dxa"/>
            <w:vAlign w:val="center"/>
          </w:tcPr>
          <w:p>
            <w:pPr>
              <w:spacing w:line="0" w:lineRule="atLeas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136800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vAlign w:val="center"/>
          </w:tcPr>
          <w:p>
            <w:pPr>
              <w:pStyle w:val="12"/>
              <w:jc w:val="center"/>
              <w:rPr>
                <w:rFonts w:hint="eastAsia"/>
                <w:color w:val="auto"/>
                <w:sz w:val="21"/>
                <w:szCs w:val="21"/>
                <w:highlight w:val="none"/>
                <w:lang w:val="en-US" w:eastAsia="zh-CN"/>
              </w:rPr>
            </w:pPr>
          </w:p>
          <w:p>
            <w:pPr>
              <w:pStyle w:val="12"/>
              <w:jc w:val="center"/>
              <w:rPr>
                <w:rFonts w:hint="eastAsia"/>
                <w:color w:val="auto"/>
                <w:sz w:val="21"/>
                <w:szCs w:val="21"/>
                <w:highlight w:val="none"/>
                <w:lang w:val="en-US" w:eastAsia="zh-CN"/>
              </w:rPr>
            </w:pPr>
          </w:p>
          <w:p>
            <w:pPr>
              <w:pStyle w:val="12"/>
              <w:jc w:val="center"/>
              <w:rPr>
                <w:rFonts w:hint="eastAsia"/>
                <w:color w:val="auto"/>
                <w:sz w:val="21"/>
                <w:szCs w:val="21"/>
                <w:highlight w:val="none"/>
                <w:lang w:val="en-US" w:eastAsia="zh-CN"/>
              </w:rPr>
            </w:pPr>
          </w:p>
          <w:p>
            <w:pPr>
              <w:pStyle w:val="12"/>
              <w:jc w:val="center"/>
              <w:rPr>
                <w:rFonts w:hint="eastAsia"/>
                <w:color w:val="auto"/>
                <w:sz w:val="21"/>
                <w:szCs w:val="21"/>
                <w:highlight w:val="none"/>
                <w:lang w:val="en-US" w:eastAsia="zh-CN"/>
              </w:rPr>
            </w:pPr>
          </w:p>
          <w:p>
            <w:pPr>
              <w:pStyle w:val="12"/>
              <w:jc w:val="center"/>
              <w:rPr>
                <w:rFonts w:hint="eastAsia"/>
                <w:color w:val="auto"/>
                <w:sz w:val="21"/>
                <w:szCs w:val="21"/>
                <w:highlight w:val="none"/>
                <w:lang w:val="en-US" w:eastAsia="zh-CN"/>
              </w:rPr>
            </w:pPr>
          </w:p>
          <w:p>
            <w:pPr>
              <w:pStyle w:val="12"/>
              <w:jc w:val="center"/>
              <w:rPr>
                <w:rFonts w:hint="eastAsia"/>
                <w:color w:val="auto"/>
                <w:sz w:val="21"/>
                <w:szCs w:val="21"/>
                <w:highlight w:val="none"/>
                <w:lang w:val="en-US" w:eastAsia="zh-CN"/>
              </w:rPr>
            </w:pPr>
            <w:r>
              <w:rPr>
                <w:rFonts w:hint="eastAsia"/>
                <w:color w:val="auto"/>
                <w:sz w:val="21"/>
                <w:szCs w:val="21"/>
                <w:highlight w:val="none"/>
                <w:lang w:val="en-US" w:eastAsia="zh-CN"/>
              </w:rPr>
              <w:t>4</w:t>
            </w:r>
          </w:p>
          <w:p>
            <w:pPr>
              <w:pStyle w:val="13"/>
              <w:rPr>
                <w:rFonts w:hint="eastAsia"/>
                <w:color w:val="auto"/>
                <w:sz w:val="21"/>
                <w:szCs w:val="21"/>
                <w:highlight w:val="none"/>
                <w:lang w:val="en-US" w:eastAsia="zh-CN"/>
              </w:rPr>
            </w:pPr>
          </w:p>
          <w:p>
            <w:pPr>
              <w:rPr>
                <w:rFonts w:hint="eastAsia"/>
                <w:color w:val="auto"/>
                <w:sz w:val="21"/>
                <w:szCs w:val="21"/>
                <w:highlight w:val="none"/>
                <w:lang w:val="en-US" w:eastAsia="zh-CN"/>
              </w:rPr>
            </w:pPr>
          </w:p>
        </w:tc>
        <w:tc>
          <w:tcPr>
            <w:tcW w:w="900" w:type="dxa"/>
            <w:vAlign w:val="center"/>
          </w:tcPr>
          <w:p>
            <w:pPr>
              <w:pStyle w:val="12"/>
              <w:jc w:val="center"/>
              <w:rPr>
                <w:rFonts w:hint="eastAsia" w:ascii="仿宋" w:hAnsi="仿宋" w:eastAsia="仿宋" w:cs="仿宋"/>
                <w:color w:val="auto"/>
                <w:kern w:val="2"/>
                <w:sz w:val="21"/>
                <w:szCs w:val="21"/>
                <w:highlight w:val="none"/>
              </w:rPr>
            </w:pPr>
          </w:p>
          <w:p>
            <w:pPr>
              <w:pStyle w:val="12"/>
              <w:jc w:val="center"/>
              <w:rPr>
                <w:rFonts w:hint="eastAsia" w:ascii="仿宋" w:hAnsi="仿宋" w:eastAsia="仿宋" w:cs="仿宋"/>
                <w:color w:val="auto"/>
                <w:kern w:val="2"/>
                <w:sz w:val="21"/>
                <w:szCs w:val="21"/>
                <w:highlight w:val="none"/>
              </w:rPr>
            </w:pPr>
          </w:p>
          <w:p>
            <w:pPr>
              <w:pStyle w:val="12"/>
              <w:jc w:val="center"/>
              <w:rPr>
                <w:rFonts w:hint="eastAsia" w:ascii="仿宋" w:hAnsi="仿宋" w:eastAsia="仿宋" w:cs="仿宋"/>
                <w:color w:val="auto"/>
                <w:kern w:val="2"/>
                <w:sz w:val="21"/>
                <w:szCs w:val="21"/>
                <w:highlight w:val="none"/>
              </w:rPr>
            </w:pPr>
          </w:p>
          <w:p>
            <w:pPr>
              <w:pStyle w:val="12"/>
              <w:jc w:val="center"/>
              <w:rPr>
                <w:rFonts w:hint="eastAsia" w:ascii="仿宋" w:hAnsi="仿宋" w:eastAsia="仿宋" w:cs="仿宋"/>
                <w:color w:val="auto"/>
                <w:kern w:val="2"/>
                <w:sz w:val="21"/>
                <w:szCs w:val="21"/>
                <w:highlight w:val="none"/>
              </w:rPr>
            </w:pPr>
          </w:p>
          <w:p>
            <w:pPr>
              <w:pStyle w:val="13"/>
              <w:rPr>
                <w:rFonts w:hint="eastAsia"/>
                <w:color w:val="auto"/>
                <w:sz w:val="21"/>
                <w:szCs w:val="21"/>
                <w:highlight w:val="none"/>
              </w:rPr>
            </w:pPr>
          </w:p>
          <w:p>
            <w:pPr>
              <w:pStyle w:val="12"/>
              <w:jc w:val="center"/>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竹料分公司</w:t>
            </w:r>
          </w:p>
        </w:tc>
        <w:tc>
          <w:tcPr>
            <w:tcW w:w="872" w:type="dxa"/>
            <w:vAlign w:val="center"/>
          </w:tcPr>
          <w:p>
            <w:pPr>
              <w:widowControl/>
              <w:jc w:val="center"/>
              <w:textAlignment w:val="center"/>
              <w:rPr>
                <w:rFonts w:hint="eastAsia" w:ascii="仿宋" w:hAnsi="仿宋" w:eastAsia="仿宋" w:cs="仿宋"/>
                <w:color w:val="auto"/>
                <w:sz w:val="21"/>
                <w:szCs w:val="21"/>
                <w:highlight w:val="none"/>
              </w:rPr>
            </w:pPr>
          </w:p>
          <w:p>
            <w:pPr>
              <w:widowControl/>
              <w:jc w:val="center"/>
              <w:textAlignment w:val="center"/>
              <w:rPr>
                <w:rFonts w:hint="eastAsia" w:ascii="仿宋" w:hAnsi="仿宋" w:eastAsia="仿宋" w:cs="仿宋"/>
                <w:color w:val="auto"/>
                <w:sz w:val="21"/>
                <w:szCs w:val="21"/>
                <w:highlight w:val="none"/>
              </w:rPr>
            </w:pPr>
          </w:p>
          <w:p>
            <w:pPr>
              <w:widowControl/>
              <w:jc w:val="center"/>
              <w:textAlignment w:val="center"/>
              <w:rPr>
                <w:rFonts w:hint="eastAsia" w:ascii="仿宋" w:hAnsi="仿宋" w:eastAsia="仿宋" w:cs="仿宋"/>
                <w:color w:val="auto"/>
                <w:sz w:val="21"/>
                <w:szCs w:val="21"/>
                <w:highlight w:val="none"/>
              </w:rPr>
            </w:pPr>
          </w:p>
          <w:p>
            <w:pPr>
              <w:widowControl/>
              <w:jc w:val="center"/>
              <w:textAlignment w:val="center"/>
              <w:rPr>
                <w:rFonts w:hint="eastAsia" w:ascii="仿宋" w:hAnsi="仿宋" w:eastAsia="仿宋" w:cs="仿宋"/>
                <w:color w:val="auto"/>
                <w:sz w:val="21"/>
                <w:szCs w:val="21"/>
                <w:highlight w:val="none"/>
              </w:rPr>
            </w:pPr>
          </w:p>
          <w:p>
            <w:pPr>
              <w:widowControl/>
              <w:jc w:val="center"/>
              <w:textAlignment w:val="center"/>
              <w:rPr>
                <w:rFonts w:hint="eastAsia" w:ascii="仿宋" w:hAnsi="仿宋" w:eastAsia="仿宋" w:cs="仿宋"/>
                <w:color w:val="auto"/>
                <w:sz w:val="21"/>
                <w:szCs w:val="21"/>
                <w:highlight w:val="none"/>
              </w:rPr>
            </w:pPr>
          </w:p>
          <w:p>
            <w:pPr>
              <w:widowControl/>
              <w:jc w:val="center"/>
              <w:textAlignment w:val="center"/>
              <w:rPr>
                <w:rFonts w:hint="eastAsia" w:ascii="仿宋" w:hAnsi="仿宋" w:eastAsia="仿宋" w:cs="仿宋"/>
                <w:color w:val="auto"/>
                <w:sz w:val="21"/>
                <w:szCs w:val="21"/>
                <w:highlight w:val="none"/>
              </w:rPr>
            </w:pPr>
          </w:p>
          <w:p>
            <w:pPr>
              <w:widowControl/>
              <w:jc w:val="center"/>
              <w:textAlignment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溶解氧测定仪</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便携式多参数水质分析仪</w:t>
            </w:r>
            <w:r>
              <w:rPr>
                <w:rFonts w:hint="eastAsia" w:ascii="仿宋" w:hAnsi="仿宋" w:eastAsia="仿宋" w:cs="仿宋"/>
                <w:color w:val="auto"/>
                <w:sz w:val="21"/>
                <w:szCs w:val="21"/>
                <w:highlight w:val="none"/>
                <w:lang w:eastAsia="zh-CN"/>
              </w:rPr>
              <w:t>）</w:t>
            </w:r>
          </w:p>
        </w:tc>
        <w:tc>
          <w:tcPr>
            <w:tcW w:w="5373" w:type="dxa"/>
          </w:tcPr>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显示：可同时显示2个电极的读数；</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pH电极：pH、mV、温度；pH量程：0-14pH；pH精度：±0.002pH；pH分辨率：0.001pH，0.01pH，0.1pH；</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电导率电极：电导率、温度；电导率精度：±0.5%；</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电导率量程：0.01μS/cm-200mS/cm；电导率分辨率：0.01μS/cm；</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溶解氧电极：溶解氧、压力、温度；溶解氧量程：0.01-20mg/L；氧饱和度量程：0-200%；溶解氧分辨率：0.01mg/L；</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ORP氧化还原电位电极：mV、温度；ORP量程：-1500—1500mV；ORP精度：±0.1mV；ORP分辨率：0.1mV；</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采用便携式IP67设计, 具有液晶显示屏；</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数据存储：校准数据都存贮在日志中。在“按下即读”模式和间隔测量模式时可自动存储。在“连续读数”模式时需手动存储；</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温度修正/补偿：三种模式，分别为关，自动，手动（修正要根据参数进行）；</w:t>
            </w:r>
          </w:p>
          <w:p>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锁定显示功能：连续测量模式或按下即读测量模式有平均LDO测量读数的功能</w:t>
            </w:r>
            <w:r>
              <w:rPr>
                <w:rFonts w:hint="eastAsia"/>
                <w:color w:val="auto"/>
                <w:sz w:val="21"/>
                <w:szCs w:val="21"/>
                <w:highlight w:val="none"/>
              </w:rPr>
              <w:t>；</w:t>
            </w:r>
          </w:p>
        </w:tc>
        <w:tc>
          <w:tcPr>
            <w:tcW w:w="777" w:type="dxa"/>
            <w:vAlign w:val="center"/>
          </w:tcPr>
          <w:p>
            <w:pPr>
              <w:widowControl/>
              <w:jc w:val="center"/>
              <w:textAlignment w:val="center"/>
              <w:rPr>
                <w:rFonts w:ascii="仿宋" w:hAnsi="仿宋" w:eastAsia="仿宋" w:cs="仿宋"/>
                <w:color w:val="auto"/>
                <w:sz w:val="21"/>
                <w:szCs w:val="21"/>
                <w:highlight w:val="none"/>
              </w:rPr>
            </w:pPr>
            <w:r>
              <w:rPr>
                <w:rFonts w:hint="eastAsia" w:ascii="宋体" w:hAnsi="宋体" w:eastAsia="宋体" w:cs="宋体"/>
                <w:color w:val="auto"/>
                <w:kern w:val="0"/>
                <w:sz w:val="21"/>
                <w:szCs w:val="21"/>
                <w:highlight w:val="none"/>
                <w:lang w:bidi="ar"/>
              </w:rPr>
              <w:t>1</w:t>
            </w:r>
          </w:p>
        </w:tc>
        <w:tc>
          <w:tcPr>
            <w:tcW w:w="1120" w:type="dxa"/>
            <w:vAlign w:val="center"/>
          </w:tcPr>
          <w:p>
            <w:pPr>
              <w:spacing w:line="0" w:lineRule="atLeas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39420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vAlign w:val="center"/>
          </w:tcPr>
          <w:p>
            <w:pPr>
              <w:pStyle w:val="12"/>
              <w:jc w:val="center"/>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5</w:t>
            </w:r>
          </w:p>
        </w:tc>
        <w:tc>
          <w:tcPr>
            <w:tcW w:w="900" w:type="dxa"/>
            <w:vAlign w:val="center"/>
          </w:tcPr>
          <w:p>
            <w:pPr>
              <w:pStyle w:val="12"/>
              <w:jc w:val="center"/>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竹料分公司</w:t>
            </w:r>
          </w:p>
        </w:tc>
        <w:tc>
          <w:tcPr>
            <w:tcW w:w="872" w:type="dxa"/>
            <w:vAlign w:val="center"/>
          </w:tcPr>
          <w:p>
            <w:pPr>
              <w:widowControl/>
              <w:jc w:val="center"/>
              <w:textAlignment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生化培养箱</w:t>
            </w:r>
          </w:p>
        </w:tc>
        <w:tc>
          <w:tcPr>
            <w:tcW w:w="5373" w:type="dxa"/>
          </w:tcPr>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恒温培养箱1台，含载物托架等。</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控温范围：-10～100℃</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温度波动度（测试点为37℃）：±0.1℃（或K）</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温度偏差（测试点为37℃）：±0.2℃（或K）</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30秒开门后的恢复时间：2min（测试点为37℃）</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额定功率：≥0.7KW；</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每只搁架载荷：≥20 kg；容许总载荷：≥50 kg；</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内部容积：≥115 L；</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载物托架：≥2块，采用不锈钢材质</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具有内腔预热功能，具有可调温度安全装置，具有光学和声音报警功能，具有以太网接口，内门采用安全玻璃制成，采用间隔编程和实时编程控制器，通过压缩冷却机进行冷却，可调节风扇转速</w:t>
            </w:r>
          </w:p>
        </w:tc>
        <w:tc>
          <w:tcPr>
            <w:tcW w:w="777" w:type="dxa"/>
            <w:vAlign w:val="center"/>
          </w:tcPr>
          <w:p>
            <w:pPr>
              <w:widowControl/>
              <w:jc w:val="center"/>
              <w:textAlignment w:val="center"/>
              <w:rPr>
                <w:rFonts w:ascii="仿宋" w:hAnsi="仿宋" w:eastAsia="仿宋" w:cs="仿宋"/>
                <w:color w:val="auto"/>
                <w:sz w:val="21"/>
                <w:szCs w:val="21"/>
                <w:highlight w:val="none"/>
              </w:rPr>
            </w:pPr>
            <w:r>
              <w:rPr>
                <w:rFonts w:hint="eastAsia" w:ascii="宋体" w:hAnsi="宋体" w:eastAsia="宋体" w:cs="宋体"/>
                <w:color w:val="auto"/>
                <w:kern w:val="0"/>
                <w:sz w:val="21"/>
                <w:szCs w:val="21"/>
                <w:highlight w:val="none"/>
                <w:lang w:bidi="ar"/>
              </w:rPr>
              <w:t>1</w:t>
            </w:r>
          </w:p>
        </w:tc>
        <w:tc>
          <w:tcPr>
            <w:tcW w:w="1120" w:type="dxa"/>
            <w:vAlign w:val="center"/>
          </w:tcPr>
          <w:p>
            <w:pPr>
              <w:spacing w:line="0" w:lineRule="atLeas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56430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vAlign w:val="center"/>
          </w:tcPr>
          <w:p>
            <w:pPr>
              <w:pStyle w:val="12"/>
              <w:jc w:val="center"/>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6</w:t>
            </w:r>
          </w:p>
        </w:tc>
        <w:tc>
          <w:tcPr>
            <w:tcW w:w="900" w:type="dxa"/>
            <w:vAlign w:val="center"/>
          </w:tcPr>
          <w:p>
            <w:pPr>
              <w:pStyle w:val="12"/>
              <w:jc w:val="center"/>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竹料分公司</w:t>
            </w:r>
          </w:p>
        </w:tc>
        <w:tc>
          <w:tcPr>
            <w:tcW w:w="872" w:type="dxa"/>
            <w:vAlign w:val="center"/>
          </w:tcPr>
          <w:p>
            <w:pPr>
              <w:widowControl/>
              <w:jc w:val="center"/>
              <w:textAlignment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高压蒸汽灭菌锅</w:t>
            </w:r>
          </w:p>
        </w:tc>
        <w:tc>
          <w:tcPr>
            <w:tcW w:w="5373" w:type="dxa"/>
          </w:tcPr>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有效容积：2</w:t>
            </w:r>
            <w:r>
              <w:rPr>
                <w:rFonts w:hint="eastAsia" w:ascii="仿宋" w:hAnsi="仿宋" w:eastAsia="仿宋" w:cs="仿宋"/>
                <w:color w:val="auto"/>
                <w:kern w:val="2"/>
                <w:sz w:val="21"/>
                <w:szCs w:val="21"/>
                <w:highlight w:val="none"/>
                <w:lang w:val="en-US" w:eastAsia="zh-CN"/>
              </w:rPr>
              <w:t>8</w:t>
            </w:r>
            <w:r>
              <w:rPr>
                <w:rFonts w:hint="eastAsia" w:ascii="仿宋" w:hAnsi="仿宋" w:eastAsia="仿宋" w:cs="仿宋"/>
                <w:color w:val="auto"/>
                <w:kern w:val="2"/>
                <w:sz w:val="21"/>
                <w:szCs w:val="21"/>
                <w:highlight w:val="none"/>
              </w:rPr>
              <w:t>L</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额定工作压力：≥0.22Mpa；</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额定工作温度：≥134℃；</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热均匀度：≤±1℃；</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计时选择范围：≥0-99mins；</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温度选择范围：≥105-134℃；</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功率/电源电压：2KW/AC220V 50HZ</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灭菌过程全自动电脑控制，触摸式按键，可任意设定灭菌程序；</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平移式快开门结构，自涨式密封，并有安全联锁装置；</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配有电子压力温度控制器，当达到设定的灭菌压力温度时，能自动进行恒压恒温；消毒桶为优质不锈钢材料；</w:t>
            </w:r>
            <w:r>
              <w:rPr>
                <w:rFonts w:hint="eastAsia" w:ascii="仿宋" w:hAnsi="仿宋" w:eastAsia="仿宋" w:cs="仿宋"/>
                <w:color w:val="auto"/>
                <w:kern w:val="2"/>
                <w:sz w:val="21"/>
                <w:szCs w:val="21"/>
                <w:highlight w:val="none"/>
              </w:rPr>
              <w:br w:type="textWrapping"/>
            </w:r>
            <w:r>
              <w:rPr>
                <w:rFonts w:hint="eastAsia" w:ascii="仿宋" w:hAnsi="仿宋" w:eastAsia="仿宋" w:cs="仿宋"/>
                <w:color w:val="auto"/>
                <w:kern w:val="2"/>
                <w:sz w:val="21"/>
                <w:szCs w:val="21"/>
                <w:highlight w:val="none"/>
              </w:rPr>
              <w:t>设有超温、超压自动保护装置；整机由优质不锈钢材料制成，采用浸入式电热管加热；</w:t>
            </w:r>
            <w:r>
              <w:rPr>
                <w:rFonts w:hint="eastAsia" w:ascii="仿宋" w:hAnsi="仿宋" w:eastAsia="仿宋" w:cs="仿宋"/>
                <w:color w:val="auto"/>
                <w:kern w:val="2"/>
                <w:sz w:val="21"/>
                <w:szCs w:val="21"/>
                <w:highlight w:val="none"/>
              </w:rPr>
              <w:br w:type="textWrapping"/>
            </w:r>
            <w:r>
              <w:rPr>
                <w:rFonts w:hint="eastAsia" w:ascii="仿宋" w:hAnsi="仿宋" w:eastAsia="仿宋" w:cs="仿宋"/>
                <w:color w:val="auto"/>
                <w:kern w:val="2"/>
                <w:sz w:val="21"/>
                <w:szCs w:val="21"/>
                <w:highlight w:val="none"/>
                <w:lang w:val="en-US" w:eastAsia="zh-CN"/>
              </w:rPr>
              <w:t>设有排放冷气、灭菌、计时、排汽、报警自动功能；</w:t>
            </w:r>
            <w:r>
              <w:rPr>
                <w:rFonts w:hint="eastAsia" w:ascii="仿宋" w:hAnsi="仿宋" w:eastAsia="仿宋" w:cs="仿宋"/>
                <w:color w:val="auto"/>
                <w:kern w:val="2"/>
                <w:sz w:val="21"/>
                <w:szCs w:val="21"/>
                <w:highlight w:val="none"/>
              </w:rPr>
              <w:br w:type="textWrapping"/>
            </w:r>
            <w:r>
              <w:rPr>
                <w:rFonts w:hint="eastAsia" w:ascii="仿宋" w:hAnsi="仿宋" w:eastAsia="仿宋" w:cs="仿宋"/>
                <w:color w:val="auto"/>
                <w:kern w:val="2"/>
                <w:sz w:val="21"/>
                <w:szCs w:val="21"/>
                <w:highlight w:val="none"/>
              </w:rPr>
              <w:t>具有断水过热保护</w:t>
            </w:r>
            <w:r>
              <w:rPr>
                <w:rFonts w:hint="eastAsia" w:ascii="仿宋" w:hAnsi="仿宋" w:eastAsia="仿宋" w:cs="仿宋"/>
                <w:color w:val="auto"/>
                <w:kern w:val="2"/>
                <w:sz w:val="21"/>
                <w:szCs w:val="21"/>
                <w:highlight w:val="none"/>
                <w:lang w:eastAsia="zh-CN"/>
              </w:rPr>
              <w:t>、</w:t>
            </w:r>
            <w:r>
              <w:rPr>
                <w:rFonts w:hint="eastAsia" w:ascii="仿宋" w:hAnsi="仿宋" w:eastAsia="仿宋" w:cs="仿宋"/>
                <w:color w:val="auto"/>
                <w:kern w:val="2"/>
                <w:sz w:val="21"/>
                <w:szCs w:val="21"/>
                <w:highlight w:val="none"/>
                <w:lang w:val="en-US" w:eastAsia="zh-CN"/>
              </w:rPr>
              <w:t>电流过载自动切断</w:t>
            </w:r>
            <w:r>
              <w:rPr>
                <w:rFonts w:hint="eastAsia" w:ascii="仿宋" w:hAnsi="仿宋" w:eastAsia="仿宋" w:cs="仿宋"/>
                <w:color w:val="auto"/>
                <w:kern w:val="2"/>
                <w:sz w:val="21"/>
                <w:szCs w:val="21"/>
                <w:highlight w:val="none"/>
              </w:rPr>
              <w:t>功能</w:t>
            </w:r>
            <w:r>
              <w:rPr>
                <w:rFonts w:hint="eastAsia" w:ascii="仿宋" w:hAnsi="仿宋" w:eastAsia="仿宋" w:cs="仿宋"/>
                <w:color w:val="auto"/>
                <w:kern w:val="2"/>
                <w:sz w:val="21"/>
                <w:szCs w:val="21"/>
                <w:highlight w:val="none"/>
                <w:lang w:eastAsia="zh-CN"/>
              </w:rPr>
              <w:t>；</w:t>
            </w:r>
            <w:r>
              <w:rPr>
                <w:rFonts w:hint="eastAsia" w:ascii="仿宋" w:hAnsi="仿宋" w:eastAsia="仿宋" w:cs="仿宋"/>
                <w:color w:val="auto"/>
                <w:kern w:val="2"/>
                <w:sz w:val="21"/>
                <w:szCs w:val="21"/>
                <w:highlight w:val="none"/>
              </w:rPr>
              <w:t>灭菌循环结束蜂鸣提醒并自动停机。</w:t>
            </w:r>
          </w:p>
        </w:tc>
        <w:tc>
          <w:tcPr>
            <w:tcW w:w="777" w:type="dxa"/>
            <w:vAlign w:val="center"/>
          </w:tcPr>
          <w:p>
            <w:pPr>
              <w:widowControl/>
              <w:jc w:val="center"/>
              <w:textAlignment w:val="center"/>
              <w:rPr>
                <w:rFonts w:ascii="仿宋" w:hAnsi="仿宋" w:eastAsia="仿宋" w:cs="仿宋"/>
                <w:color w:val="auto"/>
                <w:sz w:val="21"/>
                <w:szCs w:val="21"/>
                <w:highlight w:val="none"/>
              </w:rPr>
            </w:pPr>
            <w:r>
              <w:rPr>
                <w:rFonts w:hint="eastAsia" w:ascii="宋体" w:hAnsi="宋体" w:eastAsia="宋体" w:cs="宋体"/>
                <w:color w:val="auto"/>
                <w:kern w:val="0"/>
                <w:sz w:val="21"/>
                <w:szCs w:val="21"/>
                <w:highlight w:val="none"/>
                <w:lang w:bidi="ar"/>
              </w:rPr>
              <w:t>1</w:t>
            </w:r>
          </w:p>
        </w:tc>
        <w:tc>
          <w:tcPr>
            <w:tcW w:w="1120" w:type="dxa"/>
            <w:vAlign w:val="center"/>
          </w:tcPr>
          <w:p>
            <w:pPr>
              <w:spacing w:line="0" w:lineRule="atLeas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5522.4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vAlign w:val="center"/>
          </w:tcPr>
          <w:p>
            <w:pPr>
              <w:pStyle w:val="12"/>
              <w:jc w:val="center"/>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7</w:t>
            </w:r>
          </w:p>
        </w:tc>
        <w:tc>
          <w:tcPr>
            <w:tcW w:w="900" w:type="dxa"/>
            <w:vAlign w:val="center"/>
          </w:tcPr>
          <w:p>
            <w:pPr>
              <w:pStyle w:val="12"/>
              <w:jc w:val="center"/>
              <w:rPr>
                <w:rFonts w:hint="default"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江高分公司</w:t>
            </w:r>
          </w:p>
        </w:tc>
        <w:tc>
          <w:tcPr>
            <w:tcW w:w="872" w:type="dxa"/>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高压灭菌锅</w:t>
            </w:r>
          </w:p>
        </w:tc>
        <w:tc>
          <w:tcPr>
            <w:tcW w:w="5373" w:type="dxa"/>
          </w:tcPr>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有效容积：2</w:t>
            </w:r>
            <w:r>
              <w:rPr>
                <w:rFonts w:hint="eastAsia" w:ascii="仿宋" w:hAnsi="仿宋" w:eastAsia="仿宋" w:cs="仿宋"/>
                <w:color w:val="auto"/>
                <w:kern w:val="2"/>
                <w:sz w:val="21"/>
                <w:szCs w:val="21"/>
                <w:highlight w:val="none"/>
                <w:lang w:val="en-US" w:eastAsia="zh-CN"/>
              </w:rPr>
              <w:t>8</w:t>
            </w:r>
            <w:r>
              <w:rPr>
                <w:rFonts w:hint="eastAsia" w:ascii="仿宋" w:hAnsi="仿宋" w:eastAsia="仿宋" w:cs="仿宋"/>
                <w:color w:val="auto"/>
                <w:kern w:val="2"/>
                <w:sz w:val="21"/>
                <w:szCs w:val="21"/>
                <w:highlight w:val="none"/>
              </w:rPr>
              <w:t>L</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额定工作压力：≥0.22Mpa；</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额定工作温度：≥134℃；</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热均匀度：≤±1℃；</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计时选择范围：≥0-99mins；</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温度选择范围：≥105-134℃；</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功率/电源电压：2KW/AC220V 50HZ</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灭菌过程全自动电脑控制，触摸式按键，可任意设定灭菌程序；</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平移式快开门结构，自涨式密封，并有安全联锁装置；</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配有电子压力温度控制器，当达到设定的灭菌压力温度时，能自动进行恒压恒温；消毒桶为优质不锈钢材料；</w:t>
            </w:r>
            <w:r>
              <w:rPr>
                <w:rFonts w:hint="eastAsia" w:ascii="仿宋" w:hAnsi="仿宋" w:eastAsia="仿宋" w:cs="仿宋"/>
                <w:color w:val="auto"/>
                <w:kern w:val="2"/>
                <w:sz w:val="21"/>
                <w:szCs w:val="21"/>
                <w:highlight w:val="none"/>
              </w:rPr>
              <w:br w:type="textWrapping"/>
            </w:r>
            <w:r>
              <w:rPr>
                <w:rFonts w:hint="eastAsia" w:ascii="仿宋" w:hAnsi="仿宋" w:eastAsia="仿宋" w:cs="仿宋"/>
                <w:color w:val="auto"/>
                <w:kern w:val="2"/>
                <w:sz w:val="21"/>
                <w:szCs w:val="21"/>
                <w:highlight w:val="none"/>
              </w:rPr>
              <w:t>设有超温、超压自动保护装置；整机由优质不锈钢材料制成，采用浸入式电热管加热；</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val="en-US" w:eastAsia="zh-CN"/>
              </w:rPr>
              <w:t>设有排放冷气、灭菌、计时、排汽、报警自动功能；</w:t>
            </w:r>
            <w:r>
              <w:rPr>
                <w:rFonts w:hint="eastAsia" w:ascii="仿宋" w:hAnsi="仿宋" w:eastAsia="仿宋" w:cs="仿宋"/>
                <w:color w:val="auto"/>
                <w:kern w:val="2"/>
                <w:sz w:val="21"/>
                <w:szCs w:val="21"/>
                <w:highlight w:val="none"/>
              </w:rPr>
              <w:br w:type="textWrapping"/>
            </w:r>
            <w:r>
              <w:rPr>
                <w:rFonts w:hint="eastAsia" w:ascii="仿宋" w:hAnsi="仿宋" w:eastAsia="仿宋" w:cs="仿宋"/>
                <w:color w:val="auto"/>
                <w:kern w:val="2"/>
                <w:sz w:val="21"/>
                <w:szCs w:val="21"/>
                <w:highlight w:val="none"/>
              </w:rPr>
              <w:t>具有断水过热保护</w:t>
            </w:r>
            <w:r>
              <w:rPr>
                <w:rFonts w:hint="eastAsia" w:ascii="仿宋" w:hAnsi="仿宋" w:eastAsia="仿宋" w:cs="仿宋"/>
                <w:color w:val="auto"/>
                <w:kern w:val="2"/>
                <w:sz w:val="21"/>
                <w:szCs w:val="21"/>
                <w:highlight w:val="none"/>
                <w:lang w:eastAsia="zh-CN"/>
              </w:rPr>
              <w:t>、</w:t>
            </w:r>
            <w:r>
              <w:rPr>
                <w:rFonts w:hint="eastAsia" w:ascii="仿宋" w:hAnsi="仿宋" w:eastAsia="仿宋" w:cs="仿宋"/>
                <w:color w:val="auto"/>
                <w:kern w:val="2"/>
                <w:sz w:val="21"/>
                <w:szCs w:val="21"/>
                <w:highlight w:val="none"/>
                <w:lang w:val="en-US" w:eastAsia="zh-CN"/>
              </w:rPr>
              <w:t>电流过载自动切断</w:t>
            </w:r>
            <w:r>
              <w:rPr>
                <w:rFonts w:hint="eastAsia" w:ascii="仿宋" w:hAnsi="仿宋" w:eastAsia="仿宋" w:cs="仿宋"/>
                <w:color w:val="auto"/>
                <w:kern w:val="2"/>
                <w:sz w:val="21"/>
                <w:szCs w:val="21"/>
                <w:highlight w:val="none"/>
              </w:rPr>
              <w:t>功能</w:t>
            </w:r>
            <w:r>
              <w:rPr>
                <w:rFonts w:hint="eastAsia" w:ascii="仿宋" w:hAnsi="仿宋" w:eastAsia="仿宋" w:cs="仿宋"/>
                <w:color w:val="auto"/>
                <w:kern w:val="2"/>
                <w:sz w:val="21"/>
                <w:szCs w:val="21"/>
                <w:highlight w:val="none"/>
                <w:lang w:eastAsia="zh-CN"/>
              </w:rPr>
              <w:t>；</w:t>
            </w:r>
            <w:r>
              <w:rPr>
                <w:rFonts w:hint="eastAsia" w:ascii="仿宋" w:hAnsi="仿宋" w:eastAsia="仿宋" w:cs="仿宋"/>
                <w:color w:val="auto"/>
                <w:kern w:val="2"/>
                <w:sz w:val="21"/>
                <w:szCs w:val="21"/>
                <w:highlight w:val="none"/>
              </w:rPr>
              <w:t>灭菌循环结束蜂鸣提醒并自动停机。</w:t>
            </w:r>
          </w:p>
        </w:tc>
        <w:tc>
          <w:tcPr>
            <w:tcW w:w="777" w:type="dxa"/>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w:t>
            </w:r>
          </w:p>
        </w:tc>
        <w:tc>
          <w:tcPr>
            <w:tcW w:w="1120" w:type="dxa"/>
            <w:vAlign w:val="center"/>
          </w:tcPr>
          <w:p>
            <w:pPr>
              <w:spacing w:line="0" w:lineRule="atLeast"/>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19002.09</w:t>
            </w:r>
          </w:p>
        </w:tc>
      </w:tr>
    </w:tbl>
    <w:p>
      <w:pPr>
        <w:pStyle w:val="12"/>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本项目中如有出现的品牌规格等，仅为方便描述参考，不具有任何指定性及唯一性，报价人原则上应提供须完全符合技术参数或不低于该品牌档次的产品。报价人必须在报价明细表中列明所投货物的品牌、型号，如报价响应时无列明品牌，则中选后履行合同时须按照询价人指定的品牌、型号、技术参数及报价人的中选价进行供货，不予增加任何费用。</w:t>
      </w:r>
    </w:p>
    <w:p>
      <w:pPr>
        <w:pStyle w:val="12"/>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三、项目商务要求</w:t>
      </w:r>
    </w:p>
    <w:p>
      <w:pPr>
        <w:pStyle w:val="2"/>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1.包装、运输、安装、调试及保管、保险：</w:t>
      </w:r>
    </w:p>
    <w:p>
      <w:pPr>
        <w:pStyle w:val="2"/>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（1）报价人所供货物应为制造商原装出厂包装，包装须符合同等相关标准，因包装不良造成的损失由报价人负责。</w:t>
      </w:r>
    </w:p>
    <w:p>
      <w:pPr>
        <w:pStyle w:val="2"/>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（2）报价人负责将产品送到现场过程中的全部运输，包括装卸车、货物现场的搬运等。</w:t>
      </w:r>
    </w:p>
    <w:p>
      <w:pPr>
        <w:pStyle w:val="2"/>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（3）供货期：合同签订后，国产仪器45 个工作日内到货，进口仪器60 个工作日内到货；</w:t>
      </w:r>
    </w:p>
    <w:p>
      <w:pPr>
        <w:pStyle w:val="2"/>
        <w:ind w:firstLine="1120" w:firstLineChars="4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交货地点：广州市净水有限公司猎德分公司、龙归分公司、竹料分公司</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江高分公司</w:t>
      </w:r>
      <w:r>
        <w:rPr>
          <w:rFonts w:hint="eastAsia" w:ascii="仿宋" w:hAnsi="仿宋" w:eastAsia="仿宋" w:cs="仿宋"/>
          <w:color w:val="auto"/>
          <w:sz w:val="28"/>
          <w:szCs w:val="28"/>
          <w:highlight w:val="none"/>
        </w:rPr>
        <w:t>。</w:t>
      </w:r>
    </w:p>
    <w:p>
      <w:pPr>
        <w:pStyle w:val="12"/>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2.质量保证及售后服务：</w:t>
      </w:r>
    </w:p>
    <w:p>
      <w:pPr>
        <w:pStyle w:val="12"/>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（1）确保货物为原装未拆封或未使用的合格产品，交货时须出具厂家出厂合格证明；</w:t>
      </w:r>
    </w:p>
    <w:p>
      <w:pPr>
        <w:pStyle w:val="2"/>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（2）货物在质保期为自供货验收合格之日起1年内免费提供维保服务。</w:t>
      </w:r>
    </w:p>
    <w:p>
      <w:pPr>
        <w:pStyle w:val="2"/>
        <w:rPr>
          <w:color w:val="auto"/>
          <w:highlight w:val="none"/>
        </w:rPr>
      </w:pPr>
      <w:r>
        <w:rPr>
          <w:rFonts w:hint="eastAsia" w:ascii="仿宋" w:hAnsi="仿宋" w:eastAsia="仿宋" w:cs="仿宋"/>
          <w:color w:val="auto"/>
          <w:sz w:val="28"/>
          <w:szCs w:val="28"/>
          <w:highlight w:val="none"/>
        </w:rPr>
        <w:t>（3）质保期如有质量问题，报价人必须24小时内派技术人员免费到现场进行维修。</w:t>
      </w:r>
    </w:p>
    <w:p>
      <w:pPr>
        <w:pStyle w:val="12"/>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3.总包及分包规定：</w:t>
      </w:r>
    </w:p>
    <w:p>
      <w:pPr>
        <w:pStyle w:val="12"/>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乙方不得转包、分包。否则，甲方有权单方面终止合同，拒收其货物，由此而造成的经济损失由乙方负责赔偿。</w:t>
      </w:r>
    </w:p>
    <w:p>
      <w:pPr>
        <w:pStyle w:val="12"/>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4.询价人将自承包商履行完合同义务之日起15个工作日内组织验收，审定报价人供货的货物合格情况，进行结算审核。</w:t>
      </w:r>
    </w:p>
    <w:p>
      <w:pPr>
        <w:pStyle w:val="12"/>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5.付款方式：</w:t>
      </w:r>
    </w:p>
    <w:p>
      <w:pPr>
        <w:pStyle w:val="12"/>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（1）采用支票、银行汇票形式。</w:t>
      </w:r>
    </w:p>
    <w:p>
      <w:pPr>
        <w:pStyle w:val="12"/>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（2）报价人在收款前需提交相应金额增值税专用发票给需求单位。</w:t>
      </w:r>
    </w:p>
    <w:p>
      <w:pPr>
        <w:pStyle w:val="12"/>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6.承包方式：单价包干。</w:t>
      </w:r>
    </w:p>
    <w:bookmarkEnd w:id="61"/>
    <w:p>
      <w:pPr>
        <w:pStyle w:val="2"/>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color w:val="auto"/>
          <w:highlight w:val="none"/>
        </w:rPr>
      </w:pPr>
    </w:p>
    <w:p>
      <w:pPr>
        <w:pStyle w:val="2"/>
        <w:rPr>
          <w:color w:val="auto"/>
          <w:highlight w:val="none"/>
        </w:rPr>
      </w:pPr>
    </w:p>
    <w:p>
      <w:pPr>
        <w:pStyle w:val="2"/>
        <w:ind w:left="0" w:leftChars="0" w:firstLine="0" w:firstLineChars="0"/>
        <w:rPr>
          <w:color w:val="auto"/>
          <w:highlight w:val="none"/>
        </w:rPr>
      </w:pPr>
    </w:p>
    <w:p>
      <w:pPr>
        <w:pStyle w:val="2"/>
        <w:ind w:left="0" w:leftChars="0" w:firstLine="0" w:firstLineChars="0"/>
        <w:rPr>
          <w:color w:val="auto"/>
          <w:highlight w:val="none"/>
        </w:rPr>
      </w:pPr>
    </w:p>
    <w:p>
      <w:pPr>
        <w:pStyle w:val="2"/>
        <w:rPr>
          <w:color w:val="auto"/>
          <w:highlight w:val="none"/>
        </w:rPr>
      </w:pPr>
    </w:p>
    <w:p>
      <w:pPr>
        <w:pStyle w:val="4"/>
        <w:rPr>
          <w:color w:val="auto"/>
          <w:highlight w:val="none"/>
        </w:rPr>
      </w:pPr>
      <w:bookmarkStart w:id="62" w:name="_Toc537"/>
      <w:bookmarkStart w:id="63" w:name="_Toc23353"/>
      <w:bookmarkStart w:id="64" w:name="_Toc15570"/>
      <w:bookmarkStart w:id="65" w:name="_Toc4680"/>
      <w:bookmarkStart w:id="66" w:name="_Toc12135"/>
      <w:bookmarkStart w:id="67" w:name="_Toc25925"/>
      <w:bookmarkStart w:id="68" w:name="_Toc1284"/>
      <w:bookmarkStart w:id="69" w:name="_Toc1496"/>
      <w:bookmarkStart w:id="70" w:name="_Toc18538"/>
      <w:bookmarkStart w:id="71" w:name="_Toc29835"/>
      <w:bookmarkStart w:id="72" w:name="_Toc23330"/>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2319020</wp:posOffset>
                </wp:positionH>
                <wp:positionV relativeFrom="paragraph">
                  <wp:posOffset>548640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2.6pt;margin-top:43.2pt;height:0pt;width:75.5pt;z-index:251665408;mso-width-relative:page;mso-height-relative:page;" filled="f" stroked="t" coordsize="21600,21600" o:gfxdata="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uThlDWAAAACQEAAA8AAAAAAAAAAQAgAAAAIgAAAGRycy9kb3ducmV2LnhtbFBLAQIUABQA&#10;AAAIAIdO4kAkHaOg8gEAAOIDAAAOAAAAAAAAAAEAIAAAACU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2293620</wp:posOffset>
                </wp:positionH>
                <wp:positionV relativeFrom="paragraph">
                  <wp:posOffset>60960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0.6pt;margin-top:4.8pt;height:0pt;width:75.5pt;z-index:251664384;mso-width-relative:page;mso-height-relative:page;" filled="f" stroked="t" coordsize="21600,21600" o:gfxdata="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vH3x6dMAAAAHAQAADwAAAAAAAAABACAAAAAiAAAAZHJzL2Rvd25yZXYueG1sUEsBAhQAFAAAAAgA&#10;h07iQGNmbxzxAQAA4gMAAA4AAAAAAAAAAQAgAAAAIgEAAGRycy9lMm9Eb2MueG1sUEsFBgAAAAAG&#10;AAYAWQEAAIUFAAAAAA==&#10;">
                <v:fill on="f" focussize="0,0"/>
                <v:stroke color="#000000" joinstyle="round"/>
                <v:imagedata o:title=""/>
                <o:lock v:ext="edit" aspectratio="f"/>
              </v:shape>
            </w:pict>
          </mc:Fallback>
        </mc:AlternateContent>
      </w:r>
      <w:r>
        <w:rPr>
          <w:rFonts w:hint="eastAsia"/>
          <w:color w:val="auto"/>
          <w:highlight w:val="none"/>
        </w:rPr>
        <w:t>第六章</w:t>
      </w:r>
      <w:bookmarkEnd w:id="62"/>
      <w:bookmarkEnd w:id="63"/>
      <w:bookmarkEnd w:id="64"/>
      <w:bookmarkEnd w:id="65"/>
      <w:bookmarkEnd w:id="66"/>
      <w:bookmarkEnd w:id="67"/>
      <w:bookmarkEnd w:id="68"/>
      <w:bookmarkEnd w:id="69"/>
      <w:bookmarkEnd w:id="70"/>
      <w:bookmarkEnd w:id="71"/>
      <w:bookmarkEnd w:id="72"/>
    </w:p>
    <w:p>
      <w:pPr>
        <w:pStyle w:val="37"/>
        <w:rPr>
          <w:color w:val="auto"/>
          <w:highlight w:val="none"/>
        </w:rPr>
      </w:pPr>
    </w:p>
    <w:p>
      <w:pPr>
        <w:pStyle w:val="4"/>
        <w:rPr>
          <w:color w:val="auto"/>
          <w:highlight w:val="none"/>
        </w:rPr>
      </w:pPr>
      <w:bookmarkStart w:id="73" w:name="_Toc12980"/>
      <w:bookmarkStart w:id="74" w:name="_Toc12968"/>
      <w:bookmarkStart w:id="75" w:name="_Toc19686"/>
      <w:bookmarkStart w:id="76" w:name="_Toc22501"/>
      <w:bookmarkStart w:id="77" w:name="_Toc8183"/>
      <w:bookmarkStart w:id="78" w:name="_Toc88209949"/>
      <w:bookmarkStart w:id="79" w:name="_Toc19088"/>
      <w:bookmarkStart w:id="80" w:name="_Toc1375"/>
      <w:bookmarkStart w:id="81" w:name="_Toc87616386"/>
      <w:bookmarkStart w:id="82" w:name="_Toc22797"/>
      <w:bookmarkStart w:id="83" w:name="_Toc13309"/>
      <w:bookmarkStart w:id="84" w:name="_Toc323"/>
      <w:bookmarkStart w:id="85" w:name="_Toc12721"/>
      <w:r>
        <w:rPr>
          <w:rFonts w:hint="eastAsia"/>
          <w:color w:val="auto"/>
          <w:highlight w:val="none"/>
        </w:rPr>
        <w:t>合同</w:t>
      </w:r>
      <w:bookmarkEnd w:id="73"/>
      <w:bookmarkEnd w:id="74"/>
      <w:bookmarkEnd w:id="75"/>
      <w:bookmarkEnd w:id="76"/>
      <w:bookmarkEnd w:id="77"/>
      <w:bookmarkEnd w:id="78"/>
      <w:bookmarkEnd w:id="79"/>
      <w:bookmarkEnd w:id="80"/>
      <w:bookmarkEnd w:id="81"/>
      <w:bookmarkEnd w:id="82"/>
      <w:bookmarkEnd w:id="83"/>
      <w:bookmarkEnd w:id="84"/>
      <w:bookmarkEnd w:id="85"/>
    </w:p>
    <w:p>
      <w:pPr>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jc w:val="both"/>
        <w:rPr>
          <w:b/>
          <w:color w:val="auto"/>
          <w:sz w:val="52"/>
          <w:szCs w:val="84"/>
          <w:highlight w:val="none"/>
        </w:rPr>
      </w:pPr>
      <w:r>
        <w:rPr>
          <w:rFonts w:hint="eastAsia" w:ascii="宋体" w:hAnsi="宋体"/>
          <w:b/>
          <w:color w:val="auto"/>
          <w:sz w:val="28"/>
          <w:szCs w:val="28"/>
          <w:highlight w:val="none"/>
          <w14:shadow w14:blurRad="50800" w14:dist="38100" w14:dir="2700000" w14:sx="100000" w14:sy="100000" w14:kx="0" w14:ky="0" w14:algn="tl">
            <w14:srgbClr w14:val="000000">
              <w14:alpha w14:val="60000"/>
            </w14:srgbClr>
          </w14:shadow>
        </w:rPr>
        <w:t xml:space="preserve">                                            </w:t>
      </w:r>
    </w:p>
    <w:p>
      <w:pPr>
        <w:jc w:val="center"/>
        <w:rPr>
          <w:b/>
          <w:color w:val="auto"/>
          <w:sz w:val="48"/>
          <w:szCs w:val="48"/>
          <w:highlight w:val="none"/>
        </w:rPr>
      </w:pPr>
      <w:r>
        <w:rPr>
          <w:rFonts w:hint="eastAsia"/>
          <w:b/>
          <w:color w:val="auto"/>
          <w:sz w:val="48"/>
          <w:szCs w:val="48"/>
          <w:highlight w:val="none"/>
        </w:rPr>
        <w:t>广州市净水有限公司</w:t>
      </w:r>
    </w:p>
    <w:p>
      <w:pPr>
        <w:jc w:val="center"/>
        <w:rPr>
          <w:b/>
          <w:color w:val="auto"/>
          <w:sz w:val="48"/>
          <w:szCs w:val="48"/>
          <w:highlight w:val="none"/>
        </w:rPr>
      </w:pPr>
      <w:r>
        <w:rPr>
          <w:rFonts w:hint="eastAsia"/>
          <w:b/>
          <w:color w:val="auto"/>
          <w:sz w:val="48"/>
          <w:szCs w:val="48"/>
          <w:highlight w:val="none"/>
        </w:rPr>
        <w:t>设备采购合同</w:t>
      </w:r>
    </w:p>
    <w:p>
      <w:pPr>
        <w:jc w:val="center"/>
        <w:rPr>
          <w:color w:val="auto"/>
          <w:sz w:val="30"/>
          <w:highlight w:val="none"/>
        </w:rPr>
      </w:pPr>
    </w:p>
    <w:p>
      <w:pPr>
        <w:rPr>
          <w:rFonts w:hint="eastAsia"/>
          <w:color w:val="auto"/>
          <w:sz w:val="30"/>
          <w:highlight w:val="none"/>
        </w:rPr>
      </w:pPr>
      <w:r>
        <w:rPr>
          <w:rFonts w:hint="eastAsia"/>
          <w:color w:val="auto"/>
          <w:sz w:val="30"/>
          <w:highlight w:val="none"/>
        </w:rPr>
        <w:t>项目名称：广州市净水有限公司2022年实验室化验仪器及辅助设备采购项目</w:t>
      </w:r>
    </w:p>
    <w:p>
      <w:pPr>
        <w:rPr>
          <w:rFonts w:hint="eastAsia"/>
          <w:color w:val="auto"/>
          <w:sz w:val="30"/>
          <w:highlight w:val="none"/>
          <w:lang w:val="en-US" w:eastAsia="zh-CN"/>
        </w:rPr>
      </w:pPr>
      <w:r>
        <w:rPr>
          <w:rFonts w:hint="eastAsia"/>
          <w:color w:val="auto"/>
          <w:sz w:val="30"/>
          <w:highlight w:val="none"/>
          <w:lang w:val="en-US" w:eastAsia="zh-CN"/>
        </w:rPr>
        <w:t>项目编号：</w:t>
      </w:r>
    </w:p>
    <w:p>
      <w:pPr>
        <w:rPr>
          <w:rFonts w:hint="eastAsia"/>
          <w:color w:val="auto"/>
          <w:sz w:val="30"/>
          <w:highlight w:val="none"/>
          <w:lang w:val="en-US" w:eastAsia="zh-CN"/>
        </w:rPr>
      </w:pPr>
    </w:p>
    <w:p>
      <w:pPr>
        <w:rPr>
          <w:color w:val="auto"/>
          <w:sz w:val="30"/>
          <w:szCs w:val="30"/>
          <w:highlight w:val="none"/>
        </w:rPr>
      </w:pPr>
      <w:r>
        <w:rPr>
          <w:rFonts w:hint="eastAsia"/>
          <w:color w:val="auto"/>
          <w:sz w:val="30"/>
          <w:highlight w:val="none"/>
        </w:rPr>
        <w:t>合同编号：</w:t>
      </w:r>
      <w:r>
        <w:rPr>
          <w:rFonts w:hint="eastAsia" w:ascii="宋体" w:hAnsi="宋体" w:cs="宋体"/>
          <w:b/>
          <w:bCs/>
          <w:color w:val="auto"/>
          <w:sz w:val="30"/>
          <w:szCs w:val="30"/>
          <w:highlight w:val="none"/>
        </w:rPr>
        <w:t>穗净水合</w:t>
      </w:r>
      <w:r>
        <w:rPr>
          <w:rFonts w:ascii="宋体" w:hAnsi="宋体" w:cs="宋体"/>
          <w:b/>
          <w:bCs/>
          <w:color w:val="auto"/>
          <w:sz w:val="30"/>
          <w:szCs w:val="30"/>
          <w:highlight w:val="none"/>
        </w:rPr>
        <w:t>[</w:t>
      </w:r>
      <w:r>
        <w:rPr>
          <w:rFonts w:hint="eastAsia" w:ascii="宋体" w:hAnsi="宋体" w:cs="宋体"/>
          <w:b/>
          <w:bCs/>
          <w:color w:val="auto"/>
          <w:sz w:val="30"/>
          <w:szCs w:val="30"/>
          <w:highlight w:val="none"/>
          <w:lang w:val="en-US" w:eastAsia="zh-CN"/>
        </w:rPr>
        <w:t>2022</w:t>
      </w:r>
      <w:r>
        <w:rPr>
          <w:rFonts w:ascii="宋体" w:hAnsi="宋体" w:cs="宋体"/>
          <w:b/>
          <w:bCs/>
          <w:color w:val="auto"/>
          <w:sz w:val="30"/>
          <w:szCs w:val="30"/>
          <w:highlight w:val="none"/>
        </w:rPr>
        <w:t xml:space="preserve">]    </w:t>
      </w:r>
      <w:r>
        <w:rPr>
          <w:rFonts w:hint="eastAsia" w:ascii="宋体" w:hAnsi="宋体" w:cs="宋体"/>
          <w:b/>
          <w:bCs/>
          <w:color w:val="auto"/>
          <w:sz w:val="30"/>
          <w:szCs w:val="30"/>
          <w:highlight w:val="none"/>
        </w:rPr>
        <w:t>号</w:t>
      </w:r>
    </w:p>
    <w:p>
      <w:pPr>
        <w:rPr>
          <w:color w:val="auto"/>
          <w:sz w:val="30"/>
          <w:szCs w:val="30"/>
          <w:highlight w:val="none"/>
        </w:rPr>
      </w:pPr>
    </w:p>
    <w:p>
      <w:pPr>
        <w:rPr>
          <w:color w:val="auto"/>
          <w:sz w:val="30"/>
          <w:highlight w:val="none"/>
          <w:u w:val="single"/>
        </w:rPr>
      </w:pPr>
      <w:r>
        <w:rPr>
          <w:rFonts w:hint="eastAsia"/>
          <w:color w:val="auto"/>
          <w:sz w:val="30"/>
          <w:highlight w:val="none"/>
        </w:rPr>
        <w:t>甲方（买方）：</w:t>
      </w:r>
      <w:r>
        <w:rPr>
          <w:rFonts w:hint="eastAsia"/>
          <w:color w:val="auto"/>
          <w:sz w:val="30"/>
          <w:highlight w:val="none"/>
          <w:u w:val="single"/>
        </w:rPr>
        <w:t>广州市净水有限公司</w:t>
      </w:r>
    </w:p>
    <w:p>
      <w:pPr>
        <w:rPr>
          <w:color w:val="auto"/>
          <w:sz w:val="30"/>
          <w:highlight w:val="none"/>
        </w:rPr>
      </w:pPr>
      <w:r>
        <w:rPr>
          <w:rFonts w:hint="eastAsia"/>
          <w:color w:val="auto"/>
          <w:sz w:val="30"/>
          <w:highlight w:val="none"/>
        </w:rPr>
        <w:t>乙方（卖方）：</w:t>
      </w:r>
      <w:r>
        <w:rPr>
          <w:color w:val="auto"/>
          <w:sz w:val="30"/>
          <w:highlight w:val="none"/>
          <w:u w:val="single"/>
        </w:rPr>
        <w:t xml:space="preserve">                                        </w:t>
      </w:r>
      <w:r>
        <w:rPr>
          <w:color w:val="auto"/>
          <w:sz w:val="30"/>
          <w:highlight w:val="none"/>
        </w:rPr>
        <w:t xml:space="preserve"> </w:t>
      </w:r>
    </w:p>
    <w:p>
      <w:pPr>
        <w:rPr>
          <w:color w:val="auto"/>
          <w:sz w:val="30"/>
          <w:highlight w:val="none"/>
        </w:rPr>
      </w:pPr>
      <w:r>
        <w:rPr>
          <w:rFonts w:hint="eastAsia"/>
          <w:color w:val="auto"/>
          <w:sz w:val="30"/>
          <w:highlight w:val="none"/>
        </w:rPr>
        <w:t>签订日期：</w:t>
      </w:r>
      <w:r>
        <w:rPr>
          <w:color w:val="auto"/>
          <w:sz w:val="30"/>
          <w:highlight w:val="none"/>
        </w:rPr>
        <w:t xml:space="preserve">           </w:t>
      </w:r>
      <w:r>
        <w:rPr>
          <w:rFonts w:hint="eastAsia"/>
          <w:color w:val="auto"/>
          <w:sz w:val="30"/>
          <w:highlight w:val="none"/>
        </w:rPr>
        <w:t>年</w:t>
      </w:r>
      <w:r>
        <w:rPr>
          <w:color w:val="auto"/>
          <w:sz w:val="30"/>
          <w:highlight w:val="none"/>
        </w:rPr>
        <w:t xml:space="preserve">       </w:t>
      </w:r>
      <w:r>
        <w:rPr>
          <w:rFonts w:hint="eastAsia"/>
          <w:color w:val="auto"/>
          <w:sz w:val="30"/>
          <w:highlight w:val="none"/>
        </w:rPr>
        <w:t>月</w:t>
      </w:r>
      <w:r>
        <w:rPr>
          <w:color w:val="auto"/>
          <w:sz w:val="30"/>
          <w:highlight w:val="none"/>
        </w:rPr>
        <w:t xml:space="preserve">     </w:t>
      </w:r>
      <w:r>
        <w:rPr>
          <w:rFonts w:hint="eastAsia"/>
          <w:color w:val="auto"/>
          <w:sz w:val="30"/>
          <w:highlight w:val="none"/>
        </w:rPr>
        <w:t>日</w:t>
      </w:r>
    </w:p>
    <w:p>
      <w:pPr>
        <w:rPr>
          <w:color w:val="auto"/>
          <w:sz w:val="30"/>
          <w:highlight w:val="none"/>
        </w:rPr>
      </w:pPr>
      <w:r>
        <w:rPr>
          <w:rFonts w:hint="eastAsia"/>
          <w:color w:val="auto"/>
          <w:sz w:val="30"/>
          <w:highlight w:val="none"/>
        </w:rPr>
        <w:t>签约地点：广州市</w:t>
      </w:r>
    </w:p>
    <w:p>
      <w:pPr>
        <w:pStyle w:val="2"/>
        <w:ind w:left="0" w:leftChars="0" w:firstLine="0" w:firstLineChars="0"/>
        <w:rPr>
          <w:color w:val="auto"/>
          <w:highlight w:val="none"/>
          <w:lang w:val="zh-CN" w:eastAsia="zh-CN"/>
        </w:rPr>
      </w:pPr>
    </w:p>
    <w:p>
      <w:pPr>
        <w:pStyle w:val="2"/>
        <w:ind w:left="0" w:leftChars="0" w:firstLine="0" w:firstLineChars="0"/>
        <w:rPr>
          <w:color w:val="auto"/>
          <w:highlight w:val="none"/>
          <w:lang w:val="zh-CN" w:eastAsia="zh-CN"/>
        </w:rPr>
      </w:pPr>
    </w:p>
    <w:p>
      <w:pPr>
        <w:spacing w:line="360" w:lineRule="auto"/>
        <w:ind w:firstLine="720" w:firstLineChars="300"/>
        <w:rPr>
          <w:rFonts w:hint="eastAsia" w:ascii="宋体" w:hAnsi="宋体" w:cs="宋体"/>
          <w:color w:val="auto"/>
          <w:sz w:val="24"/>
          <w:szCs w:val="24"/>
          <w:highlight w:val="none"/>
        </w:rPr>
      </w:pPr>
    </w:p>
    <w:p>
      <w:pPr>
        <w:spacing w:line="360" w:lineRule="auto"/>
        <w:ind w:firstLine="720" w:firstLineChars="300"/>
        <w:rPr>
          <w:rFonts w:hint="eastAsia" w:ascii="宋体" w:hAnsi="宋体" w:cs="宋体"/>
          <w:color w:val="auto"/>
          <w:sz w:val="24"/>
          <w:szCs w:val="24"/>
          <w:highlight w:val="none"/>
        </w:rPr>
      </w:pPr>
    </w:p>
    <w:p>
      <w:pPr>
        <w:spacing w:line="360" w:lineRule="auto"/>
        <w:ind w:firstLine="720" w:firstLineChars="300"/>
        <w:rPr>
          <w:rFonts w:hint="eastAsia" w:ascii="宋体" w:hAnsi="宋体" w:cs="宋体"/>
          <w:color w:val="auto"/>
          <w:sz w:val="24"/>
          <w:szCs w:val="24"/>
          <w:highlight w:val="none"/>
        </w:rPr>
      </w:pPr>
    </w:p>
    <w:p>
      <w:pPr>
        <w:pStyle w:val="2"/>
        <w:rPr>
          <w:rFonts w:hint="eastAsia" w:ascii="宋体" w:hAnsi="宋体" w:cs="宋体"/>
          <w:color w:val="auto"/>
          <w:sz w:val="24"/>
          <w:szCs w:val="24"/>
          <w:highlight w:val="none"/>
        </w:rPr>
      </w:pPr>
    </w:p>
    <w:p>
      <w:pPr>
        <w:pStyle w:val="2"/>
        <w:rPr>
          <w:rFonts w:hint="default" w:ascii="宋体" w:hAnsi="宋体" w:cs="宋体"/>
          <w:color w:val="auto"/>
          <w:sz w:val="24"/>
          <w:szCs w:val="24"/>
          <w:highlight w:val="none"/>
        </w:rPr>
      </w:pPr>
    </w:p>
    <w:p>
      <w:pPr>
        <w:spacing w:line="360" w:lineRule="auto"/>
        <w:ind w:firstLine="720" w:firstLineChars="300"/>
        <w:rPr>
          <w:rFonts w:hint="eastAsia" w:ascii="宋体" w:hAnsi="宋体" w:cs="宋体"/>
          <w:color w:val="auto"/>
          <w:sz w:val="24"/>
          <w:szCs w:val="24"/>
          <w:highlight w:val="none"/>
        </w:rPr>
      </w:pPr>
    </w:p>
    <w:p>
      <w:pPr>
        <w:spacing w:line="360" w:lineRule="auto"/>
        <w:ind w:firstLine="720" w:firstLineChars="300"/>
        <w:rPr>
          <w:rFonts w:ascii="宋体" w:hAnsi="宋体" w:cs="宋体"/>
          <w:color w:val="auto"/>
          <w:sz w:val="24"/>
          <w:szCs w:val="24"/>
          <w:highlight w:val="none"/>
        </w:rPr>
      </w:pPr>
      <w:r>
        <w:rPr>
          <w:rFonts w:hint="eastAsia" w:ascii="宋体" w:hAnsi="宋体" w:cs="宋体"/>
          <w:color w:val="auto"/>
          <w:sz w:val="24"/>
          <w:szCs w:val="24"/>
          <w:highlight w:val="none"/>
        </w:rPr>
        <w:t>根据《中华人民共和国</w:t>
      </w:r>
      <w:r>
        <w:rPr>
          <w:rFonts w:hint="eastAsia" w:ascii="宋体" w:hAnsi="宋体" w:cs="宋体"/>
          <w:color w:val="auto"/>
          <w:sz w:val="24"/>
          <w:szCs w:val="24"/>
          <w:highlight w:val="none"/>
          <w:lang w:val="en-US" w:eastAsia="zh-CN"/>
        </w:rPr>
        <w:t>民法典</w:t>
      </w:r>
      <w:r>
        <w:rPr>
          <w:rFonts w:hint="eastAsia" w:ascii="宋体" w:hAnsi="宋体" w:cs="宋体"/>
          <w:color w:val="auto"/>
          <w:sz w:val="24"/>
          <w:szCs w:val="24"/>
          <w:highlight w:val="none"/>
        </w:rPr>
        <w:t>》及其他有关法律、行政法规，</w:t>
      </w:r>
      <w:r>
        <w:rPr>
          <w:rFonts w:hint="eastAsia" w:ascii="宋体" w:hAnsi="宋体" w:cs="宋体"/>
          <w:color w:val="auto"/>
          <w:sz w:val="24"/>
          <w:szCs w:val="24"/>
          <w:highlight w:val="none"/>
          <w:u w:val="single"/>
        </w:rPr>
        <w:t>广州市净水有限公司</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（以下简称“甲方”）与</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（以下简称“乙方”）就</w:t>
      </w:r>
      <w:r>
        <w:rPr>
          <w:rFonts w:ascii="宋体" w:hAnsi="宋体" w:cs="宋体"/>
          <w:color w:val="auto"/>
          <w:sz w:val="24"/>
          <w:szCs w:val="24"/>
          <w:highlight w:val="none"/>
        </w:rPr>
        <w:t xml:space="preserve"> </w:t>
      </w:r>
      <w:r>
        <w:rPr>
          <w:rFonts w:hint="eastAsia" w:ascii="宋体" w:hAnsi="宋体" w:cs="宋体"/>
          <w:color w:val="auto"/>
          <w:sz w:val="24"/>
          <w:szCs w:val="24"/>
          <w:highlight w:val="none"/>
          <w:u w:val="single"/>
        </w:rPr>
        <w:t>广州市净水有限公司2022年实验室化验仪器及辅助设备采购项目</w:t>
      </w:r>
      <w:r>
        <w:rPr>
          <w:rFonts w:hint="eastAsia" w:ascii="宋体" w:hAnsi="宋体" w:cs="宋体"/>
          <w:color w:val="auto"/>
          <w:sz w:val="24"/>
          <w:szCs w:val="24"/>
          <w:highlight w:val="none"/>
        </w:rPr>
        <w:t>采购和相应技术服务事宜，遵循平等、自愿、公平和诚实信用的原则，双方协商一致，订立本合同。</w:t>
      </w:r>
      <w:bookmarkStart w:id="86" w:name="_Toc518992986"/>
      <w:bookmarkStart w:id="87" w:name="_Toc183666513"/>
      <w:bookmarkStart w:id="88" w:name="_Toc474245210"/>
      <w:bookmarkStart w:id="89" w:name="_Toc520190026"/>
      <w:bookmarkStart w:id="90" w:name="_Toc1018"/>
    </w:p>
    <w:p>
      <w:pPr>
        <w:spacing w:line="360" w:lineRule="auto"/>
        <w:ind w:firstLine="540"/>
        <w:rPr>
          <w:rFonts w:ascii="宋体" w:hAnsi="宋体" w:cs="宋体"/>
          <w:b/>
          <w:bCs/>
          <w:color w:val="auto"/>
          <w:sz w:val="24"/>
          <w:szCs w:val="24"/>
          <w:highlight w:val="none"/>
        </w:rPr>
      </w:pPr>
      <w:r>
        <w:rPr>
          <w:rFonts w:ascii="宋体" w:hAnsi="宋体" w:cs="宋体"/>
          <w:b/>
          <w:bCs/>
          <w:color w:val="auto"/>
          <w:sz w:val="24"/>
          <w:szCs w:val="24"/>
          <w:highlight w:val="none"/>
        </w:rPr>
        <w:t>第一条 组成合同的文件及优先顺序</w:t>
      </w:r>
    </w:p>
    <w:p>
      <w:pPr>
        <w:spacing w:line="360" w:lineRule="auto"/>
        <w:ind w:firstLine="480" w:firstLineChars="200"/>
        <w:rPr>
          <w:rFonts w:ascii="宋体" w:hAnsi="宋体" w:cs="宋体"/>
          <w:color w:val="auto"/>
          <w:sz w:val="24"/>
          <w:szCs w:val="24"/>
          <w:highlight w:val="none"/>
        </w:rPr>
      </w:pPr>
      <w:r>
        <w:rPr>
          <w:rFonts w:hint="eastAsia" w:hAnsi="宋体" w:cs="宋体"/>
          <w:bCs/>
          <w:color w:val="auto"/>
          <w:sz w:val="24"/>
          <w:highlight w:val="none"/>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⑴</w:t>
      </w:r>
      <w:r>
        <w:rPr>
          <w:rFonts w:ascii="宋体" w:hAnsi="宋体" w:cs="宋体"/>
          <w:bCs/>
          <w:color w:val="auto"/>
          <w:sz w:val="24"/>
          <w:highlight w:val="none"/>
        </w:rPr>
        <w:t xml:space="preserve"> </w:t>
      </w:r>
      <w:r>
        <w:rPr>
          <w:rFonts w:hint="eastAsia" w:ascii="宋体" w:hAnsi="宋体" w:cs="宋体"/>
          <w:color w:val="auto"/>
          <w:sz w:val="24"/>
          <w:highlight w:val="none"/>
        </w:rPr>
        <w:t>在本合同实施过程双方签署的补充与修正文件</w:t>
      </w:r>
      <w:r>
        <w:rPr>
          <w:rFonts w:hint="eastAsia" w:ascii="宋体" w:hAnsi="宋体" w:cs="宋体"/>
          <w:bCs/>
          <w:color w:val="auto"/>
          <w:sz w:val="24"/>
          <w:highlight w:val="none"/>
        </w:rPr>
        <w:t>；</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⑵</w:t>
      </w:r>
      <w:r>
        <w:rPr>
          <w:rFonts w:ascii="宋体" w:hAnsi="宋体" w:cs="宋体"/>
          <w:bCs/>
          <w:color w:val="auto"/>
          <w:sz w:val="24"/>
          <w:highlight w:val="none"/>
        </w:rPr>
        <w:t xml:space="preserve"> </w:t>
      </w:r>
      <w:r>
        <w:rPr>
          <w:rFonts w:hint="eastAsia" w:ascii="宋体" w:hAnsi="宋体" w:cs="宋体"/>
          <w:bCs/>
          <w:color w:val="auto"/>
          <w:sz w:val="24"/>
          <w:highlight w:val="none"/>
        </w:rPr>
        <w:t>本合同书；</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⑶</w:t>
      </w:r>
      <w:r>
        <w:rPr>
          <w:rFonts w:ascii="宋体" w:hAnsi="宋体" w:cs="宋体"/>
          <w:bCs/>
          <w:color w:val="auto"/>
          <w:sz w:val="24"/>
          <w:highlight w:val="none"/>
        </w:rPr>
        <w:t xml:space="preserve"> </w:t>
      </w:r>
      <w:r>
        <w:rPr>
          <w:rFonts w:hint="eastAsia" w:ascii="宋体" w:hAnsi="宋体" w:cs="宋体"/>
          <w:bCs/>
          <w:color w:val="auto"/>
          <w:sz w:val="24"/>
          <w:highlight w:val="none"/>
        </w:rPr>
        <w:t>中标通知书</w:t>
      </w:r>
      <w:r>
        <w:rPr>
          <w:rFonts w:ascii="宋体" w:hAnsi="宋体" w:cs="宋体"/>
          <w:bCs/>
          <w:color w:val="auto"/>
          <w:sz w:val="24"/>
          <w:highlight w:val="none"/>
        </w:rPr>
        <w:t>/</w:t>
      </w:r>
      <w:r>
        <w:rPr>
          <w:rFonts w:hint="eastAsia" w:ascii="宋体" w:hAnsi="宋体" w:cs="宋体"/>
          <w:bCs/>
          <w:color w:val="auto"/>
          <w:sz w:val="24"/>
          <w:highlight w:val="none"/>
        </w:rPr>
        <w:t>发包通知书</w:t>
      </w:r>
      <w:r>
        <w:rPr>
          <w:rFonts w:ascii="宋体" w:hAnsi="宋体" w:cs="宋体"/>
          <w:bCs/>
          <w:color w:val="auto"/>
          <w:sz w:val="24"/>
          <w:highlight w:val="none"/>
        </w:rPr>
        <w:t>/</w:t>
      </w:r>
      <w:r>
        <w:rPr>
          <w:rFonts w:hint="eastAsia" w:ascii="宋体" w:hAnsi="宋体" w:cs="宋体"/>
          <w:bCs/>
          <w:color w:val="auto"/>
          <w:sz w:val="24"/>
          <w:highlight w:val="none"/>
          <w:lang w:val="en-US" w:eastAsia="zh-CN"/>
        </w:rPr>
        <w:t>成交通知书/</w:t>
      </w:r>
      <w:r>
        <w:rPr>
          <w:rFonts w:hint="eastAsia" w:ascii="宋体" w:hAnsi="宋体" w:cs="宋体"/>
          <w:bCs/>
          <w:color w:val="auto"/>
          <w:sz w:val="24"/>
          <w:highlight w:val="none"/>
        </w:rPr>
        <w:t>委托函；</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⑷</w:t>
      </w:r>
      <w:r>
        <w:rPr>
          <w:rFonts w:ascii="宋体" w:hAnsi="宋体" w:cs="宋体"/>
          <w:bCs/>
          <w:color w:val="auto"/>
          <w:sz w:val="24"/>
          <w:highlight w:val="none"/>
        </w:rPr>
        <w:t xml:space="preserve"> </w:t>
      </w:r>
      <w:r>
        <w:rPr>
          <w:rFonts w:hint="eastAsia" w:ascii="宋体" w:hAnsi="宋体" w:cs="宋体"/>
          <w:bCs/>
          <w:color w:val="auto"/>
          <w:sz w:val="24"/>
          <w:highlight w:val="none"/>
        </w:rPr>
        <w:t>招标文件</w:t>
      </w:r>
      <w:r>
        <w:rPr>
          <w:rFonts w:ascii="宋体" w:hAnsi="宋体" w:cs="宋体"/>
          <w:bCs/>
          <w:color w:val="auto"/>
          <w:sz w:val="24"/>
          <w:highlight w:val="none"/>
        </w:rPr>
        <w:t>/</w:t>
      </w:r>
      <w:r>
        <w:rPr>
          <w:rFonts w:hint="eastAsia" w:ascii="宋体" w:hAnsi="宋体" w:cs="宋体"/>
          <w:bCs/>
          <w:color w:val="auto"/>
          <w:sz w:val="24"/>
          <w:highlight w:val="none"/>
        </w:rPr>
        <w:t>询价文件；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⑸</w:t>
      </w:r>
      <w:r>
        <w:rPr>
          <w:rFonts w:ascii="宋体" w:hAnsi="宋体" w:cs="宋体"/>
          <w:bCs/>
          <w:color w:val="auto"/>
          <w:sz w:val="24"/>
          <w:highlight w:val="none"/>
        </w:rPr>
        <w:t xml:space="preserve"> </w:t>
      </w:r>
      <w:r>
        <w:rPr>
          <w:rFonts w:hint="eastAsia" w:ascii="宋体" w:hAnsi="宋体" w:cs="宋体"/>
          <w:bCs/>
          <w:color w:val="auto"/>
          <w:sz w:val="24"/>
          <w:highlight w:val="none"/>
        </w:rPr>
        <w:t>投标文件</w:t>
      </w:r>
      <w:r>
        <w:rPr>
          <w:rFonts w:ascii="宋体" w:hAnsi="宋体" w:cs="宋体"/>
          <w:bCs/>
          <w:color w:val="auto"/>
          <w:sz w:val="24"/>
          <w:highlight w:val="none"/>
        </w:rPr>
        <w:t>/</w:t>
      </w:r>
      <w:r>
        <w:rPr>
          <w:rFonts w:hint="eastAsia" w:ascii="宋体" w:hAnsi="宋体" w:cs="宋体"/>
          <w:bCs/>
          <w:color w:val="auto"/>
          <w:sz w:val="24"/>
          <w:highlight w:val="none"/>
        </w:rPr>
        <w:t>响应文件；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⑹</w:t>
      </w:r>
      <w:r>
        <w:rPr>
          <w:rFonts w:ascii="宋体" w:hAnsi="宋体" w:cs="宋体"/>
          <w:bCs/>
          <w:color w:val="auto"/>
          <w:sz w:val="24"/>
          <w:highlight w:val="none"/>
        </w:rPr>
        <w:t xml:space="preserve"> </w:t>
      </w:r>
      <w:r>
        <w:rPr>
          <w:rFonts w:hint="eastAsia" w:ascii="宋体" w:hAnsi="宋体" w:cs="宋体"/>
          <w:bCs/>
          <w:color w:val="auto"/>
          <w:sz w:val="24"/>
          <w:highlight w:val="none"/>
        </w:rPr>
        <w:t>标准、规范及有关技术性文件；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⑺</w:t>
      </w:r>
      <w:r>
        <w:rPr>
          <w:rFonts w:ascii="宋体" w:hAnsi="宋体" w:cs="宋体"/>
          <w:bCs/>
          <w:color w:val="auto"/>
          <w:sz w:val="24"/>
          <w:highlight w:val="none"/>
        </w:rPr>
        <w:t xml:space="preserve"> </w:t>
      </w:r>
      <w:r>
        <w:rPr>
          <w:rFonts w:hint="eastAsia" w:ascii="宋体" w:hAnsi="宋体" w:cs="宋体"/>
          <w:bCs/>
          <w:color w:val="auto"/>
          <w:sz w:val="24"/>
          <w:highlight w:val="none"/>
        </w:rPr>
        <w:t>图纸；</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⑻</w:t>
      </w:r>
      <w:r>
        <w:rPr>
          <w:rFonts w:ascii="宋体" w:hAnsi="宋体" w:cs="宋体"/>
          <w:bCs/>
          <w:color w:val="auto"/>
          <w:sz w:val="24"/>
          <w:highlight w:val="none"/>
        </w:rPr>
        <w:t xml:space="preserve"> </w:t>
      </w:r>
      <w:r>
        <w:rPr>
          <w:rFonts w:hint="eastAsia" w:ascii="宋体" w:hAnsi="宋体" w:cs="宋体"/>
          <w:bCs/>
          <w:color w:val="auto"/>
          <w:sz w:val="24"/>
          <w:highlight w:val="none"/>
        </w:rPr>
        <w:t>工程量清单</w:t>
      </w:r>
      <w:r>
        <w:rPr>
          <w:rFonts w:ascii="宋体" w:hAnsi="宋体" w:cs="宋体"/>
          <w:bCs/>
          <w:color w:val="auto"/>
          <w:sz w:val="24"/>
          <w:highlight w:val="none"/>
        </w:rPr>
        <w:t>/</w:t>
      </w:r>
      <w:r>
        <w:rPr>
          <w:rFonts w:hint="eastAsia" w:ascii="宋体" w:hAnsi="宋体" w:cs="宋体"/>
          <w:color w:val="auto"/>
          <w:sz w:val="24"/>
          <w:highlight w:val="none"/>
        </w:rPr>
        <w:t>工程报价单或预算书；</w:t>
      </w:r>
    </w:p>
    <w:p>
      <w:pPr>
        <w:spacing w:line="360" w:lineRule="auto"/>
        <w:ind w:firstLine="480" w:firstLineChars="200"/>
        <w:rPr>
          <w:rFonts w:ascii="宋体" w:hAnsi="宋体" w:cs="宋体"/>
          <w:color w:val="auto"/>
          <w:sz w:val="24"/>
          <w:szCs w:val="24"/>
          <w:highlight w:val="none"/>
        </w:rPr>
      </w:pPr>
      <w:r>
        <w:rPr>
          <w:rFonts w:hint="eastAsia" w:ascii="宋体" w:hAnsi="宋体" w:cs="宋体"/>
          <w:bCs/>
          <w:color w:val="auto"/>
          <w:sz w:val="24"/>
          <w:highlight w:val="none"/>
        </w:rPr>
        <w:t>⑼</w:t>
      </w:r>
      <w:r>
        <w:rPr>
          <w:rFonts w:ascii="宋体" w:hAnsi="宋体" w:cs="宋体"/>
          <w:bCs/>
          <w:color w:val="auto"/>
          <w:sz w:val="24"/>
          <w:highlight w:val="none"/>
        </w:rPr>
        <w:t xml:space="preserve"> </w:t>
      </w:r>
      <w:r>
        <w:rPr>
          <w:rFonts w:hint="eastAsia" w:ascii="宋体" w:hAnsi="宋体" w:cs="宋体"/>
          <w:bCs/>
          <w:color w:val="auto"/>
          <w:sz w:val="24"/>
          <w:highlight w:val="none"/>
        </w:rPr>
        <w:t>本合同其他附件；</w:t>
      </w:r>
    </w:p>
    <w:p>
      <w:pPr>
        <w:spacing w:line="360" w:lineRule="auto"/>
        <w:rPr>
          <w:rFonts w:ascii="宋体" w:hAnsi="宋体" w:cs="宋体"/>
          <w:bCs/>
          <w:color w:val="auto"/>
          <w:sz w:val="24"/>
          <w:szCs w:val="24"/>
          <w:highlight w:val="none"/>
        </w:rPr>
      </w:pPr>
      <w:r>
        <w:rPr>
          <w:rFonts w:ascii="宋体" w:hAnsi="宋体" w:cs="宋体"/>
          <w:color w:val="auto"/>
          <w:sz w:val="24"/>
          <w:szCs w:val="24"/>
          <w:highlight w:val="none"/>
        </w:rPr>
        <w:t xml:space="preserve">   </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第二条</w:t>
      </w:r>
      <w:r>
        <w:rPr>
          <w:rFonts w:ascii="宋体" w:hAnsi="宋体" w:cs="宋体"/>
          <w:b/>
          <w:bCs/>
          <w:color w:val="auto"/>
          <w:sz w:val="24"/>
          <w:szCs w:val="24"/>
          <w:highlight w:val="none"/>
        </w:rPr>
        <w:t xml:space="preserve"> </w:t>
      </w:r>
      <w:bookmarkEnd w:id="86"/>
      <w:bookmarkEnd w:id="87"/>
      <w:bookmarkEnd w:id="88"/>
      <w:bookmarkEnd w:id="89"/>
      <w:bookmarkEnd w:id="90"/>
      <w:r>
        <w:rPr>
          <w:rFonts w:hint="eastAsia" w:ascii="宋体" w:hAnsi="宋体" w:cs="宋体"/>
          <w:b/>
          <w:color w:val="auto"/>
          <w:sz w:val="24"/>
          <w:szCs w:val="24"/>
          <w:highlight w:val="none"/>
        </w:rPr>
        <w:t>合同标的</w:t>
      </w:r>
    </w:p>
    <w:p>
      <w:pPr>
        <w:autoSpaceDE w:val="0"/>
        <w:autoSpaceDN w:val="0"/>
        <w:adjustRightInd w:val="0"/>
        <w:spacing w:line="360" w:lineRule="auto"/>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本合同所指设备为</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zh-CN"/>
        </w:rPr>
        <w:t>…</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全新的原装产品，原产地为</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zh-CN"/>
        </w:rPr>
        <w:t>…，</w:t>
      </w:r>
      <w:r>
        <w:rPr>
          <w:rFonts w:hint="eastAsia" w:ascii="宋体" w:hAnsi="宋体" w:cs="宋体"/>
          <w:color w:val="auto"/>
          <w:kern w:val="0"/>
          <w:sz w:val="24"/>
          <w:szCs w:val="24"/>
          <w:highlight w:val="none"/>
        </w:rPr>
        <w:t>其</w:t>
      </w:r>
      <w:r>
        <w:rPr>
          <w:rFonts w:hint="eastAsia" w:ascii="宋体" w:hAnsi="宋体" w:cs="宋体"/>
          <w:color w:val="auto"/>
          <w:kern w:val="0"/>
          <w:sz w:val="24"/>
          <w:szCs w:val="24"/>
          <w:highlight w:val="none"/>
          <w:lang w:val="zh-CN"/>
        </w:rPr>
        <w:t>名称、型号、规格、数量、金额详见下表：</w:t>
      </w:r>
    </w:p>
    <w:tbl>
      <w:tblPr>
        <w:tblStyle w:val="22"/>
        <w:tblW w:w="0" w:type="auto"/>
        <w:tblInd w:w="0" w:type="dxa"/>
        <w:tblLayout w:type="fixed"/>
        <w:tblCellMar>
          <w:top w:w="0" w:type="dxa"/>
          <w:left w:w="108" w:type="dxa"/>
          <w:bottom w:w="0" w:type="dxa"/>
          <w:right w:w="108" w:type="dxa"/>
        </w:tblCellMar>
      </w:tblPr>
      <w:tblGrid>
        <w:gridCol w:w="791"/>
        <w:gridCol w:w="840"/>
        <w:gridCol w:w="1076"/>
        <w:gridCol w:w="709"/>
        <w:gridCol w:w="690"/>
        <w:gridCol w:w="915"/>
        <w:gridCol w:w="1065"/>
        <w:gridCol w:w="840"/>
        <w:gridCol w:w="1165"/>
        <w:gridCol w:w="940"/>
      </w:tblGrid>
      <w:tr>
        <w:tblPrEx>
          <w:tblCellMar>
            <w:top w:w="0" w:type="dxa"/>
            <w:left w:w="108" w:type="dxa"/>
            <w:bottom w:w="0" w:type="dxa"/>
            <w:right w:w="108" w:type="dxa"/>
          </w:tblCellMar>
        </w:tblPrEx>
        <w:trPr>
          <w:trHeight w:val="621" w:hRule="atLeast"/>
        </w:trPr>
        <w:tc>
          <w:tcPr>
            <w:tcW w:w="791"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序号</w:t>
            </w:r>
          </w:p>
        </w:tc>
        <w:tc>
          <w:tcPr>
            <w:tcW w:w="840"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名称</w:t>
            </w:r>
          </w:p>
        </w:tc>
        <w:tc>
          <w:tcPr>
            <w:tcW w:w="1076"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生产厂家及品牌</w:t>
            </w:r>
          </w:p>
        </w:tc>
        <w:tc>
          <w:tcPr>
            <w:tcW w:w="709"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单位</w:t>
            </w:r>
          </w:p>
        </w:tc>
        <w:tc>
          <w:tcPr>
            <w:tcW w:w="690"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数量</w:t>
            </w:r>
          </w:p>
        </w:tc>
        <w:tc>
          <w:tcPr>
            <w:tcW w:w="1980"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单价（万元）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金额（万元）</w:t>
            </w:r>
          </w:p>
        </w:tc>
        <w:tc>
          <w:tcPr>
            <w:tcW w:w="940"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备注</w:t>
            </w:r>
          </w:p>
        </w:tc>
      </w:tr>
      <w:tr>
        <w:tblPrEx>
          <w:tblCellMar>
            <w:top w:w="0" w:type="dxa"/>
            <w:left w:w="108" w:type="dxa"/>
            <w:bottom w:w="0" w:type="dxa"/>
            <w:right w:w="108" w:type="dxa"/>
          </w:tblCellMar>
        </w:tblPrEx>
        <w:trPr>
          <w:trHeight w:val="347" w:hRule="atLeast"/>
        </w:trPr>
        <w:tc>
          <w:tcPr>
            <w:tcW w:w="791"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highlight w:val="none"/>
              </w:rPr>
            </w:pPr>
          </w:p>
        </w:tc>
        <w:tc>
          <w:tcPr>
            <w:tcW w:w="840"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highlight w:val="none"/>
              </w:rPr>
            </w:pPr>
          </w:p>
        </w:tc>
        <w:tc>
          <w:tcPr>
            <w:tcW w:w="1076"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highlight w:val="none"/>
              </w:rPr>
            </w:pPr>
          </w:p>
        </w:tc>
        <w:tc>
          <w:tcPr>
            <w:tcW w:w="709"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highlight w:val="none"/>
              </w:rPr>
            </w:pPr>
          </w:p>
        </w:tc>
        <w:tc>
          <w:tcPr>
            <w:tcW w:w="690"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highlight w:val="none"/>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314"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r>
              <w:rPr>
                <w:rFonts w:ascii="宋体" w:hAnsi="宋体" w:cs="宋体"/>
                <w:color w:val="auto"/>
                <w:kern w:val="0"/>
                <w:sz w:val="24"/>
                <w:szCs w:val="24"/>
                <w:highlight w:val="none"/>
                <w:lang w:val="zh-CN"/>
              </w:rPr>
              <w:t>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347"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r>
              <w:rPr>
                <w:rFonts w:ascii="宋体" w:hAnsi="宋体" w:cs="宋体"/>
                <w:color w:val="auto"/>
                <w:kern w:val="0"/>
                <w:sz w:val="24"/>
                <w:szCs w:val="24"/>
                <w:highlight w:val="none"/>
                <w:lang w:val="zh-CN"/>
              </w:rPr>
              <w:t>2</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r>
              <w:rPr>
                <w:rFonts w:ascii="宋体" w:hAnsi="宋体" w:cs="宋体"/>
                <w:color w:val="auto"/>
                <w:kern w:val="0"/>
                <w:sz w:val="24"/>
                <w:szCs w:val="24"/>
                <w:highlight w:val="none"/>
                <w:lang w:val="zh-CN"/>
              </w:rPr>
              <w:t>3</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31" w:hRule="atLeast"/>
        </w:trPr>
        <w:tc>
          <w:tcPr>
            <w:tcW w:w="3416" w:type="dxa"/>
            <w:gridSpan w:val="4"/>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rPr>
              <w:t>合同暂定总价</w:t>
            </w:r>
          </w:p>
        </w:tc>
        <w:tc>
          <w:tcPr>
            <w:tcW w:w="690" w:type="dxa"/>
            <w:tcBorders>
              <w:top w:val="single" w:color="000000" w:sz="2" w:space="0"/>
              <w:left w:val="single" w:color="000000" w:sz="2" w:space="0"/>
              <w:bottom w:val="single" w:color="000000" w:sz="2" w:space="0"/>
              <w:right w:val="single" w:color="000000" w:sz="2" w:space="0"/>
            </w:tcBorders>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w:t>
            </w:r>
          </w:p>
        </w:tc>
      </w:tr>
    </w:tbl>
    <w:p>
      <w:pPr>
        <w:spacing w:after="120" w:afterLines="50" w:line="360" w:lineRule="auto"/>
        <w:ind w:firstLine="480" w:firstLineChars="200"/>
        <w:rPr>
          <w:rFonts w:ascii="宋体" w:hAnsi="宋体" w:cs="宋体"/>
          <w:color w:val="auto"/>
          <w:kern w:val="0"/>
          <w:sz w:val="24"/>
          <w:szCs w:val="24"/>
          <w:highlight w:val="none"/>
        </w:rPr>
      </w:pPr>
      <w:bookmarkStart w:id="91" w:name="_Toc17140"/>
      <w:bookmarkStart w:id="92" w:name="_Toc520190027"/>
      <w:bookmarkStart w:id="93" w:name="_Toc474245211"/>
      <w:bookmarkStart w:id="94" w:name="_Toc518992987"/>
    </w:p>
    <w:p>
      <w:pPr>
        <w:spacing w:after="120" w:afterLines="50" w:line="360" w:lineRule="auto"/>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其他技术需求见附件（如需）。</w:t>
      </w:r>
      <w:bookmarkEnd w:id="91"/>
      <w:bookmarkStart w:id="95" w:name="_Toc183666514"/>
      <w:bookmarkStart w:id="96" w:name="_Toc26357"/>
      <w:bookmarkStart w:id="97" w:name="_Toc107446842"/>
      <w:bookmarkStart w:id="98" w:name="_Toc107447235"/>
    </w:p>
    <w:p>
      <w:pPr>
        <w:spacing w:after="120" w:afterLines="50"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第三条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交货日期及地点</w:t>
      </w:r>
    </w:p>
    <w:p>
      <w:pPr>
        <w:spacing w:after="156" w:afterLines="50" w:line="360" w:lineRule="auto"/>
        <w:ind w:firstLine="480" w:firstLineChars="200"/>
        <w:jc w:val="both"/>
        <w:rPr>
          <w:rFonts w:ascii="宋体" w:hAnsi="宋体" w:cs="宋体"/>
          <w:color w:val="auto"/>
          <w:sz w:val="24"/>
          <w:szCs w:val="24"/>
          <w:highlight w:val="none"/>
          <w:u w:val="none"/>
        </w:rPr>
      </w:pPr>
      <w:r>
        <w:rPr>
          <w:rFonts w:ascii="宋体" w:hAnsi="宋体" w:cs="宋体"/>
          <w:color w:val="auto"/>
          <w:sz w:val="24"/>
          <w:szCs w:val="24"/>
          <w:highlight w:val="none"/>
        </w:rPr>
        <w:t xml:space="preserve">3.1 </w:t>
      </w:r>
      <w:r>
        <w:rPr>
          <w:rFonts w:hint="eastAsia" w:ascii="宋体" w:hAnsi="宋体" w:cs="宋体"/>
          <w:color w:val="auto"/>
          <w:sz w:val="24"/>
          <w:szCs w:val="24"/>
          <w:highlight w:val="none"/>
        </w:rPr>
        <w:t>交货日期</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合同签订后，乙方接到广州市净水有限公司下辖</w:t>
      </w:r>
      <w:r>
        <w:rPr>
          <w:rFonts w:hint="eastAsia" w:ascii="宋体" w:hAnsi="宋体" w:cs="宋体"/>
          <w:color w:val="auto"/>
          <w:sz w:val="24"/>
          <w:szCs w:val="24"/>
          <w:highlight w:val="none"/>
          <w:u w:val="single"/>
          <w:lang w:val="en-US" w:eastAsia="zh-CN"/>
        </w:rPr>
        <w:t>猎德、</w:t>
      </w:r>
      <w:r>
        <w:rPr>
          <w:rFonts w:hint="eastAsia" w:ascii="宋体" w:hAnsi="宋体" w:cs="宋体"/>
          <w:color w:val="auto"/>
          <w:sz w:val="24"/>
          <w:szCs w:val="24"/>
          <w:highlight w:val="none"/>
          <w:u w:val="single"/>
        </w:rPr>
        <w:t>龙归、竹料</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江高</w:t>
      </w:r>
      <w:r>
        <w:rPr>
          <w:rFonts w:hint="eastAsia" w:ascii="宋体" w:hAnsi="宋体" w:cs="宋体"/>
          <w:color w:val="auto"/>
          <w:sz w:val="24"/>
          <w:szCs w:val="24"/>
          <w:highlight w:val="none"/>
          <w:u w:val="single"/>
        </w:rPr>
        <w:t>等分公司订货通知后须于</w:t>
      </w:r>
      <w:r>
        <w:rPr>
          <w:rFonts w:ascii="宋体" w:hAnsi="宋体" w:cs="宋体"/>
          <w:color w:val="auto"/>
          <w:sz w:val="24"/>
          <w:szCs w:val="24"/>
          <w:highlight w:val="none"/>
          <w:u w:val="single"/>
        </w:rPr>
        <w:t>48</w:t>
      </w:r>
      <w:r>
        <w:rPr>
          <w:rFonts w:hint="eastAsia" w:ascii="宋体" w:hAnsi="宋体" w:cs="宋体"/>
          <w:color w:val="auto"/>
          <w:sz w:val="24"/>
          <w:szCs w:val="24"/>
          <w:highlight w:val="none"/>
          <w:u w:val="single"/>
        </w:rPr>
        <w:t>小时内以书面方式向甲方确认，国产仪器45个工作日内到货，进口仪器60个工作日内到货</w:t>
      </w:r>
      <w:r>
        <w:rPr>
          <w:rFonts w:ascii="宋体" w:hAnsi="宋体" w:cs="宋体"/>
          <w:color w:val="auto"/>
          <w:sz w:val="24"/>
          <w:szCs w:val="24"/>
          <w:highlight w:val="none"/>
          <w:u w:val="single"/>
        </w:rPr>
        <w:t>,</w:t>
      </w:r>
      <w:r>
        <w:rPr>
          <w:rFonts w:hint="eastAsia" w:ascii="宋体" w:hAnsi="宋体" w:cs="宋体"/>
          <w:color w:val="auto"/>
          <w:sz w:val="24"/>
          <w:szCs w:val="24"/>
          <w:highlight w:val="none"/>
          <w:u w:val="none"/>
        </w:rPr>
        <w:t>具体交货时间以甲方书面通知为准。</w:t>
      </w:r>
    </w:p>
    <w:p>
      <w:pPr>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3.2</w:t>
      </w:r>
      <w:r>
        <w:rPr>
          <w:rFonts w:hint="eastAsia" w:ascii="宋体" w:hAnsi="宋体" w:cs="宋体"/>
          <w:bCs/>
          <w:color w:val="auto"/>
          <w:sz w:val="24"/>
          <w:szCs w:val="24"/>
          <w:highlight w:val="none"/>
        </w:rPr>
        <w:t>交货地点：</w:t>
      </w:r>
      <w:r>
        <w:rPr>
          <w:rFonts w:hint="eastAsia" w:ascii="宋体" w:hAnsi="宋体" w:cs="宋体"/>
          <w:bCs/>
          <w:color w:val="auto"/>
          <w:sz w:val="24"/>
          <w:szCs w:val="24"/>
          <w:highlight w:val="none"/>
          <w:u w:val="single"/>
        </w:rPr>
        <w:t>根据广州市净水有限公司采购需求将货物分别送至广州市净水有限公司指定的送货地点，</w:t>
      </w:r>
      <w:r>
        <w:rPr>
          <w:rFonts w:hint="eastAsia" w:ascii="宋体" w:hAnsi="宋体" w:cs="宋体"/>
          <w:bCs/>
          <w:color w:val="auto"/>
          <w:sz w:val="24"/>
          <w:szCs w:val="24"/>
          <w:highlight w:val="none"/>
          <w:u w:val="none"/>
        </w:rPr>
        <w:t>最终具体交货地点以甲方书面通知为准。</w:t>
      </w:r>
    </w:p>
    <w:p>
      <w:pPr>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3.3 </w:t>
      </w:r>
      <w:r>
        <w:rPr>
          <w:rFonts w:hint="eastAsia" w:ascii="宋体" w:hAnsi="宋体" w:cs="宋体"/>
          <w:bCs/>
          <w:color w:val="auto"/>
          <w:sz w:val="24"/>
          <w:szCs w:val="24"/>
          <w:highlight w:val="none"/>
        </w:rPr>
        <w:t>交货方式：乙方在设备运至交货地</w:t>
      </w:r>
      <w:r>
        <w:rPr>
          <w:rFonts w:hint="eastAsia" w:ascii="宋体" w:hAnsi="宋体" w:cs="宋体"/>
          <w:bCs/>
          <w:color w:val="auto"/>
          <w:sz w:val="24"/>
          <w:szCs w:val="24"/>
          <w:highlight w:val="none"/>
          <w:u w:val="single"/>
        </w:rPr>
        <w:t>5</w:t>
      </w:r>
      <w:r>
        <w:rPr>
          <w:rFonts w:hint="eastAsia" w:ascii="宋体" w:hAnsi="宋体" w:cs="宋体"/>
          <w:bCs/>
          <w:color w:val="auto"/>
          <w:sz w:val="24"/>
          <w:szCs w:val="24"/>
          <w:highlight w:val="none"/>
        </w:rPr>
        <w:t>个工作日前通知甲方。</w:t>
      </w:r>
    </w:p>
    <w:p>
      <w:pPr>
        <w:spacing w:after="156" w:afterLines="50" w:line="360" w:lineRule="auto"/>
        <w:ind w:firstLine="480" w:firstLineChars="200"/>
        <w:rPr>
          <w:rFonts w:ascii="宋体" w:hAnsi="宋体" w:cs="宋体"/>
          <w:b/>
          <w:color w:val="auto"/>
          <w:sz w:val="24"/>
          <w:szCs w:val="24"/>
          <w:highlight w:val="none"/>
        </w:rPr>
      </w:pPr>
      <w:r>
        <w:rPr>
          <w:rFonts w:ascii="宋体" w:hAnsi="宋体" w:cs="宋体"/>
          <w:bCs/>
          <w:color w:val="auto"/>
          <w:sz w:val="24"/>
          <w:szCs w:val="24"/>
          <w:highlight w:val="none"/>
        </w:rPr>
        <w:t>3.4</w:t>
      </w:r>
      <w:r>
        <w:rPr>
          <w:rFonts w:hint="eastAsia" w:ascii="宋体" w:hAnsi="宋体" w:cs="宋体"/>
          <w:bCs/>
          <w:color w:val="auto"/>
          <w:sz w:val="24"/>
          <w:szCs w:val="24"/>
          <w:highlight w:val="none"/>
        </w:rPr>
        <w:t>其他：</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无。</w:t>
      </w:r>
    </w:p>
    <w:p>
      <w:pPr>
        <w:spacing w:after="0" w:line="360" w:lineRule="auto"/>
        <w:ind w:firstLine="482" w:firstLineChars="200"/>
        <w:rPr>
          <w:rFonts w:ascii="宋体" w:hAnsi="宋体" w:cs="宋体"/>
          <w:color w:val="auto"/>
          <w:kern w:val="0"/>
          <w:sz w:val="24"/>
          <w:szCs w:val="24"/>
          <w:highlight w:val="none"/>
          <w:lang w:val="zh-CN"/>
        </w:rPr>
      </w:pPr>
      <w:r>
        <w:rPr>
          <w:rFonts w:hint="eastAsia" w:ascii="宋体" w:hAnsi="宋体" w:cs="宋体"/>
          <w:b/>
          <w:color w:val="auto"/>
          <w:sz w:val="24"/>
          <w:szCs w:val="24"/>
          <w:highlight w:val="none"/>
        </w:rPr>
        <w:t>第四条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合同价格</w:t>
      </w:r>
    </w:p>
    <w:p>
      <w:pPr>
        <w:autoSpaceDE w:val="0"/>
        <w:autoSpaceDN w:val="0"/>
        <w:adjustRightInd w:val="0"/>
        <w:spacing w:after="0" w:line="360" w:lineRule="auto"/>
        <w:ind w:firstLine="480" w:firstLineChars="200"/>
        <w:rPr>
          <w:rFonts w:ascii="宋体" w:hAnsi="宋体" w:cs="宋体"/>
          <w:color w:val="auto"/>
          <w:kern w:val="0"/>
          <w:sz w:val="24"/>
          <w:szCs w:val="24"/>
          <w:highlight w:val="none"/>
          <w:lang w:val="zh-CN"/>
        </w:rPr>
      </w:pPr>
      <w:r>
        <w:rPr>
          <w:rFonts w:ascii="宋体" w:hAnsi="宋体" w:cs="宋体"/>
          <w:color w:val="auto"/>
          <w:sz w:val="24"/>
          <w:szCs w:val="24"/>
          <w:highlight w:val="none"/>
        </w:rPr>
        <w:t xml:space="preserve">4.1 </w:t>
      </w:r>
      <w:r>
        <w:rPr>
          <w:rFonts w:hint="eastAsia" w:ascii="宋体" w:hAnsi="宋体" w:cs="宋体"/>
          <w:color w:val="auto"/>
          <w:kern w:val="0"/>
          <w:sz w:val="24"/>
          <w:szCs w:val="24"/>
          <w:highlight w:val="none"/>
          <w:lang w:val="zh-CN"/>
        </w:rPr>
        <w:t>本合同</w:t>
      </w:r>
      <w:r>
        <w:rPr>
          <w:rFonts w:hint="eastAsia" w:ascii="宋体" w:hAnsi="宋体" w:cs="宋体"/>
          <w:color w:val="auto"/>
          <w:kern w:val="0"/>
          <w:sz w:val="24"/>
          <w:szCs w:val="24"/>
          <w:highlight w:val="none"/>
        </w:rPr>
        <w:t>暂定</w:t>
      </w:r>
      <w:r>
        <w:rPr>
          <w:rFonts w:hint="eastAsia" w:ascii="宋体" w:hAnsi="宋体" w:cs="宋体"/>
          <w:color w:val="auto"/>
          <w:kern w:val="0"/>
          <w:sz w:val="24"/>
          <w:szCs w:val="24"/>
          <w:highlight w:val="none"/>
          <w:lang w:val="zh-CN"/>
        </w:rPr>
        <w:t>总价为</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zh-CN"/>
        </w:rPr>
        <w:t>…</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万元，（人民币）大写：</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zh-CN"/>
        </w:rPr>
        <w:t>…</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w:t>
      </w:r>
      <w:r>
        <w:rPr>
          <w:rFonts w:ascii="宋体" w:hAnsi="宋体" w:cs="宋体"/>
          <w:color w:val="auto"/>
          <w:kern w:val="0"/>
          <w:sz w:val="24"/>
          <w:szCs w:val="24"/>
          <w:highlight w:val="none"/>
          <w:lang w:val="zh-CN"/>
        </w:rPr>
        <w:t xml:space="preserve"> </w:t>
      </w:r>
    </w:p>
    <w:p>
      <w:pPr>
        <w:autoSpaceDE w:val="0"/>
        <w:autoSpaceDN w:val="0"/>
        <w:adjustRightInd w:val="0"/>
        <w:spacing w:after="0" w:line="360" w:lineRule="auto"/>
        <w:ind w:firstLine="480" w:firstLineChars="200"/>
        <w:rPr>
          <w:rFonts w:ascii="宋体" w:hAnsi="宋体" w:cs="宋体"/>
          <w:color w:val="auto"/>
          <w:kern w:val="0"/>
          <w:sz w:val="24"/>
          <w:szCs w:val="24"/>
          <w:highlight w:val="none"/>
          <w:lang w:val="zh-CN"/>
        </w:rPr>
      </w:pPr>
      <w:r>
        <w:rPr>
          <w:rFonts w:ascii="宋体" w:hAnsi="宋体" w:cs="宋体"/>
          <w:color w:val="auto"/>
          <w:kern w:val="0"/>
          <w:sz w:val="24"/>
          <w:szCs w:val="24"/>
          <w:highlight w:val="none"/>
        </w:rPr>
        <w:t>4</w:t>
      </w:r>
      <w:r>
        <w:rPr>
          <w:rFonts w:ascii="宋体" w:hAnsi="宋体" w:cs="宋体"/>
          <w:color w:val="auto"/>
          <w:kern w:val="0"/>
          <w:sz w:val="24"/>
          <w:szCs w:val="24"/>
          <w:highlight w:val="none"/>
          <w:lang w:val="zh-CN"/>
        </w:rPr>
        <w:t>.2</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lang w:val="zh-CN"/>
        </w:rPr>
        <w:t>设备价格包括</w:t>
      </w:r>
      <w:r>
        <w:rPr>
          <w:rFonts w:hint="eastAsia" w:ascii="宋体" w:hAnsi="宋体" w:cs="宋体"/>
          <w:color w:val="auto"/>
          <w:kern w:val="0"/>
          <w:sz w:val="24"/>
          <w:szCs w:val="24"/>
          <w:highlight w:val="none"/>
          <w:u w:val="single"/>
          <w:lang w:val="zh-CN"/>
        </w:rPr>
        <w:t>工艺设计、设备及随机附件的制造、包装、运输（设备运输过程中所需的相关手续</w:t>
      </w:r>
      <w:r>
        <w:rPr>
          <w:rFonts w:hint="eastAsia" w:ascii="宋体" w:hAnsi="宋体" w:cs="宋体"/>
          <w:color w:val="auto"/>
          <w:kern w:val="0"/>
          <w:sz w:val="24"/>
          <w:szCs w:val="24"/>
          <w:highlight w:val="none"/>
          <w:u w:val="single"/>
        </w:rPr>
        <w:t>及费用</w:t>
      </w:r>
      <w:r>
        <w:rPr>
          <w:rFonts w:hint="eastAsia" w:ascii="宋体" w:hAnsi="宋体" w:cs="宋体"/>
          <w:color w:val="auto"/>
          <w:kern w:val="0"/>
          <w:sz w:val="24"/>
          <w:szCs w:val="24"/>
          <w:highlight w:val="none"/>
          <w:u w:val="single"/>
          <w:lang w:val="zh-CN"/>
        </w:rPr>
        <w:t>）、装卸、安装调试</w:t>
      </w:r>
      <w:r>
        <w:rPr>
          <w:rFonts w:hint="eastAsia" w:ascii="宋体" w:hAnsi="宋体" w:cs="宋体"/>
          <w:strike w:val="0"/>
          <w:dstrike w:val="0"/>
          <w:color w:val="auto"/>
          <w:kern w:val="0"/>
          <w:sz w:val="24"/>
          <w:szCs w:val="24"/>
          <w:highlight w:val="none"/>
          <w:u w:val="single"/>
          <w:lang w:val="zh-CN"/>
        </w:rPr>
        <w:t>、</w:t>
      </w:r>
      <w:r>
        <w:rPr>
          <w:rFonts w:hint="eastAsia" w:ascii="宋体" w:hAnsi="宋体" w:cs="宋体"/>
          <w:strike w:val="0"/>
          <w:color w:val="auto"/>
          <w:kern w:val="0"/>
          <w:sz w:val="24"/>
          <w:szCs w:val="24"/>
          <w:highlight w:val="none"/>
          <w:u w:val="single"/>
          <w:lang w:val="zh-CN"/>
        </w:rPr>
        <w:t>验</w:t>
      </w:r>
      <w:r>
        <w:rPr>
          <w:rFonts w:hint="eastAsia" w:ascii="宋体" w:hAnsi="宋体" w:cs="宋体"/>
          <w:color w:val="auto"/>
          <w:kern w:val="0"/>
          <w:sz w:val="24"/>
          <w:szCs w:val="24"/>
          <w:highlight w:val="none"/>
          <w:u w:val="single"/>
          <w:lang w:val="zh-CN"/>
        </w:rPr>
        <w:t>收、培训（如需）、技术服务（包括技术资料、图纸的提供）、质保期保修、税费、保险费等全部费用，</w:t>
      </w:r>
      <w:r>
        <w:rPr>
          <w:rFonts w:hint="eastAsia" w:ascii="宋体" w:hAnsi="宋体" w:cs="宋体"/>
          <w:color w:val="auto"/>
          <w:sz w:val="24"/>
          <w:szCs w:val="24"/>
          <w:highlight w:val="none"/>
          <w:u w:val="single"/>
          <w:lang w:val="zh-CN"/>
        </w:rPr>
        <w:t>还包括全部设备的第1次检定/校准费用。</w:t>
      </w:r>
    </w:p>
    <w:p>
      <w:pPr>
        <w:autoSpaceDE w:val="0"/>
        <w:autoSpaceDN w:val="0"/>
        <w:adjustRightIn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tabs>
          <w:tab w:val="left" w:pos="851"/>
        </w:tabs>
        <w:adjustRightInd w:val="0"/>
        <w:snapToGrid w:val="0"/>
        <w:spacing w:after="0" w:line="360" w:lineRule="auto"/>
        <w:ind w:firstLine="480" w:firstLineChars="200"/>
        <w:rPr>
          <w:rFonts w:hint="eastAsia" w:ascii="宋体" w:hAnsi="宋体" w:cs="宋体"/>
          <w:color w:val="auto"/>
          <w:kern w:val="0"/>
          <w:sz w:val="24"/>
          <w:szCs w:val="24"/>
          <w:highlight w:val="none"/>
        </w:rPr>
      </w:pPr>
      <w:r>
        <w:rPr>
          <w:rFonts w:ascii="宋体" w:hAnsi="宋体" w:cs="宋体"/>
          <w:color w:val="auto"/>
          <w:kern w:val="0"/>
          <w:sz w:val="24"/>
          <w:szCs w:val="24"/>
          <w:highlight w:val="none"/>
        </w:rPr>
        <w:t>4</w:t>
      </w:r>
      <w:r>
        <w:rPr>
          <w:rFonts w:ascii="宋体" w:hAnsi="宋体" w:cs="宋体"/>
          <w:color w:val="auto"/>
          <w:kern w:val="0"/>
          <w:sz w:val="24"/>
          <w:szCs w:val="24"/>
          <w:highlight w:val="none"/>
          <w:lang w:val="zh-CN"/>
        </w:rPr>
        <w:t>.3</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本合同约定的价格为含税价价格</w:t>
      </w:r>
      <w:r>
        <w:rPr>
          <w:rFonts w:hint="eastAsia" w:ascii="宋体" w:hAnsi="宋体" w:cs="宋体"/>
          <w:color w:val="auto"/>
          <w:sz w:val="24"/>
          <w:szCs w:val="24"/>
          <w:highlight w:val="none"/>
        </w:rPr>
        <w:t>（税率</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），合同履行期间国家税率调整或乙方开票的实际税率与前述税率不一致的，不含税价不变，价税合计按实际税率相应调整，以开具发票时间为准。</w:t>
      </w:r>
    </w:p>
    <w:p>
      <w:pPr>
        <w:autoSpaceDE w:val="0"/>
        <w:autoSpaceDN w:val="0"/>
        <w:adjustRightInd w:val="0"/>
        <w:spacing w:after="0" w:line="360" w:lineRule="auto"/>
        <w:ind w:firstLine="482" w:firstLineChars="200"/>
        <w:rPr>
          <w:rFonts w:ascii="宋体" w:hAnsi="宋体" w:cs="宋体"/>
          <w:b/>
          <w:color w:val="auto"/>
          <w:sz w:val="24"/>
          <w:szCs w:val="24"/>
          <w:highlight w:val="none"/>
        </w:rPr>
      </w:pPr>
      <w:bookmarkStart w:id="99" w:name="_Toc520190029"/>
      <w:bookmarkStart w:id="100" w:name="_Toc518992989"/>
      <w:bookmarkStart w:id="101" w:name="_Toc474245213"/>
      <w:bookmarkStart w:id="102" w:name="_Toc107446843"/>
      <w:bookmarkStart w:id="103" w:name="_Toc107447236"/>
      <w:r>
        <w:rPr>
          <w:rFonts w:hint="eastAsia" w:ascii="宋体" w:hAnsi="宋体" w:cs="宋体"/>
          <w:b/>
          <w:color w:val="auto"/>
          <w:sz w:val="24"/>
          <w:szCs w:val="24"/>
          <w:highlight w:val="none"/>
        </w:rPr>
        <w:t>第五条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支付方式</w:t>
      </w:r>
      <w:bookmarkEnd w:id="99"/>
      <w:bookmarkEnd w:id="100"/>
      <w:bookmarkEnd w:id="101"/>
    </w:p>
    <w:bookmarkEnd w:id="102"/>
    <w:bookmarkEnd w:id="103"/>
    <w:p>
      <w:pPr>
        <w:tabs>
          <w:tab w:val="left" w:pos="851"/>
        </w:tabs>
        <w:adjustRightInd w:val="0"/>
        <w:snapToGrid w:val="0"/>
        <w:spacing w:after="0" w:line="360" w:lineRule="auto"/>
        <w:ind w:firstLine="480" w:firstLineChars="200"/>
        <w:rPr>
          <w:rFonts w:ascii="宋体" w:hAnsi="宋体" w:cs="宋体"/>
          <w:color w:val="auto"/>
          <w:sz w:val="24"/>
          <w:szCs w:val="24"/>
          <w:highlight w:val="none"/>
        </w:rPr>
      </w:pPr>
      <w:bookmarkStart w:id="104" w:name="_Toc14703"/>
      <w:bookmarkStart w:id="105" w:name="_Toc183666516"/>
      <w:r>
        <w:rPr>
          <w:rFonts w:ascii="宋体" w:hAnsi="宋体" w:cs="宋体"/>
          <w:color w:val="auto"/>
          <w:sz w:val="24"/>
          <w:szCs w:val="24"/>
          <w:highlight w:val="none"/>
        </w:rPr>
        <w:t>5.1</w:t>
      </w:r>
      <w:r>
        <w:rPr>
          <w:rFonts w:hint="eastAsia" w:ascii="宋体" w:hAnsi="宋体" w:cs="宋体"/>
          <w:bCs/>
          <w:color w:val="auto"/>
          <w:sz w:val="24"/>
          <w:szCs w:val="24"/>
          <w:highlight w:val="none"/>
        </w:rPr>
        <w:t>预付款的支付：</w:t>
      </w:r>
      <w:r>
        <w:rPr>
          <w:rFonts w:hint="eastAsia" w:ascii="宋体" w:hAnsi="宋体" w:cs="宋体"/>
          <w:color w:val="auto"/>
          <w:szCs w:val="21"/>
          <w:highlight w:val="none"/>
        </w:rPr>
        <w:sym w:font="Wingdings 2" w:char="0052"/>
      </w:r>
      <w:r>
        <w:rPr>
          <w:rFonts w:hint="eastAsia" w:ascii="宋体" w:hAnsi="宋体" w:cs="宋体"/>
          <w:bCs/>
          <w:color w:val="auto"/>
          <w:sz w:val="24"/>
          <w:szCs w:val="24"/>
          <w:highlight w:val="none"/>
        </w:rPr>
        <w:t>无；</w:t>
      </w:r>
      <w:r>
        <w:rPr>
          <w:rFonts w:ascii="宋体" w:hAnsi="宋体" w:cs="宋体"/>
          <w:bCs/>
          <w:color w:val="auto"/>
          <w:sz w:val="24"/>
          <w:szCs w:val="24"/>
          <w:highlight w:val="none"/>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有，</w:t>
      </w:r>
      <w:r>
        <w:rPr>
          <w:rFonts w:hint="eastAsia" w:ascii="宋体" w:hAnsi="宋体" w:cs="宋体"/>
          <w:bCs/>
          <w:color w:val="auto"/>
          <w:sz w:val="24"/>
          <w:szCs w:val="24"/>
          <w:highlight w:val="none"/>
        </w:rPr>
        <w:t>合同签订后，乙方开具等额的增值税专用发票及提交履约担保（如有）后</w:t>
      </w:r>
      <w:r>
        <w:rPr>
          <w:rFonts w:ascii="宋体" w:hAnsi="宋体" w:cs="宋体"/>
          <w:bCs/>
          <w:color w:val="auto"/>
          <w:sz w:val="24"/>
          <w:szCs w:val="24"/>
          <w:highlight w:val="none"/>
          <w:u w:val="single"/>
        </w:rPr>
        <w:t>10</w:t>
      </w:r>
      <w:r>
        <w:rPr>
          <w:rFonts w:hint="eastAsia" w:ascii="宋体" w:hAnsi="宋体" w:cs="宋体"/>
          <w:bCs/>
          <w:color w:val="auto"/>
          <w:sz w:val="24"/>
          <w:szCs w:val="24"/>
          <w:highlight w:val="none"/>
        </w:rPr>
        <w:t>个工作日内，甲方支付合同暂定总价的</w:t>
      </w:r>
      <w:r>
        <w:rPr>
          <w:rFonts w:ascii="宋体" w:hAnsi="宋体" w:cs="宋体"/>
          <w:bCs/>
          <w:color w:val="auto"/>
          <w:sz w:val="24"/>
          <w:szCs w:val="24"/>
          <w:highlight w:val="none"/>
        </w:rPr>
        <w:t xml:space="preserve"> </w:t>
      </w:r>
      <w:r>
        <w:rPr>
          <w:rFonts w:ascii="宋体" w:hAnsi="宋体" w:cs="宋体"/>
          <w:bCs/>
          <w:color w:val="auto"/>
          <w:sz w:val="24"/>
          <w:szCs w:val="24"/>
          <w:highlight w:val="none"/>
          <w:u w:val="single"/>
        </w:rPr>
        <w:t xml:space="preserve">  30%  </w:t>
      </w:r>
      <w:r>
        <w:rPr>
          <w:rFonts w:hint="eastAsia" w:ascii="宋体" w:hAnsi="宋体" w:cs="宋体"/>
          <w:color w:val="auto"/>
          <w:sz w:val="24"/>
          <w:szCs w:val="24"/>
          <w:highlight w:val="none"/>
        </w:rPr>
        <w:t>即</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元，（大写：</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 xml:space="preserve">  </w:t>
      </w:r>
      <w:r>
        <w:rPr>
          <w:rFonts w:hint="eastAsia" w:ascii="宋体" w:hAnsi="宋体" w:cs="宋体"/>
          <w:bCs/>
          <w:color w:val="auto"/>
          <w:sz w:val="24"/>
          <w:szCs w:val="24"/>
          <w:highlight w:val="none"/>
        </w:rPr>
        <w:t>作为预付款。</w:t>
      </w:r>
      <w:r>
        <w:rPr>
          <w:rFonts w:hint="eastAsia" w:ascii="宋体" w:hAnsi="宋体" w:cs="宋体"/>
          <w:color w:val="auto"/>
          <w:sz w:val="24"/>
          <w:szCs w:val="24"/>
          <w:highlight w:val="none"/>
        </w:rPr>
        <w:t>若合同解除或终止，乙方在</w:t>
      </w:r>
      <w:r>
        <w:rPr>
          <w:rFonts w:ascii="宋体" w:hAnsi="宋体" w:cs="宋体"/>
          <w:color w:val="auto"/>
          <w:sz w:val="24"/>
          <w:szCs w:val="24"/>
          <w:highlight w:val="none"/>
          <w:u w:val="single"/>
        </w:rPr>
        <w:t xml:space="preserve"> 5 </w:t>
      </w:r>
      <w:r>
        <w:rPr>
          <w:rFonts w:hint="eastAsia" w:ascii="宋体" w:hAnsi="宋体" w:cs="宋体"/>
          <w:color w:val="auto"/>
          <w:sz w:val="24"/>
          <w:szCs w:val="24"/>
          <w:highlight w:val="none"/>
        </w:rPr>
        <w:t>个工作日内返还预付款（无息）。</w:t>
      </w:r>
      <w:r>
        <w:rPr>
          <w:rFonts w:hint="eastAsia" w:ascii="宋体" w:hAnsi="宋体" w:cs="宋体"/>
          <w:bCs/>
          <w:color w:val="auto"/>
          <w:kern w:val="0"/>
          <w:sz w:val="24"/>
          <w:szCs w:val="24"/>
          <w:highlight w:val="none"/>
        </w:rPr>
        <w:t>逾期未返还，每逾期一天，乙方应按合同暂定总价的</w:t>
      </w:r>
      <w:r>
        <w:rPr>
          <w:rFonts w:hint="eastAsia" w:ascii="宋体" w:hAnsi="宋体" w:cs="宋体"/>
          <w:bCs/>
          <w:color w:val="auto"/>
          <w:kern w:val="0"/>
          <w:sz w:val="24"/>
          <w:szCs w:val="24"/>
          <w:highlight w:val="none"/>
          <w:u w:val="single"/>
        </w:rPr>
        <w:t>万分之五</w:t>
      </w:r>
      <w:r>
        <w:rPr>
          <w:rFonts w:ascii="宋体" w:hAnsi="宋体" w:cs="宋体"/>
          <w:bCs/>
          <w:color w:val="auto"/>
          <w:kern w:val="0"/>
          <w:sz w:val="24"/>
          <w:szCs w:val="24"/>
          <w:highlight w:val="none"/>
          <w:u w:val="single"/>
        </w:rPr>
        <w:t>/</w:t>
      </w:r>
      <w:r>
        <w:rPr>
          <w:rFonts w:hint="eastAsia" w:ascii="宋体" w:hAnsi="宋体" w:cs="宋体"/>
          <w:bCs/>
          <w:color w:val="auto"/>
          <w:kern w:val="0"/>
          <w:sz w:val="24"/>
          <w:szCs w:val="24"/>
          <w:highlight w:val="none"/>
          <w:u w:val="single"/>
        </w:rPr>
        <w:t>天</w:t>
      </w:r>
      <w:r>
        <w:rPr>
          <w:rFonts w:hint="eastAsia" w:ascii="宋体" w:hAnsi="宋体" w:cs="宋体"/>
          <w:bCs/>
          <w:color w:val="auto"/>
          <w:kern w:val="0"/>
          <w:sz w:val="24"/>
          <w:szCs w:val="24"/>
          <w:highlight w:val="none"/>
        </w:rPr>
        <w:t>支付违约金</w:t>
      </w:r>
      <w:r>
        <w:rPr>
          <w:rFonts w:hint="eastAsia" w:ascii="宋体" w:hAnsi="宋体" w:cs="宋体"/>
          <w:color w:val="auto"/>
          <w:sz w:val="24"/>
          <w:szCs w:val="24"/>
          <w:highlight w:val="none"/>
        </w:rPr>
        <w:t>。</w:t>
      </w:r>
    </w:p>
    <w:p>
      <w:pPr>
        <w:tabs>
          <w:tab w:val="left" w:pos="851"/>
        </w:tabs>
        <w:adjustRightInd w:val="0"/>
        <w:snapToGrid w:val="0"/>
        <w:spacing w:after="0" w:line="360" w:lineRule="auto"/>
        <w:ind w:firstLine="480" w:firstLineChars="200"/>
        <w:rPr>
          <w:rFonts w:ascii="宋体" w:hAnsi="宋体" w:cs="宋体"/>
          <w:bCs/>
          <w:color w:val="auto"/>
          <w:sz w:val="24"/>
          <w:szCs w:val="24"/>
          <w:highlight w:val="none"/>
        </w:rPr>
      </w:pPr>
      <w:r>
        <w:rPr>
          <w:rFonts w:ascii="宋体" w:hAnsi="宋体" w:cs="宋体"/>
          <w:color w:val="auto"/>
          <w:sz w:val="24"/>
          <w:szCs w:val="24"/>
          <w:highlight w:val="none"/>
        </w:rPr>
        <w:t xml:space="preserve">5.2 </w:t>
      </w:r>
      <w:r>
        <w:rPr>
          <w:rFonts w:hint="eastAsia" w:ascii="宋体" w:hAnsi="宋体" w:cs="宋体"/>
          <w:color w:val="auto"/>
          <w:sz w:val="24"/>
          <w:szCs w:val="24"/>
          <w:highlight w:val="none"/>
        </w:rPr>
        <w:t>支付方式：</w:t>
      </w:r>
    </w:p>
    <w:p>
      <w:pPr>
        <w:spacing w:line="500" w:lineRule="exact"/>
        <w:ind w:firstLine="480" w:firstLineChars="200"/>
        <w:rPr>
          <w:rFonts w:ascii="Times New Roman" w:hAnsi="Times New Roman" w:cs="Times New Roman"/>
          <w:color w:val="auto"/>
          <w:sz w:val="24"/>
          <w:highlight w:val="none"/>
        </w:rPr>
      </w:pPr>
      <w:r>
        <w:rPr>
          <w:rFonts w:ascii="宋体" w:hAnsi="宋体" w:eastAsia="宋体" w:cs="宋体"/>
          <w:color w:val="auto"/>
          <w:kern w:val="2"/>
          <w:sz w:val="24"/>
          <w:szCs w:val="24"/>
          <w:highlight w:val="none"/>
          <w:lang w:val="en-US" w:eastAsia="zh-CN" w:bidi="ar-SA"/>
        </w:rPr>
        <w:t>5.2.1</w:t>
      </w:r>
      <w:r>
        <w:rPr>
          <w:rFonts w:hint="eastAsia" w:ascii="宋体" w:hAnsi="宋体" w:eastAsia="宋体" w:cs="宋体"/>
          <w:color w:val="auto"/>
          <w:kern w:val="2"/>
          <w:sz w:val="24"/>
          <w:szCs w:val="24"/>
          <w:highlight w:val="none"/>
          <w:lang w:val="en-US" w:eastAsia="zh-CN" w:bidi="ar-SA"/>
        </w:rPr>
        <w:t>.1</w:t>
      </w:r>
      <w:r>
        <w:rPr>
          <w:rFonts w:ascii="宋体" w:hAnsi="宋体" w:eastAsia="宋体" w:cs="宋体"/>
          <w:color w:val="auto"/>
          <w:kern w:val="2"/>
          <w:sz w:val="24"/>
          <w:szCs w:val="24"/>
          <w:highlight w:val="none"/>
          <w:lang w:val="en-US" w:eastAsia="zh-CN" w:bidi="ar-SA"/>
        </w:rPr>
        <w:t xml:space="preserve"> </w:t>
      </w:r>
      <w:r>
        <w:rPr>
          <w:rFonts w:ascii="Times New Roman" w:hAnsi="Times New Roman" w:cs="Times New Roman"/>
          <w:color w:val="auto"/>
          <w:sz w:val="24"/>
          <w:highlight w:val="none"/>
        </w:rPr>
        <w:t>货物全部交货至各使用地点，并经双方共同开箱检验完成后，</w:t>
      </w:r>
      <w:r>
        <w:rPr>
          <w:rFonts w:ascii="Times New Roman" w:hAnsi="Times New Roman" w:cs="Times New Roman"/>
          <w:color w:val="auto"/>
          <w:sz w:val="24"/>
          <w:szCs w:val="24"/>
          <w:highlight w:val="none"/>
        </w:rPr>
        <w:t>乙方提交请款资料及等额增值税专用发票，</w:t>
      </w:r>
      <w:r>
        <w:rPr>
          <w:rFonts w:ascii="Times New Roman" w:hAnsi="Times New Roman" w:cs="Times New Roman"/>
          <w:color w:val="auto"/>
          <w:sz w:val="24"/>
          <w:highlight w:val="none"/>
        </w:rPr>
        <w:t>由甲方支付至合同暂定总价的50%。</w:t>
      </w:r>
    </w:p>
    <w:p>
      <w:pPr>
        <w:spacing w:line="500" w:lineRule="exact"/>
        <w:ind w:firstLine="480" w:firstLineChars="200"/>
        <w:rPr>
          <w:rFonts w:ascii="Times New Roman" w:hAnsi="Times New Roman" w:cs="Times New Roman"/>
          <w:color w:val="auto"/>
          <w:sz w:val="24"/>
          <w:highlight w:val="none"/>
        </w:rPr>
      </w:pPr>
      <w:r>
        <w:rPr>
          <w:rFonts w:ascii="宋体" w:hAnsi="宋体" w:eastAsia="宋体" w:cs="宋体"/>
          <w:color w:val="auto"/>
          <w:kern w:val="2"/>
          <w:sz w:val="24"/>
          <w:szCs w:val="24"/>
          <w:highlight w:val="none"/>
          <w:lang w:val="en-US" w:eastAsia="zh-CN" w:bidi="ar-SA"/>
        </w:rPr>
        <w:t>5.2.</w:t>
      </w:r>
      <w:r>
        <w:rPr>
          <w:rFonts w:hint="eastAsia" w:ascii="宋体" w:hAnsi="宋体" w:eastAsia="宋体" w:cs="宋体"/>
          <w:color w:val="auto"/>
          <w:kern w:val="2"/>
          <w:sz w:val="24"/>
          <w:szCs w:val="24"/>
          <w:highlight w:val="none"/>
          <w:lang w:val="en-US" w:eastAsia="zh-CN" w:bidi="ar-SA"/>
        </w:rPr>
        <w:t xml:space="preserve">1.2 </w:t>
      </w:r>
      <w:r>
        <w:rPr>
          <w:rFonts w:ascii="宋体" w:hAnsi="宋体" w:eastAsia="宋体" w:cs="宋体"/>
          <w:color w:val="auto"/>
          <w:kern w:val="2"/>
          <w:sz w:val="24"/>
          <w:szCs w:val="24"/>
          <w:highlight w:val="none"/>
          <w:lang w:val="en-US" w:eastAsia="zh-CN" w:bidi="ar-SA"/>
        </w:rPr>
        <w:t>设</w:t>
      </w:r>
      <w:r>
        <w:rPr>
          <w:rFonts w:ascii="Times New Roman" w:hAnsi="Times New Roman" w:cs="Times New Roman"/>
          <w:color w:val="auto"/>
          <w:sz w:val="24"/>
          <w:highlight w:val="none"/>
        </w:rPr>
        <w:t>备经乙方调试，并由乙方须委托第三方计量单位，对设备进行检定/校准工作后，甲方组织验收合格</w:t>
      </w:r>
      <w:r>
        <w:rPr>
          <w:rFonts w:hint="eastAsia" w:ascii="Times New Roman" w:hAnsi="Times New Roman" w:cs="Times New Roman"/>
          <w:color w:val="auto"/>
          <w:sz w:val="24"/>
          <w:highlight w:val="none"/>
        </w:rPr>
        <w:t>及结算审核</w:t>
      </w:r>
      <w:r>
        <w:rPr>
          <w:rFonts w:ascii="Times New Roman" w:hAnsi="Times New Roman" w:cs="Times New Roman"/>
          <w:color w:val="auto"/>
          <w:sz w:val="24"/>
          <w:highlight w:val="none"/>
        </w:rPr>
        <w:t>后，支付至合同结算价的</w:t>
      </w:r>
      <w:r>
        <w:rPr>
          <w:rFonts w:ascii="Times New Roman" w:hAnsi="Times New Roman" w:cs="Times New Roman"/>
          <w:color w:val="auto"/>
          <w:sz w:val="24"/>
          <w:highlight w:val="none"/>
          <w:u w:val="single"/>
        </w:rPr>
        <w:t>95%</w:t>
      </w:r>
      <w:r>
        <w:rPr>
          <w:rFonts w:ascii="Times New Roman" w:hAnsi="Times New Roman" w:cs="Times New Roman"/>
          <w:color w:val="auto"/>
          <w:sz w:val="24"/>
          <w:highlight w:val="none"/>
        </w:rPr>
        <w:t>（若审核价低于合同暂定总价，则以审核价作为合同结算价，否则以合同暂定总价为合同结算价），合同结算价的5%作为质保金留存</w:t>
      </w:r>
      <w:r>
        <w:rPr>
          <w:rFonts w:hint="eastAsia" w:ascii="Times New Roman" w:hAnsi="Times New Roman" w:cs="Times New Roman"/>
          <w:color w:val="auto"/>
          <w:sz w:val="24"/>
          <w:highlight w:val="none"/>
        </w:rPr>
        <w:t>；若产生违约金，扣除违约金后支付剩余价款</w:t>
      </w:r>
      <w:r>
        <w:rPr>
          <w:rFonts w:ascii="Times New Roman" w:hAnsi="Times New Roman" w:cs="Times New Roman"/>
          <w:color w:val="auto"/>
          <w:sz w:val="24"/>
          <w:highlight w:val="none"/>
        </w:rPr>
        <w:t>。</w:t>
      </w:r>
    </w:p>
    <w:p>
      <w:pPr>
        <w:pStyle w:val="11"/>
        <w:spacing w:line="360" w:lineRule="auto"/>
        <w:ind w:firstLine="600" w:firstLineChars="250"/>
        <w:outlineLvl w:val="1"/>
        <w:rPr>
          <w:rFonts w:ascii="Times New Roman" w:hAnsi="Times New Roman" w:cs="Times New Roman" w:eastAsiaTheme="minorEastAsia"/>
          <w:color w:val="auto"/>
          <w:kern w:val="2"/>
          <w:sz w:val="24"/>
          <w:szCs w:val="22"/>
          <w:highlight w:val="none"/>
          <w:lang w:val="en-US" w:eastAsia="zh-CN" w:bidi="ar-SA"/>
        </w:rPr>
      </w:pPr>
      <w:r>
        <w:rPr>
          <w:rFonts w:hAnsi="宋体" w:eastAsia="宋体" w:cs="宋体"/>
          <w:color w:val="auto"/>
          <w:sz w:val="24"/>
          <w:szCs w:val="24"/>
          <w:highlight w:val="none"/>
          <w:lang w:val="en-US" w:eastAsia="zh-CN"/>
        </w:rPr>
        <w:t>5.2.</w:t>
      </w:r>
      <w:r>
        <w:rPr>
          <w:rFonts w:hint="eastAsia" w:hAnsi="宋体" w:eastAsia="宋体" w:cs="宋体"/>
          <w:color w:val="auto"/>
          <w:sz w:val="24"/>
          <w:szCs w:val="24"/>
          <w:highlight w:val="none"/>
          <w:lang w:val="en-US" w:eastAsia="zh-CN"/>
        </w:rPr>
        <w:t xml:space="preserve">2 </w:t>
      </w:r>
      <w:r>
        <w:rPr>
          <w:rFonts w:hint="eastAsia" w:ascii="Times New Roman" w:hAnsi="Times New Roman" w:cs="Times New Roman" w:eastAsiaTheme="minorEastAsia"/>
          <w:color w:val="auto"/>
          <w:kern w:val="2"/>
          <w:sz w:val="24"/>
          <w:szCs w:val="22"/>
          <w:highlight w:val="none"/>
          <w:lang w:val="en-US" w:eastAsia="zh-CN" w:bidi="ar-SA"/>
        </w:rPr>
        <w:t>质保期按合同第九条规定执行，质保期满且乙方不存在违约情形，乙方提交请款资料及等额增值税专用发票，甲方审核无误后在</w:t>
      </w:r>
      <w:r>
        <w:rPr>
          <w:rFonts w:ascii="Times New Roman" w:hAnsi="Times New Roman" w:cs="Times New Roman" w:eastAsiaTheme="minorEastAsia"/>
          <w:color w:val="auto"/>
          <w:kern w:val="2"/>
          <w:sz w:val="24"/>
          <w:szCs w:val="22"/>
          <w:highlight w:val="none"/>
          <w:lang w:val="en-US" w:eastAsia="zh-CN" w:bidi="ar-SA"/>
        </w:rPr>
        <w:t xml:space="preserve"> 15 </w:t>
      </w:r>
      <w:r>
        <w:rPr>
          <w:rFonts w:hint="eastAsia" w:ascii="Times New Roman" w:hAnsi="Times New Roman" w:cs="Times New Roman" w:eastAsiaTheme="minorEastAsia"/>
          <w:color w:val="auto"/>
          <w:kern w:val="2"/>
          <w:sz w:val="24"/>
          <w:szCs w:val="22"/>
          <w:highlight w:val="none"/>
          <w:lang w:val="en-US" w:eastAsia="zh-CN" w:bidi="ar-SA"/>
        </w:rPr>
        <w:t>个工作日内支付合同结算价的</w:t>
      </w:r>
      <w:r>
        <w:rPr>
          <w:rFonts w:ascii="Times New Roman" w:hAnsi="Times New Roman" w:cs="Times New Roman" w:eastAsiaTheme="minorEastAsia"/>
          <w:color w:val="auto"/>
          <w:kern w:val="2"/>
          <w:sz w:val="24"/>
          <w:szCs w:val="22"/>
          <w:highlight w:val="none"/>
          <w:lang w:val="en-US" w:eastAsia="zh-CN" w:bidi="ar-SA"/>
        </w:rPr>
        <w:t>5</w:t>
      </w:r>
      <w:r>
        <w:rPr>
          <w:rFonts w:hint="eastAsia" w:ascii="Times New Roman" w:hAnsi="Times New Roman" w:cs="Times New Roman" w:eastAsiaTheme="minorEastAsia"/>
          <w:color w:val="auto"/>
          <w:kern w:val="2"/>
          <w:sz w:val="24"/>
          <w:szCs w:val="22"/>
          <w:highlight w:val="none"/>
          <w:lang w:val="en-US" w:eastAsia="zh-CN" w:bidi="ar-SA"/>
        </w:rPr>
        <w:t>％（质保金）给乙方</w:t>
      </w:r>
      <w:r>
        <w:rPr>
          <w:rFonts w:ascii="Times New Roman" w:hAnsi="Times New Roman" w:cs="Times New Roman" w:eastAsiaTheme="minorEastAsia"/>
          <w:color w:val="auto"/>
          <w:kern w:val="2"/>
          <w:sz w:val="24"/>
          <w:szCs w:val="22"/>
          <w:highlight w:val="none"/>
          <w:lang w:val="en-US" w:eastAsia="zh-CN" w:bidi="ar-SA"/>
        </w:rPr>
        <w:t>(</w:t>
      </w:r>
      <w:r>
        <w:rPr>
          <w:rFonts w:hint="eastAsia" w:ascii="Times New Roman" w:hAnsi="Times New Roman" w:cs="Times New Roman" w:eastAsiaTheme="minorEastAsia"/>
          <w:color w:val="auto"/>
          <w:kern w:val="2"/>
          <w:sz w:val="24"/>
          <w:szCs w:val="22"/>
          <w:highlight w:val="none"/>
          <w:lang w:val="en-US" w:eastAsia="zh-CN" w:bidi="ar-SA"/>
        </w:rPr>
        <w:t>无息</w:t>
      </w:r>
      <w:r>
        <w:rPr>
          <w:rFonts w:ascii="Times New Roman" w:hAnsi="Times New Roman" w:cs="Times New Roman" w:eastAsiaTheme="minorEastAsia"/>
          <w:color w:val="auto"/>
          <w:kern w:val="2"/>
          <w:sz w:val="24"/>
          <w:szCs w:val="22"/>
          <w:highlight w:val="none"/>
          <w:lang w:val="en-US" w:eastAsia="zh-CN" w:bidi="ar-SA"/>
        </w:rPr>
        <w:t>)</w:t>
      </w:r>
      <w:r>
        <w:rPr>
          <w:rFonts w:hint="eastAsia" w:ascii="Times New Roman" w:hAnsi="Times New Roman" w:cs="Times New Roman" w:eastAsiaTheme="minorEastAsia"/>
          <w:color w:val="auto"/>
          <w:kern w:val="2"/>
          <w:sz w:val="24"/>
          <w:szCs w:val="22"/>
          <w:highlight w:val="none"/>
          <w:lang w:val="en-US" w:eastAsia="zh-CN" w:bidi="ar-SA"/>
        </w:rPr>
        <w:t>。</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5.2.3</w:t>
      </w:r>
      <w:r>
        <w:rPr>
          <w:rFonts w:hint="eastAsia" w:ascii="宋体" w:hAnsi="宋体" w:cs="宋体"/>
          <w:color w:val="auto"/>
          <w:sz w:val="24"/>
          <w:szCs w:val="24"/>
          <w:highlight w:val="none"/>
        </w:rPr>
        <w:t>乙方收款账户：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360" w:lineRule="auto"/>
        <w:ind w:firstLine="1200" w:firstLineChars="500"/>
        <w:rPr>
          <w:rFonts w:ascii="宋体" w:hAnsi="宋体" w:cs="宋体"/>
          <w:color w:val="auto"/>
          <w:sz w:val="24"/>
          <w:szCs w:val="24"/>
          <w:highlight w:val="none"/>
        </w:rPr>
      </w:pPr>
      <w:r>
        <w:rPr>
          <w:rFonts w:hint="eastAsia" w:ascii="宋体" w:hAnsi="宋体" w:cs="宋体"/>
          <w:color w:val="auto"/>
          <w:sz w:val="24"/>
          <w:szCs w:val="24"/>
          <w:highlight w:val="none"/>
        </w:rPr>
        <w:t>收款账号：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360" w:lineRule="auto"/>
        <w:ind w:firstLine="1200" w:firstLineChars="500"/>
        <w:rPr>
          <w:rFonts w:ascii="宋体" w:hAnsi="宋体" w:cs="宋体"/>
          <w:color w:val="auto"/>
          <w:sz w:val="24"/>
          <w:szCs w:val="24"/>
          <w:highlight w:val="none"/>
        </w:rPr>
      </w:pPr>
      <w:r>
        <w:rPr>
          <w:rFonts w:hint="eastAsia" w:ascii="宋体" w:hAnsi="宋体" w:cs="宋体"/>
          <w:color w:val="auto"/>
          <w:sz w:val="24"/>
          <w:szCs w:val="24"/>
          <w:highlight w:val="none"/>
        </w:rPr>
        <w:t>开户行：</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5.2.4</w:t>
      </w:r>
      <w:r>
        <w:rPr>
          <w:rFonts w:hint="eastAsia" w:ascii="宋体" w:hAnsi="宋体" w:cs="宋体"/>
          <w:color w:val="auto"/>
          <w:sz w:val="24"/>
          <w:szCs w:val="24"/>
          <w:highlight w:val="none"/>
        </w:rPr>
        <w:t>乙方在收款前需向甲方提交等额增值税专用发票，增值税专用发票信息：</w:t>
      </w:r>
    </w:p>
    <w:p>
      <w:pPr>
        <w:spacing w:line="360" w:lineRule="auto"/>
        <w:ind w:firstLine="1200" w:firstLineChars="500"/>
        <w:rPr>
          <w:rFonts w:ascii="宋体" w:hAnsi="宋体" w:cs="宋体"/>
          <w:color w:val="auto"/>
          <w:sz w:val="24"/>
          <w:szCs w:val="24"/>
          <w:highlight w:val="none"/>
        </w:rPr>
      </w:pP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tabs>
          <w:tab w:val="left" w:pos="851"/>
        </w:tabs>
        <w:adjustRightInd w:val="0"/>
        <w:snapToGrid w:val="0"/>
        <w:spacing w:line="360" w:lineRule="auto"/>
        <w:ind w:firstLine="480" w:firstLineChars="200"/>
        <w:outlineLvl w:val="1"/>
        <w:rPr>
          <w:rFonts w:ascii="宋体" w:hAnsi="宋体" w:cs="宋体"/>
          <w:color w:val="auto"/>
          <w:sz w:val="24"/>
          <w:szCs w:val="24"/>
          <w:highlight w:val="none"/>
        </w:rPr>
      </w:pPr>
      <w:r>
        <w:rPr>
          <w:rFonts w:ascii="宋体" w:hAnsi="宋体" w:cs="宋体"/>
          <w:color w:val="auto"/>
          <w:sz w:val="24"/>
          <w:szCs w:val="24"/>
          <w:highlight w:val="none"/>
        </w:rPr>
        <w:t>5.3</w:t>
      </w:r>
      <w:r>
        <w:rPr>
          <w:rFonts w:hint="eastAsia" w:ascii="宋体" w:hAnsi="宋体" w:cs="宋体"/>
          <w:color w:val="auto"/>
          <w:sz w:val="24"/>
          <w:szCs w:val="24"/>
          <w:highlight w:val="none"/>
        </w:rPr>
        <w:t>付款方式：</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FE"/>
      </w:r>
      <w:r>
        <w:rPr>
          <w:rFonts w:hint="eastAsia" w:ascii="宋体" w:hAnsi="宋体" w:cs="宋体"/>
          <w:color w:val="auto"/>
          <w:sz w:val="24"/>
          <w:szCs w:val="24"/>
          <w:highlight w:val="none"/>
        </w:rPr>
        <w:t>网银支付；</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支票；</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其他：</w:t>
      </w:r>
      <w:r>
        <w:rPr>
          <w:rFonts w:ascii="宋体" w:hAnsi="宋体" w:cs="宋体"/>
          <w:color w:val="auto"/>
          <w:sz w:val="24"/>
          <w:szCs w:val="24"/>
          <w:highlight w:val="none"/>
        </w:rPr>
        <w:t xml:space="preserve">       </w:t>
      </w:r>
    </w:p>
    <w:p>
      <w:pPr>
        <w:autoSpaceDE w:val="0"/>
        <w:autoSpaceDN w:val="0"/>
        <w:adjustRightInd w:val="0"/>
        <w:spacing w:after="0" w:line="360" w:lineRule="auto"/>
        <w:ind w:firstLine="482" w:firstLineChars="200"/>
        <w:rPr>
          <w:rFonts w:ascii="宋体" w:hAnsi="宋体" w:cs="宋体"/>
          <w:bCs/>
          <w:color w:val="auto"/>
          <w:sz w:val="24"/>
          <w:szCs w:val="24"/>
          <w:highlight w:val="none"/>
        </w:rPr>
      </w:pPr>
      <w:r>
        <w:rPr>
          <w:rFonts w:hint="eastAsia" w:ascii="宋体" w:hAnsi="宋体" w:cs="宋体"/>
          <w:b/>
          <w:color w:val="auto"/>
          <w:sz w:val="24"/>
          <w:szCs w:val="24"/>
          <w:highlight w:val="none"/>
        </w:rPr>
        <w:t>第六条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履约担保</w:t>
      </w:r>
    </w:p>
    <w:p>
      <w:pPr>
        <w:spacing w:after="0" w:line="360" w:lineRule="auto"/>
        <w:ind w:firstLine="480" w:firstLineChars="200"/>
        <w:outlineLvl w:val="0"/>
        <w:rPr>
          <w:rFonts w:ascii="宋体" w:hAnsi="宋体" w:cs="宋体"/>
          <w:color w:val="auto"/>
          <w:sz w:val="24"/>
          <w:szCs w:val="24"/>
          <w:highlight w:val="none"/>
          <w:u w:val="single"/>
        </w:rPr>
      </w:pPr>
      <w:r>
        <w:rPr>
          <w:rFonts w:ascii="宋体" w:hAnsi="宋体" w:cs="宋体"/>
          <w:color w:val="auto"/>
          <w:sz w:val="24"/>
          <w:szCs w:val="24"/>
          <w:highlight w:val="none"/>
        </w:rPr>
        <w:t>6.1</w:t>
      </w:r>
      <w:r>
        <w:rPr>
          <w:rFonts w:hint="eastAsia" w:ascii="宋体" w:hAnsi="宋体" w:cs="宋体"/>
          <w:color w:val="auto"/>
          <w:sz w:val="24"/>
          <w:szCs w:val="24"/>
          <w:highlight w:val="none"/>
        </w:rPr>
        <w:t>履约担保：</w:t>
      </w:r>
      <w:r>
        <w:rPr>
          <w:rFonts w:hint="eastAsia" w:ascii="宋体" w:hAnsi="宋体" w:cs="宋体"/>
          <w:color w:val="auto"/>
          <w:szCs w:val="21"/>
          <w:highlight w:val="none"/>
        </w:rPr>
        <w:sym w:font="Wingdings 2" w:char="0052"/>
      </w:r>
      <w:r>
        <w:rPr>
          <w:rFonts w:hint="eastAsia" w:ascii="宋体" w:hAnsi="宋体" w:cs="宋体"/>
          <w:bCs/>
          <w:color w:val="auto"/>
          <w:sz w:val="24"/>
          <w:szCs w:val="24"/>
          <w:highlight w:val="none"/>
        </w:rPr>
        <w:t>无；</w:t>
      </w:r>
      <w:r>
        <w:rPr>
          <w:rFonts w:ascii="宋体" w:hAnsi="宋体" w:cs="宋体"/>
          <w:bCs/>
          <w:color w:val="auto"/>
          <w:sz w:val="24"/>
          <w:szCs w:val="24"/>
          <w:highlight w:val="none"/>
        </w:rPr>
        <w:t xml:space="preserve">   </w:t>
      </w:r>
      <w:r>
        <w:rPr>
          <w:rFonts w:hint="eastAsia" w:ascii="宋体" w:hAnsi="宋体" w:cs="宋体"/>
          <w:color w:val="auto"/>
          <w:szCs w:val="21"/>
          <w:highlight w:val="none"/>
        </w:rPr>
        <w:t>□</w:t>
      </w:r>
      <w:r>
        <w:rPr>
          <w:rFonts w:ascii="宋体" w:hAnsi="宋体" w:cs="宋体"/>
          <w:bCs/>
          <w:color w:val="auto"/>
          <w:sz w:val="24"/>
          <w:szCs w:val="24"/>
          <w:highlight w:val="none"/>
        </w:rPr>
        <w:t xml:space="preserve"> </w:t>
      </w:r>
      <w:r>
        <w:rPr>
          <w:rFonts w:hint="eastAsia" w:ascii="宋体" w:hAnsi="宋体" w:cs="宋体"/>
          <w:bCs/>
          <w:color w:val="auto"/>
          <w:sz w:val="24"/>
          <w:szCs w:val="24"/>
          <w:highlight w:val="none"/>
          <w:lang w:val="en-US" w:eastAsia="zh-CN"/>
        </w:rPr>
        <w:t>有，</w:t>
      </w:r>
      <w:r>
        <w:rPr>
          <w:rFonts w:hint="eastAsia" w:ascii="宋体" w:hAnsi="宋体" w:cs="宋体"/>
          <w:color w:val="auto"/>
          <w:sz w:val="24"/>
          <w:szCs w:val="24"/>
          <w:highlight w:val="none"/>
        </w:rPr>
        <w:t>本合同签订后</w:t>
      </w:r>
      <w:r>
        <w:rPr>
          <w:rFonts w:ascii="宋体" w:hAnsi="宋体" w:cs="宋体"/>
          <w:color w:val="auto"/>
          <w:sz w:val="24"/>
          <w:szCs w:val="24"/>
          <w:highlight w:val="none"/>
        </w:rPr>
        <w:t>10</w:t>
      </w:r>
      <w:r>
        <w:rPr>
          <w:rFonts w:hint="eastAsia" w:ascii="宋体" w:hAnsi="宋体" w:cs="宋体"/>
          <w:color w:val="auto"/>
          <w:sz w:val="24"/>
          <w:szCs w:val="24"/>
          <w:highlight w:val="none"/>
        </w:rPr>
        <w:t>日内</w:t>
      </w:r>
      <w:r>
        <w:rPr>
          <w:rFonts w:hint="eastAsia" w:ascii="宋体" w:hAnsi="宋体" w:cs="宋体"/>
          <w:color w:val="auto"/>
          <w:sz w:val="24"/>
          <w:szCs w:val="24"/>
          <w:highlight w:val="none"/>
          <w:u w:val="single"/>
        </w:rPr>
        <w:t>以合同暂定总价的</w:t>
      </w:r>
      <w:r>
        <w:rPr>
          <w:rFonts w:ascii="宋体" w:hAnsi="宋体" w:cs="宋体"/>
          <w:color w:val="auto"/>
          <w:sz w:val="24"/>
          <w:szCs w:val="24"/>
          <w:highlight w:val="none"/>
          <w:u w:val="single"/>
        </w:rPr>
        <w:t>10%作为履约保证金</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金额为：</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（大写人民币：</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p>
    <w:p>
      <w:pPr>
        <w:pStyle w:val="21"/>
        <w:spacing w:before="0" w:beforeAutospacing="0" w:after="0" w:afterAutospacing="0" w:line="360" w:lineRule="auto"/>
        <w:ind w:firstLine="480"/>
        <w:rPr>
          <w:rFonts w:cs="宋体"/>
          <w:color w:val="auto"/>
          <w:highlight w:val="none"/>
        </w:rPr>
      </w:pPr>
      <w:r>
        <w:rPr>
          <w:rFonts w:cs="宋体"/>
          <w:color w:val="auto"/>
          <w:highlight w:val="none"/>
        </w:rPr>
        <w:t>6.2履约担保</w:t>
      </w:r>
      <w:r>
        <w:rPr>
          <w:rFonts w:hint="eastAsia" w:cs="宋体"/>
          <w:color w:val="auto"/>
          <w:highlight w:val="none"/>
        </w:rPr>
        <w:t>按以下任一种形式提供</w:t>
      </w:r>
      <w:r>
        <w:rPr>
          <w:rFonts w:cs="宋体"/>
          <w:color w:val="auto"/>
          <w:highlight w:val="none"/>
        </w:rPr>
        <w:t>：</w:t>
      </w:r>
    </w:p>
    <w:p>
      <w:pPr>
        <w:pStyle w:val="21"/>
        <w:spacing w:before="0" w:beforeAutospacing="0" w:after="0" w:afterAutospacing="0" w:line="360" w:lineRule="auto"/>
        <w:ind w:firstLine="480"/>
        <w:rPr>
          <w:rFonts w:cs="宋体"/>
          <w:color w:val="auto"/>
          <w:highlight w:val="none"/>
        </w:rPr>
      </w:pPr>
      <w:r>
        <w:rPr>
          <w:rFonts w:hint="eastAsia" w:cs="宋体"/>
          <w:color w:val="auto"/>
          <w:highlight w:val="none"/>
        </w:rPr>
        <w:t>1、符合甲方要求（详见附件6保函格式）的银行独立保函，</w:t>
      </w:r>
    </w:p>
    <w:p>
      <w:pPr>
        <w:pStyle w:val="21"/>
        <w:spacing w:before="0" w:beforeAutospacing="0" w:after="0" w:afterAutospacing="0" w:line="360" w:lineRule="auto"/>
        <w:ind w:firstLine="480"/>
        <w:rPr>
          <w:rFonts w:cs="宋体"/>
          <w:color w:val="auto"/>
          <w:highlight w:val="none"/>
        </w:rPr>
      </w:pPr>
      <w:r>
        <w:rPr>
          <w:rFonts w:hint="eastAsia" w:cs="宋体"/>
          <w:color w:val="auto"/>
          <w:highlight w:val="none"/>
        </w:rPr>
        <w:t>2、现金转账至甲方以下指定账户：</w:t>
      </w:r>
    </w:p>
    <w:p>
      <w:pPr>
        <w:tabs>
          <w:tab w:val="left" w:pos="1995"/>
        </w:tabs>
        <w:spacing w:line="360" w:lineRule="auto"/>
        <w:ind w:firstLine="480" w:firstLineChars="200"/>
        <w:rPr>
          <w:rFonts w:ascii="宋体" w:hAnsi="宋体" w:cs="宋体"/>
          <w:bCs/>
          <w:color w:val="auto"/>
          <w:sz w:val="24"/>
          <w:szCs w:val="24"/>
          <w:highlight w:val="none"/>
          <w:u w:val="single"/>
        </w:rPr>
      </w:pPr>
      <w:r>
        <w:rPr>
          <w:rFonts w:hint="eastAsia" w:ascii="宋体" w:hAnsi="宋体" w:cs="宋体"/>
          <w:bCs/>
          <w:color w:val="auto"/>
          <w:sz w:val="24"/>
          <w:szCs w:val="24"/>
          <w:highlight w:val="none"/>
        </w:rPr>
        <w:t>户名：</w:t>
      </w:r>
      <w:r>
        <w:rPr>
          <w:rFonts w:hint="eastAsia" w:ascii="宋体" w:hAnsi="宋体" w:cs="宋体"/>
          <w:bCs/>
          <w:color w:val="auto"/>
          <w:sz w:val="24"/>
          <w:szCs w:val="24"/>
          <w:highlight w:val="none"/>
          <w:u w:val="single"/>
        </w:rPr>
        <w:t>广州市净水有限公司</w:t>
      </w:r>
    </w:p>
    <w:p>
      <w:pPr>
        <w:tabs>
          <w:tab w:val="left" w:pos="1995"/>
        </w:tabs>
        <w:spacing w:line="360" w:lineRule="auto"/>
        <w:ind w:firstLine="480" w:firstLineChars="200"/>
        <w:rPr>
          <w:rFonts w:ascii="宋体" w:hAnsi="宋体" w:cs="宋体"/>
          <w:bCs/>
          <w:color w:val="auto"/>
          <w:sz w:val="24"/>
          <w:szCs w:val="24"/>
          <w:highlight w:val="none"/>
          <w:u w:val="single"/>
        </w:rPr>
      </w:pPr>
      <w:r>
        <w:rPr>
          <w:rFonts w:hint="eastAsia" w:ascii="宋体" w:hAnsi="宋体" w:cs="宋体"/>
          <w:bCs/>
          <w:color w:val="auto"/>
          <w:sz w:val="24"/>
          <w:szCs w:val="24"/>
          <w:highlight w:val="none"/>
        </w:rPr>
        <w:t>账号：</w:t>
      </w:r>
      <w:r>
        <w:rPr>
          <w:rFonts w:ascii="宋体" w:hAnsi="宋体" w:cs="宋体"/>
          <w:bCs/>
          <w:color w:val="auto"/>
          <w:sz w:val="24"/>
          <w:szCs w:val="24"/>
          <w:highlight w:val="none"/>
          <w:u w:val="single"/>
        </w:rPr>
        <w:t>82010154900000342</w:t>
      </w:r>
    </w:p>
    <w:p>
      <w:pPr>
        <w:tabs>
          <w:tab w:val="left" w:pos="1995"/>
        </w:tabs>
        <w:spacing w:line="360" w:lineRule="auto"/>
        <w:ind w:firstLine="480" w:firstLineChars="200"/>
        <w:rPr>
          <w:rFonts w:ascii="宋体" w:hAnsi="宋体" w:cs="宋体"/>
          <w:bCs/>
          <w:color w:val="auto"/>
          <w:sz w:val="24"/>
          <w:szCs w:val="24"/>
          <w:highlight w:val="none"/>
          <w:u w:val="single"/>
        </w:rPr>
      </w:pPr>
      <w:r>
        <w:rPr>
          <w:rFonts w:hint="eastAsia" w:ascii="宋体" w:hAnsi="宋体" w:cs="宋体"/>
          <w:bCs/>
          <w:color w:val="auto"/>
          <w:sz w:val="24"/>
          <w:szCs w:val="24"/>
          <w:highlight w:val="none"/>
        </w:rPr>
        <w:t>开户行：</w:t>
      </w:r>
      <w:r>
        <w:rPr>
          <w:rFonts w:hint="eastAsia" w:ascii="宋体" w:hAnsi="宋体" w:cs="宋体"/>
          <w:bCs/>
          <w:color w:val="auto"/>
          <w:sz w:val="24"/>
          <w:szCs w:val="24"/>
          <w:highlight w:val="none"/>
          <w:u w:val="single"/>
        </w:rPr>
        <w:t>浦发银行广州分行</w:t>
      </w:r>
    </w:p>
    <w:p>
      <w:pPr>
        <w:spacing w:line="360" w:lineRule="auto"/>
        <w:ind w:firstLine="480"/>
        <w:outlineLvl w:val="0"/>
        <w:rPr>
          <w:rFonts w:ascii="宋体" w:hAnsi="宋体" w:cs="宋体"/>
          <w:color w:val="auto"/>
          <w:sz w:val="24"/>
          <w:szCs w:val="24"/>
          <w:highlight w:val="none"/>
        </w:rPr>
      </w:pPr>
      <w:r>
        <w:rPr>
          <w:rFonts w:ascii="宋体" w:hAnsi="宋体" w:cs="宋体"/>
          <w:color w:val="auto"/>
          <w:sz w:val="24"/>
          <w:szCs w:val="24"/>
          <w:highlight w:val="none"/>
        </w:rPr>
        <w:t>6.3</w:t>
      </w:r>
      <w:r>
        <w:rPr>
          <w:rFonts w:hint="eastAsia" w:ascii="宋体" w:hAnsi="宋体" w:cs="宋体"/>
          <w:color w:val="auto"/>
          <w:sz w:val="24"/>
          <w:szCs w:val="24"/>
          <w:highlight w:val="none"/>
        </w:rPr>
        <w:t>履约担保的担保期限和返还</w:t>
      </w:r>
    </w:p>
    <w:p>
      <w:pPr>
        <w:spacing w:line="360" w:lineRule="auto"/>
        <w:ind w:firstLine="480"/>
        <w:outlineLvl w:val="0"/>
        <w:rPr>
          <w:rFonts w:ascii="宋体" w:hAnsi="宋体" w:cs="宋体"/>
          <w:color w:val="auto"/>
          <w:sz w:val="24"/>
          <w:szCs w:val="24"/>
          <w:highlight w:val="none"/>
        </w:rPr>
      </w:pPr>
      <w:r>
        <w:rPr>
          <w:rFonts w:ascii="宋体" w:hAnsi="宋体" w:cs="宋体"/>
          <w:color w:val="auto"/>
          <w:sz w:val="24"/>
          <w:szCs w:val="24"/>
          <w:highlight w:val="none"/>
        </w:rPr>
        <w:t>6.3.1</w:t>
      </w:r>
      <w:r>
        <w:rPr>
          <w:rFonts w:hint="eastAsia" w:ascii="宋体" w:hAnsi="宋体" w:cs="宋体"/>
          <w:color w:val="auto"/>
          <w:sz w:val="24"/>
          <w:highlight w:val="none"/>
        </w:rPr>
        <w:t>履约银行保函（或现金履约保证金）的担保期限：从提供履约担保（或转账成功）之日起至合同履行完成。</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6.3.2</w:t>
      </w:r>
      <w:r>
        <w:rPr>
          <w:rFonts w:hint="eastAsia" w:ascii="宋体" w:hAnsi="宋体" w:cs="宋体"/>
          <w:color w:val="auto"/>
          <w:sz w:val="24"/>
          <w:highlight w:val="none"/>
        </w:rPr>
        <w:t>履约银行保函在合同履行完成后，由乙方提出申请，甲方在28日内返还，不支付利息；</w:t>
      </w:r>
      <w:r>
        <w:rPr>
          <w:rFonts w:ascii="宋体" w:hAnsi="宋体" w:cs="宋体"/>
          <w:color w:val="auto"/>
          <w:sz w:val="24"/>
          <w:szCs w:val="24"/>
          <w:highlight w:val="none"/>
        </w:rPr>
        <w:t xml:space="preserve"> </w:t>
      </w:r>
    </w:p>
    <w:p>
      <w:pPr>
        <w:spacing w:line="360" w:lineRule="auto"/>
        <w:ind w:firstLine="480" w:firstLineChars="200"/>
        <w:outlineLvl w:val="0"/>
        <w:rPr>
          <w:rFonts w:ascii="宋体" w:hAnsi="宋体" w:cs="宋体"/>
          <w:color w:val="auto"/>
          <w:sz w:val="24"/>
          <w:szCs w:val="24"/>
          <w:highlight w:val="none"/>
        </w:rPr>
      </w:pPr>
      <w:r>
        <w:rPr>
          <w:rFonts w:ascii="宋体" w:hAnsi="宋体" w:cs="宋体"/>
          <w:color w:val="auto"/>
          <w:sz w:val="24"/>
          <w:szCs w:val="24"/>
          <w:highlight w:val="none"/>
        </w:rPr>
        <w:t>6.3.3</w:t>
      </w:r>
      <w:r>
        <w:rPr>
          <w:rFonts w:hint="eastAsia" w:ascii="宋体" w:hAnsi="宋体" w:cs="宋体"/>
          <w:color w:val="auto"/>
          <w:sz w:val="24"/>
          <w:szCs w:val="24"/>
          <w:highlight w:val="none"/>
        </w:rPr>
        <w:t>延长担保期限。履约银行保函形式提交履约保证金的，在银行保函到期前，乙方应提前</w:t>
      </w:r>
      <w:r>
        <w:rPr>
          <w:rFonts w:ascii="宋体" w:hAnsi="宋体" w:cs="宋体"/>
          <w:color w:val="auto"/>
          <w:sz w:val="24"/>
          <w:szCs w:val="24"/>
          <w:highlight w:val="none"/>
          <w:u w:val="single"/>
        </w:rPr>
        <w:t xml:space="preserve"> 7 </w:t>
      </w:r>
      <w:r>
        <w:rPr>
          <w:rFonts w:ascii="宋体" w:hAnsi="宋体" w:cs="宋体"/>
          <w:color w:val="auto"/>
          <w:sz w:val="24"/>
          <w:szCs w:val="24"/>
          <w:highlight w:val="none"/>
        </w:rPr>
        <w:t>天向甲方提交新的保函以替换即将到期的保函</w:t>
      </w:r>
      <w:r>
        <w:rPr>
          <w:rFonts w:hint="eastAsia" w:ascii="宋体" w:hAnsi="宋体" w:cs="宋体"/>
          <w:color w:val="auto"/>
          <w:sz w:val="24"/>
          <w:szCs w:val="24"/>
          <w:highlight w:val="none"/>
        </w:rPr>
        <w:t>。如乙方未及时提交的，甲方有权直接要求担保银行支付其担保的全部金额并解除合同。</w:t>
      </w:r>
    </w:p>
    <w:p>
      <w:pPr>
        <w:pStyle w:val="21"/>
        <w:spacing w:before="0" w:beforeAutospacing="0" w:after="0" w:afterAutospacing="0" w:line="360" w:lineRule="auto"/>
        <w:ind w:firstLine="525"/>
        <w:rPr>
          <w:rFonts w:cs="宋体"/>
          <w:color w:val="auto"/>
          <w:highlight w:val="none"/>
        </w:rPr>
      </w:pPr>
      <w:r>
        <w:rPr>
          <w:rFonts w:cs="宋体"/>
          <w:color w:val="auto"/>
          <w:highlight w:val="none"/>
        </w:rPr>
        <w:t>6.3.4</w:t>
      </w:r>
      <w:r>
        <w:rPr>
          <w:rFonts w:hint="eastAsia" w:cs="宋体"/>
          <w:color w:val="auto"/>
          <w:highlight w:val="none"/>
        </w:rPr>
        <w:t>现金履约保证金的退还：合同履行完成后，由乙方提出申请，甲方在</w:t>
      </w:r>
      <w:r>
        <w:rPr>
          <w:rFonts w:cs="宋体"/>
          <w:color w:val="auto"/>
          <w:highlight w:val="none"/>
        </w:rPr>
        <w:t>28</w:t>
      </w:r>
      <w:r>
        <w:rPr>
          <w:rFonts w:hint="eastAsia" w:cs="宋体"/>
          <w:color w:val="auto"/>
          <w:highlight w:val="none"/>
        </w:rPr>
        <w:t>天</w:t>
      </w:r>
      <w:r>
        <w:rPr>
          <w:rFonts w:cs="宋体"/>
          <w:color w:val="auto"/>
          <w:highlight w:val="none"/>
        </w:rPr>
        <w:t>内</w:t>
      </w:r>
      <w:r>
        <w:rPr>
          <w:rFonts w:hint="eastAsia" w:cs="宋体"/>
          <w:color w:val="auto"/>
          <w:highlight w:val="none"/>
        </w:rPr>
        <w:t>将剩余履约保证金（无息）返还。</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6.3.5</w:t>
      </w:r>
      <w:r>
        <w:rPr>
          <w:rFonts w:hint="eastAsia" w:ascii="宋体" w:hAnsi="宋体" w:cs="宋体"/>
          <w:color w:val="auto"/>
          <w:sz w:val="24"/>
          <w:szCs w:val="24"/>
          <w:highlight w:val="none"/>
        </w:rPr>
        <w:t>甲方按合同约定提取履约担保金额后，乙方应在收到甲方通知后</w:t>
      </w:r>
      <w:r>
        <w:rPr>
          <w:rFonts w:ascii="宋体" w:hAnsi="宋体" w:cs="宋体"/>
          <w:color w:val="auto"/>
          <w:sz w:val="24"/>
          <w:szCs w:val="24"/>
          <w:highlight w:val="none"/>
          <w:u w:val="single"/>
        </w:rPr>
        <w:t xml:space="preserve"> 7 </w:t>
      </w:r>
      <w:r>
        <w:rPr>
          <w:rFonts w:hint="eastAsia" w:ascii="宋体" w:hAnsi="宋体" w:cs="宋体"/>
          <w:color w:val="auto"/>
          <w:sz w:val="24"/>
          <w:szCs w:val="24"/>
          <w:highlight w:val="none"/>
        </w:rPr>
        <w:t>天内补足数额，逾期未补足，则甲方有权提取履约担保的全部余额并解除合同。</w:t>
      </w:r>
    </w:p>
    <w:bookmarkEnd w:id="104"/>
    <w:bookmarkEnd w:id="105"/>
    <w:p>
      <w:pPr>
        <w:spacing w:after="0" w:line="360" w:lineRule="auto"/>
        <w:ind w:firstLine="482" w:firstLineChars="200"/>
        <w:rPr>
          <w:rFonts w:ascii="宋体" w:hAnsi="宋体" w:cs="宋体"/>
          <w:b/>
          <w:color w:val="auto"/>
          <w:sz w:val="24"/>
          <w:szCs w:val="24"/>
          <w:highlight w:val="none"/>
        </w:rPr>
      </w:pPr>
      <w:r>
        <w:rPr>
          <w:rFonts w:hint="eastAsia" w:ascii="宋体" w:hAnsi="宋体" w:cs="宋体"/>
          <w:b/>
          <w:bCs/>
          <w:color w:val="auto"/>
          <w:kern w:val="0"/>
          <w:sz w:val="24"/>
          <w:szCs w:val="24"/>
          <w:highlight w:val="none"/>
        </w:rPr>
        <w:t>第七条</w:t>
      </w:r>
      <w:r>
        <w:rPr>
          <w:rFonts w:ascii="宋体" w:hAnsi="宋体" w:cs="宋体"/>
          <w:b/>
          <w:bCs/>
          <w:color w:val="auto"/>
          <w:kern w:val="0"/>
          <w:sz w:val="24"/>
          <w:szCs w:val="24"/>
          <w:highlight w:val="none"/>
        </w:rPr>
        <w:t xml:space="preserve"> </w:t>
      </w:r>
      <w:r>
        <w:rPr>
          <w:rFonts w:hint="eastAsia" w:ascii="宋体" w:hAnsi="宋体" w:cs="宋体"/>
          <w:b/>
          <w:color w:val="auto"/>
          <w:sz w:val="24"/>
          <w:szCs w:val="24"/>
          <w:highlight w:val="none"/>
        </w:rPr>
        <w:t>交货及检验要求</w:t>
      </w:r>
    </w:p>
    <w:p>
      <w:pPr>
        <w:autoSpaceDE w:val="0"/>
        <w:autoSpaceDN w:val="0"/>
        <w:adjustRightInd w:val="0"/>
        <w:spacing w:line="360" w:lineRule="auto"/>
        <w:ind w:firstLine="480" w:firstLineChars="200"/>
        <w:rPr>
          <w:color w:val="auto"/>
          <w:highlight w:val="none"/>
        </w:rPr>
      </w:pPr>
      <w:r>
        <w:rPr>
          <w:rFonts w:ascii="宋体" w:hAnsi="宋体" w:cs="宋体"/>
          <w:bCs/>
          <w:color w:val="auto"/>
          <w:sz w:val="24"/>
          <w:szCs w:val="24"/>
          <w:highlight w:val="none"/>
        </w:rPr>
        <w:t xml:space="preserve">7.1 </w:t>
      </w:r>
      <w:r>
        <w:rPr>
          <w:rFonts w:hint="eastAsia" w:ascii="宋体" w:hAnsi="宋体" w:cs="宋体"/>
          <w:bCs/>
          <w:color w:val="auto"/>
          <w:sz w:val="24"/>
          <w:szCs w:val="24"/>
          <w:highlight w:val="none"/>
        </w:rPr>
        <w:t>交货要求：</w:t>
      </w:r>
      <w:r>
        <w:rPr>
          <w:rFonts w:hint="eastAsia" w:ascii="宋体" w:hAnsi="宋体" w:cs="宋体"/>
          <w:bCs/>
          <w:color w:val="auto"/>
          <w:sz w:val="24"/>
          <w:highlight w:val="none"/>
          <w:u w:val="single"/>
        </w:rPr>
        <w:t>乙方应在交货时向甲方提供仪器设备的用户手册、保修手册、操作手册、工作软件说明书、维修保养手册等技术文件、有关单证资料及配备件、随机工具、产品合格证（设备出厂系列号）、质量保证书和产品软件、由仪器设备厂家提供的设备配件和日常使用耗材的具体项目和报价表等全套资料交付给甲方，使用操作及安全须知等重要资料应附有中文说明。</w:t>
      </w:r>
    </w:p>
    <w:p>
      <w:pPr>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7.2</w:t>
      </w:r>
      <w:r>
        <w:rPr>
          <w:rFonts w:hint="eastAsia" w:ascii="宋体" w:hAnsi="宋体" w:cs="宋体"/>
          <w:bCs/>
          <w:color w:val="auto"/>
          <w:sz w:val="24"/>
          <w:szCs w:val="24"/>
          <w:highlight w:val="none"/>
        </w:rPr>
        <w:t>外观验收：设备运抵交货地点后，甲乙双方根据合同约定对合同设备的包装、外观与件数进行清点检查，并共同签署合同设备外观检查记录。</w:t>
      </w:r>
    </w:p>
    <w:p>
      <w:pPr>
        <w:spacing w:after="0" w:line="360" w:lineRule="auto"/>
        <w:ind w:firstLine="480" w:firstLineChars="200"/>
        <w:rPr>
          <w:rFonts w:ascii="宋体" w:hAnsi="宋体" w:cs="宋体"/>
          <w:color w:val="auto"/>
          <w:sz w:val="24"/>
          <w:szCs w:val="24"/>
          <w:highlight w:val="none"/>
        </w:rPr>
      </w:pPr>
      <w:r>
        <w:rPr>
          <w:rFonts w:ascii="宋体" w:hAnsi="宋体" w:cs="宋体"/>
          <w:bCs/>
          <w:color w:val="auto"/>
          <w:sz w:val="24"/>
          <w:szCs w:val="24"/>
          <w:highlight w:val="none"/>
        </w:rPr>
        <w:t xml:space="preserve">7.3 </w:t>
      </w:r>
      <w:r>
        <w:rPr>
          <w:rFonts w:hint="eastAsia" w:ascii="宋体" w:hAnsi="宋体" w:cs="宋体"/>
          <w:bCs/>
          <w:color w:val="auto"/>
          <w:sz w:val="24"/>
          <w:szCs w:val="24"/>
          <w:highlight w:val="none"/>
        </w:rPr>
        <w:t>开箱验收：开箱检验在合同设备交付地点进行，</w:t>
      </w:r>
      <w:r>
        <w:rPr>
          <w:rFonts w:hint="eastAsia" w:ascii="宋体" w:hAnsi="宋体" w:cs="宋体"/>
          <w:color w:val="auto"/>
          <w:sz w:val="24"/>
          <w:szCs w:val="24"/>
          <w:highlight w:val="none"/>
        </w:rPr>
        <w:t>包括但不限于对合同设备数量、规格、外观完好性进行检验。经验收合格后，甲方签发开箱检验合格证明。开箱验收合格前，设备的损坏风险由乙方承担。</w:t>
      </w:r>
    </w:p>
    <w:p>
      <w:pPr>
        <w:adjustRightInd w:val="0"/>
        <w:snapToGrid w:val="0"/>
        <w:spacing w:after="0" w:line="360" w:lineRule="auto"/>
        <w:rPr>
          <w:rFonts w:ascii="宋体" w:hAnsi="宋体" w:cs="宋体"/>
          <w:color w:val="auto"/>
          <w:sz w:val="24"/>
          <w:szCs w:val="24"/>
          <w:highlight w:val="none"/>
        </w:rPr>
      </w:pPr>
      <w:r>
        <w:rPr>
          <w:rFonts w:ascii="宋体" w:hAnsi="宋体" w:cs="宋体"/>
          <w:color w:val="auto"/>
          <w:sz w:val="24"/>
          <w:szCs w:val="24"/>
          <w:highlight w:val="none"/>
        </w:rPr>
        <w:t xml:space="preserve">    7.4</w:t>
      </w:r>
      <w:r>
        <w:rPr>
          <w:rFonts w:hint="eastAsia" w:ascii="宋体" w:hAnsi="宋体" w:cs="宋体"/>
          <w:color w:val="auto"/>
          <w:sz w:val="24"/>
          <w:szCs w:val="24"/>
          <w:highlight w:val="none"/>
        </w:rPr>
        <w:t>如双方对合同设备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spacing w:line="360" w:lineRule="auto"/>
        <w:rPr>
          <w:rFonts w:ascii="宋体" w:hAnsi="宋体" w:cs="宋体"/>
          <w:color w:val="auto"/>
          <w:sz w:val="24"/>
          <w:szCs w:val="24"/>
          <w:highlight w:val="none"/>
        </w:rPr>
      </w:pPr>
      <w:r>
        <w:rPr>
          <w:rFonts w:ascii="宋体" w:hAnsi="宋体" w:cs="宋体"/>
          <w:color w:val="auto"/>
          <w:sz w:val="24"/>
          <w:szCs w:val="24"/>
          <w:highlight w:val="none"/>
        </w:rPr>
        <w:t xml:space="preserve">    7.5</w:t>
      </w:r>
      <w:r>
        <w:rPr>
          <w:rFonts w:hint="eastAsia" w:ascii="宋体" w:hAnsi="宋体" w:cs="宋体"/>
          <w:color w:val="auto"/>
          <w:sz w:val="24"/>
          <w:szCs w:val="24"/>
          <w:highlight w:val="none"/>
        </w:rPr>
        <w:t>对设备外观检查与开箱检查发现的问题，如数量、规格、外表质量等与合同约定不符，设备或部件因包装、运输、装卸问题造成的任何损坏、丢失，装箱文件短缺等，乙方应在不影响甲方生产运营的前提下，在甲方规定期限内消除合同设备中存在的缺陷，用合格的新设备更换有缺陷的设备、退货或补发，并自行承担费用。甲方有权在设备缺陷消除或设备更换后，委托第三方检测机构进行检测，检测结果及费用承担按本合同第</w:t>
      </w:r>
      <w:r>
        <w:rPr>
          <w:rFonts w:ascii="宋体" w:hAnsi="宋体" w:cs="宋体"/>
          <w:color w:val="auto"/>
          <w:sz w:val="24"/>
          <w:szCs w:val="24"/>
          <w:highlight w:val="none"/>
        </w:rPr>
        <w:t>7.4</w:t>
      </w:r>
      <w:r>
        <w:rPr>
          <w:rFonts w:hint="eastAsia" w:ascii="宋体" w:hAnsi="宋体" w:cs="宋体"/>
          <w:color w:val="auto"/>
          <w:sz w:val="24"/>
          <w:szCs w:val="24"/>
          <w:highlight w:val="none"/>
        </w:rPr>
        <w:t>条执行，交货时间不顺延。</w:t>
      </w:r>
    </w:p>
    <w:p>
      <w:pPr>
        <w:spacing w:after="0" w:line="360" w:lineRule="auto"/>
        <w:ind w:firstLine="480"/>
        <w:rPr>
          <w:rFonts w:hint="eastAsia" w:ascii="宋体" w:hAnsi="宋体" w:cs="宋体"/>
          <w:color w:val="auto"/>
          <w:sz w:val="24"/>
          <w:szCs w:val="24"/>
          <w:highlight w:val="none"/>
        </w:rPr>
      </w:pPr>
      <w:r>
        <w:rPr>
          <w:rFonts w:ascii="宋体" w:hAnsi="宋体" w:cs="宋体"/>
          <w:color w:val="auto"/>
          <w:sz w:val="24"/>
          <w:szCs w:val="24"/>
          <w:highlight w:val="none"/>
        </w:rPr>
        <w:t xml:space="preserve">7.6 </w:t>
      </w:r>
      <w:r>
        <w:rPr>
          <w:rFonts w:hint="eastAsia" w:ascii="宋体" w:hAnsi="宋体" w:cs="宋体"/>
          <w:color w:val="auto"/>
          <w:sz w:val="24"/>
          <w:szCs w:val="24"/>
          <w:highlight w:val="none"/>
        </w:rPr>
        <w:t>甲方有权对合同设备进行原厂正品验证，若合同设备无法获原厂验证，甲方有权退回设备，要求乙方在</w:t>
      </w:r>
      <w:r>
        <w:rPr>
          <w:rFonts w:ascii="宋体" w:hAnsi="宋体" w:cs="宋体"/>
          <w:color w:val="auto"/>
          <w:sz w:val="24"/>
          <w:szCs w:val="24"/>
          <w:highlight w:val="none"/>
          <w:u w:val="single"/>
        </w:rPr>
        <w:t xml:space="preserve"> 5 </w:t>
      </w:r>
      <w:r>
        <w:rPr>
          <w:rFonts w:hint="eastAsia" w:ascii="宋体" w:hAnsi="宋体" w:cs="宋体"/>
          <w:color w:val="auto"/>
          <w:sz w:val="24"/>
          <w:szCs w:val="24"/>
          <w:highlight w:val="none"/>
        </w:rPr>
        <w:t>个工作日内退回已支付款项并按设备价格的</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10 </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w:t>
      </w:r>
      <w:r>
        <w:rPr>
          <w:rFonts w:hint="eastAsia" w:ascii="宋体" w:hAnsi="宋体" w:cs="宋体"/>
          <w:color w:val="auto"/>
          <w:sz w:val="24"/>
          <w:szCs w:val="24"/>
          <w:highlight w:val="none"/>
        </w:rPr>
        <w:t>支付违约金。</w:t>
      </w:r>
    </w:p>
    <w:p>
      <w:pPr>
        <w:spacing w:line="360" w:lineRule="auto"/>
        <w:ind w:firstLine="480"/>
        <w:rPr>
          <w:rFonts w:hint="eastAsia" w:ascii="宋体" w:hAnsi="宋体" w:cs="宋体"/>
          <w:color w:val="auto"/>
          <w:sz w:val="24"/>
          <w:szCs w:val="24"/>
          <w:highlight w:val="none"/>
          <w:u w:val="none"/>
        </w:rPr>
      </w:pPr>
      <w:r>
        <w:rPr>
          <w:rFonts w:hint="eastAsia" w:ascii="宋体" w:hAnsi="宋体" w:cs="宋体"/>
          <w:color w:val="auto"/>
          <w:sz w:val="24"/>
          <w:szCs w:val="24"/>
          <w:highlight w:val="none"/>
          <w:u w:val="none"/>
        </w:rPr>
        <w:t>7.</w:t>
      </w:r>
      <w:r>
        <w:rPr>
          <w:rFonts w:ascii="宋体" w:hAnsi="宋体" w:cs="宋体"/>
          <w:color w:val="auto"/>
          <w:sz w:val="24"/>
          <w:szCs w:val="24"/>
          <w:highlight w:val="none"/>
          <w:u w:val="none"/>
        </w:rPr>
        <w:t>7</w:t>
      </w:r>
      <w:r>
        <w:rPr>
          <w:rFonts w:hint="eastAsia" w:ascii="宋体" w:hAnsi="宋体" w:cs="宋体"/>
          <w:color w:val="auto"/>
          <w:sz w:val="24"/>
          <w:szCs w:val="24"/>
          <w:highlight w:val="none"/>
          <w:u w:val="none"/>
        </w:rPr>
        <w:t>乙方必须依照招标文件的要求和投标文件的承诺，由仪器制造厂授权技术员在甲方用户现场免费将设备、系统安装并调试至正常运行的最佳状态，技术指标合格后，出具验收报告。若有国家标准按照国家标准验收，若无国家标准按行业标准验收，为原制造商制造的全新产品，整机无污染，无侵权行为、表面无划损、无任何缺陷隐患，在中国境内可依常规安全合法使用。设备为原厂商未启封全新包装，具出厂合格证，序列号、包装箱号与出厂批号一致，并可追索查阅。所有随设备的附件必须齐全。</w:t>
      </w:r>
    </w:p>
    <w:p>
      <w:pPr>
        <w:spacing w:line="360" w:lineRule="auto"/>
        <w:ind w:firstLine="480"/>
        <w:rPr>
          <w:rFonts w:ascii="宋体" w:hAnsi="宋体" w:cs="宋体"/>
          <w:color w:val="auto"/>
          <w:sz w:val="24"/>
          <w:szCs w:val="24"/>
          <w:highlight w:val="none"/>
          <w:u w:val="none"/>
        </w:rPr>
      </w:pPr>
      <w:r>
        <w:rPr>
          <w:rFonts w:hint="eastAsia" w:ascii="宋体" w:hAnsi="宋体" w:cs="宋体"/>
          <w:color w:val="auto"/>
          <w:sz w:val="24"/>
          <w:szCs w:val="24"/>
          <w:highlight w:val="none"/>
          <w:u w:val="none"/>
        </w:rPr>
        <w:t>7.</w:t>
      </w:r>
      <w:r>
        <w:rPr>
          <w:rFonts w:ascii="宋体" w:hAnsi="宋体" w:cs="宋体"/>
          <w:color w:val="auto"/>
          <w:sz w:val="24"/>
          <w:szCs w:val="24"/>
          <w:highlight w:val="none"/>
          <w:u w:val="none"/>
        </w:rPr>
        <w:t>8</w:t>
      </w:r>
      <w:r>
        <w:rPr>
          <w:rFonts w:hint="eastAsia" w:ascii="宋体" w:hAnsi="宋体" w:cs="宋体"/>
          <w:color w:val="auto"/>
          <w:sz w:val="24"/>
          <w:szCs w:val="24"/>
          <w:highlight w:val="none"/>
          <w:u w:val="none"/>
        </w:rPr>
        <w:t>甲方组成验收小组按国家有关规定、规范进行验收，必要时邀请相关的专业人员或机构参与验收。因货物质量问题发生争议时，由本地质量技术监督部门鉴定。货物符合质量技术标准的，鉴定费由甲方承担；否则鉴定费由乙方承担。验收后乙方应派技术人员对甲方的使用人员进行所有仪器设备免费系统培训直至完全能独立操作（包括仪器原理、结构、维护、应用方法开发）。</w:t>
      </w:r>
    </w:p>
    <w:p>
      <w:pPr>
        <w:spacing w:line="360" w:lineRule="auto"/>
        <w:ind w:firstLine="480"/>
        <w:rPr>
          <w:color w:val="auto"/>
          <w:highlight w:val="none"/>
        </w:rPr>
      </w:pPr>
      <w:r>
        <w:rPr>
          <w:rFonts w:hint="eastAsia" w:ascii="宋体" w:hAnsi="宋体" w:cs="宋体"/>
          <w:color w:val="auto"/>
          <w:sz w:val="24"/>
          <w:szCs w:val="24"/>
          <w:highlight w:val="none"/>
          <w:u w:val="none"/>
        </w:rPr>
        <w:t>7.9进口产品是指通过中国海关报关验放进入中国境内且产自关境外的产品。进口产品必须具备原产地证明和商检局的检验证明及合法进货渠道证明。</w:t>
      </w:r>
    </w:p>
    <w:bookmarkEnd w:id="92"/>
    <w:bookmarkEnd w:id="93"/>
    <w:bookmarkEnd w:id="94"/>
    <w:bookmarkEnd w:id="95"/>
    <w:bookmarkEnd w:id="96"/>
    <w:bookmarkEnd w:id="97"/>
    <w:bookmarkEnd w:id="98"/>
    <w:p>
      <w:pPr>
        <w:spacing w:before="120" w:after="120" w:line="360" w:lineRule="auto"/>
        <w:ind w:firstLine="482" w:firstLineChars="200"/>
        <w:rPr>
          <w:rFonts w:ascii="宋体" w:hAnsi="宋体" w:cs="宋体"/>
          <w:b/>
          <w:color w:val="auto"/>
          <w:sz w:val="24"/>
          <w:szCs w:val="24"/>
          <w:highlight w:val="none"/>
        </w:rPr>
      </w:pPr>
      <w:bookmarkStart w:id="106" w:name="_Toc520190030"/>
      <w:bookmarkStart w:id="107" w:name="_Toc518992990"/>
      <w:bookmarkStart w:id="108" w:name="_Toc474245215"/>
      <w:bookmarkStart w:id="109" w:name="_Toc183666534"/>
      <w:bookmarkStart w:id="110" w:name="_Toc257"/>
      <w:r>
        <w:rPr>
          <w:rFonts w:hint="eastAsia" w:ascii="宋体" w:hAnsi="宋体" w:cs="宋体"/>
          <w:b/>
          <w:color w:val="auto"/>
          <w:sz w:val="24"/>
          <w:szCs w:val="24"/>
          <w:highlight w:val="none"/>
        </w:rPr>
        <w:t>第八条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包装</w:t>
      </w:r>
      <w:bookmarkEnd w:id="106"/>
      <w:bookmarkEnd w:id="107"/>
      <w:bookmarkEnd w:id="108"/>
      <w:r>
        <w:rPr>
          <w:rFonts w:hint="eastAsia" w:ascii="宋体" w:hAnsi="宋体" w:cs="宋体"/>
          <w:b/>
          <w:color w:val="auto"/>
          <w:sz w:val="24"/>
          <w:szCs w:val="24"/>
          <w:highlight w:val="none"/>
        </w:rPr>
        <w:t>、标示及运输要求</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8.1 </w:t>
      </w:r>
      <w:r>
        <w:rPr>
          <w:rFonts w:hint="eastAsia" w:ascii="宋体" w:hAnsi="宋体" w:cs="宋体"/>
          <w:bCs/>
          <w:color w:val="auto"/>
          <w:sz w:val="24"/>
          <w:szCs w:val="24"/>
          <w:highlight w:val="none"/>
        </w:rPr>
        <w:t>包装</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8.1.1</w:t>
      </w:r>
      <w:r>
        <w:rPr>
          <w:rFonts w:hint="eastAsia" w:ascii="宋体" w:hAnsi="宋体" w:cs="宋体"/>
          <w:bCs/>
          <w:color w:val="auto"/>
          <w:sz w:val="24"/>
          <w:szCs w:val="24"/>
          <w:highlight w:val="none"/>
        </w:rPr>
        <w:t>乙方根据设备的特点，按照有关国家、行业标准要求，对设备及其零配件进行适合长途运输、多次搬运与装卸、防震、防水、防潮、防霉、防锈、防腐蚀等的坚固可靠包装，确保设备能适应高温、雨淋、潮湿环境下的长途运输、多次装卸与现场存放。</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8.1.2</w:t>
      </w:r>
      <w:r>
        <w:rPr>
          <w:rFonts w:hint="eastAsia" w:ascii="宋体" w:hAnsi="宋体" w:cs="宋体"/>
          <w:bCs/>
          <w:color w:val="auto"/>
          <w:sz w:val="24"/>
          <w:szCs w:val="24"/>
          <w:highlight w:val="none"/>
        </w:rPr>
        <w:t>超限设备的包装要求：</w:t>
      </w:r>
      <w:r>
        <w:rPr>
          <w:rFonts w:ascii="宋体" w:hAnsi="宋体" w:cs="宋体"/>
          <w:bCs/>
          <w:color w:val="auto"/>
          <w:sz w:val="24"/>
          <w:szCs w:val="24"/>
          <w:highlight w:val="none"/>
          <w:u w:val="single"/>
        </w:rPr>
        <w:t xml:space="preserve">  /  </w:t>
      </w:r>
      <w:r>
        <w:rPr>
          <w:rFonts w:hint="eastAsia" w:ascii="宋体" w:hAnsi="宋体" w:cs="宋体"/>
          <w:bCs/>
          <w:color w:val="auto"/>
          <w:sz w:val="24"/>
          <w:szCs w:val="24"/>
          <w:highlight w:val="none"/>
        </w:rPr>
        <w:t>。</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8.2 </w:t>
      </w:r>
      <w:bookmarkStart w:id="111" w:name="_Toc107447244"/>
      <w:bookmarkStart w:id="112" w:name="_Toc107446851"/>
      <w:r>
        <w:rPr>
          <w:rFonts w:hint="eastAsia" w:ascii="宋体" w:hAnsi="宋体" w:cs="宋体"/>
          <w:bCs/>
          <w:color w:val="auto"/>
          <w:sz w:val="24"/>
          <w:szCs w:val="24"/>
          <w:highlight w:val="none"/>
        </w:rPr>
        <w:t>标志</w:t>
      </w:r>
    </w:p>
    <w:bookmarkEnd w:id="111"/>
    <w:bookmarkEnd w:id="112"/>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8.2.1</w:t>
      </w:r>
      <w:r>
        <w:rPr>
          <w:rFonts w:hint="eastAsia" w:ascii="宋体" w:hAnsi="宋体" w:cs="宋体"/>
          <w:bCs/>
          <w:color w:val="auto"/>
          <w:sz w:val="24"/>
          <w:szCs w:val="24"/>
          <w:highlight w:val="none"/>
        </w:rPr>
        <w:t>乙方应按照国家标准对设备的外包装进行标志。</w:t>
      </w:r>
    </w:p>
    <w:p>
      <w:pPr>
        <w:adjustRightInd w:val="0"/>
        <w:snapToGrid w:val="0"/>
        <w:spacing w:after="0" w:line="360" w:lineRule="auto"/>
        <w:ind w:firstLine="480" w:firstLineChars="200"/>
        <w:rPr>
          <w:rFonts w:ascii="宋体" w:hAnsi="宋体" w:cs="宋体"/>
          <w:bCs/>
          <w:color w:val="auto"/>
          <w:sz w:val="24"/>
          <w:szCs w:val="24"/>
          <w:highlight w:val="none"/>
        </w:rPr>
      </w:pPr>
      <w:r>
        <w:rPr>
          <w:rFonts w:ascii="宋体" w:hAnsi="宋体" w:cs="宋体"/>
          <w:color w:val="auto"/>
          <w:sz w:val="24"/>
          <w:szCs w:val="24"/>
          <w:highlight w:val="none"/>
        </w:rPr>
        <w:t>8.2.2</w:t>
      </w:r>
      <w:r>
        <w:rPr>
          <w:rFonts w:hint="eastAsia" w:ascii="宋体" w:hAnsi="宋体" w:cs="宋体"/>
          <w:color w:val="auto"/>
          <w:sz w:val="24"/>
          <w:szCs w:val="24"/>
          <w:highlight w:val="none"/>
        </w:rPr>
        <w:t>根据合同设备的特点和运输、保管的不同要求，乙方应在包装箱上清楚地标注“小心轻放”、“此端朝上，请勿倒置”、“保持干燥”等字样和其他适当标记。对于超大超重件，乙方应在包装箱两侧标注“重心”和“起吊点”以便装卸和搬运。如设备中含有易燃易爆物品、腐蚀物品、放射性物质等危险品，则应在包装箱上标明危险品标志。</w:t>
      </w:r>
    </w:p>
    <w:p>
      <w:pPr>
        <w:adjustRightInd w:val="0"/>
        <w:snapToGrid w:val="0"/>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8.2.3  </w:t>
      </w:r>
      <w:r>
        <w:rPr>
          <w:rFonts w:hint="eastAsia" w:ascii="宋体" w:hAnsi="宋体" w:cs="宋体"/>
          <w:bCs/>
          <w:color w:val="auto"/>
          <w:sz w:val="24"/>
          <w:szCs w:val="24"/>
          <w:highlight w:val="none"/>
        </w:rPr>
        <w:t>如由于包装不当或包装箱内部保护措施不符合要求而导致在装车或运输中发生设备或其任何部件的损坏或遗失，乙方应自费对缺损的设备、部件进行修理、更换或补供。</w:t>
      </w:r>
      <w:bookmarkStart w:id="113" w:name="_Toc518992992"/>
      <w:bookmarkStart w:id="114" w:name="_Toc9269"/>
      <w:bookmarkStart w:id="115" w:name="_Toc520190032"/>
      <w:bookmarkStart w:id="116" w:name="_Toc183666521"/>
      <w:bookmarkStart w:id="117" w:name="_Toc306350457"/>
      <w:bookmarkStart w:id="118" w:name="_Toc474245218"/>
    </w:p>
    <w:p>
      <w:pPr>
        <w:adjustRightInd w:val="0"/>
        <w:snapToGrid w:val="0"/>
        <w:spacing w:after="0"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8.3</w:t>
      </w:r>
      <w:r>
        <w:rPr>
          <w:rFonts w:hint="eastAsia" w:ascii="宋体" w:hAnsi="宋体" w:cs="宋体"/>
          <w:color w:val="auto"/>
          <w:sz w:val="24"/>
          <w:szCs w:val="24"/>
          <w:highlight w:val="none"/>
        </w:rPr>
        <w:t>运输</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8.3.1</w:t>
      </w:r>
      <w:r>
        <w:rPr>
          <w:rFonts w:hint="eastAsia" w:ascii="宋体" w:hAnsi="宋体" w:cs="宋体"/>
          <w:color w:val="auto"/>
          <w:sz w:val="24"/>
          <w:szCs w:val="24"/>
          <w:highlight w:val="none"/>
        </w:rPr>
        <w:t>乙方应自行选择适宜的运输工具及线路安排合同设备运输。</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8.3.2 </w:t>
      </w:r>
      <w:r>
        <w:rPr>
          <w:rFonts w:hint="eastAsia" w:ascii="宋体" w:hAnsi="宋体" w:cs="宋体"/>
          <w:color w:val="auto"/>
          <w:sz w:val="24"/>
          <w:szCs w:val="24"/>
          <w:highlight w:val="none"/>
        </w:rPr>
        <w:t>除合同条款另有约定外，每件设备的备品备件应整套装运。</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8.3.3 </w:t>
      </w:r>
      <w:r>
        <w:rPr>
          <w:rFonts w:hint="eastAsia" w:ascii="宋体" w:hAnsi="宋体" w:cs="宋体"/>
          <w:color w:val="auto"/>
          <w:sz w:val="24"/>
          <w:szCs w:val="24"/>
          <w:highlight w:val="none"/>
        </w:rPr>
        <w:t>除合同条款另有约定外，乙方应在合同设备预计启运</w:t>
      </w:r>
      <w:r>
        <w:rPr>
          <w:rFonts w:ascii="宋体" w:hAnsi="宋体" w:cs="宋体"/>
          <w:color w:val="auto"/>
          <w:sz w:val="24"/>
          <w:szCs w:val="24"/>
          <w:highlight w:val="none"/>
        </w:rPr>
        <w:t>7</w:t>
      </w:r>
      <w:r>
        <w:rPr>
          <w:rFonts w:hint="eastAsia" w:ascii="宋体" w:hAnsi="宋体" w:cs="宋体"/>
          <w:color w:val="auto"/>
          <w:sz w:val="24"/>
          <w:szCs w:val="24"/>
          <w:highlight w:val="none"/>
        </w:rPr>
        <w:t>日前，将合同设备名称、数量、箱数、总毛重、每箱尺寸、装运合同设备总金额、运输方式、预计交付日期和合同设备在运输、装卸、保管中的注意事项等预通知甲方（如涉及易燃易爆物品、腐蚀物品、放射性物质等危险品，应告知危险品的品名、性质、在运输、装卸、保管方面的特殊要求、注意事项和意外情况的处理方法），并在合同设备启运后</w:t>
      </w:r>
      <w:r>
        <w:rPr>
          <w:rFonts w:ascii="宋体" w:hAnsi="宋体" w:cs="宋体"/>
          <w:color w:val="auto"/>
          <w:sz w:val="24"/>
          <w:szCs w:val="24"/>
          <w:highlight w:val="none"/>
        </w:rPr>
        <w:t xml:space="preserve"> 24 </w:t>
      </w:r>
      <w:r>
        <w:rPr>
          <w:rFonts w:hint="eastAsia" w:ascii="宋体" w:hAnsi="宋体" w:cs="宋体"/>
          <w:color w:val="auto"/>
          <w:sz w:val="24"/>
          <w:szCs w:val="24"/>
          <w:highlight w:val="none"/>
        </w:rPr>
        <w:t>小时之内正式通知甲方。</w:t>
      </w:r>
    </w:p>
    <w:bookmarkEnd w:id="113"/>
    <w:bookmarkEnd w:id="114"/>
    <w:bookmarkEnd w:id="115"/>
    <w:bookmarkEnd w:id="116"/>
    <w:bookmarkEnd w:id="117"/>
    <w:bookmarkEnd w:id="118"/>
    <w:p>
      <w:pPr>
        <w:adjustRightInd w:val="0"/>
        <w:snapToGrid w:val="0"/>
        <w:spacing w:before="120" w:beforeLines="50" w:after="120" w:afterLines="50" w:line="360" w:lineRule="auto"/>
        <w:ind w:firstLine="482" w:firstLineChars="200"/>
        <w:rPr>
          <w:rFonts w:ascii="宋体" w:hAnsi="宋体" w:cs="宋体"/>
          <w:color w:val="auto"/>
          <w:sz w:val="24"/>
          <w:szCs w:val="24"/>
          <w:highlight w:val="none"/>
        </w:rPr>
      </w:pPr>
      <w:bookmarkStart w:id="119" w:name="_Toc306350458"/>
      <w:bookmarkStart w:id="120" w:name="_Toc18496"/>
      <w:bookmarkStart w:id="121" w:name="_Toc183666522"/>
      <w:r>
        <w:rPr>
          <w:rFonts w:hint="eastAsia" w:ascii="宋体" w:hAnsi="宋体" w:cs="宋体"/>
          <w:b/>
          <w:color w:val="auto"/>
          <w:sz w:val="24"/>
          <w:szCs w:val="24"/>
          <w:highlight w:val="none"/>
        </w:rPr>
        <w:t>第九条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技术服务</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9.1  </w:t>
      </w:r>
      <w:r>
        <w:rPr>
          <w:rFonts w:hint="eastAsia" w:ascii="宋体" w:hAnsi="宋体" w:cs="宋体"/>
          <w:color w:val="auto"/>
          <w:sz w:val="24"/>
          <w:szCs w:val="24"/>
          <w:highlight w:val="none"/>
        </w:rPr>
        <w:t>乙方应按甲方需求，派遣技术熟练、称职的技术人员到现场为甲方提供设备调试运行等技术服务。</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9.2  </w:t>
      </w:r>
      <w:r>
        <w:rPr>
          <w:rFonts w:hint="eastAsia" w:ascii="宋体" w:hAnsi="宋体" w:cs="宋体"/>
          <w:color w:val="auto"/>
          <w:sz w:val="24"/>
          <w:szCs w:val="24"/>
          <w:highlight w:val="none"/>
        </w:rPr>
        <w:t>甲方为乙方技术人员提供工作条件及便利，包括但不限于必要的办公场所、技术资料及出入许可等。除合同另有约定外，乙方技术人员的交通、食宿费用由乙方承担。</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9.3  </w:t>
      </w:r>
      <w:r>
        <w:rPr>
          <w:rFonts w:hint="eastAsia" w:ascii="宋体" w:hAnsi="宋体" w:cs="宋体"/>
          <w:color w:val="auto"/>
          <w:sz w:val="24"/>
          <w:szCs w:val="24"/>
          <w:highlight w:val="none"/>
        </w:rPr>
        <w:t>乙方技术人员应遵守甲方施工现场的各项规章制度和安全操作规程，并服从甲方的现场管理。</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9.4  </w:t>
      </w:r>
      <w:r>
        <w:rPr>
          <w:rFonts w:hint="eastAsia" w:ascii="宋体" w:hAnsi="宋体" w:cs="宋体"/>
          <w:color w:val="auto"/>
          <w:sz w:val="24"/>
          <w:szCs w:val="24"/>
          <w:highlight w:val="none"/>
        </w:rPr>
        <w:t>如果乙方技术人员提供的服务达不到合同和甲方要求的，甲方有权要求乙方撤换，因撤换而产生的费用应由乙方承担。在不影响技术服务并且征得甲方同意的条件下，乙方也可自负费用更换其技术人员。</w:t>
      </w:r>
    </w:p>
    <w:bookmarkEnd w:id="119"/>
    <w:bookmarkEnd w:id="120"/>
    <w:bookmarkEnd w:id="121"/>
    <w:p>
      <w:pPr>
        <w:autoSpaceDE w:val="0"/>
        <w:autoSpaceDN w:val="0"/>
        <w:adjustRightInd w:val="0"/>
        <w:spacing w:line="360" w:lineRule="auto"/>
        <w:ind w:firstLine="482" w:firstLineChars="200"/>
        <w:rPr>
          <w:rFonts w:ascii="宋体" w:hAnsi="宋体" w:cs="宋体"/>
          <w:b/>
          <w:color w:val="auto"/>
          <w:sz w:val="24"/>
          <w:szCs w:val="24"/>
          <w:highlight w:val="none"/>
        </w:rPr>
      </w:pPr>
      <w:bookmarkStart w:id="122" w:name="_Toc520190034"/>
      <w:bookmarkStart w:id="123" w:name="_Toc518992994"/>
      <w:bookmarkStart w:id="124" w:name="_Toc474245220"/>
      <w:bookmarkStart w:id="125" w:name="_Toc183666523"/>
      <w:bookmarkStart w:id="126" w:name="_Toc4682"/>
      <w:bookmarkStart w:id="127" w:name="_Toc306350459"/>
      <w:r>
        <w:rPr>
          <w:rFonts w:hint="eastAsia" w:ascii="宋体" w:hAnsi="宋体" w:cs="宋体"/>
          <w:b/>
          <w:color w:val="auto"/>
          <w:sz w:val="24"/>
          <w:szCs w:val="24"/>
          <w:highlight w:val="none"/>
        </w:rPr>
        <w:t>第十条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质量保</w:t>
      </w:r>
      <w:bookmarkEnd w:id="122"/>
      <w:bookmarkEnd w:id="123"/>
      <w:bookmarkEnd w:id="124"/>
      <w:r>
        <w:rPr>
          <w:rFonts w:hint="eastAsia" w:ascii="宋体" w:hAnsi="宋体" w:cs="宋体"/>
          <w:b/>
          <w:color w:val="auto"/>
          <w:sz w:val="24"/>
          <w:szCs w:val="24"/>
          <w:highlight w:val="none"/>
        </w:rPr>
        <w:t>修</w:t>
      </w:r>
    </w:p>
    <w:p>
      <w:pPr>
        <w:tabs>
          <w:tab w:val="left" w:pos="851"/>
        </w:tabs>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10.1</w:t>
      </w:r>
      <w:r>
        <w:rPr>
          <w:rFonts w:hint="eastAsia" w:ascii="宋体" w:hAnsi="宋体" w:cs="宋体"/>
          <w:color w:val="auto"/>
          <w:sz w:val="24"/>
          <w:szCs w:val="24"/>
          <w:highlight w:val="none"/>
        </w:rPr>
        <w:t>保修期：自</w:t>
      </w:r>
      <w:r>
        <w:rPr>
          <w:rFonts w:hint="eastAsia" w:ascii="宋体" w:hAnsi="宋体" w:cs="宋体"/>
          <w:color w:val="auto"/>
          <w:kern w:val="0"/>
          <w:sz w:val="24"/>
          <w:szCs w:val="24"/>
          <w:highlight w:val="none"/>
          <w:lang w:val="zh-CN"/>
        </w:rPr>
        <w:t>设备</w:t>
      </w:r>
      <w:r>
        <w:rPr>
          <w:rFonts w:hint="eastAsia" w:ascii="宋体" w:hAnsi="宋体" w:cs="宋体"/>
          <w:color w:val="auto"/>
          <w:kern w:val="0"/>
          <w:sz w:val="24"/>
          <w:szCs w:val="24"/>
          <w:highlight w:val="none"/>
        </w:rPr>
        <w:t>开箱</w:t>
      </w:r>
      <w:r>
        <w:rPr>
          <w:rFonts w:hint="eastAsia" w:ascii="宋体" w:hAnsi="宋体" w:cs="宋体"/>
          <w:color w:val="auto"/>
          <w:kern w:val="0"/>
          <w:sz w:val="24"/>
          <w:szCs w:val="24"/>
          <w:highlight w:val="none"/>
          <w:lang w:val="zh-CN"/>
        </w:rPr>
        <w:t>验收合格之日起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年</w:t>
      </w:r>
      <w:r>
        <w:rPr>
          <w:rFonts w:hint="eastAsia" w:ascii="宋体" w:hAnsi="宋体" w:cs="宋体"/>
          <w:color w:val="auto"/>
          <w:sz w:val="24"/>
          <w:szCs w:val="24"/>
          <w:highlight w:val="none"/>
        </w:rPr>
        <w:t>。保修期内乙方应免费对设备进行日常维护保养及质量缺陷修复。</w:t>
      </w:r>
      <w:r>
        <w:rPr>
          <w:rFonts w:ascii="宋体" w:hAnsi="宋体" w:cs="宋体"/>
          <w:color w:val="auto"/>
          <w:sz w:val="24"/>
          <w:szCs w:val="24"/>
          <w:highlight w:val="none"/>
        </w:rPr>
        <w:t xml:space="preserve">                                          </w:t>
      </w:r>
    </w:p>
    <w:p>
      <w:pPr>
        <w:tabs>
          <w:tab w:val="left" w:pos="851"/>
        </w:tabs>
        <w:adjustRightInd w:val="0"/>
        <w:snapToGrid w:val="0"/>
        <w:spacing w:line="360" w:lineRule="auto"/>
        <w:ind w:firstLine="480" w:firstLineChars="200"/>
        <w:rPr>
          <w:rFonts w:ascii="宋体" w:hAnsi="宋体" w:cs="宋体"/>
          <w:color w:val="auto"/>
          <w:sz w:val="24"/>
          <w:szCs w:val="24"/>
          <w:highlight w:val="none"/>
          <w:lang w:val="zh-CN"/>
        </w:rPr>
      </w:pPr>
      <w:r>
        <w:rPr>
          <w:rFonts w:ascii="宋体" w:hAnsi="宋体" w:cs="宋体"/>
          <w:color w:val="auto"/>
          <w:sz w:val="24"/>
          <w:szCs w:val="24"/>
          <w:highlight w:val="none"/>
        </w:rPr>
        <w:t>10.2</w:t>
      </w:r>
      <w:r>
        <w:rPr>
          <w:rFonts w:hint="eastAsia" w:ascii="宋体" w:hAnsi="宋体" w:cs="宋体"/>
          <w:color w:val="auto"/>
          <w:kern w:val="0"/>
          <w:sz w:val="24"/>
          <w:szCs w:val="24"/>
          <w:highlight w:val="none"/>
        </w:rPr>
        <w:t>保修</w:t>
      </w:r>
      <w:r>
        <w:rPr>
          <w:rFonts w:hint="eastAsia" w:ascii="宋体" w:hAnsi="宋体" w:cs="宋体"/>
          <w:color w:val="auto"/>
          <w:kern w:val="0"/>
          <w:sz w:val="24"/>
          <w:szCs w:val="24"/>
          <w:highlight w:val="none"/>
          <w:lang w:val="zh-CN"/>
        </w:rPr>
        <w:t>期内，乙方应对设备质量问题负责。如设备质量问题导致处理水量、出水水质达不到合同要求的，乙方需无条件免费更换设备并支付合</w:t>
      </w:r>
      <w:r>
        <w:rPr>
          <w:rFonts w:hint="eastAsia" w:ascii="宋体" w:hAnsi="宋体" w:cs="宋体"/>
          <w:color w:val="auto"/>
          <w:kern w:val="0"/>
          <w:sz w:val="24"/>
          <w:szCs w:val="24"/>
          <w:highlight w:val="none"/>
          <w:u w:val="single"/>
          <w:lang w:val="zh-CN"/>
        </w:rPr>
        <w:t>同暂定总价的</w:t>
      </w:r>
      <w:r>
        <w:rPr>
          <w:rFonts w:ascii="宋体" w:hAnsi="宋体" w:cs="宋体"/>
          <w:color w:val="auto"/>
          <w:kern w:val="0"/>
          <w:sz w:val="24"/>
          <w:szCs w:val="24"/>
          <w:highlight w:val="none"/>
          <w:u w:val="single"/>
          <w:lang w:val="zh-CN"/>
        </w:rPr>
        <w:t>10%</w:t>
      </w:r>
      <w:r>
        <w:rPr>
          <w:rFonts w:hint="eastAsia" w:ascii="宋体" w:hAnsi="宋体" w:cs="宋体"/>
          <w:color w:val="auto"/>
          <w:kern w:val="0"/>
          <w:sz w:val="24"/>
          <w:szCs w:val="24"/>
          <w:highlight w:val="none"/>
          <w:u w:val="single"/>
          <w:lang w:val="zh-CN"/>
        </w:rPr>
        <w:t>作为</w:t>
      </w:r>
      <w:r>
        <w:rPr>
          <w:rFonts w:hint="eastAsia" w:ascii="宋体" w:hAnsi="宋体" w:cs="宋体"/>
          <w:color w:val="auto"/>
          <w:kern w:val="0"/>
          <w:sz w:val="24"/>
          <w:szCs w:val="24"/>
          <w:highlight w:val="none"/>
          <w:lang w:val="zh-CN"/>
        </w:rPr>
        <w:t>违约金，</w:t>
      </w:r>
      <w:r>
        <w:rPr>
          <w:rFonts w:hint="eastAsia" w:ascii="宋体" w:hAnsi="宋体" w:cs="宋体"/>
          <w:color w:val="auto"/>
          <w:kern w:val="0"/>
          <w:sz w:val="24"/>
          <w:szCs w:val="24"/>
          <w:highlight w:val="none"/>
        </w:rPr>
        <w:t>由此产生的</w:t>
      </w:r>
      <w:r>
        <w:rPr>
          <w:rFonts w:hint="eastAsia" w:ascii="宋体" w:hAnsi="宋体" w:cs="宋体"/>
          <w:color w:val="auto"/>
          <w:kern w:val="0"/>
          <w:sz w:val="24"/>
          <w:szCs w:val="24"/>
          <w:highlight w:val="none"/>
          <w:lang w:val="zh-CN"/>
        </w:rPr>
        <w:t>费用由乙方承担。</w:t>
      </w:r>
      <w:r>
        <w:rPr>
          <w:rFonts w:hint="eastAsia" w:ascii="宋体" w:hAnsi="宋体" w:cs="宋体"/>
          <w:color w:val="auto"/>
          <w:sz w:val="24"/>
          <w:highlight w:val="none"/>
          <w:u w:val="none"/>
          <w:lang w:val="zh-CN"/>
        </w:rPr>
        <w:t>如设备或零部件因非人为因素出现故障而造成短期停用时，则质保期和免费维修期相应顺延。如停用时间累计超过60天则质保期重新计算。</w:t>
      </w:r>
      <w:r>
        <w:rPr>
          <w:rFonts w:hint="eastAsia" w:ascii="宋体" w:hAnsi="宋体" w:cs="宋体"/>
          <w:color w:val="auto"/>
          <w:sz w:val="24"/>
          <w:szCs w:val="24"/>
          <w:highlight w:val="none"/>
          <w:u w:val="none"/>
          <w:lang w:val="zh-CN"/>
        </w:rPr>
        <w:t>对涉及运营费</w:t>
      </w:r>
      <w:r>
        <w:rPr>
          <w:rFonts w:hint="eastAsia" w:ascii="宋体" w:hAnsi="宋体" w:cs="宋体"/>
          <w:color w:val="auto"/>
          <w:sz w:val="24"/>
          <w:szCs w:val="24"/>
          <w:highlight w:val="none"/>
          <w:lang w:val="zh-CN"/>
        </w:rPr>
        <w:t>用，乙方应保证在</w:t>
      </w:r>
      <w:r>
        <w:rPr>
          <w:rFonts w:hint="eastAsia" w:ascii="宋体" w:hAnsi="宋体" w:cs="宋体"/>
          <w:color w:val="auto"/>
          <w:sz w:val="24"/>
          <w:szCs w:val="24"/>
          <w:highlight w:val="none"/>
        </w:rPr>
        <w:t>开箱</w:t>
      </w:r>
      <w:r>
        <w:rPr>
          <w:rFonts w:hint="eastAsia" w:ascii="宋体" w:hAnsi="宋体" w:cs="宋体"/>
          <w:color w:val="auto"/>
          <w:sz w:val="24"/>
          <w:szCs w:val="24"/>
          <w:highlight w:val="none"/>
          <w:lang w:val="zh-CN"/>
        </w:rPr>
        <w:t>验收</w:t>
      </w:r>
      <w:r>
        <w:rPr>
          <w:rFonts w:hint="eastAsia" w:ascii="宋体" w:hAnsi="宋体" w:cs="宋体"/>
          <w:color w:val="auto"/>
          <w:sz w:val="24"/>
          <w:szCs w:val="24"/>
          <w:highlight w:val="none"/>
        </w:rPr>
        <w:t>合格</w:t>
      </w:r>
      <w:r>
        <w:rPr>
          <w:rFonts w:hint="eastAsia" w:ascii="宋体" w:hAnsi="宋体" w:cs="宋体"/>
          <w:color w:val="auto"/>
          <w:sz w:val="24"/>
          <w:szCs w:val="24"/>
          <w:highlight w:val="none"/>
          <w:lang w:val="zh-CN"/>
        </w:rPr>
        <w:t>后三年内，</w:t>
      </w:r>
      <w:r>
        <w:rPr>
          <w:rFonts w:hint="eastAsia" w:ascii="宋体" w:hAnsi="宋体" w:cs="宋体"/>
          <w:color w:val="auto"/>
          <w:sz w:val="24"/>
          <w:szCs w:val="24"/>
          <w:highlight w:val="none"/>
        </w:rPr>
        <w:t>设备</w:t>
      </w:r>
      <w:r>
        <w:rPr>
          <w:rFonts w:hint="eastAsia" w:ascii="宋体" w:hAnsi="宋体" w:cs="宋体"/>
          <w:color w:val="auto"/>
          <w:sz w:val="24"/>
          <w:szCs w:val="24"/>
          <w:highlight w:val="none"/>
          <w:lang w:val="zh-CN"/>
        </w:rPr>
        <w:t>运行费用不高于投标文件</w:t>
      </w:r>
      <w:r>
        <w:rPr>
          <w:rFonts w:ascii="宋体" w:hAnsi="宋体" w:cs="宋体"/>
          <w:color w:val="auto"/>
          <w:sz w:val="24"/>
          <w:szCs w:val="24"/>
          <w:highlight w:val="none"/>
          <w:lang w:val="zh-CN"/>
        </w:rPr>
        <w:t>/</w:t>
      </w:r>
      <w:r>
        <w:rPr>
          <w:rFonts w:hint="eastAsia" w:ascii="宋体" w:hAnsi="宋体" w:cs="宋体"/>
          <w:color w:val="auto"/>
          <w:sz w:val="24"/>
          <w:szCs w:val="24"/>
          <w:highlight w:val="none"/>
          <w:lang w:val="zh-CN"/>
        </w:rPr>
        <w:t>响应文件的承诺指标，</w:t>
      </w:r>
      <w:r>
        <w:rPr>
          <w:rFonts w:hint="eastAsia" w:ascii="宋体" w:hAnsi="宋体" w:cs="宋体"/>
          <w:color w:val="auto"/>
          <w:sz w:val="24"/>
          <w:szCs w:val="24"/>
          <w:highlight w:val="none"/>
        </w:rPr>
        <w:t>否则，</w:t>
      </w:r>
      <w:r>
        <w:rPr>
          <w:rFonts w:hint="eastAsia" w:ascii="宋体" w:hAnsi="宋体" w:cs="宋体"/>
          <w:color w:val="auto"/>
          <w:sz w:val="24"/>
          <w:szCs w:val="24"/>
          <w:highlight w:val="none"/>
          <w:lang w:val="zh-CN"/>
        </w:rPr>
        <w:t>乙方需无条件免费更换设备</w:t>
      </w:r>
      <w:r>
        <w:rPr>
          <w:rFonts w:hint="eastAsia" w:ascii="宋体" w:hAnsi="宋体" w:cs="宋体"/>
          <w:color w:val="auto"/>
          <w:sz w:val="24"/>
          <w:szCs w:val="24"/>
          <w:highlight w:val="none"/>
        </w:rPr>
        <w:t>并支付违约金</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1</w:t>
      </w:r>
      <w:r>
        <w:rPr>
          <w:rFonts w:ascii="宋体" w:hAnsi="宋体" w:cs="宋体"/>
          <w:color w:val="auto"/>
          <w:sz w:val="24"/>
          <w:szCs w:val="24"/>
          <w:highlight w:val="none"/>
          <w:u w:val="single"/>
        </w:rPr>
        <w:t>0000</w:t>
      </w:r>
      <w:r>
        <w:rPr>
          <w:rFonts w:hint="eastAsia" w:ascii="宋体" w:hAnsi="宋体" w:cs="宋体"/>
          <w:color w:val="auto"/>
          <w:sz w:val="24"/>
          <w:szCs w:val="24"/>
          <w:highlight w:val="none"/>
        </w:rPr>
        <w:t>元</w:t>
      </w:r>
      <w:r>
        <w:rPr>
          <w:rFonts w:hint="eastAsia" w:ascii="宋体" w:hAnsi="宋体" w:cs="宋体"/>
          <w:color w:val="auto"/>
          <w:sz w:val="24"/>
          <w:szCs w:val="24"/>
          <w:highlight w:val="none"/>
          <w:lang w:val="zh-CN"/>
        </w:rPr>
        <w:t>（如有）。</w:t>
      </w:r>
    </w:p>
    <w:p>
      <w:pPr>
        <w:tabs>
          <w:tab w:val="left" w:pos="851"/>
        </w:tabs>
        <w:adjustRightInd w:val="0"/>
        <w:snapToGrid w:val="0"/>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10.3 </w:t>
      </w:r>
      <w:r>
        <w:rPr>
          <w:rFonts w:hint="eastAsia" w:ascii="宋体" w:hAnsi="宋体" w:cs="宋体"/>
          <w:bCs/>
          <w:color w:val="auto"/>
          <w:sz w:val="24"/>
          <w:szCs w:val="24"/>
          <w:highlight w:val="none"/>
        </w:rPr>
        <w:t>保修期间由于设备本身原因产生的故障仍属质保范围，对更换或维修过的零部件从更换或维修完成并验收合格之日起，质量保修期重新计算。</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10.4 </w:t>
      </w:r>
      <w:r>
        <w:rPr>
          <w:rFonts w:hint="eastAsia" w:ascii="宋体" w:hAnsi="宋体" w:cs="宋体"/>
          <w:bCs/>
          <w:color w:val="auto"/>
          <w:sz w:val="24"/>
          <w:szCs w:val="24"/>
          <w:highlight w:val="none"/>
        </w:rPr>
        <w:t>质量保修期间，如合同设备出现故障，乙方应在接到甲方通知后</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 xml:space="preserve">1 </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小时内通过电话、网络等提供远程技术指导，如甲方需要乙方到场的，乙方应在收到甲方通知后</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48</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小时内派专业技术人员到场负责解决及维修故障</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u w:val="none"/>
        </w:rPr>
        <w:t>12小时内处理完毕。如果在24小时内仍未能有效解决，乙方须免费提供同档次的设备予甲方临时使用。</w:t>
      </w:r>
      <w:bookmarkEnd w:id="125"/>
      <w:bookmarkEnd w:id="126"/>
      <w:bookmarkEnd w:id="127"/>
      <w:bookmarkStart w:id="128" w:name="_Toc107446857"/>
      <w:bookmarkStart w:id="129" w:name="_Toc183666528"/>
      <w:bookmarkStart w:id="130" w:name="_Toc107447250"/>
      <w:bookmarkStart w:id="131" w:name="_Toc518992997"/>
      <w:bookmarkStart w:id="132" w:name="_Toc520190037"/>
      <w:bookmarkStart w:id="133" w:name="_Toc27734"/>
      <w:bookmarkStart w:id="134" w:name="_Toc474245223"/>
      <w:bookmarkStart w:id="135" w:name="_Toc306350464"/>
      <w:r>
        <w:rPr>
          <w:rFonts w:hint="eastAsia" w:ascii="宋体" w:hAnsi="宋体" w:cs="宋体"/>
          <w:bCs/>
          <w:color w:val="auto"/>
          <w:sz w:val="24"/>
          <w:szCs w:val="24"/>
          <w:highlight w:val="none"/>
        </w:rPr>
        <w:t>如果乙方不按时到场维修或到场后不能修复的，甲方有权委托他人予以维修，乙方承担由此发生的费用并支付</w:t>
      </w:r>
      <w:r>
        <w:rPr>
          <w:rFonts w:hint="eastAsia" w:ascii="宋体" w:hAnsi="宋体" w:cs="宋体"/>
          <w:bCs/>
          <w:color w:val="auto"/>
          <w:sz w:val="24"/>
          <w:szCs w:val="24"/>
          <w:highlight w:val="none"/>
          <w:u w:val="single"/>
        </w:rPr>
        <w:t>合同暂定总价</w:t>
      </w:r>
      <w:r>
        <w:rPr>
          <w:rFonts w:ascii="宋体" w:hAnsi="宋体" w:cs="宋体"/>
          <w:bCs/>
          <w:color w:val="auto"/>
          <w:sz w:val="24"/>
          <w:szCs w:val="24"/>
          <w:highlight w:val="none"/>
          <w:u w:val="single"/>
        </w:rPr>
        <w:t>10%/次</w:t>
      </w:r>
      <w:r>
        <w:rPr>
          <w:rFonts w:hint="eastAsia" w:ascii="宋体" w:hAnsi="宋体" w:cs="宋体"/>
          <w:bCs/>
          <w:color w:val="auto"/>
          <w:sz w:val="24"/>
          <w:szCs w:val="24"/>
          <w:highlight w:val="none"/>
        </w:rPr>
        <w:t>作为违约金。</w:t>
      </w:r>
    </w:p>
    <w:p>
      <w:pPr>
        <w:spacing w:line="360" w:lineRule="auto"/>
        <w:ind w:firstLine="482"/>
        <w:rPr>
          <w:rFonts w:ascii="宋体" w:hAnsi="宋体" w:cs="宋体"/>
          <w:bCs/>
          <w:color w:val="auto"/>
          <w:sz w:val="24"/>
          <w:szCs w:val="24"/>
          <w:highlight w:val="none"/>
        </w:rPr>
      </w:pPr>
      <w:r>
        <w:rPr>
          <w:rFonts w:hint="eastAsia" w:ascii="宋体" w:hAnsi="宋体" w:cs="宋体"/>
          <w:b/>
          <w:color w:val="auto"/>
          <w:sz w:val="24"/>
          <w:szCs w:val="24"/>
          <w:highlight w:val="none"/>
        </w:rPr>
        <w:t>第十一条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违约责任</w:t>
      </w:r>
      <w:bookmarkEnd w:id="128"/>
      <w:bookmarkEnd w:id="129"/>
      <w:bookmarkEnd w:id="130"/>
      <w:bookmarkEnd w:id="131"/>
      <w:bookmarkEnd w:id="132"/>
      <w:bookmarkEnd w:id="133"/>
      <w:bookmarkEnd w:id="134"/>
      <w:bookmarkEnd w:id="135"/>
    </w:p>
    <w:p>
      <w:pPr>
        <w:spacing w:line="360" w:lineRule="auto"/>
        <w:ind w:firstLine="482"/>
        <w:rPr>
          <w:rFonts w:ascii="宋体" w:hAnsi="宋体" w:cs="宋体"/>
          <w:bCs/>
          <w:color w:val="auto"/>
          <w:sz w:val="24"/>
          <w:szCs w:val="24"/>
          <w:highlight w:val="none"/>
        </w:rPr>
      </w:pPr>
      <w:bookmarkStart w:id="136" w:name="_Toc306350465"/>
      <w:bookmarkStart w:id="137" w:name="_Toc183666529"/>
      <w:bookmarkStart w:id="138" w:name="_Toc5166"/>
      <w:r>
        <w:rPr>
          <w:rFonts w:ascii="宋体" w:hAnsi="宋体" w:cs="宋体"/>
          <w:bCs/>
          <w:color w:val="auto"/>
          <w:sz w:val="24"/>
          <w:szCs w:val="24"/>
          <w:highlight w:val="none"/>
        </w:rPr>
        <w:t xml:space="preserve">11.1 </w:t>
      </w:r>
      <w:r>
        <w:rPr>
          <w:rFonts w:hint="eastAsia" w:ascii="宋体" w:hAnsi="宋体" w:cs="宋体"/>
          <w:bCs/>
          <w:color w:val="auto"/>
          <w:sz w:val="24"/>
          <w:szCs w:val="24"/>
          <w:highlight w:val="none"/>
        </w:rPr>
        <w:t>延期交货的违约责任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11.1.1 </w:t>
      </w:r>
      <w:r>
        <w:rPr>
          <w:rFonts w:hint="eastAsia" w:ascii="宋体" w:hAnsi="宋体" w:cs="宋体"/>
          <w:bCs/>
          <w:color w:val="auto"/>
          <w:sz w:val="24"/>
          <w:szCs w:val="24"/>
          <w:highlight w:val="none"/>
        </w:rPr>
        <w:t>乙方应按照本合同约定的时间交货。如乙方因客观情况导致无法按时交货，乙方应在交货期前</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15</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日，以书面形式将原因及预计拖延的时间通知甲方。经甲方同意后，交货期顺延。</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11.1.2</w:t>
      </w:r>
      <w:r>
        <w:rPr>
          <w:rFonts w:hint="eastAsia" w:ascii="宋体" w:hAnsi="宋体" w:cs="宋体"/>
          <w:bCs/>
          <w:color w:val="auto"/>
          <w:sz w:val="24"/>
          <w:szCs w:val="24"/>
          <w:highlight w:val="none"/>
        </w:rPr>
        <w:t>乙方未能在合同规定期限内交货并交付完整技术资料的，每逾期一天，甲方有权按迟</w:t>
      </w:r>
      <w:r>
        <w:rPr>
          <w:rFonts w:hint="eastAsia" w:ascii="宋体" w:hAnsi="宋体" w:cs="宋体"/>
          <w:bCs/>
          <w:color w:val="auto"/>
          <w:sz w:val="24"/>
          <w:szCs w:val="24"/>
          <w:highlight w:val="none"/>
          <w:u w:val="single"/>
        </w:rPr>
        <w:t>交货设备价格的</w:t>
      </w:r>
      <w:r>
        <w:rPr>
          <w:rFonts w:ascii="宋体" w:hAnsi="宋体" w:cs="宋体"/>
          <w:bCs/>
          <w:color w:val="auto"/>
          <w:sz w:val="24"/>
          <w:szCs w:val="24"/>
          <w:highlight w:val="none"/>
          <w:u w:val="single"/>
        </w:rPr>
        <w:t>1%/</w:t>
      </w:r>
      <w:r>
        <w:rPr>
          <w:rFonts w:hint="eastAsia" w:ascii="宋体" w:hAnsi="宋体" w:cs="宋体"/>
          <w:bCs/>
          <w:color w:val="auto"/>
          <w:sz w:val="24"/>
          <w:szCs w:val="24"/>
          <w:highlight w:val="none"/>
          <w:u w:val="single"/>
        </w:rPr>
        <w:t>天</w:t>
      </w:r>
      <w:r>
        <w:rPr>
          <w:rFonts w:hint="eastAsia" w:ascii="宋体" w:hAnsi="宋体" w:cs="宋体"/>
          <w:bCs/>
          <w:color w:val="auto"/>
          <w:sz w:val="24"/>
          <w:szCs w:val="24"/>
          <w:highlight w:val="none"/>
        </w:rPr>
        <w:t>要求乙方支付违约金。逾期超过</w:t>
      </w:r>
      <w:r>
        <w:rPr>
          <w:rFonts w:ascii="宋体" w:hAnsi="宋体" w:cs="宋体"/>
          <w:bCs/>
          <w:color w:val="auto"/>
          <w:sz w:val="24"/>
          <w:szCs w:val="24"/>
          <w:highlight w:val="none"/>
          <w:u w:val="single"/>
        </w:rPr>
        <w:t xml:space="preserve"> 15 </w:t>
      </w:r>
      <w:r>
        <w:rPr>
          <w:rFonts w:hint="eastAsia" w:ascii="宋体" w:hAnsi="宋体" w:cs="宋体"/>
          <w:bCs/>
          <w:color w:val="auto"/>
          <w:sz w:val="24"/>
          <w:szCs w:val="24"/>
          <w:highlight w:val="none"/>
        </w:rPr>
        <w:t>天，甲方有权解除合同，要求乙方支付迟延违约金并在</w:t>
      </w:r>
      <w:r>
        <w:rPr>
          <w:rFonts w:ascii="宋体" w:hAnsi="宋体" w:cs="宋体"/>
          <w:bCs/>
          <w:color w:val="auto"/>
          <w:sz w:val="24"/>
          <w:szCs w:val="24"/>
          <w:highlight w:val="none"/>
        </w:rPr>
        <w:t>3</w:t>
      </w:r>
      <w:r>
        <w:rPr>
          <w:rFonts w:hint="eastAsia" w:ascii="宋体" w:hAnsi="宋体" w:cs="宋体"/>
          <w:bCs/>
          <w:color w:val="auto"/>
          <w:sz w:val="24"/>
          <w:szCs w:val="24"/>
          <w:highlight w:val="none"/>
        </w:rPr>
        <w:t>天内退回预付款及利息（如有），且扣除乙方履约担保全部金额（如有）。如由于乙方逾期交货对甲方生产造成影响，甲方有权要求乙方赔偿损失。</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11.2 </w:t>
      </w:r>
      <w:r>
        <w:rPr>
          <w:rFonts w:hint="eastAsia" w:ascii="宋体" w:hAnsi="宋体" w:cs="宋体"/>
          <w:bCs/>
          <w:color w:val="auto"/>
          <w:sz w:val="24"/>
          <w:szCs w:val="24"/>
          <w:highlight w:val="none"/>
        </w:rPr>
        <w:t>质量问题的违约责任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11.2.1 </w:t>
      </w:r>
      <w:r>
        <w:rPr>
          <w:rFonts w:hint="eastAsia" w:ascii="宋体" w:hAnsi="宋体" w:cs="宋体"/>
          <w:bCs/>
          <w:color w:val="auto"/>
          <w:sz w:val="24"/>
          <w:szCs w:val="24"/>
          <w:highlight w:val="none"/>
        </w:rPr>
        <w:t>自乙方交货后至质量保修期满的期间内，甲方经检查发现或合同设备经安装、调试、试车或运行显示，合同设备或其任何部件存在质量问题，达不到本合同技术要求。甲方有权要求乙方采取下列一种或多种方式予以解决：</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1</w:t>
      </w:r>
      <w:r>
        <w:rPr>
          <w:rFonts w:hint="eastAsia" w:ascii="宋体" w:hAnsi="宋体" w:cs="宋体"/>
          <w:bCs/>
          <w:color w:val="auto"/>
          <w:sz w:val="24"/>
          <w:szCs w:val="24"/>
          <w:highlight w:val="none"/>
        </w:rPr>
        <w:t>）乙方承担费用，用合格的新设备更换有缺陷的设备或修补缺陷部分；</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2</w:t>
      </w:r>
      <w:r>
        <w:rPr>
          <w:rFonts w:hint="eastAsia" w:ascii="宋体" w:hAnsi="宋体" w:cs="宋体"/>
          <w:bCs/>
          <w:color w:val="auto"/>
          <w:sz w:val="24"/>
          <w:szCs w:val="24"/>
          <w:highlight w:val="none"/>
        </w:rPr>
        <w:t>）退还设备，同时将甲方已经支付的合同价款全额退还甲方，并承担甲方因履行本合同而支出的一切费用，包括但不限于利息、银行手续费、仓储费、卸货费以及因退回设备所需的其他费用。</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3</w:t>
      </w:r>
      <w:r>
        <w:rPr>
          <w:rFonts w:hint="eastAsia" w:ascii="宋体" w:hAnsi="宋体" w:cs="宋体"/>
          <w:bCs/>
          <w:color w:val="auto"/>
          <w:sz w:val="24"/>
          <w:szCs w:val="24"/>
          <w:highlight w:val="none"/>
        </w:rPr>
        <w:t>）按不合格设备价格的</w:t>
      </w:r>
      <w:r>
        <w:rPr>
          <w:rFonts w:ascii="宋体" w:hAnsi="宋体" w:cs="宋体"/>
          <w:bCs/>
          <w:color w:val="auto"/>
          <w:sz w:val="24"/>
          <w:szCs w:val="24"/>
          <w:highlight w:val="none"/>
          <w:u w:val="single"/>
        </w:rPr>
        <w:t>50</w:t>
      </w:r>
      <w:r>
        <w:rPr>
          <w:rFonts w:ascii="宋体" w:hAnsi="宋体" w:cs="宋体"/>
          <w:bCs/>
          <w:color w:val="auto"/>
          <w:sz w:val="24"/>
          <w:szCs w:val="24"/>
          <w:highlight w:val="none"/>
        </w:rPr>
        <w:t>%</w:t>
      </w:r>
      <w:r>
        <w:rPr>
          <w:rFonts w:hint="eastAsia" w:ascii="宋体" w:hAnsi="宋体" w:cs="宋体"/>
          <w:bCs/>
          <w:color w:val="auto"/>
          <w:sz w:val="24"/>
          <w:szCs w:val="24"/>
          <w:highlight w:val="none"/>
        </w:rPr>
        <w:t>支付违约金。</w:t>
      </w:r>
    </w:p>
    <w:p>
      <w:pPr>
        <w:numPr>
          <w:ilvl w:val="255"/>
          <w:numId w:val="0"/>
        </w:numPr>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4</w:t>
      </w:r>
      <w:r>
        <w:rPr>
          <w:rFonts w:hint="eastAsia" w:ascii="宋体" w:hAnsi="宋体" w:cs="宋体"/>
          <w:bCs/>
          <w:color w:val="auto"/>
          <w:sz w:val="24"/>
          <w:szCs w:val="24"/>
          <w:highlight w:val="none"/>
        </w:rPr>
        <w:t>）赔偿甲方因设备质量问题导致的一切损失。</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11.2.2 </w:t>
      </w:r>
      <w:r>
        <w:rPr>
          <w:rFonts w:hint="eastAsia" w:ascii="宋体" w:hAnsi="宋体" w:cs="宋体"/>
          <w:bCs/>
          <w:color w:val="auto"/>
          <w:sz w:val="24"/>
          <w:szCs w:val="24"/>
          <w:highlight w:val="none"/>
        </w:rPr>
        <w:t>如果乙方提供的技术资料有错误，或者由于乙方技术人员原因造成设备安装、调试不成功和（或）造成合同设备损坏的情况，乙方应在</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24</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小时内采取修理、更换、退货等补救措施并负担因此发生的费用，同时需向甲方支付</w:t>
      </w:r>
      <w:r>
        <w:rPr>
          <w:rFonts w:hint="eastAsia" w:ascii="宋体" w:hAnsi="宋体" w:cs="宋体"/>
          <w:bCs/>
          <w:color w:val="auto"/>
          <w:sz w:val="24"/>
          <w:szCs w:val="24"/>
          <w:highlight w:val="none"/>
          <w:u w:val="single"/>
        </w:rPr>
        <w:t>不合格设备价格的</w:t>
      </w:r>
      <w:r>
        <w:rPr>
          <w:rFonts w:ascii="宋体" w:hAnsi="宋体" w:cs="宋体"/>
          <w:bCs/>
          <w:color w:val="auto"/>
          <w:sz w:val="24"/>
          <w:szCs w:val="24"/>
          <w:highlight w:val="none"/>
          <w:u w:val="single"/>
        </w:rPr>
        <w:t xml:space="preserve"> 50 </w:t>
      </w:r>
      <w:r>
        <w:rPr>
          <w:rFonts w:ascii="宋体" w:hAnsi="宋体" w:cs="宋体"/>
          <w:bCs/>
          <w:color w:val="auto"/>
          <w:sz w:val="24"/>
          <w:szCs w:val="24"/>
          <w:highlight w:val="none"/>
        </w:rPr>
        <w:t>%</w:t>
      </w:r>
      <w:r>
        <w:rPr>
          <w:rFonts w:hint="eastAsia" w:ascii="宋体" w:hAnsi="宋体" w:cs="宋体"/>
          <w:bCs/>
          <w:color w:val="auto"/>
          <w:sz w:val="24"/>
          <w:szCs w:val="24"/>
          <w:highlight w:val="none"/>
        </w:rPr>
        <w:t>作为违约金。</w:t>
      </w:r>
    </w:p>
    <w:p>
      <w:pPr>
        <w:spacing w:line="360" w:lineRule="auto"/>
        <w:ind w:firstLine="482"/>
        <w:rPr>
          <w:rFonts w:ascii="宋体" w:hAnsi="宋体" w:cs="宋体"/>
          <w:color w:val="auto"/>
          <w:sz w:val="24"/>
          <w:szCs w:val="24"/>
          <w:highlight w:val="none"/>
        </w:rPr>
      </w:pPr>
      <w:r>
        <w:rPr>
          <w:rFonts w:ascii="宋体" w:hAnsi="宋体" w:cs="宋体"/>
          <w:bCs/>
          <w:color w:val="auto"/>
          <w:sz w:val="24"/>
          <w:szCs w:val="24"/>
          <w:highlight w:val="none"/>
        </w:rPr>
        <w:t xml:space="preserve">11.2.3 </w:t>
      </w:r>
      <w:r>
        <w:rPr>
          <w:rFonts w:hint="eastAsia" w:ascii="宋体" w:hAnsi="宋体" w:cs="宋体"/>
          <w:bCs/>
          <w:color w:val="auto"/>
          <w:sz w:val="24"/>
          <w:szCs w:val="24"/>
          <w:highlight w:val="none"/>
        </w:rPr>
        <w:t>在开箱检验、或使用过程中发现乙方提交的合同设备为贴牌、假冒、伪劣、翻新产品，或生产组成合同设备的原材料、配件是贴牌、假冒、伪劣货物时，乙方应在甲方通知之日自行收回设备，甲方不负保管责任，设备毁损灭失风险自甲方通知之时起由乙方承担，乙方将已支付款项（含预付款）退还甲方，并按</w:t>
      </w:r>
      <w:r>
        <w:rPr>
          <w:rFonts w:hint="eastAsia" w:ascii="宋体" w:hAnsi="宋体" w:cs="宋体"/>
          <w:bCs/>
          <w:color w:val="auto"/>
          <w:sz w:val="24"/>
          <w:szCs w:val="24"/>
          <w:highlight w:val="none"/>
          <w:u w:val="single"/>
        </w:rPr>
        <w:t>合同暂定总价的</w:t>
      </w:r>
      <w:r>
        <w:rPr>
          <w:rFonts w:ascii="宋体" w:hAnsi="宋体" w:cs="宋体"/>
          <w:bCs/>
          <w:color w:val="auto"/>
          <w:sz w:val="24"/>
          <w:szCs w:val="24"/>
          <w:highlight w:val="none"/>
          <w:u w:val="single"/>
        </w:rPr>
        <w:t xml:space="preserve"> 100 %</w:t>
      </w:r>
      <w:r>
        <w:rPr>
          <w:rFonts w:hint="eastAsia" w:ascii="宋体" w:hAnsi="宋体" w:cs="宋体"/>
          <w:bCs/>
          <w:color w:val="auto"/>
          <w:sz w:val="24"/>
          <w:szCs w:val="24"/>
          <w:highlight w:val="none"/>
        </w:rPr>
        <w:t>支付违约金。</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11.2.4 </w:t>
      </w:r>
      <w:r>
        <w:rPr>
          <w:rFonts w:hint="eastAsia" w:ascii="宋体" w:hAnsi="宋体" w:cs="宋体"/>
          <w:color w:val="auto"/>
          <w:sz w:val="24"/>
          <w:szCs w:val="24"/>
          <w:highlight w:val="none"/>
        </w:rPr>
        <w:t>在合同设备设计使用寿命期内，如果乙方发现合同设备由于设计、制造、标识等原因存在足以危及人身、财产安全的缺陷，应及时通知甲方并采取修正或者补充标识、修理、更换等措施消除缺陷，因设备缺陷造成的一切损害，乙方应承担全部赔偿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11.3 </w:t>
      </w:r>
      <w:r>
        <w:rPr>
          <w:rFonts w:hint="eastAsia" w:ascii="宋体" w:hAnsi="宋体" w:cs="宋体"/>
          <w:bCs/>
          <w:color w:val="auto"/>
          <w:sz w:val="24"/>
          <w:szCs w:val="24"/>
          <w:highlight w:val="none"/>
        </w:rPr>
        <w:t>如乙方未按合同六条约定递交履约保证金，甲方有权解除合同并要求乙方支付</w:t>
      </w:r>
      <w:r>
        <w:rPr>
          <w:rFonts w:hint="eastAsia" w:ascii="宋体" w:hAnsi="宋体" w:cs="宋体"/>
          <w:bCs/>
          <w:color w:val="auto"/>
          <w:sz w:val="24"/>
          <w:szCs w:val="24"/>
          <w:highlight w:val="none"/>
          <w:u w:val="single"/>
        </w:rPr>
        <w:t>合同暂定总价的</w:t>
      </w:r>
      <w:r>
        <w:rPr>
          <w:rFonts w:ascii="宋体" w:hAnsi="宋体" w:cs="宋体"/>
          <w:bCs/>
          <w:color w:val="auto"/>
          <w:sz w:val="24"/>
          <w:szCs w:val="24"/>
          <w:highlight w:val="none"/>
          <w:u w:val="single"/>
        </w:rPr>
        <w:t>20%</w:t>
      </w:r>
      <w:r>
        <w:rPr>
          <w:rFonts w:hint="eastAsia" w:ascii="宋体" w:hAnsi="宋体" w:cs="宋体"/>
          <w:bCs/>
          <w:color w:val="auto"/>
          <w:sz w:val="24"/>
          <w:szCs w:val="24"/>
          <w:highlight w:val="none"/>
        </w:rPr>
        <w:t>作为违约金。</w:t>
      </w:r>
      <w:r>
        <w:rPr>
          <w:rFonts w:ascii="宋体" w:hAnsi="宋体" w:cs="宋体"/>
          <w:bCs/>
          <w:color w:val="auto"/>
          <w:sz w:val="24"/>
          <w:szCs w:val="24"/>
          <w:highlight w:val="none"/>
        </w:rPr>
        <w:t xml:space="preserve"> </w:t>
      </w:r>
    </w:p>
    <w:p>
      <w:pPr>
        <w:spacing w:line="360" w:lineRule="auto"/>
        <w:ind w:firstLine="482"/>
        <w:rPr>
          <w:rFonts w:ascii="宋体" w:hAnsi="宋体" w:cs="宋体"/>
          <w:color w:val="auto"/>
          <w:sz w:val="24"/>
          <w:szCs w:val="24"/>
          <w:highlight w:val="none"/>
        </w:rPr>
      </w:pPr>
      <w:r>
        <w:rPr>
          <w:rFonts w:ascii="宋体" w:hAnsi="宋体" w:cs="宋体"/>
          <w:bCs/>
          <w:color w:val="auto"/>
          <w:sz w:val="24"/>
          <w:szCs w:val="24"/>
          <w:highlight w:val="none"/>
        </w:rPr>
        <w:t xml:space="preserve">11.4 </w:t>
      </w:r>
      <w:r>
        <w:rPr>
          <w:rFonts w:hint="eastAsia" w:ascii="宋体" w:hAnsi="宋体" w:cs="宋体"/>
          <w:bCs/>
          <w:color w:val="auto"/>
          <w:sz w:val="24"/>
          <w:szCs w:val="24"/>
          <w:highlight w:val="none"/>
        </w:rPr>
        <w:t>如双方对质量责任认定有争议，</w:t>
      </w:r>
      <w:r>
        <w:rPr>
          <w:rFonts w:hint="eastAsia" w:ascii="宋体" w:hAnsi="宋体" w:cs="宋体"/>
          <w:color w:val="auto"/>
          <w:sz w:val="24"/>
          <w:szCs w:val="24"/>
          <w:highlight w:val="none"/>
        </w:rPr>
        <w:t>由甲方委托具备相关资质的第三方质检机构出具质检报告。因第三方质检机构产生的费用先由乙方支付，如果检验结果为不合格，则该费用由乙方承担，如果检验结果为合格，则该费用由甲方承担。</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11.5乙方不履行合同义务、或履行合同义务不符合合同约定、或违反国家、省、市行业标准的，甲方有权要求乙方限期整改。乙方逾期未完成整改的，每项每超过1日支付违约金人民币1万元，超过</w:t>
      </w:r>
      <w:r>
        <w:rPr>
          <w:rFonts w:hint="eastAsia" w:ascii="宋体" w:hAnsi="宋体" w:cs="宋体"/>
          <w:bCs/>
          <w:color w:val="auto"/>
          <w:sz w:val="24"/>
          <w:szCs w:val="24"/>
          <w:highlight w:val="none"/>
          <w:u w:val="single"/>
          <w:lang w:val="en-US" w:eastAsia="zh-CN"/>
        </w:rPr>
        <w:t xml:space="preserve">15 </w:t>
      </w:r>
      <w:r>
        <w:rPr>
          <w:rFonts w:ascii="宋体" w:hAnsi="宋体" w:cs="宋体"/>
          <w:bCs/>
          <w:color w:val="auto"/>
          <w:sz w:val="24"/>
          <w:szCs w:val="24"/>
          <w:highlight w:val="none"/>
        </w:rPr>
        <w:t>日，甲方有权解除合同并要求乙方支付</w:t>
      </w:r>
      <w:r>
        <w:rPr>
          <w:rFonts w:hint="eastAsia" w:ascii="宋体" w:hAnsi="宋体" w:cs="宋体"/>
          <w:bCs/>
          <w:color w:val="auto"/>
          <w:sz w:val="24"/>
          <w:szCs w:val="24"/>
          <w:highlight w:val="none"/>
          <w:u w:val="single"/>
        </w:rPr>
        <w:t>合同暂定总价</w:t>
      </w:r>
      <w:r>
        <w:rPr>
          <w:rFonts w:ascii="宋体" w:hAnsi="宋体" w:cs="宋体"/>
          <w:bCs/>
          <w:color w:val="auto"/>
          <w:sz w:val="24"/>
          <w:szCs w:val="24"/>
          <w:highlight w:val="none"/>
          <w:u w:val="single"/>
        </w:rPr>
        <w:t>的20%</w:t>
      </w:r>
      <w:r>
        <w:rPr>
          <w:rFonts w:ascii="宋体" w:hAnsi="宋体" w:cs="宋体"/>
          <w:bCs/>
          <w:color w:val="auto"/>
          <w:sz w:val="24"/>
          <w:szCs w:val="24"/>
          <w:highlight w:val="none"/>
        </w:rPr>
        <w:t>作为违约金</w:t>
      </w:r>
      <w:r>
        <w:rPr>
          <w:rFonts w:hint="eastAsia" w:ascii="宋体" w:hAnsi="宋体" w:cs="宋体"/>
          <w:bCs/>
          <w:color w:val="auto"/>
          <w:sz w:val="24"/>
          <w:szCs w:val="24"/>
          <w:highlight w:val="none"/>
        </w:rPr>
        <w:t>（</w:t>
      </w:r>
      <w:r>
        <w:rPr>
          <w:rFonts w:hint="eastAsia" w:cs="宋体"/>
          <w:color w:val="auto"/>
          <w:sz w:val="24"/>
          <w:highlight w:val="none"/>
        </w:rPr>
        <w:t>如合同另行约定违约责任，从其约定</w:t>
      </w:r>
      <w:r>
        <w:rPr>
          <w:rFonts w:hint="eastAsia" w:ascii="宋体" w:hAnsi="宋体" w:cs="宋体"/>
          <w:bCs/>
          <w:color w:val="auto"/>
          <w:sz w:val="24"/>
          <w:szCs w:val="24"/>
          <w:highlight w:val="none"/>
        </w:rPr>
        <w:t>）</w:t>
      </w:r>
      <w:r>
        <w:rPr>
          <w:rFonts w:ascii="宋体" w:hAnsi="宋体" w:cs="宋体"/>
          <w:bCs/>
          <w:color w:val="auto"/>
          <w:sz w:val="24"/>
          <w:szCs w:val="24"/>
          <w:highlight w:val="none"/>
        </w:rPr>
        <w:t xml:space="preserve">。 </w:t>
      </w:r>
    </w:p>
    <w:p>
      <w:pPr>
        <w:spacing w:line="360" w:lineRule="auto"/>
        <w:ind w:firstLine="482"/>
        <w:rPr>
          <w:rFonts w:hint="default" w:ascii="宋体" w:hAnsi="宋体" w:eastAsia="宋体" w:cs="宋体"/>
          <w:color w:val="auto"/>
          <w:sz w:val="24"/>
          <w:szCs w:val="24"/>
          <w:highlight w:val="none"/>
          <w:lang w:val="en-US"/>
        </w:rPr>
      </w:pPr>
      <w:r>
        <w:rPr>
          <w:rFonts w:hint="eastAsia" w:ascii="宋体" w:hAnsi="宋体" w:cs="宋体"/>
          <w:bCs/>
          <w:color w:val="auto"/>
          <w:sz w:val="24"/>
          <w:szCs w:val="24"/>
          <w:highlight w:val="none"/>
          <w:lang w:val="en-US" w:eastAsia="zh-CN"/>
        </w:rPr>
        <w:t>11.6在合同有效期内，若乙方发生不诚信行为情形的，乙方自愿接受甲方按《广州市净水有限公司经营建设项目参建企业不诚信行为管理办法》处理，具体处理标准详见附件3。</w:t>
      </w:r>
    </w:p>
    <w:p>
      <w:pPr>
        <w:spacing w:line="360" w:lineRule="auto"/>
        <w:ind w:firstLine="482" w:firstLineChars="200"/>
        <w:rPr>
          <w:rFonts w:ascii="宋体" w:hAnsi="宋体" w:cs="宋体"/>
          <w:b/>
          <w:color w:val="auto"/>
          <w:sz w:val="24"/>
          <w:szCs w:val="24"/>
          <w:highlight w:val="none"/>
        </w:rPr>
      </w:pPr>
      <w:bookmarkStart w:id="139" w:name="_Toc107446860"/>
      <w:bookmarkStart w:id="140" w:name="_Toc118086592"/>
      <w:bookmarkStart w:id="141" w:name="_Toc474245224"/>
      <w:bookmarkStart w:id="142" w:name="_Toc107447253"/>
      <w:bookmarkStart w:id="143" w:name="_Toc107446861"/>
      <w:bookmarkStart w:id="144" w:name="_Toc107447254"/>
      <w:bookmarkStart w:id="145" w:name="_Toc518992998"/>
      <w:bookmarkStart w:id="146" w:name="_Toc520190038"/>
      <w:r>
        <w:rPr>
          <w:rFonts w:hint="eastAsia" w:ascii="宋体" w:hAnsi="宋体" w:cs="宋体"/>
          <w:b/>
          <w:color w:val="auto"/>
          <w:sz w:val="24"/>
          <w:szCs w:val="24"/>
          <w:highlight w:val="none"/>
        </w:rPr>
        <w:t>第十二条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变更或解除</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12.1 </w:t>
      </w:r>
      <w:r>
        <w:rPr>
          <w:rFonts w:hint="eastAsia" w:ascii="宋体" w:hAnsi="宋体" w:cs="宋体"/>
          <w:bCs/>
          <w:color w:val="auto"/>
          <w:sz w:val="24"/>
          <w:szCs w:val="24"/>
          <w:highlight w:val="none"/>
        </w:rPr>
        <w:t>甲方解除合同</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如乙方存在下述情况之一，甲方有权向乙方发出书面通知，全部或部分解除本合同：</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12.1.1 </w:t>
      </w:r>
      <w:r>
        <w:rPr>
          <w:rFonts w:hint="eastAsia" w:ascii="宋体" w:hAnsi="宋体" w:cs="宋体"/>
          <w:bCs/>
          <w:color w:val="auto"/>
          <w:sz w:val="24"/>
          <w:szCs w:val="24"/>
          <w:highlight w:val="none"/>
        </w:rPr>
        <w:t>乙方未能在本合同约定或甲方另行指定的期限内提供部分或全部设备或提供技术服务，并经甲方催告后仍未提供；</w:t>
      </w:r>
      <w:r>
        <w:rPr>
          <w:rFonts w:ascii="宋体" w:hAnsi="宋体" w:cs="宋体"/>
          <w:bCs/>
          <w:color w:val="auto"/>
          <w:sz w:val="24"/>
          <w:szCs w:val="24"/>
          <w:highlight w:val="none"/>
        </w:rPr>
        <w:t xml:space="preserve"> </w:t>
      </w:r>
    </w:p>
    <w:p>
      <w:pPr>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12.1.2</w:t>
      </w:r>
      <w:r>
        <w:rPr>
          <w:rFonts w:hint="eastAsia" w:ascii="宋体" w:hAnsi="宋体" w:cs="宋体"/>
          <w:bCs/>
          <w:color w:val="auto"/>
          <w:sz w:val="24"/>
          <w:szCs w:val="24"/>
          <w:highlight w:val="none"/>
        </w:rPr>
        <w:t>乙方交付的设备存在严重的质量问题，导致本合同目的不能实现；</w:t>
      </w:r>
    </w:p>
    <w:p>
      <w:pPr>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12.1.3 </w:t>
      </w:r>
      <w:r>
        <w:rPr>
          <w:rFonts w:hint="eastAsia" w:ascii="宋体" w:hAnsi="宋体" w:cs="宋体"/>
          <w:bCs/>
          <w:color w:val="auto"/>
          <w:sz w:val="24"/>
          <w:szCs w:val="24"/>
          <w:highlight w:val="none"/>
        </w:rPr>
        <w:t>乙方存在违反合同义务的其他情形，经甲方催告后仍未作出补救或完成整改；</w:t>
      </w:r>
    </w:p>
    <w:p>
      <w:pPr>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12.1.4 </w:t>
      </w:r>
      <w:r>
        <w:rPr>
          <w:rFonts w:hint="eastAsia" w:ascii="宋体" w:hAnsi="宋体" w:cs="宋体"/>
          <w:bCs/>
          <w:color w:val="auto"/>
          <w:sz w:val="24"/>
          <w:szCs w:val="24"/>
          <w:highlight w:val="none"/>
        </w:rPr>
        <w:t>乙方投标时提交的资料不真实，或任何时候发现乙方有违反投标时的承诺和（或）声明的情况；</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12.2 </w:t>
      </w:r>
      <w:r>
        <w:rPr>
          <w:rFonts w:hint="eastAsia" w:ascii="宋体" w:hAnsi="宋体" w:cs="宋体"/>
          <w:bCs/>
          <w:color w:val="auto"/>
          <w:sz w:val="24"/>
          <w:szCs w:val="24"/>
          <w:highlight w:val="none"/>
        </w:rPr>
        <w:t>乙方解除合同</w:t>
      </w:r>
    </w:p>
    <w:p>
      <w:pPr>
        <w:spacing w:line="360" w:lineRule="auto"/>
        <w:ind w:firstLine="482"/>
        <w:rPr>
          <w:rFonts w:ascii="宋体" w:hAnsi="宋体" w:cs="宋体"/>
          <w:color w:val="auto"/>
          <w:sz w:val="24"/>
          <w:szCs w:val="24"/>
          <w:highlight w:val="none"/>
        </w:rPr>
      </w:pPr>
      <w:r>
        <w:rPr>
          <w:rFonts w:hint="eastAsia" w:ascii="宋体" w:hAnsi="宋体" w:cs="宋体"/>
          <w:bCs/>
          <w:color w:val="auto"/>
          <w:sz w:val="24"/>
          <w:szCs w:val="24"/>
          <w:highlight w:val="none"/>
        </w:rPr>
        <w:t>如甲方无正当理由未能按本合同约定期限向乙方支付合同款，并经乙方催告后超过</w:t>
      </w:r>
      <w:r>
        <w:rPr>
          <w:rFonts w:ascii="宋体" w:hAnsi="宋体" w:cs="宋体"/>
          <w:bCs/>
          <w:color w:val="auto"/>
          <w:sz w:val="24"/>
          <w:szCs w:val="24"/>
          <w:highlight w:val="none"/>
        </w:rPr>
        <w:t xml:space="preserve">   </w:t>
      </w:r>
      <w:r>
        <w:rPr>
          <w:rFonts w:hint="eastAsia" w:ascii="宋体" w:hAnsi="宋体" w:cs="宋体"/>
          <w:bCs/>
          <w:color w:val="auto"/>
          <w:sz w:val="24"/>
          <w:szCs w:val="24"/>
          <w:highlight w:val="none"/>
        </w:rPr>
        <w:t>天仍未支付，乙方有权以书面通知解除本合同。</w:t>
      </w:r>
      <w:r>
        <w:rPr>
          <w:rFonts w:ascii="宋体" w:hAnsi="宋体" w:cs="宋体"/>
          <w:color w:val="auto"/>
          <w:sz w:val="24"/>
          <w:szCs w:val="24"/>
          <w:highlight w:val="none"/>
        </w:rPr>
        <w:br w:type="textWrapping"/>
      </w:r>
      <w:r>
        <w:rPr>
          <w:rFonts w:hint="eastAsia" w:ascii="宋体" w:hAnsi="宋体" w:cs="宋体"/>
          <w:color w:val="auto"/>
          <w:sz w:val="24"/>
          <w:szCs w:val="24"/>
          <w:highlight w:val="none"/>
        </w:rPr>
        <w:t> </w:t>
      </w:r>
      <w:r>
        <w:rPr>
          <w:rFonts w:ascii="宋体" w:hAnsi="宋体" w:cs="宋体"/>
          <w:color w:val="auto"/>
          <w:sz w:val="24"/>
          <w:szCs w:val="24"/>
          <w:highlight w:val="none"/>
        </w:rPr>
        <w:t xml:space="preserve">  12.3</w:t>
      </w:r>
      <w:r>
        <w:rPr>
          <w:rFonts w:hint="eastAsia" w:ascii="宋体" w:hAnsi="宋体" w:cs="宋体"/>
          <w:color w:val="auto"/>
          <w:sz w:val="24"/>
          <w:szCs w:val="24"/>
          <w:highlight w:val="none"/>
        </w:rPr>
        <w:t>甲乙双方经协商一致后解除合同。</w:t>
      </w:r>
    </w:p>
    <w:p>
      <w:pPr>
        <w:spacing w:line="480" w:lineRule="exact"/>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第十三条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不可抗力</w:t>
      </w:r>
    </w:p>
    <w:p>
      <w:pPr>
        <w:widowControl w:val="0"/>
        <w:numPr>
          <w:ilvl w:val="255"/>
          <w:numId w:val="0"/>
        </w:numPr>
        <w:spacing w:line="48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13.1</w:t>
      </w:r>
      <w:r>
        <w:rPr>
          <w:rFonts w:hint="eastAsia" w:ascii="宋体" w:hAnsi="宋体" w:cs="宋体"/>
          <w:color w:val="auto"/>
          <w:sz w:val="24"/>
          <w:szCs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1）地震、火山爆发、滑坡、暴雨（橙色预警及以上）、台风（黄色预警及以上）、海啸、龙卷风、大面积流行病(如：非典型性肺炎等)或瘟疫；</w:t>
      </w:r>
    </w:p>
    <w:p>
      <w:pPr>
        <w:widowControl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2）战争行为、入侵、武装冲突或外敌行为、封锁、暴乱、恐怖行为或军事演习；</w:t>
      </w:r>
    </w:p>
    <w:p>
      <w:pPr>
        <w:widowControl w:val="0"/>
        <w:spacing w:line="48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第十四条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争议解决方式：</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 xml:space="preserve">14.1 </w:t>
      </w:r>
      <w:r>
        <w:rPr>
          <w:rFonts w:hint="eastAsia" w:ascii="宋体" w:hAnsi="宋体" w:cs="宋体"/>
          <w:color w:val="auto"/>
          <w:sz w:val="24"/>
          <w:szCs w:val="24"/>
          <w:highlight w:val="none"/>
        </w:rPr>
        <w:t>因本合同引起的或与本合同有关的任何争议，甲乙双方应友好协商解决，如协商不成，任何一方均可依法向</w:t>
      </w:r>
      <w:r>
        <w:rPr>
          <w:rFonts w:hint="eastAsia" w:ascii="宋体" w:hAnsi="宋体" w:cs="宋体"/>
          <w:color w:val="auto"/>
          <w:sz w:val="24"/>
          <w:szCs w:val="24"/>
          <w:highlight w:val="none"/>
          <w:u w:val="single"/>
        </w:rPr>
        <w:t>甲方所在地人民法院</w:t>
      </w:r>
      <w:r>
        <w:rPr>
          <w:rFonts w:hint="eastAsia" w:ascii="宋体" w:hAnsi="宋体" w:cs="宋体"/>
          <w:color w:val="auto"/>
          <w:sz w:val="24"/>
          <w:szCs w:val="24"/>
          <w:highlight w:val="none"/>
        </w:rPr>
        <w:t>提起诉讼。</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 xml:space="preserve">14.2 </w:t>
      </w:r>
      <w:r>
        <w:rPr>
          <w:rFonts w:hint="eastAsia" w:ascii="宋体" w:hAnsi="宋体" w:cs="宋体"/>
          <w:color w:val="auto"/>
          <w:sz w:val="24"/>
          <w:szCs w:val="24"/>
          <w:highlight w:val="none"/>
        </w:rPr>
        <w:t>在甲方同意的情况下，除有争端之外的合同其它部分在争端解决前应继续执行。</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第十五条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其他：</w:t>
      </w:r>
    </w:p>
    <w:p>
      <w:pPr>
        <w:spacing w:line="360" w:lineRule="auto"/>
        <w:ind w:firstLine="595" w:firstLineChars="248"/>
        <w:rPr>
          <w:rFonts w:ascii="宋体" w:hAnsi="宋体" w:cs="宋体"/>
          <w:b/>
          <w:color w:val="auto"/>
          <w:sz w:val="24"/>
          <w:szCs w:val="24"/>
          <w:highlight w:val="none"/>
        </w:rPr>
      </w:pPr>
      <w:r>
        <w:rPr>
          <w:rFonts w:ascii="宋体" w:hAnsi="宋体" w:cs="宋体"/>
          <w:bCs/>
          <w:color w:val="auto"/>
          <w:sz w:val="24"/>
          <w:szCs w:val="24"/>
          <w:highlight w:val="none"/>
        </w:rPr>
        <w:t>15.1</w:t>
      </w:r>
      <w:r>
        <w:rPr>
          <w:rFonts w:hint="eastAsia" w:ascii="宋体" w:hAnsi="宋体" w:cs="宋体"/>
          <w:color w:val="auto"/>
          <w:sz w:val="24"/>
          <w:szCs w:val="24"/>
          <w:highlight w:val="none"/>
        </w:rPr>
        <w:t>本合同未尽事宜，可由甲乙双方另行签订补充协议。补充协议与本合同具有同等法律效力。</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15.2</w:t>
      </w:r>
      <w:r>
        <w:rPr>
          <w:rFonts w:hint="eastAsia" w:ascii="宋体" w:hAnsi="宋体" w:cs="宋体"/>
          <w:color w:val="auto"/>
          <w:sz w:val="24"/>
          <w:szCs w:val="24"/>
          <w:highlight w:val="none"/>
        </w:rPr>
        <w:t>本合同自甲乙双方法定代表人或授权代理人签字并加盖公章之日起生效。</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15.3</w:t>
      </w:r>
      <w:r>
        <w:rPr>
          <w:rFonts w:hint="eastAsia" w:ascii="宋体" w:hAnsi="宋体" w:cs="宋体"/>
          <w:color w:val="auto"/>
          <w:sz w:val="24"/>
          <w:szCs w:val="24"/>
          <w:highlight w:val="none"/>
        </w:rPr>
        <w:t>本合同一式</w:t>
      </w:r>
      <w:r>
        <w:rPr>
          <w:rFonts w:ascii="宋体" w:hAnsi="宋体" w:cs="宋体"/>
          <w:color w:val="auto"/>
          <w:sz w:val="24"/>
          <w:szCs w:val="24"/>
          <w:highlight w:val="none"/>
          <w:u w:val="single"/>
        </w:rPr>
        <w:t xml:space="preserve"> </w:t>
      </w:r>
      <w:r>
        <w:rPr>
          <w:rFonts w:hint="eastAsia" w:ascii="宋体" w:hAnsi="宋体" w:cs="宋体"/>
          <w:color w:val="auto"/>
          <w:sz w:val="24"/>
          <w:highlight w:val="none"/>
          <w:u w:val="single"/>
        </w:rPr>
        <w:t>陆</w:t>
      </w:r>
      <w:r>
        <w:rPr>
          <w:rFonts w:ascii="宋体" w:hAnsi="宋体" w:cs="宋体"/>
          <w:color w:val="auto"/>
          <w:sz w:val="24"/>
          <w:highlight w:val="none"/>
          <w:u w:val="single"/>
        </w:rPr>
        <w:t xml:space="preserve"> </w:t>
      </w:r>
      <w:r>
        <w:rPr>
          <w:rFonts w:hint="eastAsia" w:ascii="宋体" w:hAnsi="宋体" w:cs="宋体"/>
          <w:color w:val="auto"/>
          <w:sz w:val="24"/>
          <w:highlight w:val="none"/>
        </w:rPr>
        <w:t>份，甲方执</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肆</w:t>
      </w:r>
      <w:r>
        <w:rPr>
          <w:rFonts w:ascii="宋体" w:hAnsi="宋体" w:cs="宋体"/>
          <w:color w:val="auto"/>
          <w:sz w:val="24"/>
          <w:highlight w:val="none"/>
          <w:u w:val="single"/>
        </w:rPr>
        <w:t xml:space="preserve"> </w:t>
      </w:r>
      <w:r>
        <w:rPr>
          <w:rFonts w:hint="eastAsia" w:ascii="宋体" w:hAnsi="宋体" w:cs="宋体"/>
          <w:color w:val="auto"/>
          <w:sz w:val="24"/>
          <w:highlight w:val="none"/>
        </w:rPr>
        <w:t>份，乙方执</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贰</w:t>
      </w:r>
      <w:r>
        <w:rPr>
          <w:rFonts w:ascii="宋体" w:hAnsi="宋体" w:cs="宋体"/>
          <w:color w:val="auto"/>
          <w:sz w:val="24"/>
          <w:highlight w:val="none"/>
          <w:u w:val="single"/>
        </w:rPr>
        <w:t xml:space="preserve"> </w:t>
      </w:r>
      <w:r>
        <w:rPr>
          <w:rFonts w:hint="eastAsia" w:ascii="宋体" w:hAnsi="宋体" w:cs="宋体"/>
          <w:color w:val="auto"/>
          <w:sz w:val="24"/>
          <w:highlight w:val="none"/>
        </w:rPr>
        <w:t>份</w:t>
      </w:r>
      <w:r>
        <w:rPr>
          <w:rFonts w:hint="eastAsia" w:ascii="宋体" w:hAnsi="宋体" w:cs="宋体"/>
          <w:color w:val="auto"/>
          <w:sz w:val="24"/>
          <w:szCs w:val="24"/>
          <w:highlight w:val="none"/>
        </w:rPr>
        <w:t>。均具有同等法律效力。</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ascii="宋体" w:hAnsi="宋体" w:cs="宋体"/>
          <w:color w:val="auto"/>
          <w:sz w:val="24"/>
          <w:szCs w:val="24"/>
          <w:highlight w:val="none"/>
        </w:rPr>
      </w:pPr>
      <w:r>
        <w:rPr>
          <w:rFonts w:ascii="宋体" w:hAnsi="宋体" w:cs="宋体"/>
          <w:color w:val="auto"/>
          <w:sz w:val="24"/>
          <w:szCs w:val="24"/>
          <w:highlight w:val="none"/>
        </w:rPr>
        <w:t>15.4</w:t>
      </w:r>
      <w:r>
        <w:rPr>
          <w:rFonts w:hint="eastAsia" w:ascii="宋体" w:hAnsi="宋体" w:cs="宋体"/>
          <w:color w:val="auto"/>
          <w:sz w:val="24"/>
          <w:szCs w:val="24"/>
          <w:highlight w:val="none"/>
        </w:rPr>
        <w:t>补充条款：无</w:t>
      </w:r>
      <w:r>
        <w:rPr>
          <w:rFonts w:hint="eastAsia" w:ascii="宋体" w:hAnsi="宋体" w:cs="宋体"/>
          <w:color w:val="auto"/>
          <w:sz w:val="24"/>
          <w:szCs w:val="24"/>
          <w:highlight w:val="none"/>
          <w:u w:val="single"/>
        </w:rPr>
        <w:t>。</w:t>
      </w:r>
      <w:r>
        <w:rPr>
          <w:rFonts w:ascii="宋体" w:hAnsi="宋体" w:cs="宋体"/>
          <w:color w:val="auto"/>
          <w:sz w:val="24"/>
          <w:szCs w:val="24"/>
          <w:highlight w:val="none"/>
        </w:rPr>
        <w:t xml:space="preserve">       </w:t>
      </w:r>
      <w:bookmarkEnd w:id="109"/>
      <w:bookmarkEnd w:id="110"/>
      <w:bookmarkEnd w:id="136"/>
      <w:bookmarkEnd w:id="137"/>
      <w:bookmarkEnd w:id="138"/>
      <w:bookmarkEnd w:id="139"/>
      <w:bookmarkEnd w:id="140"/>
      <w:bookmarkEnd w:id="141"/>
      <w:bookmarkEnd w:id="142"/>
      <w:bookmarkEnd w:id="143"/>
      <w:bookmarkEnd w:id="144"/>
      <w:bookmarkEnd w:id="145"/>
      <w:bookmarkEnd w:id="146"/>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附件：</w:t>
      </w:r>
      <w:r>
        <w:rPr>
          <w:rFonts w:ascii="宋体" w:hAnsi="宋体" w:cs="宋体"/>
          <w:color w:val="auto"/>
          <w:sz w:val="24"/>
          <w:szCs w:val="24"/>
          <w:highlight w:val="none"/>
        </w:rPr>
        <w:t>1</w:t>
      </w:r>
      <w:r>
        <w:rPr>
          <w:rFonts w:hint="eastAsia" w:ascii="宋体" w:hAnsi="宋体" w:cs="宋体"/>
          <w:color w:val="auto"/>
          <w:sz w:val="24"/>
          <w:szCs w:val="24"/>
          <w:highlight w:val="none"/>
        </w:rPr>
        <w:t>.中标通知书</w:t>
      </w:r>
      <w:r>
        <w:rPr>
          <w:rFonts w:ascii="宋体" w:hAnsi="宋体" w:cs="宋体"/>
          <w:color w:val="auto"/>
          <w:sz w:val="24"/>
          <w:szCs w:val="24"/>
          <w:highlight w:val="none"/>
        </w:rPr>
        <w:t>/</w:t>
      </w:r>
      <w:r>
        <w:rPr>
          <w:rFonts w:hint="eastAsia" w:ascii="宋体" w:hAnsi="宋体" w:cs="宋体"/>
          <w:color w:val="auto"/>
          <w:sz w:val="24"/>
          <w:szCs w:val="24"/>
          <w:highlight w:val="none"/>
        </w:rPr>
        <w:t>发包通知书</w:t>
      </w:r>
      <w:r>
        <w:rPr>
          <w:rFonts w:hint="eastAsia" w:ascii="宋体" w:hAnsi="宋体" w:cs="宋体"/>
          <w:color w:val="auto"/>
          <w:sz w:val="24"/>
          <w:szCs w:val="24"/>
          <w:highlight w:val="none"/>
          <w:lang w:val="en-US" w:eastAsia="zh-CN"/>
        </w:rPr>
        <w:t>/成交通知书</w:t>
      </w:r>
      <w:r>
        <w:rPr>
          <w:rFonts w:hint="eastAsia" w:ascii="宋体" w:hAnsi="宋体" w:cs="宋体"/>
          <w:color w:val="auto"/>
          <w:sz w:val="24"/>
          <w:szCs w:val="24"/>
          <w:highlight w:val="none"/>
        </w:rPr>
        <w:t>（如有）</w:t>
      </w:r>
    </w:p>
    <w:p>
      <w:pPr>
        <w:numPr>
          <w:ilvl w:val="0"/>
          <w:numId w:val="0"/>
        </w:numPr>
        <w:spacing w:line="460" w:lineRule="exact"/>
        <w:ind w:left="1200" w:leftChars="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廉洁协议</w:t>
      </w:r>
    </w:p>
    <w:p>
      <w:pPr>
        <w:numPr>
          <w:ilvl w:val="0"/>
          <w:numId w:val="0"/>
        </w:numPr>
        <w:spacing w:line="460" w:lineRule="exact"/>
        <w:ind w:firstLine="1200" w:firstLineChars="500"/>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不诚信行为的情形及相应被暂停参与投标活动的处理标准</w:t>
      </w:r>
    </w:p>
    <w:p>
      <w:pPr>
        <w:spacing w:line="360" w:lineRule="auto"/>
        <w:ind w:firstLine="1200" w:firstLineChars="5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物品采购</w:t>
      </w:r>
      <w:r>
        <w:rPr>
          <w:rFonts w:hint="eastAsia" w:ascii="宋体" w:hAnsi="宋体" w:cs="宋体"/>
          <w:color w:val="auto"/>
          <w:sz w:val="24"/>
          <w:szCs w:val="24"/>
          <w:highlight w:val="none"/>
        </w:rPr>
        <w:t>安全协议书</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具体以安全办通知为准）</w:t>
      </w:r>
    </w:p>
    <w:p>
      <w:pPr>
        <w:spacing w:line="360" w:lineRule="auto"/>
        <w:ind w:firstLine="1200" w:firstLineChars="5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lang w:val="zh-CN"/>
        </w:rPr>
        <w:t>.技术需求（如需）</w:t>
      </w:r>
    </w:p>
    <w:p>
      <w:pPr>
        <w:spacing w:line="360" w:lineRule="auto"/>
        <w:ind w:firstLine="1200" w:firstLineChars="500"/>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rPr>
        <w:t>.授权委托证明（如需）</w:t>
      </w:r>
    </w:p>
    <w:p>
      <w:pPr>
        <w:spacing w:line="360" w:lineRule="auto"/>
        <w:ind w:firstLine="1200" w:firstLineChars="5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7</w:t>
      </w:r>
      <w:r>
        <w:rPr>
          <w:rFonts w:hint="eastAsia" w:ascii="宋体" w:hAnsi="宋体" w:cs="宋体"/>
          <w:color w:val="auto"/>
          <w:kern w:val="0"/>
          <w:sz w:val="24"/>
          <w:szCs w:val="24"/>
          <w:highlight w:val="none"/>
        </w:rPr>
        <w:t>.履约保函（模板）</w:t>
      </w:r>
    </w:p>
    <w:p>
      <w:pPr>
        <w:spacing w:line="360" w:lineRule="auto"/>
        <w:ind w:firstLine="1200" w:firstLineChars="500"/>
        <w:rPr>
          <w:rFonts w:hint="default" w:ascii="宋体" w:hAnsi="宋体" w:eastAsia="宋体" w:cs="宋体"/>
          <w:b w:val="0"/>
          <w:bCs w:val="0"/>
          <w:color w:val="auto"/>
          <w:kern w:val="0"/>
          <w:sz w:val="24"/>
          <w:szCs w:val="24"/>
          <w:highlight w:val="none"/>
          <w:lang w:val="en-US" w:eastAsia="zh-CN"/>
        </w:rPr>
      </w:pPr>
    </w:p>
    <w:tbl>
      <w:tblPr>
        <w:tblStyle w:val="22"/>
        <w:tblpPr w:leftFromText="180" w:rightFromText="180" w:vertAnchor="text" w:horzAnchor="margin" w:tblpXSpec="center" w:tblpY="112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b/>
                <w:color w:val="auto"/>
                <w:sz w:val="24"/>
                <w:szCs w:val="24"/>
                <w:highlight w:val="none"/>
              </w:rPr>
              <w:t>甲方</w:t>
            </w:r>
            <w:r>
              <w:rPr>
                <w:rFonts w:hint="eastAsia" w:ascii="宋体" w:hAnsi="宋体" w:cs="宋体"/>
                <w:color w:val="auto"/>
                <w:sz w:val="24"/>
                <w:szCs w:val="24"/>
                <w:highlight w:val="none"/>
              </w:rPr>
              <w:t>：（章）广州市净水有限公司</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b/>
                <w:color w:val="auto"/>
                <w:sz w:val="24"/>
                <w:szCs w:val="24"/>
                <w:highlight w:val="none"/>
              </w:rPr>
              <w:t>乙方</w:t>
            </w:r>
            <w:r>
              <w:rPr>
                <w:rFonts w:hint="eastAsia" w:ascii="宋体" w:hAnsi="宋体" w:cs="宋体"/>
                <w:color w:val="auto"/>
                <w:sz w:val="24"/>
                <w:szCs w:val="24"/>
                <w:highlight w:val="none"/>
              </w:rPr>
              <w:t>：</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法定代表人或授权代理人：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经办人：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电话：</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传真：</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ind w:left="240" w:hanging="240" w:hangingChars="100"/>
              <w:jc w:val="both"/>
              <w:rPr>
                <w:rFonts w:ascii="宋体" w:hAnsi="宋体" w:cs="宋体"/>
                <w:color w:val="auto"/>
                <w:sz w:val="24"/>
                <w:szCs w:val="24"/>
                <w:highlight w:val="none"/>
              </w:rPr>
            </w:pPr>
            <w:r>
              <w:rPr>
                <w:rFonts w:hint="eastAsia" w:ascii="宋体" w:hAnsi="宋体" w:cs="宋体"/>
                <w:color w:val="auto"/>
                <w:sz w:val="24"/>
                <w:szCs w:val="24"/>
                <w:highlight w:val="none"/>
              </w:rPr>
              <w:t>签订日期：</w:t>
            </w:r>
            <w:r>
              <w:rPr>
                <w:rFonts w:ascii="宋体" w:hAnsi="宋体" w:cs="宋体"/>
                <w:color w:val="auto"/>
                <w:sz w:val="24"/>
                <w:szCs w:val="24"/>
                <w:highlight w:val="none"/>
              </w:rPr>
              <w:t xml:space="preserve">                                                     </w:t>
            </w:r>
          </w:p>
        </w:tc>
        <w:tc>
          <w:tcPr>
            <w:tcW w:w="4696" w:type="dxa"/>
            <w:tcBorders>
              <w:top w:val="nil"/>
              <w:left w:val="nil"/>
              <w:bottom w:val="nil"/>
              <w:right w:val="nil"/>
            </w:tcBorders>
          </w:tcPr>
          <w:p>
            <w:pPr>
              <w:adjustRightInd w:val="0"/>
              <w:snapToGrid w:val="0"/>
              <w:spacing w:line="360" w:lineRule="auto"/>
              <w:ind w:left="4181" w:hanging="4180" w:hangingChars="1742"/>
              <w:rPr>
                <w:rFonts w:ascii="宋体" w:hAnsi="宋体" w:cs="宋体"/>
                <w:color w:val="auto"/>
                <w:sz w:val="24"/>
                <w:szCs w:val="24"/>
                <w:highlight w:val="none"/>
              </w:rPr>
            </w:pPr>
            <w:r>
              <w:rPr>
                <w:rFonts w:hint="eastAsia" w:ascii="宋体" w:hAnsi="宋体" w:cs="宋体"/>
                <w:color w:val="auto"/>
                <w:sz w:val="24"/>
                <w:szCs w:val="24"/>
                <w:highlight w:val="none"/>
              </w:rPr>
              <w:t>签订日期</w:t>
            </w:r>
            <w:r>
              <w:rPr>
                <w:rFonts w:ascii="宋体" w:hAnsi="宋体" w:cs="宋体"/>
                <w:color w:val="auto"/>
                <w:sz w:val="24"/>
                <w:szCs w:val="24"/>
                <w:highlight w:val="none"/>
              </w:rPr>
              <w:t>:</w:t>
            </w:r>
          </w:p>
        </w:tc>
      </w:tr>
    </w:tbl>
    <w:p>
      <w:pPr>
        <w:spacing w:line="360" w:lineRule="auto"/>
        <w:rPr>
          <w:rFonts w:ascii="宋体" w:hAnsi="宋体" w:cs="宋体"/>
          <w:color w:val="auto"/>
          <w:sz w:val="24"/>
          <w:szCs w:val="24"/>
          <w:highlight w:val="none"/>
        </w:rPr>
      </w:pPr>
    </w:p>
    <w:p>
      <w:pPr>
        <w:spacing w:line="360" w:lineRule="auto"/>
        <w:jc w:val="both"/>
        <w:rPr>
          <w:rFonts w:hint="eastAsia" w:ascii="宋体" w:hAnsi="宋体" w:cs="宋体"/>
          <w:b/>
          <w:bCs/>
          <w:color w:val="auto"/>
          <w:szCs w:val="21"/>
          <w:highlight w:val="none"/>
        </w:rPr>
      </w:pPr>
      <w:r>
        <w:rPr>
          <w:rFonts w:hint="eastAsia" w:ascii="宋体" w:hAnsi="宋体" w:cs="宋体"/>
          <w:b/>
          <w:bCs/>
          <w:color w:val="auto"/>
          <w:szCs w:val="21"/>
          <w:highlight w:val="none"/>
        </w:rPr>
        <w:t>附件</w:t>
      </w:r>
      <w:r>
        <w:rPr>
          <w:rFonts w:ascii="宋体" w:hAnsi="宋体" w:cs="宋体"/>
          <w:b/>
          <w:bCs/>
          <w:color w:val="auto"/>
          <w:szCs w:val="21"/>
          <w:highlight w:val="none"/>
        </w:rPr>
        <w:t>2</w:t>
      </w:r>
      <w:r>
        <w:rPr>
          <w:rFonts w:hint="eastAsia" w:ascii="宋体" w:hAnsi="宋体" w:cs="宋体"/>
          <w:b/>
          <w:bCs/>
          <w:color w:val="auto"/>
          <w:szCs w:val="21"/>
          <w:highlight w:val="none"/>
        </w:rPr>
        <w:t>：廉洁协议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广州市净水有限公司2022年实验室化验仪器及辅助设备采购项目</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4"/>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广州市净水有限公司2022年实验室化验仪器及辅助设备采购项目（合同编号</w:t>
      </w:r>
      <w:r>
        <w:rPr>
          <w:rFonts w:hint="eastAsia" w:ascii="仿宋_GB2312" w:hAnsi="仿宋_GB2312" w:eastAsia="仿宋_GB2312" w:cs="仿宋_GB2312"/>
          <w:b w:val="0"/>
          <w:bCs/>
          <w:color w:val="auto"/>
          <w:sz w:val="28"/>
          <w:szCs w:val="28"/>
          <w:highlight w:val="none"/>
          <w:u w:val="single"/>
          <w:lang w:eastAsia="zh-CN"/>
        </w:rPr>
        <w:t>：</w:t>
      </w:r>
      <w:r>
        <w:rPr>
          <w:rFonts w:hint="eastAsia" w:ascii="仿宋_GB2312" w:hAnsi="仿宋_GB2312" w:eastAsia="仿宋_GB2312" w:cs="仿宋_GB2312"/>
          <w:b w:val="0"/>
          <w:bCs/>
          <w:color w:val="auto"/>
          <w:sz w:val="28"/>
          <w:szCs w:val="28"/>
          <w:highlight w:val="none"/>
          <w:u w:val="single"/>
          <w:lang w:val="en-US" w:eastAsia="zh-CN"/>
        </w:rPr>
        <w:t>穗净水合[2022]   号</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六</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四</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二</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4"/>
        <w:keepNext w:val="0"/>
        <w:keepLines w:val="0"/>
        <w:pageBreakBefore w:val="0"/>
        <w:tabs>
          <w:tab w:val="left" w:pos="5100"/>
        </w:tabs>
        <w:kinsoku/>
        <w:wordWrap/>
        <w:overflowPunct/>
        <w:topLinePunct w:val="0"/>
        <w:autoSpaceDE/>
        <w:autoSpaceDN/>
        <w:bidi w:val="0"/>
        <w:snapToGrid/>
        <w:spacing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附件3.</w:t>
      </w:r>
      <w:r>
        <w:rPr>
          <w:rFonts w:hint="eastAsia" w:ascii="宋体" w:hAnsi="宋体" w:eastAsia="宋体" w:cs="宋体"/>
          <w:color w:val="auto"/>
          <w:sz w:val="21"/>
          <w:szCs w:val="21"/>
          <w:highlight w:val="none"/>
        </w:rPr>
        <w:t>不诚信行为的情形及相应被暂停参与投标活动的处理标准</w:t>
      </w:r>
    </w:p>
    <w:tbl>
      <w:tblPr>
        <w:tblStyle w:val="22"/>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auto"/>
          <w:sz w:val="24"/>
          <w:szCs w:val="24"/>
          <w:highlight w:val="none"/>
        </w:rPr>
        <w:t>《广州市净水有限公司经营建设项目参建企业不诚信行为管理办法》</w:t>
      </w:r>
      <w:r>
        <w:rPr>
          <w:rFonts w:hint="eastAsia" w:ascii="仿宋_GB2312" w:hAnsi="仿宋_GB2312" w:eastAsia="仿宋_GB2312" w:cs="仿宋_GB2312"/>
          <w:color w:val="auto"/>
          <w:sz w:val="24"/>
          <w:szCs w:val="24"/>
          <w:highlight w:val="none"/>
          <w:lang w:eastAsia="zh-CN"/>
        </w:rPr>
        <w:t>。</w:t>
      </w:r>
    </w:p>
    <w:p>
      <w:pPr>
        <w:spacing w:line="360" w:lineRule="auto"/>
        <w:rPr>
          <w:rFonts w:ascii="宋体" w:hAnsi="宋体"/>
          <w:b/>
          <w:color w:val="auto"/>
          <w:sz w:val="24"/>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4</w:t>
      </w:r>
      <w:r>
        <w:rPr>
          <w:rFonts w:hint="eastAsia" w:ascii="宋体" w:hAnsi="宋体" w:cs="宋体"/>
          <w:b/>
          <w:color w:val="auto"/>
          <w:szCs w:val="21"/>
          <w:highlight w:val="none"/>
        </w:rPr>
        <w:t>：安全管理协议书</w:t>
      </w:r>
    </w:p>
    <w:p>
      <w:pPr>
        <w:spacing w:line="560" w:lineRule="exact"/>
        <w:jc w:val="center"/>
        <w:rPr>
          <w:rFonts w:ascii="黑体" w:hAnsi="宋体" w:eastAsia="黑体" w:cs="宋体"/>
          <w:bCs/>
          <w:color w:val="auto"/>
          <w:kern w:val="0"/>
          <w:sz w:val="44"/>
          <w:szCs w:val="44"/>
          <w:highlight w:val="none"/>
        </w:rPr>
      </w:pPr>
      <w:r>
        <w:rPr>
          <w:rFonts w:hint="eastAsia" w:ascii="黑体" w:hAnsi="宋体" w:eastAsia="黑体" w:cs="宋体"/>
          <w:bCs/>
          <w:color w:val="auto"/>
          <w:kern w:val="0"/>
          <w:sz w:val="44"/>
          <w:szCs w:val="44"/>
          <w:highlight w:val="none"/>
        </w:rPr>
        <w:t>物品采购</w:t>
      </w:r>
      <w:r>
        <w:rPr>
          <w:rFonts w:hint="eastAsia" w:ascii="黑体" w:hAnsi="Batang" w:eastAsia="黑体" w:cs="Batang"/>
          <w:bCs/>
          <w:color w:val="auto"/>
          <w:kern w:val="0"/>
          <w:sz w:val="44"/>
          <w:szCs w:val="44"/>
          <w:highlight w:val="none"/>
        </w:rPr>
        <w:t>安全协议</w:t>
      </w:r>
      <w:r>
        <w:rPr>
          <w:rFonts w:hint="eastAsia" w:ascii="黑体" w:hAnsi="宋体" w:eastAsia="黑体" w:cs="宋体"/>
          <w:bCs/>
          <w:color w:val="auto"/>
          <w:kern w:val="0"/>
          <w:sz w:val="44"/>
          <w:szCs w:val="44"/>
          <w:highlight w:val="none"/>
        </w:rPr>
        <w:t>书</w:t>
      </w:r>
    </w:p>
    <w:p>
      <w:pPr>
        <w:spacing w:line="560" w:lineRule="exact"/>
        <w:rPr>
          <w:rFonts w:ascii="宋体" w:hAnsi="宋体" w:cs="Arial"/>
          <w:color w:val="auto"/>
          <w:kern w:val="0"/>
          <w:sz w:val="24"/>
          <w:highlight w:val="none"/>
        </w:rPr>
      </w:pP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甲方：</w:t>
      </w:r>
      <w:r>
        <w:rPr>
          <w:rFonts w:hint="eastAsia"/>
          <w:color w:val="auto"/>
          <w:sz w:val="24"/>
          <w:highlight w:val="none"/>
        </w:rPr>
        <w:t>广州市净水有限公司</w:t>
      </w: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 xml:space="preserve">乙方： </w:t>
      </w:r>
    </w:p>
    <w:p>
      <w:pPr>
        <w:spacing w:line="560" w:lineRule="exact"/>
        <w:rPr>
          <w:rFonts w:ascii="宋体" w:hAnsi="宋体" w:cs="Arial"/>
          <w:color w:val="auto"/>
          <w:kern w:val="0"/>
          <w:sz w:val="24"/>
          <w:highlight w:val="none"/>
        </w:rPr>
      </w:pP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为加强物品采购过程安全管理，根据《中华人民共和国安全生产法》、《生产安全事故报告和调查处理条例》等国家及地方有关安全生产法律法规</w:t>
      </w:r>
      <w:r>
        <w:rPr>
          <w:rFonts w:ascii="宋体" w:hAnsi="宋体" w:cs="Arial"/>
          <w:color w:val="auto"/>
          <w:kern w:val="0"/>
          <w:sz w:val="24"/>
          <w:highlight w:val="none"/>
        </w:rPr>
        <w:t>，甲乙双方就</w:t>
      </w:r>
      <w:r>
        <w:rPr>
          <w:rFonts w:hint="eastAsia" w:ascii="宋体" w:hAnsi="宋体" w:cs="Arial"/>
          <w:color w:val="auto"/>
          <w:kern w:val="0"/>
          <w:sz w:val="24"/>
          <w:highlight w:val="none"/>
        </w:rPr>
        <w:t>物品采购的安全</w:t>
      </w:r>
      <w:r>
        <w:rPr>
          <w:rFonts w:ascii="宋体" w:hAnsi="宋体" w:cs="Arial"/>
          <w:color w:val="auto"/>
          <w:kern w:val="0"/>
          <w:sz w:val="24"/>
          <w:highlight w:val="none"/>
        </w:rPr>
        <w:t>事宜，</w:t>
      </w:r>
      <w:r>
        <w:rPr>
          <w:rFonts w:ascii="宋体" w:hAnsi="宋体" w:cs="Arial"/>
          <w:color w:val="auto"/>
          <w:sz w:val="24"/>
          <w:highlight w:val="none"/>
        </w:rPr>
        <w:t>经双方友好协商，达成如下协议</w:t>
      </w:r>
      <w:r>
        <w:rPr>
          <w:rFonts w:ascii="宋体" w:hAnsi="宋体" w:cs="Arial"/>
          <w:color w:val="auto"/>
          <w:kern w:val="0"/>
          <w:sz w:val="24"/>
          <w:highlight w:val="none"/>
        </w:rPr>
        <w:t>。</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一、本协议与主合同的关系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本协议作为</w:t>
      </w:r>
      <w:r>
        <w:rPr>
          <w:rFonts w:hint="eastAsia" w:asciiTheme="minorEastAsia" w:hAnsiTheme="minorEastAsia" w:eastAsiaTheme="minorEastAsia"/>
          <w:color w:val="auto"/>
          <w:sz w:val="24"/>
          <w:highlight w:val="none"/>
          <w:u w:val="single"/>
        </w:rPr>
        <w:t>广州市净水有限公司2022年实验室化验仪器及辅助设备采购项目</w:t>
      </w:r>
      <w:r>
        <w:rPr>
          <w:rFonts w:hint="eastAsia" w:asciiTheme="minorEastAsia" w:hAnsiTheme="minorEastAsia"/>
          <w:color w:val="auto"/>
          <w:sz w:val="24"/>
          <w:highlight w:val="none"/>
          <w:u w:val="single"/>
          <w:lang w:val="en-US" w:eastAsia="zh-CN"/>
        </w:rPr>
        <w:t>合同</w:t>
      </w:r>
      <w:r>
        <w:rPr>
          <w:rFonts w:hint="eastAsia" w:asciiTheme="minorEastAsia" w:hAnsiTheme="minorEastAsia" w:eastAsiaTheme="minorEastAsia"/>
          <w:color w:val="auto"/>
          <w:sz w:val="24"/>
          <w:highlight w:val="none"/>
        </w:rPr>
        <w:t>的组成部分，与主合同具有同等法律效力。</w:t>
      </w:r>
    </w:p>
    <w:p>
      <w:pPr>
        <w:spacing w:line="560" w:lineRule="exact"/>
        <w:ind w:firstLine="482" w:firstLineChars="200"/>
        <w:rPr>
          <w:rFonts w:ascii="宋体" w:hAnsi="宋体" w:cs="Arial"/>
          <w:b/>
          <w:color w:val="auto"/>
          <w:kern w:val="0"/>
          <w:sz w:val="24"/>
          <w:highlight w:val="none"/>
        </w:rPr>
      </w:pPr>
      <w:r>
        <w:rPr>
          <w:rFonts w:hint="eastAsia" w:ascii="宋体" w:hAnsi="宋体" w:cs="Arial"/>
          <w:b/>
          <w:color w:val="auto"/>
          <w:kern w:val="0"/>
          <w:sz w:val="24"/>
          <w:highlight w:val="none"/>
        </w:rPr>
        <w:t>二、甲方权责</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（一）甲方进行物品采购时，应贯彻落实国家、地方有关安全管理的法律法规和规章制度。</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（五）告知乙方在甲方应当遵守的安全管理要求。</w:t>
      </w:r>
    </w:p>
    <w:p>
      <w:pPr>
        <w:spacing w:line="560" w:lineRule="exact"/>
        <w:ind w:firstLine="482" w:firstLineChars="200"/>
        <w:rPr>
          <w:rFonts w:ascii="宋体" w:hAnsi="宋体" w:cs="Arial"/>
          <w:b/>
          <w:color w:val="auto"/>
          <w:kern w:val="0"/>
          <w:sz w:val="24"/>
          <w:highlight w:val="none"/>
        </w:rPr>
      </w:pPr>
      <w:r>
        <w:rPr>
          <w:rFonts w:hint="eastAsia" w:ascii="宋体" w:hAnsi="宋体" w:cs="Arial"/>
          <w:b/>
          <w:color w:val="auto"/>
          <w:kern w:val="0"/>
          <w:sz w:val="24"/>
          <w:highlight w:val="none"/>
        </w:rPr>
        <w:t>三、乙方权责</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（二）</w:t>
      </w:r>
      <w:r>
        <w:rPr>
          <w:rFonts w:hint="eastAsia" w:ascii="宋体" w:hAnsi="宋体" w:cs="宋体"/>
          <w:color w:val="auto"/>
          <w:kern w:val="0"/>
          <w:sz w:val="24"/>
          <w:highlight w:val="none"/>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安全运输责任人，负责安全运输和装卸及安全教育工作，同时督促检查，确保</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的安全送运。</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（三）乙方应承诺所售</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质量符合现行国家规范要求，保证</w:t>
      </w:r>
      <w:r>
        <w:rPr>
          <w:rFonts w:hint="eastAsia" w:ascii="宋体" w:hAnsi="宋体" w:cs="Arial"/>
          <w:color w:val="auto"/>
          <w:kern w:val="0"/>
          <w:sz w:val="24"/>
          <w:highlight w:val="none"/>
        </w:rPr>
        <w:t>所售物品为正品。设备类物品应提供与设备型号一致的使用说明书（进口设备应有中文说明书），如物品有保质期要求的应在保质期范围内，</w:t>
      </w:r>
      <w:r>
        <w:rPr>
          <w:rFonts w:hint="eastAsia" w:ascii="宋体" w:hAnsi="宋体" w:cs="宋体"/>
          <w:color w:val="auto"/>
          <w:kern w:val="0"/>
          <w:sz w:val="24"/>
          <w:highlight w:val="none"/>
        </w:rPr>
        <w:t>特殊设备应在运输前做好定检工作，包装要完整完好。</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（四）乙方对</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（五）乙方须加强物品运输车辆的安全管理，用于运输</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的车辆必须车况良好、外观整洁、证照齐全，严格执行车辆安全检验制度，确保车辆性能符合安全技术标准。</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（六）人员管理</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乙方聘请其他单位运输的，乙方应对运输单位的安全管理负责。</w:t>
      </w:r>
    </w:p>
    <w:p>
      <w:pPr>
        <w:widowControl/>
        <w:spacing w:line="5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元/次。</w:t>
      </w:r>
    </w:p>
    <w:p>
      <w:pPr>
        <w:widowControl/>
        <w:spacing w:line="5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5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（七）发生事故时，乙方须立即报警处理，乙方在力所能及范围内采取补救措施，并在30分钟内将情况报告甲方。</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（十）乙方委托的第三方运输单位或个人，违反本协议的，全部责任均由乙方承担。</w:t>
      </w:r>
    </w:p>
    <w:p>
      <w:pPr>
        <w:pStyle w:val="37"/>
        <w:spacing w:line="560" w:lineRule="exact"/>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四、补充条款：</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五、附则</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widowControl w:val="0"/>
              <w:adjustRightInd w:val="0"/>
              <w:snapToGrid w:val="0"/>
              <w:spacing w:line="56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甲方：</w:t>
            </w:r>
          </w:p>
          <w:p>
            <w:pPr>
              <w:widowControl w:val="0"/>
              <w:adjustRightInd w:val="0"/>
              <w:snapToGrid w:val="0"/>
              <w:spacing w:line="56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widowControl w:val="0"/>
              <w:adjustRightInd w:val="0"/>
              <w:snapToGrid w:val="0"/>
              <w:spacing w:line="56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widowControl w:val="0"/>
              <w:adjustRightInd w:val="0"/>
              <w:snapToGrid w:val="0"/>
              <w:spacing w:line="560" w:lineRule="exact"/>
              <w:ind w:firstLine="240" w:firstLineChars="100"/>
              <w:jc w:val="right"/>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c>
          <w:tcPr>
            <w:tcW w:w="4474" w:type="dxa"/>
          </w:tcPr>
          <w:p>
            <w:pPr>
              <w:widowControl w:val="0"/>
              <w:adjustRightInd w:val="0"/>
              <w:snapToGrid w:val="0"/>
              <w:spacing w:line="56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乙方：</w:t>
            </w:r>
          </w:p>
          <w:p>
            <w:pPr>
              <w:widowControl w:val="0"/>
              <w:adjustRightInd w:val="0"/>
              <w:snapToGrid w:val="0"/>
              <w:spacing w:line="56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widowControl w:val="0"/>
              <w:adjustRightInd w:val="0"/>
              <w:snapToGrid w:val="0"/>
              <w:spacing w:line="56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widowControl w:val="0"/>
              <w:adjustRightInd w:val="0"/>
              <w:snapToGrid w:val="0"/>
              <w:spacing w:line="560" w:lineRule="exact"/>
              <w:jc w:val="right"/>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r>
    </w:tbl>
    <w:p>
      <w:pPr>
        <w:spacing w:line="360" w:lineRule="auto"/>
        <w:rPr>
          <w:rFonts w:ascii="宋体" w:hAnsi="宋体" w:cs="宋体"/>
          <w:color w:val="auto"/>
          <w:sz w:val="24"/>
          <w:szCs w:val="24"/>
          <w:highlight w:val="none"/>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ascii="宋体" w:hAnsi="宋体"/>
          <w:b/>
          <w:color w:val="auto"/>
          <w:sz w:val="24"/>
          <w:szCs w:val="24"/>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 xml:space="preserve">7                            </w:t>
      </w:r>
      <w:r>
        <w:rPr>
          <w:rFonts w:hint="eastAsia" w:ascii="宋体" w:hAnsi="宋体"/>
          <w:b/>
          <w:color w:val="auto"/>
          <w:sz w:val="24"/>
          <w:szCs w:val="24"/>
          <w:highlight w:val="none"/>
        </w:rPr>
        <w:t>履约保函模板</w:t>
      </w:r>
    </w:p>
    <w:p>
      <w:pPr>
        <w:keepNext w:val="0"/>
        <w:keepLines w:val="0"/>
        <w:pageBreakBefore w:val="0"/>
        <w:widowControl/>
        <w:kinsoku/>
        <w:wordWrap/>
        <w:overflowPunct/>
        <w:topLinePunct w:val="0"/>
        <w:autoSpaceDE/>
        <w:autoSpaceDN/>
        <w:bidi w:val="0"/>
        <w:adjustRightInd/>
        <w:snapToGrid/>
        <w:spacing w:line="280" w:lineRule="exact"/>
        <w:textAlignment w:val="auto"/>
        <w:rPr>
          <w:rFonts w:ascii="宋体" w:hAnsi="宋体"/>
          <w:color w:val="auto"/>
          <w:sz w:val="24"/>
          <w:szCs w:val="24"/>
          <w:highlight w:val="none"/>
        </w:rPr>
      </w:pPr>
      <w:r>
        <w:rPr>
          <w:rFonts w:hint="eastAsia" w:ascii="宋体" w:hAnsi="宋体"/>
          <w:color w:val="auto"/>
          <w:sz w:val="24"/>
          <w:szCs w:val="24"/>
          <w:highlight w:val="none"/>
        </w:rPr>
        <w:t>致：</w:t>
      </w:r>
      <w:r>
        <w:rPr>
          <w:rFonts w:hint="eastAsia" w:ascii="宋体" w:hAnsi="宋体"/>
          <w:color w:val="auto"/>
          <w:sz w:val="24"/>
          <w:szCs w:val="24"/>
          <w:highlight w:val="none"/>
          <w:u w:val="single"/>
        </w:rPr>
        <w:t xml:space="preserve">               （受益人）</w:t>
      </w:r>
      <w:r>
        <w:rPr>
          <w:rFonts w:ascii="宋体" w:hAnsi="宋体"/>
          <w:color w:val="auto"/>
          <w:sz w:val="24"/>
          <w:szCs w:val="24"/>
          <w:highlight w:val="none"/>
        </w:rPr>
        <w:br w:type="textWrapping"/>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鉴于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（以下简称“委托人”）与贵方于</w:t>
      </w:r>
      <w:r>
        <w:rPr>
          <w:rFonts w:hint="eastAsia" w:ascii="宋体" w:hAnsi="宋体"/>
          <w:color w:val="auto"/>
          <w:sz w:val="24"/>
          <w:szCs w:val="24"/>
          <w:highlight w:val="none"/>
          <w:u w:val="single"/>
        </w:rPr>
        <w:t xml:space="preserve">   年  月  日</w:t>
      </w:r>
      <w:r>
        <w:rPr>
          <w:rFonts w:hint="eastAsia" w:ascii="宋体" w:hAnsi="宋体"/>
          <w:color w:val="auto"/>
          <w:sz w:val="24"/>
          <w:szCs w:val="24"/>
          <w:highlight w:val="none"/>
        </w:rPr>
        <w:t>签订了</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（以下简称“合同”），我行同意为委托人出具履约保函，作为委托人履行合同义务的担保，以使你方得到履约保函的保障。本保函为不可撤销，见索即付的独立保函。</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一、我行保证在收到贵单位于保函有效期内送达的依本保函约定的索赔申请后，在个</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工作日内无条件和不可改变地向贵单位支付最高金额不超过人民币元</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（大写：</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）的履约保证金，并放弃向你方提出任何异议和追索的权利。</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二、贵单位的索赔申请应符合下述条件：</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（一）贵单位法定代表人或其授权代表签字并加盖单位公章；</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（二）在保函有效期内送达我行；</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（三）明确的索赔金额（不得超过本保函第一条所列之限额）。</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三、本保函自签发之日起生效，有效期至</w:t>
      </w:r>
      <w:r>
        <w:rPr>
          <w:rFonts w:hint="eastAsia" w:ascii="宋体" w:hAnsi="宋体"/>
          <w:color w:val="auto"/>
          <w:sz w:val="24"/>
          <w:szCs w:val="24"/>
          <w:highlight w:val="none"/>
          <w:u w:val="single"/>
        </w:rPr>
        <w:t xml:space="preserve">  年  月  日</w:t>
      </w:r>
      <w:r>
        <w:rPr>
          <w:rFonts w:hint="eastAsia" w:ascii="宋体" w:hAnsi="宋体"/>
          <w:color w:val="auto"/>
          <w:sz w:val="24"/>
          <w:szCs w:val="24"/>
          <w:highlight w:val="none"/>
        </w:rPr>
        <w:t>。本保函于下述任一事项发生之时立即失效，我行在本保函项下的保证义务即刻解除：</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（一）本保函有效期限届满；</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（二）我行保证的义务履行完毕。</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四、我方受本保函制约的责任是延续的、独立的和无条件的，上述合同的任何修改、变更、解释、不可执行或委托人在合同项下对你方的任何抗辩都不能削弱或影响我行按本保函应承担的责任。</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五、我行向你方支付索赔金额后，本保函担保金额即按贵方通知的索赔金额予以递减。</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六、保函失效后请将保函退回我行注销，无论正本最终退回与否，不影响本保函依上述约定自动失效。</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 xml:space="preserve">                                                    落款</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olor w:val="auto"/>
          <w:sz w:val="24"/>
          <w:szCs w:val="24"/>
          <w:highlight w:val="none"/>
        </w:rPr>
      </w:pPr>
      <w:r>
        <w:rPr>
          <w:rFonts w:hint="eastAsia" w:ascii="宋体" w:hAnsi="宋体"/>
          <w:color w:val="auto"/>
          <w:sz w:val="24"/>
          <w:szCs w:val="24"/>
          <w:highlight w:val="none"/>
        </w:rPr>
        <w:t>保函说明：</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color w:val="auto"/>
          <w:sz w:val="24"/>
          <w:szCs w:val="24"/>
          <w:highlight w:val="none"/>
        </w:rPr>
      </w:pPr>
      <w:r>
        <w:rPr>
          <w:rFonts w:hint="eastAsia" w:ascii="宋体" w:hAnsi="宋体" w:cs="仿宋_GB2312"/>
          <w:color w:val="auto"/>
          <w:sz w:val="24"/>
          <w:szCs w:val="24"/>
          <w:highlight w:val="none"/>
        </w:rPr>
        <w:t>保函不得有下列或类似含义的表述：</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color w:val="auto"/>
          <w:sz w:val="24"/>
          <w:szCs w:val="24"/>
          <w:highlight w:val="none"/>
        </w:rPr>
      </w:pPr>
      <w:r>
        <w:rPr>
          <w:rFonts w:hint="eastAsia" w:ascii="宋体" w:hAnsi="宋体" w:cs="仿宋_GB2312"/>
          <w:color w:val="auto"/>
          <w:sz w:val="24"/>
          <w:szCs w:val="24"/>
          <w:highlight w:val="none"/>
        </w:rPr>
        <w:t>1.银行承担的为连带责任保证、一般保证。</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color w:val="auto"/>
          <w:sz w:val="24"/>
          <w:szCs w:val="24"/>
          <w:highlight w:val="none"/>
        </w:rPr>
      </w:pPr>
      <w:r>
        <w:rPr>
          <w:rFonts w:hint="eastAsia" w:ascii="宋体" w:hAnsi="宋体" w:cs="仿宋_GB2312"/>
          <w:color w:val="auto"/>
          <w:sz w:val="24"/>
          <w:szCs w:val="24"/>
          <w:highlight w:val="none"/>
        </w:rPr>
        <w:t>2.未经银行书面同意，受益人与申请人修改合同或其项下附件时，银行的保证义务解除。</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color w:val="auto"/>
          <w:sz w:val="24"/>
          <w:szCs w:val="24"/>
          <w:highlight w:val="none"/>
        </w:rPr>
      </w:pPr>
      <w:r>
        <w:rPr>
          <w:rFonts w:hint="eastAsia" w:ascii="宋体" w:hAnsi="宋体" w:cs="仿宋_GB2312"/>
          <w:color w:val="auto"/>
          <w:sz w:val="24"/>
          <w:szCs w:val="24"/>
          <w:highlight w:val="none"/>
        </w:rPr>
        <w:t>3.合同撤销或无效的，保函失效。</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color w:val="auto"/>
          <w:sz w:val="24"/>
          <w:szCs w:val="24"/>
          <w:highlight w:val="none"/>
        </w:rPr>
      </w:pPr>
      <w:r>
        <w:rPr>
          <w:rFonts w:hint="eastAsia" w:ascii="宋体" w:hAnsi="宋体" w:cs="仿宋_GB2312"/>
          <w:color w:val="auto"/>
          <w:sz w:val="24"/>
          <w:szCs w:val="24"/>
          <w:highlight w:val="none"/>
        </w:rPr>
        <w:t>4.申请人对受益人的抗辩，银行有权向受益人主张。</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olor w:val="auto"/>
          <w:sz w:val="24"/>
          <w:szCs w:val="24"/>
          <w:highlight w:val="none"/>
        </w:rPr>
      </w:pPr>
      <w:r>
        <w:rPr>
          <w:rFonts w:hint="eastAsia" w:ascii="宋体" w:hAnsi="宋体" w:cs="仿宋_GB2312"/>
          <w:color w:val="auto"/>
          <w:sz w:val="24"/>
          <w:szCs w:val="24"/>
          <w:highlight w:val="none"/>
        </w:rPr>
        <w:t>5.受益人请求付款的请款单据包含法院裁判文书、仲裁裁决、第三方单位出具的鉴定书等申请人违约的证明材料。</w:t>
      </w:r>
    </w:p>
    <w:p>
      <w:pPr>
        <w:jc w:val="center"/>
        <w:rPr>
          <w:rFonts w:ascii="宋体" w:hAnsi="宋体" w:cs="宋体"/>
          <w:color w:val="auto"/>
          <w:sz w:val="24"/>
          <w:szCs w:val="24"/>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adjustRightInd w:val="0"/>
        <w:snapToGrid w:val="0"/>
        <w:spacing w:before="156" w:beforeLines="50" w:after="156" w:afterLines="50" w:line="600" w:lineRule="exact"/>
        <w:jc w:val="both"/>
        <w:rPr>
          <w:rFonts w:ascii="方正小标宋简体" w:eastAsia="方正小标宋简体"/>
          <w:color w:val="auto"/>
          <w:sz w:val="44"/>
          <w:szCs w:val="44"/>
          <w:highlight w:val="none"/>
        </w:rPr>
      </w:pPr>
    </w:p>
    <w:p>
      <w:pPr>
        <w:pStyle w:val="2"/>
        <w:ind w:firstLine="0"/>
        <w:rPr>
          <w:rFonts w:ascii="仿宋_GB2312" w:eastAsia="仿宋_GB2312"/>
          <w:color w:val="auto"/>
          <w:sz w:val="28"/>
          <w:szCs w:val="28"/>
          <w:highlight w:val="none"/>
        </w:rPr>
      </w:pPr>
    </w:p>
    <w:p>
      <w:pPr>
        <w:pStyle w:val="4"/>
        <w:rPr>
          <w:color w:val="auto"/>
          <w:highlight w:val="none"/>
        </w:rPr>
      </w:pPr>
      <w:bookmarkStart w:id="147" w:name="_Toc12169"/>
      <w:bookmarkStart w:id="148" w:name="_Toc16552"/>
      <w:bookmarkStart w:id="149" w:name="_Toc1563"/>
      <w:bookmarkStart w:id="150" w:name="_Toc23515"/>
      <w:bookmarkStart w:id="151" w:name="_Toc30824"/>
      <w:bookmarkStart w:id="152" w:name="_Toc8147"/>
      <w:bookmarkStart w:id="153" w:name="_Toc21847"/>
      <w:bookmarkStart w:id="154" w:name="_Toc28358"/>
      <w:bookmarkStart w:id="155" w:name="_Toc3723"/>
      <w:bookmarkStart w:id="156" w:name="_Toc6230"/>
      <w:bookmarkStart w:id="157" w:name="_Toc5129"/>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147"/>
      <w:bookmarkEnd w:id="148"/>
      <w:bookmarkEnd w:id="149"/>
      <w:bookmarkEnd w:id="150"/>
      <w:bookmarkEnd w:id="151"/>
      <w:bookmarkEnd w:id="152"/>
      <w:bookmarkEnd w:id="153"/>
      <w:bookmarkEnd w:id="154"/>
      <w:bookmarkEnd w:id="155"/>
      <w:bookmarkEnd w:id="156"/>
      <w:bookmarkEnd w:id="157"/>
    </w:p>
    <w:p>
      <w:pPr>
        <w:pStyle w:val="37"/>
        <w:rPr>
          <w:color w:val="auto"/>
          <w:highlight w:val="none"/>
        </w:rPr>
      </w:pPr>
    </w:p>
    <w:p>
      <w:pPr>
        <w:pStyle w:val="4"/>
        <w:rPr>
          <w:color w:val="auto"/>
          <w:highlight w:val="none"/>
        </w:rPr>
      </w:pPr>
      <w:bookmarkStart w:id="158" w:name="_Toc17119"/>
      <w:bookmarkStart w:id="159" w:name="_Toc10840"/>
      <w:bookmarkStart w:id="160" w:name="_Toc12610"/>
      <w:bookmarkStart w:id="161" w:name="_Toc5342"/>
      <w:bookmarkStart w:id="162" w:name="_Toc22764"/>
      <w:bookmarkStart w:id="163" w:name="_Toc30157"/>
      <w:bookmarkStart w:id="164" w:name="_Toc12769"/>
      <w:bookmarkStart w:id="165" w:name="_Toc24815"/>
      <w:bookmarkStart w:id="166" w:name="_Toc24490"/>
      <w:bookmarkStart w:id="167" w:name="_Toc31564"/>
      <w:bookmarkStart w:id="168" w:name="_Toc88209951"/>
      <w:bookmarkStart w:id="169" w:name="_Toc21675"/>
      <w:bookmarkStart w:id="170" w:name="_Toc87616388"/>
      <w:r>
        <w:rPr>
          <w:rFonts w:hint="eastAsia"/>
          <w:color w:val="auto"/>
          <w:highlight w:val="none"/>
        </w:rPr>
        <w:t>响应文件格式要求</w:t>
      </w:r>
      <w:bookmarkEnd w:id="158"/>
      <w:bookmarkEnd w:id="159"/>
      <w:bookmarkEnd w:id="160"/>
      <w:bookmarkEnd w:id="161"/>
      <w:bookmarkEnd w:id="162"/>
      <w:bookmarkEnd w:id="163"/>
      <w:bookmarkEnd w:id="164"/>
      <w:bookmarkEnd w:id="165"/>
      <w:bookmarkEnd w:id="166"/>
      <w:bookmarkEnd w:id="167"/>
      <w:bookmarkEnd w:id="168"/>
      <w:bookmarkEnd w:id="169"/>
      <w:bookmarkEnd w:id="170"/>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156" w:beforeLines="50" w:after="156" w:afterLines="50" w:line="600" w:lineRule="exact"/>
        <w:jc w:val="center"/>
        <w:rPr>
          <w:rFonts w:ascii="仿宋_GB2312" w:eastAsia="仿宋_GB2312"/>
          <w:color w:val="auto"/>
          <w:sz w:val="30"/>
          <w:szCs w:val="30"/>
          <w:highlight w:val="none"/>
        </w:rPr>
      </w:pPr>
    </w:p>
    <w:p>
      <w:pPr>
        <w:adjustRightInd w:val="0"/>
        <w:snapToGrid w:val="0"/>
        <w:spacing w:before="156" w:beforeLines="50" w:after="156"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jc w:val="center"/>
        <w:rPr>
          <w:rFonts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before="0" w:beforeLines="-2147483648" w:after="0" w:afterLines="-2147483648" w:line="600" w:lineRule="exact"/>
        <w:ind w:left="1" w:right="560" w:firstLine="709" w:firstLineChars="197"/>
        <w:jc w:val="center"/>
        <w:rPr>
          <w:rFonts w:ascii="方正小标宋简体" w:eastAsia="方正小标宋简体"/>
          <w:color w:val="auto"/>
          <w:sz w:val="44"/>
          <w:szCs w:val="44"/>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156" w:beforeLines="50" w:after="156" w:afterLines="50" w:line="600" w:lineRule="exact"/>
        <w:rPr>
          <w:rFonts w:ascii="方正小标宋简体" w:eastAsia="方正小标宋简体"/>
          <w:color w:val="auto"/>
          <w:sz w:val="30"/>
          <w:szCs w:val="30"/>
          <w:highlight w:val="none"/>
        </w:rPr>
      </w:pPr>
    </w:p>
    <w:p>
      <w:pPr>
        <w:pStyle w:val="2"/>
        <w:rPr>
          <w:color w:val="auto"/>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71" w:name="_Toc88209952"/>
      <w:bookmarkStart w:id="172" w:name="_Toc87616389"/>
      <w:r>
        <w:rPr>
          <w:rFonts w:hint="eastAsia" w:ascii="仿宋_GB2312" w:eastAsia="仿宋_GB2312"/>
          <w:color w:val="auto"/>
          <w:sz w:val="28"/>
          <w:szCs w:val="28"/>
          <w:highlight w:val="none"/>
        </w:rPr>
        <w:t>1.响应函</w:t>
      </w:r>
      <w:bookmarkEnd w:id="171"/>
      <w:bookmarkEnd w:id="172"/>
    </w:p>
    <w:p>
      <w:pPr>
        <w:spacing w:line="600" w:lineRule="exact"/>
        <w:rPr>
          <w:rFonts w:ascii="仿宋_GB2312" w:eastAsia="仿宋_GB2312"/>
          <w:color w:val="auto"/>
          <w:sz w:val="28"/>
          <w:szCs w:val="28"/>
          <w:highlight w:val="none"/>
        </w:rPr>
      </w:pPr>
      <w:bookmarkStart w:id="173" w:name="_Toc88209953"/>
      <w:bookmarkStart w:id="174" w:name="_Toc87616390"/>
      <w:r>
        <w:rPr>
          <w:rFonts w:hint="eastAsia" w:ascii="仿宋_GB2312" w:eastAsia="仿宋_GB2312"/>
          <w:color w:val="auto"/>
          <w:sz w:val="28"/>
          <w:szCs w:val="28"/>
          <w:highlight w:val="none"/>
        </w:rPr>
        <w:t>2.法定代表人证明或授权委托书</w:t>
      </w:r>
      <w:bookmarkEnd w:id="173"/>
      <w:bookmarkEnd w:id="174"/>
      <w:bookmarkStart w:id="175" w:name="_Toc87616393"/>
      <w:bookmarkStart w:id="176"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3.资格审查资料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4.拟投入本项目的项目负责人情况表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5.报价表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6.其他资料</w:t>
      </w:r>
      <w:bookmarkEnd w:id="175"/>
      <w:bookmarkEnd w:id="176"/>
      <w:r>
        <w:rPr>
          <w:rFonts w:hint="eastAsia" w:ascii="仿宋_GB2312" w:eastAsia="仿宋_GB2312"/>
          <w:color w:val="auto"/>
          <w:sz w:val="28"/>
          <w:szCs w:val="28"/>
          <w:highlight w:val="none"/>
        </w:rPr>
        <w:cr/>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156" w:beforeLines="50" w:after="156" w:afterLines="50" w:line="600" w:lineRule="exact"/>
        <w:rPr>
          <w:rFonts w:ascii="方正小标宋简体" w:eastAsia="方正小标宋简体"/>
          <w:color w:val="auto"/>
          <w:sz w:val="44"/>
          <w:szCs w:val="44"/>
          <w:highlight w:val="none"/>
        </w:rPr>
      </w:pPr>
    </w:p>
    <w:p>
      <w:pPr>
        <w:adjustRightInd w:val="0"/>
        <w:snapToGrid w:val="0"/>
        <w:spacing w:before="156" w:beforeLines="50" w:after="156" w:afterLines="50" w:line="600" w:lineRule="exact"/>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bookmarkStart w:id="177" w:name="_Toc87616394"/>
      <w:bookmarkStart w:id="178" w:name="_Toc88209957"/>
      <w:bookmarkStart w:id="179" w:name="_Toc6313"/>
      <w:bookmarkStart w:id="180" w:name="_Toc28619645"/>
      <w:bookmarkStart w:id="181" w:name="_Toc12665"/>
      <w:r>
        <w:rPr>
          <w:rFonts w:hint="eastAsia" w:asciiTheme="minorEastAsia" w:hAnsiTheme="minorEastAsia" w:eastAsiaTheme="minorEastAsia"/>
          <w:color w:val="auto"/>
          <w:sz w:val="28"/>
          <w:szCs w:val="28"/>
          <w:highlight w:val="none"/>
        </w:rPr>
        <w:t>1.响应函</w:t>
      </w:r>
      <w:bookmarkEnd w:id="177"/>
      <w:bookmarkEnd w:id="178"/>
      <w:bookmarkEnd w:id="179"/>
      <w:bookmarkEnd w:id="180"/>
      <w:bookmarkEnd w:id="181"/>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（1）响应函</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（2）法定代表人证明或授权委托书</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（3）资格审查资料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（4）拟投入本项目的项目负责人情况表</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（5）报价表</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（6）其他资料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.我方在此声明，所递交的响应文件及有关资料内容完整、真实和准确，且不存在采购公告（采购邀请书）中供应商不得存在的情形。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asciiTheme="minorEastAsia" w:hAnsiTheme="minorEastAsia"/>
          <w:color w:val="auto"/>
          <w:sz w:val="28"/>
          <w:szCs w:val="28"/>
          <w:highlight w:val="none"/>
        </w:rPr>
      </w:pPr>
      <w:bookmarkStart w:id="182" w:name="_Toc22527"/>
      <w:bookmarkStart w:id="183" w:name="_Toc29833"/>
      <w:bookmarkStart w:id="184" w:name="_Toc88209958"/>
      <w:bookmarkStart w:id="185" w:name="_Toc87616395"/>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82"/>
      <w:bookmarkEnd w:id="183"/>
      <w:bookmarkEnd w:id="184"/>
      <w:bookmarkEnd w:id="185"/>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9"/>
        <w:snapToGrid w:val="0"/>
        <w:spacing w:after="0" w:line="600" w:lineRule="exact"/>
        <w:jc w:val="both"/>
        <w:rPr>
          <w:rFonts w:ascii="仿宋_GB2312" w:hAnsi="宋体" w:eastAsia="仿宋_GB2312" w:cs="Times New Roman"/>
          <w:sz w:val="30"/>
          <w:szCs w:val="30"/>
          <w:highlight w:val="none"/>
          <w:u w:val="single"/>
        </w:rPr>
      </w:pPr>
      <w:r>
        <w:rPr>
          <w:rFonts w:hint="eastAsia" w:ascii="仿宋_GB2312" w:hAnsi="宋体" w:eastAsia="仿宋_GB2312" w:cs="Times New Roman"/>
          <w:sz w:val="32"/>
          <w:szCs w:val="32"/>
          <w:highlight w:val="none"/>
        </w:rPr>
        <w:t xml:space="preserve">     </w:t>
      </w:r>
      <w:r>
        <w:rPr>
          <w:rFonts w:hint="eastAsia" w:ascii="仿宋_GB2312" w:hAnsi="宋体" w:eastAsia="仿宋_GB2312" w:cs="Times New Roman"/>
          <w:sz w:val="30"/>
          <w:szCs w:val="30"/>
          <w:highlight w:val="none"/>
        </w:rPr>
        <w:t>供应商名称：</w:t>
      </w:r>
      <w:r>
        <w:rPr>
          <w:rFonts w:hint="eastAsia" w:ascii="仿宋_GB2312" w:hAnsi="宋体" w:eastAsia="仿宋_GB2312" w:cs="Times New Roman"/>
          <w:sz w:val="30"/>
          <w:szCs w:val="30"/>
          <w:highlight w:val="none"/>
          <w:u w:val="single"/>
        </w:rPr>
        <w:t xml:space="preserve">                          </w:t>
      </w:r>
    </w:p>
    <w:p>
      <w:pPr>
        <w:pStyle w:val="12"/>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8"/>
        <w:snapToGrid w:val="0"/>
        <w:spacing w:after="0" w:line="600" w:lineRule="exact"/>
        <w:ind w:firstLine="750" w:firstLineChars="250"/>
        <w:rPr>
          <w:rFonts w:ascii="仿宋_GB2312" w:hAnsi="宋体" w:eastAsia="仿宋_GB2312" w:cs="Times New Roman"/>
          <w:sz w:val="30"/>
          <w:szCs w:val="30"/>
          <w:highlight w:val="none"/>
          <w:u w:val="single"/>
        </w:rPr>
      </w:pPr>
      <w:r>
        <w:rPr>
          <w:rFonts w:hint="eastAsia" w:ascii="仿宋_GB2312" w:hAnsi="宋体" w:eastAsia="仿宋_GB2312" w:cs="Times New Roman"/>
          <w:sz w:val="30"/>
          <w:szCs w:val="30"/>
          <w:highlight w:val="none"/>
        </w:rPr>
        <w:t>地    址：</w:t>
      </w:r>
      <w:r>
        <w:rPr>
          <w:rFonts w:hint="eastAsia" w:ascii="仿宋_GB2312" w:hAnsi="宋体" w:eastAsia="仿宋_GB2312" w:cs="Times New Roman"/>
          <w:sz w:val="30"/>
          <w:szCs w:val="30"/>
          <w:highlight w:val="none"/>
          <w:u w:val="singl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2"/>
        <w:snapToGrid w:val="0"/>
        <w:spacing w:line="600" w:lineRule="exact"/>
        <w:ind w:firstLine="3907" w:firstLineChars="1221"/>
        <w:rPr>
          <w:rFonts w:ascii="仿宋_GB2312" w:hAnsi="宋体" w:eastAsia="仿宋_GB2312" w:cs="Times New Roman"/>
          <w:color w:val="auto"/>
          <w:sz w:val="32"/>
          <w:szCs w:val="32"/>
          <w:highlight w:val="none"/>
        </w:rPr>
      </w:pPr>
    </w:p>
    <w:p>
      <w:pPr>
        <w:pStyle w:val="12"/>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附：1.委托代理人身份证(正反两面)复印件</w:t>
      </w:r>
    </w:p>
    <w:p>
      <w:pPr>
        <w:pStyle w:val="37"/>
        <w:ind w:firstLine="1200" w:firstLineChars="4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2.提供授权委托人在本单位近三个月社保记录（以加盖社会保险基金管理中心印章的《缴费历史明细表》或《社会保险参保人员证明》为准），否则为无效代理人，询价响应文件无效。</w:t>
      </w:r>
    </w:p>
    <w:p>
      <w:pPr>
        <w:pStyle w:val="12"/>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color w:val="auto"/>
                <w:sz w:val="24"/>
                <w:szCs w:val="24"/>
                <w:highlight w:val="none"/>
              </w:rPr>
            </w:pPr>
          </w:p>
          <w:p>
            <w:pPr>
              <w:spacing w:line="360" w:lineRule="auto"/>
              <w:jc w:val="center"/>
              <w:rPr>
                <w:rFonts w:ascii="宋体" w:hAnsi="宋体" w:eastAsia="宋体" w:cs="Times New Roman"/>
                <w:color w:val="auto"/>
                <w:sz w:val="24"/>
                <w:szCs w:val="24"/>
                <w:highlight w:val="none"/>
              </w:rPr>
            </w:pPr>
          </w:p>
          <w:p>
            <w:pPr>
              <w:spacing w:line="360" w:lineRule="auto"/>
              <w:jc w:val="center"/>
              <w:rPr>
                <w:rFonts w:ascii="宋体" w:hAnsi="宋体"/>
                <w:color w:val="auto"/>
                <w:sz w:val="24"/>
                <w:szCs w:val="24"/>
                <w:highlight w:val="none"/>
              </w:rPr>
            </w:pPr>
            <w:r>
              <w:rPr>
                <w:rFonts w:hint="eastAsia" w:ascii="宋体" w:hAnsi="宋体" w:cs="Times New Roman"/>
                <w:color w:val="auto"/>
                <w:sz w:val="24"/>
                <w:szCs w:val="24"/>
                <w:highlight w:val="none"/>
              </w:rPr>
              <w:t>授权代理人在本单位近三个月社保记录，（以加盖社会保险基金管理中心印章的《缴费历史明细表》或《社会保险参保人员证明》为准，加</w:t>
            </w:r>
            <w:r>
              <w:rPr>
                <w:rFonts w:hint="eastAsia" w:ascii="宋体" w:hAnsi="宋体"/>
                <w:color w:val="auto"/>
                <w:sz w:val="24"/>
                <w:szCs w:val="24"/>
                <w:highlight w:val="none"/>
              </w:rPr>
              <w:t>盖单位公章</w:t>
            </w:r>
          </w:p>
          <w:p>
            <w:pPr>
              <w:spacing w:line="360" w:lineRule="auto"/>
              <w:jc w:val="center"/>
              <w:rPr>
                <w:rFonts w:ascii="宋体" w:hAnsi="宋体"/>
                <w:color w:val="auto"/>
                <w:sz w:val="24"/>
                <w:szCs w:val="24"/>
                <w:highlight w:val="none"/>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86" w:name="_Toc88209963"/>
      <w:bookmarkStart w:id="187" w:name="_Toc87616400"/>
      <w:bookmarkStart w:id="188" w:name="_Toc19830"/>
      <w:bookmarkStart w:id="189" w:name="_Toc8086"/>
      <w:r>
        <w:rPr>
          <w:rFonts w:hint="eastAsia" w:ascii="仿宋_GB2312" w:eastAsia="仿宋_GB2312" w:hAnsiTheme="minorEastAsia"/>
          <w:color w:val="auto"/>
          <w:sz w:val="28"/>
          <w:szCs w:val="28"/>
          <w:highlight w:val="none"/>
        </w:rPr>
        <w:t>3</w:t>
      </w:r>
      <w:r>
        <w:rPr>
          <w:rFonts w:hint="eastAsia" w:asciiTheme="minorEastAsia" w:hAnsiTheme="minorEastAsia" w:eastAsiaTheme="minorEastAsia"/>
          <w:color w:val="auto"/>
          <w:sz w:val="28"/>
          <w:szCs w:val="28"/>
          <w:highlight w:val="none"/>
        </w:rPr>
        <w:t>.资格审查资料</w:t>
      </w:r>
      <w:bookmarkEnd w:id="186"/>
      <w:bookmarkEnd w:id="187"/>
      <w:bookmarkEnd w:id="188"/>
      <w:bookmarkEnd w:id="189"/>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cs="Times New Roman" w:asciiTheme="minorEastAsia" w:hAnsiTheme="minorEastAsia"/>
          <w:b/>
          <w:bCs/>
          <w:color w:val="auto"/>
          <w:sz w:val="28"/>
          <w:szCs w:val="28"/>
          <w:highlight w:val="none"/>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rPr>
        <w:t>。</w:t>
      </w:r>
      <w:r>
        <w:rPr>
          <w:rFonts w:hint="eastAsia" w:cs="Times New Roman" w:asciiTheme="minorEastAsia" w:hAnsiTheme="minorEastAsia"/>
          <w:b/>
          <w:bCs/>
          <w:color w:val="auto"/>
          <w:sz w:val="28"/>
          <w:szCs w:val="28"/>
          <w:highlight w:val="none"/>
        </w:rPr>
        <w:t>（相关证明文件附后）</w:t>
      </w:r>
    </w:p>
    <w:p>
      <w:pPr>
        <w:adjustRightInd w:val="0"/>
        <w:snapToGrid w:val="0"/>
        <w:spacing w:line="360" w:lineRule="auto"/>
        <w:jc w:val="left"/>
        <w:rPr>
          <w:rFonts w:cs="Times New Roman" w:asciiTheme="minorEastAsia" w:hAnsiTheme="minorEastAsia"/>
          <w:b/>
          <w:bCs/>
          <w:color w:val="auto"/>
          <w:sz w:val="28"/>
          <w:szCs w:val="28"/>
          <w:highlight w:val="none"/>
        </w:rPr>
      </w:pPr>
      <w:bookmarkStart w:id="190" w:name="_Hlk59025866"/>
    </w:p>
    <w:p>
      <w:pPr>
        <w:adjustRightInd w:val="0"/>
        <w:snapToGrid w:val="0"/>
        <w:spacing w:line="360" w:lineRule="auto"/>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3.2不得存在情形承诺函</w:t>
      </w:r>
    </w:p>
    <w:bookmarkEnd w:id="190"/>
    <w:p>
      <w:pPr>
        <w:adjustRightInd w:val="0"/>
        <w:snapToGrid w:val="0"/>
        <w:spacing w:line="360" w:lineRule="auto"/>
        <w:rPr>
          <w:rFonts w:ascii="宋体" w:hAnsi="宋体" w:eastAsia="宋体" w:cs="宋体"/>
          <w:color w:val="auto"/>
          <w:sz w:val="24"/>
          <w:szCs w:val="24"/>
          <w:highlight w:val="none"/>
          <w:lang w:val="en-GB"/>
        </w:rPr>
      </w:pPr>
    </w:p>
    <w:p>
      <w:pPr>
        <w:adjustRightInd w:val="0"/>
        <w:snapToGrid w:val="0"/>
        <w:spacing w:line="360" w:lineRule="auto"/>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rPr>
          <w:rFonts w:ascii="仿宋_GB2312" w:eastAsia="仿宋_GB2312"/>
          <w:color w:val="auto"/>
          <w:sz w:val="28"/>
          <w:szCs w:val="28"/>
          <w:highlight w:val="none"/>
        </w:rPr>
      </w:pPr>
      <w:r>
        <w:rPr>
          <w:rFonts w:hint="eastAsia" w:ascii="宋体" w:hAnsi="宋体" w:eastAsia="宋体" w:cs="宋体"/>
          <w:color w:val="auto"/>
          <w:sz w:val="24"/>
          <w:szCs w:val="24"/>
          <w:highlight w:val="none"/>
          <w:lang w:val="en-GB"/>
        </w:rPr>
        <w:t>我方郑重承诺，在参与</w:t>
      </w:r>
      <w:r>
        <w:rPr>
          <w:rFonts w:hint="eastAsia" w:ascii="宋体" w:hAnsi="宋体" w:cs="宋体"/>
          <w:color w:val="auto"/>
          <w:sz w:val="24"/>
          <w:szCs w:val="24"/>
          <w:highlight w:val="none"/>
          <w:lang w:val="en-GB"/>
        </w:rPr>
        <w:t>广州市净水有限公司2022年实验室化验仪器及辅助设备采购项目</w:t>
      </w:r>
      <w:r>
        <w:rPr>
          <w:rFonts w:hint="eastAsia" w:ascii="宋体" w:hAnsi="宋体" w:eastAsia="宋体" w:cs="宋体"/>
          <w:color w:val="auto"/>
          <w:sz w:val="24"/>
          <w:szCs w:val="24"/>
          <w:highlight w:val="none"/>
          <w:u w:val="single"/>
          <w:lang w:val="en-GB"/>
        </w:rPr>
        <w:t>（项目编号： ******）</w:t>
      </w:r>
      <w:r>
        <w:rPr>
          <w:rFonts w:hint="eastAsia" w:ascii="宋体" w:hAnsi="宋体" w:eastAsia="宋体" w:cs="宋体"/>
          <w:color w:val="auto"/>
          <w:sz w:val="24"/>
          <w:szCs w:val="24"/>
          <w:highlight w:val="none"/>
          <w:lang w:val="en-GB"/>
        </w:rPr>
        <w:t>采购期间，未被</w:t>
      </w:r>
      <w:r>
        <w:rPr>
          <w:rFonts w:hint="eastAsia" w:ascii="仿宋_GB2312" w:eastAsia="仿宋_GB2312"/>
          <w:color w:val="auto"/>
          <w:sz w:val="28"/>
          <w:szCs w:val="28"/>
          <w:highlight w:val="none"/>
        </w:rPr>
        <w:t>列入下列情形之一：</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（1）与本项目其他供应商的单位负责人为同一人。</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（2）与本项目其他供应商存在控股关系。</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（3）与本项目其他供应商存在管理关系。</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（9）被“信用广州”网站纳入失信被执行人名单（失信黑名单）。</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p>
    <w:p>
      <w:pPr>
        <w:adjustRightInd w:val="0"/>
        <w:snapToGrid w:val="0"/>
        <w:spacing w:line="360" w:lineRule="auto"/>
        <w:jc w:val="right"/>
        <w:rPr>
          <w:rFonts w:ascii="宋体" w:hAnsi="宋体" w:eastAsia="宋体" w:cs="宋体"/>
          <w:color w:val="auto"/>
          <w:sz w:val="24"/>
          <w:szCs w:val="24"/>
          <w:highlight w:val="none"/>
          <w:lang w:val="en-GB"/>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年  月  日</w:t>
      </w:r>
    </w:p>
    <w:p>
      <w:pPr>
        <w:pStyle w:val="2"/>
        <w:ind w:firstLine="0"/>
        <w:rPr>
          <w:color w:val="auto"/>
          <w:highlight w:val="none"/>
        </w:rPr>
      </w:pPr>
    </w:p>
    <w:p>
      <w:pPr>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4.拟投入本项目的项目负责人情况表</w:t>
      </w:r>
    </w:p>
    <w:p>
      <w:pPr>
        <w:pStyle w:val="2"/>
        <w:rPr>
          <w:rFonts w:ascii="仿宋_GB2312" w:eastAsia="仿宋_GB2312" w:hAnsiTheme="minorEastAsia"/>
          <w:color w:val="auto"/>
          <w:sz w:val="28"/>
          <w:szCs w:val="28"/>
          <w:highlight w:val="none"/>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tcPr>
          <w:p>
            <w:pPr>
              <w:jc w:val="center"/>
              <w:rPr>
                <w:rFonts w:ascii="仿宋" w:hAnsi="仿宋" w:eastAsia="仿宋" w:cs="仿宋_GB2312"/>
                <w:b/>
                <w:color w:val="auto"/>
                <w:sz w:val="28"/>
                <w:szCs w:val="28"/>
                <w:highlight w:val="none"/>
              </w:rPr>
            </w:pPr>
          </w:p>
        </w:tc>
        <w:tc>
          <w:tcPr>
            <w:tcW w:w="161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tcPr>
          <w:p>
            <w:pPr>
              <w:jc w:val="center"/>
              <w:rPr>
                <w:rFonts w:ascii="仿宋" w:hAnsi="仿宋" w:eastAsia="仿宋" w:cs="仿宋_GB2312"/>
                <w:b/>
                <w:color w:val="auto"/>
                <w:sz w:val="28"/>
                <w:szCs w:val="28"/>
                <w:highlight w:val="none"/>
              </w:rPr>
            </w:pPr>
          </w:p>
        </w:tc>
        <w:tc>
          <w:tcPr>
            <w:tcW w:w="2198"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tcPr>
          <w:p>
            <w:pPr>
              <w:spacing w:line="360" w:lineRule="exact"/>
              <w:jc w:val="center"/>
              <w:rPr>
                <w:rFonts w:ascii="仿宋" w:hAnsi="仿宋" w:eastAsia="仿宋" w:cs="仿宋_GB2312"/>
                <w:b/>
                <w:color w:val="auto"/>
                <w:sz w:val="28"/>
                <w:szCs w:val="28"/>
                <w:highlight w:val="none"/>
              </w:rPr>
            </w:pPr>
          </w:p>
        </w:tc>
        <w:tc>
          <w:tcPr>
            <w:tcW w:w="1613"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tcPr>
          <w:p>
            <w:pPr>
              <w:spacing w:line="360" w:lineRule="exact"/>
              <w:jc w:val="center"/>
              <w:rPr>
                <w:rFonts w:ascii="仿宋" w:hAnsi="仿宋" w:eastAsia="仿宋" w:cs="仿宋_GB2312"/>
                <w:b/>
                <w:color w:val="auto"/>
                <w:sz w:val="28"/>
                <w:szCs w:val="28"/>
                <w:highlight w:val="none"/>
              </w:rPr>
            </w:pPr>
          </w:p>
        </w:tc>
        <w:tc>
          <w:tcPr>
            <w:tcW w:w="1613"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tcPr>
          <w:p>
            <w:pPr>
              <w:jc w:val="center"/>
              <w:rPr>
                <w:rFonts w:ascii="仿宋" w:hAnsi="仿宋" w:eastAsia="仿宋" w:cs="仿宋_GB2312"/>
                <w:b/>
                <w:color w:val="auto"/>
                <w:sz w:val="28"/>
                <w:szCs w:val="28"/>
                <w:highlight w:val="none"/>
              </w:rPr>
            </w:pPr>
          </w:p>
        </w:tc>
        <w:tc>
          <w:tcPr>
            <w:tcW w:w="2198"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bl>
    <w:p>
      <w:pPr>
        <w:pStyle w:val="2"/>
        <w:rPr>
          <w:rFonts w:ascii="仿宋_GB2312" w:eastAsia="仿宋_GB2312" w:hAnsiTheme="minorEastAsia"/>
          <w:color w:val="auto"/>
          <w:sz w:val="28"/>
          <w:szCs w:val="28"/>
          <w:highlight w:val="none"/>
        </w:rPr>
      </w:pPr>
    </w:p>
    <w:p>
      <w:pPr>
        <w:adjustRightInd w:val="0"/>
        <w:snapToGrid w:val="0"/>
        <w:spacing w:line="360" w:lineRule="auto"/>
        <w:jc w:val="both"/>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pStyle w:val="2"/>
        <w:ind w:left="0" w:leftChars="0" w:firstLine="0" w:firstLineChars="0"/>
        <w:rPr>
          <w:rFonts w:ascii="仿宋_GB2312" w:eastAsia="仿宋_GB2312" w:hAnsiTheme="minorEastAsia"/>
          <w:color w:val="auto"/>
          <w:sz w:val="28"/>
          <w:szCs w:val="28"/>
          <w:highlight w:val="none"/>
        </w:rPr>
      </w:pPr>
      <w:r>
        <w:rPr>
          <w:rFonts w:hint="eastAsia" w:ascii="宋体" w:hAnsi="宋体" w:eastAsia="宋体" w:cs="宋体"/>
          <w:color w:val="auto"/>
          <w:sz w:val="24"/>
          <w:szCs w:val="24"/>
          <w:highlight w:val="none"/>
          <w:lang w:val="en-GB"/>
        </w:rPr>
        <w:t>年  月  日</w:t>
      </w:r>
    </w:p>
    <w:p>
      <w:pPr>
        <w:pStyle w:val="2"/>
        <w:ind w:left="0" w:leftChars="0" w:firstLine="0" w:firstLineChars="0"/>
        <w:rPr>
          <w:rFonts w:ascii="仿宋_GB2312" w:eastAsia="仿宋_GB2312" w:hAnsiTheme="minorEastAsia"/>
          <w:color w:val="auto"/>
          <w:sz w:val="28"/>
          <w:szCs w:val="28"/>
          <w:highlight w:val="none"/>
        </w:rPr>
      </w:pPr>
    </w:p>
    <w:p>
      <w:pPr>
        <w:pStyle w:val="2"/>
        <w:ind w:left="0" w:leftChars="0" w:firstLine="0" w:firstLineChars="0"/>
        <w:rPr>
          <w:rFonts w:ascii="仿宋_GB2312" w:eastAsia="仿宋_GB2312" w:hAnsiTheme="minorEastAsia"/>
          <w:color w:val="auto"/>
          <w:sz w:val="28"/>
          <w:szCs w:val="28"/>
          <w:highlight w:val="none"/>
        </w:rPr>
      </w:pPr>
    </w:p>
    <w:p>
      <w:pPr>
        <w:pStyle w:val="2"/>
        <w:ind w:left="0" w:leftChars="0" w:firstLine="0" w:firstLineChars="0"/>
        <w:rPr>
          <w:rFonts w:ascii="仿宋_GB2312" w:eastAsia="仿宋_GB2312" w:hAnsiTheme="minorEastAsia"/>
          <w:color w:val="auto"/>
          <w:sz w:val="28"/>
          <w:szCs w:val="28"/>
          <w:highlight w:val="none"/>
        </w:rPr>
      </w:pPr>
    </w:p>
    <w:p>
      <w:pPr>
        <w:pStyle w:val="6"/>
        <w:rPr>
          <w:rFonts w:asciiTheme="minorEastAsia" w:hAnsiTheme="minorEastAsia" w:eastAsiaTheme="minorEastAsia"/>
          <w:color w:val="auto"/>
          <w:sz w:val="28"/>
          <w:szCs w:val="28"/>
          <w:highlight w:val="none"/>
        </w:rPr>
      </w:pPr>
      <w:bookmarkStart w:id="191" w:name="_Toc32430"/>
      <w:bookmarkStart w:id="192" w:name="_Toc19423"/>
      <w:r>
        <w:rPr>
          <w:rFonts w:hint="eastAsia" w:ascii="仿宋_GB2312" w:eastAsia="仿宋_GB2312" w:hAnsiTheme="minorEastAsia"/>
          <w:color w:val="auto"/>
          <w:sz w:val="28"/>
          <w:szCs w:val="28"/>
          <w:highlight w:val="none"/>
        </w:rPr>
        <w:t>5</w:t>
      </w:r>
      <w:r>
        <w:rPr>
          <w:rFonts w:hint="eastAsia" w:asciiTheme="minorEastAsia" w:hAnsiTheme="minorEastAsia" w:eastAsiaTheme="minorEastAsia"/>
          <w:color w:val="auto"/>
          <w:sz w:val="28"/>
          <w:szCs w:val="28"/>
          <w:highlight w:val="none"/>
        </w:rPr>
        <w:t>.报价表</w:t>
      </w:r>
      <w:bookmarkEnd w:id="191"/>
      <w:bookmarkEnd w:id="192"/>
    </w:p>
    <w:tbl>
      <w:tblPr>
        <w:tblStyle w:val="23"/>
        <w:tblpPr w:leftFromText="180" w:rightFromText="180" w:vertAnchor="text" w:horzAnchor="page" w:tblpXSpec="center" w:tblpY="481"/>
        <w:tblOverlap w:val="never"/>
        <w:tblW w:w="9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1555"/>
        <w:gridCol w:w="1200"/>
        <w:gridCol w:w="723"/>
        <w:gridCol w:w="736"/>
        <w:gridCol w:w="887"/>
        <w:gridCol w:w="1077"/>
        <w:gridCol w:w="914"/>
        <w:gridCol w:w="1132"/>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blHeader/>
          <w:jc w:val="center"/>
        </w:trPr>
        <w:tc>
          <w:tcPr>
            <w:tcW w:w="669" w:type="dxa"/>
            <w:vMerge w:val="restart"/>
            <w:vAlign w:val="center"/>
          </w:tcPr>
          <w:p>
            <w:pPr>
              <w:widowControl/>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序号</w:t>
            </w:r>
          </w:p>
        </w:tc>
        <w:tc>
          <w:tcPr>
            <w:tcW w:w="1555" w:type="dxa"/>
            <w:vMerge w:val="restart"/>
            <w:vAlign w:val="center"/>
          </w:tcPr>
          <w:p>
            <w:pPr>
              <w:widowControl/>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名称</w:t>
            </w:r>
          </w:p>
        </w:tc>
        <w:tc>
          <w:tcPr>
            <w:tcW w:w="1200" w:type="dxa"/>
            <w:vMerge w:val="restart"/>
            <w:vAlign w:val="center"/>
          </w:tcPr>
          <w:p>
            <w:pPr>
              <w:widowControl/>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品牌型号</w:t>
            </w:r>
          </w:p>
        </w:tc>
        <w:tc>
          <w:tcPr>
            <w:tcW w:w="723" w:type="dxa"/>
            <w:vMerge w:val="restart"/>
            <w:vAlign w:val="center"/>
          </w:tcPr>
          <w:p>
            <w:pPr>
              <w:widowControl/>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单位</w:t>
            </w:r>
          </w:p>
        </w:tc>
        <w:tc>
          <w:tcPr>
            <w:tcW w:w="736" w:type="dxa"/>
            <w:vMerge w:val="restart"/>
            <w:vAlign w:val="center"/>
          </w:tcPr>
          <w:p>
            <w:pPr>
              <w:widowControl/>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数量</w:t>
            </w:r>
          </w:p>
        </w:tc>
        <w:tc>
          <w:tcPr>
            <w:tcW w:w="1964" w:type="dxa"/>
            <w:gridSpan w:val="2"/>
            <w:vAlign w:val="center"/>
          </w:tcPr>
          <w:p>
            <w:pPr>
              <w:widowControl/>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单价（元）</w:t>
            </w:r>
          </w:p>
        </w:tc>
        <w:tc>
          <w:tcPr>
            <w:tcW w:w="2046" w:type="dxa"/>
            <w:gridSpan w:val="2"/>
            <w:vAlign w:val="center"/>
          </w:tcPr>
          <w:p>
            <w:pPr>
              <w:pStyle w:val="28"/>
              <w:jc w:val="center"/>
              <w:rPr>
                <w:color w:val="auto"/>
                <w:highlight w:val="none"/>
              </w:rPr>
            </w:pPr>
            <w:r>
              <w:rPr>
                <w:rFonts w:hint="eastAsia" w:hAnsi="宋体"/>
                <w:b/>
                <w:bCs/>
                <w:color w:val="auto"/>
                <w:highlight w:val="none"/>
              </w:rPr>
              <w:t>金额（元）</w:t>
            </w:r>
          </w:p>
        </w:tc>
        <w:tc>
          <w:tcPr>
            <w:tcW w:w="1104" w:type="dxa"/>
            <w:vMerge w:val="restart"/>
            <w:vAlign w:val="center"/>
          </w:tcPr>
          <w:p>
            <w:pPr>
              <w:pStyle w:val="28"/>
              <w:jc w:val="center"/>
              <w:rPr>
                <w:color w:val="auto"/>
                <w:highlight w:val="none"/>
              </w:rPr>
            </w:pPr>
            <w:r>
              <w:rPr>
                <w:rFonts w:hint="eastAsia" w:hAnsi="宋体" w:eastAsiaTheme="minorEastAsia"/>
                <w:b/>
                <w:bCs/>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blHeader/>
          <w:jc w:val="center"/>
        </w:trPr>
        <w:tc>
          <w:tcPr>
            <w:tcW w:w="669" w:type="dxa"/>
            <w:vMerge w:val="continue"/>
            <w:vAlign w:val="center"/>
          </w:tcPr>
          <w:p>
            <w:pPr>
              <w:pStyle w:val="28"/>
              <w:jc w:val="center"/>
              <w:rPr>
                <w:color w:val="auto"/>
                <w:highlight w:val="none"/>
              </w:rPr>
            </w:pPr>
          </w:p>
        </w:tc>
        <w:tc>
          <w:tcPr>
            <w:tcW w:w="1555" w:type="dxa"/>
            <w:vMerge w:val="continue"/>
            <w:vAlign w:val="center"/>
          </w:tcPr>
          <w:p>
            <w:pPr>
              <w:pStyle w:val="28"/>
              <w:jc w:val="center"/>
              <w:rPr>
                <w:color w:val="auto"/>
                <w:highlight w:val="none"/>
              </w:rPr>
            </w:pPr>
          </w:p>
        </w:tc>
        <w:tc>
          <w:tcPr>
            <w:tcW w:w="1200" w:type="dxa"/>
            <w:vMerge w:val="continue"/>
            <w:vAlign w:val="center"/>
          </w:tcPr>
          <w:p>
            <w:pPr>
              <w:pStyle w:val="28"/>
              <w:jc w:val="center"/>
              <w:rPr>
                <w:color w:val="auto"/>
                <w:highlight w:val="none"/>
              </w:rPr>
            </w:pPr>
          </w:p>
        </w:tc>
        <w:tc>
          <w:tcPr>
            <w:tcW w:w="723" w:type="dxa"/>
            <w:vMerge w:val="continue"/>
            <w:vAlign w:val="center"/>
          </w:tcPr>
          <w:p>
            <w:pPr>
              <w:pStyle w:val="28"/>
              <w:jc w:val="center"/>
              <w:rPr>
                <w:color w:val="auto"/>
                <w:highlight w:val="none"/>
              </w:rPr>
            </w:pPr>
          </w:p>
        </w:tc>
        <w:tc>
          <w:tcPr>
            <w:tcW w:w="736" w:type="dxa"/>
            <w:vMerge w:val="continue"/>
            <w:vAlign w:val="center"/>
          </w:tcPr>
          <w:p>
            <w:pPr>
              <w:pStyle w:val="28"/>
              <w:jc w:val="center"/>
              <w:rPr>
                <w:color w:val="auto"/>
                <w:highlight w:val="none"/>
              </w:rPr>
            </w:pPr>
          </w:p>
        </w:tc>
        <w:tc>
          <w:tcPr>
            <w:tcW w:w="887" w:type="dxa"/>
            <w:vAlign w:val="center"/>
          </w:tcPr>
          <w:p>
            <w:pPr>
              <w:widowControl/>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含税</w:t>
            </w:r>
          </w:p>
        </w:tc>
        <w:tc>
          <w:tcPr>
            <w:tcW w:w="1077" w:type="dxa"/>
            <w:vAlign w:val="center"/>
          </w:tcPr>
          <w:p>
            <w:pPr>
              <w:widowControl/>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不含税</w:t>
            </w:r>
          </w:p>
        </w:tc>
        <w:tc>
          <w:tcPr>
            <w:tcW w:w="914" w:type="dxa"/>
            <w:vAlign w:val="center"/>
          </w:tcPr>
          <w:p>
            <w:pPr>
              <w:widowControl/>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含税</w:t>
            </w:r>
          </w:p>
        </w:tc>
        <w:tc>
          <w:tcPr>
            <w:tcW w:w="1132" w:type="dxa"/>
            <w:vAlign w:val="center"/>
          </w:tcPr>
          <w:p>
            <w:pPr>
              <w:widowControl/>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不含税</w:t>
            </w:r>
          </w:p>
        </w:tc>
        <w:tc>
          <w:tcPr>
            <w:tcW w:w="1104" w:type="dxa"/>
            <w:vMerge w:val="continue"/>
            <w:vAlign w:val="center"/>
          </w:tcPr>
          <w:p>
            <w:pPr>
              <w:pStyle w:val="28"/>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blHeader/>
          <w:jc w:val="center"/>
        </w:trPr>
        <w:tc>
          <w:tcPr>
            <w:tcW w:w="669" w:type="dxa"/>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555" w:type="dxa"/>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分光光度计</w:t>
            </w:r>
          </w:p>
        </w:tc>
        <w:tc>
          <w:tcPr>
            <w:tcW w:w="1200" w:type="dxa"/>
            <w:vAlign w:val="center"/>
          </w:tcPr>
          <w:p>
            <w:pPr>
              <w:widowControl/>
              <w:jc w:val="center"/>
              <w:rPr>
                <w:rFonts w:ascii="宋体" w:hAnsi="宋体" w:cs="宋体"/>
                <w:color w:val="auto"/>
                <w:kern w:val="0"/>
                <w:sz w:val="24"/>
                <w:szCs w:val="24"/>
                <w:highlight w:val="none"/>
              </w:rPr>
            </w:pPr>
          </w:p>
        </w:tc>
        <w:tc>
          <w:tcPr>
            <w:tcW w:w="723" w:type="dxa"/>
            <w:vAlign w:val="center"/>
          </w:tcPr>
          <w:p>
            <w:pPr>
              <w:widowControl/>
              <w:jc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c>
          <w:tcPr>
            <w:tcW w:w="736" w:type="dxa"/>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1</w:t>
            </w:r>
          </w:p>
        </w:tc>
        <w:tc>
          <w:tcPr>
            <w:tcW w:w="887" w:type="dxa"/>
            <w:vAlign w:val="center"/>
          </w:tcPr>
          <w:p>
            <w:pPr>
              <w:widowControl/>
              <w:jc w:val="center"/>
              <w:rPr>
                <w:rFonts w:ascii="宋体" w:hAnsi="宋体" w:cs="宋体"/>
                <w:color w:val="auto"/>
                <w:kern w:val="0"/>
                <w:sz w:val="24"/>
                <w:szCs w:val="24"/>
                <w:highlight w:val="none"/>
              </w:rPr>
            </w:pPr>
          </w:p>
        </w:tc>
        <w:tc>
          <w:tcPr>
            <w:tcW w:w="1077" w:type="dxa"/>
            <w:vAlign w:val="center"/>
          </w:tcPr>
          <w:p>
            <w:pPr>
              <w:widowControl/>
              <w:jc w:val="center"/>
              <w:rPr>
                <w:rFonts w:ascii="宋体" w:hAnsi="宋体" w:cs="宋体"/>
                <w:color w:val="auto"/>
                <w:kern w:val="0"/>
                <w:sz w:val="24"/>
                <w:szCs w:val="24"/>
                <w:highlight w:val="none"/>
              </w:rPr>
            </w:pPr>
          </w:p>
        </w:tc>
        <w:tc>
          <w:tcPr>
            <w:tcW w:w="914" w:type="dxa"/>
            <w:vAlign w:val="center"/>
          </w:tcPr>
          <w:p>
            <w:pPr>
              <w:pStyle w:val="28"/>
              <w:jc w:val="center"/>
              <w:rPr>
                <w:color w:val="auto"/>
                <w:highlight w:val="none"/>
              </w:rPr>
            </w:pPr>
          </w:p>
        </w:tc>
        <w:tc>
          <w:tcPr>
            <w:tcW w:w="1132" w:type="dxa"/>
            <w:vAlign w:val="center"/>
          </w:tcPr>
          <w:p>
            <w:pPr>
              <w:pStyle w:val="28"/>
              <w:jc w:val="center"/>
              <w:rPr>
                <w:color w:val="auto"/>
                <w:highlight w:val="none"/>
              </w:rPr>
            </w:pPr>
          </w:p>
        </w:tc>
        <w:tc>
          <w:tcPr>
            <w:tcW w:w="1104" w:type="dxa"/>
            <w:vAlign w:val="center"/>
          </w:tcPr>
          <w:p>
            <w:pPr>
              <w:pStyle w:val="28"/>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blHeader/>
          <w:jc w:val="center"/>
        </w:trPr>
        <w:tc>
          <w:tcPr>
            <w:tcW w:w="669" w:type="dxa"/>
            <w:vAlign w:val="center"/>
          </w:tcPr>
          <w:p>
            <w:pPr>
              <w:widowControl/>
              <w:jc w:val="center"/>
              <w:rPr>
                <w:rFonts w:hint="eastAsia" w:ascii="宋体" w:hAnsi="宋体" w:cs="宋体" w:eastAsiaTheme="minorEastAsia"/>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w:t>
            </w:r>
          </w:p>
        </w:tc>
        <w:tc>
          <w:tcPr>
            <w:tcW w:w="1555" w:type="dxa"/>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高压灭菌锅</w:t>
            </w:r>
          </w:p>
        </w:tc>
        <w:tc>
          <w:tcPr>
            <w:tcW w:w="1200" w:type="dxa"/>
            <w:vAlign w:val="center"/>
          </w:tcPr>
          <w:p>
            <w:pPr>
              <w:widowControl/>
              <w:jc w:val="center"/>
              <w:rPr>
                <w:rFonts w:ascii="宋体" w:hAnsi="宋体" w:cs="宋体"/>
                <w:color w:val="auto"/>
                <w:kern w:val="0"/>
                <w:sz w:val="24"/>
                <w:szCs w:val="24"/>
                <w:highlight w:val="none"/>
              </w:rPr>
            </w:pPr>
          </w:p>
        </w:tc>
        <w:tc>
          <w:tcPr>
            <w:tcW w:w="723" w:type="dxa"/>
            <w:vAlign w:val="center"/>
          </w:tcPr>
          <w:p>
            <w:pPr>
              <w:widowControl/>
              <w:jc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c>
          <w:tcPr>
            <w:tcW w:w="736" w:type="dxa"/>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2</w:t>
            </w:r>
          </w:p>
        </w:tc>
        <w:tc>
          <w:tcPr>
            <w:tcW w:w="887" w:type="dxa"/>
            <w:vAlign w:val="center"/>
          </w:tcPr>
          <w:p>
            <w:pPr>
              <w:widowControl/>
              <w:jc w:val="center"/>
              <w:rPr>
                <w:rFonts w:ascii="宋体" w:hAnsi="宋体" w:cs="宋体"/>
                <w:color w:val="auto"/>
                <w:kern w:val="0"/>
                <w:sz w:val="24"/>
                <w:szCs w:val="24"/>
                <w:highlight w:val="none"/>
              </w:rPr>
            </w:pPr>
          </w:p>
        </w:tc>
        <w:tc>
          <w:tcPr>
            <w:tcW w:w="1077" w:type="dxa"/>
            <w:vAlign w:val="center"/>
          </w:tcPr>
          <w:p>
            <w:pPr>
              <w:widowControl/>
              <w:jc w:val="center"/>
              <w:rPr>
                <w:rFonts w:ascii="宋体" w:hAnsi="宋体" w:cs="宋体"/>
                <w:color w:val="auto"/>
                <w:kern w:val="0"/>
                <w:sz w:val="24"/>
                <w:szCs w:val="24"/>
                <w:highlight w:val="none"/>
              </w:rPr>
            </w:pPr>
          </w:p>
        </w:tc>
        <w:tc>
          <w:tcPr>
            <w:tcW w:w="914" w:type="dxa"/>
            <w:vAlign w:val="center"/>
          </w:tcPr>
          <w:p>
            <w:pPr>
              <w:pStyle w:val="28"/>
              <w:jc w:val="center"/>
              <w:rPr>
                <w:color w:val="auto"/>
                <w:highlight w:val="none"/>
              </w:rPr>
            </w:pPr>
          </w:p>
        </w:tc>
        <w:tc>
          <w:tcPr>
            <w:tcW w:w="1132" w:type="dxa"/>
            <w:vAlign w:val="center"/>
          </w:tcPr>
          <w:p>
            <w:pPr>
              <w:pStyle w:val="28"/>
              <w:jc w:val="center"/>
              <w:rPr>
                <w:color w:val="auto"/>
                <w:highlight w:val="none"/>
              </w:rPr>
            </w:pPr>
          </w:p>
        </w:tc>
        <w:tc>
          <w:tcPr>
            <w:tcW w:w="1104" w:type="dxa"/>
            <w:vAlign w:val="center"/>
          </w:tcPr>
          <w:p>
            <w:pPr>
              <w:pStyle w:val="28"/>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blHeader/>
          <w:jc w:val="center"/>
        </w:trPr>
        <w:tc>
          <w:tcPr>
            <w:tcW w:w="6847" w:type="dxa"/>
            <w:gridSpan w:val="7"/>
            <w:vAlign w:val="center"/>
          </w:tcPr>
          <w:p>
            <w:pPr>
              <w:widowControl/>
              <w:jc w:val="center"/>
              <w:rPr>
                <w:rFonts w:ascii="宋体" w:hAnsi="宋体" w:cs="宋体"/>
                <w:color w:val="auto"/>
                <w:kern w:val="0"/>
                <w:sz w:val="24"/>
                <w:szCs w:val="24"/>
                <w:highlight w:val="none"/>
                <w:lang w:bidi="ar"/>
              </w:rPr>
            </w:pPr>
            <w:r>
              <w:rPr>
                <w:rFonts w:hint="eastAsia" w:ascii="宋体" w:hAnsi="宋体" w:cs="宋体"/>
                <w:b/>
                <w:bCs/>
                <w:color w:val="auto"/>
                <w:kern w:val="0"/>
                <w:sz w:val="24"/>
                <w:szCs w:val="24"/>
                <w:highlight w:val="none"/>
                <w:lang w:bidi="ar"/>
              </w:rPr>
              <w:t>猎德分公司合计</w:t>
            </w:r>
          </w:p>
        </w:tc>
        <w:tc>
          <w:tcPr>
            <w:tcW w:w="914" w:type="dxa"/>
            <w:vAlign w:val="center"/>
          </w:tcPr>
          <w:p>
            <w:pPr>
              <w:pStyle w:val="28"/>
              <w:jc w:val="center"/>
              <w:rPr>
                <w:color w:val="auto"/>
                <w:highlight w:val="none"/>
              </w:rPr>
            </w:pPr>
          </w:p>
        </w:tc>
        <w:tc>
          <w:tcPr>
            <w:tcW w:w="1132" w:type="dxa"/>
            <w:vAlign w:val="center"/>
          </w:tcPr>
          <w:p>
            <w:pPr>
              <w:pStyle w:val="28"/>
              <w:jc w:val="center"/>
              <w:rPr>
                <w:color w:val="auto"/>
                <w:highlight w:val="none"/>
              </w:rPr>
            </w:pPr>
          </w:p>
        </w:tc>
        <w:tc>
          <w:tcPr>
            <w:tcW w:w="1104" w:type="dxa"/>
            <w:vAlign w:val="center"/>
          </w:tcPr>
          <w:p>
            <w:pPr>
              <w:pStyle w:val="28"/>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blHeader/>
          <w:jc w:val="center"/>
        </w:trPr>
        <w:tc>
          <w:tcPr>
            <w:tcW w:w="669" w:type="dxa"/>
            <w:vAlign w:val="center"/>
          </w:tcPr>
          <w:p>
            <w:pPr>
              <w:widowControl/>
              <w:jc w:val="center"/>
              <w:rPr>
                <w:rFonts w:hint="eastAsia" w:ascii="宋体" w:hAnsi="宋体" w:cs="宋体" w:eastAsiaTheme="minorEastAsia"/>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w:t>
            </w:r>
          </w:p>
        </w:tc>
        <w:tc>
          <w:tcPr>
            <w:tcW w:w="1555" w:type="dxa"/>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全自动微生物过滤系统</w:t>
            </w:r>
          </w:p>
        </w:tc>
        <w:tc>
          <w:tcPr>
            <w:tcW w:w="1200" w:type="dxa"/>
            <w:vAlign w:val="center"/>
          </w:tcPr>
          <w:p>
            <w:pPr>
              <w:widowControl/>
              <w:jc w:val="center"/>
              <w:rPr>
                <w:rFonts w:ascii="宋体" w:hAnsi="宋体" w:cs="宋体"/>
                <w:color w:val="auto"/>
                <w:kern w:val="0"/>
                <w:sz w:val="24"/>
                <w:szCs w:val="24"/>
                <w:highlight w:val="none"/>
              </w:rPr>
            </w:pPr>
          </w:p>
        </w:tc>
        <w:tc>
          <w:tcPr>
            <w:tcW w:w="723" w:type="dxa"/>
            <w:vAlign w:val="center"/>
          </w:tcPr>
          <w:p>
            <w:pPr>
              <w:widowControl/>
              <w:jc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c>
          <w:tcPr>
            <w:tcW w:w="736" w:type="dxa"/>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1</w:t>
            </w:r>
          </w:p>
        </w:tc>
        <w:tc>
          <w:tcPr>
            <w:tcW w:w="887" w:type="dxa"/>
            <w:vAlign w:val="center"/>
          </w:tcPr>
          <w:p>
            <w:pPr>
              <w:widowControl/>
              <w:jc w:val="center"/>
              <w:rPr>
                <w:rFonts w:ascii="宋体" w:hAnsi="宋体" w:cs="宋体"/>
                <w:color w:val="auto"/>
                <w:kern w:val="0"/>
                <w:sz w:val="24"/>
                <w:szCs w:val="24"/>
                <w:highlight w:val="none"/>
              </w:rPr>
            </w:pPr>
          </w:p>
        </w:tc>
        <w:tc>
          <w:tcPr>
            <w:tcW w:w="1077" w:type="dxa"/>
            <w:vAlign w:val="center"/>
          </w:tcPr>
          <w:p>
            <w:pPr>
              <w:widowControl/>
              <w:jc w:val="center"/>
              <w:rPr>
                <w:rFonts w:ascii="宋体" w:hAnsi="宋体" w:cs="宋体"/>
                <w:color w:val="auto"/>
                <w:kern w:val="0"/>
                <w:sz w:val="24"/>
                <w:szCs w:val="24"/>
                <w:highlight w:val="none"/>
              </w:rPr>
            </w:pPr>
          </w:p>
        </w:tc>
        <w:tc>
          <w:tcPr>
            <w:tcW w:w="914" w:type="dxa"/>
            <w:vAlign w:val="center"/>
          </w:tcPr>
          <w:p>
            <w:pPr>
              <w:pStyle w:val="28"/>
              <w:jc w:val="center"/>
              <w:rPr>
                <w:color w:val="auto"/>
                <w:highlight w:val="none"/>
              </w:rPr>
            </w:pPr>
          </w:p>
        </w:tc>
        <w:tc>
          <w:tcPr>
            <w:tcW w:w="1132" w:type="dxa"/>
            <w:vAlign w:val="center"/>
          </w:tcPr>
          <w:p>
            <w:pPr>
              <w:pStyle w:val="28"/>
              <w:jc w:val="center"/>
              <w:rPr>
                <w:color w:val="auto"/>
                <w:highlight w:val="none"/>
              </w:rPr>
            </w:pPr>
          </w:p>
        </w:tc>
        <w:tc>
          <w:tcPr>
            <w:tcW w:w="1104" w:type="dxa"/>
            <w:vAlign w:val="center"/>
          </w:tcPr>
          <w:p>
            <w:pPr>
              <w:pStyle w:val="28"/>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blHeader/>
          <w:jc w:val="center"/>
        </w:trPr>
        <w:tc>
          <w:tcPr>
            <w:tcW w:w="6847" w:type="dxa"/>
            <w:gridSpan w:val="7"/>
            <w:vAlign w:val="center"/>
          </w:tcPr>
          <w:p>
            <w:pPr>
              <w:widowControl/>
              <w:jc w:val="center"/>
              <w:rPr>
                <w:rFonts w:ascii="宋体" w:hAnsi="宋体" w:cs="宋体"/>
                <w:color w:val="auto"/>
                <w:kern w:val="0"/>
                <w:sz w:val="24"/>
                <w:szCs w:val="24"/>
                <w:highlight w:val="none"/>
                <w:lang w:bidi="ar"/>
              </w:rPr>
            </w:pPr>
            <w:r>
              <w:rPr>
                <w:rFonts w:hint="eastAsia" w:ascii="宋体" w:hAnsi="宋体" w:cs="宋体"/>
                <w:b/>
                <w:bCs/>
                <w:color w:val="auto"/>
                <w:kern w:val="0"/>
                <w:sz w:val="24"/>
                <w:szCs w:val="24"/>
                <w:highlight w:val="none"/>
                <w:lang w:bidi="ar"/>
              </w:rPr>
              <w:t>龙归分公司合计</w:t>
            </w:r>
          </w:p>
        </w:tc>
        <w:tc>
          <w:tcPr>
            <w:tcW w:w="914" w:type="dxa"/>
            <w:vAlign w:val="center"/>
          </w:tcPr>
          <w:p>
            <w:pPr>
              <w:pStyle w:val="28"/>
              <w:jc w:val="center"/>
              <w:rPr>
                <w:color w:val="auto"/>
                <w:highlight w:val="none"/>
              </w:rPr>
            </w:pPr>
          </w:p>
        </w:tc>
        <w:tc>
          <w:tcPr>
            <w:tcW w:w="1132" w:type="dxa"/>
            <w:vAlign w:val="center"/>
          </w:tcPr>
          <w:p>
            <w:pPr>
              <w:pStyle w:val="28"/>
              <w:jc w:val="center"/>
              <w:rPr>
                <w:color w:val="auto"/>
                <w:highlight w:val="none"/>
              </w:rPr>
            </w:pPr>
          </w:p>
        </w:tc>
        <w:tc>
          <w:tcPr>
            <w:tcW w:w="1104" w:type="dxa"/>
            <w:vAlign w:val="center"/>
          </w:tcPr>
          <w:p>
            <w:pPr>
              <w:pStyle w:val="28"/>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blHeader/>
          <w:jc w:val="center"/>
        </w:trPr>
        <w:tc>
          <w:tcPr>
            <w:tcW w:w="669" w:type="dxa"/>
            <w:vAlign w:val="center"/>
          </w:tcPr>
          <w:p>
            <w:pPr>
              <w:widowControl/>
              <w:jc w:val="center"/>
              <w:rPr>
                <w:rFonts w:hint="eastAsia" w:ascii="宋体" w:hAnsi="宋体" w:cs="宋体" w:eastAsiaTheme="minorEastAsia"/>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w:t>
            </w:r>
          </w:p>
        </w:tc>
        <w:tc>
          <w:tcPr>
            <w:tcW w:w="1555" w:type="dxa"/>
            <w:vAlign w:val="center"/>
          </w:tcPr>
          <w:p>
            <w:pPr>
              <w:widowControl/>
              <w:jc w:val="center"/>
              <w:rPr>
                <w:rFonts w:ascii="宋体" w:hAnsi="宋体" w:cs="宋体"/>
                <w:color w:val="auto"/>
                <w:kern w:val="0"/>
                <w:sz w:val="24"/>
                <w:szCs w:val="24"/>
                <w:highlight w:val="none"/>
              </w:rPr>
            </w:pPr>
            <w:r>
              <w:rPr>
                <w:rFonts w:hint="eastAsia"/>
                <w:color w:val="auto"/>
                <w:sz w:val="24"/>
                <w:szCs w:val="24"/>
                <w:highlight w:val="none"/>
                <w:lang w:val="en-US" w:eastAsia="zh-CN"/>
              </w:rPr>
              <w:t>溶解氧测定仪</w:t>
            </w:r>
          </w:p>
        </w:tc>
        <w:tc>
          <w:tcPr>
            <w:tcW w:w="1200" w:type="dxa"/>
            <w:vAlign w:val="center"/>
          </w:tcPr>
          <w:p>
            <w:pPr>
              <w:widowControl/>
              <w:jc w:val="center"/>
              <w:rPr>
                <w:rFonts w:ascii="宋体" w:hAnsi="宋体" w:cs="宋体"/>
                <w:color w:val="auto"/>
                <w:kern w:val="0"/>
                <w:sz w:val="24"/>
                <w:szCs w:val="24"/>
                <w:highlight w:val="none"/>
              </w:rPr>
            </w:pPr>
          </w:p>
        </w:tc>
        <w:tc>
          <w:tcPr>
            <w:tcW w:w="723" w:type="dxa"/>
            <w:vAlign w:val="center"/>
          </w:tcPr>
          <w:p>
            <w:pPr>
              <w:widowControl/>
              <w:jc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c>
          <w:tcPr>
            <w:tcW w:w="736" w:type="dxa"/>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1</w:t>
            </w:r>
          </w:p>
        </w:tc>
        <w:tc>
          <w:tcPr>
            <w:tcW w:w="887" w:type="dxa"/>
            <w:vAlign w:val="center"/>
          </w:tcPr>
          <w:p>
            <w:pPr>
              <w:widowControl/>
              <w:jc w:val="center"/>
              <w:rPr>
                <w:rFonts w:ascii="宋体" w:hAnsi="宋体" w:cs="宋体"/>
                <w:color w:val="auto"/>
                <w:kern w:val="0"/>
                <w:sz w:val="24"/>
                <w:szCs w:val="24"/>
                <w:highlight w:val="none"/>
              </w:rPr>
            </w:pPr>
          </w:p>
        </w:tc>
        <w:tc>
          <w:tcPr>
            <w:tcW w:w="1077" w:type="dxa"/>
            <w:vAlign w:val="center"/>
          </w:tcPr>
          <w:p>
            <w:pPr>
              <w:widowControl/>
              <w:jc w:val="center"/>
              <w:rPr>
                <w:rFonts w:ascii="宋体" w:hAnsi="宋体" w:cs="宋体"/>
                <w:color w:val="auto"/>
                <w:kern w:val="0"/>
                <w:sz w:val="24"/>
                <w:szCs w:val="24"/>
                <w:highlight w:val="none"/>
              </w:rPr>
            </w:pPr>
          </w:p>
        </w:tc>
        <w:tc>
          <w:tcPr>
            <w:tcW w:w="914" w:type="dxa"/>
            <w:vAlign w:val="center"/>
          </w:tcPr>
          <w:p>
            <w:pPr>
              <w:pStyle w:val="28"/>
              <w:jc w:val="center"/>
              <w:rPr>
                <w:color w:val="auto"/>
                <w:highlight w:val="none"/>
              </w:rPr>
            </w:pPr>
          </w:p>
        </w:tc>
        <w:tc>
          <w:tcPr>
            <w:tcW w:w="1132" w:type="dxa"/>
            <w:vAlign w:val="center"/>
          </w:tcPr>
          <w:p>
            <w:pPr>
              <w:pStyle w:val="28"/>
              <w:jc w:val="center"/>
              <w:rPr>
                <w:color w:val="auto"/>
                <w:highlight w:val="none"/>
              </w:rPr>
            </w:pPr>
          </w:p>
        </w:tc>
        <w:tc>
          <w:tcPr>
            <w:tcW w:w="1104" w:type="dxa"/>
            <w:vAlign w:val="center"/>
          </w:tcPr>
          <w:p>
            <w:pPr>
              <w:pStyle w:val="28"/>
              <w:jc w:val="center"/>
              <w:rPr>
                <w:color w:val="auto"/>
                <w:highlight w:val="none"/>
              </w:rPr>
            </w:pPr>
            <w:r>
              <w:rPr>
                <w:rFonts w:hint="eastAsia"/>
                <w:color w:val="auto"/>
                <w:sz w:val="24"/>
                <w:szCs w:val="24"/>
                <w:highlight w:val="none"/>
              </w:rPr>
              <w:t>便携式多参数水质分析仪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blHeader/>
          <w:jc w:val="center"/>
        </w:trPr>
        <w:tc>
          <w:tcPr>
            <w:tcW w:w="669" w:type="dxa"/>
            <w:vAlign w:val="center"/>
          </w:tcPr>
          <w:p>
            <w:pPr>
              <w:widowControl/>
              <w:jc w:val="center"/>
              <w:rPr>
                <w:rFonts w:hint="eastAsia" w:ascii="宋体" w:hAnsi="宋体" w:cs="宋体" w:eastAsiaTheme="minorEastAsia"/>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w:t>
            </w:r>
          </w:p>
        </w:tc>
        <w:tc>
          <w:tcPr>
            <w:tcW w:w="1555" w:type="dxa"/>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高压蒸汽灭菌锅</w:t>
            </w:r>
          </w:p>
        </w:tc>
        <w:tc>
          <w:tcPr>
            <w:tcW w:w="1200" w:type="dxa"/>
            <w:vAlign w:val="center"/>
          </w:tcPr>
          <w:p>
            <w:pPr>
              <w:widowControl/>
              <w:jc w:val="center"/>
              <w:rPr>
                <w:rFonts w:ascii="宋体" w:hAnsi="宋体" w:cs="宋体"/>
                <w:color w:val="auto"/>
                <w:kern w:val="0"/>
                <w:sz w:val="24"/>
                <w:szCs w:val="24"/>
                <w:highlight w:val="none"/>
              </w:rPr>
            </w:pPr>
          </w:p>
        </w:tc>
        <w:tc>
          <w:tcPr>
            <w:tcW w:w="723" w:type="dxa"/>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台</w:t>
            </w:r>
          </w:p>
        </w:tc>
        <w:tc>
          <w:tcPr>
            <w:tcW w:w="736" w:type="dxa"/>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1</w:t>
            </w:r>
          </w:p>
        </w:tc>
        <w:tc>
          <w:tcPr>
            <w:tcW w:w="887" w:type="dxa"/>
            <w:vAlign w:val="center"/>
          </w:tcPr>
          <w:p>
            <w:pPr>
              <w:widowControl/>
              <w:jc w:val="center"/>
              <w:rPr>
                <w:rFonts w:ascii="宋体" w:hAnsi="宋体" w:cs="宋体"/>
                <w:color w:val="auto"/>
                <w:kern w:val="0"/>
                <w:sz w:val="24"/>
                <w:szCs w:val="24"/>
                <w:highlight w:val="none"/>
              </w:rPr>
            </w:pPr>
          </w:p>
        </w:tc>
        <w:tc>
          <w:tcPr>
            <w:tcW w:w="1077" w:type="dxa"/>
            <w:vAlign w:val="center"/>
          </w:tcPr>
          <w:p>
            <w:pPr>
              <w:widowControl/>
              <w:jc w:val="center"/>
              <w:rPr>
                <w:rFonts w:ascii="宋体" w:hAnsi="宋体" w:cs="宋体"/>
                <w:color w:val="auto"/>
                <w:kern w:val="0"/>
                <w:sz w:val="24"/>
                <w:szCs w:val="24"/>
                <w:highlight w:val="none"/>
              </w:rPr>
            </w:pPr>
          </w:p>
        </w:tc>
        <w:tc>
          <w:tcPr>
            <w:tcW w:w="914" w:type="dxa"/>
            <w:vAlign w:val="center"/>
          </w:tcPr>
          <w:p>
            <w:pPr>
              <w:pStyle w:val="28"/>
              <w:jc w:val="center"/>
              <w:rPr>
                <w:color w:val="auto"/>
                <w:highlight w:val="none"/>
              </w:rPr>
            </w:pPr>
          </w:p>
        </w:tc>
        <w:tc>
          <w:tcPr>
            <w:tcW w:w="1132" w:type="dxa"/>
            <w:vAlign w:val="center"/>
          </w:tcPr>
          <w:p>
            <w:pPr>
              <w:pStyle w:val="28"/>
              <w:jc w:val="center"/>
              <w:rPr>
                <w:color w:val="auto"/>
                <w:highlight w:val="none"/>
              </w:rPr>
            </w:pPr>
          </w:p>
        </w:tc>
        <w:tc>
          <w:tcPr>
            <w:tcW w:w="1104" w:type="dxa"/>
            <w:vAlign w:val="center"/>
          </w:tcPr>
          <w:p>
            <w:pPr>
              <w:pStyle w:val="28"/>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blHeader/>
          <w:jc w:val="center"/>
        </w:trPr>
        <w:tc>
          <w:tcPr>
            <w:tcW w:w="669" w:type="dxa"/>
            <w:vAlign w:val="center"/>
          </w:tcPr>
          <w:p>
            <w:pPr>
              <w:widowControl/>
              <w:jc w:val="center"/>
              <w:rPr>
                <w:rFonts w:hint="eastAsia" w:ascii="宋体" w:hAnsi="宋体" w:cs="宋体" w:eastAsiaTheme="minorEastAsia"/>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6</w:t>
            </w:r>
          </w:p>
        </w:tc>
        <w:tc>
          <w:tcPr>
            <w:tcW w:w="1555" w:type="dxa"/>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生化培养箱</w:t>
            </w:r>
          </w:p>
        </w:tc>
        <w:tc>
          <w:tcPr>
            <w:tcW w:w="1200" w:type="dxa"/>
            <w:vAlign w:val="center"/>
          </w:tcPr>
          <w:p>
            <w:pPr>
              <w:widowControl/>
              <w:jc w:val="center"/>
              <w:rPr>
                <w:rFonts w:ascii="宋体" w:hAnsi="宋体" w:cs="宋体"/>
                <w:color w:val="auto"/>
                <w:kern w:val="0"/>
                <w:sz w:val="24"/>
                <w:szCs w:val="24"/>
                <w:highlight w:val="none"/>
              </w:rPr>
            </w:pPr>
          </w:p>
        </w:tc>
        <w:tc>
          <w:tcPr>
            <w:tcW w:w="723" w:type="dxa"/>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台</w:t>
            </w:r>
          </w:p>
        </w:tc>
        <w:tc>
          <w:tcPr>
            <w:tcW w:w="736" w:type="dxa"/>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1</w:t>
            </w:r>
          </w:p>
        </w:tc>
        <w:tc>
          <w:tcPr>
            <w:tcW w:w="887" w:type="dxa"/>
            <w:vAlign w:val="center"/>
          </w:tcPr>
          <w:p>
            <w:pPr>
              <w:widowControl/>
              <w:jc w:val="center"/>
              <w:rPr>
                <w:rFonts w:ascii="宋体" w:hAnsi="宋体" w:cs="宋体"/>
                <w:color w:val="auto"/>
                <w:kern w:val="0"/>
                <w:sz w:val="24"/>
                <w:szCs w:val="24"/>
                <w:highlight w:val="none"/>
              </w:rPr>
            </w:pPr>
          </w:p>
        </w:tc>
        <w:tc>
          <w:tcPr>
            <w:tcW w:w="1077" w:type="dxa"/>
            <w:vAlign w:val="center"/>
          </w:tcPr>
          <w:p>
            <w:pPr>
              <w:widowControl/>
              <w:jc w:val="center"/>
              <w:rPr>
                <w:rFonts w:ascii="宋体" w:hAnsi="宋体" w:cs="宋体"/>
                <w:color w:val="auto"/>
                <w:kern w:val="0"/>
                <w:sz w:val="24"/>
                <w:szCs w:val="24"/>
                <w:highlight w:val="none"/>
              </w:rPr>
            </w:pPr>
          </w:p>
        </w:tc>
        <w:tc>
          <w:tcPr>
            <w:tcW w:w="914" w:type="dxa"/>
            <w:vAlign w:val="center"/>
          </w:tcPr>
          <w:p>
            <w:pPr>
              <w:pStyle w:val="28"/>
              <w:jc w:val="center"/>
              <w:rPr>
                <w:color w:val="auto"/>
                <w:highlight w:val="none"/>
              </w:rPr>
            </w:pPr>
          </w:p>
        </w:tc>
        <w:tc>
          <w:tcPr>
            <w:tcW w:w="1132" w:type="dxa"/>
            <w:vAlign w:val="center"/>
          </w:tcPr>
          <w:p>
            <w:pPr>
              <w:pStyle w:val="28"/>
              <w:jc w:val="center"/>
              <w:rPr>
                <w:color w:val="auto"/>
                <w:highlight w:val="none"/>
              </w:rPr>
            </w:pPr>
          </w:p>
        </w:tc>
        <w:tc>
          <w:tcPr>
            <w:tcW w:w="1104" w:type="dxa"/>
            <w:vAlign w:val="center"/>
          </w:tcPr>
          <w:p>
            <w:pPr>
              <w:pStyle w:val="28"/>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blHeader/>
          <w:jc w:val="center"/>
        </w:trPr>
        <w:tc>
          <w:tcPr>
            <w:tcW w:w="6847" w:type="dxa"/>
            <w:gridSpan w:val="7"/>
            <w:vAlign w:val="center"/>
          </w:tcPr>
          <w:p>
            <w:pPr>
              <w:widowControl/>
              <w:jc w:val="center"/>
              <w:rPr>
                <w:rFonts w:ascii="宋体" w:hAnsi="宋体" w:cs="宋体"/>
                <w:color w:val="auto"/>
                <w:kern w:val="0"/>
                <w:sz w:val="24"/>
                <w:szCs w:val="24"/>
                <w:highlight w:val="none"/>
              </w:rPr>
            </w:pPr>
            <w:r>
              <w:rPr>
                <w:rFonts w:hint="eastAsia" w:ascii="宋体" w:hAnsi="宋体" w:cs="宋体"/>
                <w:b/>
                <w:bCs/>
                <w:color w:val="auto"/>
                <w:kern w:val="0"/>
                <w:sz w:val="24"/>
                <w:szCs w:val="24"/>
                <w:highlight w:val="none"/>
                <w:lang w:bidi="ar"/>
              </w:rPr>
              <w:t>竹料分公司合计</w:t>
            </w:r>
          </w:p>
        </w:tc>
        <w:tc>
          <w:tcPr>
            <w:tcW w:w="914" w:type="dxa"/>
            <w:vAlign w:val="center"/>
          </w:tcPr>
          <w:p>
            <w:pPr>
              <w:pStyle w:val="28"/>
              <w:jc w:val="center"/>
              <w:rPr>
                <w:color w:val="auto"/>
                <w:highlight w:val="none"/>
              </w:rPr>
            </w:pPr>
          </w:p>
        </w:tc>
        <w:tc>
          <w:tcPr>
            <w:tcW w:w="1132" w:type="dxa"/>
            <w:vAlign w:val="center"/>
          </w:tcPr>
          <w:p>
            <w:pPr>
              <w:pStyle w:val="28"/>
              <w:jc w:val="center"/>
              <w:rPr>
                <w:color w:val="auto"/>
                <w:highlight w:val="none"/>
              </w:rPr>
            </w:pPr>
          </w:p>
        </w:tc>
        <w:tc>
          <w:tcPr>
            <w:tcW w:w="1104" w:type="dxa"/>
            <w:vAlign w:val="center"/>
          </w:tcPr>
          <w:p>
            <w:pPr>
              <w:pStyle w:val="28"/>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blHeader/>
          <w:jc w:val="center"/>
        </w:trPr>
        <w:tc>
          <w:tcPr>
            <w:tcW w:w="669" w:type="dxa"/>
            <w:vAlign w:val="center"/>
          </w:tcPr>
          <w:p>
            <w:pPr>
              <w:widowControl/>
              <w:jc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7</w:t>
            </w:r>
          </w:p>
        </w:tc>
        <w:tc>
          <w:tcPr>
            <w:tcW w:w="1555" w:type="dxa"/>
            <w:vAlign w:val="center"/>
          </w:tcPr>
          <w:p>
            <w:pPr>
              <w:widowControl/>
              <w:jc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高压灭菌锅</w:t>
            </w:r>
          </w:p>
        </w:tc>
        <w:tc>
          <w:tcPr>
            <w:tcW w:w="1200" w:type="dxa"/>
            <w:vAlign w:val="center"/>
          </w:tcPr>
          <w:p>
            <w:pPr>
              <w:widowControl/>
              <w:jc w:val="center"/>
              <w:rPr>
                <w:rFonts w:ascii="宋体" w:hAnsi="宋体" w:cs="宋体"/>
                <w:color w:val="auto"/>
                <w:kern w:val="0"/>
                <w:sz w:val="24"/>
                <w:szCs w:val="24"/>
                <w:highlight w:val="none"/>
              </w:rPr>
            </w:pPr>
          </w:p>
        </w:tc>
        <w:tc>
          <w:tcPr>
            <w:tcW w:w="723" w:type="dxa"/>
            <w:vAlign w:val="center"/>
          </w:tcPr>
          <w:p>
            <w:pPr>
              <w:widowControl/>
              <w:jc w:val="center"/>
              <w:rPr>
                <w:rFonts w:hint="eastAsia" w:ascii="宋体" w:hAnsi="宋体" w:cs="宋体" w:eastAsiaTheme="minorEastAsia"/>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台</w:t>
            </w:r>
          </w:p>
        </w:tc>
        <w:tc>
          <w:tcPr>
            <w:tcW w:w="736" w:type="dxa"/>
            <w:vAlign w:val="center"/>
          </w:tcPr>
          <w:p>
            <w:pPr>
              <w:widowControl/>
              <w:jc w:val="center"/>
              <w:rPr>
                <w:rFonts w:hint="eastAsia" w:ascii="宋体" w:hAnsi="宋体" w:cs="宋体" w:eastAsiaTheme="minorEastAsia"/>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3</w:t>
            </w:r>
          </w:p>
        </w:tc>
        <w:tc>
          <w:tcPr>
            <w:tcW w:w="887" w:type="dxa"/>
            <w:vAlign w:val="center"/>
          </w:tcPr>
          <w:p>
            <w:pPr>
              <w:widowControl/>
              <w:jc w:val="center"/>
              <w:rPr>
                <w:rFonts w:ascii="宋体" w:hAnsi="宋体" w:cs="宋体"/>
                <w:color w:val="auto"/>
                <w:kern w:val="0"/>
                <w:sz w:val="24"/>
                <w:szCs w:val="24"/>
                <w:highlight w:val="none"/>
              </w:rPr>
            </w:pPr>
          </w:p>
        </w:tc>
        <w:tc>
          <w:tcPr>
            <w:tcW w:w="1077" w:type="dxa"/>
            <w:vAlign w:val="center"/>
          </w:tcPr>
          <w:p>
            <w:pPr>
              <w:widowControl/>
              <w:jc w:val="center"/>
              <w:rPr>
                <w:rFonts w:ascii="宋体" w:hAnsi="宋体" w:cs="宋体"/>
                <w:color w:val="auto"/>
                <w:kern w:val="0"/>
                <w:sz w:val="24"/>
                <w:szCs w:val="24"/>
                <w:highlight w:val="none"/>
              </w:rPr>
            </w:pPr>
          </w:p>
        </w:tc>
        <w:tc>
          <w:tcPr>
            <w:tcW w:w="914" w:type="dxa"/>
            <w:vAlign w:val="center"/>
          </w:tcPr>
          <w:p>
            <w:pPr>
              <w:pStyle w:val="28"/>
              <w:jc w:val="center"/>
              <w:rPr>
                <w:color w:val="auto"/>
                <w:highlight w:val="none"/>
              </w:rPr>
            </w:pPr>
          </w:p>
        </w:tc>
        <w:tc>
          <w:tcPr>
            <w:tcW w:w="1132" w:type="dxa"/>
            <w:vAlign w:val="center"/>
          </w:tcPr>
          <w:p>
            <w:pPr>
              <w:pStyle w:val="28"/>
              <w:jc w:val="center"/>
              <w:rPr>
                <w:color w:val="auto"/>
                <w:highlight w:val="none"/>
              </w:rPr>
            </w:pPr>
          </w:p>
        </w:tc>
        <w:tc>
          <w:tcPr>
            <w:tcW w:w="1104" w:type="dxa"/>
            <w:vAlign w:val="center"/>
          </w:tcPr>
          <w:p>
            <w:pPr>
              <w:pStyle w:val="28"/>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blHeader/>
          <w:jc w:val="center"/>
        </w:trPr>
        <w:tc>
          <w:tcPr>
            <w:tcW w:w="6847" w:type="dxa"/>
            <w:gridSpan w:val="7"/>
            <w:vAlign w:val="center"/>
          </w:tcPr>
          <w:p>
            <w:pPr>
              <w:widowControl/>
              <w:jc w:val="center"/>
              <w:rPr>
                <w:rFonts w:hint="default" w:eastAsiaTheme="minorEastAsia"/>
                <w:b/>
                <w:bCs/>
                <w:color w:val="auto"/>
                <w:highlight w:val="none"/>
                <w:lang w:val="en-US" w:eastAsia="zh-CN"/>
              </w:rPr>
            </w:pPr>
            <w:r>
              <w:rPr>
                <w:rFonts w:hint="eastAsia" w:ascii="宋体" w:hAnsi="宋体" w:cs="宋体"/>
                <w:b/>
                <w:bCs/>
                <w:color w:val="auto"/>
                <w:kern w:val="0"/>
                <w:sz w:val="24"/>
                <w:szCs w:val="24"/>
                <w:highlight w:val="none"/>
                <w:lang w:val="en-US" w:eastAsia="zh-CN" w:bidi="ar"/>
              </w:rPr>
              <w:t>江高分公司合计</w:t>
            </w:r>
          </w:p>
        </w:tc>
        <w:tc>
          <w:tcPr>
            <w:tcW w:w="914" w:type="dxa"/>
            <w:vAlign w:val="center"/>
          </w:tcPr>
          <w:p>
            <w:pPr>
              <w:pStyle w:val="28"/>
              <w:jc w:val="center"/>
              <w:rPr>
                <w:color w:val="auto"/>
                <w:highlight w:val="none"/>
              </w:rPr>
            </w:pPr>
          </w:p>
        </w:tc>
        <w:tc>
          <w:tcPr>
            <w:tcW w:w="1132" w:type="dxa"/>
            <w:vAlign w:val="center"/>
          </w:tcPr>
          <w:p>
            <w:pPr>
              <w:pStyle w:val="28"/>
              <w:jc w:val="center"/>
              <w:rPr>
                <w:color w:val="auto"/>
                <w:highlight w:val="none"/>
              </w:rPr>
            </w:pPr>
          </w:p>
        </w:tc>
        <w:tc>
          <w:tcPr>
            <w:tcW w:w="1104" w:type="dxa"/>
            <w:vAlign w:val="center"/>
          </w:tcPr>
          <w:p>
            <w:pPr>
              <w:pStyle w:val="28"/>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blHeader/>
          <w:jc w:val="center"/>
        </w:trPr>
        <w:tc>
          <w:tcPr>
            <w:tcW w:w="6847" w:type="dxa"/>
            <w:gridSpan w:val="7"/>
            <w:vAlign w:val="center"/>
          </w:tcPr>
          <w:p>
            <w:pPr>
              <w:pStyle w:val="28"/>
              <w:jc w:val="center"/>
              <w:rPr>
                <w:b/>
                <w:bCs/>
                <w:color w:val="auto"/>
                <w:highlight w:val="none"/>
              </w:rPr>
            </w:pPr>
            <w:r>
              <w:rPr>
                <w:rFonts w:hint="eastAsia" w:ascii="宋体" w:hAnsi="宋体" w:cs="宋体" w:eastAsiaTheme="minorEastAsia"/>
                <w:b/>
                <w:bCs/>
                <w:color w:val="auto"/>
                <w:kern w:val="0"/>
                <w:sz w:val="24"/>
                <w:szCs w:val="24"/>
                <w:highlight w:val="none"/>
                <w:lang w:val="en-US" w:eastAsia="zh-CN" w:bidi="ar"/>
              </w:rPr>
              <w:t>总计</w:t>
            </w:r>
            <w:r>
              <w:rPr>
                <w:rFonts w:hint="eastAsia" w:hAnsi="宋体" w:cs="宋体" w:eastAsiaTheme="minorEastAsia"/>
                <w:b/>
                <w:bCs/>
                <w:color w:val="auto"/>
                <w:kern w:val="0"/>
                <w:sz w:val="24"/>
                <w:szCs w:val="24"/>
                <w:highlight w:val="none"/>
                <w:lang w:val="en-US" w:eastAsia="zh-CN" w:bidi="ar"/>
              </w:rPr>
              <w:t>（含税：）</w:t>
            </w:r>
          </w:p>
        </w:tc>
        <w:tc>
          <w:tcPr>
            <w:tcW w:w="914" w:type="dxa"/>
            <w:vAlign w:val="center"/>
          </w:tcPr>
          <w:p>
            <w:pPr>
              <w:pStyle w:val="28"/>
              <w:jc w:val="center"/>
              <w:rPr>
                <w:color w:val="auto"/>
                <w:highlight w:val="none"/>
              </w:rPr>
            </w:pPr>
          </w:p>
        </w:tc>
        <w:tc>
          <w:tcPr>
            <w:tcW w:w="1132" w:type="dxa"/>
            <w:vAlign w:val="center"/>
          </w:tcPr>
          <w:p>
            <w:pPr>
              <w:pStyle w:val="28"/>
              <w:jc w:val="center"/>
              <w:rPr>
                <w:color w:val="auto"/>
                <w:highlight w:val="none"/>
              </w:rPr>
            </w:pPr>
          </w:p>
        </w:tc>
        <w:tc>
          <w:tcPr>
            <w:tcW w:w="1104" w:type="dxa"/>
            <w:vAlign w:val="center"/>
          </w:tcPr>
          <w:p>
            <w:pPr>
              <w:pStyle w:val="28"/>
              <w:jc w:val="center"/>
              <w:rPr>
                <w:color w:val="auto"/>
                <w:highlight w:val="none"/>
              </w:rPr>
            </w:pPr>
          </w:p>
        </w:tc>
      </w:tr>
    </w:tbl>
    <w:p>
      <w:pPr>
        <w:pStyle w:val="6"/>
        <w:rPr>
          <w:rFonts w:hint="eastAsia" w:eastAsiaTheme="majorEastAsia"/>
          <w:color w:val="auto"/>
          <w:highlight w:val="none"/>
        </w:rPr>
      </w:pPr>
      <w:bookmarkStart w:id="193" w:name="_Toc16386"/>
      <w:bookmarkStart w:id="194" w:name="_Toc87616402"/>
      <w:bookmarkStart w:id="195" w:name="_Toc6058"/>
      <w:bookmarkStart w:id="196" w:name="_Toc88209965"/>
    </w:p>
    <w:p>
      <w:pPr>
        <w:adjustRightInd w:val="0"/>
        <w:snapToGrid w:val="0"/>
        <w:spacing w:line="360" w:lineRule="auto"/>
        <w:jc w:val="both"/>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rPr>
          <w:rFonts w:hint="eastAsia"/>
          <w:color w:val="auto"/>
          <w:highlight w:val="none"/>
        </w:rPr>
      </w:pPr>
      <w:r>
        <w:rPr>
          <w:rFonts w:hint="eastAsia" w:ascii="宋体" w:hAnsi="宋体" w:eastAsia="宋体" w:cs="宋体"/>
          <w:color w:val="auto"/>
          <w:sz w:val="24"/>
          <w:szCs w:val="24"/>
          <w:highlight w:val="none"/>
          <w:lang w:val="en-GB"/>
        </w:rPr>
        <w:t>年  月  日</w:t>
      </w:r>
    </w:p>
    <w:p>
      <w:pPr>
        <w:pStyle w:val="6"/>
        <w:rPr>
          <w:rFonts w:hint="eastAsia" w:eastAsiaTheme="majorEastAsia"/>
          <w:color w:val="auto"/>
          <w:sz w:val="18"/>
          <w:szCs w:val="18"/>
          <w:highlight w:val="none"/>
        </w:rPr>
      </w:pPr>
    </w:p>
    <w:p>
      <w:pPr>
        <w:rPr>
          <w:rFonts w:hint="default" w:eastAsiaTheme="minorEastAsia"/>
          <w:color w:val="auto"/>
          <w:sz w:val="15"/>
          <w:szCs w:val="15"/>
          <w:highlight w:val="none"/>
        </w:rPr>
      </w:pPr>
    </w:p>
    <w:p>
      <w:pPr>
        <w:pStyle w:val="2"/>
        <w:rPr>
          <w:rFonts w:hint="default" w:eastAsia="等线"/>
          <w:color w:val="auto"/>
          <w:sz w:val="24"/>
          <w:szCs w:val="24"/>
          <w:highlight w:val="none"/>
        </w:rPr>
      </w:pPr>
    </w:p>
    <w:p>
      <w:pPr>
        <w:rPr>
          <w:rFonts w:hint="eastAsia" w:eastAsiaTheme="majorEastAsia"/>
          <w:color w:val="auto"/>
          <w:sz w:val="21"/>
          <w:szCs w:val="21"/>
          <w:highlight w:val="none"/>
        </w:rPr>
      </w:pPr>
    </w:p>
    <w:p>
      <w:pPr>
        <w:pStyle w:val="2"/>
        <w:rPr>
          <w:rFonts w:hint="default" w:eastAsia="等线"/>
          <w:color w:val="auto"/>
          <w:highlight w:val="none"/>
        </w:rPr>
      </w:pPr>
    </w:p>
    <w:p>
      <w:pPr>
        <w:pStyle w:val="6"/>
        <w:rPr>
          <w:rFonts w:hint="eastAsia" w:eastAsiaTheme="majorEastAsia"/>
          <w:color w:val="auto"/>
          <w:highlight w:val="none"/>
          <w:lang w:val="en-US" w:eastAsia="zh-CN"/>
        </w:rPr>
      </w:pPr>
    </w:p>
    <w:p>
      <w:pPr>
        <w:pStyle w:val="6"/>
        <w:rPr>
          <w:rFonts w:hint="eastAsia" w:eastAsiaTheme="majorEastAsia"/>
          <w:color w:val="auto"/>
          <w:highlight w:val="none"/>
          <w:lang w:val="en-US" w:eastAsia="zh-CN"/>
        </w:rPr>
      </w:pPr>
      <w:r>
        <w:rPr>
          <w:rFonts w:hint="eastAsia" w:eastAsiaTheme="majorEastAsia"/>
          <w:color w:val="auto"/>
          <w:highlight w:val="none"/>
          <w:lang w:val="en-US" w:eastAsia="zh-CN"/>
        </w:rPr>
        <w:t>6偏离度</w:t>
      </w:r>
    </w:p>
    <w:tbl>
      <w:tblPr>
        <w:tblStyle w:val="23"/>
        <w:tblW w:w="9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900"/>
        <w:gridCol w:w="872"/>
        <w:gridCol w:w="5373"/>
        <w:gridCol w:w="1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vAlign w:val="center"/>
          </w:tcPr>
          <w:p>
            <w:pPr>
              <w:widowControl/>
              <w:spacing w:line="0" w:lineRule="atLeast"/>
              <w:jc w:val="center"/>
              <w:rPr>
                <w:rFonts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bidi="ar"/>
              </w:rPr>
              <w:t>序号</w:t>
            </w:r>
          </w:p>
        </w:tc>
        <w:tc>
          <w:tcPr>
            <w:tcW w:w="900" w:type="dxa"/>
            <w:vAlign w:val="center"/>
          </w:tcPr>
          <w:p>
            <w:pPr>
              <w:widowControl/>
              <w:spacing w:line="0" w:lineRule="atLeast"/>
              <w:jc w:val="center"/>
              <w:rPr>
                <w:rFonts w:ascii="仿宋" w:hAnsi="仿宋" w:eastAsia="仿宋" w:cs="仿宋"/>
                <w:b/>
                <w:bCs/>
                <w:color w:val="auto"/>
                <w:sz w:val="21"/>
                <w:szCs w:val="21"/>
                <w:highlight w:val="none"/>
                <w:lang w:bidi="ar"/>
              </w:rPr>
            </w:pPr>
            <w:r>
              <w:rPr>
                <w:rFonts w:hint="eastAsia" w:ascii="仿宋" w:hAnsi="仿宋" w:eastAsia="仿宋" w:cs="仿宋"/>
                <w:b/>
                <w:bCs/>
                <w:color w:val="auto"/>
                <w:sz w:val="21"/>
                <w:szCs w:val="21"/>
                <w:highlight w:val="none"/>
                <w:lang w:bidi="ar"/>
              </w:rPr>
              <w:t>分公司</w:t>
            </w:r>
          </w:p>
        </w:tc>
        <w:tc>
          <w:tcPr>
            <w:tcW w:w="872" w:type="dxa"/>
            <w:vAlign w:val="center"/>
          </w:tcPr>
          <w:p>
            <w:pPr>
              <w:widowControl/>
              <w:spacing w:line="0" w:lineRule="atLeast"/>
              <w:jc w:val="center"/>
              <w:rPr>
                <w:rFonts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bidi="ar"/>
              </w:rPr>
              <w:t>货物名称</w:t>
            </w:r>
          </w:p>
        </w:tc>
        <w:tc>
          <w:tcPr>
            <w:tcW w:w="5373" w:type="dxa"/>
            <w:vAlign w:val="center"/>
          </w:tcPr>
          <w:p>
            <w:pPr>
              <w:widowControl/>
              <w:spacing w:line="0" w:lineRule="atLeast"/>
              <w:jc w:val="center"/>
              <w:rPr>
                <w:rFonts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bidi="ar"/>
              </w:rPr>
              <w:t>技术参数及功能要求</w:t>
            </w:r>
          </w:p>
        </w:tc>
        <w:tc>
          <w:tcPr>
            <w:tcW w:w="1897" w:type="dxa"/>
            <w:vAlign w:val="center"/>
          </w:tcPr>
          <w:p>
            <w:pPr>
              <w:widowControl/>
              <w:spacing w:line="0" w:lineRule="atLeast"/>
              <w:jc w:val="center"/>
              <w:rPr>
                <w:rFonts w:hint="eastAsia" w:ascii="仿宋" w:hAnsi="仿宋" w:eastAsia="仿宋" w:cs="仿宋"/>
                <w:b/>
                <w:bCs/>
                <w:color w:val="auto"/>
                <w:sz w:val="21"/>
                <w:szCs w:val="21"/>
                <w:highlight w:val="none"/>
                <w:lang w:val="en-US" w:eastAsia="zh-CN" w:bidi="ar"/>
              </w:rPr>
            </w:pPr>
            <w:r>
              <w:rPr>
                <w:rFonts w:hint="eastAsia" w:ascii="仿宋" w:hAnsi="仿宋" w:eastAsia="仿宋" w:cs="仿宋"/>
                <w:b/>
                <w:bCs/>
                <w:color w:val="auto"/>
                <w:sz w:val="21"/>
                <w:szCs w:val="21"/>
                <w:highlight w:val="none"/>
                <w:lang w:val="en-US" w:eastAsia="zh-CN" w:bidi="ar"/>
              </w:rPr>
              <w:t>偏离度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vAlign w:val="center"/>
          </w:tcPr>
          <w:p>
            <w:pPr>
              <w:pStyle w:val="12"/>
              <w:jc w:val="center"/>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1</w:t>
            </w:r>
          </w:p>
        </w:tc>
        <w:tc>
          <w:tcPr>
            <w:tcW w:w="900" w:type="dxa"/>
            <w:vAlign w:val="center"/>
          </w:tcPr>
          <w:p>
            <w:pPr>
              <w:pStyle w:val="12"/>
              <w:jc w:val="center"/>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猎德分公司</w:t>
            </w:r>
          </w:p>
        </w:tc>
        <w:tc>
          <w:tcPr>
            <w:tcW w:w="872" w:type="dxa"/>
            <w:vAlign w:val="center"/>
          </w:tcPr>
          <w:p>
            <w:pPr>
              <w:spacing w:line="0" w:lineRule="atLeas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分光光度计</w:t>
            </w:r>
          </w:p>
        </w:tc>
        <w:tc>
          <w:tcPr>
            <w:tcW w:w="5373" w:type="dxa"/>
          </w:tcPr>
          <w:p>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波长范围 190-1100nm波长；</w:t>
            </w:r>
          </w:p>
          <w:p>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准确度±1nm(200-900nm)；</w:t>
            </w:r>
          </w:p>
          <w:p>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波长再现性&lt;0.1nm；</w:t>
            </w:r>
          </w:p>
          <w:p>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波长分辨率 0.1nm；</w:t>
            </w:r>
          </w:p>
          <w:p>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光谱带宽 2nm；</w:t>
            </w:r>
          </w:p>
          <w:p>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光度测量范围 3.0Abs(200-900nm)；</w:t>
            </w:r>
          </w:p>
          <w:p>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光度漂移 ±0.0034Abs</w:t>
            </w:r>
          </w:p>
          <w:p>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矩形样品池适配器(10mm, 20mm, 50mm, 1英寸)、圆形样品池适配器(1英寸)、可供7个矩形样品池(10mm)使用的旋转适配器、流通池适配器(10mm)</w:t>
            </w:r>
          </w:p>
          <w:p>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测试识别 条形码识别系统，可自动识别2D条形码测试管数据记录器 5000个测量值，50次扫描 用户程序 200</w:t>
            </w:r>
          </w:p>
          <w:p>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接口 2×USB 类型A，1×USB 类型B， 1× 以太网。</w:t>
            </w:r>
          </w:p>
        </w:tc>
        <w:tc>
          <w:tcPr>
            <w:tcW w:w="1897" w:type="dxa"/>
            <w:vAlign w:val="center"/>
          </w:tcPr>
          <w:p>
            <w:pPr>
              <w:spacing w:line="0" w:lineRule="atLeas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vAlign w:val="center"/>
          </w:tcPr>
          <w:p>
            <w:pPr>
              <w:pStyle w:val="12"/>
              <w:jc w:val="center"/>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2</w:t>
            </w:r>
          </w:p>
        </w:tc>
        <w:tc>
          <w:tcPr>
            <w:tcW w:w="900" w:type="dxa"/>
            <w:vAlign w:val="center"/>
          </w:tcPr>
          <w:p>
            <w:pPr>
              <w:pStyle w:val="12"/>
              <w:jc w:val="center"/>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猎德分公司</w:t>
            </w:r>
          </w:p>
        </w:tc>
        <w:tc>
          <w:tcPr>
            <w:tcW w:w="872" w:type="dxa"/>
            <w:vAlign w:val="center"/>
          </w:tcPr>
          <w:p>
            <w:pPr>
              <w:spacing w:line="0" w:lineRule="atLeas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高压灭菌锅</w:t>
            </w:r>
          </w:p>
        </w:tc>
        <w:tc>
          <w:tcPr>
            <w:tcW w:w="5373" w:type="dxa"/>
          </w:tcPr>
          <w:p>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温度范围：105℃-135℃；</w:t>
            </w:r>
          </w:p>
          <w:p>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 xml:space="preserve">精度为0.1℃；                                                                              有效容量：29L ；                                         </w:t>
            </w:r>
          </w:p>
          <w:p>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工作电源：220V±10%16A</w:t>
            </w:r>
            <w:r>
              <w:rPr>
                <w:rFonts w:ascii="仿宋" w:hAnsi="仿宋" w:eastAsia="仿宋" w:cs="仿宋"/>
                <w:color w:val="auto"/>
                <w:kern w:val="2"/>
                <w:sz w:val="21"/>
                <w:szCs w:val="21"/>
                <w:highlight w:val="none"/>
              </w:rPr>
              <w:t xml:space="preserve"> </w:t>
            </w:r>
            <w:r>
              <w:rPr>
                <w:rFonts w:hint="eastAsia" w:ascii="仿宋" w:hAnsi="仿宋" w:eastAsia="仿宋" w:cs="仿宋"/>
                <w:color w:val="auto"/>
                <w:kern w:val="2"/>
                <w:sz w:val="21"/>
                <w:szCs w:val="21"/>
                <w:highlight w:val="none"/>
              </w:rPr>
              <w:t xml:space="preserve">50HZ/60HZ； </w:t>
            </w:r>
          </w:p>
          <w:p>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 xml:space="preserve">自感应压力联锁装置，过温保护系统、升温保护系统干烧保护系统、过压保护、安全阀、过流、短路保护系统、闭盖检查系统、漏电保护装置、防烫伤安全保护、自动故障检测系统。                              </w:t>
            </w:r>
            <w:r>
              <w:rPr>
                <w:rFonts w:hint="eastAsia" w:ascii="仿宋" w:hAnsi="仿宋" w:eastAsia="仿宋" w:cs="仿宋"/>
                <w:color w:val="auto"/>
                <w:kern w:val="2"/>
                <w:sz w:val="21"/>
                <w:szCs w:val="21"/>
                <w:highlight w:val="none"/>
                <w:lang w:val="en-US" w:eastAsia="zh-CN"/>
              </w:rPr>
              <w:t xml:space="preserve">      </w:t>
            </w:r>
            <w:r>
              <w:rPr>
                <w:rFonts w:hint="eastAsia" w:ascii="仿宋" w:hAnsi="仿宋" w:eastAsia="仿宋" w:cs="仿宋"/>
                <w:color w:val="auto"/>
                <w:kern w:val="2"/>
                <w:sz w:val="21"/>
                <w:szCs w:val="21"/>
                <w:highlight w:val="none"/>
              </w:rPr>
              <w:t xml:space="preserve">   具备全自动内排功能，内置蒸汽收集瓶；                                     采用高速微电脑智能控制系统；可预约灭菌0~6天延迟。</w:t>
            </w:r>
          </w:p>
        </w:tc>
        <w:tc>
          <w:tcPr>
            <w:tcW w:w="1897" w:type="dxa"/>
            <w:vAlign w:val="center"/>
          </w:tcPr>
          <w:p>
            <w:pPr>
              <w:spacing w:line="0" w:lineRule="atLeas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vAlign w:val="center"/>
          </w:tcPr>
          <w:p>
            <w:pPr>
              <w:pStyle w:val="12"/>
              <w:jc w:val="center"/>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3</w:t>
            </w:r>
          </w:p>
        </w:tc>
        <w:tc>
          <w:tcPr>
            <w:tcW w:w="900" w:type="dxa"/>
            <w:vAlign w:val="center"/>
          </w:tcPr>
          <w:p>
            <w:pPr>
              <w:pStyle w:val="12"/>
              <w:jc w:val="center"/>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龙归分公司</w:t>
            </w:r>
          </w:p>
        </w:tc>
        <w:tc>
          <w:tcPr>
            <w:tcW w:w="872" w:type="dxa"/>
            <w:vAlign w:val="center"/>
          </w:tcPr>
          <w:p>
            <w:pPr>
              <w:widowControl/>
              <w:jc w:val="center"/>
              <w:textAlignment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全自动微生物过滤系统</w:t>
            </w:r>
          </w:p>
        </w:tc>
        <w:tc>
          <w:tcPr>
            <w:tcW w:w="5373" w:type="dxa"/>
          </w:tcPr>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全自动微生物过滤系统1套，含主机1台、滤杯适配泵头（一次性滤杯）、一次性滤杯2</w:t>
            </w:r>
            <w:r>
              <w:rPr>
                <w:rFonts w:ascii="仿宋" w:hAnsi="仿宋" w:eastAsia="仿宋" w:cs="仿宋"/>
                <w:color w:val="auto"/>
                <w:kern w:val="2"/>
                <w:sz w:val="21"/>
                <w:szCs w:val="21"/>
                <w:highlight w:val="none"/>
              </w:rPr>
              <w:t>50ml</w:t>
            </w:r>
            <w:r>
              <w:rPr>
                <w:rFonts w:hint="eastAsia" w:ascii="仿宋" w:hAnsi="仿宋" w:eastAsia="仿宋" w:cs="仿宋"/>
                <w:color w:val="auto"/>
                <w:kern w:val="2"/>
                <w:sz w:val="21"/>
                <w:szCs w:val="21"/>
                <w:highlight w:val="none"/>
              </w:rPr>
              <w:t>、滤膜一箱4</w:t>
            </w:r>
            <w:r>
              <w:rPr>
                <w:rFonts w:ascii="仿宋" w:hAnsi="仿宋" w:eastAsia="仿宋" w:cs="仿宋"/>
                <w:color w:val="auto"/>
                <w:kern w:val="2"/>
                <w:sz w:val="21"/>
                <w:szCs w:val="21"/>
                <w:highlight w:val="none"/>
              </w:rPr>
              <w:t>8</w:t>
            </w:r>
            <w:r>
              <w:rPr>
                <w:rFonts w:hint="eastAsia" w:ascii="仿宋" w:hAnsi="仿宋" w:eastAsia="仿宋" w:cs="仿宋"/>
                <w:color w:val="auto"/>
                <w:kern w:val="2"/>
                <w:sz w:val="21"/>
                <w:szCs w:val="21"/>
                <w:highlight w:val="none"/>
              </w:rPr>
              <w:t>个、附件包等。</w:t>
            </w:r>
          </w:p>
          <w:p>
            <w:pPr>
              <w:pStyle w:val="13"/>
              <w:rPr>
                <w:rFonts w:hint="default" w:eastAsia="仿宋"/>
                <w:color w:val="auto"/>
                <w:sz w:val="21"/>
                <w:szCs w:val="21"/>
                <w:highlight w:val="none"/>
                <w:lang w:val="en-US" w:eastAsia="zh-CN"/>
              </w:rPr>
            </w:pPr>
            <w:r>
              <w:rPr>
                <w:rFonts w:hint="eastAsia" w:ascii="仿宋" w:hAnsi="仿宋" w:eastAsia="仿宋" w:cs="仿宋"/>
                <w:color w:val="auto"/>
                <w:kern w:val="2"/>
                <w:sz w:val="21"/>
                <w:szCs w:val="21"/>
                <w:highlight w:val="none"/>
                <w:lang w:val="en-US" w:eastAsia="zh-CN"/>
              </w:rPr>
              <w:t>主要技术指标：</w:t>
            </w:r>
          </w:p>
          <w:p>
            <w:pPr>
              <w:pStyle w:val="12"/>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rPr>
              <w:t>1.机身内整合了真空泵，抽滤管路，无须外加任何抽滤泵和容器</w:t>
            </w:r>
            <w:r>
              <w:rPr>
                <w:rFonts w:hint="eastAsia" w:ascii="仿宋" w:hAnsi="仿宋" w:eastAsia="仿宋" w:cs="仿宋"/>
                <w:color w:val="auto"/>
                <w:kern w:val="2"/>
                <w:sz w:val="21"/>
                <w:szCs w:val="21"/>
                <w:highlight w:val="none"/>
                <w:lang w:eastAsia="zh-CN"/>
              </w:rPr>
              <w:t>；</w:t>
            </w:r>
          </w:p>
          <w:p>
            <w:pPr>
              <w:pStyle w:val="12"/>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rPr>
              <w:t>2.机体设计符合人体工程学，机体高小于100mm</w:t>
            </w:r>
            <w:r>
              <w:rPr>
                <w:rFonts w:hint="eastAsia" w:ascii="仿宋" w:hAnsi="仿宋" w:eastAsia="仿宋" w:cs="仿宋"/>
                <w:color w:val="auto"/>
                <w:kern w:val="2"/>
                <w:sz w:val="21"/>
                <w:szCs w:val="21"/>
                <w:highlight w:val="none"/>
                <w:lang w:eastAsia="zh-CN"/>
              </w:rPr>
              <w:t>；</w:t>
            </w:r>
          </w:p>
          <w:p>
            <w:pPr>
              <w:pStyle w:val="12"/>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rPr>
              <w:t>3.机身配置至少两个泵头</w:t>
            </w:r>
            <w:r>
              <w:rPr>
                <w:rFonts w:hint="eastAsia" w:ascii="仿宋" w:hAnsi="仿宋" w:eastAsia="仿宋" w:cs="仿宋"/>
                <w:color w:val="auto"/>
                <w:kern w:val="2"/>
                <w:sz w:val="21"/>
                <w:szCs w:val="21"/>
                <w:highlight w:val="none"/>
                <w:lang w:eastAsia="zh-CN"/>
              </w:rPr>
              <w:t>；</w:t>
            </w:r>
          </w:p>
          <w:p>
            <w:pPr>
              <w:pStyle w:val="12"/>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rPr>
              <w:t>4.过滤头含有止回阀</w:t>
            </w:r>
            <w:r>
              <w:rPr>
                <w:rFonts w:hint="eastAsia" w:ascii="仿宋" w:hAnsi="仿宋" w:eastAsia="仿宋" w:cs="仿宋"/>
                <w:color w:val="auto"/>
                <w:kern w:val="2"/>
                <w:sz w:val="21"/>
                <w:szCs w:val="21"/>
                <w:highlight w:val="none"/>
                <w:lang w:eastAsia="zh-CN"/>
              </w:rPr>
              <w:t>；</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5.通过硬件扩展可实现高通量,最多可连接三台仪器，只需按一下按钮即可过</w:t>
            </w:r>
          </w:p>
          <w:p>
            <w:pPr>
              <w:pStyle w:val="12"/>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rPr>
              <w:t>滤6个样品</w:t>
            </w:r>
            <w:r>
              <w:rPr>
                <w:rFonts w:hint="eastAsia" w:ascii="仿宋" w:hAnsi="仿宋" w:eastAsia="仿宋" w:cs="仿宋"/>
                <w:color w:val="auto"/>
                <w:kern w:val="2"/>
                <w:sz w:val="21"/>
                <w:szCs w:val="21"/>
                <w:highlight w:val="none"/>
                <w:lang w:eastAsia="zh-CN"/>
              </w:rPr>
              <w:t>；</w:t>
            </w:r>
          </w:p>
          <w:p>
            <w:pPr>
              <w:pStyle w:val="12"/>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rPr>
              <w:t>6.泵头为快速拆装设计，可以整体进行高温高压灭菌</w:t>
            </w:r>
            <w:r>
              <w:rPr>
                <w:rFonts w:hint="eastAsia" w:ascii="仿宋" w:hAnsi="仿宋" w:eastAsia="仿宋" w:cs="仿宋"/>
                <w:color w:val="auto"/>
                <w:kern w:val="2"/>
                <w:sz w:val="21"/>
                <w:szCs w:val="21"/>
                <w:highlight w:val="none"/>
                <w:lang w:eastAsia="zh-CN"/>
              </w:rPr>
              <w:t>；</w:t>
            </w:r>
          </w:p>
          <w:p>
            <w:pPr>
              <w:pStyle w:val="12"/>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rPr>
              <w:t>7.仪器有两头、四头、六头可选</w:t>
            </w:r>
            <w:r>
              <w:rPr>
                <w:rFonts w:hint="eastAsia" w:ascii="仿宋" w:hAnsi="仿宋" w:eastAsia="仿宋" w:cs="仿宋"/>
                <w:color w:val="auto"/>
                <w:kern w:val="2"/>
                <w:sz w:val="21"/>
                <w:szCs w:val="21"/>
                <w:highlight w:val="none"/>
                <w:lang w:eastAsia="zh-CN"/>
              </w:rPr>
              <w:t>；</w:t>
            </w:r>
          </w:p>
          <w:p>
            <w:pPr>
              <w:pStyle w:val="12"/>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rPr>
              <w:t>8.仪器可配置多种泵头，不同泵头可快速转换</w:t>
            </w:r>
            <w:r>
              <w:rPr>
                <w:rFonts w:hint="eastAsia" w:ascii="仿宋" w:hAnsi="仿宋" w:eastAsia="仿宋" w:cs="仿宋"/>
                <w:color w:val="auto"/>
                <w:kern w:val="2"/>
                <w:sz w:val="21"/>
                <w:szCs w:val="21"/>
                <w:highlight w:val="none"/>
                <w:lang w:eastAsia="zh-CN"/>
              </w:rPr>
              <w:t>；</w:t>
            </w:r>
          </w:p>
          <w:p>
            <w:pPr>
              <w:pStyle w:val="12"/>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rPr>
              <w:t>9.整体过滤流速≥300mL/min</w:t>
            </w:r>
            <w:r>
              <w:rPr>
                <w:rFonts w:hint="eastAsia" w:ascii="仿宋" w:hAnsi="仿宋" w:eastAsia="仿宋" w:cs="仿宋"/>
                <w:color w:val="auto"/>
                <w:kern w:val="2"/>
                <w:sz w:val="21"/>
                <w:szCs w:val="21"/>
                <w:highlight w:val="none"/>
                <w:lang w:eastAsia="zh-CN"/>
              </w:rPr>
              <w:t>；</w:t>
            </w:r>
          </w:p>
          <w:p>
            <w:pPr>
              <w:pStyle w:val="12"/>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rPr>
              <w:t xml:space="preserve">10.最大真空度≥0.4bar </w:t>
            </w:r>
            <w:r>
              <w:rPr>
                <w:rFonts w:hint="eastAsia" w:ascii="仿宋" w:hAnsi="仿宋" w:eastAsia="仿宋" w:cs="仿宋"/>
                <w:color w:val="auto"/>
                <w:kern w:val="2"/>
                <w:sz w:val="21"/>
                <w:szCs w:val="21"/>
                <w:highlight w:val="none"/>
                <w:lang w:eastAsia="zh-CN"/>
              </w:rPr>
              <w:t>；</w:t>
            </w:r>
          </w:p>
          <w:p>
            <w:pPr>
              <w:pStyle w:val="12"/>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rPr>
              <w:t>12.滤杯容量规格100mL 或250mL</w:t>
            </w:r>
            <w:r>
              <w:rPr>
                <w:rFonts w:hint="eastAsia" w:ascii="仿宋" w:hAnsi="仿宋" w:eastAsia="仿宋" w:cs="仿宋"/>
                <w:color w:val="auto"/>
                <w:kern w:val="2"/>
                <w:sz w:val="21"/>
                <w:szCs w:val="21"/>
                <w:highlight w:val="none"/>
                <w:lang w:eastAsia="zh-CN"/>
              </w:rPr>
              <w:t>；</w:t>
            </w:r>
          </w:p>
          <w:p>
            <w:pPr>
              <w:pStyle w:val="12"/>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rPr>
              <w:t>13.滤杯套装内包括了0.22 或0.45um等孔径要求的滤膜，无菌包装，即拿即用型，无需实验前的准备</w:t>
            </w:r>
            <w:r>
              <w:rPr>
                <w:rFonts w:hint="eastAsia" w:ascii="仿宋" w:hAnsi="仿宋" w:eastAsia="仿宋" w:cs="仿宋"/>
                <w:color w:val="auto"/>
                <w:kern w:val="2"/>
                <w:sz w:val="21"/>
                <w:szCs w:val="21"/>
                <w:highlight w:val="none"/>
                <w:lang w:eastAsia="zh-CN"/>
              </w:rPr>
              <w:t>；</w:t>
            </w:r>
          </w:p>
          <w:p>
            <w:pPr>
              <w:pStyle w:val="12"/>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rPr>
              <w:t>14. 滤杯内表面需经过疏水处理，标准纯化水的残留量应低于0.3%</w:t>
            </w:r>
            <w:r>
              <w:rPr>
                <w:rFonts w:hint="eastAsia" w:ascii="仿宋" w:hAnsi="仿宋" w:eastAsia="仿宋" w:cs="仿宋"/>
                <w:color w:val="auto"/>
                <w:kern w:val="2"/>
                <w:sz w:val="21"/>
                <w:szCs w:val="21"/>
                <w:highlight w:val="none"/>
                <w:lang w:eastAsia="zh-CN"/>
              </w:rPr>
              <w:t>；</w:t>
            </w:r>
          </w:p>
          <w:p>
            <w:pPr>
              <w:pStyle w:val="12"/>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rPr>
              <w:t>15.滤杯盖子为呼吸盖</w:t>
            </w:r>
            <w:r>
              <w:rPr>
                <w:rFonts w:hint="eastAsia" w:ascii="仿宋" w:hAnsi="仿宋" w:eastAsia="仿宋" w:cs="仿宋"/>
                <w:color w:val="auto"/>
                <w:kern w:val="2"/>
                <w:sz w:val="21"/>
                <w:szCs w:val="21"/>
                <w:highlight w:val="none"/>
                <w:lang w:eastAsia="zh-CN"/>
              </w:rPr>
              <w:t>；</w:t>
            </w:r>
          </w:p>
          <w:p>
            <w:pPr>
              <w:pStyle w:val="12"/>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rPr>
              <w:t>16.符合包括中国在内等多国药典和相关机构法规要求</w:t>
            </w:r>
            <w:r>
              <w:rPr>
                <w:rFonts w:hint="eastAsia" w:ascii="仿宋" w:hAnsi="仿宋" w:eastAsia="仿宋" w:cs="仿宋"/>
                <w:color w:val="auto"/>
                <w:kern w:val="2"/>
                <w:sz w:val="21"/>
                <w:szCs w:val="21"/>
                <w:highlight w:val="none"/>
                <w:lang w:eastAsia="zh-CN"/>
              </w:rPr>
              <w:t>；</w:t>
            </w:r>
          </w:p>
          <w:p>
            <w:pPr>
              <w:pStyle w:val="12"/>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rPr>
              <w:t>17. 减少了消毒和维护时间，无需高压灭菌。只需每月对泵内部管路进行消毒,有相应设计验证文件</w:t>
            </w:r>
            <w:r>
              <w:rPr>
                <w:rFonts w:hint="eastAsia" w:ascii="仿宋" w:hAnsi="仿宋" w:eastAsia="仿宋" w:cs="仿宋"/>
                <w:color w:val="auto"/>
                <w:kern w:val="2"/>
                <w:sz w:val="21"/>
                <w:szCs w:val="21"/>
                <w:highlight w:val="none"/>
                <w:lang w:eastAsia="zh-CN"/>
              </w:rPr>
              <w:t>。</w:t>
            </w:r>
          </w:p>
        </w:tc>
        <w:tc>
          <w:tcPr>
            <w:tcW w:w="1897" w:type="dxa"/>
            <w:vAlign w:val="center"/>
          </w:tcPr>
          <w:p>
            <w:pPr>
              <w:spacing w:line="0" w:lineRule="atLeas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vAlign w:val="center"/>
          </w:tcPr>
          <w:p>
            <w:pPr>
              <w:pStyle w:val="12"/>
              <w:jc w:val="center"/>
              <w:rPr>
                <w:rFonts w:hint="eastAsia"/>
                <w:color w:val="auto"/>
                <w:sz w:val="21"/>
                <w:szCs w:val="21"/>
                <w:highlight w:val="none"/>
                <w:lang w:val="en-US" w:eastAsia="zh-CN"/>
              </w:rPr>
            </w:pPr>
          </w:p>
          <w:p>
            <w:pPr>
              <w:pStyle w:val="12"/>
              <w:jc w:val="center"/>
              <w:rPr>
                <w:rFonts w:hint="eastAsia"/>
                <w:color w:val="auto"/>
                <w:sz w:val="21"/>
                <w:szCs w:val="21"/>
                <w:highlight w:val="none"/>
                <w:lang w:val="en-US" w:eastAsia="zh-CN"/>
              </w:rPr>
            </w:pPr>
          </w:p>
          <w:p>
            <w:pPr>
              <w:pStyle w:val="12"/>
              <w:jc w:val="center"/>
              <w:rPr>
                <w:rFonts w:hint="eastAsia"/>
                <w:color w:val="auto"/>
                <w:sz w:val="21"/>
                <w:szCs w:val="21"/>
                <w:highlight w:val="none"/>
                <w:lang w:val="en-US" w:eastAsia="zh-CN"/>
              </w:rPr>
            </w:pPr>
          </w:p>
          <w:p>
            <w:pPr>
              <w:pStyle w:val="12"/>
              <w:jc w:val="center"/>
              <w:rPr>
                <w:rFonts w:hint="eastAsia"/>
                <w:color w:val="auto"/>
                <w:sz w:val="21"/>
                <w:szCs w:val="21"/>
                <w:highlight w:val="none"/>
                <w:lang w:val="en-US" w:eastAsia="zh-CN"/>
              </w:rPr>
            </w:pPr>
          </w:p>
          <w:p>
            <w:pPr>
              <w:pStyle w:val="12"/>
              <w:jc w:val="center"/>
              <w:rPr>
                <w:rFonts w:hint="eastAsia"/>
                <w:color w:val="auto"/>
                <w:sz w:val="21"/>
                <w:szCs w:val="21"/>
                <w:highlight w:val="none"/>
                <w:lang w:val="en-US" w:eastAsia="zh-CN"/>
              </w:rPr>
            </w:pPr>
          </w:p>
          <w:p>
            <w:pPr>
              <w:pStyle w:val="12"/>
              <w:jc w:val="center"/>
              <w:rPr>
                <w:rFonts w:hint="eastAsia"/>
                <w:color w:val="auto"/>
                <w:sz w:val="21"/>
                <w:szCs w:val="21"/>
                <w:highlight w:val="none"/>
                <w:lang w:val="en-US" w:eastAsia="zh-CN"/>
              </w:rPr>
            </w:pPr>
            <w:r>
              <w:rPr>
                <w:rFonts w:hint="eastAsia"/>
                <w:color w:val="auto"/>
                <w:sz w:val="21"/>
                <w:szCs w:val="21"/>
                <w:highlight w:val="none"/>
                <w:lang w:val="en-US" w:eastAsia="zh-CN"/>
              </w:rPr>
              <w:t>4</w:t>
            </w:r>
          </w:p>
          <w:p>
            <w:pPr>
              <w:pStyle w:val="13"/>
              <w:rPr>
                <w:rFonts w:hint="eastAsia"/>
                <w:color w:val="auto"/>
                <w:sz w:val="21"/>
                <w:szCs w:val="21"/>
                <w:highlight w:val="none"/>
                <w:lang w:val="en-US" w:eastAsia="zh-CN"/>
              </w:rPr>
            </w:pPr>
          </w:p>
          <w:p>
            <w:pPr>
              <w:rPr>
                <w:rFonts w:hint="eastAsia"/>
                <w:color w:val="auto"/>
                <w:sz w:val="21"/>
                <w:szCs w:val="21"/>
                <w:highlight w:val="none"/>
                <w:lang w:val="en-US" w:eastAsia="zh-CN"/>
              </w:rPr>
            </w:pPr>
          </w:p>
        </w:tc>
        <w:tc>
          <w:tcPr>
            <w:tcW w:w="900" w:type="dxa"/>
            <w:vAlign w:val="center"/>
          </w:tcPr>
          <w:p>
            <w:pPr>
              <w:pStyle w:val="12"/>
              <w:jc w:val="center"/>
              <w:rPr>
                <w:rFonts w:hint="eastAsia" w:ascii="仿宋" w:hAnsi="仿宋" w:eastAsia="仿宋" w:cs="仿宋"/>
                <w:color w:val="auto"/>
                <w:kern w:val="2"/>
                <w:sz w:val="21"/>
                <w:szCs w:val="21"/>
                <w:highlight w:val="none"/>
              </w:rPr>
            </w:pPr>
          </w:p>
          <w:p>
            <w:pPr>
              <w:pStyle w:val="12"/>
              <w:jc w:val="center"/>
              <w:rPr>
                <w:rFonts w:hint="eastAsia" w:ascii="仿宋" w:hAnsi="仿宋" w:eastAsia="仿宋" w:cs="仿宋"/>
                <w:color w:val="auto"/>
                <w:kern w:val="2"/>
                <w:sz w:val="21"/>
                <w:szCs w:val="21"/>
                <w:highlight w:val="none"/>
              </w:rPr>
            </w:pPr>
          </w:p>
          <w:p>
            <w:pPr>
              <w:pStyle w:val="12"/>
              <w:jc w:val="center"/>
              <w:rPr>
                <w:rFonts w:hint="eastAsia" w:ascii="仿宋" w:hAnsi="仿宋" w:eastAsia="仿宋" w:cs="仿宋"/>
                <w:color w:val="auto"/>
                <w:kern w:val="2"/>
                <w:sz w:val="21"/>
                <w:szCs w:val="21"/>
                <w:highlight w:val="none"/>
              </w:rPr>
            </w:pPr>
          </w:p>
          <w:p>
            <w:pPr>
              <w:pStyle w:val="12"/>
              <w:jc w:val="center"/>
              <w:rPr>
                <w:rFonts w:hint="eastAsia" w:ascii="仿宋" w:hAnsi="仿宋" w:eastAsia="仿宋" w:cs="仿宋"/>
                <w:color w:val="auto"/>
                <w:kern w:val="2"/>
                <w:sz w:val="21"/>
                <w:szCs w:val="21"/>
                <w:highlight w:val="none"/>
              </w:rPr>
            </w:pPr>
          </w:p>
          <w:p>
            <w:pPr>
              <w:pStyle w:val="13"/>
              <w:rPr>
                <w:rFonts w:hint="eastAsia"/>
                <w:color w:val="auto"/>
                <w:sz w:val="21"/>
                <w:szCs w:val="21"/>
                <w:highlight w:val="none"/>
              </w:rPr>
            </w:pPr>
          </w:p>
          <w:p>
            <w:pPr>
              <w:pStyle w:val="12"/>
              <w:jc w:val="center"/>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竹料分公司</w:t>
            </w:r>
          </w:p>
        </w:tc>
        <w:tc>
          <w:tcPr>
            <w:tcW w:w="872" w:type="dxa"/>
            <w:vAlign w:val="center"/>
          </w:tcPr>
          <w:p>
            <w:pPr>
              <w:widowControl/>
              <w:jc w:val="center"/>
              <w:textAlignment w:val="center"/>
              <w:rPr>
                <w:rFonts w:hint="eastAsia" w:ascii="仿宋" w:hAnsi="仿宋" w:eastAsia="仿宋" w:cs="仿宋"/>
                <w:color w:val="auto"/>
                <w:sz w:val="21"/>
                <w:szCs w:val="21"/>
                <w:highlight w:val="none"/>
              </w:rPr>
            </w:pPr>
          </w:p>
          <w:p>
            <w:pPr>
              <w:widowControl/>
              <w:jc w:val="center"/>
              <w:textAlignment w:val="center"/>
              <w:rPr>
                <w:rFonts w:hint="eastAsia" w:ascii="仿宋" w:hAnsi="仿宋" w:eastAsia="仿宋" w:cs="仿宋"/>
                <w:color w:val="auto"/>
                <w:sz w:val="21"/>
                <w:szCs w:val="21"/>
                <w:highlight w:val="none"/>
              </w:rPr>
            </w:pPr>
          </w:p>
          <w:p>
            <w:pPr>
              <w:widowControl/>
              <w:jc w:val="center"/>
              <w:textAlignment w:val="center"/>
              <w:rPr>
                <w:rFonts w:hint="eastAsia" w:ascii="仿宋" w:hAnsi="仿宋" w:eastAsia="仿宋" w:cs="仿宋"/>
                <w:color w:val="auto"/>
                <w:sz w:val="21"/>
                <w:szCs w:val="21"/>
                <w:highlight w:val="none"/>
              </w:rPr>
            </w:pPr>
          </w:p>
          <w:p>
            <w:pPr>
              <w:widowControl/>
              <w:jc w:val="center"/>
              <w:textAlignment w:val="center"/>
              <w:rPr>
                <w:rFonts w:hint="eastAsia" w:ascii="仿宋" w:hAnsi="仿宋" w:eastAsia="仿宋" w:cs="仿宋"/>
                <w:color w:val="auto"/>
                <w:sz w:val="21"/>
                <w:szCs w:val="21"/>
                <w:highlight w:val="none"/>
              </w:rPr>
            </w:pPr>
          </w:p>
          <w:p>
            <w:pPr>
              <w:widowControl/>
              <w:jc w:val="center"/>
              <w:textAlignment w:val="center"/>
              <w:rPr>
                <w:rFonts w:hint="eastAsia" w:ascii="仿宋" w:hAnsi="仿宋" w:eastAsia="仿宋" w:cs="仿宋"/>
                <w:color w:val="auto"/>
                <w:sz w:val="21"/>
                <w:szCs w:val="21"/>
                <w:highlight w:val="none"/>
              </w:rPr>
            </w:pPr>
          </w:p>
          <w:p>
            <w:pPr>
              <w:widowControl/>
              <w:jc w:val="center"/>
              <w:textAlignment w:val="center"/>
              <w:rPr>
                <w:rFonts w:hint="eastAsia" w:ascii="仿宋" w:hAnsi="仿宋" w:eastAsia="仿宋" w:cs="仿宋"/>
                <w:color w:val="auto"/>
                <w:sz w:val="21"/>
                <w:szCs w:val="21"/>
                <w:highlight w:val="none"/>
              </w:rPr>
            </w:pPr>
          </w:p>
          <w:p>
            <w:pPr>
              <w:widowControl/>
              <w:jc w:val="center"/>
              <w:textAlignment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溶解氧测定仪</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便携式多参数水质分析仪</w:t>
            </w:r>
            <w:r>
              <w:rPr>
                <w:rFonts w:hint="eastAsia" w:ascii="仿宋" w:hAnsi="仿宋" w:eastAsia="仿宋" w:cs="仿宋"/>
                <w:color w:val="auto"/>
                <w:sz w:val="21"/>
                <w:szCs w:val="21"/>
                <w:highlight w:val="none"/>
                <w:lang w:eastAsia="zh-CN"/>
              </w:rPr>
              <w:t>）</w:t>
            </w:r>
          </w:p>
        </w:tc>
        <w:tc>
          <w:tcPr>
            <w:tcW w:w="5373" w:type="dxa"/>
          </w:tcPr>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显示：可同时显示2个电极的读数；</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pH电极：pH、mV、温度；pH量程：0-14pH；pH精度：±0.002pH；pH分辨率：0.001pH，0.01pH，0.1pH；</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电导率电极：电导率、温度；电导率精度：±0.5%；</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电导率量程：0.01μS/cm-200mS/cm；电导率分辨率：0.01μS/cm；</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溶解氧电极：溶解氧、压力、温度；溶解氧量程：0.01-20mg/L；氧饱和度量程：0-200%；溶解氧分辨率：0.01mg/L；</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ORP氧化还原电位电极：mV、温度；ORP量程：-1500—1500mV；ORP精度：±0.1mV；ORP分辨率：0.1mV；</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采用便携式IP67设计, 具有液晶显示屏；</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数据存储：校准数据都存贮在日志中。在“按下即读”模式和间隔测量模式时可自动存储。在“连续读数”模式时需手动存储；</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温度修正/补偿：三种模式，分别为关，自动，手动（修正要根据参数进行）；</w:t>
            </w:r>
          </w:p>
          <w:p>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锁定显示功能：连续测量模式或按下即读测量模式有平均LDO测量读数的功能</w:t>
            </w:r>
            <w:r>
              <w:rPr>
                <w:rFonts w:hint="eastAsia"/>
                <w:color w:val="auto"/>
                <w:sz w:val="21"/>
                <w:szCs w:val="21"/>
                <w:highlight w:val="none"/>
              </w:rPr>
              <w:t>；</w:t>
            </w:r>
          </w:p>
        </w:tc>
        <w:tc>
          <w:tcPr>
            <w:tcW w:w="1897" w:type="dxa"/>
            <w:vAlign w:val="center"/>
          </w:tcPr>
          <w:p>
            <w:pPr>
              <w:spacing w:line="0" w:lineRule="atLeas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vAlign w:val="center"/>
          </w:tcPr>
          <w:p>
            <w:pPr>
              <w:pStyle w:val="12"/>
              <w:jc w:val="center"/>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5</w:t>
            </w:r>
          </w:p>
        </w:tc>
        <w:tc>
          <w:tcPr>
            <w:tcW w:w="900" w:type="dxa"/>
            <w:vAlign w:val="center"/>
          </w:tcPr>
          <w:p>
            <w:pPr>
              <w:pStyle w:val="12"/>
              <w:jc w:val="center"/>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竹料分公司</w:t>
            </w:r>
          </w:p>
        </w:tc>
        <w:tc>
          <w:tcPr>
            <w:tcW w:w="872" w:type="dxa"/>
            <w:vAlign w:val="center"/>
          </w:tcPr>
          <w:p>
            <w:pPr>
              <w:widowControl/>
              <w:jc w:val="center"/>
              <w:textAlignment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生化培养箱</w:t>
            </w:r>
          </w:p>
        </w:tc>
        <w:tc>
          <w:tcPr>
            <w:tcW w:w="5373" w:type="dxa"/>
          </w:tcPr>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恒温培养箱1台，含载物托架等。</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控温范围：-10～100℃</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温度波动度（测试点为37℃）：±0.1℃（或K）</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温度偏差（测试点为37℃）：±0.2℃（或K）</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30秒开门后的恢复时间：2min（测试点为37℃）</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额定功率：≥0.7KW；</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每只搁架载荷：≥20 kg；容许总载荷：≥50 kg；</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内部容积：≥115 L；</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载物托架：≥2块，采用不锈钢材质</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具有内腔预热功能，具有可调温度安全装置，具有光学和声音报警功能，具有以太网接口，内门采用安全玻璃制成，采用间隔编程和实时编程控制器，通过压缩冷却机进行冷却，可调节风扇转速</w:t>
            </w:r>
          </w:p>
        </w:tc>
        <w:tc>
          <w:tcPr>
            <w:tcW w:w="1897" w:type="dxa"/>
            <w:vAlign w:val="center"/>
          </w:tcPr>
          <w:p>
            <w:pPr>
              <w:spacing w:line="0" w:lineRule="atLeas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vAlign w:val="center"/>
          </w:tcPr>
          <w:p>
            <w:pPr>
              <w:pStyle w:val="12"/>
              <w:jc w:val="center"/>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6</w:t>
            </w:r>
          </w:p>
        </w:tc>
        <w:tc>
          <w:tcPr>
            <w:tcW w:w="900" w:type="dxa"/>
            <w:vAlign w:val="center"/>
          </w:tcPr>
          <w:p>
            <w:pPr>
              <w:pStyle w:val="12"/>
              <w:jc w:val="center"/>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竹料分公司</w:t>
            </w:r>
          </w:p>
        </w:tc>
        <w:tc>
          <w:tcPr>
            <w:tcW w:w="872" w:type="dxa"/>
            <w:vAlign w:val="center"/>
          </w:tcPr>
          <w:p>
            <w:pPr>
              <w:widowControl/>
              <w:jc w:val="center"/>
              <w:textAlignment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高压蒸汽灭菌锅</w:t>
            </w:r>
          </w:p>
        </w:tc>
        <w:tc>
          <w:tcPr>
            <w:tcW w:w="5373" w:type="dxa"/>
          </w:tcPr>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有效容积：2</w:t>
            </w:r>
            <w:r>
              <w:rPr>
                <w:rFonts w:hint="eastAsia" w:ascii="仿宋" w:hAnsi="仿宋" w:eastAsia="仿宋" w:cs="仿宋"/>
                <w:color w:val="auto"/>
                <w:kern w:val="2"/>
                <w:sz w:val="21"/>
                <w:szCs w:val="21"/>
                <w:highlight w:val="none"/>
                <w:lang w:val="en-US" w:eastAsia="zh-CN"/>
              </w:rPr>
              <w:t>8</w:t>
            </w:r>
            <w:r>
              <w:rPr>
                <w:rFonts w:hint="eastAsia" w:ascii="仿宋" w:hAnsi="仿宋" w:eastAsia="仿宋" w:cs="仿宋"/>
                <w:color w:val="auto"/>
                <w:kern w:val="2"/>
                <w:sz w:val="21"/>
                <w:szCs w:val="21"/>
                <w:highlight w:val="none"/>
              </w:rPr>
              <w:t>L</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额定工作压力：≥0.22Mpa；</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额定工作温度：≥134℃；</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热均匀度：≤±1℃；</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计时选择范围：≥0-99mins；</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温度选择范围：≥105-134℃；</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功率/电源电压：2KW/AC220V 50HZ</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灭菌过程全自动电脑控制，触摸式按键，可任意设定灭菌程序；</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平移式快开门结构，自涨式密封，并有安全联锁装置；</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配有电子压力温度控制器，当达到设定的灭菌压力温度时，能自动进行恒压恒温；消毒桶为优质不锈钢材料；</w:t>
            </w:r>
            <w:r>
              <w:rPr>
                <w:rFonts w:hint="eastAsia" w:ascii="仿宋" w:hAnsi="仿宋" w:eastAsia="仿宋" w:cs="仿宋"/>
                <w:color w:val="auto"/>
                <w:kern w:val="2"/>
                <w:sz w:val="21"/>
                <w:szCs w:val="21"/>
                <w:highlight w:val="none"/>
              </w:rPr>
              <w:br w:type="textWrapping"/>
            </w:r>
            <w:r>
              <w:rPr>
                <w:rFonts w:hint="eastAsia" w:ascii="仿宋" w:hAnsi="仿宋" w:eastAsia="仿宋" w:cs="仿宋"/>
                <w:color w:val="auto"/>
                <w:kern w:val="2"/>
                <w:sz w:val="21"/>
                <w:szCs w:val="21"/>
                <w:highlight w:val="none"/>
              </w:rPr>
              <w:t>设有超温、超压自动保护装置；整机由优质不锈钢材料制成，采用浸入式电热管加热；</w:t>
            </w:r>
            <w:r>
              <w:rPr>
                <w:rFonts w:hint="eastAsia" w:ascii="仿宋" w:hAnsi="仿宋" w:eastAsia="仿宋" w:cs="仿宋"/>
                <w:color w:val="auto"/>
                <w:kern w:val="2"/>
                <w:sz w:val="21"/>
                <w:szCs w:val="21"/>
                <w:highlight w:val="none"/>
              </w:rPr>
              <w:br w:type="textWrapping"/>
            </w:r>
            <w:r>
              <w:rPr>
                <w:rFonts w:hint="eastAsia" w:ascii="仿宋" w:hAnsi="仿宋" w:eastAsia="仿宋" w:cs="仿宋"/>
                <w:color w:val="auto"/>
                <w:kern w:val="2"/>
                <w:sz w:val="21"/>
                <w:szCs w:val="21"/>
                <w:highlight w:val="none"/>
                <w:lang w:val="en-US" w:eastAsia="zh-CN"/>
              </w:rPr>
              <w:t>设有排放冷气、灭菌、计时、排汽、报警自动功能；</w:t>
            </w:r>
            <w:r>
              <w:rPr>
                <w:rFonts w:hint="eastAsia" w:ascii="仿宋" w:hAnsi="仿宋" w:eastAsia="仿宋" w:cs="仿宋"/>
                <w:color w:val="auto"/>
                <w:kern w:val="2"/>
                <w:sz w:val="21"/>
                <w:szCs w:val="21"/>
                <w:highlight w:val="none"/>
              </w:rPr>
              <w:br w:type="textWrapping"/>
            </w:r>
            <w:r>
              <w:rPr>
                <w:rFonts w:hint="eastAsia" w:ascii="仿宋" w:hAnsi="仿宋" w:eastAsia="仿宋" w:cs="仿宋"/>
                <w:color w:val="auto"/>
                <w:kern w:val="2"/>
                <w:sz w:val="21"/>
                <w:szCs w:val="21"/>
                <w:highlight w:val="none"/>
              </w:rPr>
              <w:t>具有断水过热保护</w:t>
            </w:r>
            <w:r>
              <w:rPr>
                <w:rFonts w:hint="eastAsia" w:ascii="仿宋" w:hAnsi="仿宋" w:eastAsia="仿宋" w:cs="仿宋"/>
                <w:color w:val="auto"/>
                <w:kern w:val="2"/>
                <w:sz w:val="21"/>
                <w:szCs w:val="21"/>
                <w:highlight w:val="none"/>
                <w:lang w:eastAsia="zh-CN"/>
              </w:rPr>
              <w:t>、</w:t>
            </w:r>
            <w:r>
              <w:rPr>
                <w:rFonts w:hint="eastAsia" w:ascii="仿宋" w:hAnsi="仿宋" w:eastAsia="仿宋" w:cs="仿宋"/>
                <w:color w:val="auto"/>
                <w:kern w:val="2"/>
                <w:sz w:val="21"/>
                <w:szCs w:val="21"/>
                <w:highlight w:val="none"/>
                <w:lang w:val="en-US" w:eastAsia="zh-CN"/>
              </w:rPr>
              <w:t>电流过载自动切断</w:t>
            </w:r>
            <w:r>
              <w:rPr>
                <w:rFonts w:hint="eastAsia" w:ascii="仿宋" w:hAnsi="仿宋" w:eastAsia="仿宋" w:cs="仿宋"/>
                <w:color w:val="auto"/>
                <w:kern w:val="2"/>
                <w:sz w:val="21"/>
                <w:szCs w:val="21"/>
                <w:highlight w:val="none"/>
              </w:rPr>
              <w:t>功能</w:t>
            </w:r>
            <w:r>
              <w:rPr>
                <w:rFonts w:hint="eastAsia" w:ascii="仿宋" w:hAnsi="仿宋" w:eastAsia="仿宋" w:cs="仿宋"/>
                <w:color w:val="auto"/>
                <w:kern w:val="2"/>
                <w:sz w:val="21"/>
                <w:szCs w:val="21"/>
                <w:highlight w:val="none"/>
                <w:lang w:eastAsia="zh-CN"/>
              </w:rPr>
              <w:t>；</w:t>
            </w:r>
            <w:r>
              <w:rPr>
                <w:rFonts w:hint="eastAsia" w:ascii="仿宋" w:hAnsi="仿宋" w:eastAsia="仿宋" w:cs="仿宋"/>
                <w:color w:val="auto"/>
                <w:kern w:val="2"/>
                <w:sz w:val="21"/>
                <w:szCs w:val="21"/>
                <w:highlight w:val="none"/>
              </w:rPr>
              <w:t>灭菌循环结束蜂鸣提醒并自动停机。</w:t>
            </w:r>
          </w:p>
        </w:tc>
        <w:tc>
          <w:tcPr>
            <w:tcW w:w="1897" w:type="dxa"/>
            <w:vAlign w:val="center"/>
          </w:tcPr>
          <w:p>
            <w:pPr>
              <w:spacing w:line="0" w:lineRule="atLeas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vAlign w:val="center"/>
          </w:tcPr>
          <w:p>
            <w:pPr>
              <w:pStyle w:val="12"/>
              <w:jc w:val="center"/>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7</w:t>
            </w:r>
          </w:p>
        </w:tc>
        <w:tc>
          <w:tcPr>
            <w:tcW w:w="900" w:type="dxa"/>
            <w:vAlign w:val="center"/>
          </w:tcPr>
          <w:p>
            <w:pPr>
              <w:pStyle w:val="12"/>
              <w:jc w:val="center"/>
              <w:rPr>
                <w:rFonts w:hint="default"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江高分公司</w:t>
            </w:r>
          </w:p>
        </w:tc>
        <w:tc>
          <w:tcPr>
            <w:tcW w:w="872" w:type="dxa"/>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高压灭菌锅</w:t>
            </w:r>
          </w:p>
        </w:tc>
        <w:tc>
          <w:tcPr>
            <w:tcW w:w="5373" w:type="dxa"/>
          </w:tcPr>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有效容积：2</w:t>
            </w:r>
            <w:r>
              <w:rPr>
                <w:rFonts w:hint="eastAsia" w:ascii="仿宋" w:hAnsi="仿宋" w:eastAsia="仿宋" w:cs="仿宋"/>
                <w:color w:val="auto"/>
                <w:kern w:val="2"/>
                <w:sz w:val="21"/>
                <w:szCs w:val="21"/>
                <w:highlight w:val="none"/>
                <w:lang w:val="en-US" w:eastAsia="zh-CN"/>
              </w:rPr>
              <w:t>8</w:t>
            </w:r>
            <w:r>
              <w:rPr>
                <w:rFonts w:hint="eastAsia" w:ascii="仿宋" w:hAnsi="仿宋" w:eastAsia="仿宋" w:cs="仿宋"/>
                <w:color w:val="auto"/>
                <w:kern w:val="2"/>
                <w:sz w:val="21"/>
                <w:szCs w:val="21"/>
                <w:highlight w:val="none"/>
              </w:rPr>
              <w:t>L</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额定工作压力：≥0.22Mpa；</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额定工作温度：≥134℃；</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热均匀度：≤±1℃；</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计时选择范围：≥0-99mins；</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温度选择范围：≥105-134℃；</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功率/电源电压：2KW/AC220V 50HZ</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灭菌过程全自动电脑控制，触摸式按键，可任意设定灭菌程序；</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平移式快开门结构，自涨式密封，并有安全联锁装置；</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配有电子压力温度控制器，当达到设定的灭菌压力温度时，能自动进行恒压恒温；消毒桶为优质不锈钢材料；</w:t>
            </w:r>
            <w:r>
              <w:rPr>
                <w:rFonts w:hint="eastAsia" w:ascii="仿宋" w:hAnsi="仿宋" w:eastAsia="仿宋" w:cs="仿宋"/>
                <w:color w:val="auto"/>
                <w:kern w:val="2"/>
                <w:sz w:val="21"/>
                <w:szCs w:val="21"/>
                <w:highlight w:val="none"/>
              </w:rPr>
              <w:br w:type="textWrapping"/>
            </w:r>
            <w:r>
              <w:rPr>
                <w:rFonts w:hint="eastAsia" w:ascii="仿宋" w:hAnsi="仿宋" w:eastAsia="仿宋" w:cs="仿宋"/>
                <w:color w:val="auto"/>
                <w:kern w:val="2"/>
                <w:sz w:val="21"/>
                <w:szCs w:val="21"/>
                <w:highlight w:val="none"/>
              </w:rPr>
              <w:t>设有超温、超压自动保护装置；整机由优质不锈钢材料制成，采用浸入式电热管加热；</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val="en-US" w:eastAsia="zh-CN"/>
              </w:rPr>
              <w:t>设有排放冷气、灭菌、计时、排汽、报警自动功能；</w:t>
            </w:r>
            <w:r>
              <w:rPr>
                <w:rFonts w:hint="eastAsia" w:ascii="仿宋" w:hAnsi="仿宋" w:eastAsia="仿宋" w:cs="仿宋"/>
                <w:color w:val="auto"/>
                <w:kern w:val="2"/>
                <w:sz w:val="21"/>
                <w:szCs w:val="21"/>
                <w:highlight w:val="none"/>
              </w:rPr>
              <w:br w:type="textWrapping"/>
            </w:r>
            <w:r>
              <w:rPr>
                <w:rFonts w:hint="eastAsia" w:ascii="仿宋" w:hAnsi="仿宋" w:eastAsia="仿宋" w:cs="仿宋"/>
                <w:color w:val="auto"/>
                <w:kern w:val="2"/>
                <w:sz w:val="21"/>
                <w:szCs w:val="21"/>
                <w:highlight w:val="none"/>
              </w:rPr>
              <w:t>具有断水过热保护</w:t>
            </w:r>
            <w:r>
              <w:rPr>
                <w:rFonts w:hint="eastAsia" w:ascii="仿宋" w:hAnsi="仿宋" w:eastAsia="仿宋" w:cs="仿宋"/>
                <w:color w:val="auto"/>
                <w:kern w:val="2"/>
                <w:sz w:val="21"/>
                <w:szCs w:val="21"/>
                <w:highlight w:val="none"/>
                <w:lang w:eastAsia="zh-CN"/>
              </w:rPr>
              <w:t>、</w:t>
            </w:r>
            <w:r>
              <w:rPr>
                <w:rFonts w:hint="eastAsia" w:ascii="仿宋" w:hAnsi="仿宋" w:eastAsia="仿宋" w:cs="仿宋"/>
                <w:color w:val="auto"/>
                <w:kern w:val="2"/>
                <w:sz w:val="21"/>
                <w:szCs w:val="21"/>
                <w:highlight w:val="none"/>
                <w:lang w:val="en-US" w:eastAsia="zh-CN"/>
              </w:rPr>
              <w:t>电流过载自动切断</w:t>
            </w:r>
            <w:r>
              <w:rPr>
                <w:rFonts w:hint="eastAsia" w:ascii="仿宋" w:hAnsi="仿宋" w:eastAsia="仿宋" w:cs="仿宋"/>
                <w:color w:val="auto"/>
                <w:kern w:val="2"/>
                <w:sz w:val="21"/>
                <w:szCs w:val="21"/>
                <w:highlight w:val="none"/>
              </w:rPr>
              <w:t>功能</w:t>
            </w:r>
            <w:r>
              <w:rPr>
                <w:rFonts w:hint="eastAsia" w:ascii="仿宋" w:hAnsi="仿宋" w:eastAsia="仿宋" w:cs="仿宋"/>
                <w:color w:val="auto"/>
                <w:kern w:val="2"/>
                <w:sz w:val="21"/>
                <w:szCs w:val="21"/>
                <w:highlight w:val="none"/>
                <w:lang w:eastAsia="zh-CN"/>
              </w:rPr>
              <w:t>；</w:t>
            </w:r>
            <w:r>
              <w:rPr>
                <w:rFonts w:hint="eastAsia" w:ascii="仿宋" w:hAnsi="仿宋" w:eastAsia="仿宋" w:cs="仿宋"/>
                <w:color w:val="auto"/>
                <w:kern w:val="2"/>
                <w:sz w:val="21"/>
                <w:szCs w:val="21"/>
                <w:highlight w:val="none"/>
              </w:rPr>
              <w:t>灭菌循环结束蜂鸣提醒并自动停机。</w:t>
            </w:r>
          </w:p>
        </w:tc>
        <w:tc>
          <w:tcPr>
            <w:tcW w:w="1897" w:type="dxa"/>
            <w:vAlign w:val="center"/>
          </w:tcPr>
          <w:p>
            <w:pPr>
              <w:spacing w:line="0" w:lineRule="atLeast"/>
              <w:jc w:val="center"/>
              <w:rPr>
                <w:rFonts w:hint="default" w:ascii="仿宋" w:hAnsi="仿宋" w:eastAsia="仿宋" w:cs="仿宋"/>
                <w:color w:val="auto"/>
                <w:sz w:val="21"/>
                <w:szCs w:val="21"/>
                <w:highlight w:val="none"/>
                <w:lang w:val="en-US" w:eastAsia="zh-CN"/>
              </w:rPr>
            </w:pPr>
          </w:p>
        </w:tc>
      </w:tr>
    </w:tbl>
    <w:p>
      <w:pPr>
        <w:rPr>
          <w:rFonts w:hint="default"/>
          <w:color w:val="auto"/>
          <w:highlight w:val="none"/>
          <w:lang w:val="en-US" w:eastAsia="zh-CN"/>
        </w:rPr>
      </w:pPr>
    </w:p>
    <w:p>
      <w:pPr>
        <w:adjustRightInd w:val="0"/>
        <w:snapToGrid w:val="0"/>
        <w:spacing w:line="360" w:lineRule="auto"/>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adjustRightInd w:val="0"/>
        <w:snapToGrid w:val="0"/>
        <w:spacing w:line="360" w:lineRule="auto"/>
        <w:rPr>
          <w:rFonts w:hint="eastAsia" w:eastAsiaTheme="majorEastAsia"/>
          <w:color w:val="auto"/>
          <w:highlight w:val="none"/>
        </w:rPr>
      </w:pPr>
      <w:r>
        <w:rPr>
          <w:rFonts w:hint="eastAsia" w:ascii="宋体" w:hAnsi="宋体" w:eastAsia="宋体" w:cs="宋体"/>
          <w:color w:val="auto"/>
          <w:sz w:val="24"/>
          <w:szCs w:val="24"/>
          <w:highlight w:val="none"/>
          <w:lang w:val="en-GB"/>
        </w:rPr>
        <w:t>年  月  日</w:t>
      </w:r>
    </w:p>
    <w:p>
      <w:pPr>
        <w:pStyle w:val="6"/>
        <w:numPr>
          <w:ilvl w:val="0"/>
          <w:numId w:val="2"/>
        </w:numPr>
        <w:ind w:left="0" w:leftChars="0" w:firstLine="0" w:firstLineChars="0"/>
        <w:rPr>
          <w:rFonts w:hint="eastAsia" w:eastAsiaTheme="majorEastAsia"/>
          <w:color w:val="auto"/>
          <w:highlight w:val="none"/>
          <w:lang w:val="en-US" w:eastAsia="zh-CN"/>
        </w:rPr>
      </w:pPr>
      <w:r>
        <w:rPr>
          <w:rFonts w:hint="eastAsia" w:eastAsiaTheme="majorEastAsia"/>
          <w:color w:val="auto"/>
          <w:highlight w:val="none"/>
          <w:lang w:val="en-US" w:eastAsia="zh-CN"/>
        </w:rPr>
        <w:t>承诺函</w:t>
      </w:r>
    </w:p>
    <w:p>
      <w:pPr>
        <w:numPr>
          <w:numId w:val="0"/>
        </w:numPr>
        <w:ind w:leftChars="0"/>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广州市净水有限公司：</w:t>
      </w:r>
    </w:p>
    <w:p>
      <w:pPr>
        <w:numPr>
          <w:numId w:val="0"/>
        </w:numPr>
        <w:ind w:leftChars="0" w:firstLine="560" w:firstLineChars="200"/>
        <w:rPr>
          <w:rFonts w:hint="default" w:eastAsia="仿宋"/>
          <w:lang w:val="en-US" w:eastAsia="zh-CN"/>
        </w:rPr>
      </w:pPr>
      <w:r>
        <w:rPr>
          <w:rFonts w:hint="eastAsia" w:ascii="仿宋" w:hAnsi="仿宋" w:eastAsia="仿宋" w:cs="仿宋"/>
          <w:color w:val="auto"/>
          <w:sz w:val="28"/>
          <w:szCs w:val="28"/>
          <w:highlight w:val="none"/>
          <w:u w:val="none"/>
          <w:lang w:val="en-US" w:eastAsia="zh-CN"/>
        </w:rPr>
        <w:t>我司</w:t>
      </w:r>
      <w:r>
        <w:rPr>
          <w:rFonts w:hint="eastAsia" w:ascii="仿宋" w:hAnsi="仿宋" w:eastAsia="仿宋" w:cs="仿宋"/>
          <w:color w:val="auto"/>
          <w:sz w:val="28"/>
          <w:szCs w:val="28"/>
          <w:highlight w:val="none"/>
          <w:u w:val="none"/>
        </w:rPr>
        <w:t>具承诺，所提供报价货物/设备均为制造商全新原装产品</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lang w:val="en-US" w:eastAsia="zh-CN"/>
        </w:rPr>
        <w:t>且符合使用要求。</w:t>
      </w:r>
      <w:bookmarkStart w:id="197" w:name="_GoBack"/>
      <w:bookmarkEnd w:id="197"/>
    </w:p>
    <w:p>
      <w:pPr>
        <w:pStyle w:val="6"/>
        <w:rPr>
          <w:rFonts w:hint="eastAsia" w:eastAsiaTheme="majorEastAsia"/>
          <w:color w:val="auto"/>
          <w:highlight w:val="none"/>
        </w:rPr>
      </w:pPr>
    </w:p>
    <w:p>
      <w:pPr>
        <w:pStyle w:val="6"/>
        <w:rPr>
          <w:rFonts w:asciiTheme="majorEastAsia" w:hAnsiTheme="majorEastAsia" w:eastAsiaTheme="majorEastAsia"/>
          <w:color w:val="auto"/>
          <w:sz w:val="28"/>
          <w:szCs w:val="28"/>
          <w:highlight w:val="none"/>
        </w:rPr>
      </w:pPr>
      <w:r>
        <w:rPr>
          <w:rFonts w:hint="eastAsia" w:asciiTheme="majorEastAsia" w:hAnsiTheme="majorEastAsia" w:eastAsiaTheme="majorEastAsia"/>
          <w:color w:val="auto"/>
          <w:sz w:val="28"/>
          <w:szCs w:val="28"/>
          <w:highlight w:val="none"/>
          <w:lang w:val="en-US" w:eastAsia="zh-CN"/>
        </w:rPr>
        <w:t>8</w:t>
      </w:r>
      <w:r>
        <w:rPr>
          <w:rFonts w:hint="eastAsia" w:asciiTheme="majorEastAsia" w:hAnsiTheme="majorEastAsia" w:eastAsiaTheme="majorEastAsia"/>
          <w:color w:val="auto"/>
          <w:sz w:val="28"/>
          <w:szCs w:val="28"/>
          <w:highlight w:val="none"/>
        </w:rPr>
        <w:t>.其他资料</w:t>
      </w:r>
      <w:bookmarkEnd w:id="193"/>
      <w:bookmarkEnd w:id="194"/>
      <w:bookmarkEnd w:id="195"/>
      <w:bookmarkEnd w:id="196"/>
    </w:p>
    <w:p>
      <w:pPr>
        <w:adjustRightInd w:val="0"/>
        <w:snapToGrid w:val="0"/>
        <w:spacing w:line="600" w:lineRule="exact"/>
        <w:ind w:firstLine="570"/>
        <w:rPr>
          <w:color w:val="auto"/>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footerReference r:id="rId8" w:type="first"/>
      <w:footerReference r:id="rId7"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OVzw8IBAACO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TUauAeHdIWHh0k9GHaGmYjimwmhaqbwH/95L1v1v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HDlc8PCAQAAjgMAAA4AAAAAAAAAAQAgAAAAHgEAAGRycy9lMm9Eb2MueG1sUEsF&#10;BgAAAAAGAAYAWQEAAFIFA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6"/>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4LoMIBAACO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iJI5bnPj554/zr8fzw3fy&#10;JuvTB6gx7S5gYhre+wG3ZvYDOjPtQUWbv0iIYByhThd15ZCIyI9Wy9WqwpDA2HxBfPb0PERIH6S3&#10;JBsNjTi+oio/foI0ps4puZrzt9qYMkLj/nIgZvaw3PvYY7bSsBsmQjvfnpBPj5NvqMNFp8R8dCgs&#10;9pdmI87GbjJyDQjvDgkLl34y6gg1FcMxFUbTSuU9+PNesp5+o81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P+C6DCAQAAjgMAAA4AAAAAAAAAAQAgAAAAHgEAAGRycy9lMm9Eb2MueG1sUEsF&#10;BgAAAAAGAAYAWQEAAFIFAAA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ITDMIBAACO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pJieMWJ375/u3y49fl51fy&#10;OuvTB6gx7SFgYhru/IBbM/sBnZn2oKLNXyREMI7qnq/qyiERkR+tV+t1hSGBsfmC+OzxeYiQ3kpv&#10;STYaGnF8RVV+eg9pTJ1TcjXn77UxZYTG/eVAzOxhufexx2ylYT9MhPa+PSOfHiffUIeLTol551DY&#10;vCSzEWdjPxm5BoTbY8LCpZ+MOkJNxXBMhdG0UnkP/ryXrMffaPs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pSEwzCAQAAjgMAAA4AAAAAAAAAAQAgAAAAHgEAAGRycy9lMm9Eb2MueG1sUEsF&#10;BgAAAAAGAAYAWQEAAFIFA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K1FFdHCAQAAjgMAAA4AAAAAAAAAAQAgAAAAHgEAAGRycy9lMm9Eb2MueG1sUEsF&#10;BgAAAAAGAAYAWQEAAFIFAAA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586129"/>
    <w:multiLevelType w:val="singleLevel"/>
    <w:tmpl w:val="C9586129"/>
    <w:lvl w:ilvl="0" w:tentative="0">
      <w:start w:val="2"/>
      <w:numFmt w:val="chineseCounting"/>
      <w:suff w:val="nothing"/>
      <w:lvlText w:val="%1、"/>
      <w:lvlJc w:val="left"/>
      <w:rPr>
        <w:rFonts w:hint="eastAsia"/>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104FD1"/>
    <w:rsid w:val="001E4F9A"/>
    <w:rsid w:val="00223D8B"/>
    <w:rsid w:val="003A1B69"/>
    <w:rsid w:val="003D60BA"/>
    <w:rsid w:val="003E6DBF"/>
    <w:rsid w:val="00405806"/>
    <w:rsid w:val="00411689"/>
    <w:rsid w:val="00433300"/>
    <w:rsid w:val="00544F84"/>
    <w:rsid w:val="00573F1D"/>
    <w:rsid w:val="005D618A"/>
    <w:rsid w:val="007D0722"/>
    <w:rsid w:val="007F3DEB"/>
    <w:rsid w:val="00835638"/>
    <w:rsid w:val="00911ECD"/>
    <w:rsid w:val="00A042E0"/>
    <w:rsid w:val="00A34EF2"/>
    <w:rsid w:val="00A847E6"/>
    <w:rsid w:val="00B26BB1"/>
    <w:rsid w:val="00B26E21"/>
    <w:rsid w:val="00B86A08"/>
    <w:rsid w:val="00C96D53"/>
    <w:rsid w:val="00ED223C"/>
    <w:rsid w:val="00F718F4"/>
    <w:rsid w:val="00F83B64"/>
    <w:rsid w:val="013E3461"/>
    <w:rsid w:val="01BB0F13"/>
    <w:rsid w:val="02090C75"/>
    <w:rsid w:val="02A23A3C"/>
    <w:rsid w:val="02E901BF"/>
    <w:rsid w:val="0330607B"/>
    <w:rsid w:val="035D130A"/>
    <w:rsid w:val="039110A9"/>
    <w:rsid w:val="03AC246A"/>
    <w:rsid w:val="03AE6061"/>
    <w:rsid w:val="03B23056"/>
    <w:rsid w:val="03DA023E"/>
    <w:rsid w:val="03DC3EBA"/>
    <w:rsid w:val="03F23AEC"/>
    <w:rsid w:val="03F9794D"/>
    <w:rsid w:val="046A2461"/>
    <w:rsid w:val="04DB07C5"/>
    <w:rsid w:val="051C2970"/>
    <w:rsid w:val="060C3611"/>
    <w:rsid w:val="061E26D1"/>
    <w:rsid w:val="062245B6"/>
    <w:rsid w:val="06C64829"/>
    <w:rsid w:val="070E7B6E"/>
    <w:rsid w:val="071D62B7"/>
    <w:rsid w:val="077D16D2"/>
    <w:rsid w:val="07A87EEB"/>
    <w:rsid w:val="07B36210"/>
    <w:rsid w:val="080E004F"/>
    <w:rsid w:val="08297817"/>
    <w:rsid w:val="082A69F3"/>
    <w:rsid w:val="08675FC8"/>
    <w:rsid w:val="08D77705"/>
    <w:rsid w:val="095C367C"/>
    <w:rsid w:val="09B713FD"/>
    <w:rsid w:val="09EF6ACC"/>
    <w:rsid w:val="0A315056"/>
    <w:rsid w:val="0AA213B4"/>
    <w:rsid w:val="0AF61C7E"/>
    <w:rsid w:val="0AFB45AD"/>
    <w:rsid w:val="0B351E9B"/>
    <w:rsid w:val="0B4C50D3"/>
    <w:rsid w:val="0B806B92"/>
    <w:rsid w:val="0B827E94"/>
    <w:rsid w:val="0B842F76"/>
    <w:rsid w:val="0BD070E1"/>
    <w:rsid w:val="0C2361E7"/>
    <w:rsid w:val="0C247926"/>
    <w:rsid w:val="0D316035"/>
    <w:rsid w:val="0D794204"/>
    <w:rsid w:val="0E2125D1"/>
    <w:rsid w:val="0E214211"/>
    <w:rsid w:val="0E224DEE"/>
    <w:rsid w:val="0E25643A"/>
    <w:rsid w:val="0E5F2769"/>
    <w:rsid w:val="0F0742BD"/>
    <w:rsid w:val="0F2F7FB6"/>
    <w:rsid w:val="0F4D75A3"/>
    <w:rsid w:val="0F5B2DCA"/>
    <w:rsid w:val="0FED051E"/>
    <w:rsid w:val="0FEE4C29"/>
    <w:rsid w:val="0FFA113E"/>
    <w:rsid w:val="10031608"/>
    <w:rsid w:val="10046082"/>
    <w:rsid w:val="104974DD"/>
    <w:rsid w:val="1089211E"/>
    <w:rsid w:val="10E73A13"/>
    <w:rsid w:val="10FE3D13"/>
    <w:rsid w:val="111703D2"/>
    <w:rsid w:val="112B101A"/>
    <w:rsid w:val="113B7136"/>
    <w:rsid w:val="119B53FC"/>
    <w:rsid w:val="1215733B"/>
    <w:rsid w:val="123D440C"/>
    <w:rsid w:val="12424CDC"/>
    <w:rsid w:val="129A2738"/>
    <w:rsid w:val="12B56BF1"/>
    <w:rsid w:val="12B95B53"/>
    <w:rsid w:val="12CB1A89"/>
    <w:rsid w:val="13154C58"/>
    <w:rsid w:val="131840FB"/>
    <w:rsid w:val="13467417"/>
    <w:rsid w:val="136E76CF"/>
    <w:rsid w:val="137C5059"/>
    <w:rsid w:val="13D60028"/>
    <w:rsid w:val="145F08C6"/>
    <w:rsid w:val="14E43F59"/>
    <w:rsid w:val="15776308"/>
    <w:rsid w:val="15BC6B3C"/>
    <w:rsid w:val="15D45778"/>
    <w:rsid w:val="16360A7B"/>
    <w:rsid w:val="164D40B0"/>
    <w:rsid w:val="1694429A"/>
    <w:rsid w:val="173D36CF"/>
    <w:rsid w:val="17635326"/>
    <w:rsid w:val="17B803EA"/>
    <w:rsid w:val="17FC5D69"/>
    <w:rsid w:val="1815096B"/>
    <w:rsid w:val="18236EFD"/>
    <w:rsid w:val="189D5B1F"/>
    <w:rsid w:val="18A34CD0"/>
    <w:rsid w:val="18D706FE"/>
    <w:rsid w:val="198D31FA"/>
    <w:rsid w:val="19A53EA8"/>
    <w:rsid w:val="19B64DBC"/>
    <w:rsid w:val="19EC6A4A"/>
    <w:rsid w:val="1A2B4947"/>
    <w:rsid w:val="1A373ACF"/>
    <w:rsid w:val="1A587A91"/>
    <w:rsid w:val="1A7B10BA"/>
    <w:rsid w:val="1A895341"/>
    <w:rsid w:val="1A9D5038"/>
    <w:rsid w:val="1ACC1989"/>
    <w:rsid w:val="1AEA1E22"/>
    <w:rsid w:val="1B0D071F"/>
    <w:rsid w:val="1B4568CE"/>
    <w:rsid w:val="1B9015B7"/>
    <w:rsid w:val="1B950DA6"/>
    <w:rsid w:val="1BF54245"/>
    <w:rsid w:val="1D0E6976"/>
    <w:rsid w:val="1D1B1DDC"/>
    <w:rsid w:val="1D5A79EE"/>
    <w:rsid w:val="1E0E2CD0"/>
    <w:rsid w:val="1E1C7D7B"/>
    <w:rsid w:val="1E831280"/>
    <w:rsid w:val="1EBC4704"/>
    <w:rsid w:val="1F172EB5"/>
    <w:rsid w:val="1F343BEE"/>
    <w:rsid w:val="1F94592D"/>
    <w:rsid w:val="1FB860DE"/>
    <w:rsid w:val="1FDB4B05"/>
    <w:rsid w:val="203C5A02"/>
    <w:rsid w:val="209D4C94"/>
    <w:rsid w:val="20B44FCD"/>
    <w:rsid w:val="20E84705"/>
    <w:rsid w:val="218400BA"/>
    <w:rsid w:val="21AB1E2F"/>
    <w:rsid w:val="21D40498"/>
    <w:rsid w:val="22767047"/>
    <w:rsid w:val="23616DBA"/>
    <w:rsid w:val="23A05588"/>
    <w:rsid w:val="240476A1"/>
    <w:rsid w:val="247F007E"/>
    <w:rsid w:val="25431AEB"/>
    <w:rsid w:val="25BE3BFB"/>
    <w:rsid w:val="25BF43FD"/>
    <w:rsid w:val="25F86BCD"/>
    <w:rsid w:val="2605748B"/>
    <w:rsid w:val="26396D26"/>
    <w:rsid w:val="264544A6"/>
    <w:rsid w:val="26493454"/>
    <w:rsid w:val="265947AF"/>
    <w:rsid w:val="267702FB"/>
    <w:rsid w:val="269E416A"/>
    <w:rsid w:val="26C11C6B"/>
    <w:rsid w:val="272100D3"/>
    <w:rsid w:val="272C72FC"/>
    <w:rsid w:val="275131CB"/>
    <w:rsid w:val="278F6521"/>
    <w:rsid w:val="27EB149D"/>
    <w:rsid w:val="27FD3E52"/>
    <w:rsid w:val="28AC75FD"/>
    <w:rsid w:val="28E11370"/>
    <w:rsid w:val="291E5E43"/>
    <w:rsid w:val="294A756A"/>
    <w:rsid w:val="29781BF8"/>
    <w:rsid w:val="29C33ED0"/>
    <w:rsid w:val="29D5322D"/>
    <w:rsid w:val="2A025DD9"/>
    <w:rsid w:val="2A2619CB"/>
    <w:rsid w:val="2A7C2231"/>
    <w:rsid w:val="2A920E4F"/>
    <w:rsid w:val="2ABB753D"/>
    <w:rsid w:val="2AD4582D"/>
    <w:rsid w:val="2AFE6EC4"/>
    <w:rsid w:val="2B7A49FA"/>
    <w:rsid w:val="2C615D26"/>
    <w:rsid w:val="2C710238"/>
    <w:rsid w:val="2CB679ED"/>
    <w:rsid w:val="2D173C07"/>
    <w:rsid w:val="2D424A86"/>
    <w:rsid w:val="2DDA66B7"/>
    <w:rsid w:val="2E6F2D11"/>
    <w:rsid w:val="2E7B52DB"/>
    <w:rsid w:val="2ED60115"/>
    <w:rsid w:val="2F324CFE"/>
    <w:rsid w:val="2F9F6FB4"/>
    <w:rsid w:val="2FBA09F1"/>
    <w:rsid w:val="2FD03D4E"/>
    <w:rsid w:val="2FEF2ACF"/>
    <w:rsid w:val="2FF93D20"/>
    <w:rsid w:val="30540211"/>
    <w:rsid w:val="3054623C"/>
    <w:rsid w:val="30E45100"/>
    <w:rsid w:val="31112A0D"/>
    <w:rsid w:val="311F4B20"/>
    <w:rsid w:val="312D7741"/>
    <w:rsid w:val="31400502"/>
    <w:rsid w:val="316F137F"/>
    <w:rsid w:val="31726352"/>
    <w:rsid w:val="31DF525F"/>
    <w:rsid w:val="31EC162B"/>
    <w:rsid w:val="32324C2E"/>
    <w:rsid w:val="327171DF"/>
    <w:rsid w:val="32E6557D"/>
    <w:rsid w:val="330C3F1B"/>
    <w:rsid w:val="3391569E"/>
    <w:rsid w:val="341E3434"/>
    <w:rsid w:val="34BB4442"/>
    <w:rsid w:val="3584136B"/>
    <w:rsid w:val="35E24742"/>
    <w:rsid w:val="35FF5AA4"/>
    <w:rsid w:val="360B7EBA"/>
    <w:rsid w:val="363B58ED"/>
    <w:rsid w:val="36416867"/>
    <w:rsid w:val="367D5DD4"/>
    <w:rsid w:val="369C32FD"/>
    <w:rsid w:val="37666E72"/>
    <w:rsid w:val="37A11C08"/>
    <w:rsid w:val="38081EA3"/>
    <w:rsid w:val="38167A04"/>
    <w:rsid w:val="381C3783"/>
    <w:rsid w:val="394B167A"/>
    <w:rsid w:val="39DA2868"/>
    <w:rsid w:val="3A055F4B"/>
    <w:rsid w:val="3A4E4336"/>
    <w:rsid w:val="3A6007FE"/>
    <w:rsid w:val="3A802587"/>
    <w:rsid w:val="3A852164"/>
    <w:rsid w:val="3AF93D6C"/>
    <w:rsid w:val="3AFD06C8"/>
    <w:rsid w:val="3B7C2CE4"/>
    <w:rsid w:val="3BAF716B"/>
    <w:rsid w:val="3BEA0E09"/>
    <w:rsid w:val="3C0B5355"/>
    <w:rsid w:val="3CD4176B"/>
    <w:rsid w:val="3CDB3902"/>
    <w:rsid w:val="3D1F44D9"/>
    <w:rsid w:val="3D5C38CD"/>
    <w:rsid w:val="3DAD13DF"/>
    <w:rsid w:val="3DBC6F81"/>
    <w:rsid w:val="3E5070F1"/>
    <w:rsid w:val="3EC370CB"/>
    <w:rsid w:val="3F6C3589"/>
    <w:rsid w:val="3F850180"/>
    <w:rsid w:val="3F9004D6"/>
    <w:rsid w:val="3FEE7CFA"/>
    <w:rsid w:val="400E4D5E"/>
    <w:rsid w:val="40E1138C"/>
    <w:rsid w:val="413814BA"/>
    <w:rsid w:val="41872511"/>
    <w:rsid w:val="41DF1251"/>
    <w:rsid w:val="4229290A"/>
    <w:rsid w:val="42393371"/>
    <w:rsid w:val="424236D9"/>
    <w:rsid w:val="42466655"/>
    <w:rsid w:val="42C82F57"/>
    <w:rsid w:val="435707E5"/>
    <w:rsid w:val="43C76AF7"/>
    <w:rsid w:val="43E97E4A"/>
    <w:rsid w:val="44500B3D"/>
    <w:rsid w:val="446828F0"/>
    <w:rsid w:val="45093E85"/>
    <w:rsid w:val="45C13B4D"/>
    <w:rsid w:val="45E54D04"/>
    <w:rsid w:val="46054BCA"/>
    <w:rsid w:val="464C6AFC"/>
    <w:rsid w:val="468B0091"/>
    <w:rsid w:val="46A107C3"/>
    <w:rsid w:val="46B15CE2"/>
    <w:rsid w:val="46BE113D"/>
    <w:rsid w:val="46E44B13"/>
    <w:rsid w:val="4703508A"/>
    <w:rsid w:val="472C3839"/>
    <w:rsid w:val="475023F8"/>
    <w:rsid w:val="479D361E"/>
    <w:rsid w:val="47B74789"/>
    <w:rsid w:val="47EF5EA0"/>
    <w:rsid w:val="47F15329"/>
    <w:rsid w:val="48032A55"/>
    <w:rsid w:val="480B45B2"/>
    <w:rsid w:val="480F2B9D"/>
    <w:rsid w:val="48102176"/>
    <w:rsid w:val="48282920"/>
    <w:rsid w:val="483E1347"/>
    <w:rsid w:val="485321E0"/>
    <w:rsid w:val="48546AD3"/>
    <w:rsid w:val="48CA4868"/>
    <w:rsid w:val="48F005D3"/>
    <w:rsid w:val="49547ADD"/>
    <w:rsid w:val="49732351"/>
    <w:rsid w:val="498F4AF1"/>
    <w:rsid w:val="49C05787"/>
    <w:rsid w:val="49CF518D"/>
    <w:rsid w:val="4A3D5ECC"/>
    <w:rsid w:val="4A7F3979"/>
    <w:rsid w:val="4ADA1F63"/>
    <w:rsid w:val="4AE23D89"/>
    <w:rsid w:val="4B2038D0"/>
    <w:rsid w:val="4B296E7D"/>
    <w:rsid w:val="4B4F4541"/>
    <w:rsid w:val="4B79394E"/>
    <w:rsid w:val="4B877F28"/>
    <w:rsid w:val="4D916BA6"/>
    <w:rsid w:val="4DC44169"/>
    <w:rsid w:val="4DE24E21"/>
    <w:rsid w:val="4E1B19A3"/>
    <w:rsid w:val="4E48787F"/>
    <w:rsid w:val="4E803E33"/>
    <w:rsid w:val="4E936E55"/>
    <w:rsid w:val="4EF0709E"/>
    <w:rsid w:val="4EF636D2"/>
    <w:rsid w:val="4F0469A4"/>
    <w:rsid w:val="4FCE2310"/>
    <w:rsid w:val="500E56F4"/>
    <w:rsid w:val="50540C73"/>
    <w:rsid w:val="50752AF8"/>
    <w:rsid w:val="513C6A7B"/>
    <w:rsid w:val="520907C1"/>
    <w:rsid w:val="52EC6EC2"/>
    <w:rsid w:val="532D486F"/>
    <w:rsid w:val="5333545B"/>
    <w:rsid w:val="538D0E89"/>
    <w:rsid w:val="544A0A2E"/>
    <w:rsid w:val="544F5FA1"/>
    <w:rsid w:val="5450213C"/>
    <w:rsid w:val="54D24048"/>
    <w:rsid w:val="54D64CD5"/>
    <w:rsid w:val="54DD739E"/>
    <w:rsid w:val="5532287C"/>
    <w:rsid w:val="55887D69"/>
    <w:rsid w:val="55A51794"/>
    <w:rsid w:val="5616435C"/>
    <w:rsid w:val="561A0928"/>
    <w:rsid w:val="561F3C3D"/>
    <w:rsid w:val="56423872"/>
    <w:rsid w:val="569E06BC"/>
    <w:rsid w:val="56B279F0"/>
    <w:rsid w:val="56F20F86"/>
    <w:rsid w:val="57367D3A"/>
    <w:rsid w:val="579D710E"/>
    <w:rsid w:val="581F22F6"/>
    <w:rsid w:val="5866714C"/>
    <w:rsid w:val="586E1E17"/>
    <w:rsid w:val="58862C35"/>
    <w:rsid w:val="58C14957"/>
    <w:rsid w:val="58CC23D2"/>
    <w:rsid w:val="58E66050"/>
    <w:rsid w:val="594823BC"/>
    <w:rsid w:val="59BE453B"/>
    <w:rsid w:val="59FC7994"/>
    <w:rsid w:val="5AC228FF"/>
    <w:rsid w:val="5AE83A50"/>
    <w:rsid w:val="5B353193"/>
    <w:rsid w:val="5BAB2917"/>
    <w:rsid w:val="5BD605C9"/>
    <w:rsid w:val="5BFC33FA"/>
    <w:rsid w:val="5C3107A4"/>
    <w:rsid w:val="5C3B1B93"/>
    <w:rsid w:val="5C7900AB"/>
    <w:rsid w:val="5C9220DF"/>
    <w:rsid w:val="5D4A15F3"/>
    <w:rsid w:val="5D69542A"/>
    <w:rsid w:val="5D783B72"/>
    <w:rsid w:val="5E0930EF"/>
    <w:rsid w:val="5E3D4D53"/>
    <w:rsid w:val="5E4717E6"/>
    <w:rsid w:val="5E55774C"/>
    <w:rsid w:val="5E8A70FF"/>
    <w:rsid w:val="60045F96"/>
    <w:rsid w:val="60104DDC"/>
    <w:rsid w:val="60394A5E"/>
    <w:rsid w:val="605C0804"/>
    <w:rsid w:val="60913E6F"/>
    <w:rsid w:val="61364BF2"/>
    <w:rsid w:val="614E6CE7"/>
    <w:rsid w:val="61733C3E"/>
    <w:rsid w:val="6189617B"/>
    <w:rsid w:val="61B52BB6"/>
    <w:rsid w:val="61B749C2"/>
    <w:rsid w:val="62280D20"/>
    <w:rsid w:val="62CA2457"/>
    <w:rsid w:val="638240A1"/>
    <w:rsid w:val="63833423"/>
    <w:rsid w:val="63A5257B"/>
    <w:rsid w:val="63BD3DCC"/>
    <w:rsid w:val="63C61741"/>
    <w:rsid w:val="64560967"/>
    <w:rsid w:val="656B1D10"/>
    <w:rsid w:val="65952645"/>
    <w:rsid w:val="65B841F9"/>
    <w:rsid w:val="66022B28"/>
    <w:rsid w:val="664A38E2"/>
    <w:rsid w:val="66581E87"/>
    <w:rsid w:val="66FA11D5"/>
    <w:rsid w:val="671211FE"/>
    <w:rsid w:val="674302C7"/>
    <w:rsid w:val="67CB09D8"/>
    <w:rsid w:val="67EE3B0F"/>
    <w:rsid w:val="680A5986"/>
    <w:rsid w:val="680D5F4B"/>
    <w:rsid w:val="68113F51"/>
    <w:rsid w:val="68E94770"/>
    <w:rsid w:val="68F949C9"/>
    <w:rsid w:val="695A4290"/>
    <w:rsid w:val="6A334932"/>
    <w:rsid w:val="6A3353FF"/>
    <w:rsid w:val="6A5D63E6"/>
    <w:rsid w:val="6A5F24D1"/>
    <w:rsid w:val="6A7A3986"/>
    <w:rsid w:val="6ACA70C4"/>
    <w:rsid w:val="6AE347EB"/>
    <w:rsid w:val="6B0F1ACC"/>
    <w:rsid w:val="6B330365"/>
    <w:rsid w:val="6B434AF0"/>
    <w:rsid w:val="6B57675A"/>
    <w:rsid w:val="6B87098A"/>
    <w:rsid w:val="6BDD7B4D"/>
    <w:rsid w:val="6C0E320C"/>
    <w:rsid w:val="6DFD557E"/>
    <w:rsid w:val="6E7A14E6"/>
    <w:rsid w:val="6E8F5AB9"/>
    <w:rsid w:val="6EBC0B3A"/>
    <w:rsid w:val="6EF51C7D"/>
    <w:rsid w:val="6EF81158"/>
    <w:rsid w:val="6F135BB4"/>
    <w:rsid w:val="6F8363E5"/>
    <w:rsid w:val="6F841DCF"/>
    <w:rsid w:val="6FA80CCD"/>
    <w:rsid w:val="6FAC3CC5"/>
    <w:rsid w:val="6FC746F5"/>
    <w:rsid w:val="6FDC3644"/>
    <w:rsid w:val="70317AC6"/>
    <w:rsid w:val="704B26F7"/>
    <w:rsid w:val="70697B21"/>
    <w:rsid w:val="70863262"/>
    <w:rsid w:val="70A76ED3"/>
    <w:rsid w:val="70DD7BE1"/>
    <w:rsid w:val="71860B17"/>
    <w:rsid w:val="723B27CC"/>
    <w:rsid w:val="725F7247"/>
    <w:rsid w:val="72687227"/>
    <w:rsid w:val="72A03FD9"/>
    <w:rsid w:val="73406CFF"/>
    <w:rsid w:val="7383028C"/>
    <w:rsid w:val="73A25E44"/>
    <w:rsid w:val="741F68CF"/>
    <w:rsid w:val="74B96621"/>
    <w:rsid w:val="75252DF3"/>
    <w:rsid w:val="75621536"/>
    <w:rsid w:val="758D5CD1"/>
    <w:rsid w:val="75BF3154"/>
    <w:rsid w:val="764A07CF"/>
    <w:rsid w:val="764F6B3D"/>
    <w:rsid w:val="76CD2B7B"/>
    <w:rsid w:val="76D80645"/>
    <w:rsid w:val="76E03371"/>
    <w:rsid w:val="771211AA"/>
    <w:rsid w:val="780E5898"/>
    <w:rsid w:val="782642CC"/>
    <w:rsid w:val="7894095E"/>
    <w:rsid w:val="78964555"/>
    <w:rsid w:val="78CF4963"/>
    <w:rsid w:val="79000679"/>
    <w:rsid w:val="791C0FE5"/>
    <w:rsid w:val="79611F28"/>
    <w:rsid w:val="79A416F0"/>
    <w:rsid w:val="79B03EB6"/>
    <w:rsid w:val="79B61437"/>
    <w:rsid w:val="7ACD6792"/>
    <w:rsid w:val="7AE15A5C"/>
    <w:rsid w:val="7AF37579"/>
    <w:rsid w:val="7AF87F64"/>
    <w:rsid w:val="7B1C0C84"/>
    <w:rsid w:val="7B5A62DF"/>
    <w:rsid w:val="7B7A04A8"/>
    <w:rsid w:val="7C0C3F6D"/>
    <w:rsid w:val="7C22163C"/>
    <w:rsid w:val="7C457B4B"/>
    <w:rsid w:val="7C595075"/>
    <w:rsid w:val="7C6B07B2"/>
    <w:rsid w:val="7C8B0F6C"/>
    <w:rsid w:val="7D133243"/>
    <w:rsid w:val="7D945420"/>
    <w:rsid w:val="7E394207"/>
    <w:rsid w:val="7E4007A2"/>
    <w:rsid w:val="7E430907"/>
    <w:rsid w:val="7E791CAD"/>
    <w:rsid w:val="7EA50DFB"/>
    <w:rsid w:val="7EAB011C"/>
    <w:rsid w:val="7EC86878"/>
    <w:rsid w:val="7F16390D"/>
    <w:rsid w:val="7F752917"/>
    <w:rsid w:val="7FE37961"/>
    <w:rsid w:val="7FE57720"/>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pPr>
    <w:rPr>
      <w:rFonts w:eastAsia="等线"/>
      <w:color w:val="000000"/>
      <w:szCs w:val="24"/>
    </w:rPr>
  </w:style>
  <w:style w:type="paragraph" w:styleId="3">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41"/>
    <w:unhideWhenUsed/>
    <w:qFormat/>
    <w:uiPriority w:val="99"/>
    <w:pPr>
      <w:spacing w:after="120"/>
    </w:pPr>
    <w:rPr>
      <w:sz w:val="16"/>
      <w:szCs w:val="16"/>
    </w:rPr>
  </w:style>
  <w:style w:type="paragraph" w:styleId="9">
    <w:name w:val="Body Text"/>
    <w:basedOn w:val="1"/>
    <w:next w:val="1"/>
    <w:qFormat/>
    <w:uiPriority w:val="99"/>
    <w:pPr>
      <w:spacing w:after="120"/>
    </w:pPr>
  </w:style>
  <w:style w:type="paragraph" w:styleId="10">
    <w:name w:val="toc 3"/>
    <w:basedOn w:val="1"/>
    <w:next w:val="1"/>
    <w:unhideWhenUsed/>
    <w:qFormat/>
    <w:uiPriority w:val="39"/>
    <w:pPr>
      <w:widowControl/>
      <w:spacing w:after="100" w:line="276" w:lineRule="auto"/>
      <w:ind w:left="440"/>
      <w:jc w:val="left"/>
    </w:pPr>
    <w:rPr>
      <w:kern w:val="0"/>
      <w:sz w:val="22"/>
    </w:rPr>
  </w:style>
  <w:style w:type="paragraph" w:styleId="11">
    <w:name w:val="Plain Text"/>
    <w:basedOn w:val="1"/>
    <w:next w:val="12"/>
    <w:qFormat/>
    <w:uiPriority w:val="0"/>
    <w:rPr>
      <w:rFonts w:ascii="宋体" w:hAnsi="Courier New"/>
      <w:szCs w:val="21"/>
    </w:rPr>
  </w:style>
  <w:style w:type="paragraph" w:customStyle="1" w:styleId="12">
    <w:name w:val="Default"/>
    <w:next w:val="13"/>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3">
    <w:name w:val="List"/>
    <w:basedOn w:val="1"/>
    <w:next w:val="1"/>
    <w:qFormat/>
    <w:uiPriority w:val="0"/>
    <w:pPr>
      <w:snapToGrid w:val="0"/>
    </w:pPr>
    <w:rPr>
      <w:szCs w:val="24"/>
    </w:rPr>
  </w:style>
  <w:style w:type="paragraph" w:styleId="14">
    <w:name w:val="Body Text Indent 2"/>
    <w:basedOn w:val="1"/>
    <w:qFormat/>
    <w:uiPriority w:val="0"/>
    <w:pPr>
      <w:adjustRightInd w:val="0"/>
      <w:spacing w:after="120" w:line="480" w:lineRule="auto"/>
      <w:ind w:left="420"/>
      <w:textAlignment w:val="baseline"/>
    </w:pPr>
    <w:rPr>
      <w:rFonts w:ascii="Times New Roman" w:hAnsi="Times New Roman" w:cs="Times New Roman"/>
      <w:kern w:val="0"/>
      <w:szCs w:val="20"/>
    </w:rPr>
  </w:style>
  <w:style w:type="paragraph" w:styleId="15">
    <w:name w:val="Balloon Text"/>
    <w:basedOn w:val="1"/>
    <w:link w:val="36"/>
    <w:semiHidden/>
    <w:unhideWhenUsed/>
    <w:qFormat/>
    <w:uiPriority w:val="99"/>
    <w:rPr>
      <w:sz w:val="18"/>
      <w:szCs w:val="18"/>
    </w:rPr>
  </w:style>
  <w:style w:type="paragraph" w:styleId="16">
    <w:name w:val="footer"/>
    <w:basedOn w:val="1"/>
    <w:link w:val="30"/>
    <w:unhideWhenUsed/>
    <w:qFormat/>
    <w:uiPriority w:val="99"/>
    <w:pPr>
      <w:tabs>
        <w:tab w:val="center" w:pos="4153"/>
        <w:tab w:val="right" w:pos="8306"/>
      </w:tabs>
      <w:snapToGrid w:val="0"/>
      <w:jc w:val="left"/>
    </w:pPr>
    <w:rPr>
      <w:sz w:val="18"/>
      <w:szCs w:val="18"/>
    </w:rPr>
  </w:style>
  <w:style w:type="paragraph" w:styleId="17">
    <w:name w:val="header"/>
    <w:basedOn w:val="1"/>
    <w:link w:val="2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Body Text 2"/>
    <w:basedOn w:val="1"/>
    <w:qFormat/>
    <w:uiPriority w:val="0"/>
    <w:pPr>
      <w:spacing w:after="120" w:line="480" w:lineRule="auto"/>
    </w:pPr>
  </w:style>
  <w:style w:type="paragraph" w:styleId="21">
    <w:name w:val="Normal (Web)"/>
    <w:basedOn w:val="1"/>
    <w:qFormat/>
    <w:uiPriority w:val="99"/>
    <w:pPr>
      <w:spacing w:before="100" w:beforeAutospacing="1" w:after="100" w:afterAutospacing="1"/>
    </w:pPr>
    <w:rPr>
      <w:rFonts w:ascii="宋体" w:hAnsi="宋体" w:cs="Times New Roman"/>
      <w:kern w:val="0"/>
      <w:sz w:val="24"/>
      <w:szCs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5">
    <w:name w:val="Strong"/>
    <w:basedOn w:val="24"/>
    <w:qFormat/>
    <w:uiPriority w:val="22"/>
    <w:rPr>
      <w:b/>
      <w:bCs/>
    </w:rPr>
  </w:style>
  <w:style w:type="character" w:styleId="26">
    <w:name w:val="page number"/>
    <w:basedOn w:val="24"/>
    <w:qFormat/>
    <w:uiPriority w:val="0"/>
  </w:style>
  <w:style w:type="character" w:styleId="27">
    <w:name w:val="Hyperlink"/>
    <w:basedOn w:val="24"/>
    <w:unhideWhenUsed/>
    <w:qFormat/>
    <w:uiPriority w:val="99"/>
    <w:rPr>
      <w:color w:val="0000FF" w:themeColor="hyperlink"/>
      <w:u w:val="single"/>
      <w14:textFill>
        <w14:solidFill>
          <w14:schemeClr w14:val="hlink"/>
        </w14:solidFill>
      </w14:textFill>
    </w:rPr>
  </w:style>
  <w:style w:type="paragraph" w:customStyle="1" w:styleId="28">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29">
    <w:name w:val="页眉 字符"/>
    <w:basedOn w:val="24"/>
    <w:link w:val="17"/>
    <w:semiHidden/>
    <w:qFormat/>
    <w:uiPriority w:val="99"/>
    <w:rPr>
      <w:sz w:val="18"/>
      <w:szCs w:val="18"/>
    </w:rPr>
  </w:style>
  <w:style w:type="character" w:customStyle="1" w:styleId="30">
    <w:name w:val="页脚 字符"/>
    <w:basedOn w:val="24"/>
    <w:link w:val="16"/>
    <w:qFormat/>
    <w:uiPriority w:val="99"/>
    <w:rPr>
      <w:sz w:val="18"/>
      <w:szCs w:val="18"/>
    </w:rPr>
  </w:style>
  <w:style w:type="character" w:customStyle="1" w:styleId="31">
    <w:name w:val="标题 1 字符"/>
    <w:basedOn w:val="24"/>
    <w:link w:val="4"/>
    <w:qFormat/>
    <w:uiPriority w:val="9"/>
    <w:rPr>
      <w:rFonts w:eastAsia="方正小标宋简体"/>
      <w:bCs/>
      <w:kern w:val="44"/>
      <w:sz w:val="44"/>
      <w:szCs w:val="44"/>
    </w:rPr>
  </w:style>
  <w:style w:type="character" w:customStyle="1" w:styleId="32">
    <w:name w:val="标题 2 字符"/>
    <w:basedOn w:val="24"/>
    <w:link w:val="5"/>
    <w:qFormat/>
    <w:uiPriority w:val="9"/>
    <w:rPr>
      <w:rFonts w:eastAsia="方正小标宋简体" w:asciiTheme="majorHAnsi" w:hAnsiTheme="majorHAnsi" w:cstheme="majorBidi"/>
      <w:bCs/>
      <w:sz w:val="36"/>
      <w:szCs w:val="32"/>
    </w:rPr>
  </w:style>
  <w:style w:type="character" w:customStyle="1" w:styleId="33">
    <w:name w:val="标题 3 字符"/>
    <w:basedOn w:val="24"/>
    <w:link w:val="6"/>
    <w:qFormat/>
    <w:uiPriority w:val="9"/>
    <w:rPr>
      <w:rFonts w:ascii="Calibri" w:hAnsi="Calibri" w:eastAsia="宋体" w:cs="Times New Roman"/>
      <w:b/>
      <w:bCs/>
      <w:sz w:val="32"/>
      <w:szCs w:val="32"/>
    </w:rPr>
  </w:style>
  <w:style w:type="paragraph" w:styleId="34">
    <w:name w:val="List Paragraph"/>
    <w:basedOn w:val="1"/>
    <w:link w:val="42"/>
    <w:qFormat/>
    <w:uiPriority w:val="34"/>
    <w:pPr>
      <w:ind w:firstLine="420" w:firstLineChars="200"/>
    </w:pPr>
  </w:style>
  <w:style w:type="paragraph" w:customStyle="1" w:styleId="35">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字符"/>
    <w:basedOn w:val="24"/>
    <w:link w:val="15"/>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12"/>
    <w:next w:val="12"/>
    <w:qFormat/>
    <w:uiPriority w:val="0"/>
    <w:pPr>
      <w:spacing w:after="373"/>
    </w:pPr>
    <w:rPr>
      <w:color w:val="auto"/>
    </w:rPr>
  </w:style>
  <w:style w:type="paragraph" w:customStyle="1" w:styleId="39">
    <w:name w:val="CM91"/>
    <w:basedOn w:val="12"/>
    <w:next w:val="12"/>
    <w:qFormat/>
    <w:uiPriority w:val="0"/>
    <w:pPr>
      <w:spacing w:after="160"/>
    </w:pPr>
    <w:rPr>
      <w:color w:val="auto"/>
    </w:rPr>
  </w:style>
  <w:style w:type="character" w:customStyle="1" w:styleId="40">
    <w:name w:val="正文文本 3 Char"/>
    <w:qFormat/>
    <w:uiPriority w:val="99"/>
    <w:rPr>
      <w:sz w:val="16"/>
      <w:szCs w:val="16"/>
    </w:rPr>
  </w:style>
  <w:style w:type="character" w:customStyle="1" w:styleId="41">
    <w:name w:val="正文文本 3 字符"/>
    <w:basedOn w:val="24"/>
    <w:link w:val="8"/>
    <w:semiHidden/>
    <w:qFormat/>
    <w:uiPriority w:val="99"/>
    <w:rPr>
      <w:sz w:val="16"/>
      <w:szCs w:val="16"/>
    </w:rPr>
  </w:style>
  <w:style w:type="character" w:customStyle="1" w:styleId="42">
    <w:name w:val="列表段落 字符"/>
    <w:link w:val="34"/>
    <w:qFormat/>
    <w:uiPriority w:val="34"/>
  </w:style>
  <w:style w:type="paragraph" w:customStyle="1" w:styleId="43">
    <w:name w:val="1"/>
    <w:basedOn w:val="1"/>
    <w:next w:val="11"/>
    <w:qFormat/>
    <w:uiPriority w:val="99"/>
    <w:rPr>
      <w:rFonts w:ascii="宋体" w:hAnsi="Courier New"/>
    </w:rPr>
  </w:style>
  <w:style w:type="paragraph" w:customStyle="1" w:styleId="44">
    <w:name w:val="WPSOffice手动目录 1"/>
    <w:qFormat/>
    <w:uiPriority w:val="0"/>
    <w:rPr>
      <w:rFonts w:asciiTheme="minorHAnsi" w:hAnsiTheme="minorHAnsi" w:eastAsiaTheme="minorEastAsia" w:cstheme="minorBidi"/>
      <w:lang w:val="en-US" w:eastAsia="zh-CN" w:bidi="ar-SA"/>
    </w:rPr>
  </w:style>
  <w:style w:type="paragraph" w:customStyle="1" w:styleId="45">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6">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47">
    <w:name w:val="Unresolved Mention"/>
    <w:basedOn w:val="24"/>
    <w:semiHidden/>
    <w:unhideWhenUsed/>
    <w:qFormat/>
    <w:uiPriority w:val="99"/>
    <w:rPr>
      <w:color w:val="605E5C"/>
      <w:shd w:val="clear" w:color="auto" w:fill="E1DFDD"/>
    </w:rPr>
  </w:style>
  <w:style w:type="paragraph" w:customStyle="1" w:styleId="48">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9">
    <w:name w:val="_Style 4"/>
    <w:basedOn w:val="4"/>
    <w:next w:val="1"/>
    <w:qFormat/>
    <w:uiPriority w:val="0"/>
    <w:pPr>
      <w:keepNext w:val="0"/>
      <w:keepLines w:val="0"/>
      <w:widowControl w:val="0"/>
      <w:spacing w:after="0" w:line="576" w:lineRule="auto"/>
      <w:ind w:left="0" w:right="0" w:firstLine="0"/>
      <w:jc w:val="left"/>
      <w:outlineLvl w:val="9"/>
    </w:pPr>
    <w:rPr>
      <w:rFonts w:ascii="Calibri" w:hAnsi="Calibri" w:cs="Times New Roman"/>
      <w:color w:val="auto"/>
      <w:kern w:val="0"/>
      <w:sz w:val="44"/>
      <w:szCs w:val="44"/>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25544</Words>
  <Characters>27148</Characters>
  <Lines>189</Lines>
  <Paragraphs>53</Paragraphs>
  <TotalTime>1</TotalTime>
  <ScaleCrop>false</ScaleCrop>
  <LinksUpToDate>false</LinksUpToDate>
  <CharactersWithSpaces>29714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dcterms:modified xsi:type="dcterms:W3CDTF">2022-09-30T07:21:21Z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BBEDDE8E32184B54BB58992579BD0643</vt:lpwstr>
  </property>
</Properties>
</file>